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1408" w14:textId="4E57F67E" w:rsidR="00B276FB" w:rsidRPr="00802F1A" w:rsidRDefault="003F4D22" w:rsidP="001D0264">
      <w:pPr>
        <w:pStyle w:val="NoSpacing"/>
        <w:spacing w:line="360" w:lineRule="auto"/>
        <w:jc w:val="center"/>
        <w:rPr>
          <w:b/>
          <w:bCs/>
          <w:lang w:val="en-US"/>
        </w:rPr>
      </w:pPr>
      <w:r w:rsidRPr="00802F1A">
        <w:rPr>
          <w:b/>
          <w:bCs/>
          <w:lang w:val="en-US"/>
        </w:rPr>
        <w:t xml:space="preserve">Are the Synergy of Stable </w:t>
      </w:r>
      <w:r w:rsidR="00B276FB" w:rsidRPr="00802F1A">
        <w:rPr>
          <w:b/>
          <w:bCs/>
          <w:lang w:val="en-US"/>
        </w:rPr>
        <w:t xml:space="preserve">Energy </w:t>
      </w:r>
      <w:r w:rsidRPr="00802F1A">
        <w:rPr>
          <w:b/>
          <w:bCs/>
          <w:lang w:val="en-US"/>
        </w:rPr>
        <w:t>Supply</w:t>
      </w:r>
      <w:r w:rsidR="00721BCD" w:rsidRPr="00802F1A">
        <w:rPr>
          <w:b/>
          <w:bCs/>
          <w:lang w:val="en-US"/>
        </w:rPr>
        <w:t xml:space="preserve">, </w:t>
      </w:r>
      <w:r w:rsidRPr="00802F1A">
        <w:rPr>
          <w:b/>
          <w:bCs/>
          <w:lang w:val="en-US"/>
        </w:rPr>
        <w:t>Robust F</w:t>
      </w:r>
      <w:r w:rsidR="00E308CD" w:rsidRPr="00802F1A">
        <w:rPr>
          <w:b/>
          <w:bCs/>
          <w:lang w:val="en-US"/>
        </w:rPr>
        <w:t xml:space="preserve">inancial </w:t>
      </w:r>
      <w:r w:rsidRPr="00802F1A">
        <w:rPr>
          <w:b/>
          <w:bCs/>
          <w:lang w:val="en-US"/>
        </w:rPr>
        <w:t>Service and Strong Economic Growth Achievable?</w:t>
      </w:r>
      <w:r w:rsidR="00721BCD" w:rsidRPr="00802F1A">
        <w:rPr>
          <w:b/>
          <w:bCs/>
          <w:lang w:val="en-US"/>
        </w:rPr>
        <w:t xml:space="preserve"> </w:t>
      </w:r>
      <w:r w:rsidR="001D0264" w:rsidRPr="00802F1A">
        <w:rPr>
          <w:b/>
          <w:bCs/>
          <w:lang w:val="en-US"/>
        </w:rPr>
        <w:t>Evidence from 13</w:t>
      </w:r>
      <w:r w:rsidR="007674B0" w:rsidRPr="00802F1A">
        <w:rPr>
          <w:b/>
          <w:bCs/>
          <w:lang w:val="en-US"/>
        </w:rPr>
        <w:t>4</w:t>
      </w:r>
      <w:r w:rsidR="001D0264" w:rsidRPr="00802F1A">
        <w:rPr>
          <w:b/>
          <w:bCs/>
          <w:lang w:val="en-US"/>
        </w:rPr>
        <w:t xml:space="preserve"> Countries</w:t>
      </w:r>
    </w:p>
    <w:p w14:paraId="52368B36" w14:textId="5C8DDE2A" w:rsidR="00A1506F" w:rsidRPr="00802F1A" w:rsidRDefault="00A1506F" w:rsidP="00E26942">
      <w:pPr>
        <w:pStyle w:val="NoSpacing"/>
        <w:spacing w:line="360" w:lineRule="auto"/>
        <w:jc w:val="center"/>
        <w:rPr>
          <w:b/>
          <w:bCs/>
          <w:lang w:val="en-US"/>
        </w:rPr>
      </w:pPr>
    </w:p>
    <w:p w14:paraId="31620FC8" w14:textId="44857E98" w:rsidR="00894F72" w:rsidRPr="00802F1A" w:rsidRDefault="00894F72" w:rsidP="00894F72">
      <w:pPr>
        <w:spacing w:line="240" w:lineRule="auto"/>
        <w:rPr>
          <w:rFonts w:eastAsia="Calibri" w:cs="Times New Roman"/>
        </w:rPr>
      </w:pPr>
    </w:p>
    <w:p w14:paraId="5056731F" w14:textId="1F8B474D" w:rsidR="00194E43" w:rsidRPr="00802F1A" w:rsidRDefault="00194E43" w:rsidP="00894F72">
      <w:pPr>
        <w:spacing w:line="240" w:lineRule="auto"/>
        <w:rPr>
          <w:rFonts w:eastAsia="Calibri" w:cs="Times New Roman"/>
        </w:rPr>
      </w:pPr>
    </w:p>
    <w:p w14:paraId="761D4B90" w14:textId="20A03952" w:rsidR="0047553E" w:rsidRPr="00802F1A" w:rsidRDefault="00477727" w:rsidP="00462E7E">
      <w:pPr>
        <w:pStyle w:val="Heading1"/>
        <w:numPr>
          <w:ilvl w:val="0"/>
          <w:numId w:val="0"/>
        </w:numPr>
        <w:ind w:left="360" w:hanging="360"/>
        <w:rPr>
          <w:lang w:val="en-US"/>
        </w:rPr>
      </w:pPr>
      <w:r w:rsidRPr="00802F1A">
        <w:rPr>
          <w:lang w:val="en-US"/>
        </w:rPr>
        <w:t>Abstract</w:t>
      </w:r>
    </w:p>
    <w:p w14:paraId="7FF88B0A" w14:textId="77777777" w:rsidR="008E55FC" w:rsidRDefault="008E55FC" w:rsidP="008E55FC">
      <w:pPr>
        <w:autoSpaceDE w:val="0"/>
        <w:autoSpaceDN w:val="0"/>
        <w:adjustRightInd w:val="0"/>
        <w:spacing w:line="300" w:lineRule="auto"/>
        <w:jc w:val="both"/>
        <w:rPr>
          <w:rFonts w:cs="Times New Roman"/>
          <w:szCs w:val="24"/>
          <w:lang w:val="en-US"/>
        </w:rPr>
      </w:pPr>
      <w:r w:rsidRPr="00E245CD">
        <w:rPr>
          <w:rFonts w:cs="Times New Roman"/>
          <w:szCs w:val="24"/>
          <w:lang w:val="en-US"/>
        </w:rPr>
        <w:t>Stable energy supply and financial services drive economic growth, but they have also been linked to past crises. Technological progress helps prevent future energy and financial crises, potentially leading to a steady-state equilibrium in energy diversification, per-capita income, and financial development across countries. This study analyzes 134 countries from 1995 to 2019, testing convergence in these factors and exploring their interdependent relationships for the first time. While overall convergence was not found using the club convergence test, countries did converge within specific groups. Regression analysis revealed positive two-way relationships between energy diversification and per-capita income, as well as between financial development and per-capita income, with an increasing trend observed in these factors. The findings emphasize the importance of investing in human capital and technology for sustainable economic and financial development. Additionally, this study confirms the U-shape relationship between oil price and energy diversification for the first time.</w:t>
      </w:r>
    </w:p>
    <w:p w14:paraId="0662AEF4" w14:textId="77777777" w:rsidR="002B60A0" w:rsidRPr="00802F1A" w:rsidRDefault="002B60A0" w:rsidP="000D7ECE">
      <w:pPr>
        <w:autoSpaceDE w:val="0"/>
        <w:autoSpaceDN w:val="0"/>
        <w:adjustRightInd w:val="0"/>
        <w:spacing w:line="300" w:lineRule="auto"/>
        <w:jc w:val="both"/>
        <w:rPr>
          <w:rFonts w:cs="Times New Roman"/>
          <w:szCs w:val="24"/>
          <w:lang w:val="en-US"/>
        </w:rPr>
      </w:pPr>
    </w:p>
    <w:p w14:paraId="72E9FA3F" w14:textId="0F741986" w:rsidR="0055665C" w:rsidRPr="00802F1A" w:rsidRDefault="0055665C" w:rsidP="000D7ECE">
      <w:pPr>
        <w:autoSpaceDE w:val="0"/>
        <w:autoSpaceDN w:val="0"/>
        <w:adjustRightInd w:val="0"/>
        <w:spacing w:line="300" w:lineRule="auto"/>
        <w:jc w:val="both"/>
        <w:rPr>
          <w:rFonts w:cs="Times New Roman"/>
          <w:szCs w:val="24"/>
          <w:lang w:val="en-US"/>
        </w:rPr>
      </w:pPr>
      <w:r w:rsidRPr="00802F1A">
        <w:rPr>
          <w:rFonts w:cs="Times New Roman"/>
          <w:szCs w:val="24"/>
          <w:lang w:val="en-US"/>
        </w:rPr>
        <w:t xml:space="preserve">Keywords: </w:t>
      </w:r>
      <w:r w:rsidR="003711E3" w:rsidRPr="00802F1A">
        <w:rPr>
          <w:rFonts w:cs="Times New Roman"/>
          <w:szCs w:val="24"/>
          <w:lang w:val="en-US"/>
        </w:rPr>
        <w:t xml:space="preserve">Convergence; Dynamic panel data analysis; </w:t>
      </w:r>
      <w:r w:rsidR="00940617" w:rsidRPr="00802F1A">
        <w:rPr>
          <w:rFonts w:cs="Times New Roman"/>
          <w:szCs w:val="24"/>
          <w:lang w:val="en-US"/>
        </w:rPr>
        <w:t>Energy diversification</w:t>
      </w:r>
      <w:r w:rsidRPr="00802F1A">
        <w:rPr>
          <w:rFonts w:cs="Times New Roman"/>
          <w:szCs w:val="24"/>
          <w:lang w:val="en-US"/>
        </w:rPr>
        <w:t xml:space="preserve">; </w:t>
      </w:r>
      <w:r w:rsidR="00940617" w:rsidRPr="00802F1A">
        <w:rPr>
          <w:rFonts w:cs="Times New Roman"/>
          <w:szCs w:val="24"/>
          <w:lang w:val="en-US"/>
        </w:rPr>
        <w:t>Financial development;</w:t>
      </w:r>
      <w:r w:rsidRPr="00802F1A">
        <w:rPr>
          <w:rFonts w:cs="Times New Roman"/>
          <w:szCs w:val="24"/>
          <w:lang w:val="en-US"/>
        </w:rPr>
        <w:t xml:space="preserve"> </w:t>
      </w:r>
      <w:r w:rsidR="00B53680" w:rsidRPr="00802F1A">
        <w:rPr>
          <w:rFonts w:cs="Times New Roman"/>
          <w:szCs w:val="24"/>
          <w:lang w:val="en-US"/>
        </w:rPr>
        <w:t>Economic growth</w:t>
      </w:r>
    </w:p>
    <w:p w14:paraId="153226EB" w14:textId="368A5DAA" w:rsidR="0055665C" w:rsidRPr="00802F1A" w:rsidRDefault="0055665C" w:rsidP="000D7ECE">
      <w:pPr>
        <w:spacing w:line="300" w:lineRule="auto"/>
        <w:jc w:val="both"/>
        <w:rPr>
          <w:rFonts w:cs="Times New Roman"/>
          <w:szCs w:val="24"/>
          <w:lang w:val="en-US"/>
        </w:rPr>
      </w:pPr>
      <w:r w:rsidRPr="00802F1A">
        <w:rPr>
          <w:rFonts w:cs="Times New Roman"/>
          <w:szCs w:val="24"/>
          <w:lang w:val="en-US"/>
        </w:rPr>
        <w:t xml:space="preserve">JEL Classification: </w:t>
      </w:r>
      <w:r w:rsidR="0026745B" w:rsidRPr="00802F1A">
        <w:rPr>
          <w:rFonts w:cs="Times New Roman"/>
          <w:szCs w:val="24"/>
          <w:lang w:val="en-US"/>
        </w:rPr>
        <w:t>O47</w:t>
      </w:r>
      <w:r w:rsidRPr="00802F1A">
        <w:rPr>
          <w:rFonts w:cs="Times New Roman"/>
          <w:szCs w:val="24"/>
          <w:lang w:val="en-US"/>
        </w:rPr>
        <w:t xml:space="preserve">; </w:t>
      </w:r>
      <w:r w:rsidR="00BB22A6" w:rsidRPr="00802F1A">
        <w:rPr>
          <w:rFonts w:cs="Times New Roman"/>
          <w:szCs w:val="24"/>
          <w:lang w:val="en-US"/>
        </w:rPr>
        <w:t>Q01</w:t>
      </w:r>
      <w:r w:rsidRPr="00802F1A">
        <w:rPr>
          <w:rFonts w:cs="Times New Roman"/>
          <w:szCs w:val="24"/>
          <w:lang w:val="en-US"/>
        </w:rPr>
        <w:t xml:space="preserve">; </w:t>
      </w:r>
      <w:r w:rsidR="001320C4" w:rsidRPr="00802F1A">
        <w:rPr>
          <w:rFonts w:cs="Times New Roman"/>
          <w:szCs w:val="24"/>
          <w:lang w:val="en-US"/>
        </w:rPr>
        <w:t>Q42</w:t>
      </w:r>
    </w:p>
    <w:p w14:paraId="7538189F" w14:textId="0415921D" w:rsidR="0043208B" w:rsidRPr="00802F1A" w:rsidRDefault="0043208B" w:rsidP="000D7ECE">
      <w:pPr>
        <w:spacing w:line="300" w:lineRule="auto"/>
        <w:jc w:val="both"/>
        <w:rPr>
          <w:rFonts w:cs="Times New Roman"/>
          <w:szCs w:val="24"/>
          <w:lang w:val="en-US"/>
        </w:rPr>
      </w:pPr>
    </w:p>
    <w:p w14:paraId="16E1441D" w14:textId="77777777" w:rsidR="000D7080" w:rsidRDefault="000D7080" w:rsidP="000D7ECE">
      <w:pPr>
        <w:spacing w:line="300" w:lineRule="auto"/>
        <w:jc w:val="both"/>
        <w:rPr>
          <w:rFonts w:cs="Times New Roman"/>
          <w:szCs w:val="24"/>
          <w:lang w:val="en-US"/>
        </w:rPr>
      </w:pPr>
    </w:p>
    <w:p w14:paraId="43D27D2C" w14:textId="77777777" w:rsidR="00DD7AF6" w:rsidRDefault="00DD7AF6" w:rsidP="000D7ECE">
      <w:pPr>
        <w:spacing w:line="300" w:lineRule="auto"/>
        <w:jc w:val="both"/>
        <w:rPr>
          <w:rFonts w:cs="Times New Roman"/>
          <w:szCs w:val="24"/>
          <w:lang w:val="en-US"/>
        </w:rPr>
      </w:pPr>
    </w:p>
    <w:p w14:paraId="37CCA359" w14:textId="77777777" w:rsidR="004F6E57" w:rsidRDefault="004F6E57" w:rsidP="000D7ECE">
      <w:pPr>
        <w:spacing w:line="300" w:lineRule="auto"/>
        <w:jc w:val="both"/>
        <w:rPr>
          <w:rFonts w:cs="Times New Roman"/>
          <w:szCs w:val="24"/>
          <w:lang w:val="en-US"/>
        </w:rPr>
      </w:pPr>
    </w:p>
    <w:p w14:paraId="5580AE43" w14:textId="77777777" w:rsidR="004F6E57" w:rsidRDefault="004F6E57" w:rsidP="000D7ECE">
      <w:pPr>
        <w:spacing w:line="300" w:lineRule="auto"/>
        <w:jc w:val="both"/>
        <w:rPr>
          <w:rFonts w:cs="Times New Roman"/>
          <w:szCs w:val="24"/>
          <w:lang w:val="en-US"/>
        </w:rPr>
      </w:pPr>
    </w:p>
    <w:p w14:paraId="4E369750" w14:textId="77777777" w:rsidR="004F6E57" w:rsidRDefault="004F6E57" w:rsidP="000D7ECE">
      <w:pPr>
        <w:spacing w:line="300" w:lineRule="auto"/>
        <w:jc w:val="both"/>
        <w:rPr>
          <w:rFonts w:cs="Times New Roman"/>
          <w:szCs w:val="24"/>
          <w:lang w:val="en-US"/>
        </w:rPr>
      </w:pPr>
    </w:p>
    <w:p w14:paraId="01370945" w14:textId="77777777" w:rsidR="004F6E57" w:rsidRDefault="004F6E57" w:rsidP="000D7ECE">
      <w:pPr>
        <w:spacing w:line="300" w:lineRule="auto"/>
        <w:jc w:val="both"/>
        <w:rPr>
          <w:rFonts w:cs="Times New Roman"/>
          <w:szCs w:val="24"/>
          <w:lang w:val="en-US"/>
        </w:rPr>
      </w:pPr>
    </w:p>
    <w:p w14:paraId="280E793E" w14:textId="77777777" w:rsidR="004F6E57" w:rsidRDefault="004F6E57" w:rsidP="000D7ECE">
      <w:pPr>
        <w:spacing w:line="300" w:lineRule="auto"/>
        <w:jc w:val="both"/>
        <w:rPr>
          <w:rFonts w:cs="Times New Roman"/>
          <w:szCs w:val="24"/>
          <w:lang w:val="en-US"/>
        </w:rPr>
      </w:pPr>
    </w:p>
    <w:p w14:paraId="24C57B3E" w14:textId="77777777" w:rsidR="004F6E57" w:rsidRDefault="004F6E57" w:rsidP="000D7ECE">
      <w:pPr>
        <w:spacing w:line="300" w:lineRule="auto"/>
        <w:jc w:val="both"/>
        <w:rPr>
          <w:rFonts w:cs="Times New Roman"/>
          <w:szCs w:val="24"/>
          <w:lang w:val="en-US"/>
        </w:rPr>
      </w:pPr>
    </w:p>
    <w:p w14:paraId="2B23CAEA" w14:textId="77777777" w:rsidR="004F6E57" w:rsidRDefault="004F6E57" w:rsidP="000D7ECE">
      <w:pPr>
        <w:spacing w:line="300" w:lineRule="auto"/>
        <w:jc w:val="both"/>
        <w:rPr>
          <w:rFonts w:cs="Times New Roman"/>
          <w:szCs w:val="24"/>
          <w:lang w:val="en-US"/>
        </w:rPr>
      </w:pPr>
    </w:p>
    <w:p w14:paraId="19B81091" w14:textId="77777777" w:rsidR="004F6E57" w:rsidRDefault="004F6E57" w:rsidP="000D7ECE">
      <w:pPr>
        <w:spacing w:line="300" w:lineRule="auto"/>
        <w:jc w:val="both"/>
        <w:rPr>
          <w:rFonts w:cs="Times New Roman"/>
          <w:szCs w:val="24"/>
          <w:lang w:val="en-US"/>
        </w:rPr>
      </w:pPr>
    </w:p>
    <w:p w14:paraId="1A67F6E2" w14:textId="77777777" w:rsidR="004F6E57" w:rsidRDefault="004F6E57" w:rsidP="000D7ECE">
      <w:pPr>
        <w:spacing w:line="300" w:lineRule="auto"/>
        <w:jc w:val="both"/>
        <w:rPr>
          <w:rFonts w:cs="Times New Roman"/>
          <w:szCs w:val="24"/>
          <w:lang w:val="en-US"/>
        </w:rPr>
      </w:pPr>
    </w:p>
    <w:p w14:paraId="43E8D782" w14:textId="77777777" w:rsidR="00DD7AF6" w:rsidRDefault="00DD7AF6" w:rsidP="000D7ECE">
      <w:pPr>
        <w:spacing w:line="300" w:lineRule="auto"/>
        <w:jc w:val="both"/>
        <w:rPr>
          <w:rFonts w:cs="Times New Roman"/>
          <w:szCs w:val="24"/>
          <w:lang w:val="en-US"/>
        </w:rPr>
      </w:pPr>
    </w:p>
    <w:p w14:paraId="478B36A0" w14:textId="77777777" w:rsidR="009427B3" w:rsidRDefault="009427B3" w:rsidP="000D7ECE">
      <w:pPr>
        <w:spacing w:line="300" w:lineRule="auto"/>
        <w:jc w:val="both"/>
        <w:rPr>
          <w:rFonts w:cs="Times New Roman"/>
          <w:szCs w:val="24"/>
          <w:lang w:val="en-US"/>
        </w:rPr>
      </w:pPr>
    </w:p>
    <w:p w14:paraId="651D40A8" w14:textId="77777777" w:rsidR="00DD7AF6" w:rsidRPr="00802F1A" w:rsidRDefault="00DD7AF6" w:rsidP="000D7ECE">
      <w:pPr>
        <w:spacing w:line="300" w:lineRule="auto"/>
        <w:jc w:val="both"/>
        <w:rPr>
          <w:rFonts w:cs="Times New Roman"/>
          <w:szCs w:val="24"/>
          <w:lang w:val="en-US"/>
        </w:rPr>
      </w:pPr>
    </w:p>
    <w:p w14:paraId="66CE7153" w14:textId="77777777" w:rsidR="00477727" w:rsidRPr="00802F1A" w:rsidRDefault="00477727" w:rsidP="00410011">
      <w:pPr>
        <w:pStyle w:val="Heading1"/>
        <w:rPr>
          <w:lang w:val="en-US"/>
        </w:rPr>
      </w:pPr>
      <w:r w:rsidRPr="00802F1A">
        <w:rPr>
          <w:lang w:val="en-US"/>
        </w:rPr>
        <w:lastRenderedPageBreak/>
        <w:t>Introduction</w:t>
      </w:r>
    </w:p>
    <w:p w14:paraId="3310B9E8" w14:textId="17667A9A" w:rsidR="001623FC" w:rsidRPr="00802F1A" w:rsidRDefault="001623FC" w:rsidP="001D32F7">
      <w:pPr>
        <w:jc w:val="both"/>
        <w:rPr>
          <w:noProof/>
        </w:rPr>
      </w:pPr>
      <w:r w:rsidRPr="00802F1A">
        <w:rPr>
          <w:noProof/>
        </w:rPr>
        <w:t xml:space="preserve">Energy is a fundamental requirement for the functioning of various industries and services. The major energy sources today include crude oil, petroleum, natural gas, nuclear power, coal, and renewable energy. Among these, fossil fuels account for </w:t>
      </w:r>
      <w:r w:rsidR="00A67F24" w:rsidRPr="00802F1A">
        <w:rPr>
          <w:noProof/>
        </w:rPr>
        <w:t>80% of total energy consumption</w:t>
      </w:r>
      <w:r w:rsidR="00A67F24" w:rsidRPr="00802F1A">
        <w:rPr>
          <w:rStyle w:val="FootnoteReference"/>
          <w:noProof/>
        </w:rPr>
        <w:footnoteReference w:id="2"/>
      </w:r>
      <w:r w:rsidR="00A67F24" w:rsidRPr="00802F1A">
        <w:rPr>
          <w:noProof/>
        </w:rPr>
        <w:t xml:space="preserve">. </w:t>
      </w:r>
      <w:r w:rsidRPr="00802F1A">
        <w:rPr>
          <w:noProof/>
        </w:rPr>
        <w:t xml:space="preserve">With increasing industrialization and economic modernization, global energy usage has consistently grown over the past few </w:t>
      </w:r>
      <w:r w:rsidR="00305375" w:rsidRPr="00802F1A">
        <w:rPr>
          <w:noProof/>
          <w:lang w:val="vi-VN"/>
        </w:rPr>
        <w:t>decades</w:t>
      </w:r>
      <w:r w:rsidR="00305375" w:rsidRPr="00802F1A">
        <w:rPr>
          <w:rStyle w:val="FootnoteReference"/>
          <w:noProof/>
        </w:rPr>
        <w:footnoteReference w:id="3"/>
      </w:r>
      <w:r w:rsidRPr="00802F1A">
        <w:rPr>
          <w:noProof/>
        </w:rPr>
        <w:t xml:space="preserve"> and is projected to increase by </w:t>
      </w:r>
      <w:r w:rsidR="00A67F24" w:rsidRPr="00802F1A">
        <w:rPr>
          <w:noProof/>
        </w:rPr>
        <w:t>30% by 2040</w:t>
      </w:r>
      <w:r w:rsidR="00A67F24" w:rsidRPr="00802F1A">
        <w:rPr>
          <w:rStyle w:val="FootnoteReference"/>
          <w:noProof/>
        </w:rPr>
        <w:footnoteReference w:id="4"/>
      </w:r>
      <w:r w:rsidRPr="00802F1A">
        <w:rPr>
          <w:noProof/>
        </w:rPr>
        <w:t>. However, fossil fuel energy sources are finite, harmful to the environment, and susceptible to geopolitical uncertainties (e.g., conflicts like the Russia-Ukraine war) and disruptions in the supply chain (e.g., the Covid pandemic). Reliance on a single fossil fuel energy source poses significant risks to economies</w:t>
      </w:r>
      <w:r w:rsidR="00CF2BCA" w:rsidRPr="00802F1A">
        <w:rPr>
          <w:rStyle w:val="FootnoteReference"/>
          <w:noProof/>
        </w:rPr>
        <w:footnoteReference w:id="5"/>
      </w:r>
      <w:r w:rsidRPr="00802F1A">
        <w:rPr>
          <w:noProof/>
        </w:rPr>
        <w:t>.</w:t>
      </w:r>
    </w:p>
    <w:p w14:paraId="01991CD4" w14:textId="77777777" w:rsidR="00B93A84" w:rsidRPr="00802F1A" w:rsidRDefault="00B93A84" w:rsidP="001D32F7">
      <w:pPr>
        <w:jc w:val="both"/>
        <w:rPr>
          <w:noProof/>
        </w:rPr>
      </w:pPr>
    </w:p>
    <w:p w14:paraId="6F65620C" w14:textId="0F06FD4C" w:rsidR="00B93A84" w:rsidRPr="00802F1A" w:rsidRDefault="00B93A84" w:rsidP="00B93A84">
      <w:pPr>
        <w:jc w:val="both"/>
        <w:rPr>
          <w:noProof/>
        </w:rPr>
      </w:pPr>
      <w:r w:rsidRPr="00802F1A">
        <w:rPr>
          <w:noProof/>
        </w:rPr>
        <w:t xml:space="preserve">Energy diversification, which involves balancing multiple energy sources, is crucial for maintaining uninterrupted functioning of an economy. By diversifying energy sources, the risk of disruption is reduced as it is unlikely that all energy sources would simultaneously fail or become scarce. It is important to note that relying solely on renewable energy sources, which are inexhaustible and carbon-free, is insufficient to meet future energy </w:t>
      </w:r>
      <w:r w:rsidR="002F5526" w:rsidRPr="00802F1A">
        <w:rPr>
          <w:noProof/>
        </w:rPr>
        <w:t>needs</w:t>
      </w:r>
      <w:r w:rsidR="002F5526" w:rsidRPr="00802F1A">
        <w:rPr>
          <w:rStyle w:val="FootnoteReference"/>
          <w:noProof/>
        </w:rPr>
        <w:footnoteReference w:id="6"/>
      </w:r>
      <w:r w:rsidRPr="00802F1A">
        <w:rPr>
          <w:noProof/>
        </w:rPr>
        <w:t xml:space="preserve">. Achieving sustainable energy development and a sustainable future for the planet, as outlined in the United Nations' Sustainable Development Goal 7, requires a shift towards renewable energy sources through energy diversification </w:t>
      </w:r>
      <w:r w:rsidR="004F33E9" w:rsidRPr="00802F1A">
        <w:rPr>
          <w:noProof/>
        </w:rPr>
        <w:fldChar w:fldCharType="begin"/>
      </w:r>
      <w:r w:rsidR="004F33E9" w:rsidRPr="00802F1A">
        <w:rPr>
          <w:noProof/>
        </w:rPr>
        <w:instrText xml:space="preserve"> ADDIN EN.CITE &lt;EndNote&gt;&lt;Cite&gt;&lt;Author&gt;De Rosa&lt;/Author&gt;&lt;Year&gt;2022&lt;/Year&gt;&lt;RecNum&gt;1708&lt;/RecNum&gt;&lt;DisplayText&gt;(De Rosa&lt;style face="italic"&gt; et al.&lt;/style&gt;, 2022)&lt;/DisplayText&gt;&lt;record&gt;&lt;rec-number&gt;1708&lt;/rec-number&gt;&lt;foreign-keys&gt;&lt;key app="EN" db-id="esvrve9x1d0a5gerpeuprwp0vtp2zxx2ssr9" timestamp="1654310799"&gt;1708&lt;/key&gt;&lt;/foreign-keys&gt;&lt;ref-type name="Journal Article"&gt;17&lt;/ref-type&gt;&lt;contributors&gt;&lt;authors&gt;&lt;author&gt;De Rosa, Mattia&lt;/author&gt;&lt;author&gt;Gainsford, Kenneth&lt;/author&gt;&lt;author&gt;Pallonetto, Fabiano&lt;/author&gt;&lt;author&gt;Finn, Donal P.&lt;/author&gt;&lt;/authors&gt;&lt;/contributors&gt;&lt;titles&gt;&lt;title&gt;Diversification, concentration and renewability of the energy supply in the European Union&lt;/title&gt;&lt;secondary-title&gt;Energy&lt;/secondary-title&gt;&lt;/titles&gt;&lt;periodical&gt;&lt;full-title&gt;Energy&lt;/full-title&gt;&lt;/periodical&gt;&lt;pages&gt;124097&lt;/pages&gt;&lt;volume&gt;253&lt;/volume&gt;&lt;keywords&gt;&lt;keyword&gt;Energy security&lt;/keyword&gt;&lt;keyword&gt;Diversity&lt;/keyword&gt;&lt;keyword&gt;Dependence&lt;/keyword&gt;&lt;keyword&gt;Renewable energy&lt;/keyword&gt;&lt;keyword&gt;Import dependency&lt;/keyword&gt;&lt;keyword&gt;Resources&lt;/keyword&gt;&lt;/keywords&gt;&lt;dates&gt;&lt;year&gt;2022&lt;/year&gt;&lt;pub-dates&gt;&lt;date&gt;2022/08/15/&lt;/date&gt;&lt;/pub-dates&gt;&lt;/dates&gt;&lt;isbn&gt;0360-5442&lt;/isbn&gt;&lt;urls&gt;&lt;related-urls&gt;&lt;url&gt;https://www.sciencedirect.com/science/article/pii/S0360544222010003&lt;/url&gt;&lt;/related-urls&gt;&lt;/urls&gt;&lt;electronic-resource-num&gt;https://doi.org/10.1016/j.energy.2022.124097&lt;/electronic-resource-num&gt;&lt;/record&gt;&lt;/Cite&gt;&lt;/EndNote&gt;</w:instrText>
      </w:r>
      <w:r w:rsidR="004F33E9" w:rsidRPr="00802F1A">
        <w:rPr>
          <w:noProof/>
        </w:rPr>
        <w:fldChar w:fldCharType="separate"/>
      </w:r>
      <w:r w:rsidR="004F33E9" w:rsidRPr="00802F1A">
        <w:rPr>
          <w:noProof/>
        </w:rPr>
        <w:t>(De Rosa</w:t>
      </w:r>
      <w:r w:rsidR="004F33E9" w:rsidRPr="00802F1A">
        <w:rPr>
          <w:i/>
          <w:noProof/>
        </w:rPr>
        <w:t xml:space="preserve"> et al.</w:t>
      </w:r>
      <w:r w:rsidR="004F33E9" w:rsidRPr="00802F1A">
        <w:rPr>
          <w:noProof/>
        </w:rPr>
        <w:t>, 2022)</w:t>
      </w:r>
      <w:r w:rsidR="004F33E9" w:rsidRPr="00802F1A">
        <w:rPr>
          <w:noProof/>
        </w:rPr>
        <w:fldChar w:fldCharType="end"/>
      </w:r>
      <w:r w:rsidR="004F33E9" w:rsidRPr="00802F1A">
        <w:rPr>
          <w:noProof/>
        </w:rPr>
        <w:t>.</w:t>
      </w:r>
    </w:p>
    <w:p w14:paraId="1F6F618B" w14:textId="77777777" w:rsidR="00B93A84" w:rsidRPr="00802F1A" w:rsidRDefault="00B93A84" w:rsidP="00B93A84">
      <w:pPr>
        <w:jc w:val="both"/>
        <w:rPr>
          <w:noProof/>
        </w:rPr>
      </w:pPr>
    </w:p>
    <w:p w14:paraId="44B7D367" w14:textId="12466B3C" w:rsidR="00B93A84" w:rsidRPr="00802F1A" w:rsidRDefault="00B93A84" w:rsidP="00B93A84">
      <w:pPr>
        <w:jc w:val="both"/>
        <w:rPr>
          <w:noProof/>
        </w:rPr>
      </w:pPr>
      <w:r w:rsidRPr="00802F1A">
        <w:rPr>
          <w:noProof/>
        </w:rPr>
        <w:t>However, diversifying energy sources necessitates significant investments in complex energy technologies and infrastructure. Achieving this diversification is dependent on long-term financial support and payment services provided by financial systems</w:t>
      </w:r>
      <w:r w:rsidR="00AD27AA" w:rsidRPr="00802F1A">
        <w:rPr>
          <w:noProof/>
        </w:rPr>
        <w:t xml:space="preserve"> </w:t>
      </w:r>
      <w:r w:rsidR="00AD27AA" w:rsidRPr="00802F1A">
        <w:rPr>
          <w:noProof/>
          <w:lang w:val="en-US"/>
        </w:rPr>
        <w:fldChar w:fldCharType="begin"/>
      </w:r>
      <w:r w:rsidR="00AD27AA" w:rsidRPr="00802F1A">
        <w:rPr>
          <w:noProof/>
          <w:lang w:val="en-US"/>
        </w:rPr>
        <w:instrText xml:space="preserve"> ADDIN EN.CITE &lt;EndNote&gt;&lt;Cite&gt;&lt;Author&gt;Ji&lt;/Author&gt;&lt;Year&gt;2019&lt;/Year&gt;&lt;RecNum&gt;1720&lt;/RecNum&gt;&lt;DisplayText&gt;(Peimani, 2018, Ji and Zhang, 2019)&lt;/DisplayText&gt;&lt;record&gt;&lt;rec-number&gt;1720&lt;/rec-number&gt;&lt;foreign-keys&gt;&lt;key app="EN" db-id="esvrve9x1d0a5gerpeuprwp0vtp2zxx2ssr9" timestamp="1654874218"&gt;1720&lt;/key&gt;&lt;/foreign-keys&gt;&lt;ref-type name="Journal Article"&gt;17&lt;/ref-type&gt;&lt;contributors&gt;&lt;authors&gt;&lt;author&gt;Ji, Qiang&lt;/author&gt;&lt;author&gt;Zhang, Dayong&lt;/author&gt;&lt;/authors&gt;&lt;/contributors&gt;&lt;titles&gt;&lt;title&gt;How much does financial development contribute to renewable energy growth and upgrading of energy structure in China?&lt;/title&gt;&lt;secondary-title&gt;Energy Policy&lt;/secondary-title&gt;&lt;/titles&gt;&lt;periodical&gt;&lt;full-title&gt;Energy Policy&lt;/full-title&gt;&lt;/periodical&gt;&lt;pages&gt;114-124&lt;/pages&gt;&lt;volume&gt;128&lt;/volume&gt;&lt;keywords&gt;&lt;keyword&gt;Energy revolution&lt;/keyword&gt;&lt;keyword&gt;Energy structure&lt;/keyword&gt;&lt;keyword&gt;Financial development&lt;/keyword&gt;&lt;keyword&gt;Renewable energy growth&lt;/keyword&gt;&lt;/keywords&gt;&lt;dates&gt;&lt;year&gt;2019&lt;/year&gt;&lt;pub-dates&gt;&lt;date&gt;2019/05/01/&lt;/date&gt;&lt;/pub-dates&gt;&lt;/dates&gt;&lt;isbn&gt;0301-4215&lt;/isbn&gt;&lt;urls&gt;&lt;related-urls&gt;&lt;url&gt;https://www.sciencedirect.com/science/article/pii/S0301421518308516&lt;/url&gt;&lt;/related-urls&gt;&lt;/urls&gt;&lt;electronic-resource-num&gt;https://doi.org/10.1016/j.enpol.2018.12.047&lt;/electronic-resource-num&gt;&lt;/record&gt;&lt;/Cite&gt;&lt;Cite&gt;&lt;Author&gt;Peimani&lt;/Author&gt;&lt;Year&gt;2018&lt;/Year&gt;&lt;RecNum&gt;1722&lt;/RecNum&gt;&lt;record&gt;&lt;rec-number&gt;1722&lt;/rec-number&gt;&lt;foreign-keys&gt;&lt;key app="EN" db-id="esvrve9x1d0a5gerpeuprwp0vtp2zxx2ssr9" timestamp="1655171512"&gt;1722&lt;/key&gt;&lt;/foreign-keys&gt;&lt;ref-type name="Report"&gt;27&lt;/ref-type&gt;&lt;contributors&gt;&lt;authors&gt;&lt;author&gt;Peimani, Hooman&lt;/author&gt;&lt;/authors&gt;&lt;/contributors&gt;&lt;titles&gt;&lt;title&gt;Financial barriers to development of renewable and green energy projects in Asia&lt;/title&gt;&lt;/titles&gt;&lt;dates&gt;&lt;year&gt;2018&lt;/year&gt;&lt;/dates&gt;&lt;publisher&gt;ADBI Working Paper&lt;/publisher&gt;&lt;urls&gt;&lt;/urls&gt;&lt;/record&gt;&lt;/Cite&gt;&lt;/EndNote&gt;</w:instrText>
      </w:r>
      <w:r w:rsidR="00AD27AA" w:rsidRPr="00802F1A">
        <w:rPr>
          <w:noProof/>
          <w:lang w:val="en-US"/>
        </w:rPr>
        <w:fldChar w:fldCharType="separate"/>
      </w:r>
      <w:r w:rsidR="00AD27AA" w:rsidRPr="00802F1A">
        <w:rPr>
          <w:noProof/>
          <w:lang w:val="en-US"/>
        </w:rPr>
        <w:t>(Peimani, 2018, Ji and Zhang, 2019)</w:t>
      </w:r>
      <w:r w:rsidR="00AD27AA" w:rsidRPr="00802F1A">
        <w:rPr>
          <w:noProof/>
          <w:lang w:val="en-US"/>
        </w:rPr>
        <w:fldChar w:fldCharType="end"/>
      </w:r>
      <w:r w:rsidR="005C0DE5" w:rsidRPr="00802F1A">
        <w:rPr>
          <w:noProof/>
          <w:lang w:val="en-US"/>
        </w:rPr>
        <w:t>.</w:t>
      </w:r>
      <w:r w:rsidRPr="00802F1A">
        <w:rPr>
          <w:noProof/>
        </w:rPr>
        <w:t xml:space="preserve"> Financial capital plays a crucial role in facilitating the transition from fossil fuels to modern renewable energy sources </w:t>
      </w:r>
      <w:r w:rsidR="00C90938" w:rsidRPr="00802F1A">
        <w:rPr>
          <w:rFonts w:eastAsiaTheme="majorEastAsia" w:cstheme="majorBidi"/>
          <w:iCs/>
          <w:szCs w:val="24"/>
          <w:lang w:val="en-US"/>
        </w:rPr>
        <w:fldChar w:fldCharType="begin"/>
      </w:r>
      <w:r w:rsidR="00C90938" w:rsidRPr="00802F1A">
        <w:rPr>
          <w:rFonts w:eastAsiaTheme="majorEastAsia" w:cstheme="majorBidi"/>
          <w:iCs/>
          <w:szCs w:val="24"/>
          <w:lang w:val="en-US"/>
        </w:rPr>
        <w:instrText xml:space="preserve"> ADDIN EN.CITE &lt;EndNote&gt;&lt;Cite&gt;&lt;Author&gt;Best&lt;/Author&gt;&lt;Year&gt;2017&lt;/Year&gt;&lt;RecNum&gt;1729&lt;/RecNum&gt;&lt;DisplayText&gt;(Best, 2017)&lt;/DisplayText&gt;&lt;record&gt;&lt;rec-number&gt;1729&lt;/rec-number&gt;&lt;foreign-keys&gt;&lt;key app="EN" db-id="esvrve9x1d0a5gerpeuprwp0vtp2zxx2ssr9" timestamp="1655307129"&gt;1729&lt;/key&gt;&lt;/foreign-keys&gt;&lt;ref-type name="Journal Article"&gt;17&lt;/ref-type&gt;&lt;contributors&gt;&lt;authors&gt;&lt;author&gt;Best, Rohan&lt;/author&gt;&lt;/authors&gt;&lt;/contributors&gt;&lt;titles&gt;&lt;title&gt;Switching towards coal or renewable energy? The effects of financial capital on energy transitions&lt;/title&gt;&lt;secondary-title&gt;Energy Economics&lt;/secondary-title&gt;&lt;/titles&gt;&lt;periodical&gt;&lt;full-title&gt;Energy Economics&lt;/full-title&gt;&lt;/periodical&gt;&lt;pages&gt;75-83&lt;/pages&gt;&lt;volume&gt;63&lt;/volume&gt;&lt;dates&gt;&lt;year&gt;2017&lt;/year&gt;&lt;/dates&gt;&lt;publisher&gt;Elsevier&lt;/publisher&gt;&lt;isbn&gt;0140-9883&lt;/isbn&gt;&lt;urls&gt;&lt;/urls&gt;&lt;/record&gt;&lt;/Cite&gt;&lt;/EndNote&gt;</w:instrText>
      </w:r>
      <w:r w:rsidR="00C90938" w:rsidRPr="00802F1A">
        <w:rPr>
          <w:rFonts w:eastAsiaTheme="majorEastAsia" w:cstheme="majorBidi"/>
          <w:iCs/>
          <w:szCs w:val="24"/>
          <w:lang w:val="en-US"/>
        </w:rPr>
        <w:fldChar w:fldCharType="separate"/>
      </w:r>
      <w:r w:rsidR="00C90938" w:rsidRPr="00802F1A">
        <w:rPr>
          <w:rFonts w:eastAsiaTheme="majorEastAsia" w:cstheme="majorBidi"/>
          <w:iCs/>
          <w:noProof/>
          <w:szCs w:val="24"/>
          <w:lang w:val="en-US"/>
        </w:rPr>
        <w:t>(Best, 2017)</w:t>
      </w:r>
      <w:r w:rsidR="00C90938" w:rsidRPr="00802F1A">
        <w:rPr>
          <w:rFonts w:eastAsiaTheme="majorEastAsia" w:cstheme="majorBidi"/>
          <w:iCs/>
          <w:szCs w:val="24"/>
          <w:lang w:val="en-US"/>
        </w:rPr>
        <w:fldChar w:fldCharType="end"/>
      </w:r>
      <w:r w:rsidRPr="00802F1A">
        <w:rPr>
          <w:noProof/>
        </w:rPr>
        <w:t xml:space="preserve">. However, financial systems are often hesitant to finance renewable energy projects due to the high risk and low return associated with these projects </w:t>
      </w:r>
      <w:r w:rsidR="002D7E4F" w:rsidRPr="00802F1A">
        <w:rPr>
          <w:rFonts w:eastAsiaTheme="majorEastAsia" w:cstheme="majorBidi"/>
          <w:iCs/>
          <w:szCs w:val="24"/>
          <w:lang w:val="en-US"/>
        </w:rPr>
        <w:fldChar w:fldCharType="begin"/>
      </w:r>
      <w:r w:rsidR="002D7E4F" w:rsidRPr="00802F1A">
        <w:rPr>
          <w:rFonts w:eastAsiaTheme="majorEastAsia" w:cstheme="majorBidi"/>
          <w:iCs/>
          <w:szCs w:val="24"/>
          <w:lang w:val="en-US"/>
        </w:rPr>
        <w:instrText xml:space="preserve"> ADDIN EN.CITE &lt;EndNote&gt;&lt;Cite&gt;&lt;Author&gt;Peimani&lt;/Author&gt;&lt;Year&gt;2018&lt;/Year&gt;&lt;RecNum&gt;1722&lt;/RecNum&gt;&lt;DisplayText&gt;(Peimani, 2018)&lt;/DisplayText&gt;&lt;record&gt;&lt;rec-number&gt;1722&lt;/rec-number&gt;&lt;foreign-keys&gt;&lt;key app="EN" db-id="esvrve9x1d0a5gerpeuprwp0vtp2zxx2ssr9" timestamp="1655171512"&gt;1722&lt;/key&gt;&lt;/foreign-keys&gt;&lt;ref-type name="Report"&gt;27&lt;/ref-type&gt;&lt;contributors&gt;&lt;authors&gt;&lt;author&gt;Peimani, Hooman&lt;/author&gt;&lt;/authors&gt;&lt;/contributors&gt;&lt;titles&gt;&lt;title&gt;Financial barriers to development of renewable and green energy projects in Asia&lt;/title&gt;&lt;/titles&gt;&lt;dates&gt;&lt;year&gt;2018&lt;/year&gt;&lt;/dates&gt;&lt;publisher&gt;ADBI Working Paper&lt;/publisher&gt;&lt;urls&gt;&lt;/urls&gt;&lt;/record&gt;&lt;/Cite&gt;&lt;/EndNote&gt;</w:instrText>
      </w:r>
      <w:r w:rsidR="002D7E4F" w:rsidRPr="00802F1A">
        <w:rPr>
          <w:rFonts w:eastAsiaTheme="majorEastAsia" w:cstheme="majorBidi"/>
          <w:iCs/>
          <w:szCs w:val="24"/>
          <w:lang w:val="en-US"/>
        </w:rPr>
        <w:fldChar w:fldCharType="separate"/>
      </w:r>
      <w:r w:rsidR="002D7E4F" w:rsidRPr="00802F1A">
        <w:rPr>
          <w:rFonts w:eastAsiaTheme="majorEastAsia" w:cstheme="majorBidi"/>
          <w:iCs/>
          <w:noProof/>
          <w:szCs w:val="24"/>
          <w:lang w:val="en-US"/>
        </w:rPr>
        <w:t>(Peimani, 2018)</w:t>
      </w:r>
      <w:r w:rsidR="002D7E4F" w:rsidRPr="00802F1A">
        <w:rPr>
          <w:rFonts w:eastAsiaTheme="majorEastAsia" w:cstheme="majorBidi"/>
          <w:iCs/>
          <w:szCs w:val="24"/>
          <w:lang w:val="en-US"/>
        </w:rPr>
        <w:fldChar w:fldCharType="end"/>
      </w:r>
      <w:r w:rsidRPr="00802F1A">
        <w:rPr>
          <w:noProof/>
        </w:rPr>
        <w:t>. Establishing mutually reinforced relationships between energy diversification, per-capita income, and financial development can lead to synergies, including stable energy supply, robust financial services, and strong economic growth.</w:t>
      </w:r>
    </w:p>
    <w:p w14:paraId="5050796F" w14:textId="3075ADBA" w:rsidR="009373C6" w:rsidRPr="00802F1A" w:rsidRDefault="009373C6" w:rsidP="009373C6">
      <w:pPr>
        <w:jc w:val="both"/>
        <w:rPr>
          <w:noProof/>
        </w:rPr>
      </w:pPr>
      <w:r w:rsidRPr="00802F1A">
        <w:rPr>
          <w:noProof/>
        </w:rPr>
        <w:lastRenderedPageBreak/>
        <w:t xml:space="preserve">Technological advancements play a crucial role in driving economic development by reducing energy insecurity and enhancing economic and financial performance. As countries progress, there is a possibility of achieving a common steady-state equilibrium in energy diversification, per-capita income, and financial development. Although technologically leading countries have witnessed slower technology innovation </w:t>
      </w:r>
      <w:r w:rsidR="007F6675" w:rsidRPr="00802F1A">
        <w:rPr>
          <w:noProof/>
          <w:lang w:val="vi-VN"/>
        </w:rPr>
        <w:fldChar w:fldCharType="begin"/>
      </w:r>
      <w:r w:rsidR="007F6675" w:rsidRPr="00802F1A">
        <w:rPr>
          <w:noProof/>
          <w:lang w:val="vi-VN"/>
        </w:rPr>
        <w:instrText xml:space="preserve"> ADDIN EN.CITE &lt;EndNote&gt;&lt;Cite&gt;&lt;Author&gt;Chiara&lt;/Author&gt;&lt;Year&gt;2016&lt;/Year&gt;&lt;RecNum&gt;1678&lt;/RecNum&gt;&lt;DisplayText&gt;(Chiara&lt;style face="italic"&gt; et al.&lt;/style&gt;, 2016, Callaghan, 2021)&lt;/DisplayText&gt;&lt;record&gt;&lt;rec-number&gt;1678&lt;/rec-number&gt;&lt;foreign-keys&gt;&lt;key app="EN" db-id="esvrve9x1d0a5gerpeuprwp0vtp2zxx2ssr9" timestamp="1653725496"&gt;1678&lt;/key&gt;&lt;/foreign-keys&gt;&lt;ref-type name="Journal Article"&gt;17&lt;/ref-type&gt;&lt;contributors&gt;&lt;authors&gt;&lt;author&gt;Chiara, Criscuolo&lt;/author&gt;&lt;author&gt;Dan, Andrews&lt;/author&gt;&lt;author&gt;Peter, N. Gal&lt;/author&gt;&lt;/authors&gt;&lt;/contributors&gt;&lt;titles&gt;&lt;title&gt;The global productivity slowdown, technology divergence, and public policy: A firm level perspective&lt;/title&gt;&lt;secondary-title&gt;Hutchins Center Working Papers&lt;/secondary-title&gt;&lt;/titles&gt;&lt;periodical&gt;&lt;full-title&gt;Hutchins Center Working Papers&lt;/full-title&gt;&lt;/periodical&gt;&lt;keywords&gt;&lt;keyword&gt;Global economy&lt;/keyword&gt;&lt;keyword&gt;Productivity measurement&lt;/keyword&gt;&lt;keyword&gt;Public policy&lt;/keyword&gt;&lt;/keywords&gt;&lt;dates&gt;&lt;year&gt;2016&lt;/year&gt;&lt;/dates&gt;&lt;pub-location&gt;Washington&lt;/pub-location&gt;&lt;publisher&gt;The Brookings Institution&lt;/publisher&gt;&lt;urls&gt;&lt;/urls&gt;&lt;/record&gt;&lt;/Cite&gt;&lt;Cite&gt;&lt;Author&gt;Callaghan&lt;/Author&gt;&lt;Year&gt;2021&lt;/Year&gt;&lt;RecNum&gt;1679&lt;/RecNum&gt;&lt;record&gt;&lt;rec-number&gt;1679&lt;/rec-number&gt;&lt;foreign-keys&gt;&lt;key app="EN" db-id="esvrve9x1d0a5gerpeuprwp0vtp2zxx2ssr9" timestamp="1653726062"&gt;1679&lt;/key&gt;&lt;/foreign-keys&gt;&lt;ref-type name="Journal Article"&gt;17&lt;/ref-type&gt;&lt;contributors&gt;&lt;authors&gt;&lt;author&gt;Callaghan, Chris William&lt;/author&gt;&lt;/authors&gt;&lt;/contributors&gt;&lt;titles&gt;&lt;title&gt;Lessons and insights from the global productivity slowdown: A research management agenda&lt;/title&gt;&lt;secondary-title&gt;African journal of science, technology, innovation and development&lt;/secondary-title&gt;&lt;/titles&gt;&lt;periodical&gt;&lt;full-title&gt;African journal of science, technology, innovation and development&lt;/full-title&gt;&lt;/periodical&gt;&lt;pages&gt;1-9&lt;/pages&gt;&lt;dates&gt;&lt;year&gt;2021&lt;/year&gt;&lt;/dates&gt;&lt;isbn&gt;2042-1338&lt;/isbn&gt;&lt;urls&gt;&lt;/urls&gt;&lt;electronic-resource-num&gt;10.1080/20421338.2021.1945775&lt;/electronic-resource-num&gt;&lt;/record&gt;&lt;/Cite&gt;&lt;/EndNote&gt;</w:instrText>
      </w:r>
      <w:r w:rsidR="007F6675" w:rsidRPr="00802F1A">
        <w:rPr>
          <w:noProof/>
          <w:lang w:val="vi-VN"/>
        </w:rPr>
        <w:fldChar w:fldCharType="separate"/>
      </w:r>
      <w:r w:rsidR="007F6675" w:rsidRPr="00802F1A">
        <w:rPr>
          <w:noProof/>
          <w:lang w:val="vi-VN"/>
        </w:rPr>
        <w:t>(Chiara</w:t>
      </w:r>
      <w:r w:rsidR="007F6675" w:rsidRPr="00802F1A">
        <w:rPr>
          <w:i/>
          <w:noProof/>
          <w:lang w:val="vi-VN"/>
        </w:rPr>
        <w:t xml:space="preserve"> et al.</w:t>
      </w:r>
      <w:r w:rsidR="007F6675" w:rsidRPr="00802F1A">
        <w:rPr>
          <w:noProof/>
          <w:lang w:val="vi-VN"/>
        </w:rPr>
        <w:t>, 2016, Callaghan, 2021)</w:t>
      </w:r>
      <w:r w:rsidR="007F6675" w:rsidRPr="00802F1A">
        <w:rPr>
          <w:noProof/>
          <w:lang w:val="vi-VN"/>
        </w:rPr>
        <w:fldChar w:fldCharType="end"/>
      </w:r>
      <w:r w:rsidRPr="00802F1A">
        <w:rPr>
          <w:noProof/>
        </w:rPr>
        <w:t xml:space="preserve">, there are significant opportunities for countries that have lagged behind. Copying existing technologies can be more cost-effective than developing new innovations within a certain range </w:t>
      </w:r>
      <w:r w:rsidR="0052377A" w:rsidRPr="00802F1A">
        <w:rPr>
          <w:noProof/>
          <w:lang w:val="vi-VN"/>
        </w:rPr>
        <w:fldChar w:fldCharType="begin">
          <w:fldData xml:space="preserve">PEVuZE5vdGU+PENpdGU+PEF1dGhvcj5CYXJybzwvQXV0aG9yPjxZZWFyPjE5OTc8L1llYXI+PFJl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</w:fldData>
        </w:fldChar>
      </w:r>
      <w:r w:rsidR="0052377A" w:rsidRPr="00802F1A">
        <w:rPr>
          <w:noProof/>
          <w:lang w:val="vi-VN"/>
        </w:rPr>
        <w:instrText xml:space="preserve"> ADDIN EN.CITE </w:instrText>
      </w:r>
      <w:r w:rsidR="0052377A" w:rsidRPr="00802F1A">
        <w:rPr>
          <w:noProof/>
          <w:lang w:val="vi-VN"/>
        </w:rPr>
        <w:fldChar w:fldCharType="begin">
          <w:fldData xml:space="preserve">PEVuZE5vdGU+PENpdGU+PEF1dGhvcj5CYXJybzwvQXV0aG9yPjxZZWFyPjE5OTc8L1llYXI+PFJl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</w:fldData>
        </w:fldChar>
      </w:r>
      <w:r w:rsidR="0052377A" w:rsidRPr="00802F1A">
        <w:rPr>
          <w:noProof/>
          <w:lang w:val="vi-VN"/>
        </w:rPr>
        <w:instrText xml:space="preserve"> ADDIN EN.CITE.DATA </w:instrText>
      </w:r>
      <w:r w:rsidR="0052377A" w:rsidRPr="00802F1A">
        <w:rPr>
          <w:noProof/>
          <w:lang w:val="vi-VN"/>
        </w:rPr>
      </w:r>
      <w:r w:rsidR="0052377A" w:rsidRPr="00802F1A">
        <w:rPr>
          <w:noProof/>
          <w:lang w:val="vi-VN"/>
        </w:rPr>
        <w:fldChar w:fldCharType="end"/>
      </w:r>
      <w:r w:rsidR="0052377A" w:rsidRPr="00802F1A">
        <w:rPr>
          <w:noProof/>
          <w:lang w:val="vi-VN"/>
        </w:rPr>
      </w:r>
      <w:r w:rsidR="0052377A" w:rsidRPr="00802F1A">
        <w:rPr>
          <w:noProof/>
          <w:lang w:val="vi-VN"/>
        </w:rPr>
        <w:fldChar w:fldCharType="separate"/>
      </w:r>
      <w:r w:rsidR="0052377A" w:rsidRPr="00802F1A">
        <w:rPr>
          <w:noProof/>
          <w:lang w:val="vi-VN"/>
        </w:rPr>
        <w:t>(Barro and Sala-i-Martin, 1997, Rubio and Folchi, 2012)</w:t>
      </w:r>
      <w:r w:rsidR="0052377A" w:rsidRPr="00802F1A">
        <w:rPr>
          <w:noProof/>
          <w:lang w:val="vi-VN"/>
        </w:rPr>
        <w:fldChar w:fldCharType="end"/>
      </w:r>
      <w:r w:rsidRPr="00802F1A">
        <w:rPr>
          <w:noProof/>
        </w:rPr>
        <w:t xml:space="preserve">. The process of technological diffusion, accelerated by increasing global and regional economic and financial integration, can particularly benefit countries that are lagging behind, leading to a reduction in divergence from leading countries. Consequently, a common steady-state equilibrium in energy diversification, per-capita income, and financial development among countries may be achieved </w:t>
      </w:r>
      <w:r w:rsidR="00EE0242" w:rsidRPr="00802F1A">
        <w:rPr>
          <w:noProof/>
        </w:rPr>
        <w:t>sooner</w:t>
      </w:r>
      <w:r w:rsidRPr="00802F1A">
        <w:rPr>
          <w:noProof/>
        </w:rPr>
        <w:t>.</w:t>
      </w:r>
      <w:r w:rsidR="00E24871" w:rsidRPr="00802F1A">
        <w:t xml:space="preserve"> </w:t>
      </w:r>
      <w:r w:rsidR="00E24871" w:rsidRPr="00802F1A">
        <w:rPr>
          <w:noProof/>
        </w:rPr>
        <w:t xml:space="preserve">To investigate these dynamics, </w:t>
      </w:r>
      <w:r w:rsidR="004F6AE8" w:rsidRPr="00802F1A">
        <w:rPr>
          <w:noProof/>
        </w:rPr>
        <w:t>our</w:t>
      </w:r>
      <w:r w:rsidR="00E24871" w:rsidRPr="00802F1A">
        <w:rPr>
          <w:noProof/>
        </w:rPr>
        <w:t xml:space="preserve"> study examines the convergence hypothesis by analyzing annual data on energy diversification, per-capita income, and financial development for 134 countries over the period of 1995-2019. Additionally, the study explores the relationships between these three factors to shed light on the formation of convergence groups.</w:t>
      </w:r>
    </w:p>
    <w:p w14:paraId="2E9B7E9B" w14:textId="77777777" w:rsidR="00315787" w:rsidRPr="00802F1A" w:rsidRDefault="00315787" w:rsidP="009373C6">
      <w:pPr>
        <w:jc w:val="both"/>
        <w:rPr>
          <w:noProof/>
        </w:rPr>
      </w:pPr>
    </w:p>
    <w:p w14:paraId="6C0DA003" w14:textId="3B7A66E3" w:rsidR="007041AD" w:rsidRPr="00802F1A" w:rsidRDefault="00C07229" w:rsidP="002C1D61">
      <w:pPr>
        <w:jc w:val="both"/>
        <w:rPr>
          <w:rFonts w:cs="Times New Roman"/>
          <w:szCs w:val="24"/>
          <w:lang w:val="en-US"/>
        </w:rPr>
      </w:pPr>
      <w:r w:rsidRPr="00802F1A">
        <w:rPr>
          <w:rFonts w:cs="Times New Roman"/>
          <w:szCs w:val="24"/>
          <w:lang w:val="en-US"/>
        </w:rPr>
        <w:t xml:space="preserve">Employing log t </w:t>
      </w:r>
      <w:r w:rsidR="00C87C2B" w:rsidRPr="00802F1A">
        <w:rPr>
          <w:rFonts w:cs="Times New Roman"/>
          <w:szCs w:val="24"/>
          <w:lang w:val="en-US"/>
        </w:rPr>
        <w:t xml:space="preserve">club </w:t>
      </w:r>
      <w:r w:rsidRPr="00802F1A">
        <w:rPr>
          <w:rFonts w:cs="Times New Roman"/>
          <w:szCs w:val="24"/>
          <w:lang w:val="en-US"/>
        </w:rPr>
        <w:t xml:space="preserve">convergence test </w:t>
      </w:r>
      <w:r w:rsidR="001F02C1" w:rsidRPr="00802F1A">
        <w:rPr>
          <w:rFonts w:cs="Times New Roman"/>
          <w:szCs w:val="24"/>
          <w:lang w:val="vi-VN"/>
        </w:rPr>
        <w:t xml:space="preserve">developed by </w:t>
      </w:r>
      <w:r w:rsidRPr="00802F1A">
        <w:rPr>
          <w:rFonts w:cs="Times New Roman"/>
          <w:szCs w:val="24"/>
        </w:rPr>
        <w:fldChar w:fldCharType="begin"/>
      </w:r>
      <w:r w:rsidRPr="00802F1A">
        <w:rPr>
          <w:rFonts w:cs="Times New Roman"/>
          <w:szCs w:val="24"/>
        </w:rPr>
        <w:instrText xml:space="preserve"> ADDIN EN.CITE &lt;EndNote&gt;&lt;Cite AuthorYear="1"&gt;&lt;Author&gt;Phillips&lt;/Author&gt;&lt;Year&gt;2007&lt;/Year&gt;&lt;RecNum&gt;1596&lt;/RecNum&gt;&lt;DisplayText&gt;Phillips and Sul (2007)&lt;/DisplayText&gt;&lt;record&gt;&lt;rec-number&gt;1596&lt;/rec-number&gt;&lt;foreign-keys&gt;&lt;key app="EN" db-id="esvrve9x1d0a5gerpeuprwp0vtp2zxx2ssr9" timestamp="1641818196"&gt;1596&lt;/key&gt;&lt;/foreign-keys&gt;&lt;ref-type name="Journal Article"&gt;17&lt;/ref-type&gt;&lt;contributors&gt;&lt;authors&gt;&lt;author&gt;Phillips, Peter C. B.&lt;/author&gt;&lt;author&gt;Sul, Donggyu&lt;/author&gt;&lt;/authors&gt;&lt;/contributors&gt;&lt;titles&gt;&lt;title&gt;Transition modeling and econometric convergence tests&lt;/title&gt;&lt;secondary-title&gt;Econometrica&lt;/secondary-title&gt;&lt;/titles&gt;&lt;periodical&gt;&lt;full-title&gt;econometrica&lt;/full-title&gt;&lt;/periodical&gt;&lt;pages&gt;1771-1855&lt;/pages&gt;&lt;volume&gt;75&lt;/volume&gt;&lt;number&gt;6&lt;/number&gt;&lt;dates&gt;&lt;year&gt;2007&lt;/year&gt;&lt;/dates&gt;&lt;publisher&gt;Wiley Online Library&lt;/publisher&gt;&lt;isbn&gt;0012-9682&lt;/isbn&gt;&lt;urls&gt;&lt;/urls&gt;&lt;/record&gt;&lt;/Cite&gt;&lt;/EndNote&gt;</w:instrText>
      </w:r>
      <w:r w:rsidRPr="00802F1A">
        <w:rPr>
          <w:rFonts w:cs="Times New Roman"/>
          <w:szCs w:val="24"/>
        </w:rPr>
        <w:fldChar w:fldCharType="separate"/>
      </w:r>
      <w:r w:rsidRPr="00802F1A">
        <w:rPr>
          <w:rFonts w:cs="Times New Roman"/>
          <w:noProof/>
          <w:szCs w:val="24"/>
        </w:rPr>
        <w:t>Phillips and Sul (2007)</w:t>
      </w:r>
      <w:r w:rsidRPr="00802F1A">
        <w:rPr>
          <w:rFonts w:cs="Times New Roman"/>
          <w:szCs w:val="24"/>
        </w:rPr>
        <w:fldChar w:fldCharType="end"/>
      </w:r>
      <w:r w:rsidRPr="00802F1A">
        <w:rPr>
          <w:rFonts w:cs="Times New Roman"/>
          <w:szCs w:val="24"/>
        </w:rPr>
        <w:t xml:space="preserve"> and </w:t>
      </w:r>
      <w:r w:rsidRPr="00802F1A">
        <w:rPr>
          <w:rFonts w:cs="Times New Roman"/>
          <w:szCs w:val="24"/>
        </w:rPr>
        <w:fldChar w:fldCharType="begin"/>
      </w:r>
      <w:r w:rsidRPr="00802F1A">
        <w:rPr>
          <w:rFonts w:cs="Times New Roman"/>
          <w:szCs w:val="24"/>
        </w:rPr>
        <w:instrText xml:space="preserve"> ADDIN EN.CITE &lt;EndNote&gt;&lt;Cite AuthorYear="1"&gt;&lt;Author&gt;Phillips&lt;/Author&gt;&lt;Year&gt;2009&lt;/Year&gt;&lt;RecNum&gt;1598&lt;/RecNum&gt;&lt;DisplayText&gt;Phillips and Sul (2009)&lt;/DisplayText&gt;&lt;record&gt;&lt;rec-number&gt;1598&lt;/rec-number&gt;&lt;foreign-keys&gt;&lt;key app="EN" db-id="esvrve9x1d0a5gerpeuprwp0vtp2zxx2ssr9" timestamp="1641818598"&gt;1598&lt;/key&gt;&lt;/foreign-keys&gt;&lt;ref-type name="Journal Article"&gt;17&lt;/ref-type&gt;&lt;contributors&gt;&lt;authors&gt;&lt;author&gt;Phillips, Peter C. B.&lt;/author&gt;&lt;author&gt;Sul, Donggyu&lt;/author&gt;&lt;/authors&gt;&lt;/contributors&gt;&lt;titles&gt;&lt;title&gt;Economic transition and growth&lt;/title&gt;&lt;secondary-title&gt;Journal of applied econometrics&lt;/secondary-title&gt;&lt;/titles&gt;&lt;periodical&gt;&lt;full-title&gt;Journal of applied econometrics&lt;/full-title&gt;&lt;/periodical&gt;&lt;pages&gt;1153-1185&lt;/pages&gt;&lt;volume&gt;24&lt;/volume&gt;&lt;number&gt;7&lt;/number&gt;&lt;dates&gt;&lt;year&gt;2009&lt;/year&gt;&lt;/dates&gt;&lt;publisher&gt;Wiley Online Library&lt;/publisher&gt;&lt;isbn&gt;0883-7252&lt;/isbn&gt;&lt;urls&gt;&lt;/urls&gt;&lt;/record&gt;&lt;/Cite&gt;&lt;/EndNote&gt;</w:instrText>
      </w:r>
      <w:r w:rsidRPr="00802F1A">
        <w:rPr>
          <w:rFonts w:cs="Times New Roman"/>
          <w:szCs w:val="24"/>
        </w:rPr>
        <w:fldChar w:fldCharType="separate"/>
      </w:r>
      <w:r w:rsidRPr="00802F1A">
        <w:rPr>
          <w:rFonts w:cs="Times New Roman"/>
          <w:noProof/>
          <w:szCs w:val="24"/>
        </w:rPr>
        <w:t>Phillips and Sul (2009)</w:t>
      </w:r>
      <w:r w:rsidRPr="00802F1A">
        <w:rPr>
          <w:rFonts w:cs="Times New Roman"/>
          <w:szCs w:val="24"/>
        </w:rPr>
        <w:fldChar w:fldCharType="end"/>
      </w:r>
      <w:r w:rsidRPr="00802F1A">
        <w:rPr>
          <w:rFonts w:cs="Times New Roman"/>
          <w:szCs w:val="24"/>
          <w:lang w:val="vi-VN"/>
        </w:rPr>
        <w:t xml:space="preserve">, </w:t>
      </w:r>
      <w:r w:rsidR="00CB7DC3" w:rsidRPr="00802F1A">
        <w:rPr>
          <w:rFonts w:cs="Times New Roman"/>
          <w:szCs w:val="24"/>
          <w:lang w:val="en-US"/>
        </w:rPr>
        <w:t xml:space="preserve">our study indicates that although overall convergence </w:t>
      </w:r>
      <w:r w:rsidR="003636B5" w:rsidRPr="00802F1A">
        <w:rPr>
          <w:rFonts w:cs="Times New Roman"/>
          <w:szCs w:val="24"/>
          <w:lang w:val="en-US"/>
        </w:rPr>
        <w:t xml:space="preserve">for 134 countries from 1995 to 2019 </w:t>
      </w:r>
      <w:r w:rsidR="00CB7DC3" w:rsidRPr="00802F1A">
        <w:rPr>
          <w:rFonts w:cs="Times New Roman"/>
          <w:szCs w:val="24"/>
          <w:lang w:val="en-US"/>
        </w:rPr>
        <w:t>was not observed, countries have indeed converged with their peers within the same groups. Regression analysis demonstrated positive relationships between energy diversification and per-capita income, as well as between financial development and per-capita income. Additionally, the study identified an increasing trend in energy diversification, per-capita income, and financial development. Furthermore, our study provides confirmation of a U-shaped relationship between oil price and energy diversification.</w:t>
      </w:r>
    </w:p>
    <w:p w14:paraId="1E271463" w14:textId="77777777" w:rsidR="009B1D24" w:rsidRPr="00802F1A" w:rsidRDefault="009B1D24" w:rsidP="002C1D61">
      <w:pPr>
        <w:jc w:val="both"/>
        <w:rPr>
          <w:rFonts w:cs="Times New Roman"/>
          <w:szCs w:val="24"/>
          <w:lang w:val="en-US"/>
        </w:rPr>
      </w:pPr>
    </w:p>
    <w:p w14:paraId="7C93DD78" w14:textId="7865557A" w:rsidR="009B1D24" w:rsidRPr="00802F1A" w:rsidRDefault="009B1D24" w:rsidP="009B1D24">
      <w:pPr>
        <w:jc w:val="both"/>
        <w:rPr>
          <w:noProof/>
        </w:rPr>
      </w:pPr>
      <w:r w:rsidRPr="00802F1A">
        <w:rPr>
          <w:noProof/>
        </w:rPr>
        <w:t xml:space="preserve">The contribution of this study can be summarized as follows. Firstly, it is the first study to examine the tri-directional relationship between energy diversification, per-capita income, and financial development. Previous studies, such as </w:t>
      </w:r>
      <w:r w:rsidR="00102DA3" w:rsidRPr="00802F1A">
        <w:rPr>
          <w:lang w:val="vi-VN"/>
        </w:rPr>
        <w:fldChar w:fldCharType="begin"/>
      </w:r>
      <w:r w:rsidR="00102DA3" w:rsidRPr="00802F1A">
        <w:rPr>
          <w:lang w:val="vi-VN"/>
        </w:rPr>
        <w:instrText xml:space="preserve"> ADDIN EN.CITE &lt;EndNote&gt;&lt;Cite AuthorYear="1"&gt;&lt;Author&gt;Shahbaz&lt;/Author&gt;&lt;Year&gt;2012&lt;/Year&gt;&lt;RecNum&gt;1644&lt;/RecNum&gt;&lt;DisplayText&gt;Shahbaz and Lean (2012)&lt;/DisplayText&gt;&lt;record&gt;&lt;rec-number&gt;1644&lt;/rec-number&gt;&lt;foreign-keys&gt;&lt;key app="EN" db-id="esvrve9x1d0a5gerpeuprwp0vtp2zxx2ssr9" timestamp="1646480839"&gt;1644&lt;/key&gt;&lt;/foreign-keys&gt;&lt;ref-type name="Journal Article"&gt;17&lt;/ref-type&gt;&lt;contributors&gt;&lt;authors&gt;&lt;author&gt;Shahbaz, Muhammad&lt;/author&gt;&lt;author&gt;Lean, Hooi Hooi&lt;/author&gt;&lt;/authors&gt;&lt;/contributors&gt;&lt;titles&gt;&lt;title&gt;Does financial development increase energy consumption? The role of industrialization and urbanization in Tunisia&lt;/title&gt;&lt;secondary-title&gt;Energy Policy&lt;/secondary-title&gt;&lt;/titles&gt;&lt;periodical&gt;&lt;full-title&gt;Energy Policy&lt;/full-title&gt;&lt;/periodical&gt;&lt;pages&gt;473-479&lt;/pages&gt;&lt;volume&gt;40&lt;/volume&gt;&lt;keywords&gt;&lt;keyword&gt;Energy consumption&lt;/keyword&gt;&lt;keyword&gt;Financial development&lt;/keyword&gt;&lt;keyword&gt;Economic growth&lt;/keyword&gt;&lt;/keywords&gt;&lt;dates&gt;&lt;year&gt;2012&lt;/year&gt;&lt;pub-dates&gt;&lt;date&gt;2012/01/01/&lt;/date&gt;&lt;/pub-dates&gt;&lt;/dates&gt;&lt;isbn&gt;0301-4215&lt;/isbn&gt;&lt;urls&gt;&lt;related-urls&gt;&lt;url&gt;https://www.sciencedirect.com/science/article/pii/S0301421511008652&lt;/url&gt;&lt;/related-urls&gt;&lt;/urls&gt;&lt;electronic-resource-num&gt;https://doi.org/10.1016/j.enpol.2011.10.050&lt;/electronic-resource-num&gt;&lt;/record&gt;&lt;/Cite&gt;&lt;/EndNote&gt;</w:instrText>
      </w:r>
      <w:r w:rsidR="00102DA3" w:rsidRPr="00802F1A">
        <w:rPr>
          <w:lang w:val="vi-VN"/>
        </w:rPr>
        <w:fldChar w:fldCharType="separate"/>
      </w:r>
      <w:r w:rsidR="00102DA3" w:rsidRPr="00802F1A">
        <w:rPr>
          <w:noProof/>
          <w:lang w:val="vi-VN"/>
        </w:rPr>
        <w:t>Shahbaz and Lean (2012)</w:t>
      </w:r>
      <w:r w:rsidR="00102DA3" w:rsidRPr="00802F1A">
        <w:rPr>
          <w:lang w:val="vi-VN"/>
        </w:rPr>
        <w:fldChar w:fldCharType="end"/>
      </w:r>
      <w:r w:rsidR="00102DA3" w:rsidRPr="00802F1A">
        <w:rPr>
          <w:lang w:val="vi-VN"/>
        </w:rPr>
        <w:t>,</w:t>
      </w:r>
      <w:r w:rsidR="00102DA3" w:rsidRPr="00802F1A">
        <w:rPr>
          <w:noProof/>
        </w:rPr>
        <w:t xml:space="preserve"> </w:t>
      </w:r>
      <w:r w:rsidR="00102DA3" w:rsidRPr="00802F1A">
        <w:rPr>
          <w:lang w:val="vi-VN"/>
        </w:rPr>
        <w:fldChar w:fldCharType="begin"/>
      </w:r>
      <w:r w:rsidR="00102DA3" w:rsidRPr="00802F1A">
        <w:rPr>
          <w:lang w:val="vi-VN"/>
        </w:rPr>
        <w:instrText xml:space="preserve"> ADDIN EN.CITE &lt;EndNote&gt;&lt;Cite AuthorYear="1"&gt;&lt;Author&gt;Destek&lt;/Author&gt;&lt;Year&gt;2018&lt;/Year&gt;&lt;RecNum&gt;1642&lt;/RecNum&gt;&lt;DisplayText&gt;Destek (2018)&lt;/DisplayText&gt;&lt;record&gt;&lt;rec-number&gt;1642&lt;/rec-number&gt;&lt;foreign-keys&gt;&lt;key app="EN" db-id="esvrve9x1d0a5gerpeuprwp0vtp2zxx2ssr9" timestamp="1646478070"&gt;1642&lt;/key&gt;&lt;/foreign-keys&gt;&lt;ref-type name="Journal Article"&gt;17&lt;/ref-type&gt;&lt;contributors&gt;&lt;authors&gt;&lt;author&gt;Destek, Mehmet Akif&lt;/author&gt;&lt;/authors&gt;&lt;/contributors&gt;&lt;titles&gt;&lt;title&gt;Financial development and energy consumption nexus in emerging economies&lt;/title&gt;&lt;secondary-title&gt;Energy sources. Part B, Economics, planning and policy&lt;/secondary-title&gt;&lt;/titles&gt;&lt;periodical&gt;&lt;full-title&gt;Energy sources. Part B, Economics, planning and policy&lt;/full-title&gt;&lt;/periodical&gt;&lt;pages&gt;76-81&lt;/pages&gt;&lt;volume&gt;13&lt;/volume&gt;&lt;number&gt;1&lt;/number&gt;&lt;keywords&gt;&lt;keyword&gt;cross-sectional dependence&lt;/keyword&gt;&lt;keyword&gt;emerging economies&lt;/keyword&gt;&lt;keyword&gt;Energy consumption&lt;/keyword&gt;&lt;keyword&gt;energy price&lt;/keyword&gt;&lt;keyword&gt;financial development&lt;/keyword&gt;&lt;/keywords&gt;&lt;dates&gt;&lt;year&gt;2018&lt;/year&gt;&lt;/dates&gt;&lt;publisher&gt;Taylor &amp;amp; Francis&lt;/publisher&gt;&lt;isbn&gt;1556-7249&lt;/isbn&gt;&lt;urls&gt;&lt;/urls&gt;&lt;electronic-resource-num&gt;10.1080/15567249.2017.1405106&lt;/electronic-resource-num&gt;&lt;/record&gt;&lt;/Cite&gt;&lt;/EndNote&gt;</w:instrText>
      </w:r>
      <w:r w:rsidR="00102DA3" w:rsidRPr="00802F1A">
        <w:rPr>
          <w:lang w:val="vi-VN"/>
        </w:rPr>
        <w:fldChar w:fldCharType="separate"/>
      </w:r>
      <w:r w:rsidR="00102DA3" w:rsidRPr="00802F1A">
        <w:rPr>
          <w:noProof/>
          <w:lang w:val="vi-VN"/>
        </w:rPr>
        <w:t>Destek (2018)</w:t>
      </w:r>
      <w:r w:rsidR="00102DA3" w:rsidRPr="00802F1A">
        <w:rPr>
          <w:lang w:val="vi-VN"/>
        </w:rPr>
        <w:fldChar w:fldCharType="end"/>
      </w:r>
      <w:r w:rsidR="00102DA3" w:rsidRPr="00802F1A">
        <w:rPr>
          <w:lang w:val="en-US"/>
        </w:rPr>
        <w:t xml:space="preserve">, </w:t>
      </w:r>
      <w:r w:rsidR="00102DA3" w:rsidRPr="00802F1A">
        <w:rPr>
          <w:lang w:val="vi-VN"/>
        </w:rPr>
        <w:fldChar w:fldCharType="begin"/>
      </w:r>
      <w:r w:rsidR="00996891" w:rsidRPr="00802F1A">
        <w:rPr>
          <w:lang w:val="vi-VN"/>
        </w:rPr>
        <w:instrText xml:space="preserve"> ADDIN EN.CITE &lt;EndNote&gt;&lt;Cite AuthorYear="1"&gt;&lt;Author&gt;Durusu-Ciftci&lt;/Author&gt;&lt;Year&gt;2020&lt;/Year&gt;&lt;RecNum&gt;1515&lt;/RecNum&gt;&lt;DisplayText&gt;Durusu-Ciftci&lt;style face="italic"&gt; et al.&lt;/style&gt; (2020)&lt;/DisplayText&gt;&lt;record&gt;&lt;rec-number&gt;1515&lt;/rec-number&gt;&lt;foreign-keys&gt;&lt;key app="EN" db-id="s0x0022p9x5xtlep5rz5rpxd9d0spafr5tx2" timestamp="1687913779"&gt;1515&lt;/key&gt;&lt;/foreign-keys&gt;&lt;ref-type name="Journal Article"&gt;17&lt;/ref-type&gt;&lt;contributors&gt;&lt;authors&gt;&lt;author&gt;Durusu-Ciftci, Dilek&lt;/author&gt;&lt;author&gt;Soytas, Ugur&lt;/author&gt;&lt;author&gt;Nazlioglu, Saban&lt;/author&gt;&lt;/authors&gt;&lt;/contributors&gt;&lt;titles&gt;&lt;title&gt;Financial development and energy consumption in emerging markets: Smooth structural shifts and causal linkages&lt;/title&gt;&lt;secondary-title&gt;Energy economics&lt;/secondary-title&gt;&lt;/titles&gt;&lt;periodical&gt;&lt;full-title&gt;Energy Economics&lt;/full-title&gt;&lt;/periodical&gt;&lt;pages&gt;104729&lt;/pages&gt;&lt;volume&gt;87&lt;/volume&gt;&lt;dates&gt;&lt;year&gt;2020&lt;/year&gt;&lt;/dates&gt;&lt;publisher&gt;Elsevier&lt;/publisher&gt;&lt;isbn&gt;0140-9883&lt;/isbn&gt;&lt;urls&gt;&lt;/urls&gt;&lt;/record&gt;&lt;/Cite&gt;&lt;/EndNote&gt;</w:instrText>
      </w:r>
      <w:r w:rsidR="00102DA3" w:rsidRPr="00802F1A">
        <w:rPr>
          <w:lang w:val="vi-VN"/>
        </w:rPr>
        <w:fldChar w:fldCharType="separate"/>
      </w:r>
      <w:r w:rsidR="00102DA3" w:rsidRPr="00802F1A">
        <w:rPr>
          <w:noProof/>
          <w:lang w:val="vi-VN"/>
        </w:rPr>
        <w:t>Durusu-Ciftci</w:t>
      </w:r>
      <w:r w:rsidR="00102DA3" w:rsidRPr="00802F1A">
        <w:rPr>
          <w:i/>
          <w:noProof/>
          <w:lang w:val="vi-VN"/>
        </w:rPr>
        <w:t xml:space="preserve"> et al.</w:t>
      </w:r>
      <w:r w:rsidR="00102DA3" w:rsidRPr="00802F1A">
        <w:rPr>
          <w:noProof/>
          <w:lang w:val="vi-VN"/>
        </w:rPr>
        <w:t xml:space="preserve"> (2020)</w:t>
      </w:r>
      <w:r w:rsidR="00102DA3" w:rsidRPr="00802F1A">
        <w:rPr>
          <w:lang w:val="vi-VN"/>
        </w:rPr>
        <w:fldChar w:fldCharType="end"/>
      </w:r>
      <w:r w:rsidR="00102DA3" w:rsidRPr="00802F1A">
        <w:rPr>
          <w:lang w:val="vi-VN"/>
        </w:rPr>
        <w:t xml:space="preserve">, </w:t>
      </w:r>
      <w:r w:rsidR="00102DA3" w:rsidRPr="00802F1A">
        <w:rPr>
          <w:lang w:val="en-US"/>
        </w:rPr>
        <w:fldChar w:fldCharType="begin"/>
      </w:r>
      <w:r w:rsidR="00102DA3" w:rsidRPr="00802F1A">
        <w:rPr>
          <w:lang w:val="en-US"/>
        </w:rPr>
        <w:instrText xml:space="preserve"> ADDIN EN.CITE &lt;EndNote&gt;&lt;Cite AuthorYear="1"&gt;&lt;Author&gt;Cetin&lt;/Author&gt;&lt;Year&gt;2020&lt;/Year&gt;&lt;RecNum&gt;1646&lt;/RecNum&gt;&lt;DisplayText&gt;Cetin and Bakirtas (2020)&lt;/DisplayText&gt;&lt;record&gt;&lt;rec-number&gt;1646&lt;/rec-number&gt;&lt;foreign-keys&gt;&lt;key app="EN" db-id="esvrve9x1d0a5gerpeuprwp0vtp2zxx2ssr9" timestamp="1646487457"&gt;1646&lt;/key&gt;&lt;/foreign-keys&gt;&lt;ref-type name="Journal Article"&gt;17&lt;/ref-type&gt;&lt;contributors&gt;&lt;authors&gt;&lt;author&gt;Cetin, Mumin Atalay&lt;/author&gt;&lt;author&gt;Bakirtas, Ibrahim&lt;/author&gt;&lt;/authors&gt;&lt;/contributors&gt;&lt;titles&gt;&lt;title&gt;The long-run environmental impacts of economic growth, financial development, and energy consumption: Evidence from emerging markets&lt;/title&gt;&lt;secondary-title&gt;Energy &amp;amp; environment (Essex, England)&lt;/secondary-title&gt;&lt;/titles&gt;&lt;periodical&gt;&lt;full-title&gt;Energy &amp;amp; environment (Essex, England)&lt;/full-title&gt;&lt;/periodical&gt;&lt;pages&gt;634-655&lt;/pages&gt;&lt;volume&gt;31&lt;/volume&gt;&lt;number&gt;4&lt;/number&gt;&lt;dates&gt;&lt;year&gt;2020&lt;/year&gt;&lt;/dates&gt;&lt;pub-location&gt;London, England&lt;/pub-location&gt;&lt;publisher&gt;SAGE Publications&lt;/publisher&gt;&lt;isbn&gt;0958-305X&lt;/isbn&gt;&lt;urls&gt;&lt;/urls&gt;&lt;electronic-resource-num&gt;10.1177/0958305X19882373&lt;/electronic-resource-num&gt;&lt;/record&gt;&lt;/Cite&gt;&lt;/EndNote&gt;</w:instrText>
      </w:r>
      <w:r w:rsidR="00102DA3" w:rsidRPr="00802F1A">
        <w:rPr>
          <w:lang w:val="en-US"/>
        </w:rPr>
        <w:fldChar w:fldCharType="separate"/>
      </w:r>
      <w:r w:rsidR="00102DA3" w:rsidRPr="00802F1A">
        <w:rPr>
          <w:noProof/>
          <w:lang w:val="en-US"/>
        </w:rPr>
        <w:t>Cetin and Bakirtas (2020)</w:t>
      </w:r>
      <w:r w:rsidR="00102DA3" w:rsidRPr="00802F1A">
        <w:rPr>
          <w:lang w:val="en-US"/>
        </w:rPr>
        <w:fldChar w:fldCharType="end"/>
      </w:r>
      <w:r w:rsidR="00102DA3" w:rsidRPr="00802F1A">
        <w:rPr>
          <w:lang w:val="vi-VN"/>
        </w:rPr>
        <w:t xml:space="preserve">, </w:t>
      </w:r>
      <w:r w:rsidR="00102DA3" w:rsidRPr="00802F1A">
        <w:rPr>
          <w:lang w:val="en-US"/>
        </w:rPr>
        <w:fldChar w:fldCharType="begin">
          <w:fldData xml:space="preserve">PEVuZE5vdGU+PENpdGUgQXV0aG9yWWVhcj0iMSI+PEF1dGhvcj5Vc21hbjwvQXV0aG9yPjxZZWFy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</w:fldData>
        </w:fldChar>
      </w:r>
      <w:r w:rsidR="00102DA3" w:rsidRPr="00802F1A">
        <w:rPr>
          <w:lang w:val="en-US"/>
        </w:rPr>
        <w:instrText xml:space="preserve"> ADDIN EN.CITE </w:instrText>
      </w:r>
      <w:r w:rsidR="00102DA3" w:rsidRPr="00802F1A">
        <w:rPr>
          <w:lang w:val="en-US"/>
        </w:rPr>
        <w:fldChar w:fldCharType="begin">
          <w:fldData xml:space="preserve">PEVuZE5vdGU+PENpdGUgQXV0aG9yWWVhcj0iMSI+PEF1dGhvcj5Vc21hbjwvQXV0aG9yPjxZZWFy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</w:fldData>
        </w:fldChar>
      </w:r>
      <w:r w:rsidR="00102DA3" w:rsidRPr="00802F1A">
        <w:rPr>
          <w:lang w:val="en-US"/>
        </w:rPr>
        <w:instrText xml:space="preserve"> ADDIN EN.CITE.DATA </w:instrText>
      </w:r>
      <w:r w:rsidR="00102DA3" w:rsidRPr="00802F1A">
        <w:rPr>
          <w:lang w:val="en-US"/>
        </w:rPr>
      </w:r>
      <w:r w:rsidR="00102DA3" w:rsidRPr="00802F1A">
        <w:rPr>
          <w:lang w:val="en-US"/>
        </w:rPr>
        <w:fldChar w:fldCharType="end"/>
      </w:r>
      <w:r w:rsidR="00102DA3" w:rsidRPr="00802F1A">
        <w:rPr>
          <w:lang w:val="en-US"/>
        </w:rPr>
      </w:r>
      <w:r w:rsidR="00102DA3" w:rsidRPr="00802F1A">
        <w:rPr>
          <w:lang w:val="en-US"/>
        </w:rPr>
        <w:fldChar w:fldCharType="separate"/>
      </w:r>
      <w:r w:rsidR="00102DA3" w:rsidRPr="00802F1A">
        <w:rPr>
          <w:noProof/>
          <w:lang w:val="en-US"/>
        </w:rPr>
        <w:t>Usman</w:t>
      </w:r>
      <w:r w:rsidR="00102DA3" w:rsidRPr="00802F1A">
        <w:rPr>
          <w:i/>
          <w:noProof/>
          <w:lang w:val="en-US"/>
        </w:rPr>
        <w:t xml:space="preserve"> et al.</w:t>
      </w:r>
      <w:r w:rsidR="00102DA3" w:rsidRPr="00802F1A">
        <w:rPr>
          <w:noProof/>
          <w:lang w:val="en-US"/>
        </w:rPr>
        <w:t xml:space="preserve"> (2021)</w:t>
      </w:r>
      <w:r w:rsidR="00102DA3" w:rsidRPr="00802F1A">
        <w:rPr>
          <w:lang w:val="en-US"/>
        </w:rPr>
        <w:fldChar w:fldCharType="end"/>
      </w:r>
      <w:r w:rsidR="00102DA3" w:rsidRPr="00802F1A">
        <w:rPr>
          <w:lang w:val="vi-VN"/>
        </w:rPr>
        <w:t xml:space="preserve"> and </w:t>
      </w:r>
      <w:r w:rsidR="00102DA3" w:rsidRPr="00802F1A">
        <w:fldChar w:fldCharType="begin"/>
      </w:r>
      <w:r w:rsidR="00102DA3" w:rsidRPr="00802F1A">
        <w:instrText xml:space="preserve"> ADDIN EN.CITE &lt;EndNote&gt;&lt;Cite AuthorYear="1"&gt;&lt;Author&gt;Isaeva&lt;/Author&gt;&lt;Year&gt;2021&lt;/Year&gt;&lt;RecNum&gt;1648&lt;/RecNum&gt;&lt;DisplayText&gt;Isaeva&lt;style face="italic"&gt; et al.&lt;/style&gt; (2021)&lt;/DisplayText&gt;&lt;record&gt;&lt;rec-number&gt;1648&lt;/rec-number&gt;&lt;foreign-keys&gt;&lt;key app="EN" db-id="esvrve9x1d0a5gerpeuprwp0vtp2zxx2ssr9" timestamp="1646490242"&gt;1648&lt;/key&gt;&lt;/foreign-keys&gt;&lt;ref-type name="Journal Article"&gt;17&lt;/ref-type&gt;&lt;contributors&gt;&lt;authors&gt;&lt;author&gt;Isaeva, Arletta&lt;/author&gt;&lt;author&gt;Salahodjaev, Raufhon&lt;/author&gt;&lt;author&gt;Khachaturov, Anastas&lt;/author&gt;&lt;author&gt;Tosheva, Shakhnoza&lt;/author&gt;&lt;/authors&gt;&lt;/contributors&gt;&lt;titles&gt;&lt;title&gt;The Impact of Tourism and Financial Development on Energy Consumption and Carbon Dioxide Emission: Evidence from Post-communist Countries&lt;/title&gt;&lt;secondary-title&gt;Journal of the knowledge economy&lt;/secondary-title&gt;&lt;/titles&gt;&lt;periodical&gt;&lt;full-title&gt;Journal of the knowledge economy&lt;/full-title&gt;&lt;/periodical&gt;&lt;dates&gt;&lt;year&gt;2021&lt;/year&gt;&lt;/dates&gt;&lt;isbn&gt;1868-7865&lt;/isbn&gt;&lt;urls&gt;&lt;/urls&gt;&lt;electronic-resource-num&gt;10.1007/s13132-021-00732-x&lt;/electronic-resource-num&gt;&lt;/record&gt;&lt;/Cite&gt;&lt;/EndNote&gt;</w:instrText>
      </w:r>
      <w:r w:rsidR="00102DA3" w:rsidRPr="00802F1A">
        <w:fldChar w:fldCharType="separate"/>
      </w:r>
      <w:r w:rsidR="00102DA3" w:rsidRPr="00802F1A">
        <w:rPr>
          <w:noProof/>
        </w:rPr>
        <w:t>Isaeva</w:t>
      </w:r>
      <w:r w:rsidR="00102DA3" w:rsidRPr="00802F1A">
        <w:rPr>
          <w:i/>
          <w:noProof/>
        </w:rPr>
        <w:t xml:space="preserve"> et al.</w:t>
      </w:r>
      <w:r w:rsidR="00102DA3" w:rsidRPr="00802F1A">
        <w:rPr>
          <w:noProof/>
        </w:rPr>
        <w:t xml:space="preserve"> (2021)</w:t>
      </w:r>
      <w:r w:rsidR="00102DA3" w:rsidRPr="00802F1A">
        <w:fldChar w:fldCharType="end"/>
      </w:r>
      <w:r w:rsidRPr="00802F1A">
        <w:rPr>
          <w:noProof/>
        </w:rPr>
        <w:t>, focused primarily on total energy consumption/production, renewable energy, and their connections to economic growth and financial development. Additionally, this study is among the few that utilize the World Bank's Herfindahl-Hirschman export market concentration index to measure energy diversification.</w:t>
      </w:r>
      <w:r w:rsidR="00292CB5" w:rsidRPr="00802F1A">
        <w:rPr>
          <w:noProof/>
        </w:rPr>
        <w:t xml:space="preserve"> </w:t>
      </w:r>
      <w:r w:rsidRPr="00802F1A">
        <w:rPr>
          <w:noProof/>
        </w:rPr>
        <w:t xml:space="preserve">Secondly, previous studies neglected to test the convergence </w:t>
      </w:r>
      <w:r w:rsidRPr="00802F1A">
        <w:rPr>
          <w:noProof/>
        </w:rPr>
        <w:lastRenderedPageBreak/>
        <w:t>hypothesis, which could have provided valuable insights for sustainable development policies. In contrast, this study addresses this gap and examines the convergence hypothesis.</w:t>
      </w:r>
      <w:r w:rsidR="005A7AD5" w:rsidRPr="00802F1A">
        <w:rPr>
          <w:noProof/>
        </w:rPr>
        <w:t xml:space="preserve"> </w:t>
      </w:r>
      <w:r w:rsidRPr="00802F1A">
        <w:rPr>
          <w:noProof/>
        </w:rPr>
        <w:t>Thirdly, our study employs the International Monetary Fund's (IMF) financial development indices, which encompass various dimensions of financial development. Previous studies often relied on single or a few indicators, such as domestic credit to the private sector or stock market capitalization, to capture financial development, which may not present a comprehensive picture of financial development.</w:t>
      </w:r>
      <w:r w:rsidR="00505D9F" w:rsidRPr="00802F1A">
        <w:rPr>
          <w:noProof/>
        </w:rPr>
        <w:t xml:space="preserve"> </w:t>
      </w:r>
      <w:r w:rsidRPr="00802F1A">
        <w:rPr>
          <w:noProof/>
        </w:rPr>
        <w:t>Lastly, given the volatility of oil prices and other fossil fuel prices, this study investigates whether energy diversification declines and eventually reverses as oil prices increase. For the first time, this study explores the relationship between oil price and energy diversification under changing market conditions, including the Global Financial Crisis of 2008 and the Covid-19 pandemic, which caused significant fluctuations in fossil fuel-based energy prices, such as West Texas Intermediate (WTI) reaching a peak of US$147 per barrel in July 2008, dropping to US$34 in December 2008, and falling below US$20 in April 2020.</w:t>
      </w:r>
    </w:p>
    <w:p w14:paraId="5B1C64A5" w14:textId="77777777" w:rsidR="00AC3ECC" w:rsidRPr="00802F1A" w:rsidRDefault="00AC3ECC" w:rsidP="002F38BB">
      <w:pPr>
        <w:jc w:val="both"/>
        <w:rPr>
          <w:rFonts w:cs="Times New Roman"/>
          <w:szCs w:val="24"/>
          <w:lang w:val="vi-VN"/>
        </w:rPr>
      </w:pPr>
    </w:p>
    <w:p w14:paraId="5BB8E9FF" w14:textId="6021B69A" w:rsidR="00053251" w:rsidRPr="00802F1A" w:rsidRDefault="00DE5918" w:rsidP="002A47AB">
      <w:pPr>
        <w:jc w:val="both"/>
        <w:rPr>
          <w:rFonts w:cs="Times New Roman"/>
          <w:szCs w:val="24"/>
          <w:lang w:val="en-US"/>
        </w:rPr>
      </w:pPr>
      <w:r w:rsidRPr="00802F1A">
        <w:rPr>
          <w:rFonts w:cs="Times New Roman"/>
          <w:szCs w:val="24"/>
          <w:lang w:val="en-US"/>
        </w:rPr>
        <w:t>The structure of this paper is as follows: In Section 2, a comprehensive review of the</w:t>
      </w:r>
      <w:r w:rsidR="002A47AB" w:rsidRPr="00802F1A">
        <w:rPr>
          <w:rFonts w:cs="Times New Roman"/>
          <w:szCs w:val="24"/>
          <w:lang w:val="en-US"/>
        </w:rPr>
        <w:t xml:space="preserve"> </w:t>
      </w:r>
      <w:r w:rsidRPr="00802F1A">
        <w:rPr>
          <w:rFonts w:cs="Times New Roman"/>
          <w:szCs w:val="24"/>
          <w:lang w:val="en-US"/>
        </w:rPr>
        <w:t xml:space="preserve">literature is provided, and hypotheses are developed. Section 3 outlines the methodologies employed, describes the variables used, and provides an overview of the data. The empirical results are presented in Section 4. Finally, Section 5 </w:t>
      </w:r>
      <w:proofErr w:type="spellStart"/>
      <w:r w:rsidR="00500F49" w:rsidRPr="00802F1A">
        <w:rPr>
          <w:rFonts w:cs="Times New Roman"/>
          <w:szCs w:val="24"/>
          <w:lang w:val="en-US"/>
        </w:rPr>
        <w:t>oncludes</w:t>
      </w:r>
      <w:proofErr w:type="spellEnd"/>
      <w:r w:rsidR="00500F49" w:rsidRPr="00802F1A">
        <w:rPr>
          <w:rFonts w:cs="Times New Roman"/>
          <w:szCs w:val="24"/>
          <w:lang w:val="en-US"/>
        </w:rPr>
        <w:t xml:space="preserve"> the study with policy implications</w:t>
      </w:r>
      <w:r w:rsidRPr="00802F1A">
        <w:rPr>
          <w:rFonts w:cs="Times New Roman"/>
          <w:szCs w:val="24"/>
          <w:lang w:val="en-US"/>
        </w:rPr>
        <w:t>.</w:t>
      </w:r>
    </w:p>
    <w:p w14:paraId="4CE77539" w14:textId="77777777" w:rsidR="002A47AB" w:rsidRPr="00802F1A" w:rsidRDefault="002A47AB" w:rsidP="002E0E83">
      <w:pPr>
        <w:rPr>
          <w:rFonts w:cs="Times New Roman"/>
          <w:szCs w:val="24"/>
          <w:lang w:val="en-US"/>
        </w:rPr>
      </w:pPr>
    </w:p>
    <w:p w14:paraId="7FEAF8F7" w14:textId="3A2DB62E" w:rsidR="00477727" w:rsidRPr="00802F1A" w:rsidRDefault="00477727" w:rsidP="00462E7E">
      <w:pPr>
        <w:pStyle w:val="Heading1"/>
        <w:rPr>
          <w:lang w:val="en-US"/>
        </w:rPr>
      </w:pPr>
      <w:r w:rsidRPr="00802F1A">
        <w:rPr>
          <w:lang w:val="en-US"/>
        </w:rPr>
        <w:t>Literature review</w:t>
      </w:r>
    </w:p>
    <w:p w14:paraId="74B7B0A6" w14:textId="77777777" w:rsidR="0053308A" w:rsidRPr="00802F1A" w:rsidRDefault="0053308A" w:rsidP="0053308A">
      <w:pPr>
        <w:pStyle w:val="Heading2"/>
        <w:rPr>
          <w:lang w:val="en-US"/>
        </w:rPr>
      </w:pPr>
      <w:r w:rsidRPr="00802F1A">
        <w:rPr>
          <w:lang w:val="en-US"/>
        </w:rPr>
        <w:t>Convergence</w:t>
      </w:r>
    </w:p>
    <w:p w14:paraId="13477E21" w14:textId="25D10C63" w:rsidR="00C50081" w:rsidRPr="00802F1A" w:rsidRDefault="00C50081" w:rsidP="003D120D">
      <w:pPr>
        <w:jc w:val="both"/>
        <w:rPr>
          <w:rFonts w:cs="Times New Roman"/>
          <w:szCs w:val="24"/>
          <w:lang w:val="en-US"/>
        </w:rPr>
      </w:pPr>
      <w:r w:rsidRPr="00802F1A">
        <w:rPr>
          <w:rFonts w:cs="Times New Roman"/>
          <w:szCs w:val="24"/>
          <w:lang w:val="en-US"/>
        </w:rPr>
        <w:t xml:space="preserve">The convergence literature has traditionally employed two tests, namely beta and sigma convergence, introduced by </w:t>
      </w:r>
      <w:r w:rsidRPr="00802F1A">
        <w:rPr>
          <w:rFonts w:cs="Times New Roman"/>
          <w:szCs w:val="24"/>
          <w:lang w:val="en-US"/>
        </w:rPr>
        <w:fldChar w:fldCharType="begin"/>
      </w:r>
      <w:r w:rsidRPr="00802F1A">
        <w:rPr>
          <w:rFonts w:cs="Times New Roman"/>
          <w:szCs w:val="24"/>
          <w:lang w:val="en-US"/>
        </w:rPr>
        <w:instrText xml:space="preserve"> ADDIN EN.CITE &lt;EndNote&gt;&lt;Cite AuthorYear="1"&gt;&lt;Author&gt;Baumol&lt;/Author&gt;&lt;Year&gt;1986&lt;/Year&gt;&lt;RecNum&gt;1650&lt;/RecNum&gt;&lt;DisplayText&gt;Baumol (1986)&lt;/DisplayText&gt;&lt;record&gt;&lt;rec-number&gt;1650&lt;/rec-number&gt;&lt;foreign-keys&gt;&lt;key app="EN" db-id="esvrve9x1d0a5gerpeuprwp0vtp2zxx2ssr9" timestamp="1651018453"&gt;1650&lt;/key&gt;&lt;/foreign-keys&gt;&lt;ref-type name="Journal Article"&gt;17&lt;/ref-type&gt;&lt;contributors&gt;&lt;authors&gt;&lt;author&gt;Baumol, William J.&lt;/author&gt;&lt;/authors&gt;&lt;/contributors&gt;&lt;titles&gt;&lt;title&gt;Productivity growth, convergence, and welfare: what the long-run data show&lt;/title&gt;&lt;secondary-title&gt;The american economic review&lt;/secondary-title&gt;&lt;/titles&gt;&lt;periodical&gt;&lt;full-title&gt;The american economic review&lt;/full-title&gt;&lt;/periodical&gt;&lt;pages&gt;1072-1085&lt;/pages&gt;&lt;dates&gt;&lt;year&gt;1986&lt;/year&gt;&lt;/dates&gt;&lt;publisher&gt;JSTOR&lt;/publisher&gt;&lt;isbn&gt;0002-8282&lt;/isbn&gt;&lt;urls&gt;&lt;/urls&gt;&lt;/record&gt;&lt;/Cite&gt;&lt;/EndNote&gt;</w:instrText>
      </w:r>
      <w:r w:rsidRPr="00802F1A">
        <w:rPr>
          <w:rFonts w:cs="Times New Roman"/>
          <w:szCs w:val="24"/>
          <w:lang w:val="en-US"/>
        </w:rPr>
        <w:fldChar w:fldCharType="separate"/>
      </w:r>
      <w:r w:rsidRPr="00802F1A">
        <w:rPr>
          <w:rFonts w:cs="Times New Roman"/>
          <w:noProof/>
          <w:szCs w:val="24"/>
          <w:lang w:val="en-US"/>
        </w:rPr>
        <w:t>Baumol (1986)</w:t>
      </w:r>
      <w:r w:rsidRPr="00802F1A">
        <w:rPr>
          <w:rFonts w:cs="Times New Roman"/>
          <w:szCs w:val="24"/>
          <w:lang w:val="en-US"/>
        </w:rPr>
        <w:fldChar w:fldCharType="end"/>
      </w:r>
      <w:r w:rsidRPr="00802F1A">
        <w:rPr>
          <w:rFonts w:cs="Times New Roman"/>
          <w:szCs w:val="24"/>
          <w:lang w:val="en-US"/>
        </w:rPr>
        <w:t xml:space="preserve"> and </w:t>
      </w:r>
      <w:r w:rsidRPr="00802F1A">
        <w:rPr>
          <w:rFonts w:cs="Times New Roman"/>
          <w:szCs w:val="24"/>
        </w:rPr>
        <w:fldChar w:fldCharType="begin"/>
      </w:r>
      <w:r w:rsidRPr="00802F1A">
        <w:rPr>
          <w:rFonts w:cs="Times New Roman"/>
          <w:szCs w:val="24"/>
        </w:rPr>
        <w:instrText xml:space="preserve"> ADDIN EN.CITE &lt;EndNote&gt;&lt;Cite AuthorYear="1"&gt;&lt;Author&gt;Barro&lt;/Author&gt;&lt;Year&gt;1992&lt;/Year&gt;&lt;RecNum&gt;1595&lt;/RecNum&gt;&lt;DisplayText&gt;Barro and Sala-i-Martin (1992)&lt;/DisplayText&gt;&lt;record&gt;&lt;rec-number&gt;1595&lt;/rec-number&gt;&lt;foreign-keys&gt;&lt;key app="EN" db-id="esvrve9x1d0a5gerpeuprwp0vtp2zxx2ssr9" timestamp="1641803956"&gt;1595&lt;/key&gt;&lt;/foreign-keys&gt;&lt;ref-type name="Journal Article"&gt;17&lt;/ref-type&gt;&lt;contributors&gt;&lt;authors&gt;&lt;author&gt;Barro, Robert J.&lt;/author&gt;&lt;author&gt;Sala-i-Martin, Xavier&lt;/author&gt;&lt;/authors&gt;&lt;/contributors&gt;&lt;titles&gt;&lt;title&gt;Convergence&lt;/title&gt;&lt;secondary-title&gt;Journal of political Economy&lt;/secondary-title&gt;&lt;/titles&gt;&lt;periodical&gt;&lt;full-title&gt;Journal of political Economy&lt;/full-title&gt;&lt;/periodical&gt;&lt;pages&gt;223-251&lt;/pages&gt;&lt;volume&gt;100&lt;/volume&gt;&lt;number&gt;2&lt;/number&gt;&lt;dates&gt;&lt;year&gt;1992&lt;/year&gt;&lt;/dates&gt;&lt;publisher&gt;The University of Chicago Press&lt;/publisher&gt;&lt;isbn&gt;0022-3808&lt;/isbn&gt;&lt;urls&gt;&lt;/urls&gt;&lt;/record&gt;&lt;/Cite&gt;&lt;/EndNote&gt;</w:instrText>
      </w:r>
      <w:r w:rsidRPr="00802F1A">
        <w:rPr>
          <w:rFonts w:cs="Times New Roman"/>
          <w:szCs w:val="24"/>
        </w:rPr>
        <w:fldChar w:fldCharType="separate"/>
      </w:r>
      <w:r w:rsidRPr="00802F1A">
        <w:rPr>
          <w:rFonts w:cs="Times New Roman"/>
          <w:noProof/>
          <w:szCs w:val="24"/>
        </w:rPr>
        <w:t>Barro and Sala-i-Martin (1992)</w:t>
      </w:r>
      <w:r w:rsidRPr="00802F1A">
        <w:rPr>
          <w:rFonts w:cs="Times New Roman"/>
          <w:szCs w:val="24"/>
        </w:rPr>
        <w:fldChar w:fldCharType="end"/>
      </w:r>
      <w:r w:rsidRPr="00802F1A">
        <w:rPr>
          <w:rFonts w:cs="Times New Roman"/>
          <w:szCs w:val="24"/>
          <w:lang w:val="en-US"/>
        </w:rPr>
        <w:t xml:space="preserve">, respectively. Beta convergence refers to the phenomenon where units with a lower initial level of the variable grow at a faster rate compared to units with a higher initial level. Sigma convergence, on the other hand, denotes a decrease in cross-sectional disparities of the variable over time. However, these conventional tests assume a uniform convergence rate for all units, which may not hold due to inherent heterogeneity among individual units. The log t convergence test, developed by </w:t>
      </w:r>
      <w:r w:rsidR="009A752A" w:rsidRPr="00802F1A">
        <w:rPr>
          <w:rFonts w:cs="Times New Roman"/>
          <w:szCs w:val="24"/>
          <w:lang w:val="en-US"/>
        </w:rPr>
        <w:fldChar w:fldCharType="begin"/>
      </w:r>
      <w:r w:rsidR="009A752A" w:rsidRPr="00802F1A">
        <w:rPr>
          <w:rFonts w:cs="Times New Roman"/>
          <w:szCs w:val="24"/>
          <w:lang w:val="en-US"/>
        </w:rPr>
        <w:instrText xml:space="preserve"> ADDIN EN.CITE &lt;EndNote&gt;&lt;Cite AuthorYear="1"&gt;&lt;Author&gt;Phillips&lt;/Author&gt;&lt;Year&gt;2007&lt;/Year&gt;&lt;RecNum&gt;1596&lt;/RecNum&gt;&lt;DisplayText&gt;Phillips and Sul (2007)&lt;/DisplayText&gt;&lt;record&gt;&lt;rec-number&gt;1596&lt;/rec-number&gt;&lt;foreign-keys&gt;&lt;key app="EN" db-id="esvrve9x1d0a5gerpeuprwp0vtp2zxx2ssr9" timestamp="1641818196"&gt;1596&lt;/key&gt;&lt;/foreign-keys&gt;&lt;ref-type name="Journal Article"&gt;17&lt;/ref-type&gt;&lt;contributors&gt;&lt;authors&gt;&lt;author&gt;Phillips, Peter C. B.&lt;/author&gt;&lt;author&gt;Sul, Donggyu&lt;/author&gt;&lt;/authors&gt;&lt;/contributors&gt;&lt;titles&gt;&lt;title&gt;Transition modeling and econometric convergence tests&lt;/title&gt;&lt;secondary-title&gt;Econometrica&lt;/secondary-title&gt;&lt;/titles&gt;&lt;periodical&gt;&lt;full-title&gt;econometrica&lt;/full-title&gt;&lt;/periodical&gt;&lt;pages&gt;1771-1855&lt;/pages&gt;&lt;volume&gt;75&lt;/volume&gt;&lt;number&gt;6&lt;/number&gt;&lt;dates&gt;&lt;year&gt;2007&lt;/year&gt;&lt;/dates&gt;&lt;publisher&gt;Wiley Online Library&lt;/publisher&gt;&lt;isbn&gt;0012-9682&lt;/isbn&gt;&lt;urls&gt;&lt;/urls&gt;&lt;/record&gt;&lt;/Cite&gt;&lt;/EndNote&gt;</w:instrText>
      </w:r>
      <w:r w:rsidR="009A752A" w:rsidRPr="00802F1A">
        <w:rPr>
          <w:rFonts w:cs="Times New Roman"/>
          <w:szCs w:val="24"/>
          <w:lang w:val="en-US"/>
        </w:rPr>
        <w:fldChar w:fldCharType="separate"/>
      </w:r>
      <w:r w:rsidR="009A752A" w:rsidRPr="00802F1A">
        <w:rPr>
          <w:rFonts w:cs="Times New Roman"/>
          <w:noProof/>
          <w:szCs w:val="24"/>
          <w:lang w:val="en-US"/>
        </w:rPr>
        <w:t>Phillips and Sul (2007)</w:t>
      </w:r>
      <w:r w:rsidR="009A752A" w:rsidRPr="00802F1A">
        <w:rPr>
          <w:rFonts w:cs="Times New Roman"/>
          <w:szCs w:val="24"/>
          <w:lang w:val="en-US"/>
        </w:rPr>
        <w:fldChar w:fldCharType="end"/>
      </w:r>
      <w:r w:rsidRPr="00802F1A">
        <w:rPr>
          <w:rFonts w:cs="Times New Roman"/>
          <w:szCs w:val="24"/>
          <w:lang w:val="en-US"/>
        </w:rPr>
        <w:t>, addresses this limitation by allowing for individual transition paths. It enables the testing of both overall convergence across all units and club convergence among specific units, categorizing them into convergence and divergence clubs. Consequently, the log t test represents the state of the art in assessing convergence in any given variable.</w:t>
      </w:r>
    </w:p>
    <w:p w14:paraId="545FDB01" w14:textId="77777777" w:rsidR="00BC489A" w:rsidRPr="00802F1A" w:rsidRDefault="00BC489A" w:rsidP="003D120D">
      <w:pPr>
        <w:jc w:val="both"/>
        <w:rPr>
          <w:rFonts w:cs="Times New Roman"/>
          <w:szCs w:val="24"/>
          <w:lang w:val="en-US"/>
        </w:rPr>
      </w:pPr>
    </w:p>
    <w:p w14:paraId="4AB34EF9" w14:textId="26D0622E" w:rsidR="00BC489A" w:rsidRPr="00802F1A" w:rsidRDefault="00BC489A" w:rsidP="00BC489A">
      <w:pPr>
        <w:jc w:val="both"/>
        <w:rPr>
          <w:rFonts w:cs="Times New Roman"/>
          <w:szCs w:val="24"/>
          <w:lang w:val="en-US"/>
        </w:rPr>
      </w:pPr>
      <w:r w:rsidRPr="00802F1A">
        <w:rPr>
          <w:rFonts w:cs="Times New Roman"/>
          <w:szCs w:val="24"/>
          <w:lang w:val="en-US"/>
        </w:rPr>
        <w:lastRenderedPageBreak/>
        <w:t xml:space="preserve">Our research focuses on examining the convergence of energy diversification, financial development, and real per-capita income among countries. The exploration of convergence patterns originated with </w:t>
      </w:r>
      <w:r w:rsidR="005675C5" w:rsidRPr="00802F1A">
        <w:fldChar w:fldCharType="begin"/>
      </w:r>
      <w:r w:rsidR="005675C5" w:rsidRPr="00802F1A">
        <w:instrText xml:space="preserve"> ADDIN EN.CITE &lt;EndNote&gt;&lt;Cite AuthorYear="1"&gt;&lt;Author&gt;Barro&lt;/Author&gt;&lt;Year&gt;1991&lt;/Year&gt;&lt;RecNum&gt;1701&lt;/RecNum&gt;&lt;DisplayText&gt;Barro&lt;style face="italic"&gt; et al.&lt;/style&gt; (1991)&lt;/DisplayText&gt;&lt;record&gt;&lt;rec-number&gt;1701&lt;/rec-number&gt;&lt;foreign-keys&gt;&lt;key app="EN" db-id="esvrve9x1d0a5gerpeuprwp0vtp2zxx2ssr9" timestamp="1654045642"&gt;1701&lt;/key&gt;&lt;/foreign-keys&gt;&lt;ref-type name="Journal Article"&gt;17&lt;/ref-type&gt;&lt;contributors&gt;&lt;authors&gt;&lt;author&gt;Barro, Robert J.&lt;/author&gt;&lt;author&gt;Sala-I-Martin, Xavier&lt;/author&gt;&lt;author&gt;Blanchard, Olivier Jean&lt;/author&gt;&lt;author&gt;Hall, Robert E.&lt;/author&gt;&lt;/authors&gt;&lt;/contributors&gt;&lt;titles&gt;&lt;title&gt;Convergence Across States and Regions&lt;/title&gt;&lt;secondary-title&gt;Brookings papers on economic activity&lt;/secondary-title&gt;&lt;/titles&gt;&lt;periodical&gt;&lt;full-title&gt;Brookings papers on economic activity&lt;/full-title&gt;&lt;/periodical&gt;&lt;pages&gt;107-182&lt;/pages&gt;&lt;volume&gt;1991&lt;/volume&gt;&lt;number&gt;1&lt;/number&gt;&lt;keywords&gt;&lt;keyword&gt;Capital mobility&lt;/keyword&gt;&lt;keyword&gt;Coefficients&lt;/keyword&gt;&lt;keyword&gt;Countries&lt;/keyword&gt;&lt;keyword&gt;Economic growth rate&lt;/keyword&gt;&lt;keyword&gt;Economics&lt;/keyword&gt;&lt;keyword&gt;Employment&lt;/keyword&gt;&lt;keyword&gt;Gross domestic product&lt;/keyword&gt;&lt;keyword&gt;Per capita growth&lt;/keyword&gt;&lt;keyword&gt;Personal income&lt;/keyword&gt;&lt;keyword&gt;Steady state economies&lt;/keyword&gt;&lt;/keywords&gt;&lt;dates&gt;&lt;year&gt;1991&lt;/year&gt;&lt;/dates&gt;&lt;publisher&gt;The Brookings Institution&lt;/publisher&gt;&lt;isbn&gt;0007-2303&lt;/isbn&gt;&lt;urls&gt;&lt;/urls&gt;&lt;electronic-resource-num&gt;10.2307/2534639&lt;/electronic-resource-num&gt;&lt;/record&gt;&lt;/Cite&gt;&lt;/EndNote&gt;</w:instrText>
      </w:r>
      <w:r w:rsidR="005675C5" w:rsidRPr="00802F1A">
        <w:fldChar w:fldCharType="separate"/>
      </w:r>
      <w:r w:rsidR="005675C5" w:rsidRPr="00802F1A">
        <w:rPr>
          <w:noProof/>
        </w:rPr>
        <w:t>Barro</w:t>
      </w:r>
      <w:r w:rsidR="005675C5" w:rsidRPr="00802F1A">
        <w:rPr>
          <w:i/>
          <w:noProof/>
        </w:rPr>
        <w:t xml:space="preserve"> et al.</w:t>
      </w:r>
      <w:r w:rsidR="005675C5" w:rsidRPr="00802F1A">
        <w:rPr>
          <w:noProof/>
        </w:rPr>
        <w:t xml:space="preserve"> (1991)</w:t>
      </w:r>
      <w:r w:rsidR="005675C5" w:rsidRPr="00802F1A">
        <w:fldChar w:fldCharType="end"/>
      </w:r>
      <w:r w:rsidRPr="00802F1A">
        <w:rPr>
          <w:rFonts w:cs="Times New Roman"/>
          <w:szCs w:val="24"/>
          <w:lang w:val="en-US"/>
        </w:rPr>
        <w:t xml:space="preserve"> who proposed that economies conform to neoclassical growth models, leading to the convergence of per-capita income across countries. Several studies have investigated per-capita income convergence, such as </w:t>
      </w:r>
      <w:r w:rsidR="00E02CA1" w:rsidRPr="00802F1A">
        <w:fldChar w:fldCharType="begin"/>
      </w:r>
      <w:r w:rsidR="00E02CA1" w:rsidRPr="00802F1A">
        <w:instrText xml:space="preserve"> ADDIN EN.CITE &lt;EndNote&gt;&lt;Cite AuthorYear="1"&gt;&lt;Author&gt;Cabral&lt;/Author&gt;&lt;Year&gt;2019&lt;/Year&gt;&lt;RecNum&gt;1691&lt;/RecNum&gt;&lt;DisplayText&gt;Cabral and Castellanos-Sosa (2019)&lt;/DisplayText&gt;&lt;record&gt;&lt;rec-number&gt;1691&lt;/rec-number&gt;&lt;foreign-keys&gt;&lt;key app="EN" db-id="esvrve9x1d0a5gerpeuprwp0vtp2zxx2ssr9" timestamp="1653923586"&gt;1691&lt;/key&gt;&lt;/foreign-keys&gt;&lt;ref-type name="Journal Article"&gt;17&lt;/ref-type&gt;&lt;contributors&gt;&lt;authors&gt;&lt;author&gt;Cabral, René&lt;/author&gt;&lt;author&gt;Castellanos-Sosa, Francisco A.&lt;/author&gt;&lt;/authors&gt;&lt;/contributors&gt;&lt;titles&gt;&lt;title&gt;Europe&amp;apos;s income convergence and the latest global financial crisis&lt;/title&gt;&lt;secondary-title&gt;Research in economics&lt;/secondary-title&gt;&lt;/titles&gt;&lt;periodical&gt;&lt;full-title&gt;Research in economics&lt;/full-title&gt;&lt;/periodical&gt;&lt;pages&gt;23-34&lt;/pages&gt;&lt;volume&gt;73&lt;/volume&gt;&lt;number&gt;1&lt;/number&gt;&lt;keywords&gt;&lt;keyword&gt;Convergence&lt;/keyword&gt;&lt;keyword&gt;Convergence (Social sciences)&lt;/keyword&gt;&lt;keyword&gt;Economic growth&lt;/keyword&gt;&lt;keyword&gt;European Monetary Union&lt;/keyword&gt;&lt;keyword&gt;European Union&lt;/keyword&gt;&lt;keyword&gt;Financial crisis&lt;/keyword&gt;&lt;/keywords&gt;&lt;dates&gt;&lt;year&gt;2019&lt;/year&gt;&lt;/dates&gt;&lt;publisher&gt;Elsevier Ltd&lt;/publisher&gt;&lt;isbn&gt;1090-9443&lt;/isbn&gt;&lt;urls&gt;&lt;/urls&gt;&lt;electronic-resource-num&gt;10.1016/j.rie.2019.01.003&lt;/electronic-resource-num&gt;&lt;/record&gt;&lt;/Cite&gt;&lt;/EndNote&gt;</w:instrText>
      </w:r>
      <w:r w:rsidR="00E02CA1" w:rsidRPr="00802F1A">
        <w:fldChar w:fldCharType="separate"/>
      </w:r>
      <w:r w:rsidR="00E02CA1" w:rsidRPr="00802F1A">
        <w:rPr>
          <w:noProof/>
        </w:rPr>
        <w:t>Cabral and Castellanos-Sosa (2019)</w:t>
      </w:r>
      <w:r w:rsidR="00E02CA1" w:rsidRPr="00802F1A">
        <w:fldChar w:fldCharType="end"/>
      </w:r>
      <w:r w:rsidRPr="00802F1A">
        <w:rPr>
          <w:rFonts w:cs="Times New Roman"/>
          <w:szCs w:val="24"/>
          <w:lang w:val="en-US"/>
        </w:rPr>
        <w:t xml:space="preserve"> for European countries, </w:t>
      </w:r>
      <w:r w:rsidR="00EE3ED4" w:rsidRPr="00802F1A">
        <w:fldChar w:fldCharType="begin"/>
      </w:r>
      <w:r w:rsidR="00EE3ED4" w:rsidRPr="00802F1A">
        <w:instrText xml:space="preserve"> ADDIN EN.CITE &lt;EndNote&gt;&lt;Cite AuthorYear="1"&gt;&lt;Author&gt;Michelis&lt;/Author&gt;&lt;Year&gt;2004&lt;/Year&gt;&lt;RecNum&gt;1694&lt;/RecNum&gt;&lt;DisplayText&gt;Michelis and Neaime (2004)&lt;/DisplayText&gt;&lt;record&gt;&lt;rec-number&gt;1694&lt;/rec-number&gt;&lt;foreign-keys&gt;&lt;key app="EN" db-id="esvrve9x1d0a5gerpeuprwp0vtp2zxx2ssr9" timestamp="1653924395"&gt;1694&lt;/key&gt;&lt;/foreign-keys&gt;&lt;ref-type name="Journal Article"&gt;17&lt;/ref-type&gt;&lt;contributors&gt;&lt;authors&gt;&lt;author&gt;Michelis, Leo&lt;/author&gt;&lt;author&gt;Neaime, Simon&lt;/author&gt;&lt;/authors&gt;&lt;/contributors&gt;&lt;titles&gt;&lt;title&gt;Income Convergence in the Asia-Pacific Region&lt;/title&gt;&lt;secondary-title&gt;Journal of economic integration&lt;/secondary-title&gt;&lt;/titles&gt;&lt;periodical&gt;&lt;full-title&gt;Journal of economic integration&lt;/full-title&gt;&lt;/periodical&gt;&lt;pages&gt;470-498&lt;/pages&gt;&lt;volume&gt;19&lt;/volume&gt;&lt;number&gt;3&lt;/number&gt;&lt;keywords&gt;&lt;keyword&gt;Economic crises&lt;/keyword&gt;&lt;keyword&gt;Economic development&lt;/keyword&gt;&lt;keyword&gt;Economic growth&lt;/keyword&gt;&lt;keyword&gt;Economic growth models&lt;/keyword&gt;&lt;keyword&gt;Economic growth rate&lt;/keyword&gt;&lt;keyword&gt;Economic regions&lt;/keyword&gt;&lt;keyword&gt;Economics&lt;/keyword&gt;&lt;keyword&gt;Gross domestic product&lt;/keyword&gt;&lt;keyword&gt;Long run economic growth&lt;/keyword&gt;&lt;keyword&gt;Statistical significance&lt;/keyword&gt;&lt;keyword&gt;</w:instrText>
      </w:r>
      <w:r w:rsidR="00EE3ED4" w:rsidRPr="00802F1A">
        <w:rPr>
          <w:rFonts w:ascii="Malgun Gothic" w:eastAsia="Malgun Gothic" w:hAnsi="Malgun Gothic" w:cs="Malgun Gothic" w:hint="eastAsia"/>
        </w:rPr>
        <w:instrText>경제학</w:instrText>
      </w:r>
      <w:r w:rsidR="00EE3ED4" w:rsidRPr="00802F1A">
        <w:instrText>&lt;/keyword&gt;&lt;/keywords&gt;&lt;dates&gt;&lt;year&gt;2004&lt;/year&gt;&lt;/dates&gt;&lt;publisher&gt;Center for International Economics, Sejong Institution&lt;/publisher&gt;&lt;isbn&gt;1225-651X&lt;/isbn&gt;&lt;urls&gt;&lt;/urls&gt;&lt;electronic-resource-num&gt;10.11130/jei.2004.19.3.470&lt;/electronic-resource-num&gt;&lt;/record&gt;&lt;/Cite&gt;&lt;/EndNote&gt;</w:instrText>
      </w:r>
      <w:r w:rsidR="00EE3ED4" w:rsidRPr="00802F1A">
        <w:fldChar w:fldCharType="separate"/>
      </w:r>
      <w:r w:rsidR="00EE3ED4" w:rsidRPr="00802F1A">
        <w:rPr>
          <w:noProof/>
        </w:rPr>
        <w:t>Michelis and Neaime (2004)</w:t>
      </w:r>
      <w:r w:rsidR="00EE3ED4" w:rsidRPr="00802F1A">
        <w:fldChar w:fldCharType="end"/>
      </w:r>
      <w:r w:rsidRPr="00802F1A">
        <w:rPr>
          <w:rFonts w:cs="Times New Roman"/>
          <w:szCs w:val="24"/>
          <w:lang w:val="en-US"/>
        </w:rPr>
        <w:t xml:space="preserve"> for the Asia Pacific region, </w:t>
      </w:r>
      <w:r w:rsidR="00EE3ED4" w:rsidRPr="00802F1A">
        <w:fldChar w:fldCharType="begin"/>
      </w:r>
      <w:r w:rsidR="00EE3ED4" w:rsidRPr="00802F1A">
        <w:instrText xml:space="preserve"> ADDIN EN.CITE &lt;EndNote&gt;&lt;Cite AuthorYear="1"&gt;&lt;Author&gt;Zhao&lt;/Author&gt;&lt;Year&gt;2019&lt;/Year&gt;&lt;RecNum&gt;1695&lt;/RecNum&gt;&lt;DisplayText&gt;Zhao and Serieux (2019)&lt;/DisplayText&gt;&lt;record&gt;&lt;rec-number&gt;1695&lt;/rec-number&gt;&lt;foreign-keys&gt;&lt;key app="EN" db-id="esvrve9x1d0a5gerpeuprwp0vtp2zxx2ssr9" timestamp="1653924775"&gt;1695&lt;/key&gt;&lt;/foreign-keys&gt;&lt;ref-type name="Journal Article"&gt;17&lt;/ref-type&gt;&lt;contributors&gt;&lt;authors&gt;&lt;author&gt;Zhao, Jun&lt;/author&gt;&lt;author&gt;Serieux, John&lt;/author&gt;&lt;/authors&gt;&lt;/contributors&gt;&lt;titles&gt;&lt;title&gt;Globalization, regionalization and convergence in East Asia&lt;/title&gt;&lt;secondary-title&gt;The journal of international trade &amp;amp; economic development&lt;/secondary-title&gt;&lt;/titles&gt;&lt;periodical&gt;&lt;full-title&gt;The journal of international trade &amp;amp; economic development&lt;/full-title&gt;&lt;/periodical&gt;&lt;pages&gt;486-507&lt;/pages&gt;&lt;volume&gt;28&lt;/volume&gt;&lt;number&gt;4&lt;/number&gt;&lt;keywords&gt;&lt;keyword&gt;capital flows&lt;/keyword&gt;&lt;keyword&gt;Clubs&lt;/keyword&gt;&lt;keyword&gt;Convergence&lt;/keyword&gt;&lt;keyword&gt;East Asia&lt;/keyword&gt;&lt;keyword&gt;Economic models&lt;/keyword&gt;&lt;keyword&gt;Exports&lt;/keyword&gt;&lt;keyword&gt;Foreign investment&lt;/keyword&gt;&lt;keyword&gt;Globalization&lt;/keyword&gt;&lt;keyword&gt;Immediate&lt;/keyword&gt;&lt;keyword&gt;income convergence&lt;/keyword&gt;&lt;keyword&gt;Technology&lt;/keyword&gt;&lt;keyword&gt;technology flows&lt;/keyword&gt;&lt;keyword&gt;Trade flows&lt;/keyword&gt;&lt;/keywords&gt;&lt;dates&gt;&lt;year&gt;2019&lt;/year&gt;&lt;/dates&gt;&lt;pub-location&gt;London&lt;/pub-location&gt;&lt;publisher&gt;Routledge&lt;/publisher&gt;&lt;isbn&gt;0963-8199&lt;/isbn&gt;&lt;urls&gt;&lt;/urls&gt;&lt;electronic-resource-num&gt;10.1080/09638199.2018.1550801&lt;/electronic-resource-num&gt;&lt;/record&gt;&lt;/Cite&gt;&lt;/EndNote&gt;</w:instrText>
      </w:r>
      <w:r w:rsidR="00EE3ED4" w:rsidRPr="00802F1A">
        <w:fldChar w:fldCharType="separate"/>
      </w:r>
      <w:r w:rsidR="00EE3ED4" w:rsidRPr="00802F1A">
        <w:rPr>
          <w:noProof/>
        </w:rPr>
        <w:t>Zhao and Serieux (2019)</w:t>
      </w:r>
      <w:r w:rsidR="00EE3ED4" w:rsidRPr="00802F1A">
        <w:fldChar w:fldCharType="end"/>
      </w:r>
      <w:r w:rsidRPr="00802F1A">
        <w:rPr>
          <w:rFonts w:cs="Times New Roman"/>
          <w:szCs w:val="24"/>
          <w:lang w:val="en-US"/>
        </w:rPr>
        <w:t xml:space="preserve"> for East Asian countries, </w:t>
      </w:r>
      <w:r w:rsidR="00EE3ED4" w:rsidRPr="00802F1A">
        <w:fldChar w:fldCharType="begin"/>
      </w:r>
      <w:r w:rsidR="00EE3ED4" w:rsidRPr="00802F1A">
        <w:instrText xml:space="preserve"> ADDIN EN.CITE &lt;EndNote&gt;&lt;Cite AuthorYear="1"&gt;&lt;Author&gt;Tung&lt;/Author&gt;&lt;Year&gt;2019&lt;/Year&gt;&lt;RecNum&gt;1697&lt;/RecNum&gt;&lt;DisplayText&gt;Tung and Bentzen (2019)&lt;/DisplayText&gt;&lt;record&gt;&lt;rec-number&gt;1697&lt;/rec-number&gt;&lt;foreign-keys&gt;&lt;key app="EN" db-id="esvrve9x1d0a5gerpeuprwp0vtp2zxx2ssr9" timestamp="1653925503"&gt;1697&lt;/key&gt;&lt;/foreign-keys&gt;&lt;ref-type name="Journal Article"&gt;17&lt;/ref-type&gt;&lt;contributors&gt;&lt;authors&gt;&lt;author&gt;Tung, Le Thanh&lt;/author&gt;&lt;author&gt;Bentzen, Jan&lt;/author&gt;&lt;/authors&gt;&lt;/contributors&gt;&lt;titles&gt;&lt;title&gt;Regional income convergence in Indochina 1970-2015?&lt;/title&gt;&lt;secondary-title&gt;Applied economics letters&lt;/secondary-title&gt;&lt;/titles&gt;&lt;periodical&gt;&lt;full-title&gt;Applied economics letters&lt;/full-title&gt;&lt;/periodical&gt;&lt;pages&gt;168-173&lt;/pages&gt;&lt;volume&gt;26&lt;/volume&gt;&lt;number&gt;3&lt;/number&gt;&lt;keywords&gt;&lt;keyword&gt;Catching&lt;/keyword&gt;&lt;keyword&gt;Convergence&lt;/keyword&gt;&lt;keyword&gt;Economic models&lt;/keyword&gt;&lt;keyword&gt;Income growth&lt;/keyword&gt;&lt;keyword&gt;Indochina&lt;/keyword&gt;&lt;keyword&gt;Low income groups&lt;/keyword&gt;&lt;keyword&gt;Real income&lt;/keyword&gt;&lt;keyword&gt;Regional variations&lt;/keyword&gt;&lt;keyword&gt;Time series&lt;/keyword&gt;&lt;keyword&gt;time-series tests&lt;/keyword&gt;&lt;/keywords&gt;&lt;dates&gt;&lt;year&gt;2019&lt;/year&gt;&lt;/dates&gt;&lt;pub-location&gt;London&lt;/pub-location&gt;&lt;publisher&gt;Routledge&lt;/publisher&gt;&lt;isbn&gt;1350-4851&lt;/isbn&gt;&lt;urls&gt;&lt;/urls&gt;&lt;electronic-resource-num&gt;10.1080/13504851.2018.1444258&lt;/electronic-resource-num&gt;&lt;/record&gt;&lt;/Cite&gt;&lt;/EndNote&gt;</w:instrText>
      </w:r>
      <w:r w:rsidR="00EE3ED4" w:rsidRPr="00802F1A">
        <w:fldChar w:fldCharType="separate"/>
      </w:r>
      <w:r w:rsidR="00EE3ED4" w:rsidRPr="00802F1A">
        <w:rPr>
          <w:noProof/>
        </w:rPr>
        <w:t>Tung and Bentzen (2019)</w:t>
      </w:r>
      <w:r w:rsidR="00EE3ED4" w:rsidRPr="00802F1A">
        <w:fldChar w:fldCharType="end"/>
      </w:r>
      <w:r w:rsidRPr="00802F1A">
        <w:rPr>
          <w:rFonts w:cs="Times New Roman"/>
          <w:szCs w:val="24"/>
          <w:lang w:val="en-US"/>
        </w:rPr>
        <w:t xml:space="preserve"> for the Indochina region, and </w:t>
      </w:r>
      <w:r w:rsidR="004A6508" w:rsidRPr="00802F1A">
        <w:rPr>
          <w:lang w:val="vi-VN"/>
        </w:rPr>
        <w:fldChar w:fldCharType="begin"/>
      </w:r>
      <w:r w:rsidR="004A6508" w:rsidRPr="00802F1A">
        <w:rPr>
          <w:lang w:val="vi-VN"/>
        </w:rPr>
        <w:instrText xml:space="preserve"> ADDIN EN.CITE &lt;EndNote&gt;&lt;Cite AuthorYear="1"&gt;&lt;Author&gt;Ghatak&lt;/Author&gt;&lt;Year&gt;2021&lt;/Year&gt;&lt;RecNum&gt;1700&lt;/RecNum&gt;&lt;DisplayText&gt;Ghatak and De (2021)&lt;/DisplayText&gt;&lt;record&gt;&lt;rec-number&gt;1700&lt;/rec-number&gt;&lt;foreign-keys&gt;&lt;key app="EN" db-id="esvrve9x1d0a5gerpeuprwp0vtp2zxx2ssr9" timestamp="1654002693"&gt;1700&lt;/key&gt;&lt;/foreign-keys&gt;&lt;ref-type name="Journal Article"&gt;17&lt;/ref-type&gt;&lt;contributors&gt;&lt;authors&gt;&lt;author&gt;Ghatak, Sunetra&lt;/author&gt;&lt;author&gt;De, Prabir&lt;/author&gt;&lt;/authors&gt;&lt;/contributors&gt;&lt;titles&gt;&lt;title&gt;Income Convergence Across Asian Economies: An Empirical Exploration&lt;/title&gt;&lt;secondary-title&gt;Journal of Asia-Pacific business&lt;/secondary-title&gt;&lt;/titles&gt;&lt;periodical&gt;&lt;full-title&gt;Journal of Asia-Pacific business&lt;/full-title&gt;&lt;/periodical&gt;&lt;pages&gt;182-200&lt;/pages&gt;&lt;volume&gt;22&lt;/volume&gt;&lt;number&gt;3&lt;/number&gt;&lt;keywords&gt;&lt;keyword&gt;Asia&lt;/keyword&gt;&lt;keyword&gt;Convergence&lt;/keyword&gt;&lt;keyword&gt;divergence&lt;/keyword&gt;&lt;keyword&gt;income&lt;/keyword&gt;&lt;keyword&gt;trade&lt;/keyword&gt;&lt;/keywords&gt;&lt;dates&gt;&lt;year&gt;2021&lt;/year&gt;&lt;/dates&gt;&lt;publisher&gt;Routledge&lt;/publisher&gt;&lt;isbn&gt;1059-9231&lt;/isbn&gt;&lt;urls&gt;&lt;/urls&gt;&lt;electronic-resource-num&gt;10.1080/10599231.2021.1943808&lt;/electronic-resource-num&gt;&lt;/record&gt;&lt;/Cite&gt;&lt;/EndNote&gt;</w:instrText>
      </w:r>
      <w:r w:rsidR="004A6508" w:rsidRPr="00802F1A">
        <w:rPr>
          <w:lang w:val="vi-VN"/>
        </w:rPr>
        <w:fldChar w:fldCharType="separate"/>
      </w:r>
      <w:r w:rsidR="004A6508" w:rsidRPr="00802F1A">
        <w:rPr>
          <w:noProof/>
          <w:lang w:val="vi-VN"/>
        </w:rPr>
        <w:t>Ghatak and De (2021)</w:t>
      </w:r>
      <w:r w:rsidR="004A6508" w:rsidRPr="00802F1A">
        <w:rPr>
          <w:lang w:val="vi-VN"/>
        </w:rPr>
        <w:fldChar w:fldCharType="end"/>
      </w:r>
      <w:r w:rsidRPr="00802F1A">
        <w:rPr>
          <w:rFonts w:cs="Times New Roman"/>
          <w:szCs w:val="24"/>
          <w:lang w:val="en-US"/>
        </w:rPr>
        <w:t xml:space="preserve"> for Asian countries.</w:t>
      </w:r>
    </w:p>
    <w:p w14:paraId="5BE97E7F" w14:textId="77777777" w:rsidR="00BC489A" w:rsidRPr="00802F1A" w:rsidRDefault="00BC489A" w:rsidP="00BC489A">
      <w:pPr>
        <w:jc w:val="both"/>
        <w:rPr>
          <w:rFonts w:cs="Times New Roman"/>
          <w:szCs w:val="24"/>
          <w:lang w:val="en-US"/>
        </w:rPr>
      </w:pPr>
    </w:p>
    <w:p w14:paraId="27A6B863" w14:textId="4E9D2030" w:rsidR="00BC489A" w:rsidRPr="00802F1A" w:rsidRDefault="00BC489A" w:rsidP="00BC489A">
      <w:pPr>
        <w:jc w:val="both"/>
        <w:rPr>
          <w:rFonts w:cs="Times New Roman"/>
          <w:szCs w:val="24"/>
          <w:lang w:val="en-US"/>
        </w:rPr>
      </w:pPr>
      <w:r w:rsidRPr="00802F1A">
        <w:rPr>
          <w:rFonts w:cs="Times New Roman"/>
          <w:szCs w:val="24"/>
          <w:lang w:val="en-US"/>
        </w:rPr>
        <w:t xml:space="preserve">Similarly, numerous studies have explored convergence in energy-related variables, including energy consumption </w:t>
      </w:r>
      <w:r w:rsidR="007E7055" w:rsidRPr="00802F1A">
        <w:fldChar w:fldCharType="begin"/>
      </w:r>
      <w:r w:rsidR="00D75491" w:rsidRPr="00802F1A">
        <w:instrText xml:space="preserve"> ADDIN EN.CITE &lt;EndNote&gt;&lt;Cite&gt;&lt;Author&gt;Liu&lt;/Author&gt;&lt;Year&gt;2020&lt;/Year&gt;&lt;RecNum&gt;1687&lt;/RecNum&gt;&lt;DisplayText&gt;(Liu and Lee, 2020)&lt;/DisplayText&gt;&lt;record&gt;&lt;rec-number&gt;1687&lt;/rec-number&gt;&lt;foreign-keys&gt;&lt;key app="EN" db-id="esvrve9x1d0a5gerpeuprwp0vtp2zxx2ssr9" timestamp="1653914879"&gt;1687&lt;/key&gt;&lt;/foreign-keys&gt;&lt;ref-type name="Journal Article"&gt;17&lt;/ref-type&gt;&lt;contributors&gt;&lt;authors&gt;&lt;author&gt;Liu, Tie-Ying&lt;/author&gt;&lt;author&gt;Lee, Chien-Chiang&lt;/author&gt;&lt;/authors&gt;&lt;/contributors&gt;&lt;titles&gt;&lt;title&gt;Convergence of the world’s energy use&lt;/title&gt;&lt;secondary-title&gt;Resource and Energy Economics&lt;/secondary-title&gt;&lt;/titles&gt;&lt;periodical&gt;&lt;full-title&gt;Resource and Energy Economics&lt;/full-title&gt;&lt;/periodical&gt;&lt;pages&gt;101199&lt;/pages&gt;&lt;volume&gt;62&lt;/volume&gt;&lt;keywords&gt;&lt;keyword&gt;Energy use&lt;/keyword&gt;&lt;keyword&gt;Convergence&lt;/keyword&gt;&lt;keyword&gt;Diversity&lt;/keyword&gt;&lt;keyword&gt;Sequential panel selection method&lt;/keyword&gt;&lt;keyword&gt;Convergence order&lt;/keyword&gt;&lt;/keywords&gt;&lt;dates&gt;&lt;year&gt;2020&lt;/year&gt;&lt;pub-dates&gt;&lt;date&gt;2020/11/01/&lt;/date&gt;&lt;/pub-dates&gt;&lt;/dates&gt;&lt;isbn&gt;0928-7655&lt;/isbn&gt;&lt;urls&gt;&lt;related-urls&gt;&lt;url&gt;https://www.sciencedirect.com/science/article/pii/S0928765519300417&lt;/url&gt;&lt;/related-urls&gt;&lt;/urls&gt;&lt;electronic-resource-num&gt;https://doi.org/10.1016/j.reseneeco.2020.101199&lt;/electronic-resource-num&gt;&lt;/record&gt;&lt;/Cite&gt;&lt;/EndNote&gt;</w:instrText>
      </w:r>
      <w:r w:rsidR="007E7055" w:rsidRPr="00802F1A">
        <w:fldChar w:fldCharType="separate"/>
      </w:r>
      <w:r w:rsidR="00D75491" w:rsidRPr="00802F1A">
        <w:rPr>
          <w:noProof/>
        </w:rPr>
        <w:t>(Liu and Lee, 2020)</w:t>
      </w:r>
      <w:r w:rsidR="007E7055" w:rsidRPr="00802F1A">
        <w:fldChar w:fldCharType="end"/>
      </w:r>
      <w:r w:rsidR="007E7055" w:rsidRPr="00802F1A">
        <w:t xml:space="preserve"> </w:t>
      </w:r>
      <w:r w:rsidRPr="00802F1A">
        <w:rPr>
          <w:rFonts w:cs="Times New Roman"/>
          <w:szCs w:val="24"/>
          <w:lang w:val="en-US"/>
        </w:rPr>
        <w:t xml:space="preserve">across 107 countries, energy intensity (measured by energy consumption/GDP) </w:t>
      </w:r>
      <w:r w:rsidR="00430E8D" w:rsidRPr="00802F1A">
        <w:rPr>
          <w:rFonts w:cs="Times New Roman"/>
          <w:szCs w:val="24"/>
          <w:lang w:val="en-US"/>
        </w:rPr>
        <w:fldChar w:fldCharType="begin"/>
      </w:r>
      <w:r w:rsidR="00430E8D" w:rsidRPr="00802F1A">
        <w:rPr>
          <w:rFonts w:cs="Times New Roman"/>
          <w:szCs w:val="24"/>
          <w:lang w:val="en-US"/>
        </w:rPr>
        <w:instrText xml:space="preserve"> ADDIN EN.CITE &lt;EndNote&gt;&lt;Cite&gt;&lt;Author&gt;Markandya&lt;/Author&gt;&lt;Year&gt;2006&lt;/Year&gt;&lt;RecNum&gt;1513&lt;/RecNum&gt;&lt;DisplayText&gt;(Markandya&lt;style face="italic"&gt; et al.&lt;/style&gt;, 2006)&lt;/DisplayText&gt;&lt;record&gt;&lt;rec-number&gt;1513&lt;/rec-number&gt;&lt;foreign-keys&gt;&lt;key app="EN" db-id="s0x0022p9x5xtlep5rz5rpxd9d0spafr5tx2" timestamp="1687874568"&gt;1513&lt;/key&gt;&lt;/foreign-keys&gt;&lt;ref-type name="Journal Article"&gt;17&lt;/ref-type&gt;&lt;contributors&gt;&lt;authors&gt;&lt;author&gt;Markandya, Anil&lt;/author&gt;&lt;author&gt;Pedroso-Galinato, Suzette&lt;/author&gt;&lt;author&gt;Streimikiene, Dalia&lt;/author&gt;&lt;/authors&gt;&lt;/contributors&gt;&lt;titles&gt;&lt;title&gt;Energy intensity in transition economies: is there convergence towards the EU average?&lt;/title&gt;&lt;secondary-title&gt;Energy Economics&lt;/secondary-title&gt;&lt;/titles&gt;&lt;periodical&gt;&lt;full-title&gt;Energy Economics&lt;/full-title&gt;&lt;/periodical&gt;&lt;pages&gt;121-145&lt;/pages&gt;&lt;volume&gt;28&lt;/volume&gt;&lt;number&gt;1&lt;/number&gt;&lt;dates&gt;&lt;year&gt;2006&lt;/year&gt;&lt;/dates&gt;&lt;publisher&gt;Elsevier&lt;/publisher&gt;&lt;isbn&gt;0140-9883&lt;/isbn&gt;&lt;urls&gt;&lt;/urls&gt;&lt;/record&gt;&lt;/Cite&gt;&lt;/EndNote&gt;</w:instrText>
      </w:r>
      <w:r w:rsidR="00430E8D" w:rsidRPr="00802F1A">
        <w:rPr>
          <w:rFonts w:cs="Times New Roman"/>
          <w:szCs w:val="24"/>
          <w:lang w:val="en-US"/>
        </w:rPr>
        <w:fldChar w:fldCharType="separate"/>
      </w:r>
      <w:r w:rsidR="00430E8D" w:rsidRPr="00802F1A">
        <w:rPr>
          <w:rFonts w:cs="Times New Roman"/>
          <w:noProof/>
          <w:szCs w:val="24"/>
          <w:lang w:val="en-US"/>
        </w:rPr>
        <w:t>(Markandya</w:t>
      </w:r>
      <w:r w:rsidR="00430E8D" w:rsidRPr="00802F1A">
        <w:rPr>
          <w:rFonts w:cs="Times New Roman"/>
          <w:i/>
          <w:noProof/>
          <w:szCs w:val="24"/>
          <w:lang w:val="en-US"/>
        </w:rPr>
        <w:t xml:space="preserve"> et al.</w:t>
      </w:r>
      <w:r w:rsidR="00430E8D" w:rsidRPr="00802F1A">
        <w:rPr>
          <w:rFonts w:cs="Times New Roman"/>
          <w:noProof/>
          <w:szCs w:val="24"/>
          <w:lang w:val="en-US"/>
        </w:rPr>
        <w:t>, 2006)</w:t>
      </w:r>
      <w:r w:rsidR="00430E8D" w:rsidRPr="00802F1A">
        <w:rPr>
          <w:rFonts w:cs="Times New Roman"/>
          <w:szCs w:val="24"/>
          <w:lang w:val="en-US"/>
        </w:rPr>
        <w:fldChar w:fldCharType="end"/>
      </w:r>
      <w:r w:rsidR="00430E8D" w:rsidRPr="00802F1A">
        <w:rPr>
          <w:rFonts w:cs="Times New Roman"/>
          <w:szCs w:val="24"/>
          <w:lang w:val="en-US"/>
        </w:rPr>
        <w:t xml:space="preserve"> </w:t>
      </w:r>
      <w:r w:rsidRPr="00802F1A">
        <w:rPr>
          <w:rFonts w:cs="Times New Roman"/>
          <w:szCs w:val="24"/>
          <w:lang w:val="en-US"/>
        </w:rPr>
        <w:t>for European countries, energy and electricity consumption per capita</w:t>
      </w:r>
      <w:r w:rsidR="009C6A0B" w:rsidRPr="00802F1A">
        <w:rPr>
          <w:rFonts w:cs="Times New Roman"/>
          <w:szCs w:val="24"/>
          <w:lang w:val="en-US"/>
        </w:rPr>
        <w:t xml:space="preserve"> </w:t>
      </w:r>
      <w:r w:rsidR="009C6A0B" w:rsidRPr="00802F1A">
        <w:rPr>
          <w:rFonts w:cs="Times New Roman"/>
          <w:szCs w:val="24"/>
          <w:lang w:val="en-US"/>
        </w:rPr>
        <w:fldChar w:fldCharType="begin"/>
      </w:r>
      <w:r w:rsidR="009C6A0B" w:rsidRPr="00802F1A">
        <w:rPr>
          <w:rFonts w:cs="Times New Roman"/>
          <w:szCs w:val="24"/>
          <w:lang w:val="en-US"/>
        </w:rPr>
        <w:instrText xml:space="preserve"> ADDIN EN.CITE &lt;EndNote&gt;&lt;Cite&gt;&lt;Author&gt;Mohammadi&lt;/Author&gt;&lt;Year&gt;2012&lt;/Year&gt;&lt;RecNum&gt;1514&lt;/RecNum&gt;&lt;DisplayText&gt;(Mohammadi and Ram, 2012)&lt;/DisplayText&gt;&lt;record&gt;&lt;rec-number&gt;1514&lt;/rec-number&gt;&lt;foreign-keys&gt;&lt;key app="EN" db-id="s0x0022p9x5xtlep5rz5rpxd9d0spafr5tx2" timestamp="1687874874"&gt;1514&lt;/key&gt;&lt;/foreign-keys&gt;&lt;ref-type name="Journal Article"&gt;17&lt;/ref-type&gt;&lt;contributors&gt;&lt;authors&gt;&lt;author&gt;Mohammadi, Hassan&lt;/author&gt;&lt;author&gt;Ram, Rati&lt;/author&gt;&lt;/authors&gt;&lt;/contributors&gt;&lt;titles&gt;&lt;title&gt;Cross-country convergence in energy and electricity consumption, 1971–2007&lt;/title&gt;&lt;secondary-title&gt;Energy economics&lt;/secondary-title&gt;&lt;/titles&gt;&lt;periodical&gt;&lt;full-title&gt;Energy Economics&lt;/full-title&gt;&lt;/periodical&gt;&lt;pages&gt;1882-1887&lt;/pages&gt;&lt;volume&gt;34&lt;/volume&gt;&lt;number&gt;6&lt;/number&gt;&lt;dates&gt;&lt;year&gt;2012&lt;/year&gt;&lt;/dates&gt;&lt;publisher&gt;Elsevier&lt;/publisher&gt;&lt;isbn&gt;0140-9883&lt;/isbn&gt;&lt;urls&gt;&lt;/urls&gt;&lt;/record&gt;&lt;/Cite&gt;&lt;/EndNote&gt;</w:instrText>
      </w:r>
      <w:r w:rsidR="009C6A0B" w:rsidRPr="00802F1A">
        <w:rPr>
          <w:rFonts w:cs="Times New Roman"/>
          <w:szCs w:val="24"/>
          <w:lang w:val="en-US"/>
        </w:rPr>
        <w:fldChar w:fldCharType="separate"/>
      </w:r>
      <w:r w:rsidR="009C6A0B" w:rsidRPr="00802F1A">
        <w:rPr>
          <w:rFonts w:cs="Times New Roman"/>
          <w:noProof/>
          <w:szCs w:val="24"/>
          <w:lang w:val="en-US"/>
        </w:rPr>
        <w:t>(Mohammadi and Ram, 2012)</w:t>
      </w:r>
      <w:r w:rsidR="009C6A0B" w:rsidRPr="00802F1A">
        <w:rPr>
          <w:rFonts w:cs="Times New Roman"/>
          <w:szCs w:val="24"/>
          <w:lang w:val="en-US"/>
        </w:rPr>
        <w:fldChar w:fldCharType="end"/>
      </w:r>
      <w:r w:rsidRPr="00802F1A">
        <w:rPr>
          <w:rFonts w:cs="Times New Roman"/>
          <w:szCs w:val="24"/>
          <w:lang w:val="en-US"/>
        </w:rPr>
        <w:t xml:space="preserve"> in a global sample, and energy productivity (measured by GDP/energy consumption) </w:t>
      </w:r>
      <w:r w:rsidR="009C6A0B" w:rsidRPr="00802F1A">
        <w:rPr>
          <w:rFonts w:cs="Times New Roman"/>
          <w:szCs w:val="24"/>
          <w:lang w:val="en-US"/>
        </w:rPr>
        <w:fldChar w:fldCharType="begin"/>
      </w:r>
      <w:r w:rsidR="009C6A0B" w:rsidRPr="00802F1A">
        <w:rPr>
          <w:rFonts w:cs="Times New Roman"/>
          <w:szCs w:val="24"/>
          <w:lang w:val="en-US"/>
        </w:rPr>
        <w:instrText xml:space="preserve"> ADDIN EN.CITE &lt;EndNote&gt;&lt;Cite&gt;&lt;Author&gt;Parker&lt;/Author&gt;&lt;Year&gt;2017&lt;/Year&gt;&lt;RecNum&gt;1683&lt;/RecNum&gt;&lt;DisplayText&gt;(Parker and Liddle, 2017)&lt;/DisplayText&gt;&lt;record&gt;&lt;rec-number&gt;1683&lt;/rec-number&gt;&lt;foreign-keys&gt;&lt;key app="EN" db-id="esvrve9x1d0a5gerpeuprwp0vtp2zxx2ssr9" timestamp="1653905552"&gt;1683&lt;/key&gt;&lt;/foreign-keys&gt;&lt;ref-type name="Journal Article"&gt;17&lt;/ref-type&gt;&lt;contributors&gt;&lt;authors&gt;&lt;author&gt;Parker, Steven&lt;/author&gt;&lt;author&gt;Liddle, Brantley&lt;/author&gt;&lt;/authors&gt;&lt;/contributors&gt;&lt;titles&gt;&lt;title&gt;Economy-wide and manufacturing energy productivity transition paths and club convergence for OECD and non-OECD countries&lt;/title&gt;&lt;secondary-title&gt;Energy Economics&lt;/secondary-title&gt;&lt;/titles&gt;&lt;periodical&gt;&lt;full-title&gt;Energy Economics&lt;/full-title&gt;&lt;/periodical&gt;&lt;pages&gt;338-346&lt;/pages&gt;&lt;volume&gt;62&lt;/volume&gt;&lt;keywords&gt;&lt;keyword&gt;Energy productivity&lt;/keyword&gt;&lt;keyword&gt;Club convergence/clustering&lt;/keyword&gt;&lt;keyword&gt;Non-OECD&lt;/keyword&gt;&lt;keyword&gt;Transition paths&lt;/keyword&gt;&lt;keyword&gt;Manufacturing&lt;/keyword&gt;&lt;/keywords&gt;&lt;dates&gt;&lt;year&gt;2017&lt;/year&gt;&lt;pub-dates&gt;&lt;date&gt;2017/02/01/&lt;/date&gt;&lt;/pub-dates&gt;&lt;/dates&gt;&lt;isbn&gt;0140-9883&lt;/isbn&gt;&lt;urls&gt;&lt;related-urls&gt;&lt;url&gt;https://www.sciencedirect.com/science/article/pii/S0140988316301906&lt;/url&gt;&lt;/related-urls&gt;&lt;/urls&gt;&lt;electronic-resource-num&gt;https://doi.org/10.1016/j.eneco.2016.07.018&lt;/electronic-resource-num&gt;&lt;/record&gt;&lt;/Cite&gt;&lt;/EndNote&gt;</w:instrText>
      </w:r>
      <w:r w:rsidR="009C6A0B" w:rsidRPr="00802F1A">
        <w:rPr>
          <w:rFonts w:cs="Times New Roman"/>
          <w:szCs w:val="24"/>
          <w:lang w:val="en-US"/>
        </w:rPr>
        <w:fldChar w:fldCharType="separate"/>
      </w:r>
      <w:r w:rsidR="009C6A0B" w:rsidRPr="00802F1A">
        <w:rPr>
          <w:rFonts w:cs="Times New Roman"/>
          <w:noProof/>
          <w:szCs w:val="24"/>
          <w:lang w:val="en-US"/>
        </w:rPr>
        <w:t>(Parker and Liddle, 2017)</w:t>
      </w:r>
      <w:r w:rsidR="009C6A0B" w:rsidRPr="00802F1A">
        <w:rPr>
          <w:rFonts w:cs="Times New Roman"/>
          <w:szCs w:val="24"/>
          <w:lang w:val="en-US"/>
        </w:rPr>
        <w:fldChar w:fldCharType="end"/>
      </w:r>
      <w:r w:rsidR="009C6A0B" w:rsidRPr="00802F1A">
        <w:rPr>
          <w:rFonts w:cs="Times New Roman"/>
          <w:szCs w:val="24"/>
          <w:lang w:val="en-US"/>
        </w:rPr>
        <w:t xml:space="preserve"> </w:t>
      </w:r>
      <w:r w:rsidRPr="00802F1A">
        <w:rPr>
          <w:rFonts w:cs="Times New Roman"/>
          <w:szCs w:val="24"/>
          <w:lang w:val="en-US"/>
        </w:rPr>
        <w:t>across 33 countries. However, none of these studies have specifically examined the convergence in energy diversification.</w:t>
      </w:r>
    </w:p>
    <w:p w14:paraId="41FC772C" w14:textId="77777777" w:rsidR="00BC489A" w:rsidRPr="00802F1A" w:rsidRDefault="00BC489A" w:rsidP="00BC489A">
      <w:pPr>
        <w:jc w:val="both"/>
        <w:rPr>
          <w:rFonts w:cs="Times New Roman"/>
          <w:szCs w:val="24"/>
          <w:lang w:val="en-US"/>
        </w:rPr>
      </w:pPr>
    </w:p>
    <w:p w14:paraId="47ADF951" w14:textId="11E55304" w:rsidR="00BC489A" w:rsidRPr="00802F1A" w:rsidRDefault="00BC489A" w:rsidP="00BC489A">
      <w:pPr>
        <w:jc w:val="both"/>
        <w:rPr>
          <w:rFonts w:cs="Times New Roman"/>
          <w:szCs w:val="24"/>
          <w:lang w:val="en-US"/>
        </w:rPr>
      </w:pPr>
      <w:r w:rsidRPr="00802F1A">
        <w:rPr>
          <w:rFonts w:cs="Times New Roman"/>
          <w:szCs w:val="24"/>
          <w:lang w:val="en-US"/>
        </w:rPr>
        <w:t xml:space="preserve">Furthermore, there have been limited studies on the convergence of financial development-related variables. Some examples include FDI inflow to GDP </w:t>
      </w:r>
      <w:r w:rsidR="00283F3D" w:rsidRPr="00802F1A">
        <w:fldChar w:fldCharType="begin"/>
      </w:r>
      <w:r w:rsidR="00283F3D" w:rsidRPr="00802F1A">
        <w:instrText xml:space="preserve"> ADDIN EN.CITE &lt;EndNote&gt;&lt;Cite&gt;&lt;Author&gt;Selvarajan&lt;/Author&gt;&lt;Year&gt;2018&lt;/Year&gt;&lt;RecNum&gt;1699&lt;/RecNum&gt;&lt;DisplayText&gt;(Selvarajan&lt;style face="italic"&gt; et al.&lt;/style&gt;, 2018)&lt;/DisplayText&gt;&lt;record&gt;&lt;rec-number&gt;1699&lt;/rec-number&gt;&lt;foreign-keys&gt;&lt;key app="EN" db-id="esvrve9x1d0a5gerpeuprwp0vtp2zxx2ssr9" timestamp="1654001265"&gt;1699&lt;/key&gt;&lt;/foreign-keys&gt;&lt;ref-type name="Journal Article"&gt;17&lt;/ref-type&gt;&lt;contributors&gt;&lt;authors&gt;&lt;author&gt;Selvarajan, Sonia Kumari&lt;/author&gt;&lt;author&gt;Ab-Rahim, Rossazana&lt;/author&gt;&lt;author&gt;Md-Nor, Nor-Ghani&lt;/author&gt;&lt;/authors&gt;&lt;/contributors&gt;&lt;titles&gt;&lt;title&gt;Trade and investment convergence clubs in East Asia Pacific&lt;/title&gt;&lt;secondary-title&gt;Institutions and Economies&lt;/secondary-title&gt;&lt;/titles&gt;&lt;periodical&gt;&lt;full-title&gt;Institutions and Economies&lt;/full-title&gt;&lt;/periodical&gt;&lt;volume&gt;10&lt;/volume&gt;&lt;number&gt;4&lt;/number&gt;&lt;dates&gt;&lt;year&gt;2018&lt;/year&gt;&lt;/dates&gt;&lt;isbn&gt;2232-1349&lt;/isbn&gt;&lt;urls&gt;&lt;/urls&gt;&lt;/record&gt;&lt;/Cite&gt;&lt;/EndNote&gt;</w:instrText>
      </w:r>
      <w:r w:rsidR="00283F3D" w:rsidRPr="00802F1A">
        <w:fldChar w:fldCharType="separate"/>
      </w:r>
      <w:r w:rsidR="00283F3D" w:rsidRPr="00802F1A">
        <w:rPr>
          <w:noProof/>
        </w:rPr>
        <w:t>(Selvarajan</w:t>
      </w:r>
      <w:r w:rsidR="00283F3D" w:rsidRPr="00802F1A">
        <w:rPr>
          <w:i/>
          <w:noProof/>
        </w:rPr>
        <w:t xml:space="preserve"> et al.</w:t>
      </w:r>
      <w:r w:rsidR="00283F3D" w:rsidRPr="00802F1A">
        <w:rPr>
          <w:noProof/>
        </w:rPr>
        <w:t>, 2018)</w:t>
      </w:r>
      <w:r w:rsidR="00283F3D" w:rsidRPr="00802F1A">
        <w:fldChar w:fldCharType="end"/>
      </w:r>
      <w:r w:rsidR="00283F3D" w:rsidRPr="00802F1A">
        <w:t xml:space="preserve"> </w:t>
      </w:r>
      <w:r w:rsidRPr="00802F1A">
        <w:rPr>
          <w:rFonts w:cs="Times New Roman"/>
          <w:szCs w:val="24"/>
          <w:lang w:val="en-US"/>
        </w:rPr>
        <w:t xml:space="preserve"> in the East Asia Pacific region and bank profitability </w:t>
      </w:r>
      <w:r w:rsidR="00283F3D" w:rsidRPr="00802F1A">
        <w:rPr>
          <w:rFonts w:cs="Times New Roman"/>
          <w:szCs w:val="24"/>
          <w:lang w:val="en-US"/>
        </w:rPr>
        <w:fldChar w:fldCharType="begin"/>
      </w:r>
      <w:r w:rsidR="00283F3D" w:rsidRPr="00802F1A">
        <w:rPr>
          <w:rFonts w:cs="Times New Roman"/>
          <w:szCs w:val="24"/>
          <w:lang w:val="en-US"/>
        </w:rPr>
        <w:instrText xml:space="preserve"> ADDIN EN.CITE &lt;EndNote&gt;&lt;Cite&gt;&lt;Author&gt;Olson&lt;/Author&gt;&lt;Year&gt;2017&lt;/Year&gt;&lt;RecNum&gt;1680&lt;/RecNum&gt;&lt;DisplayText&gt;(Olson and Zoubi, 2017)&lt;/DisplayText&gt;&lt;record&gt;&lt;rec-number&gt;1680&lt;/rec-number&gt;&lt;foreign-keys&gt;&lt;key app="EN" db-id="esvrve9x1d0a5gerpeuprwp0vtp2zxx2ssr9" timestamp="1653793045"&gt;1680&lt;/key&gt;&lt;/foreign-keys&gt;&lt;ref-type name="Journal Article"&gt;17&lt;/ref-type&gt;&lt;contributors&gt;&lt;authors&gt;&lt;author&gt;Olson, Dennis&lt;/author&gt;&lt;author&gt;Zoubi, Taisier&lt;/author&gt;&lt;/authors&gt;&lt;/contributors&gt;&lt;titles&gt;&lt;title&gt;Convergence in bank performance for commercial and Islamic banks during and after the Global Financial Crisis&lt;/title&gt;&lt;secondary-title&gt;The Quarterly Review of Economics and Finance&lt;/secondary-title&gt;&lt;/titles&gt;&lt;periodical&gt;&lt;full-title&gt;The Quarterly Review of Economics and Finance&lt;/full-title&gt;&lt;/periodical&gt;&lt;pages&gt;71-87&lt;/pages&gt;&lt;volume&gt;65&lt;/volume&gt;&lt;keywords&gt;&lt;keyword&gt;Islamic and commercial banks&lt;/keyword&gt;&lt;keyword&gt;Bank performance&lt;/keyword&gt;&lt;keyword&gt;Financial crisis&lt;/keyword&gt;&lt;keyword&gt;Convergence tests&lt;/keyword&gt;&lt;keyword&gt;Speed of adjustment&lt;/keyword&gt;&lt;/keywords&gt;&lt;dates&gt;&lt;year&gt;2017&lt;/year&gt;&lt;pub-dates&gt;&lt;date&gt;2017/08/01/&lt;/date&gt;&lt;/pub-dates&gt;&lt;/dates&gt;&lt;isbn&gt;1062-9769&lt;/isbn&gt;&lt;urls&gt;&lt;related-urls&gt;&lt;url&gt;https://www.sciencedirect.com/science/article/pii/S1062976916300412&lt;/url&gt;&lt;/related-urls&gt;&lt;/urls&gt;&lt;electronic-resource-num&gt;https://doi.org/10.1016/j.qref.2016.06.013&lt;/electronic-resource-num&gt;&lt;/record&gt;&lt;/Cite&gt;&lt;/EndNote&gt;</w:instrText>
      </w:r>
      <w:r w:rsidR="00283F3D" w:rsidRPr="00802F1A">
        <w:rPr>
          <w:rFonts w:cs="Times New Roman"/>
          <w:szCs w:val="24"/>
          <w:lang w:val="en-US"/>
        </w:rPr>
        <w:fldChar w:fldCharType="separate"/>
      </w:r>
      <w:r w:rsidR="00283F3D" w:rsidRPr="00802F1A">
        <w:rPr>
          <w:rFonts w:cs="Times New Roman"/>
          <w:noProof/>
          <w:szCs w:val="24"/>
          <w:lang w:val="en-US"/>
        </w:rPr>
        <w:t>(Olson and Zoubi, 2017)</w:t>
      </w:r>
      <w:r w:rsidR="00283F3D" w:rsidRPr="00802F1A">
        <w:rPr>
          <w:rFonts w:cs="Times New Roman"/>
          <w:szCs w:val="24"/>
          <w:lang w:val="en-US"/>
        </w:rPr>
        <w:fldChar w:fldCharType="end"/>
      </w:r>
      <w:r w:rsidR="00283F3D" w:rsidRPr="00802F1A">
        <w:t xml:space="preserve"> </w:t>
      </w:r>
      <w:r w:rsidRPr="00802F1A">
        <w:rPr>
          <w:rFonts w:cs="Times New Roman"/>
          <w:szCs w:val="24"/>
          <w:lang w:val="en-US"/>
        </w:rPr>
        <w:t xml:space="preserve">among Islamic and commercial banks in the Middle East, Africa, and Southeast Asia. These studies have employed various convergence tests, and </w:t>
      </w:r>
      <w:proofErr w:type="gramStart"/>
      <w:r w:rsidRPr="00802F1A">
        <w:rPr>
          <w:rFonts w:cs="Times New Roman"/>
          <w:szCs w:val="24"/>
          <w:lang w:val="en-US"/>
        </w:rPr>
        <w:t>a general consensus</w:t>
      </w:r>
      <w:proofErr w:type="gramEnd"/>
      <w:r w:rsidRPr="00802F1A">
        <w:rPr>
          <w:rFonts w:cs="Times New Roman"/>
          <w:szCs w:val="24"/>
          <w:lang w:val="en-US"/>
        </w:rPr>
        <w:t xml:space="preserve"> suggests that the gaps in per-capita income, energy-related variables, and financial development-related variables across countries have been narrowing over time (beta and sigma convergence). However, the regional or global samples indicate the formation of convergence clubs rather than a common steady-state equilibrium (no overall log t convergence).</w:t>
      </w:r>
    </w:p>
    <w:p w14:paraId="347BA40F" w14:textId="77777777" w:rsidR="00EF643D" w:rsidRPr="00802F1A" w:rsidRDefault="00EF643D" w:rsidP="00EF643D">
      <w:pPr>
        <w:jc w:val="both"/>
        <w:rPr>
          <w:rFonts w:cs="Times New Roman"/>
          <w:szCs w:val="24"/>
          <w:lang w:val="en-US"/>
        </w:rPr>
      </w:pPr>
    </w:p>
    <w:p w14:paraId="3B49A32F" w14:textId="539D89F2" w:rsidR="00EF643D" w:rsidRPr="00802F1A" w:rsidRDefault="00EF643D" w:rsidP="00EF643D">
      <w:pPr>
        <w:jc w:val="both"/>
        <w:rPr>
          <w:rFonts w:cs="Times New Roman"/>
          <w:szCs w:val="24"/>
          <w:lang w:val="en-US"/>
        </w:rPr>
      </w:pPr>
      <w:r w:rsidRPr="00802F1A">
        <w:rPr>
          <w:rFonts w:cs="Times New Roman"/>
          <w:szCs w:val="24"/>
          <w:lang w:val="en-US"/>
        </w:rPr>
        <w:t>We reason that technological progress plays a crucial role in fostering synergies among energy diversification, economic growth, and financial development. It is also expected to contribute to the enhancement of energy diversification, per-capita income, and financial development. As a result of technological progress, it is possible that a common steady-state equilibrium in these three aspects could eventually be achieved across countries.</w:t>
      </w:r>
      <w:r w:rsidR="009347B4" w:rsidRPr="00802F1A">
        <w:rPr>
          <w:rFonts w:cs="Times New Roman"/>
          <w:szCs w:val="24"/>
          <w:lang w:val="en-US"/>
        </w:rPr>
        <w:t xml:space="preserve"> </w:t>
      </w:r>
      <w:r w:rsidRPr="00802F1A">
        <w:rPr>
          <w:rFonts w:cs="Times New Roman"/>
          <w:szCs w:val="24"/>
          <w:lang w:val="en-US"/>
        </w:rPr>
        <w:t xml:space="preserve">The process of economic convergence is influenced by factors such as the low cost of technology adoption for follower countries and a relatively high degree of openness </w:t>
      </w:r>
      <w:r w:rsidR="009D646C" w:rsidRPr="00802F1A">
        <w:rPr>
          <w:lang w:val="vi-VN"/>
        </w:rPr>
        <w:fldChar w:fldCharType="begin"/>
      </w:r>
      <w:r w:rsidR="009D646C" w:rsidRPr="00802F1A">
        <w:rPr>
          <w:lang w:val="vi-VN"/>
        </w:rPr>
        <w:instrText xml:space="preserve"> ADDIN EN.CITE &lt;EndNote&gt;&lt;Cite&gt;&lt;Author&gt;Barro&lt;/Author&gt;&lt;Year&gt;1997&lt;/Year&gt;&lt;RecNum&gt;1702&lt;/RecNum&gt;&lt;DisplayText&gt;(Barro and Sala-i-Martin, 1997)&lt;/DisplayText&gt;&lt;record&gt;&lt;rec-number&gt;1702&lt;/rec-number&gt;&lt;foreign-keys&gt;&lt;key app="EN" db-id="esvrve9x1d0a5gerpeuprwp0vtp2zxx2ssr9" timestamp="1654057308"&gt;1702&lt;/key&gt;&lt;/foreign-keys&gt;&lt;ref-type name="Journal Article"&gt;17&lt;/ref-type&gt;&lt;contributors&gt;&lt;authors&gt;&lt;author&gt;Barro, Robert J.&lt;/author&gt;&lt;author&gt;Sala-i-Martin, Xavier&lt;/author&gt;&lt;/authors&gt;&lt;/contributors&gt;&lt;titles&gt;&lt;title&gt;Technological Diffusion, Convergence, and Growth&lt;/title&gt;&lt;secondary-title&gt;Journal of economic growth (Boston, Mass.)&lt;/secondary-title&gt;&lt;/titles&gt;&lt;periodical&gt;&lt;full-title&gt;Journal of economic growth (Boston, Mass.)&lt;/full-title&gt;&lt;/periodical&gt;&lt;pages&gt;1-26&lt;/pages&gt;&lt;volume&gt;2&lt;/volume&gt;&lt;number&gt;1&lt;/number&gt;&lt;keywords&gt;&lt;keyword&gt;Analysis&lt;/keyword&gt;&lt;keyword&gt;Convergence (Social sciences)&lt;/keyword&gt;&lt;keyword&gt;Economic aspects&lt;/keyword&gt;&lt;keyword&gt;Economic development&lt;/keyword&gt;&lt;keyword&gt;Economic growth models&lt;/keyword&gt;&lt;keyword&gt;Economic growth rate&lt;/keyword&gt;&lt;keyword&gt;Inventions&lt;/keyword&gt;&lt;keyword&gt;Investment return rates&lt;/keyword&gt;&lt;keyword&gt;Monopoly&lt;/keyword&gt;&lt;keyword&gt;Neoclassical economics&lt;/keyword&gt;&lt;keyword&gt;Neoclassical growth model&lt;/keyword&gt;&lt;keyword&gt;Steady state economies&lt;/keyword&gt;&lt;keyword&gt;Technological innovation&lt;/keyword&gt;&lt;keyword&gt;Technological innovations&lt;/keyword&gt;&lt;/keywords&gt;&lt;dates&gt;&lt;year&gt;1997&lt;/year&gt;&lt;/dates&gt;&lt;publisher&gt;Kluwer Academic Publishers&lt;/publisher&gt;&lt;isbn&gt;1381-4338&lt;/isbn&gt;&lt;urls&gt;&lt;/urls&gt;&lt;electronic-resource-num&gt;10.1023/A:1009746629269&lt;/electronic-resource-num&gt;&lt;/record&gt;&lt;/Cite&gt;&lt;/EndNote&gt;</w:instrText>
      </w:r>
      <w:r w:rsidR="009D646C" w:rsidRPr="00802F1A">
        <w:rPr>
          <w:lang w:val="vi-VN"/>
        </w:rPr>
        <w:fldChar w:fldCharType="separate"/>
      </w:r>
      <w:r w:rsidR="009D646C" w:rsidRPr="00802F1A">
        <w:rPr>
          <w:noProof/>
          <w:lang w:val="vi-VN"/>
        </w:rPr>
        <w:t>(Barro and Sala-i-Martin, 1997)</w:t>
      </w:r>
      <w:r w:rsidR="009D646C" w:rsidRPr="00802F1A">
        <w:rPr>
          <w:lang w:val="vi-VN"/>
        </w:rPr>
        <w:fldChar w:fldCharType="end"/>
      </w:r>
      <w:r w:rsidRPr="00802F1A">
        <w:rPr>
          <w:rFonts w:cs="Times New Roman"/>
          <w:szCs w:val="24"/>
          <w:lang w:val="en-US"/>
        </w:rPr>
        <w:t xml:space="preserve">. </w:t>
      </w:r>
      <w:r w:rsidRPr="00802F1A">
        <w:rPr>
          <w:rFonts w:cs="Times New Roman"/>
          <w:szCs w:val="24"/>
          <w:lang w:val="en-US"/>
        </w:rPr>
        <w:lastRenderedPageBreak/>
        <w:t xml:space="preserve">Globalization </w:t>
      </w:r>
      <w:r w:rsidR="0070041A" w:rsidRPr="00802F1A">
        <w:fldChar w:fldCharType="begin"/>
      </w:r>
      <w:r w:rsidR="0070041A" w:rsidRPr="00802F1A">
        <w:instrText xml:space="preserve"> ADDIN EN.CITE &lt;EndNote&gt;&lt;Cite&gt;&lt;Author&gt;Harger&lt;/Author&gt;&lt;Year&gt;2017&lt;/Year&gt;&lt;RecNum&gt;1688&lt;/RecNum&gt;&lt;DisplayText&gt;(Harger&lt;style face="italic"&gt; et al.&lt;/style&gt;, 2017)&lt;/DisplayText&gt;&lt;record&gt;&lt;rec-number&gt;1688&lt;/rec-number&gt;&lt;foreign-keys&gt;&lt;key app="EN" db-id="esvrve9x1d0a5gerpeuprwp0vtp2zxx2ssr9" timestamp="1653922024"&gt;1688&lt;/key&gt;&lt;/foreign-keys&gt;&lt;ref-type name="Journal Article"&gt;17&lt;/ref-type&gt;&lt;contributors&gt;&lt;authors&gt;&lt;author&gt;Harger, Kaitlyn&lt;/author&gt;&lt;author&gt;Young, Andrew T.&lt;/author&gt;&lt;author&gt;Hall, Joshua&lt;/author&gt;&lt;/authors&gt;&lt;/contributors&gt;&lt;titles&gt;&lt;title&gt;Globalization, Institutions, and Income Convergence&lt;/title&gt;&lt;secondary-title&gt;The journal of regional analysis &amp;amp; policy&lt;/secondary-title&gt;&lt;/titles&gt;&lt;periodical&gt;&lt;full-title&gt;The journal of regional analysis &amp;amp; policy&lt;/full-title&gt;&lt;/periodical&gt;&lt;pages&gt;110-125&lt;/pages&gt;&lt;volume&gt;47&lt;/volume&gt;&lt;number&gt;2&lt;/number&gt;&lt;keywords&gt;&lt;keyword&gt;Economic growth&lt;/keyword&gt;&lt;keyword&gt;Economic models&lt;/keyword&gt;&lt;keyword&gt;Global economy&lt;/keyword&gt;&lt;keyword&gt;Globalization&lt;/keyword&gt;&lt;keyword&gt;Knowledge&lt;/keyword&gt;&lt;keyword&gt;Political economy&lt;/keyword&gt;&lt;keyword&gt;Poverty&lt;/keyword&gt;&lt;keyword&gt;Property rights&lt;/keyword&gt;&lt;keyword&gt;Public Economics&lt;/keyword&gt;&lt;keyword&gt;Quality&lt;/keyword&gt;&lt;keyword&gt;Rule of law&lt;/keyword&gt;&lt;/keywords&gt;&lt;dates&gt;&lt;year&gt;2017&lt;/year&gt;&lt;/dates&gt;&lt;pub-location&gt;Manhattan&lt;/pub-location&gt;&lt;publisher&gt;Mid-Continent Regional Science Association&lt;/publisher&gt;&lt;isbn&gt;1090-4999&lt;/isbn&gt;&lt;urls&gt;&lt;/urls&gt;&lt;/record&gt;&lt;/Cite&gt;&lt;/EndNote&gt;</w:instrText>
      </w:r>
      <w:r w:rsidR="0070041A" w:rsidRPr="00802F1A">
        <w:fldChar w:fldCharType="separate"/>
      </w:r>
      <w:r w:rsidR="0070041A" w:rsidRPr="00802F1A">
        <w:rPr>
          <w:noProof/>
        </w:rPr>
        <w:t>(Harger</w:t>
      </w:r>
      <w:r w:rsidR="0070041A" w:rsidRPr="00802F1A">
        <w:rPr>
          <w:i/>
          <w:noProof/>
        </w:rPr>
        <w:t xml:space="preserve"> et al.</w:t>
      </w:r>
      <w:r w:rsidR="0070041A" w:rsidRPr="00802F1A">
        <w:rPr>
          <w:noProof/>
        </w:rPr>
        <w:t>, 2017)</w:t>
      </w:r>
      <w:r w:rsidR="0070041A" w:rsidRPr="00802F1A">
        <w:fldChar w:fldCharType="end"/>
      </w:r>
      <w:r w:rsidRPr="00802F1A">
        <w:rPr>
          <w:rFonts w:cs="Times New Roman"/>
          <w:szCs w:val="24"/>
          <w:lang w:val="en-US"/>
        </w:rPr>
        <w:t xml:space="preserve">, trade liberalization </w:t>
      </w:r>
      <w:r w:rsidR="007C79E4" w:rsidRPr="00802F1A">
        <w:fldChar w:fldCharType="begin"/>
      </w:r>
      <w:r w:rsidR="007C79E4" w:rsidRPr="00802F1A">
        <w:instrText xml:space="preserve"> ADDIN EN.CITE &lt;EndNote&gt;&lt;Cite&gt;&lt;Author&gt;Ben-David&lt;/Author&gt;&lt;Year&gt;2004&lt;/Year&gt;&lt;RecNum&gt;1692&lt;/RecNum&gt;&lt;DisplayText&gt;(Ben-David and Kimhi, 2004)&lt;/DisplayText&gt;&lt;record&gt;&lt;rec-number&gt;1692&lt;/rec-number&gt;&lt;foreign-keys&gt;&lt;key app="EN" db-id="esvrve9x1d0a5gerpeuprwp0vtp2zxx2ssr9" timestamp="1653924157"&gt;1692&lt;/key&gt;&lt;/foreign-keys&gt;&lt;ref-type name="Journal Article"&gt;17&lt;/ref-type&gt;&lt;contributors&gt;&lt;authors&gt;&lt;author&gt;Ben-David, Dan&lt;/author&gt;&lt;author&gt;Kimhi, Ayal&lt;/author&gt;&lt;/authors&gt;&lt;/contributors&gt;&lt;titles&gt;&lt;title&gt;Trade and the rate of income convergence&lt;/title&gt;&lt;secondary-title&gt;The journal of international trade &amp;amp; economic development&lt;/secondary-title&gt;&lt;/titles&gt;&lt;periodical&gt;&lt;full-title&gt;The journal of international trade &amp;amp; economic development&lt;/full-title&gt;&lt;/periodical&gt;&lt;pages&gt;419-441&lt;/pages&gt;&lt;volume&gt;13&lt;/volume&gt;&lt;number&gt;4&lt;/number&gt;&lt;keywords&gt;&lt;keyword&gt;Convergence&lt;/keyword&gt;&lt;keyword&gt;Development studies&lt;/keyword&gt;&lt;keyword&gt;Economic impact&lt;/keyword&gt;&lt;keyword&gt;Economics&lt;/keyword&gt;&lt;keyword&gt;Income&lt;/keyword&gt;&lt;keyword&gt;International relations&lt;/keyword&gt;&lt;keyword&gt;International trade&lt;/keyword&gt;&lt;keyword&gt;Studies&lt;/keyword&gt;&lt;keyword&gt;Trade&lt;/keyword&gt;&lt;/keywords&gt;&lt;dates&gt;&lt;year&gt;2004&lt;/year&gt;&lt;/dates&gt;&lt;pub-location&gt;London&lt;/pub-location&gt;&lt;publisher&gt;Taylor &amp;amp; Francis&lt;/publisher&gt;&lt;isbn&gt;0963-8199&lt;/isbn&gt;&lt;urls&gt;&lt;/urls&gt;&lt;electronic-resource-num&gt;10.1080/0963819042000300591&lt;/electronic-resource-num&gt;&lt;/record&gt;&lt;/Cite&gt;&lt;/EndNote&gt;</w:instrText>
      </w:r>
      <w:r w:rsidR="007C79E4" w:rsidRPr="00802F1A">
        <w:fldChar w:fldCharType="separate"/>
      </w:r>
      <w:r w:rsidR="007C79E4" w:rsidRPr="00802F1A">
        <w:rPr>
          <w:noProof/>
        </w:rPr>
        <w:t>(Ben-David and Kimhi, 2004)</w:t>
      </w:r>
      <w:r w:rsidR="007C79E4" w:rsidRPr="00802F1A">
        <w:fldChar w:fldCharType="end"/>
      </w:r>
      <w:r w:rsidRPr="00802F1A">
        <w:rPr>
          <w:rFonts w:cs="Times New Roman"/>
          <w:szCs w:val="24"/>
          <w:lang w:val="en-US"/>
        </w:rPr>
        <w:t xml:space="preserve">, foreign investment </w:t>
      </w:r>
      <w:r w:rsidR="007C79E4" w:rsidRPr="00802F1A">
        <w:fldChar w:fldCharType="begin"/>
      </w:r>
      <w:r w:rsidR="007C79E4" w:rsidRPr="00802F1A">
        <w:instrText xml:space="preserve"> ADDIN EN.CITE &lt;EndNote&gt;&lt;Cite&gt;&lt;Author&gt;Zhao&lt;/Author&gt;&lt;Year&gt;2019&lt;/Year&gt;&lt;RecNum&gt;1695&lt;/RecNum&gt;&lt;DisplayText&gt;(Zhao and Serieux, 2019)&lt;/DisplayText&gt;&lt;record&gt;&lt;rec-number&gt;1695&lt;/rec-number&gt;&lt;foreign-keys&gt;&lt;key app="EN" db-id="esvrve9x1d0a5gerpeuprwp0vtp2zxx2ssr9" timestamp="1653924775"&gt;1695&lt;/key&gt;&lt;/foreign-keys&gt;&lt;ref-type name="Journal Article"&gt;17&lt;/ref-type&gt;&lt;contributors&gt;&lt;authors&gt;&lt;author&gt;Zhao, Jun&lt;/author&gt;&lt;author&gt;Serieux, John&lt;/author&gt;&lt;/authors&gt;&lt;/contributors&gt;&lt;titles&gt;&lt;title&gt;Globalization, regionalization and convergence in East Asia&lt;/title&gt;&lt;secondary-title&gt;The journal of international trade &amp;amp; economic development&lt;/secondary-title&gt;&lt;/titles&gt;&lt;periodical&gt;&lt;full-title&gt;The journal of international trade &amp;amp; economic development&lt;/full-title&gt;&lt;/periodical&gt;&lt;pages&gt;486-507&lt;/pages&gt;&lt;volume&gt;28&lt;/volume&gt;&lt;number&gt;4&lt;/number&gt;&lt;keywords&gt;&lt;keyword&gt;capital flows&lt;/keyword&gt;&lt;keyword&gt;Clubs&lt;/keyword&gt;&lt;keyword&gt;Convergence&lt;/keyword&gt;&lt;keyword&gt;East Asia&lt;/keyword&gt;&lt;keyword&gt;Economic models&lt;/keyword&gt;&lt;keyword&gt;Exports&lt;/keyword&gt;&lt;keyword&gt;Foreign investment&lt;/keyword&gt;&lt;keyword&gt;Globalization&lt;/keyword&gt;&lt;keyword&gt;Immediate&lt;/keyword&gt;&lt;keyword&gt;income convergence&lt;/keyword&gt;&lt;keyword&gt;Technology&lt;/keyword&gt;&lt;keyword&gt;technology flows&lt;/keyword&gt;&lt;keyword&gt;Trade flows&lt;/keyword&gt;&lt;/keywords&gt;&lt;dates&gt;&lt;year&gt;2019&lt;/year&gt;&lt;/dates&gt;&lt;pub-location&gt;London&lt;/pub-location&gt;&lt;publisher&gt;Routledge&lt;/publisher&gt;&lt;isbn&gt;0963-8199&lt;/isbn&gt;&lt;urls&gt;&lt;/urls&gt;&lt;electronic-resource-num&gt;10.1080/09638199.2018.1550801&lt;/electronic-resource-num&gt;&lt;/record&gt;&lt;/Cite&gt;&lt;/EndNote&gt;</w:instrText>
      </w:r>
      <w:r w:rsidR="007C79E4" w:rsidRPr="00802F1A">
        <w:fldChar w:fldCharType="separate"/>
      </w:r>
      <w:r w:rsidR="007C79E4" w:rsidRPr="00802F1A">
        <w:rPr>
          <w:noProof/>
        </w:rPr>
        <w:t>(Zhao and Serieux, 2019)</w:t>
      </w:r>
      <w:r w:rsidR="007C79E4" w:rsidRPr="00802F1A">
        <w:fldChar w:fldCharType="end"/>
      </w:r>
      <w:r w:rsidRPr="00802F1A">
        <w:rPr>
          <w:rFonts w:cs="Times New Roman"/>
          <w:szCs w:val="24"/>
          <w:lang w:val="en-US"/>
        </w:rPr>
        <w:t xml:space="preserve">, and financial integration </w:t>
      </w:r>
      <w:r w:rsidR="007C79E4" w:rsidRPr="00802F1A">
        <w:fldChar w:fldCharType="begin"/>
      </w:r>
      <w:r w:rsidR="007C79E4" w:rsidRPr="00802F1A">
        <w:instrText xml:space="preserve"> ADDIN EN.CITE &lt;EndNote&gt;&lt;Cite&gt;&lt;Author&gt;Abiad&lt;/Author&gt;&lt;Year&gt;2009&lt;/Year&gt;&lt;RecNum&gt;1696&lt;/RecNum&gt;&lt;DisplayText&gt;(Abiad&lt;style face="italic"&gt; et al.&lt;/style&gt;, 2009)&lt;/DisplayText&gt;&lt;record&gt;&lt;rec-number&gt;1696&lt;/rec-number&gt;&lt;foreign-keys&gt;&lt;key app="EN" db-id="esvrve9x1d0a5gerpeuprwp0vtp2zxx2ssr9" timestamp="1653925120"&gt;1696&lt;/key&gt;&lt;/foreign-keys&gt;&lt;ref-type name="Journal Article"&gt;17&lt;/ref-type&gt;&lt;contributors&gt;&lt;authors&gt;&lt;author&gt;Abiad, Abdul&lt;/author&gt;&lt;author&gt;Leigh, Daniel&lt;/author&gt;&lt;author&gt;Mody, Ashoka&lt;/author&gt;&lt;/authors&gt;&lt;/contributors&gt;&lt;titles&gt;&lt;title&gt;Financial integration, capital mobility, and income convergence&lt;/title&gt;&lt;secondary-title&gt;Economic policy&lt;/secondary-title&gt;&lt;/titles&gt;&lt;periodical&gt;&lt;full-title&gt;Economic policy&lt;/full-title&gt;&lt;/periodical&gt;&lt;pages&gt;241-305&lt;/pages&gt;&lt;volume&gt;24&lt;/volume&gt;&lt;number&gt;58&lt;/number&gt;&lt;keywords&gt;&lt;keyword&gt;Capital income&lt;/keyword&gt;&lt;keyword&gt;Capital inflows&lt;/keyword&gt;&lt;keyword&gt;Capital investments&lt;/keyword&gt;&lt;keyword&gt;Capital mobility&lt;/keyword&gt;&lt;keyword&gt;Coefficients&lt;/keyword&gt;&lt;keyword&gt;Countries&lt;/keyword&gt;&lt;keyword&gt;Federal budget deficit&lt;/keyword&gt;&lt;keyword&gt;Financial investments&lt;/keyword&gt;&lt;keyword&gt;Gross domestic product&lt;/keyword&gt;&lt;keyword&gt;Political integration&lt;/keyword&gt;&lt;/keywords&gt;&lt;dates&gt;&lt;year&gt;2009&lt;/year&gt;&lt;/dates&gt;&lt;pub-location&gt;Oxford, UK&lt;/pub-location&gt;&lt;publisher&gt;Blackwell Publishing Ltd&lt;/publisher&gt;&lt;isbn&gt;0266-4658&lt;/isbn&gt;&lt;urls&gt;&lt;/urls&gt;&lt;electronic-resource-num&gt;10.1111/j.1468-0327.2009.00222.x&lt;/electronic-resource-num&gt;&lt;/record&gt;&lt;/Cite&gt;&lt;/EndNote&gt;</w:instrText>
      </w:r>
      <w:r w:rsidR="007C79E4" w:rsidRPr="00802F1A">
        <w:fldChar w:fldCharType="separate"/>
      </w:r>
      <w:r w:rsidR="007C79E4" w:rsidRPr="00802F1A">
        <w:rPr>
          <w:noProof/>
        </w:rPr>
        <w:t>(Abiad</w:t>
      </w:r>
      <w:r w:rsidR="007C79E4" w:rsidRPr="00802F1A">
        <w:rPr>
          <w:i/>
          <w:noProof/>
        </w:rPr>
        <w:t xml:space="preserve"> et al.</w:t>
      </w:r>
      <w:r w:rsidR="007C79E4" w:rsidRPr="00802F1A">
        <w:rPr>
          <w:noProof/>
        </w:rPr>
        <w:t>, 2009)</w:t>
      </w:r>
      <w:r w:rsidR="007C79E4" w:rsidRPr="00802F1A">
        <w:fldChar w:fldCharType="end"/>
      </w:r>
      <w:r w:rsidRPr="00802F1A">
        <w:rPr>
          <w:rFonts w:cs="Times New Roman"/>
          <w:szCs w:val="24"/>
          <w:lang w:val="en-US"/>
        </w:rPr>
        <w:t xml:space="preserve"> have driven economies towards convergence by providing learning opportunities for agents in less advanced economies. However, the ability of laggard countries to catch up depends on the interaction between local innovation and technology diffusion </w:t>
      </w:r>
      <w:r w:rsidR="004D610D" w:rsidRPr="00802F1A">
        <w:rPr>
          <w:lang w:val="vi-VN"/>
        </w:rPr>
        <w:fldChar w:fldCharType="begin">
          <w:fldData xml:space="preserve">PEVuZE5vdGU+PENpdGU+PEF1dGhvcj5QZXJpbGxhIEppbWVuZXo8L0F1dGhvcj48WWVhcj4yMDIw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</w:fldData>
        </w:fldChar>
      </w:r>
      <w:r w:rsidR="004D610D" w:rsidRPr="00802F1A">
        <w:rPr>
          <w:lang w:val="vi-VN"/>
        </w:rPr>
        <w:instrText xml:space="preserve"> ADDIN EN.CITE </w:instrText>
      </w:r>
      <w:r w:rsidR="004D610D" w:rsidRPr="00802F1A">
        <w:rPr>
          <w:lang w:val="vi-VN"/>
        </w:rPr>
        <w:fldChar w:fldCharType="begin">
          <w:fldData xml:space="preserve">PEVuZE5vdGU+PENpdGU+PEF1dGhvcj5QZXJpbGxhIEppbWVuZXo8L0F1dGhvcj48WWVhcj4yMDIw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</w:fldData>
        </w:fldChar>
      </w:r>
      <w:r w:rsidR="004D610D" w:rsidRPr="00802F1A">
        <w:rPr>
          <w:lang w:val="vi-VN"/>
        </w:rPr>
        <w:instrText xml:space="preserve"> ADDIN EN.CITE.DATA </w:instrText>
      </w:r>
      <w:r w:rsidR="004D610D" w:rsidRPr="00802F1A">
        <w:rPr>
          <w:lang w:val="vi-VN"/>
        </w:rPr>
      </w:r>
      <w:r w:rsidR="004D610D" w:rsidRPr="00802F1A">
        <w:rPr>
          <w:lang w:val="vi-VN"/>
        </w:rPr>
        <w:fldChar w:fldCharType="end"/>
      </w:r>
      <w:r w:rsidR="004D610D" w:rsidRPr="00802F1A">
        <w:rPr>
          <w:lang w:val="vi-VN"/>
        </w:rPr>
      </w:r>
      <w:r w:rsidR="004D610D" w:rsidRPr="00802F1A">
        <w:rPr>
          <w:lang w:val="vi-VN"/>
        </w:rPr>
        <w:fldChar w:fldCharType="separate"/>
      </w:r>
      <w:r w:rsidR="004D610D" w:rsidRPr="00802F1A">
        <w:rPr>
          <w:noProof/>
          <w:lang w:val="vi-VN"/>
        </w:rPr>
        <w:t>(Perilla Jimenez, 2020)</w:t>
      </w:r>
      <w:r w:rsidR="004D610D" w:rsidRPr="00802F1A">
        <w:rPr>
          <w:lang w:val="vi-VN"/>
        </w:rPr>
        <w:fldChar w:fldCharType="end"/>
      </w:r>
      <w:r w:rsidRPr="00802F1A">
        <w:rPr>
          <w:rFonts w:cs="Times New Roman"/>
          <w:szCs w:val="24"/>
          <w:lang w:val="en-US"/>
        </w:rPr>
        <w:t>.</w:t>
      </w:r>
    </w:p>
    <w:p w14:paraId="130615C6" w14:textId="77777777" w:rsidR="00EF643D" w:rsidRPr="00802F1A" w:rsidRDefault="00EF643D" w:rsidP="00EF643D">
      <w:pPr>
        <w:jc w:val="both"/>
        <w:rPr>
          <w:rFonts w:cs="Times New Roman"/>
          <w:szCs w:val="24"/>
          <w:lang w:val="en-US"/>
        </w:rPr>
      </w:pPr>
    </w:p>
    <w:p w14:paraId="6686E69E" w14:textId="7E40B508" w:rsidR="00EF643D" w:rsidRPr="00802F1A" w:rsidRDefault="00EF643D" w:rsidP="00EF643D">
      <w:pPr>
        <w:jc w:val="both"/>
        <w:rPr>
          <w:rFonts w:cs="Times New Roman"/>
          <w:szCs w:val="24"/>
          <w:lang w:val="en-US"/>
        </w:rPr>
      </w:pPr>
      <w:r w:rsidRPr="00802F1A">
        <w:rPr>
          <w:rFonts w:cs="Times New Roman"/>
          <w:szCs w:val="24"/>
          <w:lang w:val="en-US"/>
        </w:rPr>
        <w:t xml:space="preserve">Overall, log t convergence is less likely to occur when the sample includes a large number of countries </w:t>
      </w:r>
      <w:r w:rsidR="001C1F72" w:rsidRPr="00802F1A">
        <w:rPr>
          <w:rFonts w:cs="Times New Roman"/>
          <w:szCs w:val="24"/>
          <w:lang w:val="vi-VN"/>
        </w:rPr>
        <w:fldChar w:fldCharType="begin"/>
      </w:r>
      <w:r w:rsidR="001C1F72" w:rsidRPr="00802F1A">
        <w:rPr>
          <w:rFonts w:cs="Times New Roman"/>
          <w:szCs w:val="24"/>
          <w:lang w:val="vi-VN"/>
        </w:rPr>
        <w:instrText xml:space="preserve"> ADDIN EN.CITE &lt;EndNote&gt;&lt;Cite&gt;&lt;Author&gt;Corrado&lt;/Author&gt;&lt;Year&gt;2018&lt;/Year&gt;&lt;RecNum&gt;1651&lt;/RecNum&gt;&lt;DisplayText&gt;(Corrado&lt;style face="italic"&gt; et al.&lt;/style&gt;, 2018)&lt;/DisplayText&gt;&lt;record&gt;&lt;rec-number&gt;1651&lt;/rec-number&gt;&lt;foreign-keys&gt;&lt;key app="EN" db-id="esvrve9x1d0a5gerpeuprwp0vtp2zxx2ssr9" timestamp="1651161616"&gt;1651&lt;/key&gt;&lt;/foreign-keys&gt;&lt;ref-type name="Journal Article"&gt;17&lt;/ref-type&gt;&lt;contributors&gt;&lt;authors&gt;&lt;author&gt;Corrado, Luisa&lt;/author&gt;&lt;author&gt;Stengos, Thanasis&lt;/author&gt;&lt;author&gt;Weeks, Melvyn&lt;/author&gt;&lt;author&gt;Yazgan, Mustafa Ege&lt;/author&gt;&lt;/authors&gt;&lt;/contributors&gt;&lt;titles&gt;&lt;title&gt;Robust Tests for Convergence Clubs&lt;/title&gt;&lt;/titles&gt;&lt;dates&gt;&lt;year&gt;2018&lt;/year&gt;&lt;/dates&gt;&lt;urls&gt;&lt;/urls&gt;&lt;/record&gt;&lt;/Cite&gt;&lt;/EndNote&gt;</w:instrText>
      </w:r>
      <w:r w:rsidR="001C1F72" w:rsidRPr="00802F1A">
        <w:rPr>
          <w:rFonts w:cs="Times New Roman"/>
          <w:szCs w:val="24"/>
          <w:lang w:val="vi-VN"/>
        </w:rPr>
        <w:fldChar w:fldCharType="separate"/>
      </w:r>
      <w:r w:rsidR="001C1F72" w:rsidRPr="00802F1A">
        <w:rPr>
          <w:rFonts w:cs="Times New Roman"/>
          <w:noProof/>
          <w:szCs w:val="24"/>
          <w:lang w:val="vi-VN"/>
        </w:rPr>
        <w:t>(Corrado</w:t>
      </w:r>
      <w:r w:rsidR="001C1F72" w:rsidRPr="00802F1A">
        <w:rPr>
          <w:rFonts w:cs="Times New Roman"/>
          <w:i/>
          <w:noProof/>
          <w:szCs w:val="24"/>
          <w:lang w:val="vi-VN"/>
        </w:rPr>
        <w:t xml:space="preserve"> et al.</w:t>
      </w:r>
      <w:r w:rsidR="001C1F72" w:rsidRPr="00802F1A">
        <w:rPr>
          <w:rFonts w:cs="Times New Roman"/>
          <w:noProof/>
          <w:szCs w:val="24"/>
          <w:lang w:val="vi-VN"/>
        </w:rPr>
        <w:t>, 2018)</w:t>
      </w:r>
      <w:r w:rsidR="001C1F72" w:rsidRPr="00802F1A">
        <w:rPr>
          <w:rFonts w:cs="Times New Roman"/>
          <w:szCs w:val="24"/>
          <w:lang w:val="vi-VN"/>
        </w:rPr>
        <w:fldChar w:fldCharType="end"/>
      </w:r>
      <w:r w:rsidRPr="00802F1A">
        <w:rPr>
          <w:rFonts w:cs="Times New Roman"/>
          <w:szCs w:val="24"/>
          <w:lang w:val="en-US"/>
        </w:rPr>
        <w:t>. This can be attributed to significant disparities in country-specific factors such as technologies, preferences, government policies, and population growth across countries in such a diverse sample. The common factors generated by technological progress and diffusion, such as shared production technology, energy technology, and financial technology across all countries, may not be substantial enough to reduce disparities and bring countries to a common level of energy diversification, per-capita income, and financial development. However, this may not hold true if the data sample consists of similar economies, as the disparities could be considerably smaller.</w:t>
      </w:r>
      <w:r w:rsidR="008C3034" w:rsidRPr="00802F1A">
        <w:rPr>
          <w:rFonts w:cs="Times New Roman"/>
          <w:szCs w:val="24"/>
          <w:lang w:val="en-US"/>
        </w:rPr>
        <w:t xml:space="preserve"> </w:t>
      </w:r>
      <w:r w:rsidRPr="00802F1A">
        <w:rPr>
          <w:rFonts w:cs="Times New Roman"/>
          <w:szCs w:val="24"/>
          <w:lang w:val="en-US"/>
        </w:rPr>
        <w:t>Given the rapid economic globalization, industrialization, and financial integration that have facilitated technological progress and diffusion over the past three decades, we propose the following hypothesis:</w:t>
      </w:r>
    </w:p>
    <w:p w14:paraId="604A2259" w14:textId="77777777" w:rsidR="00EF643D" w:rsidRPr="00802F1A" w:rsidRDefault="00EF643D" w:rsidP="00EF643D">
      <w:pPr>
        <w:jc w:val="both"/>
        <w:rPr>
          <w:rFonts w:cs="Times New Roman"/>
          <w:szCs w:val="24"/>
          <w:lang w:val="en-US"/>
        </w:rPr>
      </w:pPr>
    </w:p>
    <w:p w14:paraId="505D9D7A" w14:textId="1714A034" w:rsidR="00EF643D" w:rsidRPr="00802F1A" w:rsidRDefault="00EF643D" w:rsidP="00EF643D">
      <w:pPr>
        <w:jc w:val="both"/>
        <w:rPr>
          <w:rFonts w:cs="Times New Roman"/>
          <w:szCs w:val="24"/>
          <w:lang w:val="en-US"/>
        </w:rPr>
      </w:pPr>
      <w:r w:rsidRPr="00802F1A">
        <w:rPr>
          <w:rFonts w:cs="Times New Roman"/>
          <w:szCs w:val="24"/>
          <w:lang w:val="en-US"/>
        </w:rPr>
        <w:t>H1: There is no overall log t convergence in energy diversification, per-capita income, and financial development for the global sample, but there are groups of countries that converge to different equilibria.</w:t>
      </w:r>
    </w:p>
    <w:p w14:paraId="0FFD592C" w14:textId="77777777" w:rsidR="0053308A" w:rsidRPr="00802F1A" w:rsidRDefault="0053308A" w:rsidP="00186B1B">
      <w:pPr>
        <w:rPr>
          <w:lang w:val="en-US"/>
        </w:rPr>
      </w:pPr>
    </w:p>
    <w:p w14:paraId="526243E5" w14:textId="54530540" w:rsidR="00D5615B" w:rsidRPr="00802F1A" w:rsidRDefault="00BD0CF0" w:rsidP="0053308A">
      <w:pPr>
        <w:pStyle w:val="Heading2"/>
        <w:rPr>
          <w:lang w:val="en-US"/>
        </w:rPr>
      </w:pPr>
      <w:r w:rsidRPr="00802F1A">
        <w:rPr>
          <w:lang w:val="en-US"/>
        </w:rPr>
        <w:t>Relationship</w:t>
      </w:r>
      <w:r w:rsidR="000507C0" w:rsidRPr="00802F1A">
        <w:rPr>
          <w:lang w:val="en-US"/>
        </w:rPr>
        <w:t>s</w:t>
      </w:r>
    </w:p>
    <w:p w14:paraId="0C02CC2A" w14:textId="46AC0B0E" w:rsidR="00794ABF" w:rsidRPr="00802F1A" w:rsidRDefault="00794ABF" w:rsidP="0053308A">
      <w:pPr>
        <w:pStyle w:val="Heading3"/>
        <w:rPr>
          <w:lang w:val="en-US"/>
        </w:rPr>
      </w:pPr>
      <w:bookmarkStart w:id="0" w:name="_Hlk103032507"/>
      <w:r w:rsidRPr="00802F1A">
        <w:rPr>
          <w:lang w:val="en-US"/>
        </w:rPr>
        <w:t xml:space="preserve">Energy diversification and </w:t>
      </w:r>
      <w:bookmarkEnd w:id="0"/>
      <w:r w:rsidRPr="00802F1A">
        <w:rPr>
          <w:lang w:val="en-US"/>
        </w:rPr>
        <w:t>economic development</w:t>
      </w:r>
    </w:p>
    <w:p w14:paraId="1318CB4C" w14:textId="5B14F2CA" w:rsidR="00444EEB" w:rsidRPr="00802F1A" w:rsidRDefault="00444EEB" w:rsidP="00EB3EBD">
      <w:pPr>
        <w:jc w:val="both"/>
        <w:rPr>
          <w:lang w:val="en-US"/>
        </w:rPr>
      </w:pPr>
      <w:r w:rsidRPr="00802F1A">
        <w:rPr>
          <w:lang w:val="en-US"/>
        </w:rPr>
        <w:t xml:space="preserve">A considerable body of literature has examined the relationship between output and energy, employing various datasets, time periods, and methodologies. Researchers have explored different aspects of energy, including total energy consumption </w:t>
      </w:r>
      <w:r w:rsidR="00086651" w:rsidRPr="00802F1A">
        <w:rPr>
          <w:lang w:val="en-US"/>
        </w:rPr>
        <w:fldChar w:fldCharType="begin">
          <w:fldData xml:space="preserve">PEVuZE5vdGU+PENpdGU+PEF1dGhvcj5XZXNzZWg8L0F1dGhvcj48WWVhcj4yMDE4PC9ZZWFyPjxS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</w:fldData>
        </w:fldChar>
      </w:r>
      <w:r w:rsidR="00996891" w:rsidRPr="00802F1A">
        <w:rPr>
          <w:lang w:val="en-US"/>
        </w:rPr>
        <w:instrText xml:space="preserve"> ADDIN EN.CITE </w:instrText>
      </w:r>
      <w:r w:rsidR="00996891" w:rsidRPr="00802F1A">
        <w:rPr>
          <w:lang w:val="en-US"/>
        </w:rPr>
        <w:fldChar w:fldCharType="begin">
          <w:fldData xml:space="preserve">PEVuZE5vdGU+PENpdGU+PEF1dGhvcj5XZXNzZWg8L0F1dGhvcj48WWVhcj4yMDE4PC9ZZWFyPjxS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</w:fldData>
        </w:fldChar>
      </w:r>
      <w:r w:rsidR="00996891" w:rsidRPr="00802F1A">
        <w:rPr>
          <w:lang w:val="en-US"/>
        </w:rPr>
        <w:instrText xml:space="preserve"> ADDIN EN.CITE.DATA </w:instrText>
      </w:r>
      <w:r w:rsidR="00996891" w:rsidRPr="00802F1A">
        <w:rPr>
          <w:lang w:val="en-US"/>
        </w:rPr>
      </w:r>
      <w:r w:rsidR="00996891" w:rsidRPr="00802F1A">
        <w:rPr>
          <w:lang w:val="en-US"/>
        </w:rPr>
        <w:fldChar w:fldCharType="end"/>
      </w:r>
      <w:r w:rsidR="00086651" w:rsidRPr="00802F1A">
        <w:rPr>
          <w:lang w:val="en-US"/>
        </w:rPr>
      </w:r>
      <w:r w:rsidR="00086651" w:rsidRPr="00802F1A">
        <w:rPr>
          <w:lang w:val="en-US"/>
        </w:rPr>
        <w:fldChar w:fldCharType="separate"/>
      </w:r>
      <w:r w:rsidR="00996891" w:rsidRPr="00802F1A">
        <w:rPr>
          <w:noProof/>
          <w:lang w:val="en-US"/>
        </w:rPr>
        <w:t>(Wesseh and Lin, 2018, Durusu-Ciftci</w:t>
      </w:r>
      <w:r w:rsidR="00996891" w:rsidRPr="00802F1A">
        <w:rPr>
          <w:i/>
          <w:noProof/>
          <w:lang w:val="en-US"/>
        </w:rPr>
        <w:t xml:space="preserve"> et al.</w:t>
      </w:r>
      <w:r w:rsidR="00996891" w:rsidRPr="00802F1A">
        <w:rPr>
          <w:noProof/>
          <w:lang w:val="en-US"/>
        </w:rPr>
        <w:t>, 2020)</w:t>
      </w:r>
      <w:r w:rsidR="00086651" w:rsidRPr="00802F1A">
        <w:rPr>
          <w:lang w:val="en-US"/>
        </w:rPr>
        <w:fldChar w:fldCharType="end"/>
      </w:r>
      <w:r w:rsidRPr="00802F1A">
        <w:rPr>
          <w:lang w:val="en-US"/>
        </w:rPr>
        <w:t xml:space="preserve">, fossil fuel consumption </w:t>
      </w:r>
      <w:r w:rsidR="00E625FB" w:rsidRPr="00802F1A">
        <w:rPr>
          <w:lang w:val="en-US"/>
        </w:rPr>
        <w:fldChar w:fldCharType="begin"/>
      </w:r>
      <w:r w:rsidR="00E625FB" w:rsidRPr="00802F1A">
        <w:rPr>
          <w:lang w:val="en-US"/>
        </w:rPr>
        <w:instrText xml:space="preserve"> ADDIN EN.CITE &lt;EndNote&gt;&lt;Cite&gt;&lt;Author&gt;Cetin&lt;/Author&gt;&lt;Year&gt;2020&lt;/Year&gt;&lt;RecNum&gt;1646&lt;/RecNum&gt;&lt;DisplayText&gt;(Cetin and Bakirtas, 2020)&lt;/DisplayText&gt;&lt;record&gt;&lt;rec-number&gt;1646&lt;/rec-number&gt;&lt;foreign-keys&gt;&lt;key app="EN" db-id="esvrve9x1d0a5gerpeuprwp0vtp2zxx2ssr9" timestamp="1646487457"&gt;1646&lt;/key&gt;&lt;/foreign-keys&gt;&lt;ref-type name="Journal Article"&gt;17&lt;/ref-type&gt;&lt;contributors&gt;&lt;authors&gt;&lt;author&gt;Cetin, Mumin Atalay&lt;/author&gt;&lt;author&gt;Bakirtas, Ibrahim&lt;/author&gt;&lt;/authors&gt;&lt;/contributors&gt;&lt;titles&gt;&lt;title&gt;The long-run environmental impacts of economic growth, financial development, and energy consumption: Evidence from emerging markets&lt;/title&gt;&lt;secondary-title&gt;Energy &amp;amp; environment (Essex, England)&lt;/secondary-title&gt;&lt;/titles&gt;&lt;periodical&gt;&lt;full-title&gt;Energy &amp;amp; environment (Essex, England)&lt;/full-title&gt;&lt;/periodical&gt;&lt;pages&gt;634-655&lt;/pages&gt;&lt;volume&gt;31&lt;/volume&gt;&lt;number&gt;4&lt;/number&gt;&lt;dates&gt;&lt;year&gt;2020&lt;/year&gt;&lt;/dates&gt;&lt;pub-location&gt;London, England&lt;/pub-location&gt;&lt;publisher&gt;SAGE Publications&lt;/publisher&gt;&lt;isbn&gt;0958-305X&lt;/isbn&gt;&lt;urls&gt;&lt;/urls&gt;&lt;electronic-resource-num&gt;10.1177/0958305X19882373&lt;/electronic-resource-num&gt;&lt;/record&gt;&lt;/Cite&gt;&lt;/EndNote&gt;</w:instrText>
      </w:r>
      <w:r w:rsidR="00E625FB" w:rsidRPr="00802F1A">
        <w:rPr>
          <w:lang w:val="en-US"/>
        </w:rPr>
        <w:fldChar w:fldCharType="separate"/>
      </w:r>
      <w:r w:rsidR="00E625FB" w:rsidRPr="00802F1A">
        <w:rPr>
          <w:noProof/>
          <w:lang w:val="en-US"/>
        </w:rPr>
        <w:t>(Cetin and Bakirtas, 2020)</w:t>
      </w:r>
      <w:r w:rsidR="00E625FB" w:rsidRPr="00802F1A">
        <w:rPr>
          <w:lang w:val="en-US"/>
        </w:rPr>
        <w:fldChar w:fldCharType="end"/>
      </w:r>
      <w:r w:rsidRPr="00802F1A">
        <w:rPr>
          <w:lang w:val="en-US"/>
        </w:rPr>
        <w:t xml:space="preserve">, energy production </w:t>
      </w:r>
      <w:r w:rsidR="00E625FB" w:rsidRPr="00802F1A">
        <w:rPr>
          <w:lang w:val="en-US"/>
        </w:rPr>
        <w:fldChar w:fldCharType="begin"/>
      </w:r>
      <w:r w:rsidR="00E625FB" w:rsidRPr="00802F1A">
        <w:rPr>
          <w:lang w:val="en-US"/>
        </w:rPr>
        <w:instrText xml:space="preserve"> ADDIN EN.CITE &lt;EndNote&gt;&lt;Cite&gt;&lt;Author&gt;Kirikkaleli&lt;/Author&gt;&lt;Year&gt;2021&lt;/Year&gt;&lt;RecNum&gt;1670&lt;/RecNum&gt;&lt;DisplayText&gt;(Kirikkaleli&lt;style face="italic"&gt; et al.&lt;/style&gt;, 2021)&lt;/DisplayText&gt;&lt;record&gt;&lt;rec-number&gt;1670&lt;/rec-number&gt;&lt;foreign-keys&gt;&lt;key app="EN" db-id="esvrve9x1d0a5gerpeuprwp0vtp2zxx2ssr9" timestamp="1653136980"&gt;1670&lt;/key&gt;&lt;/foreign-keys&gt;&lt;ref-type name="Journal Article"&gt;17&lt;/ref-type&gt;&lt;contributors&gt;&lt;authors&gt;&lt;author&gt;Kirikkaleli, Dervis&lt;/author&gt;&lt;author&gt;Alola, Andrew Adewale&lt;/author&gt;&lt;author&gt;Bekun, Festus Victor&lt;/author&gt;&lt;/authors&gt;&lt;/contributors&gt;&lt;titles&gt;&lt;title&gt;New insights into economic expansion in the United Kingdom: Does energy mix specificity matter?&lt;/title&gt;&lt;secondary-title&gt;International Journal of Energy Research&lt;/secondary-title&gt;&lt;/titles&gt;&lt;periodical&gt;&lt;full-title&gt;International Journal of Energy Research&lt;/full-title&gt;&lt;/periodical&gt;&lt;pages&gt;18577-18589&lt;/pages&gt;&lt;volume&gt;45&lt;/volume&gt;&lt;number&gt;13&lt;/number&gt;&lt;dates&gt;&lt;year&gt;2021&lt;/year&gt;&lt;/dates&gt;&lt;publisher&gt;Wiley Online Library&lt;/publisher&gt;&lt;isbn&gt;0363-907X&lt;/isbn&gt;&lt;urls&gt;&lt;/urls&gt;&lt;/record&gt;&lt;/Cite&gt;&lt;/EndNote&gt;</w:instrText>
      </w:r>
      <w:r w:rsidR="00E625FB" w:rsidRPr="00802F1A">
        <w:rPr>
          <w:lang w:val="en-US"/>
        </w:rPr>
        <w:fldChar w:fldCharType="separate"/>
      </w:r>
      <w:r w:rsidR="00E625FB" w:rsidRPr="00802F1A">
        <w:rPr>
          <w:noProof/>
          <w:lang w:val="en-US"/>
        </w:rPr>
        <w:t>(Kirikkaleli</w:t>
      </w:r>
      <w:r w:rsidR="00E625FB" w:rsidRPr="00802F1A">
        <w:rPr>
          <w:i/>
          <w:noProof/>
          <w:lang w:val="en-US"/>
        </w:rPr>
        <w:t xml:space="preserve"> et al.</w:t>
      </w:r>
      <w:r w:rsidR="00E625FB" w:rsidRPr="00802F1A">
        <w:rPr>
          <w:noProof/>
          <w:lang w:val="en-US"/>
        </w:rPr>
        <w:t>, 2021)</w:t>
      </w:r>
      <w:r w:rsidR="00E625FB" w:rsidRPr="00802F1A">
        <w:rPr>
          <w:lang w:val="en-US"/>
        </w:rPr>
        <w:fldChar w:fldCharType="end"/>
      </w:r>
      <w:r w:rsidRPr="00802F1A">
        <w:rPr>
          <w:lang w:val="en-US"/>
        </w:rPr>
        <w:t xml:space="preserve">, renewable energy </w:t>
      </w:r>
      <w:r w:rsidR="00402EF4" w:rsidRPr="00802F1A">
        <w:rPr>
          <w:lang w:val="en-US"/>
        </w:rPr>
        <w:fldChar w:fldCharType="begin"/>
      </w:r>
      <w:r w:rsidR="00402EF4" w:rsidRPr="00802F1A">
        <w:rPr>
          <w:lang w:val="en-US"/>
        </w:rPr>
        <w:instrText xml:space="preserve"> ADDIN EN.CITE &lt;EndNote&gt;&lt;Cite&gt;&lt;Author&gt;Abanda&lt;/Author&gt;&lt;Year&gt;2012&lt;/Year&gt;&lt;RecNum&gt;1671&lt;/RecNum&gt;&lt;DisplayText&gt;(Abanda&lt;style face="italic"&gt; et al.&lt;/style&gt;, 2012)&lt;/DisplayText&gt;&lt;record&gt;&lt;rec-number&gt;1671&lt;/rec-number&gt;&lt;foreign-keys&gt;&lt;key app="EN" db-id="esvrve9x1d0a5gerpeuprwp0vtp2zxx2ssr9" timestamp="1653137109"&gt;1671&lt;/key&gt;&lt;/foreign-keys&gt;&lt;ref-type name="Journal Article"&gt;17&lt;/ref-type&gt;&lt;contributors&gt;&lt;authors&gt;&lt;author&gt;Abanda, F. H.&lt;/author&gt;&lt;author&gt;Ng’ombe, A.&lt;/author&gt;&lt;author&gt;Keivani, R.&lt;/author&gt;&lt;author&gt;Tah, J. H. M.&lt;/author&gt;&lt;/authors&gt;&lt;/contributors&gt;&lt;titles&gt;&lt;title&gt;The link between renewable energy production and gross domestic product in Africa: A comparative study between 1980 and 2008&lt;/title&gt;&lt;secondary-title&gt;Renewable and Sustainable Energy Reviews&lt;/secondary-title&gt;&lt;/titles&gt;&lt;periodical&gt;&lt;full-title&gt;Renewable and Sustainable Energy Reviews&lt;/full-title&gt;&lt;/periodical&gt;&lt;pages&gt;2147-2153&lt;/pages&gt;&lt;volume&gt;16&lt;/volume&gt;&lt;number&gt;4&lt;/number&gt;&lt;keywords&gt;&lt;keyword&gt;Africa&lt;/keyword&gt;&lt;keyword&gt;Climate change&lt;/keyword&gt;&lt;keyword&gt;GDP&lt;/keyword&gt;&lt;keyword&gt;Renewable energy&lt;/keyword&gt;&lt;/keywords&gt;&lt;dates&gt;&lt;year&gt;2012&lt;/year&gt;&lt;pub-dates&gt;&lt;date&gt;2012/05/01/&lt;/date&gt;&lt;/pub-dates&gt;&lt;/dates&gt;&lt;isbn&gt;1364-0321&lt;/isbn&gt;&lt;urls&gt;&lt;related-urls&gt;&lt;url&gt;https://www.sciencedirect.com/science/article/pii/S1364032112000068&lt;/url&gt;&lt;/related-urls&gt;&lt;/urls&gt;&lt;electronic-resource-num&gt;https://doi.org/10.1016/j.rser.2012.01.005&lt;/electronic-resource-num&gt;&lt;/record&gt;&lt;/Cite&gt;&lt;/EndNote&gt;</w:instrText>
      </w:r>
      <w:r w:rsidR="00402EF4" w:rsidRPr="00802F1A">
        <w:rPr>
          <w:lang w:val="en-US"/>
        </w:rPr>
        <w:fldChar w:fldCharType="separate"/>
      </w:r>
      <w:r w:rsidR="00402EF4" w:rsidRPr="00802F1A">
        <w:rPr>
          <w:noProof/>
          <w:lang w:val="en-US"/>
        </w:rPr>
        <w:t>(Abanda</w:t>
      </w:r>
      <w:r w:rsidR="00402EF4" w:rsidRPr="00802F1A">
        <w:rPr>
          <w:i/>
          <w:noProof/>
          <w:lang w:val="en-US"/>
        </w:rPr>
        <w:t xml:space="preserve"> et al.</w:t>
      </w:r>
      <w:r w:rsidR="00402EF4" w:rsidRPr="00802F1A">
        <w:rPr>
          <w:noProof/>
          <w:lang w:val="en-US"/>
        </w:rPr>
        <w:t>, 2012)</w:t>
      </w:r>
      <w:r w:rsidR="00402EF4" w:rsidRPr="00802F1A">
        <w:rPr>
          <w:lang w:val="en-US"/>
        </w:rPr>
        <w:fldChar w:fldCharType="end"/>
      </w:r>
      <w:r w:rsidRPr="00802F1A">
        <w:rPr>
          <w:lang w:val="en-US"/>
        </w:rPr>
        <w:t xml:space="preserve">, and energy security </w:t>
      </w:r>
      <w:r w:rsidR="00093054" w:rsidRPr="00802F1A">
        <w:rPr>
          <w:lang w:val="en-US"/>
        </w:rPr>
        <w:fldChar w:fldCharType="begin"/>
      </w:r>
      <w:r w:rsidR="00093054" w:rsidRPr="00802F1A">
        <w:rPr>
          <w:lang w:val="en-US"/>
        </w:rPr>
        <w:instrText xml:space="preserve"> ADDIN EN.CITE &lt;EndNote&gt;&lt;Cite&gt;&lt;Author&gt;Le&lt;/Author&gt;&lt;Year&gt;2019&lt;/Year&gt;&lt;RecNum&gt;1669&lt;/RecNum&gt;&lt;DisplayText&gt;(Le and Nguyen, 2019)&lt;/DisplayText&gt;&lt;record&gt;&lt;rec-number&gt;1669&lt;/rec-number&gt;&lt;foreign-keys&gt;&lt;key app="EN" db-id="esvrve9x1d0a5gerpeuprwp0vtp2zxx2ssr9" timestamp="1653135652"&gt;1669&lt;/key&gt;&lt;/foreign-keys&gt;&lt;ref-type name="Journal Article"&gt;17&lt;/ref-type&gt;&lt;contributors&gt;&lt;authors&gt;&lt;author&gt;Le, Thai-Ha&lt;/author&gt;&lt;author&gt;Nguyen, Canh Phuc&lt;/author&gt;&lt;/authors&gt;&lt;/contributors&gt;&lt;titles&gt;&lt;title&gt;Is energy security a driver for economic growth? Evidence from a global sample&lt;/title&gt;&lt;secondary-title&gt;Energy Policy&lt;/secondary-title&gt;&lt;/titles&gt;&lt;periodical&gt;&lt;full-title&gt;Energy Policy&lt;/full-title&gt;&lt;/periodical&gt;&lt;pages&gt;436-451&lt;/pages&gt;&lt;volume&gt;129&lt;/volume&gt;&lt;keywords&gt;&lt;keyword&gt;Energy security&lt;/keyword&gt;&lt;keyword&gt;Economic growth&lt;/keyword&gt;&lt;keyword&gt;Global sample&lt;/keyword&gt;&lt;keyword&gt;Panel data analysis&lt;/keyword&gt;&lt;/keywords&gt;&lt;dates&gt;&lt;year&gt;2019&lt;/year&gt;&lt;pub-dates&gt;&lt;date&gt;2019/06/01/&lt;/date&gt;&lt;/pub-dates&gt;&lt;/dates&gt;&lt;isbn&gt;0301-4215&lt;/isbn&gt;&lt;urls&gt;&lt;related-urls&gt;&lt;url&gt;https://www.sciencedirect.com/science/article/pii/S0301421519301211&lt;/url&gt;&lt;/related-urls&gt;&lt;/urls&gt;&lt;electronic-resource-num&gt;https://doi.org/10.1016/j.enpol.2019.02.038&lt;/electronic-resource-num&gt;&lt;/record&gt;&lt;/Cite&gt;&lt;/EndNote&gt;</w:instrText>
      </w:r>
      <w:r w:rsidR="00093054" w:rsidRPr="00802F1A">
        <w:rPr>
          <w:lang w:val="en-US"/>
        </w:rPr>
        <w:fldChar w:fldCharType="separate"/>
      </w:r>
      <w:r w:rsidR="00093054" w:rsidRPr="00802F1A">
        <w:rPr>
          <w:noProof/>
          <w:lang w:val="en-US"/>
        </w:rPr>
        <w:t>(Le and Nguyen, 2019)</w:t>
      </w:r>
      <w:r w:rsidR="00093054" w:rsidRPr="00802F1A">
        <w:rPr>
          <w:lang w:val="en-US"/>
        </w:rPr>
        <w:fldChar w:fldCharType="end"/>
      </w:r>
      <w:r w:rsidRPr="00802F1A">
        <w:rPr>
          <w:lang w:val="en-US"/>
        </w:rPr>
        <w:t>. However, to the best of our knowledge, no studies have investigated the two-way relationship between the diversification of energy consumption sources and per-capita income. This research seeks to fill this gap in the existing literature.</w:t>
      </w:r>
    </w:p>
    <w:p w14:paraId="499EE3FF" w14:textId="77777777" w:rsidR="00444EEB" w:rsidRPr="00802F1A" w:rsidRDefault="00444EEB" w:rsidP="00EB3EBD">
      <w:pPr>
        <w:jc w:val="both"/>
        <w:rPr>
          <w:lang w:val="en-US"/>
        </w:rPr>
      </w:pPr>
    </w:p>
    <w:p w14:paraId="68BB7218" w14:textId="77777777" w:rsidR="00FC3D11" w:rsidRPr="00802F1A" w:rsidRDefault="00FC3D11" w:rsidP="00CD749C">
      <w:pPr>
        <w:jc w:val="both"/>
        <w:rPr>
          <w:lang w:val="en-US"/>
        </w:rPr>
      </w:pPr>
    </w:p>
    <w:p w14:paraId="11F2F6DC" w14:textId="744F56B5" w:rsidR="00FC3D11" w:rsidRPr="00802F1A" w:rsidRDefault="00FC3D11" w:rsidP="00CD749C">
      <w:pPr>
        <w:jc w:val="both"/>
        <w:rPr>
          <w:lang w:val="en-US"/>
        </w:rPr>
      </w:pPr>
      <w:r w:rsidRPr="00802F1A">
        <w:rPr>
          <w:lang w:val="en-US"/>
        </w:rPr>
        <w:lastRenderedPageBreak/>
        <w:t xml:space="preserve">The process of energy source diversification involves a shift from traditional fossil fuel-based sources to new/modern renewable energy sources. Two theoretical perspectives can explain the introduction of new energy sources into the energy portfolio. The </w:t>
      </w:r>
      <w:r w:rsidRPr="00802F1A">
        <w:rPr>
          <w:i/>
          <w:iCs/>
          <w:lang w:val="en-US"/>
        </w:rPr>
        <w:t>ladder hypothesis</w:t>
      </w:r>
      <w:r w:rsidRPr="00802F1A">
        <w:rPr>
          <w:lang w:val="en-US"/>
        </w:rPr>
        <w:t xml:space="preserve"> suggests that as income increases, energy users have access to both traditional and modern energy sources, and they gradually switch from traditional sources to modern ones, eventually leading to the replacement of traditional sources with modern ones </w:t>
      </w:r>
      <w:r w:rsidR="00993C86" w:rsidRPr="00802F1A">
        <w:rPr>
          <w:lang w:val="en-US"/>
        </w:rPr>
        <w:fldChar w:fldCharType="begin"/>
      </w:r>
      <w:r w:rsidR="00993C86" w:rsidRPr="00802F1A">
        <w:rPr>
          <w:lang w:val="en-US"/>
        </w:rPr>
        <w:instrText xml:space="preserve"> ADDIN EN.CITE &lt;EndNote&gt;&lt;Cite&gt;&lt;Author&gt;Hosier&lt;/Author&gt;&lt;Year&gt;1987&lt;/Year&gt;&lt;RecNum&gt;1743&lt;/RecNum&gt;&lt;DisplayText&gt;(Hosier and Dowd, 1987)&lt;/DisplayText&gt;&lt;record&gt;&lt;rec-number&gt;1743&lt;/rec-number&gt;&lt;foreign-keys&gt;&lt;key app="EN" db-id="esvrve9x1d0a5gerpeuprwp0vtp2zxx2ssr9" timestamp="1655704631"&gt;1743&lt;/key&gt;&lt;/foreign-keys&gt;&lt;ref-type name="Journal Article"&gt;17&lt;/ref-type&gt;&lt;contributors&gt;&lt;authors&gt;&lt;author&gt;Hosier, Richard H.&lt;/author&gt;&lt;author&gt;Dowd, Jeffrey&lt;/author&gt;&lt;/authors&gt;&lt;/contributors&gt;&lt;titles&gt;&lt;title&gt;Household fuel choice in Zimbabwe: An empirical test of the energy ladder hypothesis&lt;/title&gt;&lt;secondary-title&gt;Resources and Energy&lt;/secondary-title&gt;&lt;/titles&gt;&lt;periodical&gt;&lt;full-title&gt;Resources and Energy&lt;/full-title&gt;&lt;/periodical&gt;&lt;pages&gt;347-361&lt;/pages&gt;&lt;volume&gt;9&lt;/volume&gt;&lt;number&gt;4&lt;/number&gt;&lt;dates&gt;&lt;year&gt;1987&lt;/year&gt;&lt;pub-dates&gt;&lt;date&gt;1987/12/01/&lt;/date&gt;&lt;/pub-dates&gt;&lt;/dates&gt;&lt;isbn&gt;0165-0572&lt;/isbn&gt;&lt;urls&gt;&lt;related-urls&gt;&lt;url&gt;https://www.sciencedirect.com/science/article/pii/016505728790003X&lt;/url&gt;&lt;/related-urls&gt;&lt;/urls&gt;&lt;electronic-resource-num&gt;https://doi.org/10.1016/0165-0572(87)90003-X&lt;/electronic-resource-num&gt;&lt;/record&gt;&lt;/Cite&gt;&lt;/EndNote&gt;</w:instrText>
      </w:r>
      <w:r w:rsidR="00993C86" w:rsidRPr="00802F1A">
        <w:rPr>
          <w:lang w:val="en-US"/>
        </w:rPr>
        <w:fldChar w:fldCharType="separate"/>
      </w:r>
      <w:r w:rsidR="00993C86" w:rsidRPr="00802F1A">
        <w:rPr>
          <w:noProof/>
          <w:lang w:val="en-US"/>
        </w:rPr>
        <w:t>(Hosier and Dowd, 1987)</w:t>
      </w:r>
      <w:r w:rsidR="00993C86" w:rsidRPr="00802F1A">
        <w:rPr>
          <w:lang w:val="en-US"/>
        </w:rPr>
        <w:fldChar w:fldCharType="end"/>
      </w:r>
      <w:r w:rsidRPr="00802F1A">
        <w:rPr>
          <w:lang w:val="en-US"/>
        </w:rPr>
        <w:t xml:space="preserve">. On the other hand, the </w:t>
      </w:r>
      <w:r w:rsidRPr="00802F1A">
        <w:rPr>
          <w:i/>
          <w:iCs/>
          <w:lang w:val="en-US"/>
        </w:rPr>
        <w:t>multiple fuel use hypothesis</w:t>
      </w:r>
      <w:r w:rsidRPr="00802F1A">
        <w:rPr>
          <w:lang w:val="en-US"/>
        </w:rPr>
        <w:t xml:space="preserve"> suggests that as income increases, energy users tend to utilize multiple energy sources, leading to a dominance of new energy sources in the energy mix, but traditional sources are not completely replaced </w:t>
      </w:r>
      <w:r w:rsidR="00993C86" w:rsidRPr="00802F1A">
        <w:rPr>
          <w:lang w:val="en-US"/>
        </w:rPr>
        <w:fldChar w:fldCharType="begin"/>
      </w:r>
      <w:r w:rsidR="00993C86" w:rsidRPr="00802F1A">
        <w:rPr>
          <w:lang w:val="en-US"/>
        </w:rPr>
        <w:instrText xml:space="preserve"> ADDIN EN.CITE &lt;EndNote&gt;&lt;Cite&gt;&lt;Author&gt;Masera&lt;/Author&gt;&lt;Year&gt;2000&lt;/Year&gt;&lt;RecNum&gt;1744&lt;/RecNum&gt;&lt;DisplayText&gt;(Masera&lt;style face="italic"&gt; et al.&lt;/style&gt;, 2000)&lt;/DisplayText&gt;&lt;record&gt;&lt;rec-number&gt;1744&lt;/rec-number&gt;&lt;foreign-keys&gt;&lt;key app="EN" db-id="esvrve9x1d0a5gerpeuprwp0vtp2zxx2ssr9" timestamp="1655723514"&gt;1744&lt;/key&gt;&lt;/foreign-keys&gt;&lt;ref-type name="Journal Article"&gt;17&lt;/ref-type&gt;&lt;contributors&gt;&lt;authors&gt;&lt;author&gt;Masera, Omar R.&lt;/author&gt;&lt;author&gt;Saatkamp, Barbara D.&lt;/author&gt;&lt;author&gt;Kammen, Daniel M.&lt;/author&gt;&lt;/authors&gt;&lt;/contributors&gt;&lt;titles&gt;&lt;title&gt;From Linear Fuel Switching to Multiple Cooking Strategies: A Critique and Alternative to the Energy Ladder Model&lt;/title&gt;&lt;secondary-title&gt;World Development&lt;/secondary-title&gt;&lt;/titles&gt;&lt;periodical&gt;&lt;full-title&gt;World Development&lt;/full-title&gt;&lt;/periodical&gt;&lt;pages&gt;2083-2103&lt;/pages&gt;&lt;volume&gt;28&lt;/volume&gt;&lt;number&gt;12&lt;/number&gt;&lt;keywords&gt;&lt;keyword&gt;fuels&lt;/keyword&gt;&lt;keyword&gt;cooking&lt;/keyword&gt;&lt;keyword&gt;households&lt;/keyword&gt;&lt;keyword&gt;rural development&lt;/keyword&gt;&lt;keyword&gt;energy ladder&lt;/keyword&gt;&lt;keyword&gt;Mexico&lt;/keyword&gt;&lt;/keywords&gt;&lt;dates&gt;&lt;year&gt;2000&lt;/year&gt;&lt;pub-dates&gt;&lt;date&gt;2000/12/01/&lt;/date&gt;&lt;/pub-dates&gt;&lt;/dates&gt;&lt;isbn&gt;0305-750X&lt;/isbn&gt;&lt;urls&gt;&lt;related-urls&gt;&lt;url&gt;https://www.sciencedirect.com/science/article/pii/S0305750X00000760&lt;/url&gt;&lt;/related-urls&gt;&lt;/urls&gt;&lt;electronic-resource-num&gt;https://doi.org/10.1016/S0305-750X(00)00076-0&lt;/electronic-resource-num&gt;&lt;/record&gt;&lt;/Cite&gt;&lt;/EndNote&gt;</w:instrText>
      </w:r>
      <w:r w:rsidR="00993C86" w:rsidRPr="00802F1A">
        <w:rPr>
          <w:lang w:val="en-US"/>
        </w:rPr>
        <w:fldChar w:fldCharType="separate"/>
      </w:r>
      <w:r w:rsidR="00993C86" w:rsidRPr="00802F1A">
        <w:rPr>
          <w:noProof/>
          <w:lang w:val="en-US"/>
        </w:rPr>
        <w:t>(Masera</w:t>
      </w:r>
      <w:r w:rsidR="00993C86" w:rsidRPr="00802F1A">
        <w:rPr>
          <w:i/>
          <w:noProof/>
          <w:lang w:val="en-US"/>
        </w:rPr>
        <w:t xml:space="preserve"> et al.</w:t>
      </w:r>
      <w:r w:rsidR="00993C86" w:rsidRPr="00802F1A">
        <w:rPr>
          <w:noProof/>
          <w:lang w:val="en-US"/>
        </w:rPr>
        <w:t>, 2000)</w:t>
      </w:r>
      <w:r w:rsidR="00993C86" w:rsidRPr="00802F1A">
        <w:rPr>
          <w:lang w:val="en-US"/>
        </w:rPr>
        <w:fldChar w:fldCharType="end"/>
      </w:r>
      <w:r w:rsidRPr="00802F1A">
        <w:rPr>
          <w:lang w:val="en-US"/>
        </w:rPr>
        <w:t>. Both hypotheses imply that countries tend to diversify their energy sources towards cleaner options as their wealth grows. Additionally, wealthier countries typically have greater financial, human, and technological resources, enabling them to pursue energy source diversification more effectively.</w:t>
      </w:r>
    </w:p>
    <w:p w14:paraId="75FC843E" w14:textId="77777777" w:rsidR="001614BE" w:rsidRPr="00802F1A" w:rsidRDefault="001614BE" w:rsidP="00CD749C">
      <w:pPr>
        <w:jc w:val="both"/>
        <w:rPr>
          <w:lang w:val="en-US"/>
        </w:rPr>
      </w:pPr>
    </w:p>
    <w:p w14:paraId="4B297798" w14:textId="2DD7FB95" w:rsidR="001614BE" w:rsidRPr="00802F1A" w:rsidRDefault="001614BE" w:rsidP="00CD749C">
      <w:pPr>
        <w:jc w:val="both"/>
        <w:rPr>
          <w:lang w:val="en-US"/>
        </w:rPr>
      </w:pPr>
      <w:r w:rsidRPr="00802F1A">
        <w:rPr>
          <w:lang w:val="en-US"/>
        </w:rPr>
        <w:t xml:space="preserve">In the past three decades, global energy demand has experienced a steady increase due to factors such as population growth, industrialization, and urbanization. However, relying heavily on a single energy source that is prone to volatile fuel prices cannot sustainably meet the growing energy demand necessary for economic activities. To address this challenge, energy diversification, particularly through investments in renewable energies, becomes crucial. By diversifying energy sources, countries can enhance energy access, generate employment opportunities, stimulate business growth, and ultimately improve their economic performance. It is important to note that energy is an essential input in the production process, and a significant portion of the cost of goods sold can be attributed to energy expenses </w:t>
      </w:r>
      <w:r w:rsidR="00A0620E" w:rsidRPr="00802F1A">
        <w:rPr>
          <w:rFonts w:cs="Times New Roman"/>
          <w:szCs w:val="24"/>
          <w:lang w:val="en-US"/>
        </w:rPr>
        <w:fldChar w:fldCharType="begin"/>
      </w:r>
      <w:r w:rsidR="00A0620E" w:rsidRPr="00802F1A">
        <w:rPr>
          <w:rFonts w:cs="Times New Roman"/>
          <w:szCs w:val="24"/>
          <w:lang w:val="en-US"/>
        </w:rPr>
        <w:instrText xml:space="preserve"> ADDIN EN.CITE &lt;EndNote&gt;&lt;Cite&gt;&lt;Author&gt;Mickovic&lt;/Author&gt;&lt;Year&gt;2020&lt;/Year&gt;&lt;RecNum&gt;1709&lt;/RecNum&gt;&lt;DisplayText&gt;(Mickovic and Wouters, 2020)&lt;/DisplayText&gt;&lt;record&gt;&lt;rec-number&gt;1709&lt;/rec-number&gt;&lt;foreign-keys&gt;&lt;key app="EN" db-id="esvrve9x1d0a5gerpeuprwp0vtp2zxx2ssr9" timestamp="1654597593"&gt;1709&lt;/key&gt;&lt;/foreign-keys&gt;&lt;ref-type name="Journal Article"&gt;17&lt;/ref-type&gt;&lt;contributors&gt;&lt;authors&gt;&lt;author&gt;Mickovic, Ana&lt;/author&gt;&lt;author&gt;Wouters, Marc&lt;/author&gt;&lt;/authors&gt;&lt;/contributors&gt;&lt;titles&gt;&lt;title&gt;Energy costs information in manufacturing companies: A systematic literature review&lt;/title&gt;&lt;secondary-title&gt;Journal of cleaner production&lt;/secondary-title&gt;&lt;/titles&gt;&lt;periodical&gt;&lt;full-title&gt;Journal of cleaner production&lt;/full-title&gt;&lt;/periodical&gt;&lt;pages&gt;119927&lt;/pages&gt;&lt;volume&gt;254&lt;/volume&gt;&lt;keywords&gt;&lt;keyword&gt;Energy cost allocation&lt;/keyword&gt;&lt;keyword&gt;Energy cost information&lt;/keyword&gt;&lt;keyword&gt;Energy management&lt;/keyword&gt;&lt;keyword&gt;Energy metering&lt;/keyword&gt;&lt;keyword&gt;Manufacturing companies&lt;/keyword&gt;&lt;keyword&gt;Systematic literature review&lt;/keyword&gt;&lt;/keywords&gt;&lt;dates&gt;&lt;year&gt;2020&lt;/year&gt;&lt;/dates&gt;&lt;publisher&gt;Elsevier Ltd&lt;/publisher&gt;&lt;isbn&gt;0959-6526&lt;/isbn&gt;&lt;urls&gt;&lt;/urls&gt;&lt;electronic-resource-num&gt;10.1016/j.jclepro.2019.119927&lt;/electronic-resource-num&gt;&lt;/record&gt;&lt;/Cite&gt;&lt;/EndNote&gt;</w:instrText>
      </w:r>
      <w:r w:rsidR="00A0620E" w:rsidRPr="00802F1A">
        <w:rPr>
          <w:rFonts w:cs="Times New Roman"/>
          <w:szCs w:val="24"/>
          <w:lang w:val="en-US"/>
        </w:rPr>
        <w:fldChar w:fldCharType="separate"/>
      </w:r>
      <w:r w:rsidR="00A0620E" w:rsidRPr="00802F1A">
        <w:rPr>
          <w:rFonts w:cs="Times New Roman"/>
          <w:noProof/>
          <w:szCs w:val="24"/>
          <w:lang w:val="en-US"/>
        </w:rPr>
        <w:t>(Mickovic and Wouters, 2020)</w:t>
      </w:r>
      <w:r w:rsidR="00A0620E" w:rsidRPr="00802F1A">
        <w:rPr>
          <w:rFonts w:cs="Times New Roman"/>
          <w:szCs w:val="24"/>
          <w:lang w:val="en-US"/>
        </w:rPr>
        <w:fldChar w:fldCharType="end"/>
      </w:r>
      <w:r w:rsidRPr="00802F1A">
        <w:rPr>
          <w:lang w:val="en-US"/>
        </w:rPr>
        <w:t xml:space="preserve">. While diversification does not eliminate energy risks entirely, it does substantially reduce a country's vulnerability to disruptions in energy supply and sudden spikes in energy prices </w:t>
      </w:r>
      <w:r w:rsidR="00A0620E" w:rsidRPr="00802F1A">
        <w:rPr>
          <w:rFonts w:cs="Times New Roman"/>
          <w:szCs w:val="24"/>
          <w:lang w:val="en-US"/>
        </w:rPr>
        <w:fldChar w:fldCharType="begin">
          <w:fldData xml:space="preserve">PEVuZE5vdGU+PENpdGU+PEF1dGhvcj5DaHVhbmc8L0F1dGhvcj48WWVhcj4yMDEzPC9ZZWFyPjxS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</w:fldData>
        </w:fldChar>
      </w:r>
      <w:r w:rsidR="00A0620E" w:rsidRPr="00802F1A">
        <w:rPr>
          <w:rFonts w:cs="Times New Roman"/>
          <w:szCs w:val="24"/>
          <w:lang w:val="en-US"/>
        </w:rPr>
        <w:instrText xml:space="preserve"> ADDIN EN.CITE </w:instrText>
      </w:r>
      <w:r w:rsidR="00A0620E" w:rsidRPr="00802F1A">
        <w:rPr>
          <w:rFonts w:cs="Times New Roman"/>
          <w:szCs w:val="24"/>
          <w:lang w:val="en-US"/>
        </w:rPr>
        <w:fldChar w:fldCharType="begin">
          <w:fldData xml:space="preserve">PEVuZE5vdGU+PENpdGU+PEF1dGhvcj5DaHVhbmc8L0F1dGhvcj48WWVhcj4yMDEzPC9ZZWFyPjxS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</w:fldData>
        </w:fldChar>
      </w:r>
      <w:r w:rsidR="00A0620E" w:rsidRPr="00802F1A">
        <w:rPr>
          <w:rFonts w:cs="Times New Roman"/>
          <w:szCs w:val="24"/>
          <w:lang w:val="en-US"/>
        </w:rPr>
        <w:instrText xml:space="preserve"> ADDIN EN.CITE.DATA </w:instrText>
      </w:r>
      <w:r w:rsidR="00A0620E" w:rsidRPr="00802F1A">
        <w:rPr>
          <w:rFonts w:cs="Times New Roman"/>
          <w:szCs w:val="24"/>
          <w:lang w:val="en-US"/>
        </w:rPr>
      </w:r>
      <w:r w:rsidR="00A0620E" w:rsidRPr="00802F1A">
        <w:rPr>
          <w:rFonts w:cs="Times New Roman"/>
          <w:szCs w:val="24"/>
          <w:lang w:val="en-US"/>
        </w:rPr>
        <w:fldChar w:fldCharType="end"/>
      </w:r>
      <w:r w:rsidR="00A0620E" w:rsidRPr="00802F1A">
        <w:rPr>
          <w:rFonts w:cs="Times New Roman"/>
          <w:szCs w:val="24"/>
          <w:lang w:val="en-US"/>
        </w:rPr>
      </w:r>
      <w:r w:rsidR="00A0620E" w:rsidRPr="00802F1A">
        <w:rPr>
          <w:rFonts w:cs="Times New Roman"/>
          <w:szCs w:val="24"/>
          <w:lang w:val="en-US"/>
        </w:rPr>
        <w:fldChar w:fldCharType="separate"/>
      </w:r>
      <w:r w:rsidR="00A0620E" w:rsidRPr="00802F1A">
        <w:rPr>
          <w:rFonts w:cs="Times New Roman"/>
          <w:noProof/>
          <w:szCs w:val="24"/>
          <w:lang w:val="en-US"/>
        </w:rPr>
        <w:t>(Chuang and Ma, 2013, Bellemare, 2015)</w:t>
      </w:r>
      <w:r w:rsidR="00A0620E" w:rsidRPr="00802F1A">
        <w:rPr>
          <w:rFonts w:cs="Times New Roman"/>
          <w:szCs w:val="24"/>
          <w:lang w:val="en-US"/>
        </w:rPr>
        <w:fldChar w:fldCharType="end"/>
      </w:r>
      <w:r w:rsidRPr="00802F1A">
        <w:rPr>
          <w:lang w:val="en-US"/>
        </w:rPr>
        <w:t>. This incentivizes countries to enhance their economic output and mitigate potential setbacks related to energy-related uncertainties.</w:t>
      </w:r>
    </w:p>
    <w:p w14:paraId="4F169575" w14:textId="77777777" w:rsidR="00E95D93" w:rsidRPr="00802F1A" w:rsidRDefault="00E95D93" w:rsidP="00CD749C">
      <w:pPr>
        <w:jc w:val="both"/>
        <w:rPr>
          <w:lang w:val="en-US"/>
        </w:rPr>
      </w:pPr>
    </w:p>
    <w:p w14:paraId="37D8B76B" w14:textId="3E2FE2AD" w:rsidR="00E95D93" w:rsidRPr="00802F1A" w:rsidRDefault="00E95D93" w:rsidP="00E95D93">
      <w:pPr>
        <w:jc w:val="both"/>
        <w:rPr>
          <w:lang w:val="en-US"/>
        </w:rPr>
      </w:pPr>
      <w:r w:rsidRPr="00802F1A">
        <w:rPr>
          <w:lang w:val="en-US"/>
        </w:rPr>
        <w:t xml:space="preserve">Furthermore, </w:t>
      </w:r>
      <w:r w:rsidR="004B62D8" w:rsidRPr="00802F1A">
        <w:rPr>
          <w:lang w:val="en-US"/>
        </w:rPr>
        <w:t>several studies focusing on renewable energy,</w:t>
      </w:r>
      <w:r w:rsidR="006A4595" w:rsidRPr="00802F1A">
        <w:t xml:space="preserve"> </w:t>
      </w:r>
      <w:r w:rsidR="006A4595" w:rsidRPr="00802F1A">
        <w:rPr>
          <w:lang w:val="en-US"/>
        </w:rPr>
        <w:t>such as</w:t>
      </w:r>
      <w:r w:rsidRPr="00802F1A">
        <w:rPr>
          <w:lang w:val="en-US"/>
        </w:rPr>
        <w:t xml:space="preserve"> </w:t>
      </w:r>
      <w:r w:rsidR="00DC55E0" w:rsidRPr="00802F1A">
        <w:rPr>
          <w:rFonts w:cs="Times New Roman"/>
          <w:szCs w:val="24"/>
          <w:lang w:val="en-US"/>
        </w:rPr>
        <w:fldChar w:fldCharType="begin"/>
      </w:r>
      <w:r w:rsidR="00DC55E0" w:rsidRPr="00802F1A">
        <w:rPr>
          <w:rFonts w:cs="Times New Roman"/>
          <w:szCs w:val="24"/>
          <w:lang w:val="en-US"/>
        </w:rPr>
        <w:instrText xml:space="preserve"> ADDIN EN.CITE &lt;EndNote&gt;&lt;Cite AuthorYear="1"&gt;&lt;Author&gt;Pata&lt;/Author&gt;&lt;Year&gt;2018&lt;/Year&gt;&lt;RecNum&gt;1718&lt;/RecNum&gt;&lt;DisplayText&gt;Pata (2018)&lt;/DisplayText&gt;&lt;record&gt;&lt;rec-number&gt;1718&lt;/rec-number&gt;&lt;foreign-keys&gt;&lt;key app="EN" db-id="esvrve9x1d0a5gerpeuprwp0vtp2zxx2ssr9" timestamp="1654873302"&gt;1718&lt;/key&gt;&lt;/foreign-keys&gt;&lt;ref-type name="Journal Article"&gt;17&lt;/ref-type&gt;&lt;contributors&gt;&lt;authors&gt;&lt;author&gt;Pata, Ugur Korkut&lt;/author&gt;&lt;/authors&gt;&lt;/contributors&gt;&lt;titles&gt;&lt;title&gt;Renewable energy consumption, urbanization, financial development, income and CO2 emissions in Turkey: Testing EKC hypothesis with structural breaks&lt;/title&gt;&lt;secondary-title&gt;Journal of Cleaner Production&lt;/secondary-title&gt;&lt;/titles&gt;&lt;periodical&gt;&lt;full-title&gt;Journal of cleaner production&lt;/full-title&gt;&lt;/periodical&gt;&lt;pages&gt;770-779&lt;/pages&gt;&lt;volume&gt;187&lt;/volume&gt;&lt;keywords&gt;&lt;keyword&gt;Renewable energy consumption&lt;/keyword&gt;&lt;keyword&gt;Urbanization&lt;/keyword&gt;&lt;keyword&gt;Financial development&lt;/keyword&gt;&lt;keyword&gt;EKC hypothesis&lt;/keyword&gt;&lt;keyword&gt;Structural breaks&lt;/keyword&gt;&lt;keyword&gt;Turkey&lt;/keyword&gt;&lt;/keywords&gt;&lt;dates&gt;&lt;year&gt;2018&lt;/year&gt;&lt;pub-dates&gt;&lt;date&gt;2018/06/20/&lt;/date&gt;&lt;/pub-dates&gt;&lt;/dates&gt;&lt;isbn&gt;0959-6526&lt;/isbn&gt;&lt;urls&gt;&lt;related-urls&gt;&lt;url&gt;https://www.sciencedirect.com/science/article/pii/S0959652618309132&lt;/url&gt;&lt;/related-urls&gt;&lt;/urls&gt;&lt;electronic-resource-num&gt;https://doi.org/10.1016/j.jclepro.2018.03.236&lt;/electronic-resource-num&gt;&lt;/record&gt;&lt;/Cite&gt;&lt;/EndNote&gt;</w:instrText>
      </w:r>
      <w:r w:rsidR="00DC55E0" w:rsidRPr="00802F1A">
        <w:rPr>
          <w:rFonts w:cs="Times New Roman"/>
          <w:szCs w:val="24"/>
          <w:lang w:val="en-US"/>
        </w:rPr>
        <w:fldChar w:fldCharType="separate"/>
      </w:r>
      <w:r w:rsidR="00DC55E0" w:rsidRPr="00802F1A">
        <w:rPr>
          <w:rFonts w:cs="Times New Roman"/>
          <w:noProof/>
          <w:szCs w:val="24"/>
          <w:lang w:val="en-US"/>
        </w:rPr>
        <w:t>Pata (2018)</w:t>
      </w:r>
      <w:r w:rsidR="00DC55E0" w:rsidRPr="00802F1A">
        <w:rPr>
          <w:rFonts w:cs="Times New Roman"/>
          <w:szCs w:val="24"/>
          <w:lang w:val="en-US"/>
        </w:rPr>
        <w:fldChar w:fldCharType="end"/>
      </w:r>
      <w:r w:rsidR="00DC55E0" w:rsidRPr="00802F1A">
        <w:rPr>
          <w:rFonts w:cs="Times New Roman"/>
          <w:szCs w:val="24"/>
          <w:lang w:val="en-US"/>
        </w:rPr>
        <w:t xml:space="preserve">, </w:t>
      </w:r>
      <w:r w:rsidR="00DC55E0" w:rsidRPr="00802F1A">
        <w:rPr>
          <w:rFonts w:cs="Times New Roman"/>
          <w:szCs w:val="24"/>
          <w:lang w:val="en-US"/>
        </w:rPr>
        <w:fldChar w:fldCharType="begin"/>
      </w:r>
      <w:r w:rsidR="00DC55E0" w:rsidRPr="00802F1A">
        <w:rPr>
          <w:rFonts w:cs="Times New Roman"/>
          <w:szCs w:val="24"/>
          <w:lang w:val="en-US"/>
        </w:rPr>
        <w:instrText xml:space="preserve"> ADDIN EN.CITE &lt;EndNote&gt;&lt;Cite AuthorYear="1"&gt;&lt;Author&gt;Bilan&lt;/Author&gt;&lt;Year&gt;2019&lt;/Year&gt;&lt;RecNum&gt;1716&lt;/RecNum&gt;&lt;DisplayText&gt;Bilan&lt;style face="italic"&gt; et al.&lt;/style&gt; (2019)&lt;/DisplayText&gt;&lt;record&gt;&lt;rec-number&gt;1716&lt;/rec-number&gt;&lt;foreign-keys&gt;&lt;key app="EN" db-id="esvrve9x1d0a5gerpeuprwp0vtp2zxx2ssr9" timestamp="1654872792"&gt;1716&lt;/key&gt;&lt;/foreign-keys&gt;&lt;ref-type name="Journal Article"&gt;17&lt;/ref-type&gt;&lt;contributors&gt;&lt;authors&gt;&lt;author&gt;Bilan, Yuriy&lt;/author&gt;&lt;author&gt;Streimikiene, Dalia&lt;/author&gt;&lt;author&gt;Vasylieva, Tetyana&lt;/author&gt;&lt;author&gt;Lyulyov, Oleksii&lt;/author&gt;&lt;author&gt;Pimonenko, Tetyana&lt;/author&gt;&lt;author&gt;Pavlyk, Anatolii&lt;/author&gt;&lt;/authors&gt;&lt;/contributors&gt;&lt;titles&gt;&lt;title&gt;Linking between Renewable Energy, CO2 Emissions, and Economic Growth: Challenges for Candidates and Potential Candidates for the EU Membership&lt;/title&gt;&lt;secondary-title&gt;Sustainability&lt;/secondary-title&gt;&lt;/titles&gt;&lt;periodical&gt;&lt;full-title&gt;Sustainability&lt;/full-title&gt;&lt;/periodical&gt;&lt;volume&gt;11&lt;/volume&gt;&lt;number&gt;6&lt;/number&gt;&lt;keywords&gt;&lt;keyword&gt;sustainability&lt;/keyword&gt;&lt;keyword&gt;renewable energy&lt;/keyword&gt;&lt;keyword&gt;CO2 emissions&lt;/keyword&gt;&lt;keyword&gt;causal relationship&lt;/keyword&gt;&lt;keyword&gt;growth&lt;/keyword&gt;&lt;keyword&gt;stability&lt;/keyword&gt;&lt;keyword&gt;panel unit root tests&lt;/keyword&gt;&lt;/keywords&gt;&lt;dates&gt;&lt;year&gt;2019&lt;/year&gt;&lt;/dates&gt;&lt;isbn&gt;2071-1050&lt;/isbn&gt;&lt;urls&gt;&lt;/urls&gt;&lt;electronic-resource-num&gt;10.3390/su11061528&lt;/electronic-resource-num&gt;&lt;/record&gt;&lt;/Cite&gt;&lt;/EndNote&gt;</w:instrText>
      </w:r>
      <w:r w:rsidR="00DC55E0" w:rsidRPr="00802F1A">
        <w:rPr>
          <w:rFonts w:cs="Times New Roman"/>
          <w:szCs w:val="24"/>
          <w:lang w:val="en-US"/>
        </w:rPr>
        <w:fldChar w:fldCharType="separate"/>
      </w:r>
      <w:r w:rsidR="00DC55E0" w:rsidRPr="00802F1A">
        <w:rPr>
          <w:rFonts w:cs="Times New Roman"/>
          <w:noProof/>
          <w:szCs w:val="24"/>
          <w:lang w:val="en-US"/>
        </w:rPr>
        <w:t>Bilan</w:t>
      </w:r>
      <w:r w:rsidR="00DC55E0" w:rsidRPr="00802F1A">
        <w:rPr>
          <w:rFonts w:cs="Times New Roman"/>
          <w:i/>
          <w:noProof/>
          <w:szCs w:val="24"/>
          <w:lang w:val="en-US"/>
        </w:rPr>
        <w:t xml:space="preserve"> et al.</w:t>
      </w:r>
      <w:r w:rsidR="00DC55E0" w:rsidRPr="00802F1A">
        <w:rPr>
          <w:rFonts w:cs="Times New Roman"/>
          <w:noProof/>
          <w:szCs w:val="24"/>
          <w:lang w:val="en-US"/>
        </w:rPr>
        <w:t xml:space="preserve"> (2019)</w:t>
      </w:r>
      <w:r w:rsidR="00DC55E0" w:rsidRPr="00802F1A">
        <w:rPr>
          <w:rFonts w:cs="Times New Roman"/>
          <w:szCs w:val="24"/>
          <w:lang w:val="en-US"/>
        </w:rPr>
        <w:fldChar w:fldCharType="end"/>
      </w:r>
      <w:r w:rsidR="00DC55E0" w:rsidRPr="00802F1A">
        <w:rPr>
          <w:rFonts w:cs="Times New Roman"/>
          <w:szCs w:val="24"/>
          <w:lang w:val="en-US"/>
        </w:rPr>
        <w:t xml:space="preserve">, </w:t>
      </w:r>
      <w:r w:rsidR="00DC55E0" w:rsidRPr="00802F1A">
        <w:rPr>
          <w:rFonts w:cs="Times New Roman"/>
          <w:szCs w:val="24"/>
          <w:lang w:val="en-US"/>
        </w:rPr>
        <w:fldChar w:fldCharType="begin"/>
      </w:r>
      <w:r w:rsidR="00DC55E0" w:rsidRPr="00802F1A">
        <w:rPr>
          <w:rFonts w:cs="Times New Roman"/>
          <w:szCs w:val="24"/>
          <w:lang w:val="en-US"/>
        </w:rPr>
        <w:instrText xml:space="preserve"> ADDIN EN.CITE &lt;EndNote&gt;&lt;Cite AuthorYear="1"&gt;&lt;Author&gt;Mahmood&lt;/Author&gt;&lt;Year&gt;2019&lt;/Year&gt;&lt;RecNum&gt;1719&lt;/RecNum&gt;&lt;DisplayText&gt;Mahmood&lt;style face="italic"&gt; et al.&lt;/style&gt; (2019)&lt;/DisplayText&gt;&lt;record&gt;&lt;rec-number&gt;1719&lt;/rec-number&gt;&lt;foreign-keys&gt;&lt;key app="EN" db-id="esvrve9x1d0a5gerpeuprwp0vtp2zxx2ssr9" timestamp="1654873942"&gt;1719&lt;/key&gt;&lt;/foreign-keys&gt;&lt;ref-type name="Journal Article"&gt;17&lt;/ref-type&gt;&lt;contributors&gt;&lt;authors&gt;&lt;author&gt;Mahmood, Nasir&lt;/author&gt;&lt;author&gt;Wang, Zhaohua&lt;/author&gt;&lt;author&gt;Hassan, Syed Tauseef&lt;/author&gt;&lt;/authors&gt;&lt;/contributors&gt;&lt;titles&gt;&lt;title&gt;Renewable energy, economic growth, human capital, and CO2 emission: an empirical analysis&lt;/title&gt;&lt;secondary-title&gt;Environmental Science and Pollution Research&lt;/secondary-title&gt;&lt;/titles&gt;&lt;periodical&gt;&lt;full-title&gt;Environmental Science and Pollution Research&lt;/full-title&gt;&lt;/periodical&gt;&lt;pages&gt;20619-20630&lt;/pages&gt;&lt;volume&gt;26&lt;/volume&gt;&lt;number&gt;20&lt;/number&gt;&lt;dates&gt;&lt;year&gt;2019&lt;/year&gt;&lt;pub-dates&gt;&lt;date&gt;2019/07/01&lt;/date&gt;&lt;/pub-dates&gt;&lt;/dates&gt;&lt;isbn&gt;1614-7499&lt;/isbn&gt;&lt;urls&gt;&lt;related-urls&gt;&lt;url&gt;https://doi.org/10.1007/s11356-019-05387-5&lt;/url&gt;&lt;/related-urls&gt;&lt;/urls&gt;&lt;electronic-resource-num&gt;10.1007/s11356-019-05387-5&lt;/electronic-resource-num&gt;&lt;/record&gt;&lt;/Cite&gt;&lt;/EndNote&gt;</w:instrText>
      </w:r>
      <w:r w:rsidR="00DC55E0" w:rsidRPr="00802F1A">
        <w:rPr>
          <w:rFonts w:cs="Times New Roman"/>
          <w:szCs w:val="24"/>
          <w:lang w:val="en-US"/>
        </w:rPr>
        <w:fldChar w:fldCharType="separate"/>
      </w:r>
      <w:r w:rsidR="00DC55E0" w:rsidRPr="00802F1A">
        <w:rPr>
          <w:rFonts w:cs="Times New Roman"/>
          <w:noProof/>
          <w:szCs w:val="24"/>
          <w:lang w:val="en-US"/>
        </w:rPr>
        <w:t>Mahmood</w:t>
      </w:r>
      <w:r w:rsidR="00DC55E0" w:rsidRPr="00802F1A">
        <w:rPr>
          <w:rFonts w:cs="Times New Roman"/>
          <w:i/>
          <w:noProof/>
          <w:szCs w:val="24"/>
          <w:lang w:val="en-US"/>
        </w:rPr>
        <w:t xml:space="preserve"> et al.</w:t>
      </w:r>
      <w:r w:rsidR="00DC55E0" w:rsidRPr="00802F1A">
        <w:rPr>
          <w:rFonts w:cs="Times New Roman"/>
          <w:noProof/>
          <w:szCs w:val="24"/>
          <w:lang w:val="en-US"/>
        </w:rPr>
        <w:t xml:space="preserve"> (2019)</w:t>
      </w:r>
      <w:r w:rsidR="00DC55E0" w:rsidRPr="00802F1A">
        <w:rPr>
          <w:rFonts w:cs="Times New Roman"/>
          <w:szCs w:val="24"/>
          <w:lang w:val="en-US"/>
        </w:rPr>
        <w:fldChar w:fldCharType="end"/>
      </w:r>
      <w:r w:rsidR="00DC55E0" w:rsidRPr="00802F1A">
        <w:rPr>
          <w:rFonts w:cs="Times New Roman"/>
          <w:szCs w:val="24"/>
          <w:lang w:val="en-US"/>
        </w:rPr>
        <w:t xml:space="preserve"> and </w:t>
      </w:r>
      <w:r w:rsidR="00DC55E0" w:rsidRPr="00802F1A">
        <w:rPr>
          <w:rFonts w:cs="Times New Roman"/>
          <w:szCs w:val="24"/>
          <w:lang w:val="en-US"/>
        </w:rPr>
        <w:fldChar w:fldCharType="begin"/>
      </w:r>
      <w:r w:rsidR="00DC55E0" w:rsidRPr="00802F1A">
        <w:rPr>
          <w:rFonts w:cs="Times New Roman"/>
          <w:szCs w:val="24"/>
          <w:lang w:val="en-US"/>
        </w:rPr>
        <w:instrText xml:space="preserve"> ADDIN EN.CITE &lt;EndNote&gt;&lt;Cite AuthorYear="1"&gt;&lt;Author&gt;Yao&lt;/Author&gt;&lt;Year&gt;2019&lt;/Year&gt;&lt;RecNum&gt;1717&lt;/RecNum&gt;&lt;DisplayText&gt;Yao&lt;style face="italic"&gt; et al.&lt;/style&gt; (2019)&lt;/DisplayText&gt;&lt;record&gt;&lt;rec-number&gt;1717&lt;/rec-number&gt;&lt;foreign-keys&gt;&lt;key app="EN" db-id="esvrve9x1d0a5gerpeuprwp0vtp2zxx2ssr9" timestamp="1654873143"&gt;1717&lt;/key&gt;&lt;/foreign-keys&gt;&lt;ref-type name="Journal Article"&gt;17&lt;/ref-type&gt;&lt;contributors&gt;&lt;authors&gt;&lt;author&gt;Yao, Shujie&lt;/author&gt;&lt;author&gt;Zhang, Shuai&lt;/author&gt;&lt;author&gt;Zhang, Xingmin&lt;/author&gt;&lt;/authors&gt;&lt;/contributors&gt;&lt;titles&gt;&lt;title&gt;Renewable energy, carbon emission and economic growth: A revised environmental Kuznets Curve perspective&lt;/title&gt;&lt;secondary-title&gt;Journal of Cleaner Production&lt;/secondary-title&gt;&lt;/titles&gt;&lt;periodical&gt;&lt;full-title&gt;Journal of cleaner production&lt;/full-title&gt;&lt;/periodical&gt;&lt;pages&gt;1338-1352&lt;/pages&gt;&lt;volume&gt;235&lt;/volume&gt;&lt;keywords&gt;&lt;keyword&gt;Environmental Kuznets Curve (EKC)&lt;/keyword&gt;&lt;keyword&gt;Renewable energy Kuznets Curve (RKC)&lt;/keyword&gt;&lt;keyword&gt;Carbon emission&lt;/keyword&gt;&lt;keyword&gt;Renewable energy&lt;/keyword&gt;&lt;keyword&gt;Economic growth&lt;/keyword&gt;&lt;/keywords&gt;&lt;dates&gt;&lt;year&gt;2019&lt;/year&gt;&lt;pub-dates&gt;&lt;date&gt;2019/10/20/&lt;/date&gt;&lt;/pub-dates&gt;&lt;/dates&gt;&lt;isbn&gt;0959-6526&lt;/isbn&gt;&lt;urls&gt;&lt;related-urls&gt;&lt;url&gt;https://www.sciencedirect.com/science/article/pii/S0959652619324084&lt;/url&gt;&lt;/related-urls&gt;&lt;/urls&gt;&lt;electronic-resource-num&gt;https://doi.org/10.1016/j.jclepro.2019.07.069&lt;/electronic-resource-num&gt;&lt;/record&gt;&lt;/Cite&gt;&lt;/EndNote&gt;</w:instrText>
      </w:r>
      <w:r w:rsidR="00DC55E0" w:rsidRPr="00802F1A">
        <w:rPr>
          <w:rFonts w:cs="Times New Roman"/>
          <w:szCs w:val="24"/>
          <w:lang w:val="en-US"/>
        </w:rPr>
        <w:fldChar w:fldCharType="separate"/>
      </w:r>
      <w:r w:rsidR="00DC55E0" w:rsidRPr="00802F1A">
        <w:rPr>
          <w:rFonts w:cs="Times New Roman"/>
          <w:noProof/>
          <w:szCs w:val="24"/>
          <w:lang w:val="en-US"/>
        </w:rPr>
        <w:t>Yao</w:t>
      </w:r>
      <w:r w:rsidR="00DC55E0" w:rsidRPr="00802F1A">
        <w:rPr>
          <w:rFonts w:cs="Times New Roman"/>
          <w:i/>
          <w:noProof/>
          <w:szCs w:val="24"/>
          <w:lang w:val="en-US"/>
        </w:rPr>
        <w:t xml:space="preserve"> et al.</w:t>
      </w:r>
      <w:r w:rsidR="00DC55E0" w:rsidRPr="00802F1A">
        <w:rPr>
          <w:rFonts w:cs="Times New Roman"/>
          <w:noProof/>
          <w:szCs w:val="24"/>
          <w:lang w:val="en-US"/>
        </w:rPr>
        <w:t xml:space="preserve"> (2019)</w:t>
      </w:r>
      <w:r w:rsidR="00DC55E0" w:rsidRPr="00802F1A">
        <w:rPr>
          <w:rFonts w:cs="Times New Roman"/>
          <w:szCs w:val="24"/>
          <w:lang w:val="en-US"/>
        </w:rPr>
        <w:fldChar w:fldCharType="end"/>
      </w:r>
      <w:r w:rsidR="00E47CA2" w:rsidRPr="00802F1A">
        <w:rPr>
          <w:lang w:val="en-US"/>
        </w:rPr>
        <w:t>, have highlighted a mutually beneficial relationship between renewable energy and economic growth. These findings suggest that there is a two-way interaction between diversifying towards renewable energy and fostering economic development. Based on this evidence, we propose the following hypothesis:</w:t>
      </w:r>
    </w:p>
    <w:p w14:paraId="65F8C952" w14:textId="10015698" w:rsidR="00E95D93" w:rsidRPr="00802F1A" w:rsidRDefault="00E95D93" w:rsidP="00E95D93">
      <w:pPr>
        <w:jc w:val="both"/>
        <w:rPr>
          <w:lang w:val="en-US"/>
        </w:rPr>
      </w:pPr>
      <w:r w:rsidRPr="00802F1A">
        <w:rPr>
          <w:lang w:val="en-US"/>
        </w:rPr>
        <w:lastRenderedPageBreak/>
        <w:t>H2: There exists a bi-directional causal relationship between energy diversification and per-capita income.</w:t>
      </w:r>
    </w:p>
    <w:p w14:paraId="232FDCDD" w14:textId="77777777" w:rsidR="00E104DB" w:rsidRPr="00802F1A" w:rsidRDefault="00E104DB" w:rsidP="00305864">
      <w:pPr>
        <w:ind w:left="270"/>
        <w:jc w:val="both"/>
      </w:pPr>
    </w:p>
    <w:p w14:paraId="664EAE32" w14:textId="5326C192" w:rsidR="00794ABF" w:rsidRPr="00802F1A" w:rsidRDefault="00794ABF" w:rsidP="0053308A">
      <w:pPr>
        <w:pStyle w:val="Heading3"/>
        <w:rPr>
          <w:lang w:val="en-US"/>
        </w:rPr>
      </w:pPr>
      <w:r w:rsidRPr="00802F1A">
        <w:rPr>
          <w:lang w:val="en-US"/>
        </w:rPr>
        <w:t xml:space="preserve">Energy </w:t>
      </w:r>
      <w:r w:rsidR="0079667E" w:rsidRPr="00802F1A">
        <w:rPr>
          <w:lang w:val="en-US"/>
        </w:rPr>
        <w:t>diversification</w:t>
      </w:r>
      <w:r w:rsidRPr="00802F1A">
        <w:rPr>
          <w:lang w:val="en-US"/>
        </w:rPr>
        <w:t xml:space="preserve"> and financial development</w:t>
      </w:r>
    </w:p>
    <w:p w14:paraId="2BBDE6B5" w14:textId="0718637E" w:rsidR="008B688F" w:rsidRPr="00802F1A" w:rsidRDefault="008B688F" w:rsidP="00087E92">
      <w:pPr>
        <w:jc w:val="both"/>
        <w:rPr>
          <w:rFonts w:eastAsiaTheme="majorEastAsia" w:cstheme="majorBidi"/>
          <w:iCs/>
          <w:szCs w:val="24"/>
          <w:lang w:val="en-US"/>
        </w:rPr>
      </w:pPr>
      <w:r w:rsidRPr="00802F1A">
        <w:rPr>
          <w:rFonts w:eastAsiaTheme="majorEastAsia" w:cstheme="majorBidi"/>
          <w:iCs/>
          <w:szCs w:val="24"/>
          <w:lang w:val="en-US"/>
        </w:rPr>
        <w:t xml:space="preserve">While significant research has been conducted on the relationship between energy consumption and financial development, limited attention has been given to examining the connection between renewable energy consumption and financial development. Moreover, the existing studies on this topic have produced diverse findings. For instance, in Europe, a bi-directional causality was identified, whereas no causality was found in Asia and America </w:t>
      </w:r>
      <w:r w:rsidRPr="00802F1A">
        <w:rPr>
          <w:rFonts w:eastAsiaTheme="majorEastAsia" w:cstheme="majorBidi"/>
          <w:iCs/>
          <w:szCs w:val="24"/>
          <w:lang w:val="en-US"/>
        </w:rPr>
        <w:fldChar w:fldCharType="begin"/>
      </w:r>
      <w:r w:rsidRPr="00802F1A">
        <w:rPr>
          <w:rFonts w:eastAsiaTheme="majorEastAsia" w:cstheme="majorBidi"/>
          <w:iCs/>
          <w:szCs w:val="24"/>
          <w:lang w:val="en-US"/>
        </w:rPr>
        <w:instrText xml:space="preserve"> ADDIN EN.CITE &lt;EndNote&gt;&lt;Cite&gt;&lt;Author&gt;Khan&lt;/Author&gt;&lt;Year&gt;2019&lt;/Year&gt;&lt;RecNum&gt;1739&lt;/RecNum&gt;&lt;DisplayText&gt;(Khan&lt;style face="italic"&gt; et al.&lt;/style&gt;, 2019)&lt;/DisplayText&gt;&lt;record&gt;&lt;rec-number&gt;1739&lt;/rec-number&gt;&lt;foreign-keys&gt;&lt;key app="EN" db-id="esvrve9x1d0a5gerpeuprwp0vtp2zxx2ssr9" timestamp="1655572733"&gt;1739&lt;/key&gt;&lt;/foreign-keys&gt;&lt;ref-type name="Journal Article"&gt;17&lt;/ref-type&gt;&lt;contributors&gt;&lt;authors&gt;&lt;author&gt;Khan, Muhammad Tariq Iqbal&lt;/author&gt;&lt;author&gt;Yaseen, Muhammad Rizwan&lt;/author&gt;&lt;author&gt;Ali, Qamar&lt;/author&gt;&lt;/authors&gt;&lt;/contributors&gt;&lt;titles&gt;&lt;title&gt;Nexus between financial development, tourism, renewable energy, and greenhouse gas emission in high-income countries: a continent-wise analysis&lt;/title&gt;&lt;secondary-title&gt;Energy Economics&lt;/secondary-title&gt;&lt;/titles&gt;&lt;periodical&gt;&lt;full-title&gt;Energy Economics&lt;/full-title&gt;&lt;/periodical&gt;&lt;pages&gt;293-310&lt;/pages&gt;&lt;volume&gt;83&lt;/volume&gt;&lt;dates&gt;&lt;year&gt;2019&lt;/year&gt;&lt;/dates&gt;&lt;publisher&gt;Elsevier&lt;/publisher&gt;&lt;isbn&gt;0140-9883&lt;/isbn&gt;&lt;urls&gt;&lt;/urls&gt;&lt;/record&gt;&lt;/Cite&gt;&lt;/EndNote&gt;</w:instrText>
      </w:r>
      <w:r w:rsidRPr="00802F1A">
        <w:rPr>
          <w:rFonts w:eastAsiaTheme="majorEastAsia" w:cstheme="majorBidi"/>
          <w:iCs/>
          <w:szCs w:val="24"/>
          <w:lang w:val="en-US"/>
        </w:rPr>
        <w:fldChar w:fldCharType="separate"/>
      </w:r>
      <w:r w:rsidRPr="00802F1A">
        <w:rPr>
          <w:rFonts w:eastAsiaTheme="majorEastAsia" w:cstheme="majorBidi"/>
          <w:iCs/>
          <w:noProof/>
          <w:szCs w:val="24"/>
          <w:lang w:val="en-US"/>
        </w:rPr>
        <w:t>(Khan</w:t>
      </w:r>
      <w:r w:rsidRPr="00802F1A">
        <w:rPr>
          <w:rFonts w:eastAsiaTheme="majorEastAsia" w:cstheme="majorBidi"/>
          <w:i/>
          <w:iCs/>
          <w:noProof/>
          <w:szCs w:val="24"/>
          <w:lang w:val="en-US"/>
        </w:rPr>
        <w:t xml:space="preserve"> et al.</w:t>
      </w:r>
      <w:r w:rsidRPr="00802F1A">
        <w:rPr>
          <w:rFonts w:eastAsiaTheme="majorEastAsia" w:cstheme="majorBidi"/>
          <w:iCs/>
          <w:noProof/>
          <w:szCs w:val="24"/>
          <w:lang w:val="en-US"/>
        </w:rPr>
        <w:t>, 2019)</w:t>
      </w:r>
      <w:r w:rsidRPr="00802F1A">
        <w:rPr>
          <w:rFonts w:eastAsiaTheme="majorEastAsia" w:cstheme="majorBidi"/>
          <w:iCs/>
          <w:szCs w:val="24"/>
          <w:lang w:val="en-US"/>
        </w:rPr>
        <w:fldChar w:fldCharType="end"/>
      </w:r>
      <w:r w:rsidRPr="00802F1A">
        <w:rPr>
          <w:rFonts w:eastAsiaTheme="majorEastAsia" w:cstheme="majorBidi"/>
          <w:iCs/>
          <w:szCs w:val="24"/>
          <w:lang w:val="en-US"/>
        </w:rPr>
        <w:t xml:space="preserve">. In emerging countries, financial development was found to have no impact on renewable energy consumption </w:t>
      </w:r>
      <w:r w:rsidRPr="00802F1A">
        <w:rPr>
          <w:rFonts w:eastAsiaTheme="majorEastAsia" w:cstheme="majorBidi"/>
          <w:iCs/>
          <w:szCs w:val="24"/>
          <w:lang w:val="en-US"/>
        </w:rPr>
        <w:fldChar w:fldCharType="begin"/>
      </w:r>
      <w:r w:rsidRPr="00802F1A">
        <w:rPr>
          <w:rFonts w:eastAsiaTheme="majorEastAsia" w:cstheme="majorBidi"/>
          <w:iCs/>
          <w:szCs w:val="24"/>
          <w:lang w:val="en-US"/>
        </w:rPr>
        <w:instrText xml:space="preserve"> ADDIN EN.CITE &lt;EndNote&gt;&lt;Cite&gt;&lt;Author&gt;Saygin&lt;/Author&gt;&lt;Year&gt;2021&lt;/Year&gt;&lt;RecNum&gt;1740&lt;/RecNum&gt;&lt;DisplayText&gt;(Saygin and Iskenderoglu, 2021)&lt;/DisplayText&gt;&lt;record&gt;&lt;rec-number&gt;1740&lt;/rec-number&gt;&lt;foreign-keys&gt;&lt;key app="EN" db-id="esvrve9x1d0a5gerpeuprwp0vtp2zxx2ssr9" timestamp="1655606168"&gt;1740&lt;/key&gt;&lt;/foreign-keys&gt;&lt;ref-type name="Journal Article"&gt;17&lt;/ref-type&gt;&lt;contributors&gt;&lt;authors&gt;&lt;author&gt;Saygin, Oguz&lt;/author&gt;&lt;author&gt;Iskenderoglu, Omer&lt;/author&gt;&lt;/authors&gt;&lt;/contributors&gt;&lt;titles&gt;&lt;title&gt;The nexus between financial development and renewable energy consumption: a review for emerging countries&lt;/title&gt;&lt;secondary-title&gt;Environmental Science and Pollution Research&lt;/secondary-title&gt;&lt;/titles&gt;&lt;periodical&gt;&lt;full-title&gt;Environmental Science and Pollution Research&lt;/full-title&gt;&lt;/periodical&gt;&lt;pages&gt;1-12&lt;/pages&gt;&lt;dates&gt;&lt;year&gt;2021&lt;/year&gt;&lt;/dates&gt;&lt;publisher&gt;Springer&lt;/publisher&gt;&lt;isbn&gt;1614-7499&lt;/isbn&gt;&lt;urls&gt;&lt;/urls&gt;&lt;/record&gt;&lt;/Cite&gt;&lt;/EndNote&gt;</w:instrText>
      </w:r>
      <w:r w:rsidRPr="00802F1A">
        <w:rPr>
          <w:rFonts w:eastAsiaTheme="majorEastAsia" w:cstheme="majorBidi"/>
          <w:iCs/>
          <w:szCs w:val="24"/>
          <w:lang w:val="en-US"/>
        </w:rPr>
        <w:fldChar w:fldCharType="separate"/>
      </w:r>
      <w:r w:rsidRPr="00802F1A">
        <w:rPr>
          <w:rFonts w:eastAsiaTheme="majorEastAsia" w:cstheme="majorBidi"/>
          <w:iCs/>
          <w:noProof/>
          <w:szCs w:val="24"/>
          <w:lang w:val="en-US"/>
        </w:rPr>
        <w:t>(Saygin and Iskenderoglu, 2021)</w:t>
      </w:r>
      <w:r w:rsidRPr="00802F1A">
        <w:rPr>
          <w:rFonts w:eastAsiaTheme="majorEastAsia" w:cstheme="majorBidi"/>
          <w:iCs/>
          <w:szCs w:val="24"/>
          <w:lang w:val="en-US"/>
        </w:rPr>
        <w:fldChar w:fldCharType="end"/>
      </w:r>
      <w:r w:rsidRPr="00802F1A">
        <w:rPr>
          <w:rFonts w:eastAsiaTheme="majorEastAsia" w:cstheme="majorBidi"/>
          <w:iCs/>
          <w:szCs w:val="24"/>
          <w:lang w:val="en-US"/>
        </w:rPr>
        <w:t xml:space="preserve">, while in Southeast and East Asian countries, it had a negative impact </w:t>
      </w:r>
      <w:r w:rsidRPr="00802F1A">
        <w:rPr>
          <w:rFonts w:eastAsiaTheme="majorEastAsia" w:cstheme="majorBidi"/>
          <w:iCs/>
          <w:szCs w:val="24"/>
          <w:lang w:val="en-US"/>
        </w:rPr>
        <w:fldChar w:fldCharType="begin"/>
      </w:r>
      <w:r w:rsidRPr="00802F1A">
        <w:rPr>
          <w:rFonts w:eastAsiaTheme="majorEastAsia" w:cstheme="majorBidi"/>
          <w:iCs/>
          <w:szCs w:val="24"/>
          <w:lang w:val="en-US"/>
        </w:rPr>
        <w:instrText xml:space="preserve"> ADDIN EN.CITE &lt;EndNote&gt;&lt;Cite&gt;&lt;Author&gt;Nguyen&lt;/Author&gt;&lt;Year&gt;2022&lt;/Year&gt;&lt;RecNum&gt;1741&lt;/RecNum&gt;&lt;DisplayText&gt;(Nguyen, 2022)&lt;/DisplayText&gt;&lt;record&gt;&lt;rec-number&gt;1741&lt;/rec-number&gt;&lt;foreign-keys&gt;&lt;key app="EN" db-id="esvrve9x1d0a5gerpeuprwp0vtp2zxx2ssr9" timestamp="1655606252"&gt;1741&lt;/key&gt;&lt;/foreign-keys&gt;&lt;ref-type name="Journal Article"&gt;17&lt;/ref-type&gt;&lt;contributors&gt;&lt;authors&gt;&lt;author&gt;Nguyen, Van Chien&lt;/author&gt;&lt;/authors&gt;&lt;/contributors&gt;&lt;titles&gt;&lt;title&gt;Financial Development and Renewable Energy Consumption-Empirical Evidence in Southeast and East Asian Countries&lt;/title&gt;&lt;secondary-title&gt;VNU JOURNAL OF ECONOMIC AND BUSINESS&lt;/secondary-title&gt;&lt;/titles&gt;&lt;periodical&gt;&lt;full-title&gt;VNU JOURNAL OF ECONOMIC AND BUSINESS&lt;/full-title&gt;&lt;/periodical&gt;&lt;volume&gt;38&lt;/volume&gt;&lt;number&gt;2&lt;/number&gt;&lt;dates&gt;&lt;year&gt;2022&lt;/year&gt;&lt;/dates&gt;&lt;isbn&gt;2588-1108&lt;/isbn&gt;&lt;urls&gt;&lt;/urls&gt;&lt;/record&gt;&lt;/Cite&gt;&lt;/EndNote&gt;</w:instrText>
      </w:r>
      <w:r w:rsidRPr="00802F1A">
        <w:rPr>
          <w:rFonts w:eastAsiaTheme="majorEastAsia" w:cstheme="majorBidi"/>
          <w:iCs/>
          <w:szCs w:val="24"/>
          <w:lang w:val="en-US"/>
        </w:rPr>
        <w:fldChar w:fldCharType="separate"/>
      </w:r>
      <w:r w:rsidRPr="00802F1A">
        <w:rPr>
          <w:rFonts w:eastAsiaTheme="majorEastAsia" w:cstheme="majorBidi"/>
          <w:iCs/>
          <w:noProof/>
          <w:szCs w:val="24"/>
          <w:lang w:val="en-US"/>
        </w:rPr>
        <w:t>(Nguyen, 2022)</w:t>
      </w:r>
      <w:r w:rsidRPr="00802F1A">
        <w:rPr>
          <w:rFonts w:eastAsiaTheme="majorEastAsia" w:cstheme="majorBidi"/>
          <w:iCs/>
          <w:szCs w:val="24"/>
          <w:lang w:val="en-US"/>
        </w:rPr>
        <w:fldChar w:fldCharType="end"/>
      </w:r>
      <w:r w:rsidRPr="00802F1A">
        <w:rPr>
          <w:rFonts w:eastAsiaTheme="majorEastAsia" w:cstheme="majorBidi"/>
          <w:iCs/>
          <w:szCs w:val="24"/>
          <w:lang w:val="en-US"/>
        </w:rPr>
        <w:t xml:space="preserve">. On the other hand, in the top 55 global financial countries, financial development was found to have a positive impact </w:t>
      </w:r>
      <w:r w:rsidR="004D6EBC" w:rsidRPr="00802F1A">
        <w:rPr>
          <w:rFonts w:eastAsiaTheme="majorEastAsia" w:cstheme="majorBidi"/>
          <w:iCs/>
          <w:szCs w:val="24"/>
          <w:lang w:val="en-US"/>
        </w:rPr>
        <w:fldChar w:fldCharType="begin"/>
      </w:r>
      <w:r w:rsidR="004D6EBC" w:rsidRPr="00802F1A">
        <w:rPr>
          <w:rFonts w:eastAsiaTheme="majorEastAsia" w:cstheme="majorBidi"/>
          <w:iCs/>
          <w:szCs w:val="24"/>
          <w:lang w:val="en-US"/>
        </w:rPr>
        <w:instrText xml:space="preserve"> ADDIN EN.CITE &lt;EndNote&gt;&lt;Cite&gt;&lt;Author&gt;Saygin&lt;/Author&gt;&lt;Year&gt;2021&lt;/Year&gt;&lt;RecNum&gt;1742&lt;/RecNum&gt;&lt;DisplayText&gt;(Saygin and Iskenderoglu, 2021)&lt;/DisplayText&gt;&lt;record&gt;&lt;rec-number&gt;1742&lt;/rec-number&gt;&lt;foreign-keys&gt;&lt;key app="EN" db-id="esvrve9x1d0a5gerpeuprwp0vtp2zxx2ssr9" timestamp="1655610385"&gt;1742&lt;/key&gt;&lt;/foreign-keys&gt;&lt;ref-type name="Journal Article"&gt;17&lt;/ref-type&gt;&lt;contributors&gt;&lt;authors&gt;&lt;author&gt;Saygin, Oguz&lt;/author&gt;&lt;author&gt;Iskenderoglu, Omer&lt;/author&gt;&lt;/authors&gt;&lt;/contributors&gt;&lt;titles&gt;&lt;title&gt;The nexus between financial development and renewable energy consumption: a review for emerging countries&lt;/title&gt;&lt;secondary-title&gt;Environmental Science and Pollution Research&lt;/secondary-title&gt;&lt;/titles&gt;&lt;periodical&gt;&lt;full-title&gt;Environmental Science and Pollution Research&lt;/full-title&gt;&lt;/periodical&gt;&lt;pages&gt;1-12&lt;/pages&gt;&lt;dates&gt;&lt;year&gt;2021&lt;/year&gt;&lt;/dates&gt;&lt;publisher&gt;Springer&lt;/publisher&gt;&lt;isbn&gt;1614-7499&lt;/isbn&gt;&lt;urls&gt;&lt;/urls&gt;&lt;/record&gt;&lt;/Cite&gt;&lt;/EndNote&gt;</w:instrText>
      </w:r>
      <w:r w:rsidR="004D6EBC" w:rsidRPr="00802F1A">
        <w:rPr>
          <w:rFonts w:eastAsiaTheme="majorEastAsia" w:cstheme="majorBidi"/>
          <w:iCs/>
          <w:szCs w:val="24"/>
          <w:lang w:val="en-US"/>
        </w:rPr>
        <w:fldChar w:fldCharType="separate"/>
      </w:r>
      <w:r w:rsidR="004D6EBC" w:rsidRPr="00802F1A">
        <w:rPr>
          <w:rFonts w:eastAsiaTheme="majorEastAsia" w:cstheme="majorBidi"/>
          <w:iCs/>
          <w:noProof/>
          <w:szCs w:val="24"/>
          <w:lang w:val="en-US"/>
        </w:rPr>
        <w:t>(Saygin and Iskenderoglu, 2021)</w:t>
      </w:r>
      <w:r w:rsidR="004D6EBC" w:rsidRPr="00802F1A">
        <w:rPr>
          <w:rFonts w:eastAsiaTheme="majorEastAsia" w:cstheme="majorBidi"/>
          <w:iCs/>
          <w:szCs w:val="24"/>
          <w:lang w:val="en-US"/>
        </w:rPr>
        <w:fldChar w:fldCharType="end"/>
      </w:r>
      <w:r w:rsidRPr="00802F1A">
        <w:rPr>
          <w:rFonts w:eastAsiaTheme="majorEastAsia" w:cstheme="majorBidi"/>
          <w:iCs/>
          <w:szCs w:val="24"/>
          <w:lang w:val="en-US"/>
        </w:rPr>
        <w:t>. Notably, no studies have explored the association between energy diversification and financial development.</w:t>
      </w:r>
    </w:p>
    <w:p w14:paraId="6EBBC6EB" w14:textId="77777777" w:rsidR="00243AB0" w:rsidRPr="00802F1A" w:rsidRDefault="00243AB0" w:rsidP="00243AB0">
      <w:pPr>
        <w:jc w:val="both"/>
        <w:rPr>
          <w:rFonts w:eastAsiaTheme="majorEastAsia" w:cstheme="majorBidi"/>
          <w:iCs/>
          <w:szCs w:val="24"/>
          <w:lang w:val="en-US"/>
        </w:rPr>
      </w:pPr>
    </w:p>
    <w:p w14:paraId="71199D6E" w14:textId="195FD1E8" w:rsidR="00400A10" w:rsidRPr="00802F1A" w:rsidRDefault="00243AB0" w:rsidP="007D3D67">
      <w:pPr>
        <w:jc w:val="both"/>
        <w:rPr>
          <w:rFonts w:eastAsiaTheme="majorEastAsia" w:cstheme="majorBidi"/>
          <w:iCs/>
          <w:szCs w:val="24"/>
          <w:lang w:val="en-US"/>
        </w:rPr>
      </w:pPr>
      <w:r w:rsidRPr="00802F1A">
        <w:rPr>
          <w:rFonts w:eastAsiaTheme="majorEastAsia" w:cstheme="majorBidi"/>
          <w:iCs/>
          <w:szCs w:val="24"/>
          <w:lang w:val="en-US"/>
        </w:rPr>
        <w:t xml:space="preserve">We </w:t>
      </w:r>
      <w:r w:rsidR="00613FDF" w:rsidRPr="00802F1A">
        <w:rPr>
          <w:rFonts w:eastAsiaTheme="majorEastAsia" w:cstheme="majorBidi"/>
          <w:iCs/>
          <w:szCs w:val="24"/>
          <w:lang w:val="en-US"/>
        </w:rPr>
        <w:t>reason</w:t>
      </w:r>
      <w:r w:rsidRPr="00802F1A">
        <w:rPr>
          <w:rFonts w:eastAsiaTheme="majorEastAsia" w:cstheme="majorBidi"/>
          <w:iCs/>
          <w:szCs w:val="24"/>
          <w:lang w:val="en-US"/>
        </w:rPr>
        <w:t xml:space="preserve"> that environmental pollution stemming from fossil fuel energy is a global concern, particularly for developing nations facing financial constraints in transitioning to cleaner energy sources. Additionally, the interconnectivity of economies means that energy shortages and price fluctuations in one country can have far-reaching consequences on the global economy. Consequently, developed nations may play a role in facilitating the transfer of advanced and affordable energy technologies.</w:t>
      </w:r>
      <w:r w:rsidR="002E2F72" w:rsidRPr="00802F1A">
        <w:rPr>
          <w:rFonts w:eastAsiaTheme="majorEastAsia" w:cstheme="majorBidi"/>
          <w:iCs/>
          <w:szCs w:val="24"/>
          <w:lang w:val="en-US"/>
        </w:rPr>
        <w:t xml:space="preserve"> </w:t>
      </w:r>
      <w:r w:rsidRPr="00802F1A">
        <w:rPr>
          <w:rFonts w:eastAsiaTheme="majorEastAsia" w:cstheme="majorBidi"/>
          <w:iCs/>
          <w:szCs w:val="24"/>
          <w:lang w:val="en-US"/>
        </w:rPr>
        <w:t xml:space="preserve">Financial development, characterized by the growth of stock markets and banking activities, has been linked to increased business expansion and subsequent energy consumption </w:t>
      </w:r>
      <w:r w:rsidR="005852FC" w:rsidRPr="00802F1A">
        <w:rPr>
          <w:rFonts w:eastAsiaTheme="majorEastAsia" w:cstheme="majorBidi"/>
          <w:iCs/>
          <w:szCs w:val="24"/>
          <w:lang w:val="en-US"/>
        </w:rPr>
        <w:fldChar w:fldCharType="begin">
          <w:fldData xml:space="preserve">PEVuZE5vdGU+PENpdGU+PEF1dGhvcj5TaGFoYmF6PC9BdXRob3I+PFllYXI+MjAxMjwvWWVhcj48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</w:fldData>
        </w:fldChar>
      </w:r>
      <w:r w:rsidR="005852FC" w:rsidRPr="00802F1A">
        <w:rPr>
          <w:rFonts w:eastAsiaTheme="majorEastAsia" w:cstheme="majorBidi"/>
          <w:iCs/>
          <w:szCs w:val="24"/>
          <w:lang w:val="en-US"/>
        </w:rPr>
        <w:instrText xml:space="preserve"> ADDIN EN.CITE </w:instrText>
      </w:r>
      <w:r w:rsidR="005852FC" w:rsidRPr="00802F1A">
        <w:rPr>
          <w:rFonts w:eastAsiaTheme="majorEastAsia" w:cstheme="majorBidi"/>
          <w:iCs/>
          <w:szCs w:val="24"/>
          <w:lang w:val="en-US"/>
        </w:rPr>
        <w:fldChar w:fldCharType="begin">
          <w:fldData xml:space="preserve">PEVuZE5vdGU+PENpdGU+PEF1dGhvcj5TaGFoYmF6PC9BdXRob3I+PFllYXI+MjAxMjwvWWVhcj48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</w:fldData>
        </w:fldChar>
      </w:r>
      <w:r w:rsidR="005852FC" w:rsidRPr="00802F1A">
        <w:rPr>
          <w:rFonts w:eastAsiaTheme="majorEastAsia" w:cstheme="majorBidi"/>
          <w:iCs/>
          <w:szCs w:val="24"/>
          <w:lang w:val="en-US"/>
        </w:rPr>
        <w:instrText xml:space="preserve"> ADDIN EN.CITE.DATA </w:instrText>
      </w:r>
      <w:r w:rsidR="005852FC" w:rsidRPr="00802F1A">
        <w:rPr>
          <w:rFonts w:eastAsiaTheme="majorEastAsia" w:cstheme="majorBidi"/>
          <w:iCs/>
          <w:szCs w:val="24"/>
          <w:lang w:val="en-US"/>
        </w:rPr>
      </w:r>
      <w:r w:rsidR="005852FC" w:rsidRPr="00802F1A">
        <w:rPr>
          <w:rFonts w:eastAsiaTheme="majorEastAsia" w:cstheme="majorBidi"/>
          <w:iCs/>
          <w:szCs w:val="24"/>
          <w:lang w:val="en-US"/>
        </w:rPr>
        <w:fldChar w:fldCharType="end"/>
      </w:r>
      <w:r w:rsidR="005852FC" w:rsidRPr="00802F1A">
        <w:rPr>
          <w:rFonts w:eastAsiaTheme="majorEastAsia" w:cstheme="majorBidi"/>
          <w:iCs/>
          <w:szCs w:val="24"/>
          <w:lang w:val="en-US"/>
        </w:rPr>
      </w:r>
      <w:r w:rsidR="005852FC" w:rsidRPr="00802F1A">
        <w:rPr>
          <w:rFonts w:eastAsiaTheme="majorEastAsia" w:cstheme="majorBidi"/>
          <w:iCs/>
          <w:szCs w:val="24"/>
          <w:lang w:val="en-US"/>
        </w:rPr>
        <w:fldChar w:fldCharType="separate"/>
      </w:r>
      <w:r w:rsidR="005852FC" w:rsidRPr="00802F1A">
        <w:rPr>
          <w:rFonts w:eastAsiaTheme="majorEastAsia" w:cstheme="majorBidi"/>
          <w:iCs/>
          <w:noProof/>
          <w:szCs w:val="24"/>
          <w:lang w:val="en-US"/>
        </w:rPr>
        <w:t>(Shahbaz and Lean, 2012, Rafindadi and Ozturk, 2016)</w:t>
      </w:r>
      <w:r w:rsidR="005852FC" w:rsidRPr="00802F1A">
        <w:rPr>
          <w:rFonts w:eastAsiaTheme="majorEastAsia" w:cstheme="majorBidi"/>
          <w:iCs/>
          <w:szCs w:val="24"/>
          <w:lang w:val="en-US"/>
        </w:rPr>
        <w:fldChar w:fldCharType="end"/>
      </w:r>
      <w:r w:rsidRPr="00802F1A">
        <w:rPr>
          <w:rFonts w:eastAsiaTheme="majorEastAsia" w:cstheme="majorBidi"/>
          <w:iCs/>
          <w:szCs w:val="24"/>
          <w:lang w:val="en-US"/>
        </w:rPr>
        <w:t xml:space="preserve">. However, renewable energies still constitute a modest proportion of the overall energy portfolio. While financial institutions and private investors have facilitated the shift from fossil fuels to modern renewable energy sources </w:t>
      </w:r>
      <w:r w:rsidR="005852FC" w:rsidRPr="00802F1A">
        <w:rPr>
          <w:rFonts w:eastAsiaTheme="majorEastAsia" w:cstheme="majorBidi"/>
          <w:iCs/>
          <w:szCs w:val="24"/>
          <w:lang w:val="en-US"/>
        </w:rPr>
        <w:fldChar w:fldCharType="begin"/>
      </w:r>
      <w:r w:rsidR="005852FC" w:rsidRPr="00802F1A">
        <w:rPr>
          <w:rFonts w:eastAsiaTheme="majorEastAsia" w:cstheme="majorBidi"/>
          <w:iCs/>
          <w:szCs w:val="24"/>
          <w:lang w:val="en-US"/>
        </w:rPr>
        <w:instrText xml:space="preserve"> ADDIN EN.CITE &lt;EndNote&gt;&lt;Cite&gt;&lt;Author&gt;Best&lt;/Author&gt;&lt;Year&gt;2017&lt;/Year&gt;&lt;RecNum&gt;1729&lt;/RecNum&gt;&lt;DisplayText&gt;(Best, 2017)&lt;/DisplayText&gt;&lt;record&gt;&lt;rec-number&gt;1729&lt;/rec-number&gt;&lt;foreign-keys&gt;&lt;key app="EN" db-id="esvrve9x1d0a5gerpeuprwp0vtp2zxx2ssr9" timestamp="1655307129"&gt;1729&lt;/key&gt;&lt;/foreign-keys&gt;&lt;ref-type name="Journal Article"&gt;17&lt;/ref-type&gt;&lt;contributors&gt;&lt;authors&gt;&lt;author&gt;Best, Rohan&lt;/author&gt;&lt;/authors&gt;&lt;/contributors&gt;&lt;titles&gt;&lt;title&gt;Switching towards coal or renewable energy? The effects of financial capital on energy transitions&lt;/title&gt;&lt;secondary-title&gt;Energy Economics&lt;/secondary-title&gt;&lt;/titles&gt;&lt;periodical&gt;&lt;full-title&gt;Energy Economics&lt;/full-title&gt;&lt;/periodical&gt;&lt;pages&gt;75-83&lt;/pages&gt;&lt;volume&gt;63&lt;/volume&gt;&lt;dates&gt;&lt;year&gt;2017&lt;/year&gt;&lt;/dates&gt;&lt;publisher&gt;Elsevier&lt;/publisher&gt;&lt;isbn&gt;0140-9883&lt;/isbn&gt;&lt;urls&gt;&lt;/urls&gt;&lt;/record&gt;&lt;/Cite&gt;&lt;/EndNote&gt;</w:instrText>
      </w:r>
      <w:r w:rsidR="005852FC" w:rsidRPr="00802F1A">
        <w:rPr>
          <w:rFonts w:eastAsiaTheme="majorEastAsia" w:cstheme="majorBidi"/>
          <w:iCs/>
          <w:szCs w:val="24"/>
          <w:lang w:val="en-US"/>
        </w:rPr>
        <w:fldChar w:fldCharType="separate"/>
      </w:r>
      <w:r w:rsidR="005852FC" w:rsidRPr="00802F1A">
        <w:rPr>
          <w:rFonts w:eastAsiaTheme="majorEastAsia" w:cstheme="majorBidi"/>
          <w:iCs/>
          <w:noProof/>
          <w:szCs w:val="24"/>
          <w:lang w:val="en-US"/>
        </w:rPr>
        <w:t>(Best, 2017)</w:t>
      </w:r>
      <w:r w:rsidR="005852FC" w:rsidRPr="00802F1A">
        <w:rPr>
          <w:rFonts w:eastAsiaTheme="majorEastAsia" w:cstheme="majorBidi"/>
          <w:iCs/>
          <w:szCs w:val="24"/>
          <w:lang w:val="en-US"/>
        </w:rPr>
        <w:fldChar w:fldCharType="end"/>
      </w:r>
      <w:r w:rsidRPr="00802F1A">
        <w:rPr>
          <w:rFonts w:eastAsiaTheme="majorEastAsia" w:cstheme="majorBidi"/>
          <w:iCs/>
          <w:szCs w:val="24"/>
          <w:lang w:val="en-US"/>
        </w:rPr>
        <w:t xml:space="preserve">, there has been reluctance in financing these projects due to their long-term investment requirements, substantial capital needs for technology and infrastructure, and their high-risk, low-return nature </w:t>
      </w:r>
      <w:r w:rsidR="005852FC" w:rsidRPr="00802F1A">
        <w:rPr>
          <w:rFonts w:eastAsiaTheme="majorEastAsia" w:cstheme="majorBidi"/>
          <w:iCs/>
          <w:szCs w:val="24"/>
          <w:lang w:val="en-US"/>
        </w:rPr>
        <w:fldChar w:fldCharType="begin"/>
      </w:r>
      <w:r w:rsidR="005852FC" w:rsidRPr="00802F1A">
        <w:rPr>
          <w:rFonts w:eastAsiaTheme="majorEastAsia" w:cstheme="majorBidi"/>
          <w:iCs/>
          <w:szCs w:val="24"/>
          <w:lang w:val="en-US"/>
        </w:rPr>
        <w:instrText xml:space="preserve"> ADDIN EN.CITE &lt;EndNote&gt;&lt;Cite&gt;&lt;Author&gt;Peimani&lt;/Author&gt;&lt;Year&gt;2018&lt;/Year&gt;&lt;RecNum&gt;1722&lt;/RecNum&gt;&lt;DisplayText&gt;(Peimani, 2018)&lt;/DisplayText&gt;&lt;record&gt;&lt;rec-number&gt;1722&lt;/rec-number&gt;&lt;foreign-keys&gt;&lt;key app="EN" db-id="esvrve9x1d0a5gerpeuprwp0vtp2zxx2ssr9" timestamp="1655171512"&gt;1722&lt;/key&gt;&lt;/foreign-keys&gt;&lt;ref-type name="Report"&gt;27&lt;/ref-type&gt;&lt;contributors&gt;&lt;authors&gt;&lt;author&gt;Peimani, Hooman&lt;/author&gt;&lt;/authors&gt;&lt;/contributors&gt;&lt;titles&gt;&lt;title&gt;Financial barriers to development of renewable and green energy projects in Asia&lt;/title&gt;&lt;/titles&gt;&lt;dates&gt;&lt;year&gt;2018&lt;/year&gt;&lt;/dates&gt;&lt;publisher&gt;ADBI Working Paper&lt;/publisher&gt;&lt;urls&gt;&lt;/urls&gt;&lt;/record&gt;&lt;/Cite&gt;&lt;/EndNote&gt;</w:instrText>
      </w:r>
      <w:r w:rsidR="005852FC" w:rsidRPr="00802F1A">
        <w:rPr>
          <w:rFonts w:eastAsiaTheme="majorEastAsia" w:cstheme="majorBidi"/>
          <w:iCs/>
          <w:szCs w:val="24"/>
          <w:lang w:val="en-US"/>
        </w:rPr>
        <w:fldChar w:fldCharType="separate"/>
      </w:r>
      <w:r w:rsidR="005852FC" w:rsidRPr="00802F1A">
        <w:rPr>
          <w:rFonts w:eastAsiaTheme="majorEastAsia" w:cstheme="majorBidi"/>
          <w:iCs/>
          <w:noProof/>
          <w:szCs w:val="24"/>
          <w:lang w:val="en-US"/>
        </w:rPr>
        <w:t>(Peimani, 2018)</w:t>
      </w:r>
      <w:r w:rsidR="005852FC" w:rsidRPr="00802F1A">
        <w:rPr>
          <w:rFonts w:eastAsiaTheme="majorEastAsia" w:cstheme="majorBidi"/>
          <w:iCs/>
          <w:szCs w:val="24"/>
          <w:lang w:val="en-US"/>
        </w:rPr>
        <w:fldChar w:fldCharType="end"/>
      </w:r>
      <w:r w:rsidRPr="00802F1A">
        <w:rPr>
          <w:rFonts w:eastAsiaTheme="majorEastAsia" w:cstheme="majorBidi"/>
          <w:iCs/>
          <w:szCs w:val="24"/>
          <w:lang w:val="en-US"/>
        </w:rPr>
        <w:t>. The justification for such projects relies on their potential to lower costs and increase the benefits of energy usage.</w:t>
      </w:r>
      <w:r w:rsidR="002E2F72" w:rsidRPr="00802F1A">
        <w:rPr>
          <w:rFonts w:eastAsiaTheme="majorEastAsia" w:cstheme="majorBidi"/>
          <w:iCs/>
          <w:szCs w:val="24"/>
          <w:lang w:val="en-US"/>
        </w:rPr>
        <w:t xml:space="preserve"> </w:t>
      </w:r>
      <w:proofErr w:type="gramStart"/>
      <w:r w:rsidRPr="00802F1A">
        <w:rPr>
          <w:rFonts w:eastAsiaTheme="majorEastAsia" w:cstheme="majorBidi"/>
          <w:iCs/>
          <w:szCs w:val="24"/>
          <w:lang w:val="en-US"/>
        </w:rPr>
        <w:t>Considering these factors, it</w:t>
      </w:r>
      <w:proofErr w:type="gramEnd"/>
      <w:r w:rsidRPr="00802F1A">
        <w:rPr>
          <w:rFonts w:eastAsiaTheme="majorEastAsia" w:cstheme="majorBidi"/>
          <w:iCs/>
          <w:szCs w:val="24"/>
          <w:lang w:val="en-US"/>
        </w:rPr>
        <w:t xml:space="preserve"> is plausible that financial development may promote energy diversification in the short term. However, the long-term impact on financial development may be limited, as the process of adopting and developing new energy sources to enhance energy diversification might increase the use of banking and financial </w:t>
      </w:r>
      <w:r w:rsidRPr="00802F1A">
        <w:rPr>
          <w:rFonts w:eastAsiaTheme="majorEastAsia" w:cstheme="majorBidi"/>
          <w:iCs/>
          <w:szCs w:val="24"/>
          <w:lang w:val="en-US"/>
        </w:rPr>
        <w:lastRenderedPageBreak/>
        <w:t>services without significantly spurring overall financial development.</w:t>
      </w:r>
      <w:r w:rsidR="0024321D" w:rsidRPr="00802F1A">
        <w:rPr>
          <w:rFonts w:eastAsiaTheme="majorEastAsia" w:cstheme="majorBidi"/>
          <w:iCs/>
          <w:szCs w:val="24"/>
          <w:lang w:val="en-US"/>
        </w:rPr>
        <w:t xml:space="preserve"> </w:t>
      </w:r>
      <w:r w:rsidR="00400A10" w:rsidRPr="00802F1A">
        <w:rPr>
          <w:rFonts w:eastAsiaTheme="majorEastAsia" w:cstheme="majorBidi"/>
          <w:iCs/>
          <w:szCs w:val="24"/>
          <w:lang w:val="en-US"/>
        </w:rPr>
        <w:t>Therefore, we hypothesize:</w:t>
      </w:r>
    </w:p>
    <w:p w14:paraId="0CB71525" w14:textId="0C048042" w:rsidR="00F16785" w:rsidRPr="00802F1A" w:rsidRDefault="00F16785" w:rsidP="002E2F72">
      <w:pPr>
        <w:jc w:val="both"/>
      </w:pPr>
      <w:bookmarkStart w:id="1" w:name="_Hlk105698710"/>
      <w:r w:rsidRPr="00802F1A">
        <w:t>H3: There is no significant causal relationship between energy diversification and financial development.</w:t>
      </w:r>
    </w:p>
    <w:bookmarkEnd w:id="1"/>
    <w:p w14:paraId="6DD15D2E" w14:textId="77777777" w:rsidR="00C543A0" w:rsidRPr="00802F1A" w:rsidRDefault="00C543A0" w:rsidP="00C543A0">
      <w:pPr>
        <w:ind w:left="270"/>
        <w:jc w:val="both"/>
        <w:rPr>
          <w:rFonts w:eastAsiaTheme="majorEastAsia" w:cstheme="majorBidi"/>
          <w:i/>
          <w:szCs w:val="24"/>
          <w:lang w:val="en-US"/>
        </w:rPr>
      </w:pPr>
    </w:p>
    <w:p w14:paraId="25196256" w14:textId="1563D53E" w:rsidR="00BD0CF0" w:rsidRPr="00802F1A" w:rsidRDefault="007134A6" w:rsidP="0053308A">
      <w:pPr>
        <w:pStyle w:val="Heading3"/>
        <w:rPr>
          <w:lang w:val="en-US"/>
        </w:rPr>
      </w:pPr>
      <w:r w:rsidRPr="00802F1A">
        <w:rPr>
          <w:lang w:val="en-US"/>
        </w:rPr>
        <w:t xml:space="preserve">Financial development and </w:t>
      </w:r>
      <w:r w:rsidR="00431D9D" w:rsidRPr="00802F1A">
        <w:rPr>
          <w:lang w:val="en-US"/>
        </w:rPr>
        <w:t>economic development</w:t>
      </w:r>
      <w:r w:rsidR="00EE2822" w:rsidRPr="00802F1A">
        <w:rPr>
          <w:lang w:val="en-US"/>
        </w:rPr>
        <w:t xml:space="preserve"> </w:t>
      </w:r>
    </w:p>
    <w:p w14:paraId="60B15D6E" w14:textId="7814B431" w:rsidR="00076CE4" w:rsidRPr="00802F1A" w:rsidRDefault="00076CE4" w:rsidP="00076CE4">
      <w:pPr>
        <w:jc w:val="both"/>
        <w:rPr>
          <w:b/>
          <w:bCs/>
          <w:lang w:val="en-US"/>
        </w:rPr>
      </w:pPr>
      <w:r w:rsidRPr="00802F1A">
        <w:rPr>
          <w:lang w:val="en-US"/>
        </w:rPr>
        <w:t xml:space="preserve">Several studies, including </w:t>
      </w:r>
      <w:r w:rsidR="0082280C" w:rsidRPr="00802F1A">
        <w:rPr>
          <w:lang w:val="vi-VN"/>
        </w:rPr>
        <w:fldChar w:fldCharType="begin"/>
      </w:r>
      <w:r w:rsidR="0082280C" w:rsidRPr="00802F1A">
        <w:rPr>
          <w:lang w:val="vi-VN"/>
        </w:rPr>
        <w:instrText xml:space="preserve"> ADDIN EN.CITE &lt;EndNote&gt;&lt;Cite AuthorYear="1"&gt;&lt;Author&gt;Raghutla&lt;/Author&gt;&lt;Year&gt;2021&lt;/Year&gt;&lt;RecNum&gt;1643&lt;/RecNum&gt;&lt;DisplayText&gt;Raghutla and Chittedi (2021)&lt;/DisplayText&gt;&lt;record&gt;&lt;rec-number&gt;1643&lt;/rec-number&gt;&lt;foreign-keys&gt;&lt;key app="EN" db-id="esvrve9x1d0a5gerpeuprwp0vtp2zxx2ssr9" timestamp="1646479954"&gt;1643&lt;/key&gt;&lt;/foreign-keys&gt;&lt;ref-type name="Journal Article"&gt;17&lt;/ref-type&gt;&lt;contributors&gt;&lt;authors&gt;&lt;author&gt;Raghutla, Chandrashekar&lt;/author&gt;&lt;author&gt;Chittedi, Krishna Reddy&lt;/author&gt;&lt;/authors&gt;&lt;/contributors&gt;&lt;titles&gt;&lt;title&gt;Financial development, energy consumption, technology, urbanization, economic output and carbon emissions nexus in BRICS countries: an empirical analysis&lt;/title&gt;&lt;secondary-title&gt;Management of environmental quality&lt;/secondary-title&gt;&lt;/titles&gt;&lt;periodical&gt;&lt;full-title&gt;Management of environmental quality&lt;/full-title&gt;&lt;/periodical&gt;&lt;pages&gt;290-307&lt;/pages&gt;&lt;volume&gt;32&lt;/volume&gt;&lt;number&gt;2&lt;/number&gt;&lt;keywords&gt;&lt;keyword&gt;Carbon dioxide&lt;/keyword&gt;&lt;keyword&gt;Causality&lt;/keyword&gt;&lt;keyword&gt;Clean energy&lt;/keyword&gt;&lt;keyword&gt;Clean technology&lt;/keyword&gt;&lt;keyword&gt;Climate change&lt;/keyword&gt;&lt;keyword&gt;Economic analysis&lt;/keyword&gt;&lt;keyword&gt;Economic development&lt;/keyword&gt;&lt;keyword&gt;Economic growth&lt;/keyword&gt;&lt;keyword&gt;Emerging markets&lt;/keyword&gt;&lt;keyword&gt;Emissions&lt;/keyword&gt;&lt;keyword&gt;Empirical analysis&lt;/keyword&gt;&lt;keyword&gt;Energy consumption&lt;/keyword&gt;&lt;keyword&gt;Energy efficiency&lt;/keyword&gt;&lt;keyword&gt;Environmental quality&lt;/keyword&gt;&lt;keyword&gt;Financial services&lt;/keyword&gt;&lt;keyword&gt;Hypotheses&lt;/keyword&gt;&lt;keyword&gt;Impact analysis&lt;/keyword&gt;&lt;keyword&gt;Population&lt;/keyword&gt;&lt;keyword&gt;Sustainable development&lt;/keyword&gt;&lt;keyword&gt;Technology&lt;/keyword&gt;&lt;keyword&gt;Urban populations&lt;/keyword&gt;&lt;keyword&gt;Urbanization&lt;/keyword&gt;&lt;keyword&gt;Variables&lt;/keyword&gt;&lt;/keywords&gt;&lt;dates&gt;&lt;year&gt;2021&lt;/year&gt;&lt;/dates&gt;&lt;pub-location&gt;Bradford&lt;/pub-location&gt;&lt;publisher&gt;Emerald Publishing Limited&lt;/publisher&gt;&lt;isbn&gt;1477-7835&lt;/isbn&gt;&lt;urls&gt;&lt;/urls&gt;&lt;electronic-resource-num&gt;10.1108/MEQ-02-2020-0035&lt;/electronic-resource-num&gt;&lt;/record&gt;&lt;/Cite&gt;&lt;/EndNote&gt;</w:instrText>
      </w:r>
      <w:r w:rsidR="0082280C" w:rsidRPr="00802F1A">
        <w:rPr>
          <w:lang w:val="vi-VN"/>
        </w:rPr>
        <w:fldChar w:fldCharType="separate"/>
      </w:r>
      <w:r w:rsidR="0082280C" w:rsidRPr="00802F1A">
        <w:rPr>
          <w:noProof/>
          <w:lang w:val="vi-VN"/>
        </w:rPr>
        <w:t>Raghutla and Chittedi (2021)</w:t>
      </w:r>
      <w:r w:rsidR="0082280C" w:rsidRPr="00802F1A">
        <w:rPr>
          <w:lang w:val="vi-VN"/>
        </w:rPr>
        <w:fldChar w:fldCharType="end"/>
      </w:r>
      <w:r w:rsidR="0082280C" w:rsidRPr="00802F1A">
        <w:rPr>
          <w:lang w:val="vi-VN"/>
        </w:rPr>
        <w:t xml:space="preserve">, </w:t>
      </w:r>
      <w:r w:rsidR="0082280C" w:rsidRPr="00802F1A">
        <w:rPr>
          <w:lang w:val="vi-VN"/>
        </w:rPr>
        <w:fldChar w:fldCharType="begin"/>
      </w:r>
      <w:r w:rsidR="0082280C" w:rsidRPr="00802F1A">
        <w:rPr>
          <w:lang w:val="vi-VN"/>
        </w:rPr>
        <w:instrText xml:space="preserve"> ADDIN EN.CITE &lt;EndNote&gt;&lt;Cite AuthorYear="1"&gt;&lt;Author&gt;Durusu-Ciftci&lt;/Author&gt;&lt;Year&gt;2020&lt;/Year&gt;&lt;RecNum&gt;1515&lt;/RecNum&gt;&lt;DisplayText&gt;Durusu-Ciftci&lt;style face="italic"&gt; et al.&lt;/style&gt; (2020)&lt;/DisplayText&gt;&lt;record&gt;&lt;rec-number&gt;1515&lt;/rec-number&gt;&lt;foreign-keys&gt;&lt;key app="EN" db-id="s0x0022p9x5xtlep5rz5rpxd9d0spafr5tx2" timestamp="1687913779"&gt;1515&lt;/key&gt;&lt;/foreign-keys&gt;&lt;ref-type name="Journal Article"&gt;17&lt;/ref-type&gt;&lt;contributors&gt;&lt;authors&gt;&lt;author&gt;Durusu-Ciftci, Dilek&lt;/author&gt;&lt;author&gt;Soytas, Ugur&lt;/author&gt;&lt;author&gt;Nazlioglu, Saban&lt;/author&gt;&lt;/authors&gt;&lt;/contributors&gt;&lt;titles&gt;&lt;title&gt;Financial development and energy consumption in emerging markets: Smooth structural shifts and causal linkages&lt;/title&gt;&lt;secondary-title&gt;Energy economics&lt;/secondary-title&gt;&lt;/titles&gt;&lt;periodical&gt;&lt;full-title&gt;Energy Economics&lt;/full-title&gt;&lt;/periodical&gt;&lt;pages&gt;104729&lt;/pages&gt;&lt;volume&gt;87&lt;/volume&gt;&lt;dates&gt;&lt;year&gt;2020&lt;/year&gt;&lt;/dates&gt;&lt;publisher&gt;Elsevier&lt;/publisher&gt;&lt;isbn&gt;0140-9883&lt;/isbn&gt;&lt;urls&gt;&lt;/urls&gt;&lt;/record&gt;&lt;/Cite&gt;&lt;/EndNote&gt;</w:instrText>
      </w:r>
      <w:r w:rsidR="0082280C" w:rsidRPr="00802F1A">
        <w:rPr>
          <w:lang w:val="vi-VN"/>
        </w:rPr>
        <w:fldChar w:fldCharType="separate"/>
      </w:r>
      <w:r w:rsidR="0082280C" w:rsidRPr="00802F1A">
        <w:rPr>
          <w:noProof/>
          <w:lang w:val="vi-VN"/>
        </w:rPr>
        <w:t>Durusu-Ciftci</w:t>
      </w:r>
      <w:r w:rsidR="0082280C" w:rsidRPr="00802F1A">
        <w:rPr>
          <w:i/>
          <w:noProof/>
          <w:lang w:val="vi-VN"/>
        </w:rPr>
        <w:t xml:space="preserve"> et al.</w:t>
      </w:r>
      <w:r w:rsidR="0082280C" w:rsidRPr="00802F1A">
        <w:rPr>
          <w:noProof/>
          <w:lang w:val="vi-VN"/>
        </w:rPr>
        <w:t xml:space="preserve"> (2020)</w:t>
      </w:r>
      <w:r w:rsidR="0082280C" w:rsidRPr="00802F1A">
        <w:rPr>
          <w:lang w:val="vi-VN"/>
        </w:rPr>
        <w:fldChar w:fldCharType="end"/>
      </w:r>
      <w:r w:rsidR="0082280C" w:rsidRPr="00802F1A">
        <w:rPr>
          <w:lang w:val="vi-VN"/>
        </w:rPr>
        <w:t>,</w:t>
      </w:r>
      <w:r w:rsidR="0082280C" w:rsidRPr="00802F1A">
        <w:rPr>
          <w:lang w:val="en-US"/>
        </w:rPr>
        <w:t xml:space="preserve"> and </w:t>
      </w:r>
      <w:r w:rsidR="0082280C" w:rsidRPr="00802F1A">
        <w:rPr>
          <w:lang w:val="en-US"/>
        </w:rPr>
        <w:fldChar w:fldCharType="begin"/>
      </w:r>
      <w:r w:rsidR="0082280C" w:rsidRPr="00802F1A">
        <w:rPr>
          <w:lang w:val="en-US"/>
        </w:rPr>
        <w:instrText xml:space="preserve"> ADDIN EN.CITE &lt;EndNote&gt;&lt;Cite AuthorYear="1"&gt;&lt;Author&gt;Cetin&lt;/Author&gt;&lt;Year&gt;2020&lt;/Year&gt;&lt;RecNum&gt;1646&lt;/RecNum&gt;&lt;DisplayText&gt;Cetin and Bakirtas (2020)&lt;/DisplayText&gt;&lt;record&gt;&lt;rec-number&gt;1646&lt;/rec-number&gt;&lt;foreign-keys&gt;&lt;key app="EN" db-id="esvrve9x1d0a5gerpeuprwp0vtp2zxx2ssr9" timestamp="1646487457"&gt;1646&lt;/key&gt;&lt;/foreign-keys&gt;&lt;ref-type name="Journal Article"&gt;17&lt;/ref-type&gt;&lt;contributors&gt;&lt;authors&gt;&lt;author&gt;Cetin, Mumin Atalay&lt;/author&gt;&lt;author&gt;Bakirtas, Ibrahim&lt;/author&gt;&lt;/authors&gt;&lt;/contributors&gt;&lt;titles&gt;&lt;title&gt;The long-run environmental impacts of economic growth, financial development, and energy consumption: Evidence from emerging markets&lt;/title&gt;&lt;secondary-title&gt;Energy &amp;amp; environment (Essex, England)&lt;/secondary-title&gt;&lt;/titles&gt;&lt;periodical&gt;&lt;full-title&gt;Energy &amp;amp; environment (Essex, England)&lt;/full-title&gt;&lt;/periodical&gt;&lt;pages&gt;634-655&lt;/pages&gt;&lt;volume&gt;31&lt;/volume&gt;&lt;number&gt;4&lt;/number&gt;&lt;dates&gt;&lt;year&gt;2020&lt;/year&gt;&lt;/dates&gt;&lt;pub-location&gt;London, England&lt;/pub-location&gt;&lt;publisher&gt;SAGE Publications&lt;/publisher&gt;&lt;isbn&gt;0958-305X&lt;/isbn&gt;&lt;urls&gt;&lt;/urls&gt;&lt;electronic-resource-num&gt;10.1177/0958305X19882373&lt;/electronic-resource-num&gt;&lt;/record&gt;&lt;/Cite&gt;&lt;/EndNote&gt;</w:instrText>
      </w:r>
      <w:r w:rsidR="0082280C" w:rsidRPr="00802F1A">
        <w:rPr>
          <w:lang w:val="en-US"/>
        </w:rPr>
        <w:fldChar w:fldCharType="separate"/>
      </w:r>
      <w:r w:rsidR="0082280C" w:rsidRPr="00802F1A">
        <w:rPr>
          <w:noProof/>
          <w:lang w:val="en-US"/>
        </w:rPr>
        <w:t>Cetin and Bakirtas (2020)</w:t>
      </w:r>
      <w:r w:rsidR="0082280C" w:rsidRPr="00802F1A">
        <w:rPr>
          <w:lang w:val="en-US"/>
        </w:rPr>
        <w:fldChar w:fldCharType="end"/>
      </w:r>
      <w:r w:rsidRPr="00802F1A">
        <w:rPr>
          <w:lang w:val="en-US"/>
        </w:rPr>
        <w:t xml:space="preserve">, have extensively explored the relationship between economic growth and financial development using various datasets, methodologies, and time periods. These studies have identified a bi-directional causality between the two variables. This bi-directional causality can be explained by the combination of the supply-leading and demand-following hypotheses proposed by </w:t>
      </w:r>
      <w:proofErr w:type="spellStart"/>
      <w:r w:rsidRPr="00802F1A">
        <w:rPr>
          <w:lang w:val="en-US"/>
        </w:rPr>
        <w:t>Acaravci</w:t>
      </w:r>
      <w:proofErr w:type="spellEnd"/>
      <w:r w:rsidRPr="00802F1A">
        <w:rPr>
          <w:lang w:val="en-US"/>
        </w:rPr>
        <w:t xml:space="preserve"> et al. (2009).</w:t>
      </w:r>
      <w:r w:rsidR="00134F4A" w:rsidRPr="00802F1A">
        <w:rPr>
          <w:lang w:val="en-US"/>
        </w:rPr>
        <w:t xml:space="preserve"> </w:t>
      </w:r>
      <w:r w:rsidRPr="00802F1A">
        <w:rPr>
          <w:lang w:val="en-US"/>
        </w:rPr>
        <w:t xml:space="preserve">The </w:t>
      </w:r>
      <w:r w:rsidRPr="00802F1A">
        <w:rPr>
          <w:i/>
          <w:iCs/>
          <w:lang w:val="en-US"/>
        </w:rPr>
        <w:t>supply-leading hypothesis</w:t>
      </w:r>
      <w:r w:rsidRPr="00802F1A">
        <w:rPr>
          <w:lang w:val="en-US"/>
        </w:rPr>
        <w:t xml:space="preserve"> suggests that the causality runs from financial development to economic growth. According to this hypothesis, a well-developed financial system plays a crucial role in effectively channeling savings towards productive investments, which are essential for fostering economic growth. In other words, financial development facilitates the efficient allocation of capital, thereby promoting economic expansion.</w:t>
      </w:r>
      <w:r w:rsidR="00134F4A" w:rsidRPr="00802F1A">
        <w:rPr>
          <w:lang w:val="en-US"/>
        </w:rPr>
        <w:t xml:space="preserve"> </w:t>
      </w:r>
      <w:r w:rsidRPr="00802F1A">
        <w:rPr>
          <w:lang w:val="en-US"/>
        </w:rPr>
        <w:t xml:space="preserve">On the other hand, the </w:t>
      </w:r>
      <w:r w:rsidRPr="00802F1A">
        <w:rPr>
          <w:i/>
          <w:iCs/>
          <w:lang w:val="en-US"/>
        </w:rPr>
        <w:t>demand-following hypothesis</w:t>
      </w:r>
      <w:r w:rsidRPr="00802F1A">
        <w:rPr>
          <w:lang w:val="en-US"/>
        </w:rPr>
        <w:t xml:space="preserve"> posits that the causality runs from economic growth to financial development. According to this hypothesis, improvements in economic performance </w:t>
      </w:r>
      <w:proofErr w:type="gramStart"/>
      <w:r w:rsidRPr="00802F1A">
        <w:rPr>
          <w:lang w:val="en-US"/>
        </w:rPr>
        <w:t>lead</w:t>
      </w:r>
      <w:proofErr w:type="gramEnd"/>
      <w:r w:rsidRPr="00802F1A">
        <w:rPr>
          <w:lang w:val="en-US"/>
        </w:rPr>
        <w:t xml:space="preserve"> to increased economic activities, which, in turn, generate a higher demand for financial services. As the economy grows, there is a greater need for financial intermediation, such as loans, investment opportunities, and other financial instruments, to support and sustain the expanding economic activities.</w:t>
      </w:r>
      <w:r w:rsidR="0038335E" w:rsidRPr="00802F1A">
        <w:rPr>
          <w:lang w:val="en-US"/>
        </w:rPr>
        <w:t xml:space="preserve"> </w:t>
      </w:r>
    </w:p>
    <w:p w14:paraId="1205B17F" w14:textId="77777777" w:rsidR="00076CE4" w:rsidRPr="00802F1A" w:rsidRDefault="00076CE4" w:rsidP="00866CCE">
      <w:pPr>
        <w:jc w:val="both"/>
        <w:rPr>
          <w:lang w:val="en-US"/>
        </w:rPr>
      </w:pPr>
    </w:p>
    <w:p w14:paraId="340D0C8D" w14:textId="6CC73840" w:rsidR="005B1006" w:rsidRPr="00802F1A" w:rsidRDefault="005B1006" w:rsidP="005B1006">
      <w:pPr>
        <w:jc w:val="both"/>
        <w:rPr>
          <w:lang w:val="en-US"/>
        </w:rPr>
      </w:pPr>
      <w:r w:rsidRPr="00802F1A">
        <w:rPr>
          <w:lang w:val="en-US"/>
        </w:rPr>
        <w:t xml:space="preserve">Since the 1990s, there has been a rapid growth of financial globalization worldwide, as noted by </w:t>
      </w:r>
      <w:r w:rsidRPr="00802F1A">
        <w:rPr>
          <w:lang w:val="en-US"/>
        </w:rPr>
        <w:fldChar w:fldCharType="begin"/>
      </w:r>
      <w:r w:rsidRPr="00802F1A">
        <w:rPr>
          <w:lang w:val="en-US"/>
        </w:rPr>
        <w:instrText xml:space="preserve"> ADDIN EN.CITE &lt;EndNote&gt;&lt;Cite AuthorYear="1"&gt;&lt;Author&gt;Jones&lt;/Author&gt;&lt;Year&gt;2019&lt;/Year&gt;&lt;RecNum&gt;1715&lt;/RecNum&gt;&lt;DisplayText&gt;Jones and Knaack (2019)&lt;/DisplayText&gt;&lt;record&gt;&lt;rec-number&gt;1715&lt;/rec-number&gt;&lt;foreign-keys&gt;&lt;key app="EN" db-id="esvrve9x1d0a5gerpeuprwp0vtp2zxx2ssr9" timestamp="1654791581"&gt;1715&lt;/key&gt;&lt;/foreign-keys&gt;&lt;ref-type name="Journal Article"&gt;17&lt;/ref-type&gt;&lt;contributors&gt;&lt;authors&gt;&lt;author&gt;Jones, Emily&lt;/author&gt;&lt;author&gt;Knaack, Peter&lt;/author&gt;&lt;/authors&gt;&lt;/contributors&gt;&lt;titles&gt;&lt;title&gt;Global financial regulation: Shortcomings and reform options&lt;/title&gt;&lt;secondary-title&gt;Global Policy&lt;/secondary-title&gt;&lt;/titles&gt;&lt;periodical&gt;&lt;full-title&gt;Global Policy&lt;/full-title&gt;&lt;/periodical&gt;&lt;pages&gt;193-206&lt;/pages&gt;&lt;volume&gt;10&lt;/volume&gt;&lt;number&gt;2&lt;/number&gt;&lt;dates&gt;&lt;year&gt;2019&lt;/year&gt;&lt;/dates&gt;&lt;publisher&gt;Wiley Online Library&lt;/publisher&gt;&lt;isbn&gt;1758-5880&lt;/isbn&gt;&lt;urls&gt;&lt;/urls&gt;&lt;/record&gt;&lt;/Cite&gt;&lt;/EndNote&gt;</w:instrText>
      </w:r>
      <w:r w:rsidRPr="00802F1A">
        <w:rPr>
          <w:lang w:val="en-US"/>
        </w:rPr>
        <w:fldChar w:fldCharType="separate"/>
      </w:r>
      <w:r w:rsidRPr="00802F1A">
        <w:rPr>
          <w:noProof/>
          <w:lang w:val="en-US"/>
        </w:rPr>
        <w:t>Jones and Knaack (2019)</w:t>
      </w:r>
      <w:r w:rsidRPr="00802F1A">
        <w:rPr>
          <w:lang w:val="en-US"/>
        </w:rPr>
        <w:fldChar w:fldCharType="end"/>
      </w:r>
      <w:r w:rsidRPr="00802F1A">
        <w:rPr>
          <w:lang w:val="en-US"/>
        </w:rPr>
        <w:t xml:space="preserve">. However, the effects of financial globalization can be both positive and negative, as highlighted by </w:t>
      </w:r>
      <w:r w:rsidR="00815190" w:rsidRPr="00802F1A">
        <w:rPr>
          <w:lang w:val="en-US"/>
        </w:rPr>
        <w:fldChar w:fldCharType="begin">
          <w:fldData xml:space="preserve">PEVuZE5vdGU+PENpdGUgQXV0aG9yWWVhcj0iMSI+PEF1dGhvcj5NaXNoa2luPC9BdXRob3I+PFll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</w:fldData>
        </w:fldChar>
      </w:r>
      <w:r w:rsidR="00815190" w:rsidRPr="00802F1A">
        <w:rPr>
          <w:lang w:val="en-US"/>
        </w:rPr>
        <w:instrText xml:space="preserve"> ADDIN EN.CITE </w:instrText>
      </w:r>
      <w:r w:rsidR="00815190" w:rsidRPr="00802F1A">
        <w:rPr>
          <w:lang w:val="en-US"/>
        </w:rPr>
        <w:fldChar w:fldCharType="begin">
          <w:fldData xml:space="preserve">PEVuZE5vdGU+PENpdGUgQXV0aG9yWWVhcj0iMSI+PEF1dGhvcj5NaXNoa2luPC9BdXRob3I+PFll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</w:fldData>
        </w:fldChar>
      </w:r>
      <w:r w:rsidR="00815190" w:rsidRPr="00802F1A">
        <w:rPr>
          <w:lang w:val="en-US"/>
        </w:rPr>
        <w:instrText xml:space="preserve"> ADDIN EN.CITE.DATA </w:instrText>
      </w:r>
      <w:r w:rsidR="00815190" w:rsidRPr="00802F1A">
        <w:rPr>
          <w:lang w:val="en-US"/>
        </w:rPr>
      </w:r>
      <w:r w:rsidR="00815190" w:rsidRPr="00802F1A">
        <w:rPr>
          <w:lang w:val="en-US"/>
        </w:rPr>
        <w:fldChar w:fldCharType="end"/>
      </w:r>
      <w:r w:rsidR="00815190" w:rsidRPr="00802F1A">
        <w:rPr>
          <w:lang w:val="en-US"/>
        </w:rPr>
      </w:r>
      <w:r w:rsidR="00815190" w:rsidRPr="00802F1A">
        <w:rPr>
          <w:lang w:val="en-US"/>
        </w:rPr>
        <w:fldChar w:fldCharType="separate"/>
      </w:r>
      <w:r w:rsidR="00815190" w:rsidRPr="00802F1A">
        <w:rPr>
          <w:noProof/>
          <w:lang w:val="en-US"/>
        </w:rPr>
        <w:t>Mishkin (2009)</w:t>
      </w:r>
      <w:r w:rsidR="00815190" w:rsidRPr="00802F1A">
        <w:rPr>
          <w:lang w:val="en-US"/>
        </w:rPr>
        <w:fldChar w:fldCharType="end"/>
      </w:r>
      <w:r w:rsidRPr="00802F1A">
        <w:rPr>
          <w:lang w:val="en-US"/>
        </w:rPr>
        <w:t>. We argue that the success of various reforms aimed at liberalization and prudential regulation and supervision in the financial sector can generally steer financial globalization towards fostering financial development.</w:t>
      </w:r>
      <w:r w:rsidR="00B80842" w:rsidRPr="00802F1A">
        <w:rPr>
          <w:lang w:val="en-US"/>
        </w:rPr>
        <w:t xml:space="preserve"> </w:t>
      </w:r>
      <w:r w:rsidRPr="00802F1A">
        <w:rPr>
          <w:lang w:val="en-US"/>
        </w:rPr>
        <w:t>A well-functioning financial system plays a critical role in efficiently allocating funds to productive projects and facilitating the trade of goods and services, which are essential for the overall success of an economy. Furthermore, the facilitation of cross-border capital flows and the presence of cross-border banks, resulting from financial globalization, enhance the availability of funds and reduce borrowing costs. This encourages borrowing for investments that can enable a country to realize its full economic potential.</w:t>
      </w:r>
      <w:r w:rsidR="00860FA6" w:rsidRPr="00802F1A">
        <w:rPr>
          <w:lang w:val="en-US"/>
        </w:rPr>
        <w:t xml:space="preserve"> </w:t>
      </w:r>
      <w:r w:rsidRPr="00802F1A">
        <w:rPr>
          <w:lang w:val="en-US"/>
        </w:rPr>
        <w:t xml:space="preserve">Additionally, with the rapid pace of </w:t>
      </w:r>
      <w:r w:rsidRPr="00802F1A">
        <w:rPr>
          <w:lang w:val="en-US"/>
        </w:rPr>
        <w:lastRenderedPageBreak/>
        <w:t>globalization, the utilization of financial services tends to increase as economic activities expand. This signifies the mutually reinforcing relationship between economic growth and financial development. Consequently, we propose the following hypothesis:</w:t>
      </w:r>
    </w:p>
    <w:p w14:paraId="0F6790BD" w14:textId="73A74261" w:rsidR="006E4F07" w:rsidRPr="00802F1A" w:rsidRDefault="005B1006" w:rsidP="005B1006">
      <w:pPr>
        <w:jc w:val="both"/>
        <w:rPr>
          <w:lang w:val="en-US"/>
        </w:rPr>
      </w:pPr>
      <w:r w:rsidRPr="00802F1A">
        <w:rPr>
          <w:lang w:val="en-US"/>
        </w:rPr>
        <w:t>H4: There exists a bi-directional causal relationship between economic growth and financial development.</w:t>
      </w:r>
    </w:p>
    <w:p w14:paraId="4633761D" w14:textId="77777777" w:rsidR="00055583" w:rsidRPr="00802F1A" w:rsidRDefault="00055583" w:rsidP="0027188A">
      <w:pPr>
        <w:ind w:left="270"/>
        <w:jc w:val="both"/>
      </w:pPr>
    </w:p>
    <w:p w14:paraId="06287F9E" w14:textId="7D4FA009" w:rsidR="00477727" w:rsidRPr="00802F1A" w:rsidRDefault="00477727" w:rsidP="00410011">
      <w:pPr>
        <w:pStyle w:val="Heading1"/>
        <w:rPr>
          <w:lang w:val="en-US"/>
        </w:rPr>
      </w:pPr>
      <w:r w:rsidRPr="00802F1A">
        <w:rPr>
          <w:lang w:val="en-US"/>
        </w:rPr>
        <w:t>Methodology and data</w:t>
      </w:r>
    </w:p>
    <w:p w14:paraId="72BB7247" w14:textId="459FBCA9" w:rsidR="00B142E7" w:rsidRPr="00802F1A" w:rsidRDefault="00237223" w:rsidP="0053308A">
      <w:pPr>
        <w:pStyle w:val="Heading2"/>
        <w:rPr>
          <w:lang w:val="en-US"/>
        </w:rPr>
      </w:pPr>
      <w:r w:rsidRPr="00802F1A">
        <w:rPr>
          <w:lang w:val="en-US"/>
        </w:rPr>
        <w:t>Methodology</w:t>
      </w:r>
    </w:p>
    <w:p w14:paraId="348BF229" w14:textId="5CC041C2" w:rsidR="003335EE" w:rsidRPr="00802F1A" w:rsidRDefault="003452EB" w:rsidP="003335EE">
      <w:pPr>
        <w:jc w:val="both"/>
        <w:rPr>
          <w:rFonts w:cs="Times New Roman"/>
          <w:szCs w:val="24"/>
          <w:lang w:val="en-US"/>
        </w:rPr>
      </w:pPr>
      <w:r w:rsidRPr="00802F1A">
        <w:rPr>
          <w:rFonts w:cs="Times New Roman"/>
          <w:szCs w:val="24"/>
          <w:lang w:val="en-US"/>
        </w:rPr>
        <w:t>This study examines three key variables: energy diversification, financial development, and per-capita income. Currently, energy production relies on various sources such as fossil fuels, nuclear power, and renewable energy. Diversification, in this context, refers to the opposite of concentration. To measure energy diversification</w:t>
      </w:r>
      <w:r w:rsidR="00E65437" w:rsidRPr="00802F1A">
        <w:rPr>
          <w:rFonts w:cs="Times New Roman"/>
          <w:szCs w:val="24"/>
          <w:lang w:val="en-US"/>
        </w:rPr>
        <w:t xml:space="preserve"> (</w:t>
      </w:r>
      <w:r w:rsidR="00E65437" w:rsidRPr="00802F1A">
        <w:rPr>
          <w:rFonts w:cs="Times New Roman"/>
          <w:i/>
          <w:iCs/>
          <w:szCs w:val="24"/>
          <w:lang w:val="en-US"/>
        </w:rPr>
        <w:t>Energy HHI</w:t>
      </w:r>
      <w:r w:rsidR="00E65437" w:rsidRPr="00802F1A">
        <w:rPr>
          <w:rFonts w:cs="Times New Roman"/>
          <w:szCs w:val="24"/>
          <w:lang w:val="en-US"/>
        </w:rPr>
        <w:t xml:space="preserve">) for country </w:t>
      </w:r>
      <w:proofErr w:type="spellStart"/>
      <w:r w:rsidR="00E65437" w:rsidRPr="00802F1A">
        <w:rPr>
          <w:rFonts w:cs="Times New Roman"/>
          <w:i/>
          <w:iCs/>
          <w:szCs w:val="24"/>
          <w:lang w:val="en-US"/>
        </w:rPr>
        <w:t>i</w:t>
      </w:r>
      <w:proofErr w:type="spellEnd"/>
      <w:r w:rsidR="00E65437" w:rsidRPr="00802F1A">
        <w:rPr>
          <w:rFonts w:cs="Times New Roman"/>
          <w:szCs w:val="24"/>
          <w:lang w:val="en-US"/>
        </w:rPr>
        <w:t xml:space="preserve"> in year </w:t>
      </w:r>
      <w:r w:rsidR="00E65437" w:rsidRPr="00802F1A">
        <w:rPr>
          <w:rFonts w:cs="Times New Roman"/>
          <w:i/>
          <w:iCs/>
          <w:szCs w:val="24"/>
          <w:lang w:val="en-US"/>
        </w:rPr>
        <w:t>t</w:t>
      </w:r>
      <w:r w:rsidRPr="00802F1A">
        <w:rPr>
          <w:rFonts w:cs="Times New Roman"/>
          <w:szCs w:val="24"/>
          <w:lang w:val="en-US"/>
        </w:rPr>
        <w:t xml:space="preserve">, </w:t>
      </w:r>
      <w:r w:rsidR="00E65437" w:rsidRPr="00802F1A">
        <w:rPr>
          <w:rFonts w:cs="Times New Roman"/>
          <w:szCs w:val="24"/>
          <w:lang w:val="vi-VN"/>
        </w:rPr>
        <w:t>this study adopts the Herfindahl-Hirschman export market concentration index used by the World Bank</w:t>
      </w:r>
      <w:r w:rsidR="003335EE" w:rsidRPr="00802F1A">
        <w:rPr>
          <w:rStyle w:val="FootnoteReference"/>
          <w:rFonts w:cs="Times New Roman"/>
          <w:szCs w:val="24"/>
          <w:lang w:val="en-US"/>
        </w:rPr>
        <w:footnoteReference w:id="7"/>
      </w:r>
      <w:r w:rsidR="003335EE" w:rsidRPr="00802F1A">
        <w:rPr>
          <w:rFonts w:cs="Times New Roman"/>
          <w:szCs w:val="24"/>
          <w:lang w:val="en-US"/>
        </w:rPr>
        <w:t xml:space="preserve">: </w:t>
      </w:r>
    </w:p>
    <w:p w14:paraId="77D5EE33" w14:textId="2AB47002" w:rsidR="003335EE" w:rsidRPr="00802F1A" w:rsidRDefault="004F6E57" w:rsidP="000779E4">
      <w:pPr>
        <w:jc w:val="center"/>
        <w:rPr>
          <w:rFonts w:cs="Times New Roman"/>
          <w:szCs w:val="24"/>
          <w:lang w:val="vi-VN"/>
        </w:rPr>
      </w:pPr>
      <m:oMath>
        <m:sSub>
          <m:sSubPr>
            <m:ctrlPr>
              <w:rPr>
                <w:rFonts w:ascii="Cambria Math" w:hAnsi="Cambria Math" w:cs="Times New Roman"/>
                <w:i/>
                <w:szCs w:val="24"/>
                <w:lang w:val="en-US"/>
              </w:rPr>
            </m:ctrlPr>
          </m:sSubPr>
          <m:e>
            <m:r>
              <w:rPr>
                <w:rFonts w:ascii="Cambria Math" w:hAnsi="Cambria Math" w:cs="Times New Roman"/>
                <w:szCs w:val="24"/>
                <w:lang w:val="en-US"/>
              </w:rPr>
              <m:t>Energy HHI</m:t>
            </m:r>
          </m:e>
          <m:sub>
            <m:r>
              <w:rPr>
                <w:rFonts w:ascii="Cambria Math" w:hAnsi="Cambria Math" w:cs="Times New Roman"/>
                <w:szCs w:val="24"/>
                <w:lang w:val="en-US"/>
              </w:rPr>
              <m:t>i</m:t>
            </m:r>
          </m:sub>
        </m:sSub>
        <m:r>
          <w:rPr>
            <w:rFonts w:ascii="Cambria Math" w:hAnsi="Cambria Math" w:cs="Times New Roman"/>
            <w:szCs w:val="24"/>
            <w:lang w:val="en-US"/>
          </w:rPr>
          <m:t>=</m:t>
        </m:r>
        <m:f>
          <m:fPr>
            <m:ctrlPr>
              <w:rPr>
                <w:rFonts w:ascii="Cambria Math" w:hAnsi="Cambria Math" w:cs="Times New Roman"/>
                <w:i/>
                <w:szCs w:val="24"/>
                <w:lang w:val="en-US"/>
              </w:rPr>
            </m:ctrlPr>
          </m:fPr>
          <m:num>
            <m:nary>
              <m:naryPr>
                <m:chr m:val="∑"/>
                <m:limLoc m:val="undOvr"/>
                <m:ctrlPr>
                  <w:rPr>
                    <w:rFonts w:ascii="Cambria Math" w:hAnsi="Cambria Math" w:cs="Times New Roman"/>
                    <w:i/>
                    <w:szCs w:val="24"/>
                    <w:lang w:val="en-US"/>
                  </w:rPr>
                </m:ctrlPr>
              </m:naryPr>
              <m:sub>
                <m:r>
                  <w:rPr>
                    <w:rFonts w:ascii="Cambria Math" w:hAnsi="Cambria Math" w:cs="Times New Roman"/>
                    <w:szCs w:val="24"/>
                    <w:lang w:val="en-US"/>
                  </w:rPr>
                  <m:t>j=1</m:t>
                </m:r>
              </m:sub>
              <m:sup>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i</m:t>
                    </m:r>
                  </m:sub>
                </m:sSub>
              </m:sup>
              <m:e>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ij</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i</m:t>
                                </m:r>
                              </m:sub>
                            </m:sSub>
                          </m:den>
                        </m:f>
                      </m:e>
                    </m:d>
                  </m:e>
                  <m:sup>
                    <m:r>
                      <w:rPr>
                        <w:rFonts w:ascii="Cambria Math" w:hAnsi="Cambria Math" w:cs="Times New Roman"/>
                        <w:szCs w:val="24"/>
                        <w:lang w:val="en-US"/>
                      </w:rPr>
                      <m:t>2</m:t>
                    </m:r>
                  </m:sup>
                </m:sSup>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1</m:t>
                    </m:r>
                  </m:num>
                  <m:den>
                    <w:bookmarkStart w:id="2" w:name="_Hlk103878765"/>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i</m:t>
                        </m:r>
                      </m:sub>
                    </m:sSub>
                    <w:bookmarkEnd w:id="2"/>
                  </m:den>
                </m:f>
              </m:e>
            </m:nary>
          </m:num>
          <m:den>
            <m:r>
              <w:rPr>
                <w:rFonts w:ascii="Cambria Math" w:hAnsi="Cambria Math" w:cs="Times New Roman"/>
                <w:szCs w:val="24"/>
                <w:lang w:val="en-US"/>
              </w:rPr>
              <m:t>1-</m:t>
            </m:r>
            <m:f>
              <m:fPr>
                <m:ctrlPr>
                  <w:rPr>
                    <w:rFonts w:ascii="Cambria Math" w:hAnsi="Cambria Math" w:cs="Times New Roman"/>
                    <w:i/>
                    <w:szCs w:val="24"/>
                    <w:lang w:val="en-US"/>
                  </w:rPr>
                </m:ctrlPr>
              </m:fPr>
              <m:num>
                <m:r>
                  <w:rPr>
                    <w:rFonts w:ascii="Cambria Math" w:hAnsi="Cambria Math" w:cs="Times New Roman"/>
                    <w:szCs w:val="24"/>
                    <w:lang w:val="en-US"/>
                  </w:rPr>
                  <m:t>1</m:t>
                </m:r>
              </m:num>
              <m:den>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i</m:t>
                    </m:r>
                  </m:sub>
                </m:sSub>
              </m:den>
            </m:f>
          </m:den>
        </m:f>
      </m:oMath>
      <w:r w:rsidR="000779E4" w:rsidRPr="00802F1A">
        <w:rPr>
          <w:rFonts w:eastAsiaTheme="minorEastAsia" w:cs="Times New Roman"/>
          <w:szCs w:val="24"/>
          <w:lang w:val="vi-VN"/>
        </w:rPr>
        <w:t xml:space="preserve">                              (1)</w:t>
      </w:r>
    </w:p>
    <w:p w14:paraId="66FF956C" w14:textId="37C68736" w:rsidR="007031FE" w:rsidRPr="00802F1A" w:rsidRDefault="003A669B" w:rsidP="003A669B">
      <w:pPr>
        <w:jc w:val="both"/>
        <w:rPr>
          <w:rFonts w:cs="Times New Roman"/>
          <w:szCs w:val="24"/>
          <w:lang w:val="en-US"/>
        </w:rPr>
      </w:pPr>
      <w:r w:rsidRPr="00802F1A">
        <w:rPr>
          <w:rFonts w:cs="Times New Roman"/>
          <w:szCs w:val="24"/>
          <w:lang w:val="en-US"/>
        </w:rPr>
        <w:t>Here,</w:t>
      </w:r>
      <w:r w:rsidR="003335EE" w:rsidRPr="00802F1A">
        <w:rPr>
          <w:rFonts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i</m:t>
            </m:r>
          </m:sub>
        </m:sSub>
      </m:oMath>
      <w:r w:rsidR="003335EE" w:rsidRPr="00802F1A">
        <w:rPr>
          <w:rFonts w:eastAsiaTheme="minorEastAsia" w:cs="Times New Roman"/>
          <w:szCs w:val="24"/>
          <w:lang w:val="en-US"/>
        </w:rPr>
        <w:t xml:space="preserve"> </w:t>
      </w:r>
      <w:r w:rsidR="0065221B" w:rsidRPr="00802F1A">
        <w:rPr>
          <w:rFonts w:cs="Times New Roman"/>
          <w:szCs w:val="24"/>
          <w:lang w:val="en-US"/>
        </w:rPr>
        <w:t>represents the total primary energy consumption of country</w:t>
      </w:r>
      <w:r w:rsidR="0065221B" w:rsidRPr="00802F1A">
        <w:rPr>
          <w:rFonts w:cs="Times New Roman"/>
          <w:i/>
          <w:iCs/>
          <w:szCs w:val="24"/>
          <w:lang w:val="en-US"/>
        </w:rPr>
        <w:t xml:space="preserve"> </w:t>
      </w:r>
      <w:proofErr w:type="spellStart"/>
      <w:r w:rsidR="0065221B" w:rsidRPr="00802F1A">
        <w:rPr>
          <w:rFonts w:cs="Times New Roman"/>
          <w:i/>
          <w:iCs/>
          <w:szCs w:val="24"/>
          <w:lang w:val="en-US"/>
        </w:rPr>
        <w:t>i</w:t>
      </w:r>
      <w:proofErr w:type="spellEnd"/>
      <w:r w:rsidR="0065221B" w:rsidRPr="00802F1A">
        <w:rPr>
          <w:rFonts w:cs="Times New Roman"/>
          <w:szCs w:val="24"/>
          <w:lang w:val="en-US"/>
        </w:rPr>
        <w:t xml:space="preserve"> measured in quadrillion British thermal units (BTUs)</w:t>
      </w:r>
      <w:r w:rsidR="003335EE" w:rsidRPr="00802F1A">
        <w:rPr>
          <w:rFonts w:eastAsiaTheme="minorEastAsia"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e</m:t>
            </m:r>
          </m:e>
          <m:sub>
            <m:r>
              <w:rPr>
                <w:rFonts w:ascii="Cambria Math" w:hAnsi="Cambria Math" w:cs="Times New Roman"/>
                <w:szCs w:val="24"/>
                <w:lang w:val="en-US"/>
              </w:rPr>
              <m:t>ij</m:t>
            </m:r>
          </m:sub>
        </m:sSub>
      </m:oMath>
      <w:r w:rsidR="003335EE" w:rsidRPr="00802F1A">
        <w:rPr>
          <w:rFonts w:eastAsiaTheme="minorEastAsia" w:cs="Times New Roman"/>
          <w:szCs w:val="24"/>
          <w:lang w:val="en-US"/>
        </w:rPr>
        <w:t xml:space="preserve"> </w:t>
      </w:r>
      <w:r w:rsidR="0065221B" w:rsidRPr="00802F1A">
        <w:rPr>
          <w:rFonts w:eastAsiaTheme="minorEastAsia" w:cs="Times New Roman"/>
          <w:szCs w:val="24"/>
          <w:lang w:val="en-US"/>
        </w:rPr>
        <w:t xml:space="preserve">denotes the amount of energy consumption from source </w:t>
      </w:r>
      <w:r w:rsidR="0065221B" w:rsidRPr="00802F1A">
        <w:rPr>
          <w:rFonts w:eastAsiaTheme="minorEastAsia" w:cs="Times New Roman"/>
          <w:i/>
          <w:iCs/>
          <w:szCs w:val="24"/>
          <w:lang w:val="en-US"/>
        </w:rPr>
        <w:t>j</w:t>
      </w:r>
      <w:r w:rsidR="0065221B" w:rsidRPr="00802F1A">
        <w:rPr>
          <w:rFonts w:eastAsiaTheme="minorEastAsia" w:cs="Times New Roman"/>
          <w:szCs w:val="24"/>
          <w:lang w:val="en-US"/>
        </w:rPr>
        <w:t xml:space="preserve"> by country </w:t>
      </w:r>
      <w:proofErr w:type="spellStart"/>
      <w:r w:rsidR="0065221B" w:rsidRPr="00802F1A">
        <w:rPr>
          <w:rFonts w:eastAsiaTheme="minorEastAsia" w:cs="Times New Roman"/>
          <w:i/>
          <w:iCs/>
          <w:szCs w:val="24"/>
          <w:lang w:val="en-US"/>
        </w:rPr>
        <w:t>i</w:t>
      </w:r>
      <w:proofErr w:type="spellEnd"/>
      <w:r w:rsidR="003335EE" w:rsidRPr="00802F1A">
        <w:rPr>
          <w:rFonts w:eastAsiaTheme="minorEastAsia"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i</m:t>
            </m:r>
          </m:sub>
        </m:sSub>
      </m:oMath>
      <w:r w:rsidR="003335EE" w:rsidRPr="00802F1A">
        <w:rPr>
          <w:rFonts w:eastAsiaTheme="minorEastAsia" w:cs="Times New Roman"/>
          <w:szCs w:val="24"/>
          <w:lang w:val="en-US"/>
        </w:rPr>
        <w:t xml:space="preserve"> </w:t>
      </w:r>
      <w:r w:rsidR="00C4735E" w:rsidRPr="00802F1A">
        <w:rPr>
          <w:rFonts w:eastAsiaTheme="minorEastAsia" w:cs="Times New Roman"/>
          <w:szCs w:val="24"/>
          <w:lang w:val="en-US"/>
        </w:rPr>
        <w:t xml:space="preserve">represents the number of energy sources (including renewable energy, coal, natural gas, petroleum and other liquids, and nuclear) consumed by country </w:t>
      </w:r>
      <w:proofErr w:type="spellStart"/>
      <w:r w:rsidR="00C4735E" w:rsidRPr="00802F1A">
        <w:rPr>
          <w:rFonts w:eastAsiaTheme="minorEastAsia" w:cs="Times New Roman"/>
          <w:i/>
          <w:iCs/>
          <w:szCs w:val="24"/>
          <w:lang w:val="en-US"/>
        </w:rPr>
        <w:t>i</w:t>
      </w:r>
      <w:proofErr w:type="spellEnd"/>
      <w:r w:rsidR="003E14AD" w:rsidRPr="00802F1A">
        <w:rPr>
          <w:rFonts w:eastAsiaTheme="minorEastAsia" w:cs="Times New Roman"/>
          <w:szCs w:val="24"/>
          <w:lang w:val="en-US"/>
        </w:rPr>
        <w:t>.</w:t>
      </w:r>
      <w:r w:rsidR="000712F9" w:rsidRPr="00802F1A">
        <w:rPr>
          <w:rFonts w:eastAsiaTheme="minorEastAsia" w:cs="Times New Roman"/>
          <w:szCs w:val="24"/>
          <w:lang w:val="vi-VN"/>
        </w:rPr>
        <w:t xml:space="preserve"> </w:t>
      </w:r>
      <w:r w:rsidR="003335EE" w:rsidRPr="00802F1A">
        <w:rPr>
          <w:rFonts w:cs="Times New Roman"/>
          <w:i/>
          <w:iCs/>
          <w:szCs w:val="24"/>
          <w:lang w:val="en-US"/>
        </w:rPr>
        <w:t>Energy HHI</w:t>
      </w:r>
      <w:r w:rsidR="003335EE" w:rsidRPr="00802F1A">
        <w:rPr>
          <w:rFonts w:cs="Times New Roman"/>
          <w:szCs w:val="24"/>
          <w:lang w:val="en-US"/>
        </w:rPr>
        <w:t xml:space="preserve"> is in the range of 0 and 1</w:t>
      </w:r>
      <w:r w:rsidR="001A47EB" w:rsidRPr="00802F1A">
        <w:rPr>
          <w:rFonts w:cs="Times New Roman"/>
          <w:szCs w:val="24"/>
          <w:lang w:val="en-US"/>
        </w:rPr>
        <w:t xml:space="preserve">, with </w:t>
      </w:r>
      <w:r w:rsidR="003F4D22" w:rsidRPr="00802F1A">
        <w:rPr>
          <w:rFonts w:cs="Times New Roman"/>
          <w:szCs w:val="24"/>
          <w:lang w:val="en-US"/>
        </w:rPr>
        <w:t xml:space="preserve">a </w:t>
      </w:r>
      <w:r w:rsidR="00127958" w:rsidRPr="00802F1A">
        <w:rPr>
          <w:rFonts w:cs="Times New Roman"/>
          <w:szCs w:val="24"/>
          <w:lang w:val="en-US"/>
        </w:rPr>
        <w:t xml:space="preserve">greater </w:t>
      </w:r>
      <w:r w:rsidR="00CC3ACB" w:rsidRPr="00802F1A">
        <w:rPr>
          <w:rFonts w:cs="Times New Roman"/>
          <w:szCs w:val="24"/>
          <w:lang w:val="en-US"/>
        </w:rPr>
        <w:t>value</w:t>
      </w:r>
      <w:r w:rsidR="003335EE" w:rsidRPr="00802F1A">
        <w:rPr>
          <w:rFonts w:cs="Times New Roman"/>
          <w:szCs w:val="24"/>
          <w:lang w:val="en-US"/>
        </w:rPr>
        <w:t xml:space="preserve"> reflect</w:t>
      </w:r>
      <w:r w:rsidR="00442121" w:rsidRPr="00802F1A">
        <w:rPr>
          <w:rFonts w:cs="Times New Roman"/>
          <w:szCs w:val="24"/>
          <w:lang w:val="en-US"/>
        </w:rPr>
        <w:t>ing greater</w:t>
      </w:r>
      <w:r w:rsidR="003335EE" w:rsidRPr="00802F1A">
        <w:rPr>
          <w:rFonts w:cs="Times New Roman"/>
          <w:szCs w:val="24"/>
          <w:lang w:val="en-US"/>
        </w:rPr>
        <w:t xml:space="preserve"> </w:t>
      </w:r>
      <w:r w:rsidR="009458E1" w:rsidRPr="00802F1A">
        <w:rPr>
          <w:rFonts w:cs="Times New Roman"/>
          <w:szCs w:val="24"/>
          <w:lang w:val="en-US"/>
        </w:rPr>
        <w:t>concentration</w:t>
      </w:r>
      <w:r w:rsidR="003335EE" w:rsidRPr="00802F1A">
        <w:rPr>
          <w:rFonts w:cs="Times New Roman"/>
          <w:szCs w:val="24"/>
          <w:lang w:val="en-US"/>
        </w:rPr>
        <w:t xml:space="preserve"> </w:t>
      </w:r>
      <w:r w:rsidR="007B1D2C" w:rsidRPr="00802F1A">
        <w:rPr>
          <w:rFonts w:cs="Times New Roman"/>
          <w:szCs w:val="24"/>
          <w:lang w:val="en-US"/>
        </w:rPr>
        <w:t>and lower</w:t>
      </w:r>
      <w:r w:rsidR="003335EE" w:rsidRPr="00802F1A">
        <w:rPr>
          <w:rFonts w:cs="Times New Roman"/>
          <w:szCs w:val="24"/>
          <w:lang w:val="en-US"/>
        </w:rPr>
        <w:t xml:space="preserve"> diversification</w:t>
      </w:r>
      <w:r w:rsidR="00DF550C" w:rsidRPr="00802F1A">
        <w:rPr>
          <w:rFonts w:cs="Times New Roman"/>
          <w:szCs w:val="24"/>
          <w:lang w:val="en-US"/>
        </w:rPr>
        <w:t xml:space="preserve"> of energy sources</w:t>
      </w:r>
      <w:r w:rsidR="003335EE" w:rsidRPr="00802F1A">
        <w:rPr>
          <w:rFonts w:cs="Times New Roman"/>
          <w:szCs w:val="24"/>
          <w:lang w:val="en-US"/>
        </w:rPr>
        <w:t>.</w:t>
      </w:r>
      <w:r w:rsidR="008414FF" w:rsidRPr="00802F1A">
        <w:rPr>
          <w:rFonts w:cs="Times New Roman"/>
          <w:szCs w:val="24"/>
          <w:lang w:val="en-US"/>
        </w:rPr>
        <w:t xml:space="preserve"> </w:t>
      </w:r>
    </w:p>
    <w:p w14:paraId="5E2B3304" w14:textId="77777777" w:rsidR="00586D3D" w:rsidRPr="00802F1A" w:rsidRDefault="00586D3D" w:rsidP="003A669B">
      <w:pPr>
        <w:jc w:val="both"/>
        <w:rPr>
          <w:rFonts w:cs="Times New Roman"/>
          <w:szCs w:val="24"/>
          <w:lang w:val="en-US"/>
        </w:rPr>
      </w:pPr>
    </w:p>
    <w:p w14:paraId="1E766DB9" w14:textId="4A07A4BF" w:rsidR="00897A79" w:rsidRPr="00802F1A" w:rsidRDefault="00230A21" w:rsidP="006B2C89">
      <w:pPr>
        <w:jc w:val="both"/>
        <w:rPr>
          <w:noProof/>
          <w:lang w:val="vi-VN"/>
        </w:rPr>
      </w:pPr>
      <w:r w:rsidRPr="00802F1A">
        <w:rPr>
          <w:noProof/>
        </w:rPr>
        <w:t xml:space="preserve">This study adopts the approach used by the International Monetary Fund (IMF), as described by </w:t>
      </w:r>
      <w:r w:rsidR="0096180A" w:rsidRPr="00802F1A">
        <w:rPr>
          <w:noProof/>
        </w:rPr>
        <w:fldChar w:fldCharType="begin"/>
      </w:r>
      <w:r w:rsidR="00E771E2" w:rsidRPr="00802F1A">
        <w:rPr>
          <w:noProof/>
        </w:rPr>
        <w:instrText xml:space="preserve"> ADDIN EN.CITE &lt;EndNote&gt;&lt;Cite AuthorYear="1"&gt;&lt;Author&gt;Svirydzenka&lt;/Author&gt;&lt;Year&gt;2016&lt;/Year&gt;&lt;RecNum&gt;1664&lt;/RecNum&gt;&lt;DisplayText&gt;Svirydzenka (2016)&lt;/DisplayText&gt;&lt;record&gt;&lt;rec-number&gt;1664&lt;/rec-number&gt;&lt;foreign-keys&gt;&lt;key app="EN" db-id="esvrve9x1d0a5gerpeuprwp0vtp2zxx2ssr9" timestamp="1652958231"&gt;1664&lt;/key&gt;&lt;/foreign-keys&gt;&lt;ref-type name="Book"&gt;6&lt;/ref-type&gt;&lt;contributors&gt;&lt;authors&gt;&lt;author&gt;Svirydzenka, Katsiaryna&lt;/author&gt;&lt;/authors&gt;&lt;/contributors&gt;&lt;titles&gt;&lt;title&gt;Introducing a new broad-based index of financial development&lt;/title&gt;&lt;/titles&gt;&lt;dates&gt;&lt;year&gt;2016&lt;/year&gt;&lt;/dates&gt;&lt;publisher&gt;International Monetary Fund&lt;/publisher&gt;&lt;isbn&gt;1513583700&lt;/isbn&gt;&lt;urls&gt;&lt;/urls&gt;&lt;/record&gt;&lt;/Cite&gt;&lt;/EndNote&gt;</w:instrText>
      </w:r>
      <w:r w:rsidR="0096180A" w:rsidRPr="00802F1A">
        <w:rPr>
          <w:noProof/>
        </w:rPr>
        <w:fldChar w:fldCharType="separate"/>
      </w:r>
      <w:r w:rsidR="00E771E2" w:rsidRPr="00802F1A">
        <w:rPr>
          <w:noProof/>
        </w:rPr>
        <w:t>Svirydzenka (2016)</w:t>
      </w:r>
      <w:r w:rsidR="0096180A" w:rsidRPr="00802F1A">
        <w:rPr>
          <w:noProof/>
        </w:rPr>
        <w:fldChar w:fldCharType="end"/>
      </w:r>
      <w:r w:rsidR="000A2734" w:rsidRPr="00802F1A">
        <w:rPr>
          <w:noProof/>
        </w:rPr>
        <w:t>, to measure financial development. Financial development is assessed based on the depth, access, and efficiency of financial institutions and financial markets. The study utilizes six indices to measure financial development:</w:t>
      </w:r>
      <w:r w:rsidR="00C43A05" w:rsidRPr="00802F1A">
        <w:rPr>
          <w:noProof/>
        </w:rPr>
        <w:t xml:space="preserve"> </w:t>
      </w:r>
      <w:r w:rsidR="007F4375" w:rsidRPr="00802F1A">
        <w:rPr>
          <w:noProof/>
        </w:rPr>
        <w:t xml:space="preserve">i) </w:t>
      </w:r>
      <w:r w:rsidR="00D85CD5" w:rsidRPr="00802F1A">
        <w:rPr>
          <w:noProof/>
        </w:rPr>
        <w:t>overall index of financial development (</w:t>
      </w:r>
      <w:r w:rsidR="00D85CD5" w:rsidRPr="00802F1A">
        <w:rPr>
          <w:i/>
          <w:iCs/>
          <w:noProof/>
        </w:rPr>
        <w:t>Financial Dev</w:t>
      </w:r>
      <w:r w:rsidR="00D85CD5" w:rsidRPr="00802F1A">
        <w:rPr>
          <w:noProof/>
        </w:rPr>
        <w:t xml:space="preserve">), </w:t>
      </w:r>
      <w:r w:rsidR="007F4375" w:rsidRPr="00802F1A">
        <w:rPr>
          <w:noProof/>
        </w:rPr>
        <w:t xml:space="preserve">ii) </w:t>
      </w:r>
      <w:r w:rsidR="00D85CD5" w:rsidRPr="00802F1A">
        <w:rPr>
          <w:noProof/>
        </w:rPr>
        <w:t>overall index of financial institution development (</w:t>
      </w:r>
      <w:r w:rsidR="00D85CD5" w:rsidRPr="00802F1A">
        <w:rPr>
          <w:i/>
          <w:iCs/>
          <w:noProof/>
        </w:rPr>
        <w:t>FI Dev</w:t>
      </w:r>
      <w:r w:rsidR="00D85CD5" w:rsidRPr="00802F1A">
        <w:rPr>
          <w:noProof/>
        </w:rPr>
        <w:t xml:space="preserve">), </w:t>
      </w:r>
      <w:r w:rsidR="0005238B" w:rsidRPr="00802F1A">
        <w:rPr>
          <w:noProof/>
        </w:rPr>
        <w:t xml:space="preserve">iii) </w:t>
      </w:r>
      <w:r w:rsidR="006014DC" w:rsidRPr="00802F1A">
        <w:rPr>
          <w:noProof/>
        </w:rPr>
        <w:t>overall index of financial market development (</w:t>
      </w:r>
      <w:r w:rsidR="006014DC" w:rsidRPr="00802F1A">
        <w:rPr>
          <w:i/>
          <w:iCs/>
          <w:noProof/>
        </w:rPr>
        <w:t>FM Dev</w:t>
      </w:r>
      <w:r w:rsidR="006014DC" w:rsidRPr="00802F1A">
        <w:rPr>
          <w:noProof/>
        </w:rPr>
        <w:t>),</w:t>
      </w:r>
      <w:r w:rsidR="00931762" w:rsidRPr="00802F1A">
        <w:rPr>
          <w:noProof/>
        </w:rPr>
        <w:t xml:space="preserve"> and</w:t>
      </w:r>
      <w:r w:rsidR="006014DC" w:rsidRPr="00802F1A">
        <w:rPr>
          <w:noProof/>
        </w:rPr>
        <w:t xml:space="preserve"> </w:t>
      </w:r>
      <w:r w:rsidR="0005238B" w:rsidRPr="00802F1A">
        <w:rPr>
          <w:noProof/>
        </w:rPr>
        <w:t xml:space="preserve">iv) </w:t>
      </w:r>
      <w:r w:rsidR="003F2120" w:rsidRPr="00802F1A">
        <w:rPr>
          <w:noProof/>
        </w:rPr>
        <w:t xml:space="preserve">three </w:t>
      </w:r>
      <w:r w:rsidR="004356CE" w:rsidRPr="00802F1A">
        <w:rPr>
          <w:noProof/>
        </w:rPr>
        <w:t>financial institu</w:t>
      </w:r>
      <w:r w:rsidR="00CE4C5E" w:rsidRPr="00802F1A">
        <w:rPr>
          <w:noProof/>
        </w:rPr>
        <w:t>t</w:t>
      </w:r>
      <w:r w:rsidR="004356CE" w:rsidRPr="00802F1A">
        <w:rPr>
          <w:noProof/>
        </w:rPr>
        <w:t>ion development indices in terms of depth (</w:t>
      </w:r>
      <w:r w:rsidR="004356CE" w:rsidRPr="00802F1A">
        <w:rPr>
          <w:i/>
          <w:iCs/>
          <w:noProof/>
        </w:rPr>
        <w:t xml:space="preserve">FI </w:t>
      </w:r>
      <w:r w:rsidR="00F61BD7" w:rsidRPr="00802F1A">
        <w:rPr>
          <w:i/>
          <w:iCs/>
          <w:noProof/>
        </w:rPr>
        <w:t>Depth</w:t>
      </w:r>
      <w:r w:rsidR="00F61BD7" w:rsidRPr="00802F1A">
        <w:rPr>
          <w:noProof/>
        </w:rPr>
        <w:t>)</w:t>
      </w:r>
      <w:r w:rsidR="004356CE" w:rsidRPr="00802F1A">
        <w:rPr>
          <w:noProof/>
        </w:rPr>
        <w:t xml:space="preserve">, access </w:t>
      </w:r>
      <w:r w:rsidR="00F61BD7" w:rsidRPr="00802F1A">
        <w:rPr>
          <w:noProof/>
        </w:rPr>
        <w:t>(</w:t>
      </w:r>
      <w:r w:rsidR="00F61BD7" w:rsidRPr="00802F1A">
        <w:rPr>
          <w:i/>
          <w:iCs/>
          <w:noProof/>
        </w:rPr>
        <w:t>FI Access</w:t>
      </w:r>
      <w:r w:rsidR="00F61BD7" w:rsidRPr="00802F1A">
        <w:rPr>
          <w:noProof/>
        </w:rPr>
        <w:t xml:space="preserve">) </w:t>
      </w:r>
      <w:r w:rsidR="004356CE" w:rsidRPr="00802F1A">
        <w:rPr>
          <w:noProof/>
        </w:rPr>
        <w:t xml:space="preserve">and efficiency </w:t>
      </w:r>
      <w:r w:rsidR="00F61BD7" w:rsidRPr="00802F1A">
        <w:rPr>
          <w:noProof/>
        </w:rPr>
        <w:t>(</w:t>
      </w:r>
      <w:r w:rsidR="00F61BD7" w:rsidRPr="00802F1A">
        <w:rPr>
          <w:i/>
          <w:iCs/>
          <w:noProof/>
        </w:rPr>
        <w:t>FI Efficiency</w:t>
      </w:r>
      <w:r w:rsidR="00F61BD7" w:rsidRPr="00802F1A">
        <w:rPr>
          <w:noProof/>
        </w:rPr>
        <w:t>)</w:t>
      </w:r>
      <w:r w:rsidR="008C07A1" w:rsidRPr="00802F1A">
        <w:rPr>
          <w:noProof/>
        </w:rPr>
        <w:t xml:space="preserve">. </w:t>
      </w:r>
      <w:r w:rsidR="007D1757" w:rsidRPr="00802F1A">
        <w:rPr>
          <w:noProof/>
        </w:rPr>
        <w:t xml:space="preserve">Table 1 provides a brief description and construction details of these indices. </w:t>
      </w:r>
      <w:r w:rsidR="00B63312" w:rsidRPr="00802F1A">
        <w:rPr>
          <w:noProof/>
        </w:rPr>
        <w:t xml:space="preserve">The </w:t>
      </w:r>
      <w:r w:rsidR="00B63312" w:rsidRPr="00802F1A">
        <w:rPr>
          <w:i/>
          <w:iCs/>
          <w:noProof/>
        </w:rPr>
        <w:t>Financial Dev</w:t>
      </w:r>
      <w:r w:rsidR="00B63312" w:rsidRPr="00802F1A">
        <w:rPr>
          <w:noProof/>
        </w:rPr>
        <w:t xml:space="preserve"> index is an aggregate of </w:t>
      </w:r>
      <w:r w:rsidR="00B63312" w:rsidRPr="00802F1A">
        <w:rPr>
          <w:i/>
          <w:iCs/>
          <w:noProof/>
        </w:rPr>
        <w:t>FI Dev</w:t>
      </w:r>
      <w:r w:rsidR="00B63312" w:rsidRPr="00802F1A">
        <w:rPr>
          <w:noProof/>
        </w:rPr>
        <w:t xml:space="preserve"> and </w:t>
      </w:r>
      <w:r w:rsidR="00B63312" w:rsidRPr="00802F1A">
        <w:rPr>
          <w:i/>
          <w:iCs/>
          <w:noProof/>
        </w:rPr>
        <w:t>FM Dev</w:t>
      </w:r>
      <w:r w:rsidR="00B63312" w:rsidRPr="00802F1A">
        <w:rPr>
          <w:noProof/>
        </w:rPr>
        <w:t xml:space="preserve">, with </w:t>
      </w:r>
      <w:r w:rsidR="00B63312" w:rsidRPr="00802F1A">
        <w:rPr>
          <w:i/>
          <w:iCs/>
          <w:noProof/>
        </w:rPr>
        <w:t>FI Dev</w:t>
      </w:r>
      <w:r w:rsidR="00B63312" w:rsidRPr="00802F1A">
        <w:rPr>
          <w:noProof/>
        </w:rPr>
        <w:t xml:space="preserve"> derived from </w:t>
      </w:r>
      <w:r w:rsidR="00B63312" w:rsidRPr="00802F1A">
        <w:rPr>
          <w:noProof/>
        </w:rPr>
        <w:lastRenderedPageBreak/>
        <w:t xml:space="preserve">combining </w:t>
      </w:r>
      <w:r w:rsidR="00B63312" w:rsidRPr="00802F1A">
        <w:rPr>
          <w:i/>
          <w:iCs/>
          <w:noProof/>
        </w:rPr>
        <w:t>FI Depth</w:t>
      </w:r>
      <w:r w:rsidR="00B63312" w:rsidRPr="00802F1A">
        <w:rPr>
          <w:noProof/>
        </w:rPr>
        <w:t xml:space="preserve">, </w:t>
      </w:r>
      <w:r w:rsidR="00B63312" w:rsidRPr="00802F1A">
        <w:rPr>
          <w:i/>
          <w:iCs/>
          <w:noProof/>
        </w:rPr>
        <w:t>FI Access</w:t>
      </w:r>
      <w:r w:rsidR="00B63312" w:rsidRPr="00802F1A">
        <w:rPr>
          <w:noProof/>
        </w:rPr>
        <w:t xml:space="preserve">, and </w:t>
      </w:r>
      <w:r w:rsidR="00B63312" w:rsidRPr="00802F1A">
        <w:rPr>
          <w:i/>
          <w:iCs/>
          <w:noProof/>
        </w:rPr>
        <w:t>FI Efficiency</w:t>
      </w:r>
      <w:r w:rsidR="00B63312" w:rsidRPr="00802F1A">
        <w:rPr>
          <w:noProof/>
        </w:rPr>
        <w:t xml:space="preserve">. </w:t>
      </w:r>
      <w:r w:rsidR="00B63312" w:rsidRPr="00802F1A">
        <w:rPr>
          <w:noProof/>
          <w:lang w:val="vi-VN"/>
        </w:rPr>
        <w:t>These indices are constructed using multiple financial indicators, offering a comprehensive perspective on financial development and addressing the limitations of relying on single indicators as proxies.</w:t>
      </w:r>
      <w:r w:rsidR="00DA3E98" w:rsidRPr="00802F1A">
        <w:rPr>
          <w:noProof/>
          <w:lang w:val="en-US"/>
        </w:rPr>
        <w:t xml:space="preserve"> The indices range between 0 and 1, where a higher value indicates a greater level of financial development. Consistent with existing literature, this study employs per-capita gross domestic product (GDP) as a proxy for economic development, referred to as </w:t>
      </w:r>
      <w:r w:rsidR="00097DD4" w:rsidRPr="00802F1A">
        <w:rPr>
          <w:i/>
          <w:iCs/>
          <w:noProof/>
          <w:lang w:val="en-US"/>
        </w:rPr>
        <w:t>p</w:t>
      </w:r>
      <w:r w:rsidR="00673D40" w:rsidRPr="00802F1A">
        <w:rPr>
          <w:i/>
          <w:iCs/>
          <w:noProof/>
          <w:lang w:val="en-US"/>
        </w:rPr>
        <w:t>er</w:t>
      </w:r>
      <w:r w:rsidR="00097DD4" w:rsidRPr="00802F1A">
        <w:rPr>
          <w:i/>
          <w:iCs/>
          <w:noProof/>
          <w:lang w:val="en-US"/>
        </w:rPr>
        <w:t>-</w:t>
      </w:r>
      <w:r w:rsidR="00673D40" w:rsidRPr="00802F1A">
        <w:rPr>
          <w:i/>
          <w:iCs/>
          <w:noProof/>
          <w:lang w:val="en-US"/>
        </w:rPr>
        <w:t>capita Income</w:t>
      </w:r>
      <w:r w:rsidR="00543845" w:rsidRPr="00802F1A">
        <w:rPr>
          <w:noProof/>
          <w:lang w:val="vi-VN"/>
        </w:rPr>
        <w:t>.</w:t>
      </w:r>
    </w:p>
    <w:p w14:paraId="6FA9E91A" w14:textId="77777777" w:rsidR="00161F3E" w:rsidRPr="00802F1A" w:rsidRDefault="00161F3E" w:rsidP="006B2C89">
      <w:pPr>
        <w:jc w:val="both"/>
        <w:rPr>
          <w:noProof/>
          <w:lang w:val="vi-VN"/>
        </w:rPr>
      </w:pPr>
    </w:p>
    <w:p w14:paraId="55C703F0" w14:textId="42387B39" w:rsidR="00237223" w:rsidRPr="00802F1A" w:rsidRDefault="00C21EAB" w:rsidP="0053308A">
      <w:pPr>
        <w:pStyle w:val="Heading3"/>
        <w:rPr>
          <w:lang w:val="en-US"/>
        </w:rPr>
      </w:pPr>
      <w:r w:rsidRPr="00802F1A">
        <w:rPr>
          <w:lang w:val="en-US"/>
        </w:rPr>
        <w:t>Convergence</w:t>
      </w:r>
    </w:p>
    <w:p w14:paraId="3A22D5A2" w14:textId="2662CF6D" w:rsidR="00CE54A0" w:rsidRPr="00802F1A" w:rsidRDefault="006806B4" w:rsidP="00E4504E">
      <w:pPr>
        <w:jc w:val="both"/>
        <w:rPr>
          <w:rFonts w:cs="Times New Roman"/>
          <w:szCs w:val="24"/>
          <w:lang w:val="vi-VN"/>
        </w:rPr>
      </w:pPr>
      <w:r w:rsidRPr="00802F1A">
        <w:rPr>
          <w:rFonts w:cs="Times New Roman"/>
          <w:szCs w:val="24"/>
          <w:lang w:val="en-US"/>
        </w:rPr>
        <w:t>The log t convergence test, which has been demonstrated to be superior to the traditional beta and sigma convergence tests, is employed in this study to examine convergence in energy diversification, financial development, and per-capita income across 134 countries. The detailed procedures for conducting this test have been presented in previous studies by</w:t>
      </w:r>
      <w:r w:rsidR="009D032E" w:rsidRPr="00802F1A">
        <w:rPr>
          <w:rFonts w:cs="Times New Roman"/>
          <w:szCs w:val="24"/>
          <w:lang w:val="vi-VN"/>
        </w:rPr>
        <w:t xml:space="preserve"> </w:t>
      </w:r>
      <w:r w:rsidR="002B6D4D" w:rsidRPr="00802F1A">
        <w:rPr>
          <w:rFonts w:cs="Times New Roman"/>
          <w:szCs w:val="24"/>
        </w:rPr>
        <w:fldChar w:fldCharType="begin"/>
      </w:r>
      <w:r w:rsidR="00E771E2" w:rsidRPr="00802F1A">
        <w:rPr>
          <w:rFonts w:cs="Times New Roman"/>
          <w:szCs w:val="24"/>
        </w:rPr>
        <w:instrText xml:space="preserve"> ADDIN EN.CITE &lt;EndNote&gt;&lt;Cite AuthorYear="1"&gt;&lt;Author&gt;Phillips&lt;/Author&gt;&lt;Year&gt;2007&lt;/Year&gt;&lt;RecNum&gt;1596&lt;/RecNum&gt;&lt;DisplayText&gt;Phillips and Sul (2007)&lt;/DisplayText&gt;&lt;record&gt;&lt;rec-number&gt;1596&lt;/rec-number&gt;&lt;foreign-keys&gt;&lt;key app="EN" db-id="esvrve9x1d0a5gerpeuprwp0vtp2zxx2ssr9" timestamp="1641818196"&gt;1596&lt;/key&gt;&lt;/foreign-keys&gt;&lt;ref-type name="Journal Article"&gt;17&lt;/ref-type&gt;&lt;contributors&gt;&lt;authors&gt;&lt;author&gt;Phillips, Peter C. B.&lt;/author&gt;&lt;author&gt;Sul, Donggyu&lt;/author&gt;&lt;/authors&gt;&lt;/contributors&gt;&lt;titles&gt;&lt;title&gt;Transition modeling and econometric convergence tests&lt;/title&gt;&lt;secondary-title&gt;Econometrica&lt;/secondary-title&gt;&lt;/titles&gt;&lt;periodical&gt;&lt;full-title&gt;econometrica&lt;/full-title&gt;&lt;/periodical&gt;&lt;pages&gt;1771-1855&lt;/pages&gt;&lt;volume&gt;75&lt;/volume&gt;&lt;number&gt;6&lt;/number&gt;&lt;dates&gt;&lt;year&gt;2007&lt;/year&gt;&lt;/dates&gt;&lt;publisher&gt;Wiley Online Library&lt;/publisher&gt;&lt;isbn&gt;0012-9682&lt;/isbn&gt;&lt;urls&gt;&lt;/urls&gt;&lt;/record&gt;&lt;/Cite&gt;&lt;/EndNote&gt;</w:instrText>
      </w:r>
      <w:r w:rsidR="002B6D4D" w:rsidRPr="00802F1A">
        <w:rPr>
          <w:rFonts w:cs="Times New Roman"/>
          <w:szCs w:val="24"/>
        </w:rPr>
        <w:fldChar w:fldCharType="separate"/>
      </w:r>
      <w:r w:rsidR="00E771E2" w:rsidRPr="00802F1A">
        <w:rPr>
          <w:rFonts w:cs="Times New Roman"/>
          <w:noProof/>
          <w:szCs w:val="24"/>
        </w:rPr>
        <w:t>Phillips and Sul (2007)</w:t>
      </w:r>
      <w:r w:rsidR="002B6D4D" w:rsidRPr="00802F1A">
        <w:rPr>
          <w:rFonts w:cs="Times New Roman"/>
          <w:szCs w:val="24"/>
        </w:rPr>
        <w:fldChar w:fldCharType="end"/>
      </w:r>
      <w:r w:rsidR="002B6D4D" w:rsidRPr="00802F1A">
        <w:rPr>
          <w:rFonts w:cs="Times New Roman"/>
          <w:szCs w:val="24"/>
        </w:rPr>
        <w:t xml:space="preserve"> and </w:t>
      </w:r>
      <w:r w:rsidR="002B6D4D" w:rsidRPr="00802F1A">
        <w:rPr>
          <w:rFonts w:cs="Times New Roman"/>
          <w:szCs w:val="24"/>
        </w:rPr>
        <w:fldChar w:fldCharType="begin"/>
      </w:r>
      <w:r w:rsidR="00E771E2" w:rsidRPr="00802F1A">
        <w:rPr>
          <w:rFonts w:cs="Times New Roman"/>
          <w:szCs w:val="24"/>
        </w:rPr>
        <w:instrText xml:space="preserve"> ADDIN EN.CITE &lt;EndNote&gt;&lt;Cite AuthorYear="1"&gt;&lt;Author&gt;Phillips&lt;/Author&gt;&lt;Year&gt;2009&lt;/Year&gt;&lt;RecNum&gt;1598&lt;/RecNum&gt;&lt;DisplayText&gt;Phillips and Sul (2009)&lt;/DisplayText&gt;&lt;record&gt;&lt;rec-number&gt;1598&lt;/rec-number&gt;&lt;foreign-keys&gt;&lt;key app="EN" db-id="esvrve9x1d0a5gerpeuprwp0vtp2zxx2ssr9" timestamp="1641818598"&gt;1598&lt;/key&gt;&lt;/foreign-keys&gt;&lt;ref-type name="Journal Article"&gt;17&lt;/ref-type&gt;&lt;contributors&gt;&lt;authors&gt;&lt;author&gt;Phillips, Peter C. B.&lt;/author&gt;&lt;author&gt;Sul, Donggyu&lt;/author&gt;&lt;/authors&gt;&lt;/contributors&gt;&lt;titles&gt;&lt;title&gt;Economic transition and growth&lt;/title&gt;&lt;secondary-title&gt;Journal of applied econometrics&lt;/secondary-title&gt;&lt;/titles&gt;&lt;periodical&gt;&lt;full-title&gt;Journal of applied econometrics&lt;/full-title&gt;&lt;/periodical&gt;&lt;pages&gt;1153-1185&lt;/pages&gt;&lt;volume&gt;24&lt;/volume&gt;&lt;number&gt;7&lt;/number&gt;&lt;dates&gt;&lt;year&gt;2009&lt;/year&gt;&lt;/dates&gt;&lt;publisher&gt;Wiley Online Library&lt;/publisher&gt;&lt;isbn&gt;0883-7252&lt;/isbn&gt;&lt;urls&gt;&lt;/urls&gt;&lt;/record&gt;&lt;/Cite&gt;&lt;/EndNote&gt;</w:instrText>
      </w:r>
      <w:r w:rsidR="002B6D4D" w:rsidRPr="00802F1A">
        <w:rPr>
          <w:rFonts w:cs="Times New Roman"/>
          <w:szCs w:val="24"/>
        </w:rPr>
        <w:fldChar w:fldCharType="separate"/>
      </w:r>
      <w:r w:rsidR="00E771E2" w:rsidRPr="00802F1A">
        <w:rPr>
          <w:rFonts w:cs="Times New Roman"/>
          <w:noProof/>
          <w:szCs w:val="24"/>
        </w:rPr>
        <w:t>Phillips and Sul (2009)</w:t>
      </w:r>
      <w:r w:rsidR="002B6D4D" w:rsidRPr="00802F1A">
        <w:rPr>
          <w:rFonts w:cs="Times New Roman"/>
          <w:szCs w:val="24"/>
        </w:rPr>
        <w:fldChar w:fldCharType="end"/>
      </w:r>
      <w:r w:rsidR="001B412F" w:rsidRPr="00802F1A">
        <w:rPr>
          <w:rFonts w:cs="Times New Roman"/>
          <w:szCs w:val="24"/>
          <w:lang w:val="en-US"/>
        </w:rPr>
        <w:t>.</w:t>
      </w:r>
      <w:r w:rsidR="009D032E" w:rsidRPr="00802F1A">
        <w:rPr>
          <w:rFonts w:cs="Times New Roman"/>
          <w:szCs w:val="24"/>
          <w:lang w:val="vi-VN"/>
        </w:rPr>
        <w:t xml:space="preserve"> </w:t>
      </w:r>
      <w:r w:rsidR="001B412F" w:rsidRPr="00802F1A">
        <w:rPr>
          <w:rFonts w:cs="Times New Roman"/>
          <w:szCs w:val="24"/>
          <w:lang w:val="vi-VN"/>
        </w:rPr>
        <w:t>This study provides a brief overview of the key steps involved:</w:t>
      </w:r>
    </w:p>
    <w:p w14:paraId="7F2C8C9D" w14:textId="77777777" w:rsidR="00EA3959" w:rsidRPr="00802F1A" w:rsidRDefault="00EA3959" w:rsidP="00E4504E">
      <w:pPr>
        <w:jc w:val="both"/>
        <w:rPr>
          <w:rFonts w:cs="Times New Roman"/>
          <w:szCs w:val="24"/>
          <w:lang w:val="vi-VN"/>
        </w:rPr>
      </w:pPr>
    </w:p>
    <w:p w14:paraId="1D9EC063" w14:textId="1EA7167E" w:rsidR="006638FE" w:rsidRPr="00802F1A" w:rsidRDefault="00877C39" w:rsidP="006638FE">
      <w:pPr>
        <w:jc w:val="both"/>
        <w:rPr>
          <w:rFonts w:cs="Times New Roman"/>
          <w:szCs w:val="24"/>
          <w:lang w:val="vi-VN"/>
        </w:rPr>
      </w:pPr>
      <w:r w:rsidRPr="00802F1A">
        <w:rPr>
          <w:rFonts w:eastAsiaTheme="minorEastAsia" w:cs="Times New Roman"/>
          <w:szCs w:val="24"/>
          <w:lang w:val="vi-VN"/>
        </w:rPr>
        <w:t xml:space="preserve">The transition parameter </w:t>
      </w:r>
      <w:r w:rsidR="002D487C" w:rsidRPr="00802F1A">
        <w:rPr>
          <w:rFonts w:cs="Times New Roman"/>
          <w:szCs w:val="24"/>
          <w:lang w:val="vi-VN"/>
        </w:rPr>
        <w:t>(</w:t>
      </w:r>
      <w:r w:rsidR="002D487C" w:rsidRPr="00802F1A">
        <w:rPr>
          <w:rFonts w:cs="Times New Roman"/>
          <w:i/>
          <w:iCs/>
          <w:szCs w:val="24"/>
        </w:rPr>
        <w:t>h</w:t>
      </w:r>
      <w:r w:rsidR="002D487C" w:rsidRPr="00802F1A">
        <w:rPr>
          <w:rFonts w:cs="Times New Roman"/>
          <w:i/>
          <w:iCs/>
          <w:szCs w:val="24"/>
          <w:vertAlign w:val="subscript"/>
        </w:rPr>
        <w:t>it</w:t>
      </w:r>
      <w:r w:rsidR="002D487C" w:rsidRPr="00802F1A">
        <w:rPr>
          <w:rFonts w:cs="Times New Roman"/>
          <w:szCs w:val="24"/>
          <w:lang w:val="vi-VN"/>
        </w:rPr>
        <w:t xml:space="preserve">) </w:t>
      </w:r>
      <w:r w:rsidR="00EA3959" w:rsidRPr="00802F1A">
        <w:rPr>
          <w:rFonts w:eastAsiaTheme="minorEastAsia" w:cs="Times New Roman"/>
          <w:szCs w:val="24"/>
          <w:lang w:val="vi-VN"/>
        </w:rPr>
        <w:t xml:space="preserve">is calculated to measure the transition path of country </w:t>
      </w:r>
      <w:r w:rsidR="00EA3959" w:rsidRPr="00802F1A">
        <w:rPr>
          <w:rFonts w:eastAsiaTheme="minorEastAsia" w:cs="Times New Roman"/>
          <w:i/>
          <w:iCs/>
          <w:szCs w:val="24"/>
          <w:lang w:val="vi-VN"/>
        </w:rPr>
        <w:t>i</w:t>
      </w:r>
      <w:r w:rsidR="00EA3959" w:rsidRPr="00802F1A">
        <w:rPr>
          <w:rFonts w:eastAsiaTheme="minorEastAsia" w:cs="Times New Roman"/>
          <w:szCs w:val="24"/>
          <w:lang w:val="vi-VN"/>
        </w:rPr>
        <w:t xml:space="preserve"> relative to the panel average. It is computed as follows:</w:t>
      </w:r>
    </w:p>
    <w:p w14:paraId="64014DD5" w14:textId="4AF85A2E" w:rsidR="00AE5993" w:rsidRPr="00802F1A" w:rsidRDefault="004F6E57" w:rsidP="00AE5993">
      <w:pPr>
        <w:jc w:val="center"/>
        <w:rPr>
          <w:rFonts w:cs="Times New Roman"/>
          <w:szCs w:val="24"/>
          <w:lang w:val="vi-VN"/>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it</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it</m:t>
                </m:r>
              </m:sub>
            </m:sSub>
          </m:num>
          <m:den>
            <m:f>
              <m:fPr>
                <m:type m:val="skw"/>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n</m:t>
                </m:r>
              </m:den>
            </m:f>
            <m:nary>
              <m:naryPr>
                <m:chr m:val="∑"/>
                <m:limLoc m:val="subSup"/>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it</m:t>
                    </m:r>
                  </m:sub>
                </m:sSub>
              </m:e>
            </m:nary>
          </m:den>
        </m:f>
        <m:r>
          <w:rPr>
            <w:rFonts w:ascii="Cambria Math" w:hAnsi="Cambria Math" w:cs="Times New Roman"/>
            <w:szCs w:val="24"/>
          </w:rPr>
          <m:t>=</m:t>
        </m:r>
        <m:f>
          <m:fPr>
            <m:ctrlPr>
              <w:rPr>
                <w:rFonts w:ascii="Cambria Math" w:hAnsi="Cambria Math" w:cs="Times New Roman"/>
                <w:i/>
                <w:szCs w:val="24"/>
              </w:rPr>
            </m:ctrlPr>
          </m:fPr>
          <m:num>
            <w:bookmarkStart w:id="3" w:name="_Hlk103964578"/>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it</m:t>
                </m:r>
              </m:sub>
            </m:sSub>
            <w:bookmarkEnd w:id="3"/>
          </m:num>
          <m:den>
            <m:f>
              <m:fPr>
                <m:type m:val="skw"/>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n</m:t>
                </m:r>
              </m:den>
            </m:f>
            <m:nary>
              <m:naryPr>
                <m:chr m:val="∑"/>
                <m:limLoc m:val="subSup"/>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it</m:t>
                    </m:r>
                  </m:sub>
                </m:sSub>
              </m:e>
            </m:nary>
          </m:den>
        </m:f>
      </m:oMath>
      <w:r w:rsidR="00AE5993" w:rsidRPr="00802F1A">
        <w:rPr>
          <w:rFonts w:eastAsiaTheme="minorEastAsia" w:cs="Times New Roman"/>
          <w:szCs w:val="24"/>
        </w:rPr>
        <w:t xml:space="preserve"> </w:t>
      </w:r>
      <w:r w:rsidR="00AE5993" w:rsidRPr="00802F1A">
        <w:rPr>
          <w:rFonts w:eastAsiaTheme="minorEastAsia" w:cs="Times New Roman"/>
          <w:szCs w:val="24"/>
        </w:rPr>
        <w:tab/>
      </w:r>
      <w:r w:rsidR="00AE5993" w:rsidRPr="00802F1A">
        <w:rPr>
          <w:rFonts w:eastAsiaTheme="minorEastAsia" w:cs="Times New Roman"/>
          <w:szCs w:val="24"/>
        </w:rPr>
        <w:tab/>
      </w:r>
      <w:r w:rsidR="00AE5993" w:rsidRPr="00802F1A">
        <w:rPr>
          <w:rFonts w:eastAsiaTheme="minorEastAsia" w:cs="Times New Roman"/>
          <w:szCs w:val="24"/>
        </w:rPr>
        <w:tab/>
      </w:r>
      <w:r w:rsidR="00894397" w:rsidRPr="00802F1A">
        <w:rPr>
          <w:rFonts w:eastAsiaTheme="minorEastAsia" w:cs="Times New Roman"/>
          <w:szCs w:val="24"/>
        </w:rPr>
        <w:tab/>
      </w:r>
      <w:r w:rsidR="00894397" w:rsidRPr="00802F1A">
        <w:rPr>
          <w:rFonts w:eastAsiaTheme="minorEastAsia" w:cs="Times New Roman"/>
          <w:szCs w:val="24"/>
        </w:rPr>
        <w:tab/>
      </w:r>
      <w:r w:rsidR="00AE5993" w:rsidRPr="00802F1A">
        <w:rPr>
          <w:rFonts w:eastAsiaTheme="minorEastAsia" w:cs="Times New Roman"/>
          <w:szCs w:val="24"/>
          <w:lang w:val="vi-VN"/>
        </w:rPr>
        <w:t>(2)</w:t>
      </w:r>
    </w:p>
    <w:p w14:paraId="0F5610E9" w14:textId="38E4C478" w:rsidR="000817CC" w:rsidRPr="00802F1A" w:rsidRDefault="003F4D22" w:rsidP="00D5133C">
      <w:pPr>
        <w:jc w:val="both"/>
        <w:rPr>
          <w:rFonts w:eastAsiaTheme="minorEastAsia"/>
          <w:noProof/>
          <w:szCs w:val="24"/>
        </w:rPr>
      </w:pPr>
      <w:r w:rsidRPr="00802F1A">
        <w:rPr>
          <w:noProof/>
        </w:rPr>
        <w:t>w</w:t>
      </w:r>
      <w:r w:rsidR="000817CC" w:rsidRPr="00802F1A">
        <w:rPr>
          <w:noProof/>
        </w:rPr>
        <w:t xml:space="preserve">here </w:t>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it</m:t>
            </m:r>
          </m:sub>
        </m:sSub>
      </m:oMath>
      <w:r w:rsidR="00081A81" w:rsidRPr="00802F1A">
        <w:rPr>
          <w:rFonts w:eastAsiaTheme="minorEastAsia"/>
          <w:noProof/>
          <w:szCs w:val="24"/>
        </w:rPr>
        <w:t xml:space="preserve"> </w:t>
      </w:r>
      <w:r w:rsidR="008B1C82" w:rsidRPr="00802F1A">
        <w:rPr>
          <w:rFonts w:eastAsiaTheme="minorEastAsia"/>
          <w:noProof/>
          <w:szCs w:val="24"/>
        </w:rPr>
        <w:t xml:space="preserve">represents one of the three variables of interest: energy diversification, financial development, or per-capita income for country </w:t>
      </w:r>
      <w:r w:rsidR="008B1C82" w:rsidRPr="00802F1A">
        <w:rPr>
          <w:rFonts w:eastAsiaTheme="minorEastAsia"/>
          <w:i/>
          <w:iCs/>
          <w:noProof/>
          <w:szCs w:val="24"/>
        </w:rPr>
        <w:t>i</w:t>
      </w:r>
      <w:r w:rsidR="008B1C82" w:rsidRPr="00802F1A">
        <w:rPr>
          <w:rFonts w:eastAsiaTheme="minorEastAsia"/>
          <w:noProof/>
          <w:szCs w:val="24"/>
        </w:rPr>
        <w:t xml:space="preserve"> in year </w:t>
      </w:r>
      <w:r w:rsidR="008B1C82" w:rsidRPr="00802F1A">
        <w:rPr>
          <w:rFonts w:eastAsiaTheme="minorEastAsia"/>
          <w:i/>
          <w:iCs/>
          <w:noProof/>
          <w:szCs w:val="24"/>
        </w:rPr>
        <w:t>t</w:t>
      </w:r>
      <w:r w:rsidR="00102A8B" w:rsidRPr="00802F1A">
        <w:rPr>
          <w:rFonts w:eastAsiaTheme="minorEastAsia"/>
          <w:noProof/>
          <w:szCs w:val="24"/>
        </w:rPr>
        <w:t xml:space="preserve">;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it</m:t>
            </m:r>
          </m:sub>
        </m:sSub>
      </m:oMath>
      <w:r w:rsidR="00081A81" w:rsidRPr="00802F1A">
        <w:rPr>
          <w:rFonts w:eastAsiaTheme="minorEastAsia"/>
          <w:noProof/>
          <w:szCs w:val="24"/>
        </w:rPr>
        <w:t xml:space="preserve"> </w:t>
      </w:r>
      <w:r w:rsidR="008B1C82" w:rsidRPr="00802F1A">
        <w:rPr>
          <w:rFonts w:eastAsiaTheme="minorEastAsia"/>
          <w:noProof/>
          <w:szCs w:val="24"/>
        </w:rPr>
        <w:t xml:space="preserve">represents the factor specific to </w:t>
      </w:r>
      <w:r w:rsidR="00635441" w:rsidRPr="00802F1A">
        <w:rPr>
          <w:rFonts w:eastAsiaTheme="minorEastAsia"/>
          <w:i/>
          <w:iCs/>
          <w:noProof/>
          <w:szCs w:val="24"/>
        </w:rPr>
        <w:t>i</w:t>
      </w:r>
      <w:r w:rsidR="00635441" w:rsidRPr="00802F1A">
        <w:rPr>
          <w:rFonts w:eastAsiaTheme="minorEastAsia"/>
          <w:noProof/>
          <w:szCs w:val="24"/>
        </w:rPr>
        <w:t xml:space="preserve"> in year </w:t>
      </w:r>
      <w:r w:rsidR="00635441" w:rsidRPr="00802F1A">
        <w:rPr>
          <w:rFonts w:eastAsiaTheme="minorEastAsia"/>
          <w:i/>
          <w:iCs/>
          <w:noProof/>
          <w:szCs w:val="24"/>
        </w:rPr>
        <w:t>t</w:t>
      </w:r>
      <w:r w:rsidR="008C35D4" w:rsidRPr="00802F1A">
        <w:rPr>
          <w:rFonts w:eastAsiaTheme="minorEastAsia"/>
          <w:noProof/>
          <w:szCs w:val="24"/>
        </w:rPr>
        <w:t>, which is measured by the economic distance between</w:t>
      </w:r>
      <w:r w:rsidR="00C45209" w:rsidRPr="00802F1A">
        <w:rPr>
          <w:rFonts w:eastAsiaTheme="minorEastAsia"/>
          <w:noProof/>
          <w:szCs w:val="24"/>
        </w:rPr>
        <w:t xml:space="preserve"> </w:t>
      </w: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it</m:t>
            </m:r>
          </m:sub>
        </m:sSub>
      </m:oMath>
      <w:r w:rsidR="00C45209" w:rsidRPr="00802F1A">
        <w:rPr>
          <w:rFonts w:eastAsiaTheme="minorEastAsia"/>
          <w:noProof/>
          <w:szCs w:val="24"/>
        </w:rPr>
        <w:t xml:space="preserve"> </w:t>
      </w:r>
      <w:r w:rsidR="00F923ED" w:rsidRPr="00802F1A">
        <w:rPr>
          <w:rFonts w:eastAsiaTheme="minorEastAsia"/>
          <w:noProof/>
          <w:szCs w:val="24"/>
        </w:rPr>
        <w:t>and the common factor (proxied by the cross-sectional average growth rate of all countries in any given year)</w:t>
      </w:r>
      <w:r w:rsidR="00584220" w:rsidRPr="00802F1A">
        <w:rPr>
          <w:rFonts w:eastAsiaTheme="minorEastAsia"/>
          <w:noProof/>
          <w:szCs w:val="24"/>
        </w:rPr>
        <w:t>.</w:t>
      </w:r>
    </w:p>
    <w:p w14:paraId="019D2F87" w14:textId="77777777" w:rsidR="00A92156" w:rsidRPr="00802F1A" w:rsidRDefault="00A92156" w:rsidP="00E4504E">
      <w:pPr>
        <w:jc w:val="both"/>
        <w:rPr>
          <w:noProof/>
        </w:rPr>
      </w:pPr>
    </w:p>
    <w:p w14:paraId="62783A04" w14:textId="5BEBD6D2" w:rsidR="002D0D54" w:rsidRPr="00802F1A" w:rsidRDefault="00145940" w:rsidP="00E4504E">
      <w:pPr>
        <w:jc w:val="both"/>
        <w:rPr>
          <w:rFonts w:cs="Times New Roman"/>
          <w:szCs w:val="24"/>
        </w:rPr>
      </w:pPr>
      <w:r w:rsidRPr="00802F1A">
        <w:rPr>
          <w:noProof/>
        </w:rPr>
        <w:t xml:space="preserve">The average value for </w:t>
      </w:r>
      <w:bookmarkStart w:id="4" w:name="_Hlk103963566"/>
      <w:r w:rsidRPr="00802F1A">
        <w:rPr>
          <w:rFonts w:cs="Times New Roman"/>
          <w:i/>
          <w:iCs/>
          <w:szCs w:val="24"/>
        </w:rPr>
        <w:t>h</w:t>
      </w:r>
      <w:r w:rsidRPr="00802F1A">
        <w:rPr>
          <w:rFonts w:cs="Times New Roman"/>
          <w:i/>
          <w:iCs/>
          <w:szCs w:val="24"/>
          <w:vertAlign w:val="subscript"/>
        </w:rPr>
        <w:t>it</w:t>
      </w:r>
      <w:r w:rsidR="00EA0848" w:rsidRPr="00802F1A">
        <w:rPr>
          <w:rFonts w:cs="Times New Roman"/>
          <w:szCs w:val="24"/>
          <w:vertAlign w:val="subscript"/>
        </w:rPr>
        <w:t xml:space="preserve"> </w:t>
      </w:r>
      <w:bookmarkEnd w:id="4"/>
      <w:r w:rsidR="00EA0848" w:rsidRPr="00802F1A">
        <w:rPr>
          <w:rFonts w:cs="Times New Roman"/>
          <w:szCs w:val="24"/>
        </w:rPr>
        <w:t xml:space="preserve">is 1, so </w:t>
      </w:r>
      <w:r w:rsidR="0057734B" w:rsidRPr="00802F1A">
        <w:rPr>
          <w:rFonts w:cs="Times New Roman"/>
          <w:szCs w:val="24"/>
        </w:rPr>
        <w:t xml:space="preserve">the cross-sectional </w:t>
      </w:r>
      <w:r w:rsidR="006A16D0" w:rsidRPr="00802F1A">
        <w:rPr>
          <w:rFonts w:cs="Times New Roman"/>
          <w:szCs w:val="24"/>
        </w:rPr>
        <w:t>difference</w:t>
      </w:r>
      <w:r w:rsidR="00C62622" w:rsidRPr="00802F1A">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t</m:t>
            </m:r>
          </m:sub>
        </m:sSub>
        <m:r>
          <w:rPr>
            <w:rFonts w:ascii="Cambria Math" w:hAnsi="Cambria Math" w:cs="Times New Roman"/>
            <w:szCs w:val="24"/>
          </w:rPr>
          <m:t>)</m:t>
        </m:r>
      </m:oMath>
      <w:r w:rsidR="006A16D0" w:rsidRPr="00802F1A">
        <w:rPr>
          <w:rFonts w:cs="Times New Roman"/>
          <w:szCs w:val="24"/>
        </w:rPr>
        <w:t xml:space="preserve"> </w:t>
      </w:r>
      <w:r w:rsidR="00E96757" w:rsidRPr="00802F1A">
        <w:rPr>
          <w:rFonts w:cs="Times New Roman"/>
          <w:szCs w:val="24"/>
        </w:rPr>
        <w:t>between</w:t>
      </w:r>
      <w:r w:rsidR="006A16D0" w:rsidRPr="00802F1A">
        <w:rPr>
          <w:rFonts w:cs="Times New Roman"/>
          <w:szCs w:val="24"/>
        </w:rPr>
        <w:t xml:space="preserve"> the relative </w:t>
      </w:r>
      <w:r w:rsidR="00E96757" w:rsidRPr="00802F1A">
        <w:rPr>
          <w:rFonts w:cs="Times New Roman"/>
          <w:szCs w:val="24"/>
        </w:rPr>
        <w:t xml:space="preserve">transition parameters </w:t>
      </w:r>
      <w:r w:rsidR="00E96757" w:rsidRPr="00802F1A">
        <w:rPr>
          <w:rFonts w:cs="Times New Roman"/>
          <w:i/>
          <w:iCs/>
          <w:szCs w:val="24"/>
        </w:rPr>
        <w:t>h</w:t>
      </w:r>
      <w:r w:rsidR="00E96757" w:rsidRPr="00802F1A">
        <w:rPr>
          <w:rFonts w:cs="Times New Roman"/>
          <w:i/>
          <w:iCs/>
          <w:szCs w:val="24"/>
          <w:vertAlign w:val="subscript"/>
        </w:rPr>
        <w:t>it</w:t>
      </w:r>
      <w:r w:rsidR="00E96757" w:rsidRPr="00802F1A">
        <w:rPr>
          <w:rFonts w:cs="Times New Roman"/>
          <w:i/>
          <w:iCs/>
          <w:szCs w:val="24"/>
        </w:rPr>
        <w:t xml:space="preserve"> </w:t>
      </w:r>
      <w:r w:rsidR="00E96757" w:rsidRPr="00802F1A">
        <w:rPr>
          <w:rFonts w:cs="Times New Roman"/>
          <w:szCs w:val="24"/>
        </w:rPr>
        <w:t xml:space="preserve">and </w:t>
      </w:r>
      <w:r w:rsidR="00475961" w:rsidRPr="00802F1A">
        <w:rPr>
          <w:rFonts w:cs="Times New Roman"/>
          <w:szCs w:val="24"/>
        </w:rPr>
        <w:t xml:space="preserve">their average </w:t>
      </w:r>
      <w:r w:rsidR="00FB3B55" w:rsidRPr="00802F1A">
        <w:rPr>
          <w:rFonts w:cs="Times New Roman"/>
          <w:szCs w:val="24"/>
        </w:rPr>
        <w:t xml:space="preserve">in any year </w:t>
      </w:r>
      <w:r w:rsidR="00993D29" w:rsidRPr="00802F1A">
        <w:rPr>
          <w:rFonts w:cs="Times New Roman"/>
          <w:szCs w:val="24"/>
        </w:rPr>
        <w:t>is</w:t>
      </w:r>
      <w:r w:rsidR="00FB3B55" w:rsidRPr="00802F1A">
        <w:rPr>
          <w:rFonts w:cs="Times New Roman"/>
          <w:szCs w:val="24"/>
        </w:rPr>
        <w:t xml:space="preserve"> defined as:</w:t>
      </w:r>
    </w:p>
    <w:p w14:paraId="5E61AF0C" w14:textId="090FECDC" w:rsidR="00FB3B55" w:rsidRPr="00802F1A" w:rsidRDefault="004F6E57" w:rsidP="00FC1526">
      <w:pPr>
        <w:jc w:val="center"/>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t</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n</m:t>
            </m:r>
          </m:den>
        </m:f>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N</m:t>
            </m:r>
          </m:sup>
          <m:e>
            <m:sSup>
              <m:sSupPr>
                <m:ctrlPr>
                  <w:rPr>
                    <w:rFonts w:ascii="Cambria Math" w:hAnsi="Cambria Math" w:cs="Times New Roman"/>
                    <w:i/>
                    <w:szCs w:val="24"/>
                  </w:rPr>
                </m:ctrlPr>
              </m:sSupPr>
              <m:e>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it</m:t>
                        </m:r>
                      </m:sub>
                    </m:sSub>
                    <m:r>
                      <w:rPr>
                        <w:rFonts w:ascii="Cambria Math" w:hAnsi="Cambria Math" w:cs="Times New Roman"/>
                        <w:szCs w:val="24"/>
                      </w:rPr>
                      <m:t>-1</m:t>
                    </m:r>
                  </m:e>
                </m:d>
              </m:e>
              <m:sup>
                <m:r>
                  <w:rPr>
                    <w:rFonts w:ascii="Cambria Math" w:hAnsi="Cambria Math" w:cs="Times New Roman"/>
                    <w:szCs w:val="24"/>
                  </w:rPr>
                  <m:t>2</m:t>
                </m:r>
              </m:sup>
            </m:sSup>
          </m:e>
        </m:nary>
      </m:oMath>
      <w:r w:rsidR="00280F65" w:rsidRPr="00802F1A">
        <w:rPr>
          <w:rFonts w:eastAsiaTheme="minorEastAsia" w:cs="Times New Roman"/>
          <w:szCs w:val="24"/>
        </w:rPr>
        <w:t xml:space="preserve">   </w:t>
      </w:r>
      <w:r w:rsidR="00FC1526" w:rsidRPr="00802F1A">
        <w:rPr>
          <w:rFonts w:eastAsiaTheme="minorEastAsia" w:cs="Times New Roman"/>
          <w:szCs w:val="24"/>
        </w:rPr>
        <w:tab/>
      </w:r>
      <w:r w:rsidR="00FC1526" w:rsidRPr="00802F1A">
        <w:rPr>
          <w:rFonts w:eastAsiaTheme="minorEastAsia" w:cs="Times New Roman"/>
          <w:szCs w:val="24"/>
        </w:rPr>
        <w:tab/>
      </w:r>
      <w:r w:rsidR="00FC1526" w:rsidRPr="00802F1A">
        <w:rPr>
          <w:rFonts w:eastAsiaTheme="minorEastAsia" w:cs="Times New Roman"/>
          <w:szCs w:val="24"/>
        </w:rPr>
        <w:tab/>
      </w:r>
      <w:r w:rsidR="00894397" w:rsidRPr="00802F1A">
        <w:rPr>
          <w:rFonts w:eastAsiaTheme="minorEastAsia" w:cs="Times New Roman"/>
          <w:szCs w:val="24"/>
        </w:rPr>
        <w:tab/>
      </w:r>
      <w:r w:rsidR="00894397" w:rsidRPr="00802F1A">
        <w:rPr>
          <w:rFonts w:eastAsiaTheme="minorEastAsia" w:cs="Times New Roman"/>
          <w:szCs w:val="24"/>
        </w:rPr>
        <w:tab/>
      </w:r>
      <w:r w:rsidR="00FC1526" w:rsidRPr="00802F1A">
        <w:rPr>
          <w:rFonts w:eastAsiaTheme="minorEastAsia" w:cs="Times New Roman"/>
          <w:szCs w:val="24"/>
        </w:rPr>
        <w:t>(3)</w:t>
      </w:r>
    </w:p>
    <w:p w14:paraId="16EA3B88" w14:textId="4C2E5F82" w:rsidR="00875B28" w:rsidRPr="00802F1A" w:rsidRDefault="009715C2" w:rsidP="00E4504E">
      <w:pPr>
        <w:jc w:val="both"/>
        <w:rPr>
          <w:rFonts w:cs="Times New Roman"/>
          <w:szCs w:val="24"/>
        </w:rPr>
      </w:pPr>
      <w:r w:rsidRPr="00802F1A">
        <w:rPr>
          <w:rFonts w:cs="Times New Roman"/>
          <w:szCs w:val="24"/>
        </w:rPr>
        <w:t xml:space="preserve">To test convergence, </w:t>
      </w:r>
      <w:r w:rsidR="00863361" w:rsidRPr="00802F1A">
        <w:rPr>
          <w:rFonts w:cs="Times New Roman"/>
          <w:szCs w:val="24"/>
        </w:rPr>
        <w:fldChar w:fldCharType="begin"/>
      </w:r>
      <w:r w:rsidR="00E771E2" w:rsidRPr="00802F1A">
        <w:rPr>
          <w:rFonts w:cs="Times New Roman"/>
          <w:szCs w:val="24"/>
        </w:rPr>
        <w:instrText xml:space="preserve"> ADDIN EN.CITE &lt;EndNote&gt;&lt;Cite AuthorYear="1"&gt;&lt;Author&gt;Phillips&lt;/Author&gt;&lt;Year&gt;2007&lt;/Year&gt;&lt;RecNum&gt;1596&lt;/RecNum&gt;&lt;DisplayText&gt;Phillips and Sul (2007)&lt;/DisplayText&gt;&lt;record&gt;&lt;rec-number&gt;1596&lt;/rec-number&gt;&lt;foreign-keys&gt;&lt;key app="EN" db-id="esvrve9x1d0a5gerpeuprwp0vtp2zxx2ssr9" timestamp="1641818196"&gt;1596&lt;/key&gt;&lt;/foreign-keys&gt;&lt;ref-type name="Journal Article"&gt;17&lt;/ref-type&gt;&lt;contributors&gt;&lt;authors&gt;&lt;author&gt;Phillips, Peter C. B.&lt;/author&gt;&lt;author&gt;Sul, Donggyu&lt;/author&gt;&lt;/authors&gt;&lt;/contributors&gt;&lt;titles&gt;&lt;title&gt;Transition modeling and econometric convergence tests&lt;/title&gt;&lt;secondary-title&gt;Econometrica&lt;/secondary-title&gt;&lt;/titles&gt;&lt;periodical&gt;&lt;full-title&gt;econometrica&lt;/full-title&gt;&lt;/periodical&gt;&lt;pages&gt;1771-1855&lt;/pages&gt;&lt;volume&gt;75&lt;/volume&gt;&lt;number&gt;6&lt;/number&gt;&lt;dates&gt;&lt;year&gt;2007&lt;/year&gt;&lt;/dates&gt;&lt;publisher&gt;Wiley Online Library&lt;/publisher&gt;&lt;isbn&gt;0012-9682&lt;/isbn&gt;&lt;urls&gt;&lt;/urls&gt;&lt;/record&gt;&lt;/Cite&gt;&lt;/EndNote&gt;</w:instrText>
      </w:r>
      <w:r w:rsidR="00863361" w:rsidRPr="00802F1A">
        <w:rPr>
          <w:rFonts w:cs="Times New Roman"/>
          <w:szCs w:val="24"/>
        </w:rPr>
        <w:fldChar w:fldCharType="separate"/>
      </w:r>
      <w:r w:rsidR="00E771E2" w:rsidRPr="00802F1A">
        <w:rPr>
          <w:rFonts w:cs="Times New Roman"/>
          <w:noProof/>
          <w:szCs w:val="24"/>
        </w:rPr>
        <w:t>Phillips and Sul (2007)</w:t>
      </w:r>
      <w:r w:rsidR="00863361" w:rsidRPr="00802F1A">
        <w:rPr>
          <w:rFonts w:cs="Times New Roman"/>
          <w:szCs w:val="24"/>
        </w:rPr>
        <w:fldChar w:fldCharType="end"/>
      </w:r>
      <w:r w:rsidR="00863361" w:rsidRPr="00802F1A">
        <w:rPr>
          <w:rFonts w:cs="Times New Roman"/>
          <w:szCs w:val="24"/>
        </w:rPr>
        <w:t xml:space="preserve"> </w:t>
      </w:r>
      <w:r w:rsidRPr="00802F1A">
        <w:rPr>
          <w:rFonts w:cs="Times New Roman"/>
          <w:szCs w:val="24"/>
        </w:rPr>
        <w:t>employ a log t regression framework, which is expressed as follows:</w:t>
      </w:r>
      <w:r w:rsidR="00863361" w:rsidRPr="00802F1A">
        <w:rPr>
          <w:rFonts w:cs="Times New Roman"/>
          <w:szCs w:val="24"/>
        </w:rPr>
        <w:t>:</w:t>
      </w:r>
    </w:p>
    <w:p w14:paraId="04BDE0FF" w14:textId="585F8464" w:rsidR="003772F0" w:rsidRPr="00802F1A" w:rsidRDefault="003772F0" w:rsidP="00894397">
      <w:pPr>
        <w:jc w:val="center"/>
        <w:rPr>
          <w:rFonts w:eastAsiaTheme="minorEastAsia" w:cs="Times New Roman"/>
          <w:szCs w:val="24"/>
        </w:rPr>
      </w:pPr>
      <w:bookmarkStart w:id="5" w:name="_Hlk103966253"/>
      <m:oMath>
        <m:r>
          <w:rPr>
            <w:rFonts w:ascii="Cambria Math" w:hAnsi="Cambria Math" w:cs="Times New Roman"/>
            <w:szCs w:val="24"/>
          </w:rPr>
          <m:t>ln</m:t>
        </m:r>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num>
              <m:den>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t</m:t>
                    </m:r>
                  </m:sub>
                </m:sSub>
              </m:den>
            </m:f>
          </m:e>
        </m:d>
        <w:bookmarkEnd w:id="5"/>
        <m:r>
          <w:rPr>
            <w:rFonts w:ascii="Cambria Math" w:hAnsi="Cambria Math" w:cs="Times New Roman"/>
            <w:szCs w:val="24"/>
          </w:rPr>
          <m:t>-2 log</m:t>
        </m:r>
        <m:d>
          <m:dPr>
            <m:ctrlPr>
              <w:rPr>
                <w:rFonts w:ascii="Cambria Math" w:hAnsi="Cambria Math" w:cs="Times New Roman"/>
                <w:i/>
                <w:szCs w:val="24"/>
              </w:rPr>
            </m:ctrlPr>
          </m:dPr>
          <m:e>
            <m:r>
              <m:rPr>
                <m:sty m:val="p"/>
              </m:rPr>
              <w:rPr>
                <w:rFonts w:ascii="Cambria Math" w:hAnsi="Cambria Math" w:cs="Times New Roman"/>
                <w:szCs w:val="24"/>
              </w:rPr>
              <m:t>log⁡</m:t>
            </m:r>
            <m:r>
              <w:rPr>
                <w:rFonts w:ascii="Cambria Math" w:hAnsi="Cambria Math" w:cs="Times New Roman"/>
                <w:szCs w:val="24"/>
              </w:rPr>
              <m:t>(t+1)</m:t>
            </m:r>
          </m:e>
        </m:d>
        <m:r>
          <w:rPr>
            <w:rFonts w:ascii="Cambria Math" w:hAnsi="Cambria Math" w:cs="Times New Roman"/>
            <w:szCs w:val="24"/>
          </w:rPr>
          <m:t>=θ+</m:t>
        </m:r>
        <w:bookmarkStart w:id="6" w:name="_Hlk92809688"/>
        <m:r>
          <w:rPr>
            <w:rFonts w:ascii="Cambria Math" w:hAnsi="Cambria Math" w:cs="Times New Roman"/>
            <w:szCs w:val="24"/>
          </w:rPr>
          <m:t>γ</m:t>
        </m:r>
        <w:bookmarkEnd w:id="6"/>
        <m:r>
          <w:rPr>
            <w:rFonts w:ascii="Cambria Math" w:hAnsi="Cambria Math" w:cs="Times New Roman"/>
            <w:szCs w:val="24"/>
          </w:rPr>
          <m:t xml:space="preserve"> log</m:t>
        </m:r>
        <m:r>
          <w:rPr>
            <w:rFonts w:ascii="Cambria Math" w:eastAsiaTheme="minorEastAsia" w:hAnsi="Cambria Math" w:cs="Times New Roman"/>
            <w:szCs w:val="24"/>
          </w:rPr>
          <m:t>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e</m:t>
            </m:r>
          </m:e>
          <m:sub>
            <m:r>
              <w:rPr>
                <w:rFonts w:ascii="Cambria Math" w:eastAsiaTheme="minorEastAsia" w:hAnsi="Cambria Math" w:cs="Times New Roman"/>
                <w:szCs w:val="24"/>
              </w:rPr>
              <m:t>t</m:t>
            </m:r>
          </m:sub>
        </m:sSub>
      </m:oMath>
      <w:r w:rsidRPr="00802F1A">
        <w:rPr>
          <w:rFonts w:eastAsiaTheme="minorEastAsia" w:cs="Times New Roman"/>
          <w:szCs w:val="24"/>
        </w:rPr>
        <w:t xml:space="preserve">  </w:t>
      </w:r>
      <w:r w:rsidR="00894397" w:rsidRPr="00802F1A">
        <w:rPr>
          <w:rFonts w:eastAsiaTheme="minorEastAsia" w:cs="Times New Roman"/>
          <w:szCs w:val="24"/>
        </w:rPr>
        <w:tab/>
      </w:r>
      <w:r w:rsidR="00894397" w:rsidRPr="00802F1A">
        <w:rPr>
          <w:rFonts w:eastAsiaTheme="minorEastAsia" w:cs="Times New Roman"/>
          <w:szCs w:val="24"/>
        </w:rPr>
        <w:tab/>
        <w:t>(4)</w:t>
      </w:r>
    </w:p>
    <w:p w14:paraId="0061CA36" w14:textId="200F24EC" w:rsidR="007F4A7B" w:rsidRPr="00802F1A" w:rsidRDefault="00E579A5" w:rsidP="00C059A0">
      <w:pPr>
        <w:jc w:val="both"/>
        <w:rPr>
          <w:rFonts w:eastAsiaTheme="minorEastAsia" w:cs="Times New Roman"/>
          <w:szCs w:val="24"/>
        </w:rPr>
      </w:pPr>
      <w:r w:rsidRPr="00802F1A">
        <w:rPr>
          <w:rFonts w:cs="Times New Roman"/>
          <w:szCs w:val="24"/>
        </w:rPr>
        <w:t xml:space="preserve">Convergence is observed when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t</m:t>
            </m:r>
          </m:sub>
        </m:sSub>
      </m:oMath>
      <w:r w:rsidR="00B25381" w:rsidRPr="00802F1A">
        <w:rPr>
          <w:rFonts w:eastAsiaTheme="minorEastAsia" w:cs="Times New Roman"/>
          <w:szCs w:val="24"/>
        </w:rPr>
        <w:t xml:space="preserve"> </w:t>
      </w:r>
      <w:r w:rsidR="003F576B" w:rsidRPr="00802F1A">
        <w:rPr>
          <w:rFonts w:eastAsiaTheme="minorEastAsia" w:cs="Times New Roman"/>
          <w:szCs w:val="24"/>
        </w:rPr>
        <w:t>declines over time, leading to an increase in</w:t>
      </w:r>
      <w:r w:rsidR="002E4DF5" w:rsidRPr="00802F1A">
        <w:rPr>
          <w:rFonts w:eastAsiaTheme="minorEastAsia" w:cs="Times New Roman"/>
          <w:szCs w:val="24"/>
        </w:rPr>
        <w:t xml:space="preserve"> </w:t>
      </w:r>
      <m:oMath>
        <m:r>
          <w:rPr>
            <w:rFonts w:ascii="Cambria Math" w:hAnsi="Cambria Math" w:cs="Times New Roman"/>
            <w:szCs w:val="24"/>
          </w:rPr>
          <m:t>ln</m:t>
        </m:r>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1</m:t>
                    </m:r>
                  </m:sub>
                </m:sSub>
              </m:num>
              <m:den>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t</m:t>
                    </m:r>
                  </m:sub>
                </m:sSub>
              </m:den>
            </m:f>
          </m:e>
        </m:d>
      </m:oMath>
      <w:r w:rsidR="003F576B" w:rsidRPr="00802F1A">
        <w:rPr>
          <w:rFonts w:eastAsiaTheme="minorEastAsia" w:cs="Times New Roman"/>
          <w:szCs w:val="24"/>
        </w:rPr>
        <w:t xml:space="preserve">. This requires a positive coefficient </w:t>
      </w:r>
      <m:oMath>
        <m:r>
          <w:rPr>
            <w:rFonts w:ascii="Cambria Math" w:hAnsi="Cambria Math" w:cs="Times New Roman"/>
            <w:szCs w:val="24"/>
          </w:rPr>
          <m:t>γ</m:t>
        </m:r>
      </m:oMath>
      <w:r w:rsidR="008A2CA9" w:rsidRPr="00802F1A">
        <w:rPr>
          <w:rFonts w:eastAsiaTheme="minorEastAsia" w:cs="Times New Roman"/>
          <w:szCs w:val="24"/>
        </w:rPr>
        <w:t xml:space="preserve"> </w:t>
      </w:r>
      <w:r w:rsidR="006238F6" w:rsidRPr="00802F1A">
        <w:rPr>
          <w:rFonts w:eastAsiaTheme="minorEastAsia" w:cs="Times New Roman"/>
          <w:szCs w:val="24"/>
        </w:rPr>
        <w:t>on the decay function</w:t>
      </w:r>
      <w:r w:rsidR="008A2CA9" w:rsidRPr="00802F1A">
        <w:rPr>
          <w:rFonts w:eastAsiaTheme="minorEastAsia" w:cs="Times New Roman"/>
          <w:szCs w:val="24"/>
        </w:rPr>
        <w:t xml:space="preserve"> </w:t>
      </w:r>
      <m:oMath>
        <m:r>
          <w:rPr>
            <w:rFonts w:ascii="Cambria Math" w:hAnsi="Cambria Math" w:cs="Times New Roman"/>
            <w:szCs w:val="24"/>
          </w:rPr>
          <m:t>log</m:t>
        </m:r>
        <m:r>
          <w:rPr>
            <w:rFonts w:ascii="Cambria Math" w:eastAsiaTheme="minorEastAsia" w:hAnsi="Cambria Math" w:cs="Times New Roman"/>
            <w:szCs w:val="24"/>
          </w:rPr>
          <m:t>t</m:t>
        </m:r>
      </m:oMath>
      <w:r w:rsidR="00A66E0D" w:rsidRPr="00802F1A">
        <w:rPr>
          <w:rFonts w:eastAsiaTheme="minorEastAsia" w:cs="Times New Roman"/>
          <w:szCs w:val="24"/>
        </w:rPr>
        <w:t xml:space="preserve">. </w:t>
      </w:r>
      <w:r w:rsidR="00412AF6" w:rsidRPr="00802F1A">
        <w:rPr>
          <w:rFonts w:eastAsiaTheme="minorEastAsia" w:cs="Times New Roman"/>
          <w:szCs w:val="24"/>
        </w:rPr>
        <w:t xml:space="preserve">If the </w:t>
      </w:r>
      <w:r w:rsidR="00412AF6" w:rsidRPr="00802F1A">
        <w:rPr>
          <w:rFonts w:eastAsiaTheme="minorEastAsia" w:cs="Times New Roman"/>
          <w:i/>
          <w:iCs/>
          <w:szCs w:val="24"/>
        </w:rPr>
        <w:t>t</w:t>
      </w:r>
      <w:r w:rsidR="00412AF6" w:rsidRPr="00802F1A">
        <w:rPr>
          <w:rFonts w:eastAsiaTheme="minorEastAsia" w:cs="Times New Roman"/>
          <w:szCs w:val="24"/>
        </w:rPr>
        <w:t>-statistic for the</w:t>
      </w:r>
      <w:r w:rsidR="003D1789" w:rsidRPr="00802F1A">
        <w:rPr>
          <w:rFonts w:eastAsiaTheme="minorEastAsia" w:cs="Times New Roman"/>
          <w:szCs w:val="24"/>
        </w:rPr>
        <w:t xml:space="preserve"> </w:t>
      </w:r>
      <m:oMath>
        <m:r>
          <w:rPr>
            <w:rFonts w:ascii="Cambria Math" w:hAnsi="Cambria Math" w:cs="Times New Roman"/>
            <w:szCs w:val="24"/>
          </w:rPr>
          <m:t>γ</m:t>
        </m:r>
      </m:oMath>
      <w:r w:rsidR="003D1789" w:rsidRPr="00802F1A">
        <w:rPr>
          <w:rFonts w:eastAsiaTheme="minorEastAsia" w:cs="Times New Roman"/>
          <w:szCs w:val="24"/>
        </w:rPr>
        <w:t xml:space="preserve"> coefficient </w:t>
      </w:r>
      <w:r w:rsidR="00412AF6" w:rsidRPr="00802F1A">
        <w:rPr>
          <w:rFonts w:eastAsiaTheme="minorEastAsia" w:cs="Times New Roman"/>
          <w:szCs w:val="24"/>
        </w:rPr>
        <w:lastRenderedPageBreak/>
        <w:t>is below -1.65, the null hypothesis of convergence</w:t>
      </w:r>
      <w:r w:rsidR="00F51511" w:rsidRPr="00802F1A">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0</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i</m:t>
            </m:r>
          </m:sub>
        </m:sSub>
      </m:oMath>
      <w:r w:rsidR="0061048E" w:rsidRPr="00802F1A">
        <w:rPr>
          <w:rFonts w:eastAsiaTheme="minorEastAsia" w:cs="Times New Roman"/>
          <w:szCs w:val="24"/>
        </w:rPr>
        <w:t>)</w:t>
      </w:r>
      <w:r w:rsidR="003D1789" w:rsidRPr="00802F1A">
        <w:rPr>
          <w:rFonts w:eastAsiaTheme="minorEastAsia" w:cs="Times New Roman"/>
          <w:szCs w:val="24"/>
        </w:rPr>
        <w:t xml:space="preserve"> </w:t>
      </w:r>
      <w:r w:rsidR="008770F3" w:rsidRPr="00802F1A">
        <w:rPr>
          <w:rFonts w:eastAsiaTheme="minorEastAsia" w:cs="Times New Roman"/>
          <w:szCs w:val="24"/>
        </w:rPr>
        <w:t>can be rejected at the 5% significance level.</w:t>
      </w:r>
      <w:r w:rsidR="00734C8F" w:rsidRPr="00802F1A">
        <w:rPr>
          <w:rFonts w:eastAsiaTheme="minorEastAsia" w:cs="Times New Roman"/>
          <w:szCs w:val="24"/>
        </w:rPr>
        <w:t xml:space="preserve"> </w:t>
      </w:r>
    </w:p>
    <w:p w14:paraId="3C2E28F4" w14:textId="77777777" w:rsidR="007F4A7B" w:rsidRPr="00802F1A" w:rsidRDefault="007F4A7B" w:rsidP="00734C8F">
      <w:pPr>
        <w:jc w:val="both"/>
        <w:rPr>
          <w:rFonts w:eastAsiaTheme="minorEastAsia" w:cs="Times New Roman"/>
          <w:szCs w:val="24"/>
        </w:rPr>
      </w:pPr>
    </w:p>
    <w:p w14:paraId="5A70440C" w14:textId="71E9B279" w:rsidR="00E51FF6" w:rsidRPr="00802F1A" w:rsidRDefault="00B03DAA" w:rsidP="005403DF">
      <w:pPr>
        <w:jc w:val="both"/>
        <w:rPr>
          <w:rFonts w:cs="Times New Roman"/>
          <w:szCs w:val="24"/>
        </w:rPr>
      </w:pPr>
      <w:r w:rsidRPr="00802F1A">
        <w:rPr>
          <w:rFonts w:cs="Times New Roman"/>
          <w:szCs w:val="24"/>
        </w:rPr>
        <w:t xml:space="preserve">The overall log t convergence test and initial club formation are conducted using </w:t>
      </w:r>
      <w:r w:rsidR="00020A03" w:rsidRPr="00802F1A">
        <w:rPr>
          <w:rFonts w:cs="Times New Roman"/>
          <w:szCs w:val="24"/>
        </w:rPr>
        <w:fldChar w:fldCharType="begin"/>
      </w:r>
      <w:r w:rsidR="00E771E2" w:rsidRPr="00802F1A">
        <w:rPr>
          <w:rFonts w:cs="Times New Roman"/>
          <w:szCs w:val="24"/>
        </w:rPr>
        <w:instrText xml:space="preserve"> ADDIN EN.CITE &lt;EndNote&gt;&lt;Cite AuthorYear="1"&gt;&lt;Author&gt;Phillips&lt;/Author&gt;&lt;Year&gt;2007&lt;/Year&gt;&lt;RecNum&gt;1596&lt;/RecNum&gt;&lt;DisplayText&gt;Phillips and Sul (2007)&lt;/DisplayText&gt;&lt;record&gt;&lt;rec-number&gt;1596&lt;/rec-number&gt;&lt;foreign-keys&gt;&lt;key app="EN" db-id="esvrve9x1d0a5gerpeuprwp0vtp2zxx2ssr9" timestamp="1641818196"&gt;1596&lt;/key&gt;&lt;/foreign-keys&gt;&lt;ref-type name="Journal Article"&gt;17&lt;/ref-type&gt;&lt;contributors&gt;&lt;authors&gt;&lt;author&gt;Phillips, Peter C. B.&lt;/author&gt;&lt;author&gt;Sul, Donggyu&lt;/author&gt;&lt;/authors&gt;&lt;/contributors&gt;&lt;titles&gt;&lt;title&gt;Transition modeling and econometric convergence tests&lt;/title&gt;&lt;secondary-title&gt;Econometrica&lt;/secondary-title&gt;&lt;/titles&gt;&lt;periodical&gt;&lt;full-title&gt;econometrica&lt;/full-title&gt;&lt;/periodical&gt;&lt;pages&gt;1771-1855&lt;/pages&gt;&lt;volume&gt;75&lt;/volume&gt;&lt;number&gt;6&lt;/number&gt;&lt;dates&gt;&lt;year&gt;2007&lt;/year&gt;&lt;/dates&gt;&lt;publisher&gt;Wiley Online Library&lt;/publisher&gt;&lt;isbn&gt;0012-9682&lt;/isbn&gt;&lt;urls&gt;&lt;/urls&gt;&lt;/record&gt;&lt;/Cite&gt;&lt;/EndNote&gt;</w:instrText>
      </w:r>
      <w:r w:rsidR="00020A03" w:rsidRPr="00802F1A">
        <w:rPr>
          <w:rFonts w:cs="Times New Roman"/>
          <w:szCs w:val="24"/>
        </w:rPr>
        <w:fldChar w:fldCharType="separate"/>
      </w:r>
      <w:r w:rsidR="00E771E2" w:rsidRPr="00802F1A">
        <w:rPr>
          <w:rFonts w:cs="Times New Roman"/>
          <w:noProof/>
          <w:szCs w:val="24"/>
        </w:rPr>
        <w:t>Phillips and Sul (2007)</w:t>
      </w:r>
      <w:r w:rsidR="00020A03" w:rsidRPr="00802F1A">
        <w:rPr>
          <w:rFonts w:cs="Times New Roman"/>
          <w:szCs w:val="24"/>
        </w:rPr>
        <w:fldChar w:fldCharType="end"/>
      </w:r>
      <w:r w:rsidRPr="00802F1A">
        <w:t xml:space="preserve"> </w:t>
      </w:r>
      <w:r w:rsidRPr="00802F1A">
        <w:rPr>
          <w:rFonts w:cs="Times New Roman"/>
          <w:szCs w:val="24"/>
        </w:rPr>
        <w:t>club convergence algorithm.</w:t>
      </w:r>
      <w:r w:rsidR="00020A03" w:rsidRPr="00802F1A">
        <w:rPr>
          <w:rFonts w:cs="Times New Roman"/>
          <w:szCs w:val="24"/>
        </w:rPr>
        <w:t xml:space="preserve"> </w:t>
      </w:r>
      <w:r w:rsidRPr="00802F1A">
        <w:rPr>
          <w:rFonts w:cs="Times New Roman"/>
          <w:szCs w:val="24"/>
        </w:rPr>
        <w:t>The final convergence clubs are identified using the club merging algorithm proposed by</w:t>
      </w:r>
      <w:r w:rsidR="00114A76" w:rsidRPr="00802F1A">
        <w:rPr>
          <w:rFonts w:cs="Times New Roman"/>
          <w:szCs w:val="24"/>
        </w:rPr>
        <w:t xml:space="preserve"> </w:t>
      </w:r>
      <w:r w:rsidR="00114A76" w:rsidRPr="00802F1A">
        <w:rPr>
          <w:rFonts w:cs="Times New Roman"/>
          <w:szCs w:val="24"/>
        </w:rPr>
        <w:fldChar w:fldCharType="begin"/>
      </w:r>
      <w:r w:rsidR="00E771E2" w:rsidRPr="00802F1A">
        <w:rPr>
          <w:rFonts w:cs="Times New Roman"/>
          <w:szCs w:val="24"/>
        </w:rPr>
        <w:instrText xml:space="preserve"> ADDIN EN.CITE &lt;EndNote&gt;&lt;Cite AuthorYear="1"&gt;&lt;Author&gt;Phillips&lt;/Author&gt;&lt;Year&gt;2009&lt;/Year&gt;&lt;RecNum&gt;1598&lt;/RecNum&gt;&lt;DisplayText&gt;Phillips and Sul (2009)&lt;/DisplayText&gt;&lt;record&gt;&lt;rec-number&gt;1598&lt;/rec-number&gt;&lt;foreign-keys&gt;&lt;key app="EN" db-id="esvrve9x1d0a5gerpeuprwp0vtp2zxx2ssr9" timestamp="1641818598"&gt;1598&lt;/key&gt;&lt;/foreign-keys&gt;&lt;ref-type name="Journal Article"&gt;17&lt;/ref-type&gt;&lt;contributors&gt;&lt;authors&gt;&lt;author&gt;Phillips, Peter C. B.&lt;/author&gt;&lt;author&gt;Sul, Donggyu&lt;/author&gt;&lt;/authors&gt;&lt;/contributors&gt;&lt;titles&gt;&lt;title&gt;Economic transition and growth&lt;/title&gt;&lt;secondary-title&gt;Journal of applied econometrics&lt;/secondary-title&gt;&lt;/titles&gt;&lt;periodical&gt;&lt;full-title&gt;Journal of applied econometrics&lt;/full-title&gt;&lt;/periodical&gt;&lt;pages&gt;1153-1185&lt;/pages&gt;&lt;volume&gt;24&lt;/volume&gt;&lt;number&gt;7&lt;/number&gt;&lt;dates&gt;&lt;year&gt;2009&lt;/year&gt;&lt;/dates&gt;&lt;publisher&gt;Wiley Online Library&lt;/publisher&gt;&lt;isbn&gt;0883-7252&lt;/isbn&gt;&lt;urls&gt;&lt;/urls&gt;&lt;/record&gt;&lt;/Cite&gt;&lt;/EndNote&gt;</w:instrText>
      </w:r>
      <w:r w:rsidR="00114A76" w:rsidRPr="00802F1A">
        <w:rPr>
          <w:rFonts w:cs="Times New Roman"/>
          <w:szCs w:val="24"/>
        </w:rPr>
        <w:fldChar w:fldCharType="separate"/>
      </w:r>
      <w:r w:rsidR="00E771E2" w:rsidRPr="00802F1A">
        <w:rPr>
          <w:rFonts w:cs="Times New Roman"/>
          <w:noProof/>
          <w:szCs w:val="24"/>
        </w:rPr>
        <w:t>Phillips and Sul (2009)</w:t>
      </w:r>
      <w:r w:rsidR="00114A76" w:rsidRPr="00802F1A">
        <w:rPr>
          <w:rFonts w:cs="Times New Roman"/>
          <w:szCs w:val="24"/>
        </w:rPr>
        <w:fldChar w:fldCharType="end"/>
      </w:r>
      <w:r w:rsidR="00EA6ECF" w:rsidRPr="00802F1A">
        <w:rPr>
          <w:rFonts w:cs="Times New Roman"/>
          <w:szCs w:val="24"/>
          <w:lang w:val="en-US"/>
        </w:rPr>
        <w:t>.</w:t>
      </w:r>
      <w:r w:rsidR="00E62FD8" w:rsidRPr="00802F1A">
        <w:rPr>
          <w:rFonts w:cs="Times New Roman"/>
          <w:szCs w:val="24"/>
          <w:lang w:val="en-US"/>
        </w:rPr>
        <w:t xml:space="preserve"> </w:t>
      </w:r>
      <w:r w:rsidR="00E62FD8" w:rsidRPr="00802F1A">
        <w:rPr>
          <w:rFonts w:cs="Times New Roman"/>
          <w:szCs w:val="24"/>
        </w:rPr>
        <w:t xml:space="preserve">To remove trend components from the data, the band pass filter introduced by </w:t>
      </w:r>
      <w:r w:rsidR="0002671F" w:rsidRPr="00802F1A">
        <w:rPr>
          <w:rFonts w:cs="Times New Roman"/>
          <w:szCs w:val="24"/>
        </w:rPr>
        <w:fldChar w:fldCharType="begin"/>
      </w:r>
      <w:r w:rsidR="00E771E2" w:rsidRPr="00802F1A">
        <w:rPr>
          <w:rFonts w:cs="Times New Roman"/>
          <w:szCs w:val="24"/>
        </w:rPr>
        <w:instrText xml:space="preserve"> ADDIN EN.CITE &lt;EndNote&gt;&lt;Cite AuthorYear="1"&gt;&lt;Author&gt;Christiano&lt;/Author&gt;&lt;Year&gt;2003&lt;/Year&gt;&lt;RecNum&gt;1732&lt;/RecNum&gt;&lt;DisplayText&gt;Christiano and Fitzgerald (2003)&lt;/DisplayText&gt;&lt;record&gt;&lt;rec-number&gt;1732&lt;/rec-number&gt;&lt;foreign-keys&gt;&lt;key app="EN" db-id="esvrve9x1d0a5gerpeuprwp0vtp2zxx2ssr9" timestamp="1655395340"&gt;1732&lt;/key&gt;&lt;/foreign-keys&gt;&lt;ref-type name="Journal Article"&gt;17&lt;/ref-type&gt;&lt;contributors&gt;&lt;authors&gt;&lt;author&gt;Christiano, Lawrence J.&lt;/author&gt;&lt;author&gt;Fitzgerald, Terry J.&lt;/author&gt;&lt;/authors&gt;&lt;/contributors&gt;&lt;titles&gt;&lt;title&gt;The band pass filter&lt;/title&gt;&lt;secondary-title&gt;international economic review&lt;/secondary-title&gt;&lt;/titles&gt;&lt;periodical&gt;&lt;full-title&gt;international economic review&lt;/full-title&gt;&lt;/periodical&gt;&lt;pages&gt;435-465&lt;/pages&gt;&lt;volume&gt;44&lt;/volume&gt;&lt;number&gt;2&lt;/number&gt;&lt;dates&gt;&lt;year&gt;2003&lt;/year&gt;&lt;/dates&gt;&lt;publisher&gt;Wiley Online Library&lt;/publisher&gt;&lt;isbn&gt;0020-6598&lt;/isbn&gt;&lt;urls&gt;&lt;/urls&gt;&lt;/record&gt;&lt;/Cite&gt;&lt;/EndNote&gt;</w:instrText>
      </w:r>
      <w:r w:rsidR="0002671F" w:rsidRPr="00802F1A">
        <w:rPr>
          <w:rFonts w:cs="Times New Roman"/>
          <w:szCs w:val="24"/>
        </w:rPr>
        <w:fldChar w:fldCharType="separate"/>
      </w:r>
      <w:r w:rsidR="00E771E2" w:rsidRPr="00802F1A">
        <w:rPr>
          <w:rFonts w:cs="Times New Roman"/>
          <w:noProof/>
          <w:szCs w:val="24"/>
        </w:rPr>
        <w:t>Christiano and Fitzgerald (2003)</w:t>
      </w:r>
      <w:r w:rsidR="0002671F" w:rsidRPr="00802F1A">
        <w:rPr>
          <w:rFonts w:cs="Times New Roman"/>
          <w:szCs w:val="24"/>
        </w:rPr>
        <w:fldChar w:fldCharType="end"/>
      </w:r>
      <w:r w:rsidR="0002671F" w:rsidRPr="00802F1A">
        <w:rPr>
          <w:rFonts w:cs="Times New Roman"/>
          <w:szCs w:val="24"/>
        </w:rPr>
        <w:t xml:space="preserve"> </w:t>
      </w:r>
      <w:r w:rsidR="00E62FD8" w:rsidRPr="00802F1A">
        <w:rPr>
          <w:rFonts w:cs="Times New Roman"/>
          <w:szCs w:val="24"/>
        </w:rPr>
        <w:t>is employed, and the first 30% of the data is discarded before running the log t regression</w:t>
      </w:r>
      <w:r w:rsidR="0001052C" w:rsidRPr="00802F1A">
        <w:rPr>
          <w:rFonts w:cs="Times New Roman"/>
          <w:szCs w:val="24"/>
        </w:rPr>
        <w:t>.</w:t>
      </w:r>
      <w:r w:rsidR="00323A0A" w:rsidRPr="00802F1A">
        <w:rPr>
          <w:rFonts w:cs="Times New Roman"/>
          <w:szCs w:val="24"/>
        </w:rPr>
        <w:t xml:space="preserve"> </w:t>
      </w:r>
      <w:r w:rsidR="000A526E" w:rsidRPr="00802F1A">
        <w:rPr>
          <w:rFonts w:cs="Times New Roman"/>
          <w:szCs w:val="24"/>
        </w:rPr>
        <w:t>The choice of the band pass filter over the common filter of</w:t>
      </w:r>
      <w:r w:rsidR="00AE0E85" w:rsidRPr="00802F1A">
        <w:rPr>
          <w:rFonts w:cs="Times New Roman"/>
          <w:szCs w:val="24"/>
        </w:rPr>
        <w:t xml:space="preserve"> </w:t>
      </w:r>
      <w:r w:rsidR="00B16D5C" w:rsidRPr="00802F1A">
        <w:rPr>
          <w:rFonts w:cs="Times New Roman"/>
          <w:szCs w:val="24"/>
        </w:rPr>
        <w:fldChar w:fldCharType="begin"/>
      </w:r>
      <w:r w:rsidR="00E771E2" w:rsidRPr="00802F1A">
        <w:rPr>
          <w:rFonts w:cs="Times New Roman"/>
          <w:szCs w:val="24"/>
        </w:rPr>
        <w:instrText xml:space="preserve"> ADDIN EN.CITE &lt;EndNote&gt;&lt;Cite AuthorYear="1"&gt;&lt;Author&gt;Hodrick&lt;/Author&gt;&lt;Year&gt;1997&lt;/Year&gt;&lt;RecNum&gt;1733&lt;/RecNum&gt;&lt;DisplayText&gt;Hodrick and Prescott (1997)&lt;/DisplayText&gt;&lt;record&gt;&lt;rec-number&gt;1733&lt;/rec-number&gt;&lt;foreign-keys&gt;&lt;key app="EN" db-id="esvrve9x1d0a5gerpeuprwp0vtp2zxx2ssr9" timestamp="1655395600"&gt;1733&lt;/key&gt;&lt;/foreign-keys&gt;&lt;ref-type name="Journal Article"&gt;17&lt;/ref-type&gt;&lt;contributors&gt;&lt;authors&gt;&lt;author&gt;Hodrick, Robert J.&lt;/author&gt;&lt;author&gt;Prescott, Edward C.&lt;/author&gt;&lt;/authors&gt;&lt;/contributors&gt;&lt;titles&gt;&lt;title&gt;Postwar US business cycles: an empirical investigation&lt;/title&gt;&lt;secondary-title&gt;Journal of Money, credit, and Banking&lt;/secondary-title&gt;&lt;/titles&gt;&lt;periodical&gt;&lt;full-title&gt;Journal of Money, credit, and Banking&lt;/full-title&gt;&lt;/periodical&gt;&lt;pages&gt;1-16&lt;/pages&gt;&lt;dates&gt;&lt;year&gt;1997&lt;/year&gt;&lt;/dates&gt;&lt;publisher&gt;JSTOR&lt;/publisher&gt;&lt;isbn&gt;0022-2879&lt;/isbn&gt;&lt;urls&gt;&lt;/urls&gt;&lt;/record&gt;&lt;/Cite&gt;&lt;/EndNote&gt;</w:instrText>
      </w:r>
      <w:r w:rsidR="00B16D5C" w:rsidRPr="00802F1A">
        <w:rPr>
          <w:rFonts w:cs="Times New Roman"/>
          <w:szCs w:val="24"/>
        </w:rPr>
        <w:fldChar w:fldCharType="separate"/>
      </w:r>
      <w:r w:rsidR="00E771E2" w:rsidRPr="00802F1A">
        <w:rPr>
          <w:rFonts w:cs="Times New Roman"/>
          <w:noProof/>
          <w:szCs w:val="24"/>
        </w:rPr>
        <w:t>Hodrick and Prescott (1997)</w:t>
      </w:r>
      <w:r w:rsidR="00B16D5C" w:rsidRPr="00802F1A">
        <w:rPr>
          <w:rFonts w:cs="Times New Roman"/>
          <w:szCs w:val="24"/>
        </w:rPr>
        <w:fldChar w:fldCharType="end"/>
      </w:r>
      <w:r w:rsidR="00087B24" w:rsidRPr="00802F1A">
        <w:rPr>
          <w:rFonts w:cs="Times New Roman"/>
          <w:szCs w:val="24"/>
        </w:rPr>
        <w:t xml:space="preserve"> </w:t>
      </w:r>
      <w:r w:rsidR="000A526E" w:rsidRPr="00802F1A">
        <w:rPr>
          <w:rFonts w:cs="Times New Roman"/>
          <w:szCs w:val="24"/>
        </w:rPr>
        <w:t>is made to avoid potential spurious dynamic associations</w:t>
      </w:r>
      <w:r w:rsidR="00E51FF6" w:rsidRPr="00802F1A">
        <w:rPr>
          <w:rFonts w:cs="Times New Roman"/>
          <w:szCs w:val="24"/>
        </w:rPr>
        <w:t xml:space="preserve"> </w:t>
      </w:r>
      <w:r w:rsidR="00D83DB0" w:rsidRPr="00802F1A">
        <w:rPr>
          <w:rFonts w:cs="Times New Roman"/>
          <w:szCs w:val="24"/>
        </w:rPr>
        <w:fldChar w:fldCharType="begin"/>
      </w:r>
      <w:r w:rsidR="00970C31" w:rsidRPr="00802F1A">
        <w:rPr>
          <w:rFonts w:cs="Times New Roman"/>
          <w:szCs w:val="24"/>
        </w:rPr>
        <w:instrText xml:space="preserve"> ADDIN EN.CITE &lt;EndNote&gt;&lt;Cite&gt;&lt;Author&gt;Hamilton&lt;/Author&gt;&lt;Year&gt;2018&lt;/Year&gt;&lt;RecNum&gt;1734&lt;/RecNum&gt;&lt;DisplayText&gt;(Hamilton, 2018)&lt;/DisplayText&gt;&lt;record&gt;&lt;rec-number&gt;1734&lt;/rec-number&gt;&lt;foreign-keys&gt;&lt;key app="EN" db-id="esvrve9x1d0a5gerpeuprwp0vtp2zxx2ssr9" timestamp="1655395868"&gt;1734&lt;/key&gt;&lt;/foreign-keys&gt;&lt;ref-type name="Journal Article"&gt;17&lt;/ref-type&gt;&lt;contributors&gt;&lt;authors&gt;&lt;author&gt;Hamilton, James D.&lt;/author&gt;&lt;/authors&gt;&lt;/contributors&gt;&lt;titles&gt;&lt;title&gt;Why You Should Never Use the Hodrick-Prescott Filter&lt;/title&gt;&lt;secondary-title&gt;The Review of Economics and Statistics&lt;/secondary-title&gt;&lt;/titles&gt;&lt;periodical&gt;&lt;full-title&gt;The Review of Economics and Statistics&lt;/full-title&gt;&lt;/periodical&gt;&lt;pages&gt;831-843&lt;/pages&gt;&lt;volume&gt;100&lt;/volume&gt;&lt;number&gt;5&lt;/number&gt;&lt;dates&gt;&lt;year&gt;2018&lt;/year&gt;&lt;/dates&gt;&lt;isbn&gt;0034-6535&lt;/isbn&gt;&lt;urls&gt;&lt;related-urls&gt;&lt;url&gt;https://doi.org/10.1162/rest_a_00706&lt;/url&gt;&lt;/related-urls&gt;&lt;/urls&gt;&lt;electronic-resource-num&gt;10.1162/rest_a_00706&lt;/electronic-resource-num&gt;&lt;access-date&gt;6/16/2022&lt;/access-date&gt;&lt;/record&gt;&lt;/Cite&gt;&lt;/EndNote&gt;</w:instrText>
      </w:r>
      <w:r w:rsidR="00D83DB0" w:rsidRPr="00802F1A">
        <w:rPr>
          <w:rFonts w:cs="Times New Roman"/>
          <w:szCs w:val="24"/>
        </w:rPr>
        <w:fldChar w:fldCharType="separate"/>
      </w:r>
      <w:r w:rsidR="00970C31" w:rsidRPr="00802F1A">
        <w:rPr>
          <w:rFonts w:cs="Times New Roman"/>
          <w:noProof/>
          <w:szCs w:val="24"/>
        </w:rPr>
        <w:t>(Hamilton, 2018)</w:t>
      </w:r>
      <w:r w:rsidR="00D83DB0" w:rsidRPr="00802F1A">
        <w:rPr>
          <w:rFonts w:cs="Times New Roman"/>
          <w:szCs w:val="24"/>
        </w:rPr>
        <w:fldChar w:fldCharType="end"/>
      </w:r>
      <w:r w:rsidR="00D83DB0" w:rsidRPr="00802F1A">
        <w:rPr>
          <w:rFonts w:cs="Times New Roman"/>
          <w:szCs w:val="24"/>
        </w:rPr>
        <w:t>.</w:t>
      </w:r>
    </w:p>
    <w:p w14:paraId="0452C029" w14:textId="3C7D9C6E" w:rsidR="00E94C15" w:rsidRPr="00802F1A" w:rsidRDefault="00593F97" w:rsidP="00D83DB0">
      <w:pPr>
        <w:jc w:val="both"/>
        <w:rPr>
          <w:rFonts w:cs="Times New Roman"/>
          <w:szCs w:val="24"/>
          <w:lang w:val="en-US"/>
        </w:rPr>
      </w:pPr>
      <w:r w:rsidRPr="00802F1A">
        <w:rPr>
          <w:rFonts w:cs="Times New Roman"/>
          <w:szCs w:val="24"/>
        </w:rPr>
        <w:t xml:space="preserve"> </w:t>
      </w:r>
    </w:p>
    <w:p w14:paraId="160EB973" w14:textId="68261793" w:rsidR="00FC3305" w:rsidRPr="00802F1A" w:rsidRDefault="00467170" w:rsidP="0053308A">
      <w:pPr>
        <w:pStyle w:val="Heading3"/>
        <w:rPr>
          <w:lang w:val="en-US"/>
        </w:rPr>
      </w:pPr>
      <w:r w:rsidRPr="00802F1A">
        <w:rPr>
          <w:lang w:val="en-US"/>
        </w:rPr>
        <w:t>Interrelationships</w:t>
      </w:r>
    </w:p>
    <w:p w14:paraId="30AA6028" w14:textId="1E7B7B39" w:rsidR="00033740" w:rsidRPr="00802F1A" w:rsidRDefault="00917F23" w:rsidP="00832EE7">
      <w:pPr>
        <w:jc w:val="both"/>
        <w:rPr>
          <w:rFonts w:cs="Times New Roman"/>
          <w:szCs w:val="24"/>
          <w:lang w:val="en-US"/>
        </w:rPr>
      </w:pPr>
      <w:r w:rsidRPr="00802F1A">
        <w:rPr>
          <w:rFonts w:cs="Times New Roman"/>
          <w:szCs w:val="24"/>
          <w:lang w:val="en-US"/>
        </w:rPr>
        <w:t>To examine the causal relationship between energy diversification, financial development, and per-capita income, we utilize the Granger causality procedure proposed by</w:t>
      </w:r>
      <w:r w:rsidR="00EF002D" w:rsidRPr="00802F1A">
        <w:rPr>
          <w:rFonts w:cs="Times New Roman"/>
          <w:szCs w:val="24"/>
          <w:lang w:val="en-US"/>
        </w:rPr>
        <w:t xml:space="preserve"> </w:t>
      </w:r>
      <w:r w:rsidR="005948D3" w:rsidRPr="00802F1A">
        <w:rPr>
          <w:rFonts w:cs="Times New Roman"/>
          <w:szCs w:val="24"/>
          <w:lang w:val="en-US"/>
        </w:rPr>
        <w:fldChar w:fldCharType="begin"/>
      </w:r>
      <w:r w:rsidR="004F33E9" w:rsidRPr="00802F1A">
        <w:rPr>
          <w:rFonts w:cs="Times New Roman"/>
          <w:szCs w:val="24"/>
          <w:lang w:val="en-US"/>
        </w:rPr>
        <w:instrText xml:space="preserve"> ADDIN EN.CITE &lt;EndNote&gt;&lt;Cite AuthorYear="1"&gt;&lt;Author&gt;Dumitrescu&lt;/Author&gt;&lt;Year&gt;2012&lt;/Year&gt;&lt;RecNum&gt;1123&lt;/RecNum&gt;&lt;DisplayText&gt;Dumitrescu and Hurlin (2012)&lt;/DisplayText&gt;&lt;record&gt;&lt;rec-number&gt;1123&lt;/rec-number&gt;&lt;foreign-keys&gt;&lt;key app="EN" db-id="s0x0022p9x5xtlep5rz5rpxd9d0spafr5tx2" timestamp="0"&gt;1123&lt;/key&gt;&lt;/foreign-keys&gt;&lt;ref-type name="Journal Article"&gt;17&lt;/ref-type&gt;&lt;contributors&gt;&lt;authors&gt;&lt;author&gt;Dumitrescu, Elena-Ivona&lt;/author&gt;&lt;author&gt;Hurlin, Christophe&lt;/author&gt;&lt;/authors&gt;&lt;/contributors&gt;&lt;titles&gt;&lt;title&gt;Testing for Granger non-causality in heterogeneous panels&lt;/title&gt;&lt;secondary-title&gt;Economic Modelling&lt;/secondary-title&gt;&lt;/titles&gt;&lt;periodical&gt;&lt;full-title&gt;Economic Modelling&lt;/full-title&gt;&lt;/periodical&gt;&lt;pages&gt;1450-1460&lt;/pages&gt;&lt;volume&gt;29&lt;/volume&gt;&lt;number&gt;4&lt;/number&gt;&lt;dates&gt;&lt;year&gt;2012&lt;/year&gt;&lt;/dates&gt;&lt;publisher&gt;Elsevier&lt;/publisher&gt;&lt;isbn&gt;0264-9993&lt;/isbn&gt;&lt;urls&gt;&lt;/urls&gt;&lt;/record&gt;&lt;/Cite&gt;&lt;/EndNote&gt;</w:instrText>
      </w:r>
      <w:r w:rsidR="005948D3" w:rsidRPr="00802F1A">
        <w:rPr>
          <w:rFonts w:cs="Times New Roman"/>
          <w:szCs w:val="24"/>
          <w:lang w:val="en-US"/>
        </w:rPr>
        <w:fldChar w:fldCharType="separate"/>
      </w:r>
      <w:r w:rsidR="00E771E2" w:rsidRPr="00802F1A">
        <w:rPr>
          <w:rFonts w:cs="Times New Roman"/>
          <w:noProof/>
          <w:szCs w:val="24"/>
          <w:lang w:val="en-US"/>
        </w:rPr>
        <w:t>Dumitrescu and Hurlin (2012)</w:t>
      </w:r>
      <w:r w:rsidR="005948D3" w:rsidRPr="00802F1A">
        <w:rPr>
          <w:rFonts w:cs="Times New Roman"/>
          <w:szCs w:val="24"/>
          <w:lang w:val="en-US"/>
        </w:rPr>
        <w:fldChar w:fldCharType="end"/>
      </w:r>
      <w:r w:rsidR="003F4D22" w:rsidRPr="00802F1A">
        <w:rPr>
          <w:rFonts w:cs="Times New Roman"/>
          <w:szCs w:val="24"/>
          <w:lang w:val="en-US"/>
        </w:rPr>
        <w:t>,</w:t>
      </w:r>
      <w:r w:rsidR="00CA4EEE" w:rsidRPr="00802F1A">
        <w:t xml:space="preserve"> </w:t>
      </w:r>
      <w:r w:rsidRPr="00802F1A">
        <w:rPr>
          <w:lang w:val="vi-VN"/>
        </w:rPr>
        <w:t xml:space="preserve">which involves model averaging. </w:t>
      </w:r>
      <w:r w:rsidR="00E230CA" w:rsidRPr="00802F1A">
        <w:rPr>
          <w:rFonts w:cs="Times New Roman"/>
          <w:szCs w:val="24"/>
          <w:lang w:val="en-US"/>
        </w:rPr>
        <w:t>Before conducting the Granger causality analysis, it is necessary to check the stationarity of the variables. To do this, we employ various methods, including Levin-Lin-Chu (LLC)</w:t>
      </w:r>
      <w:r w:rsidR="00841D34" w:rsidRPr="00802F1A">
        <w:rPr>
          <w:rFonts w:cs="Times New Roman"/>
          <w:szCs w:val="24"/>
          <w:lang w:val="en-US"/>
        </w:rPr>
        <w:t xml:space="preserve"> </w:t>
      </w:r>
      <w:r w:rsidR="00841D34" w:rsidRPr="00802F1A">
        <w:rPr>
          <w:rFonts w:cs="Times New Roman"/>
          <w:szCs w:val="24"/>
          <w:lang w:val="en-US"/>
        </w:rPr>
        <w:fldChar w:fldCharType="begin"/>
      </w:r>
      <w:r w:rsidR="00B46FEA" w:rsidRPr="00802F1A">
        <w:rPr>
          <w:rFonts w:cs="Times New Roman"/>
          <w:szCs w:val="24"/>
          <w:lang w:val="en-US"/>
        </w:rPr>
        <w:instrText xml:space="preserve"> ADDIN EN.CITE &lt;EndNote&gt;&lt;Cite&gt;&lt;Author&gt;Levin&lt;/Author&gt;&lt;Year&gt;2002&lt;/Year&gt;&lt;RecNum&gt;1120&lt;/RecNum&gt;&lt;DisplayText&gt;(Levin&lt;style face="italic"&gt; et al.&lt;/style&gt;, 2002)&lt;/DisplayText&gt;&lt;record&gt;&lt;rec-number&gt;1120&lt;/rec-number&gt;&lt;foreign-keys&gt;&lt;key app="EN" db-id="s0x0022p9x5xtlep5rz5rpxd9d0spafr5tx2" timestamp="0"&gt;1120&lt;/key&gt;&lt;/foreign-keys&gt;&lt;ref-type name="Journal Article"&gt;17&lt;/ref-type&gt;&lt;contributors&gt;&lt;authors&gt;&lt;author&gt;Levin, Andrew&lt;/author&gt;&lt;author&gt;Lin, Chien-Fu&lt;/author&gt;&lt;author&gt;Chu, Chia-Shang James&lt;/author&gt;&lt;/authors&gt;&lt;/contributors&gt;&lt;titles&gt;&lt;title&gt;Unit root tests in panel data: asymptotic and finite-sample properties&lt;/title&gt;&lt;secondary-title&gt;Journal of econometrics&lt;/secondary-title&gt;&lt;/titles&gt;&lt;pages&gt;1-24&lt;/pages&gt;&lt;volume&gt;108&lt;/volume&gt;&lt;number&gt;1&lt;/number&gt;&lt;dates&gt;&lt;year&gt;2002&lt;/year&gt;&lt;/dates&gt;&lt;publisher&gt;Elsevier&lt;/publisher&gt;&lt;isbn&gt;0304-4076&lt;/isbn&gt;&lt;urls&gt;&lt;/urls&gt;&lt;/record&gt;&lt;/Cite&gt;&lt;/EndNote&gt;</w:instrText>
      </w:r>
      <w:r w:rsidR="00841D34" w:rsidRPr="00802F1A">
        <w:rPr>
          <w:rFonts w:cs="Times New Roman"/>
          <w:szCs w:val="24"/>
          <w:lang w:val="en-US"/>
        </w:rPr>
        <w:fldChar w:fldCharType="separate"/>
      </w:r>
      <w:r w:rsidR="00B46FEA" w:rsidRPr="00802F1A">
        <w:rPr>
          <w:rFonts w:cs="Times New Roman"/>
          <w:noProof/>
          <w:szCs w:val="24"/>
          <w:lang w:val="en-US"/>
        </w:rPr>
        <w:t>(Levin</w:t>
      </w:r>
      <w:r w:rsidR="00B46FEA" w:rsidRPr="00802F1A">
        <w:rPr>
          <w:rFonts w:cs="Times New Roman"/>
          <w:i/>
          <w:noProof/>
          <w:szCs w:val="24"/>
          <w:lang w:val="en-US"/>
        </w:rPr>
        <w:t xml:space="preserve"> et al.</w:t>
      </w:r>
      <w:r w:rsidR="00B46FEA" w:rsidRPr="00802F1A">
        <w:rPr>
          <w:rFonts w:cs="Times New Roman"/>
          <w:noProof/>
          <w:szCs w:val="24"/>
          <w:lang w:val="en-US"/>
        </w:rPr>
        <w:t>, 2002)</w:t>
      </w:r>
      <w:r w:rsidR="00841D34" w:rsidRPr="00802F1A">
        <w:rPr>
          <w:rFonts w:cs="Times New Roman"/>
          <w:szCs w:val="24"/>
          <w:lang w:val="en-US"/>
        </w:rPr>
        <w:fldChar w:fldCharType="end"/>
      </w:r>
      <w:r w:rsidR="00E536EE" w:rsidRPr="00802F1A">
        <w:rPr>
          <w:rFonts w:cs="Times New Roman"/>
          <w:szCs w:val="24"/>
          <w:lang w:val="en-US"/>
        </w:rPr>
        <w:t xml:space="preserve">, </w:t>
      </w:r>
      <w:proofErr w:type="spellStart"/>
      <w:r w:rsidR="00E536EE" w:rsidRPr="00802F1A">
        <w:rPr>
          <w:rFonts w:cs="Times New Roman"/>
          <w:szCs w:val="24"/>
          <w:lang w:val="en-US"/>
        </w:rPr>
        <w:t>Breitung</w:t>
      </w:r>
      <w:proofErr w:type="spellEnd"/>
      <w:r w:rsidR="002F258C" w:rsidRPr="00802F1A">
        <w:rPr>
          <w:rFonts w:cs="Times New Roman"/>
          <w:szCs w:val="24"/>
          <w:lang w:val="en-US"/>
        </w:rPr>
        <w:t xml:space="preserve"> </w:t>
      </w:r>
      <w:r w:rsidR="003060DB" w:rsidRPr="00802F1A">
        <w:rPr>
          <w:rFonts w:cs="Times New Roman"/>
          <w:szCs w:val="24"/>
          <w:lang w:val="en-US"/>
        </w:rPr>
        <w:fldChar w:fldCharType="begin"/>
      </w:r>
      <w:r w:rsidR="00970C31" w:rsidRPr="00802F1A">
        <w:rPr>
          <w:rFonts w:cs="Times New Roman"/>
          <w:szCs w:val="24"/>
          <w:lang w:val="en-US"/>
        </w:rPr>
        <w:instrText xml:space="preserve"> ADDIN EN.CITE &lt;EndNote&gt;&lt;Cite&gt;&lt;Author&gt;Breitung&lt;/Author&gt;&lt;Year&gt;2001&lt;/Year&gt;&lt;RecNum&gt;1653&lt;/RecNum&gt;&lt;DisplayText&gt;(Breitung, 2001)&lt;/DisplayText&gt;&lt;record&gt;&lt;rec-number&gt;1653&lt;/rec-number&gt;&lt;foreign-keys&gt;&lt;key app="EN" db-id="esvrve9x1d0a5gerpeuprwp0vtp2zxx2ssr9" timestamp="1652112437"&gt;1653&lt;/key&gt;&lt;/foreign-keys&gt;&lt;ref-type name="Book Section"&gt;5&lt;/ref-type&gt;&lt;contributors&gt;&lt;authors&gt;&lt;author&gt;Breitung, Jörg&lt;/author&gt;&lt;/authors&gt;&lt;/contributors&gt;&lt;titles&gt;&lt;title&gt;The local power of some unit root tests for panel data&lt;/title&gt;&lt;secondary-title&gt;Nonstationary panels, panel cointegration, and dynamic panels&lt;/secondary-title&gt;&lt;/titles&gt;&lt;dates&gt;&lt;year&gt;2001&lt;/year&gt;&lt;/dates&gt;&lt;publisher&gt;Emerald Group Publishing Limited&lt;/publisher&gt;&lt;isbn&gt;0762306882&lt;/isbn&gt;&lt;urls&gt;&lt;/urls&gt;&lt;/record&gt;&lt;/Cite&gt;&lt;/EndNote&gt;</w:instrText>
      </w:r>
      <w:r w:rsidR="003060DB" w:rsidRPr="00802F1A">
        <w:rPr>
          <w:rFonts w:cs="Times New Roman"/>
          <w:szCs w:val="24"/>
          <w:lang w:val="en-US"/>
        </w:rPr>
        <w:fldChar w:fldCharType="separate"/>
      </w:r>
      <w:r w:rsidR="00970C31" w:rsidRPr="00802F1A">
        <w:rPr>
          <w:rFonts w:cs="Times New Roman"/>
          <w:noProof/>
          <w:szCs w:val="24"/>
          <w:lang w:val="en-US"/>
        </w:rPr>
        <w:t>(Breitung, 2001)</w:t>
      </w:r>
      <w:r w:rsidR="003060DB" w:rsidRPr="00802F1A">
        <w:rPr>
          <w:rFonts w:cs="Times New Roman"/>
          <w:szCs w:val="24"/>
          <w:lang w:val="en-US"/>
        </w:rPr>
        <w:fldChar w:fldCharType="end"/>
      </w:r>
      <w:r w:rsidR="00E536EE" w:rsidRPr="00802F1A">
        <w:rPr>
          <w:rFonts w:cs="Times New Roman"/>
          <w:szCs w:val="24"/>
          <w:lang w:val="en-US"/>
        </w:rPr>
        <w:t xml:space="preserve">, </w:t>
      </w:r>
      <w:proofErr w:type="spellStart"/>
      <w:r w:rsidR="00354E1C" w:rsidRPr="00802F1A">
        <w:rPr>
          <w:rFonts w:cs="Times New Roman"/>
          <w:szCs w:val="24"/>
          <w:lang w:val="en-US"/>
        </w:rPr>
        <w:t>Im</w:t>
      </w:r>
      <w:proofErr w:type="spellEnd"/>
      <w:r w:rsidR="00354E1C" w:rsidRPr="00802F1A">
        <w:rPr>
          <w:rFonts w:cs="Times New Roman"/>
          <w:szCs w:val="24"/>
          <w:lang w:val="en-US"/>
        </w:rPr>
        <w:t>-</w:t>
      </w:r>
      <w:proofErr w:type="spellStart"/>
      <w:r w:rsidR="00354E1C" w:rsidRPr="00802F1A">
        <w:rPr>
          <w:rFonts w:cs="Times New Roman"/>
          <w:szCs w:val="24"/>
          <w:lang w:val="en-US"/>
        </w:rPr>
        <w:t>Pesaran</w:t>
      </w:r>
      <w:proofErr w:type="spellEnd"/>
      <w:r w:rsidR="00354E1C" w:rsidRPr="00802F1A">
        <w:rPr>
          <w:rFonts w:cs="Times New Roman"/>
          <w:szCs w:val="24"/>
          <w:lang w:val="en-US"/>
        </w:rPr>
        <w:t>-Shin (IPS)</w:t>
      </w:r>
      <w:r w:rsidR="002D59A8" w:rsidRPr="00802F1A">
        <w:rPr>
          <w:rFonts w:cs="Times New Roman"/>
          <w:szCs w:val="24"/>
          <w:lang w:val="en-US"/>
        </w:rPr>
        <w:t xml:space="preserve"> </w:t>
      </w:r>
      <w:r w:rsidR="003166A0" w:rsidRPr="00802F1A">
        <w:rPr>
          <w:rFonts w:cs="Times New Roman"/>
          <w:szCs w:val="24"/>
          <w:lang w:val="en-US"/>
        </w:rPr>
        <w:fldChar w:fldCharType="begin"/>
      </w:r>
      <w:r w:rsidR="00B46FEA" w:rsidRPr="00802F1A">
        <w:rPr>
          <w:rFonts w:cs="Times New Roman"/>
          <w:szCs w:val="24"/>
          <w:lang w:val="en-US"/>
        </w:rPr>
        <w:instrText xml:space="preserve"> ADDIN EN.CITE &lt;EndNote&gt;&lt;Cite&gt;&lt;Author&gt;Im&lt;/Author&gt;&lt;Year&gt;2003&lt;/Year&gt;&lt;RecNum&gt;1121&lt;/RecNum&gt;&lt;DisplayText&gt;(Im&lt;style face="italic"&gt; et al.&lt;/style&gt;, 2003)&lt;/DisplayText&gt;&lt;record&gt;&lt;rec-number&gt;1121&lt;/rec-number&gt;&lt;foreign-keys&gt;&lt;key app="EN" db-id="s0x0022p9x5xtlep5rz5rpxd9d0spafr5tx2" timestamp="0"&gt;1121&lt;/key&gt;&lt;/foreign-keys&gt;&lt;ref-type name="Journal Article"&gt;17&lt;/ref-type&gt;&lt;contributors&gt;&lt;authors&gt;&lt;author&gt;Im, Kyung So&lt;/author&gt;&lt;author&gt;Pesaran, M. Hashem&lt;/author&gt;&lt;author&gt;Shin, Yongcheol&lt;/author&gt;&lt;/authors&gt;&lt;/contributors&gt;&lt;titles&gt;&lt;title&gt;Testing for unit roots in heterogeneous panels&lt;/title&gt;&lt;secondary-title&gt;Journal of econometrics&lt;/secondary-title&gt;&lt;/titles&gt;&lt;pages&gt;53-74&lt;/pages&gt;&lt;volume&gt;115&lt;/volume&gt;&lt;number&gt;1&lt;/number&gt;&lt;dates&gt;&lt;year&gt;2003&lt;/year&gt;&lt;/dates&gt;&lt;publisher&gt;Elsevier&lt;/publisher&gt;&lt;isbn&gt;0304-4076&lt;/isbn&gt;&lt;urls&gt;&lt;/urls&gt;&lt;/record&gt;&lt;/Cite&gt;&lt;/EndNote&gt;</w:instrText>
      </w:r>
      <w:r w:rsidR="003166A0" w:rsidRPr="00802F1A">
        <w:rPr>
          <w:rFonts w:cs="Times New Roman"/>
          <w:szCs w:val="24"/>
          <w:lang w:val="en-US"/>
        </w:rPr>
        <w:fldChar w:fldCharType="separate"/>
      </w:r>
      <w:r w:rsidR="00B46FEA" w:rsidRPr="00802F1A">
        <w:rPr>
          <w:rFonts w:cs="Times New Roman"/>
          <w:noProof/>
          <w:szCs w:val="24"/>
          <w:lang w:val="en-US"/>
        </w:rPr>
        <w:t>(Im</w:t>
      </w:r>
      <w:r w:rsidR="00B46FEA" w:rsidRPr="00802F1A">
        <w:rPr>
          <w:rFonts w:cs="Times New Roman"/>
          <w:i/>
          <w:noProof/>
          <w:szCs w:val="24"/>
          <w:lang w:val="en-US"/>
        </w:rPr>
        <w:t xml:space="preserve"> et al.</w:t>
      </w:r>
      <w:r w:rsidR="00B46FEA" w:rsidRPr="00802F1A">
        <w:rPr>
          <w:rFonts w:cs="Times New Roman"/>
          <w:noProof/>
          <w:szCs w:val="24"/>
          <w:lang w:val="en-US"/>
        </w:rPr>
        <w:t>, 2003)</w:t>
      </w:r>
      <w:r w:rsidR="003166A0" w:rsidRPr="00802F1A">
        <w:rPr>
          <w:rFonts w:cs="Times New Roman"/>
          <w:szCs w:val="24"/>
          <w:lang w:val="en-US"/>
        </w:rPr>
        <w:fldChar w:fldCharType="end"/>
      </w:r>
      <w:r w:rsidR="00354E1C" w:rsidRPr="00802F1A">
        <w:rPr>
          <w:rFonts w:cs="Times New Roman"/>
          <w:szCs w:val="24"/>
          <w:lang w:val="en-US"/>
        </w:rPr>
        <w:t xml:space="preserve">, </w:t>
      </w:r>
      <w:bookmarkStart w:id="7" w:name="_Hlk103034193"/>
      <w:r w:rsidR="00A712D5" w:rsidRPr="00802F1A">
        <w:rPr>
          <w:rFonts w:cs="Times New Roman"/>
          <w:szCs w:val="24"/>
          <w:lang w:val="en-US"/>
        </w:rPr>
        <w:t>Fisher</w:t>
      </w:r>
      <w:bookmarkEnd w:id="7"/>
      <w:r w:rsidR="00FB41E4" w:rsidRPr="00802F1A">
        <w:rPr>
          <w:rFonts w:cs="Times New Roman"/>
          <w:szCs w:val="24"/>
          <w:lang w:val="en-US"/>
        </w:rPr>
        <w:t>-</w:t>
      </w:r>
      <w:r w:rsidR="00A712D5" w:rsidRPr="00802F1A">
        <w:rPr>
          <w:rFonts w:cs="Times New Roman"/>
          <w:szCs w:val="24"/>
          <w:lang w:val="en-US"/>
        </w:rPr>
        <w:t>Dickey-Fuller (Fisher-DF)</w:t>
      </w:r>
      <w:r w:rsidR="009B3546" w:rsidRPr="00802F1A">
        <w:rPr>
          <w:rFonts w:cs="Times New Roman"/>
          <w:szCs w:val="24"/>
          <w:lang w:val="en-US"/>
        </w:rPr>
        <w:t xml:space="preserve"> </w:t>
      </w:r>
      <w:r w:rsidR="009B3546" w:rsidRPr="00802F1A">
        <w:rPr>
          <w:rFonts w:cs="Times New Roman"/>
          <w:szCs w:val="24"/>
          <w:lang w:val="en-US"/>
        </w:rPr>
        <w:fldChar w:fldCharType="begin"/>
      </w:r>
      <w:r w:rsidR="00970C31" w:rsidRPr="00802F1A">
        <w:rPr>
          <w:rFonts w:cs="Times New Roman"/>
          <w:szCs w:val="24"/>
          <w:lang w:val="en-US"/>
        </w:rPr>
        <w:instrText xml:space="preserve"> ADDIN EN.CITE &lt;EndNote&gt;&lt;Cite&gt;&lt;Author&gt;Dickey&lt;/Author&gt;&lt;Year&gt;1979&lt;/Year&gt;&lt;RecNum&gt;1656&lt;/RecNum&gt;&lt;DisplayText&gt;(Dickey and Fuller, 1979)&lt;/DisplayText&gt;&lt;record&gt;&lt;rec-number&gt;1656&lt;/rec-number&gt;&lt;foreign-keys&gt;&lt;key app="EN" db-id="esvrve9x1d0a5gerpeuprwp0vtp2zxx2ssr9" timestamp="1652112860"&gt;1656&lt;/key&gt;&lt;/foreign-keys&gt;&lt;ref-type name="Journal Article"&gt;17&lt;/ref-type&gt;&lt;contributors&gt;&lt;authors&gt;&lt;author&gt;Dickey, David A.&lt;/author&gt;&lt;author&gt;Fuller, Wayne A.&lt;/author&gt;&lt;/authors&gt;&lt;/contributors&gt;&lt;titles&gt;&lt;title&gt;Distribution of the estimators for autoregressive time series with a unit root&lt;/title&gt;&lt;secondary-title&gt;Journal of the American statistical association&lt;/secondary-title&gt;&lt;/titles&gt;&lt;periodical&gt;&lt;full-title&gt;Journal of the American statistical association&lt;/full-title&gt;&lt;/periodical&gt;&lt;pages&gt;427-431&lt;/pages&gt;&lt;volume&gt;74&lt;/volume&gt;&lt;number&gt;366a&lt;/number&gt;&lt;dates&gt;&lt;year&gt;1979&lt;/year&gt;&lt;/dates&gt;&lt;publisher&gt;Taylor &amp;amp; Francis&lt;/publisher&gt;&lt;isbn&gt;0162-1459&lt;/isbn&gt;&lt;urls&gt;&lt;/urls&gt;&lt;/record&gt;&lt;/Cite&gt;&lt;/EndNote&gt;</w:instrText>
      </w:r>
      <w:r w:rsidR="009B3546" w:rsidRPr="00802F1A">
        <w:rPr>
          <w:rFonts w:cs="Times New Roman"/>
          <w:szCs w:val="24"/>
          <w:lang w:val="en-US"/>
        </w:rPr>
        <w:fldChar w:fldCharType="separate"/>
      </w:r>
      <w:r w:rsidR="00970C31" w:rsidRPr="00802F1A">
        <w:rPr>
          <w:rFonts w:cs="Times New Roman"/>
          <w:noProof/>
          <w:szCs w:val="24"/>
          <w:lang w:val="en-US"/>
        </w:rPr>
        <w:t>(Dickey and Fuller, 1979)</w:t>
      </w:r>
      <w:r w:rsidR="009B3546" w:rsidRPr="00802F1A">
        <w:rPr>
          <w:rFonts w:cs="Times New Roman"/>
          <w:szCs w:val="24"/>
          <w:lang w:val="en-US"/>
        </w:rPr>
        <w:fldChar w:fldCharType="end"/>
      </w:r>
      <w:r w:rsidR="00B571B2" w:rsidRPr="00802F1A">
        <w:rPr>
          <w:rFonts w:cs="Times New Roman"/>
          <w:szCs w:val="24"/>
          <w:lang w:val="en-US"/>
        </w:rPr>
        <w:t xml:space="preserve">, and </w:t>
      </w:r>
      <w:r w:rsidR="001931C4" w:rsidRPr="00802F1A">
        <w:rPr>
          <w:rFonts w:cs="Times New Roman"/>
          <w:szCs w:val="24"/>
          <w:lang w:val="en-US"/>
        </w:rPr>
        <w:t>Fisher-Phillips-Perron</w:t>
      </w:r>
      <w:r w:rsidR="00957953" w:rsidRPr="00802F1A">
        <w:rPr>
          <w:rFonts w:cs="Times New Roman"/>
          <w:szCs w:val="24"/>
          <w:lang w:val="en-US"/>
        </w:rPr>
        <w:t xml:space="preserve"> </w:t>
      </w:r>
      <w:r w:rsidR="0024572B" w:rsidRPr="00802F1A">
        <w:rPr>
          <w:rFonts w:cs="Times New Roman"/>
          <w:szCs w:val="24"/>
          <w:lang w:val="en-US"/>
        </w:rPr>
        <w:t xml:space="preserve">(Fisher-PP) </w:t>
      </w:r>
      <w:r w:rsidR="00F653E9" w:rsidRPr="00802F1A">
        <w:rPr>
          <w:rFonts w:cs="Times New Roman"/>
          <w:szCs w:val="24"/>
          <w:lang w:val="en-US"/>
        </w:rPr>
        <w:fldChar w:fldCharType="begin"/>
      </w:r>
      <w:r w:rsidR="00970C31" w:rsidRPr="00802F1A">
        <w:rPr>
          <w:rFonts w:cs="Times New Roman"/>
          <w:szCs w:val="24"/>
          <w:lang w:val="en-US"/>
        </w:rPr>
        <w:instrText xml:space="preserve"> ADDIN EN.CITE &lt;EndNote&gt;&lt;Cite&gt;&lt;Author&gt;Phillips&lt;/Author&gt;&lt;Year&gt;1988&lt;/Year&gt;&lt;RecNum&gt;1658&lt;/RecNum&gt;&lt;DisplayText&gt;(Phillips and Perron, 1988)&lt;/DisplayText&gt;&lt;record&gt;&lt;rec-number&gt;1658&lt;/rec-number&gt;&lt;foreign-keys&gt;&lt;key app="EN" db-id="esvrve9x1d0a5gerpeuprwp0vtp2zxx2ssr9" timestamp="1652113101"&gt;1658&lt;/key&gt;&lt;/foreign-keys&gt;&lt;ref-type name="Journal Article"&gt;17&lt;/ref-type&gt;&lt;contributors&gt;&lt;authors&gt;&lt;author&gt;Phillips, Peter C. B.&lt;/author&gt;&lt;author&gt;Perron, Pierre&lt;/author&gt;&lt;/authors&gt;&lt;/contributors&gt;&lt;titles&gt;&lt;title&gt;Testing for a unit root in time series regression&lt;/title&gt;&lt;secondary-title&gt;Biometrika&lt;/secondary-title&gt;&lt;/titles&gt;&lt;periodical&gt;&lt;full-title&gt;Biometrika&lt;/full-title&gt;&lt;/periodical&gt;&lt;pages&gt;335-346&lt;/pages&gt;&lt;volume&gt;75&lt;/volume&gt;&lt;number&gt;2&lt;/number&gt;&lt;dates&gt;&lt;year&gt;1988&lt;/year&gt;&lt;/dates&gt;&lt;publisher&gt;Oxford University Press&lt;/publisher&gt;&lt;isbn&gt;1464-3510&lt;/isbn&gt;&lt;urls&gt;&lt;/urls&gt;&lt;/record&gt;&lt;/Cite&gt;&lt;/EndNote&gt;</w:instrText>
      </w:r>
      <w:r w:rsidR="00F653E9" w:rsidRPr="00802F1A">
        <w:rPr>
          <w:rFonts w:cs="Times New Roman"/>
          <w:szCs w:val="24"/>
          <w:lang w:val="en-US"/>
        </w:rPr>
        <w:fldChar w:fldCharType="separate"/>
      </w:r>
      <w:r w:rsidR="00970C31" w:rsidRPr="00802F1A">
        <w:rPr>
          <w:rFonts w:cs="Times New Roman"/>
          <w:noProof/>
          <w:szCs w:val="24"/>
          <w:lang w:val="en-US"/>
        </w:rPr>
        <w:t>(Phillips and Perron, 1988)</w:t>
      </w:r>
      <w:r w:rsidR="00F653E9" w:rsidRPr="00802F1A">
        <w:rPr>
          <w:rFonts w:cs="Times New Roman"/>
          <w:szCs w:val="24"/>
          <w:lang w:val="en-US"/>
        </w:rPr>
        <w:fldChar w:fldCharType="end"/>
      </w:r>
      <w:r w:rsidR="00FE2F7C" w:rsidRPr="00802F1A">
        <w:rPr>
          <w:rFonts w:cs="Times New Roman"/>
          <w:szCs w:val="24"/>
          <w:lang w:val="en-US"/>
        </w:rPr>
        <w:t>,</w:t>
      </w:r>
      <w:r w:rsidR="00E230CA" w:rsidRPr="00802F1A">
        <w:t xml:space="preserve"> </w:t>
      </w:r>
      <w:r w:rsidR="00E230CA" w:rsidRPr="00802F1A">
        <w:rPr>
          <w:rFonts w:cs="Times New Roman"/>
          <w:szCs w:val="24"/>
          <w:lang w:val="en-US"/>
        </w:rPr>
        <w:t>both at the level and first difference forms</w:t>
      </w:r>
      <w:r w:rsidR="00C70224" w:rsidRPr="00802F1A">
        <w:rPr>
          <w:rFonts w:cs="Times New Roman"/>
          <w:szCs w:val="24"/>
          <w:lang w:val="en-US"/>
        </w:rPr>
        <w:t>.</w:t>
      </w:r>
      <w:r w:rsidR="00D62375" w:rsidRPr="00802F1A">
        <w:rPr>
          <w:rFonts w:cs="Times New Roman"/>
          <w:szCs w:val="24"/>
          <w:lang w:val="en-US"/>
        </w:rPr>
        <w:t xml:space="preserve"> </w:t>
      </w:r>
      <w:r w:rsidR="00033740" w:rsidRPr="00802F1A">
        <w:rPr>
          <w:rFonts w:cs="Times New Roman"/>
          <w:szCs w:val="24"/>
          <w:lang w:val="en-US"/>
        </w:rPr>
        <w:t xml:space="preserve">The Granger causality model </w:t>
      </w:r>
      <w:r w:rsidR="00D35496" w:rsidRPr="00802F1A">
        <w:rPr>
          <w:rFonts w:cs="Times New Roman"/>
          <w:szCs w:val="24"/>
          <w:lang w:val="en-US"/>
        </w:rPr>
        <w:t>is expressed as</w:t>
      </w:r>
      <w:r w:rsidR="007509CE" w:rsidRPr="00802F1A">
        <w:t xml:space="preserve"> </w:t>
      </w:r>
      <w:r w:rsidR="007509CE" w:rsidRPr="00802F1A">
        <w:rPr>
          <w:rFonts w:cs="Times New Roman"/>
          <w:szCs w:val="24"/>
          <w:lang w:val="en-US"/>
        </w:rPr>
        <w:t>follows:</w:t>
      </w:r>
    </w:p>
    <w:p w14:paraId="58C3478C" w14:textId="09D5F0C4" w:rsidR="00033740" w:rsidRPr="00802F1A" w:rsidRDefault="004F6E57" w:rsidP="00921FBA">
      <w:pPr>
        <w:jc w:val="center"/>
        <w:rPr>
          <w:rFonts w:cs="Times New Roman"/>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i</m:t>
            </m:r>
          </m:sub>
        </m:sSub>
        <m:r>
          <w:rPr>
            <w:rFonts w:ascii="Cambria Math" w:hAnsi="Cambria Math" w:cs="Times New Roman"/>
            <w:szCs w:val="24"/>
            <w:lang w:val="en-US"/>
          </w:rPr>
          <m:t>+</m:t>
        </m:r>
        <m:nary>
          <m:naryPr>
            <m:chr m:val="∑"/>
            <m:limLoc m:val="undOvr"/>
            <m:ctrlPr>
              <w:rPr>
                <w:rFonts w:ascii="Cambria Math" w:hAnsi="Cambria Math" w:cs="Times New Roman"/>
                <w:i/>
                <w:szCs w:val="24"/>
                <w:lang w:val="en-US"/>
              </w:rPr>
            </m:ctrlPr>
          </m:naryPr>
          <m:sub>
            <m:r>
              <w:rPr>
                <w:rFonts w:ascii="Cambria Math" w:hAnsi="Cambria Math" w:cs="Times New Roman"/>
                <w:szCs w:val="24"/>
                <w:lang w:val="en-US"/>
              </w:rPr>
              <m:t>k=1</m:t>
            </m:r>
          </m:sub>
          <m:sup>
            <m:r>
              <w:rPr>
                <w:rFonts w:ascii="Cambria Math" w:hAnsi="Cambria Math" w:cs="Times New Roman"/>
                <w:szCs w:val="24"/>
                <w:lang w:val="en-US"/>
              </w:rPr>
              <m:t>K</m:t>
            </m:r>
          </m:sup>
          <m:e>
            <m:sSubSup>
              <m:sSubSupPr>
                <m:ctrlPr>
                  <w:rPr>
                    <w:rFonts w:ascii="Cambria Math" w:hAnsi="Cambria Math" w:cs="Times New Roman"/>
                    <w:i/>
                    <w:szCs w:val="24"/>
                    <w:lang w:val="en-US"/>
                  </w:rPr>
                </m:ctrlPr>
              </m:sSubSupPr>
              <m:e>
                <m:r>
                  <w:rPr>
                    <w:rFonts w:ascii="Cambria Math" w:hAnsi="Cambria Math" w:cs="Times New Roman"/>
                    <w:szCs w:val="24"/>
                    <w:lang w:val="en-US"/>
                  </w:rPr>
                  <m:t>γ</m:t>
                </m:r>
              </m:e>
              <m:sub>
                <m:r>
                  <w:rPr>
                    <w:rFonts w:ascii="Cambria Math" w:hAnsi="Cambria Math" w:cs="Times New Roman"/>
                    <w:szCs w:val="24"/>
                    <w:lang w:val="en-US"/>
                  </w:rPr>
                  <m:t>i</m:t>
                </m:r>
              </m:sub>
              <m:sup>
                <m:r>
                  <w:rPr>
                    <w:rFonts w:ascii="Cambria Math" w:hAnsi="Cambria Math" w:cs="Times New Roman"/>
                    <w:szCs w:val="24"/>
                    <w:lang w:val="en-US"/>
                  </w:rPr>
                  <m:t>(k)</m:t>
                </m:r>
              </m:sup>
            </m:sSubSup>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i,t-k</m:t>
                </m:r>
              </m:sub>
            </m:sSub>
            <m:r>
              <w:rPr>
                <w:rFonts w:ascii="Cambria Math" w:hAnsi="Cambria Math" w:cs="Times New Roman"/>
                <w:szCs w:val="24"/>
                <w:lang w:val="en-US"/>
              </w:rPr>
              <m:t>+</m:t>
            </m:r>
            <m:nary>
              <m:naryPr>
                <m:chr m:val="∑"/>
                <m:limLoc m:val="undOvr"/>
                <m:ctrlPr>
                  <w:rPr>
                    <w:rFonts w:ascii="Cambria Math" w:hAnsi="Cambria Math" w:cs="Times New Roman"/>
                    <w:i/>
                    <w:szCs w:val="24"/>
                    <w:lang w:val="en-US"/>
                  </w:rPr>
                </m:ctrlPr>
              </m:naryPr>
              <m:sub>
                <m:r>
                  <w:rPr>
                    <w:rFonts w:ascii="Cambria Math" w:hAnsi="Cambria Math" w:cs="Times New Roman"/>
                    <w:szCs w:val="24"/>
                    <w:lang w:val="en-US"/>
                  </w:rPr>
                  <m:t>k=1</m:t>
                </m:r>
              </m:sub>
              <m:sup>
                <m:r>
                  <w:rPr>
                    <w:rFonts w:ascii="Cambria Math" w:hAnsi="Cambria Math" w:cs="Times New Roman"/>
                    <w:szCs w:val="24"/>
                    <w:lang w:val="en-US"/>
                  </w:rPr>
                  <m:t>K</m:t>
                </m:r>
              </m:sup>
              <m:e>
                <m:sSubSup>
                  <m:sSubSupPr>
                    <m:ctrlPr>
                      <w:rPr>
                        <w:rFonts w:ascii="Cambria Math" w:hAnsi="Cambria Math" w:cs="Times New Roman"/>
                        <w:i/>
                        <w:szCs w:val="24"/>
                        <w:lang w:val="en-US"/>
                      </w:rPr>
                    </m:ctrlPr>
                  </m:sSubSupPr>
                  <m:e>
                    <m:r>
                      <w:rPr>
                        <w:rFonts w:ascii="Cambria Math" w:hAnsi="Cambria Math" w:cs="Times New Roman"/>
                        <w:szCs w:val="24"/>
                        <w:lang w:val="en-US"/>
                      </w:rPr>
                      <m:t>β</m:t>
                    </m:r>
                  </m:e>
                  <m:sub>
                    <m:r>
                      <w:rPr>
                        <w:rFonts w:ascii="Cambria Math" w:hAnsi="Cambria Math" w:cs="Times New Roman"/>
                        <w:szCs w:val="24"/>
                        <w:lang w:val="en-US"/>
                      </w:rPr>
                      <m:t>i</m:t>
                    </m:r>
                  </m:sub>
                  <m:sup>
                    <m:r>
                      <w:rPr>
                        <w:rFonts w:ascii="Cambria Math" w:hAnsi="Cambria Math" w:cs="Times New Roman"/>
                        <w:szCs w:val="24"/>
                        <w:lang w:val="en-US"/>
                      </w:rPr>
                      <m:t>(k)</m:t>
                    </m:r>
                  </m:sup>
                </m:sSubSup>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i,t-k</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ϵ</m:t>
                    </m:r>
                  </m:e>
                  <m:sub>
                    <m:r>
                      <w:rPr>
                        <w:rFonts w:ascii="Cambria Math" w:hAnsi="Cambria Math" w:cs="Times New Roman"/>
                        <w:szCs w:val="24"/>
                        <w:lang w:val="en-US"/>
                      </w:rPr>
                      <m:t>i,t</m:t>
                    </m:r>
                  </m:sub>
                </m:sSub>
              </m:e>
            </m:nary>
          </m:e>
        </m:nary>
      </m:oMath>
      <w:r w:rsidR="00FB19F2" w:rsidRPr="00802F1A">
        <w:rPr>
          <w:rFonts w:eastAsiaTheme="minorEastAsia" w:cs="Times New Roman"/>
          <w:szCs w:val="24"/>
          <w:lang w:val="en-US"/>
        </w:rPr>
        <w:t xml:space="preserve"> </w:t>
      </w:r>
      <w:r w:rsidR="00921FBA" w:rsidRPr="00802F1A">
        <w:rPr>
          <w:rFonts w:eastAsiaTheme="minorEastAsia" w:cs="Times New Roman"/>
          <w:szCs w:val="24"/>
          <w:lang w:val="en-US"/>
        </w:rPr>
        <w:t xml:space="preserve">                 (</w:t>
      </w:r>
      <w:r w:rsidR="007842AE" w:rsidRPr="00802F1A">
        <w:rPr>
          <w:rFonts w:eastAsiaTheme="minorEastAsia" w:cs="Times New Roman"/>
          <w:szCs w:val="24"/>
          <w:lang w:val="en-US"/>
        </w:rPr>
        <w:t>5</w:t>
      </w:r>
      <w:r w:rsidR="00921FBA" w:rsidRPr="00802F1A">
        <w:rPr>
          <w:rFonts w:eastAsiaTheme="minorEastAsia" w:cs="Times New Roman"/>
          <w:szCs w:val="24"/>
          <w:lang w:val="en-US"/>
        </w:rPr>
        <w:t>)</w:t>
      </w:r>
    </w:p>
    <w:p w14:paraId="4354ADA2" w14:textId="2E1728A7" w:rsidR="00960EE7" w:rsidRPr="00802F1A" w:rsidRDefault="00FB56CD" w:rsidP="000A12D1">
      <w:pPr>
        <w:jc w:val="both"/>
        <w:rPr>
          <w:rFonts w:eastAsiaTheme="minorEastAsia" w:cs="Times New Roman"/>
          <w:szCs w:val="24"/>
          <w:lang w:val="en-US"/>
        </w:rPr>
      </w:pPr>
      <w:r w:rsidRPr="00802F1A">
        <w:rPr>
          <w:rFonts w:cs="Times New Roman"/>
          <w:szCs w:val="24"/>
          <w:lang w:val="en-US"/>
        </w:rPr>
        <w:t>where</w:t>
      </w:r>
      <w:r w:rsidR="000A12D1" w:rsidRPr="00802F1A">
        <w:rPr>
          <w:rFonts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oMath>
      <w:r w:rsidR="001004FD" w:rsidRPr="00802F1A">
        <w:rPr>
          <w:rFonts w:eastAsiaTheme="minorEastAsia" w:cs="Times New Roman"/>
          <w:szCs w:val="24"/>
          <w:lang w:val="en-US"/>
        </w:rPr>
        <w:t xml:space="preserve"> refer</w:t>
      </w:r>
      <w:r w:rsidR="00973E30" w:rsidRPr="00802F1A">
        <w:rPr>
          <w:rFonts w:eastAsiaTheme="minorEastAsia" w:cs="Times New Roman"/>
          <w:szCs w:val="24"/>
          <w:lang w:val="en-US"/>
        </w:rPr>
        <w:t>s</w:t>
      </w:r>
      <w:r w:rsidR="001004FD" w:rsidRPr="00802F1A">
        <w:rPr>
          <w:rFonts w:eastAsiaTheme="minorEastAsia" w:cs="Times New Roman"/>
          <w:szCs w:val="24"/>
          <w:lang w:val="en-US"/>
        </w:rPr>
        <w:t xml:space="preserve"> to </w:t>
      </w:r>
      <w:r w:rsidR="00297EC1" w:rsidRPr="00802F1A">
        <w:rPr>
          <w:rFonts w:eastAsiaTheme="minorEastAsia" w:cs="Times New Roman"/>
          <w:szCs w:val="24"/>
          <w:lang w:val="en-US"/>
        </w:rPr>
        <w:t>one</w:t>
      </w:r>
      <w:r w:rsidR="00F66794" w:rsidRPr="00802F1A">
        <w:rPr>
          <w:rFonts w:eastAsiaTheme="minorEastAsia" w:cs="Times New Roman"/>
          <w:szCs w:val="24"/>
          <w:lang w:val="en-US"/>
        </w:rPr>
        <w:t xml:space="preserve"> of </w:t>
      </w:r>
      <w:r w:rsidR="00297EC1" w:rsidRPr="00802F1A">
        <w:rPr>
          <w:rFonts w:eastAsiaTheme="minorEastAsia" w:cs="Times New Roman"/>
          <w:szCs w:val="24"/>
          <w:lang w:val="en-US"/>
        </w:rPr>
        <w:t xml:space="preserve">the </w:t>
      </w:r>
      <w:r w:rsidR="00F66794" w:rsidRPr="00802F1A">
        <w:rPr>
          <w:rFonts w:eastAsiaTheme="minorEastAsia" w:cs="Times New Roman"/>
          <w:szCs w:val="24"/>
          <w:lang w:val="en-US"/>
        </w:rPr>
        <w:t>three variables of interest</w:t>
      </w:r>
      <w:r w:rsidR="00464AC4" w:rsidRPr="00802F1A">
        <w:rPr>
          <w:rFonts w:eastAsiaTheme="minorEastAsia" w:cs="Times New Roman"/>
          <w:szCs w:val="24"/>
          <w:lang w:val="en-US"/>
        </w:rPr>
        <w:t xml:space="preserve"> (</w:t>
      </w:r>
      <w:r w:rsidR="00464AC4" w:rsidRPr="00802F1A">
        <w:rPr>
          <w:rFonts w:cs="Times New Roman"/>
          <w:szCs w:val="24"/>
          <w:lang w:val="en-US"/>
        </w:rPr>
        <w:t xml:space="preserve">energy diversification, financial development, and </w:t>
      </w:r>
      <w:r w:rsidR="002D395B" w:rsidRPr="00802F1A">
        <w:rPr>
          <w:rFonts w:cs="Times New Roman"/>
          <w:szCs w:val="24"/>
          <w:lang w:val="en-US"/>
        </w:rPr>
        <w:t>per-capita income</w:t>
      </w:r>
      <w:r w:rsidR="00464AC4" w:rsidRPr="00802F1A">
        <w:rPr>
          <w:rFonts w:cs="Times New Roman"/>
          <w:szCs w:val="24"/>
          <w:lang w:val="en-US"/>
        </w:rPr>
        <w:t xml:space="preserve">) for country </w:t>
      </w:r>
      <w:proofErr w:type="spellStart"/>
      <w:r w:rsidR="00464AC4" w:rsidRPr="00802F1A">
        <w:rPr>
          <w:rFonts w:cs="Times New Roman"/>
          <w:i/>
          <w:iCs/>
          <w:szCs w:val="24"/>
          <w:lang w:val="en-US"/>
        </w:rPr>
        <w:t>i</w:t>
      </w:r>
      <w:proofErr w:type="spellEnd"/>
      <w:r w:rsidR="00464AC4" w:rsidRPr="00802F1A">
        <w:rPr>
          <w:rFonts w:cs="Times New Roman"/>
          <w:szCs w:val="24"/>
          <w:lang w:val="en-US"/>
        </w:rPr>
        <w:t xml:space="preserve"> in year </w:t>
      </w:r>
      <w:r w:rsidR="00464AC4" w:rsidRPr="00802F1A">
        <w:rPr>
          <w:rFonts w:cs="Times New Roman"/>
          <w:i/>
          <w:iCs/>
          <w:szCs w:val="24"/>
          <w:lang w:val="en-US"/>
        </w:rPr>
        <w:t>t</w:t>
      </w:r>
      <w:r w:rsidR="00464AC4" w:rsidRPr="00802F1A">
        <w:rPr>
          <w:rFonts w:cs="Times New Roman"/>
          <w:szCs w:val="24"/>
          <w:lang w:val="en-US"/>
        </w:rPr>
        <w:t xml:space="preserve">; </w:t>
      </w:r>
      <w:bookmarkStart w:id="8" w:name="_Hlk103441121"/>
      <m:oMath>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i,t</m:t>
            </m:r>
          </m:sub>
        </m:sSub>
      </m:oMath>
      <w:bookmarkEnd w:id="8"/>
      <w:r w:rsidR="00513EA0" w:rsidRPr="00802F1A">
        <w:rPr>
          <w:rFonts w:eastAsiaTheme="minorEastAsia" w:cs="Times New Roman"/>
          <w:szCs w:val="24"/>
          <w:lang w:val="en-US"/>
        </w:rPr>
        <w:t xml:space="preserve"> </w:t>
      </w:r>
      <w:r w:rsidR="00973E30" w:rsidRPr="00802F1A">
        <w:rPr>
          <w:rFonts w:eastAsiaTheme="minorEastAsia" w:cs="Times New Roman"/>
          <w:szCs w:val="24"/>
          <w:lang w:val="en-US"/>
        </w:rPr>
        <w:t xml:space="preserve">refers to </w:t>
      </w:r>
      <w:r w:rsidR="00C83FFE" w:rsidRPr="00802F1A">
        <w:rPr>
          <w:rFonts w:eastAsiaTheme="minorEastAsia" w:cs="Times New Roman"/>
          <w:szCs w:val="24"/>
          <w:lang w:val="en-US"/>
        </w:rPr>
        <w:t>one</w:t>
      </w:r>
      <w:r w:rsidR="00C16DA9" w:rsidRPr="00802F1A">
        <w:rPr>
          <w:rFonts w:eastAsiaTheme="minorEastAsia" w:cs="Times New Roman"/>
          <w:szCs w:val="24"/>
          <w:lang w:val="en-US"/>
        </w:rPr>
        <w:t xml:space="preserve"> of the two remaining variables </w:t>
      </w:r>
      <w:r w:rsidR="006228AB" w:rsidRPr="00802F1A">
        <w:rPr>
          <w:rFonts w:cs="Times New Roman"/>
          <w:szCs w:val="24"/>
          <w:lang w:val="en-US"/>
        </w:rPr>
        <w:t xml:space="preserve">for country </w:t>
      </w:r>
      <w:proofErr w:type="spellStart"/>
      <w:r w:rsidR="006228AB" w:rsidRPr="00802F1A">
        <w:rPr>
          <w:rFonts w:cs="Times New Roman"/>
          <w:i/>
          <w:iCs/>
          <w:szCs w:val="24"/>
          <w:lang w:val="en-US"/>
        </w:rPr>
        <w:t>i</w:t>
      </w:r>
      <w:proofErr w:type="spellEnd"/>
      <w:r w:rsidR="006228AB" w:rsidRPr="00802F1A">
        <w:rPr>
          <w:rFonts w:cs="Times New Roman"/>
          <w:szCs w:val="24"/>
          <w:lang w:val="en-US"/>
        </w:rPr>
        <w:t xml:space="preserve"> in year </w:t>
      </w:r>
      <w:r w:rsidR="006228AB" w:rsidRPr="00802F1A">
        <w:rPr>
          <w:rFonts w:cs="Times New Roman"/>
          <w:i/>
          <w:iCs/>
          <w:szCs w:val="24"/>
          <w:lang w:val="en-US"/>
        </w:rPr>
        <w:t>t</w:t>
      </w:r>
      <w:r w:rsidR="006228AB" w:rsidRPr="00802F1A">
        <w:rPr>
          <w:rFonts w:eastAsiaTheme="minorEastAsia" w:cs="Times New Roman"/>
          <w:szCs w:val="24"/>
          <w:lang w:val="en-US"/>
        </w:rPr>
        <w:t xml:space="preserve"> </w:t>
      </w:r>
      <w:r w:rsidR="00C16DA9" w:rsidRPr="00802F1A">
        <w:rPr>
          <w:rFonts w:eastAsiaTheme="minorEastAsia" w:cs="Times New Roman"/>
          <w:szCs w:val="24"/>
          <w:lang w:val="en-US"/>
        </w:rPr>
        <w:t xml:space="preserve">(e.g., if </w:t>
      </w:r>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oMath>
      <w:r w:rsidR="00C16DA9" w:rsidRPr="00802F1A">
        <w:rPr>
          <w:rFonts w:eastAsiaTheme="minorEastAsia" w:cs="Times New Roman"/>
          <w:szCs w:val="24"/>
          <w:lang w:val="en-US"/>
        </w:rPr>
        <w:t xml:space="preserve"> </w:t>
      </w:r>
      <w:r w:rsidR="00E1272F" w:rsidRPr="00802F1A">
        <w:rPr>
          <w:rFonts w:eastAsiaTheme="minorEastAsia" w:cs="Times New Roman"/>
          <w:szCs w:val="24"/>
          <w:lang w:val="en-US"/>
        </w:rPr>
        <w:t>represents</w:t>
      </w:r>
      <w:r w:rsidR="00C16DA9" w:rsidRPr="00802F1A">
        <w:rPr>
          <w:rFonts w:eastAsiaTheme="minorEastAsia" w:cs="Times New Roman"/>
          <w:szCs w:val="24"/>
          <w:lang w:val="en-US"/>
        </w:rPr>
        <w:t xml:space="preserve"> </w:t>
      </w:r>
      <w:r w:rsidR="00F60728" w:rsidRPr="00802F1A">
        <w:rPr>
          <w:rFonts w:eastAsiaTheme="minorEastAsia" w:cs="Times New Roman"/>
          <w:szCs w:val="24"/>
          <w:lang w:val="en-US"/>
        </w:rPr>
        <w:t xml:space="preserve">energy diversification, </w:t>
      </w:r>
      <m:oMath>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i,t</m:t>
            </m:r>
          </m:sub>
        </m:sSub>
      </m:oMath>
      <w:r w:rsidR="00B751FC" w:rsidRPr="00802F1A">
        <w:rPr>
          <w:rFonts w:eastAsiaTheme="minorEastAsia" w:cs="Times New Roman"/>
          <w:szCs w:val="24"/>
          <w:lang w:val="en-US"/>
        </w:rPr>
        <w:t xml:space="preserve"> </w:t>
      </w:r>
      <w:r w:rsidR="00A24CCE" w:rsidRPr="00802F1A">
        <w:rPr>
          <w:rFonts w:eastAsiaTheme="minorEastAsia" w:cs="Times New Roman"/>
          <w:szCs w:val="24"/>
          <w:lang w:val="en-US"/>
        </w:rPr>
        <w:t>can be either financial development or per-capita income</w:t>
      </w:r>
      <w:r w:rsidR="00C7028D" w:rsidRPr="00802F1A">
        <w:rPr>
          <w:rFonts w:eastAsiaTheme="minorEastAsia" w:cs="Times New Roman"/>
          <w:szCs w:val="24"/>
          <w:lang w:val="en-US"/>
        </w:rPr>
        <w:t>)</w:t>
      </w:r>
      <w:r w:rsidR="0085462A" w:rsidRPr="00802F1A">
        <w:rPr>
          <w:rFonts w:eastAsiaTheme="minorEastAsia"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ϵ</m:t>
            </m:r>
          </m:e>
          <m:sub>
            <m:r>
              <w:rPr>
                <w:rFonts w:ascii="Cambria Math" w:hAnsi="Cambria Math" w:cs="Times New Roman"/>
                <w:szCs w:val="24"/>
                <w:lang w:val="en-US"/>
              </w:rPr>
              <m:t>i,t</m:t>
            </m:r>
          </m:sub>
        </m:sSub>
      </m:oMath>
      <w:r w:rsidR="0085462A" w:rsidRPr="00802F1A">
        <w:rPr>
          <w:rFonts w:eastAsiaTheme="minorEastAsia" w:cs="Times New Roman"/>
          <w:szCs w:val="24"/>
          <w:lang w:val="en-US"/>
        </w:rPr>
        <w:t>is the stochastic error term</w:t>
      </w:r>
      <w:r w:rsidR="00277B48" w:rsidRPr="00802F1A">
        <w:rPr>
          <w:rFonts w:eastAsiaTheme="minorEastAsia" w:cs="Times New Roman"/>
          <w:szCs w:val="24"/>
          <w:lang w:val="en-US"/>
        </w:rPr>
        <w:t xml:space="preserve">; </w:t>
      </w:r>
      <w:r w:rsidR="00FD0D34" w:rsidRPr="00802F1A">
        <w:rPr>
          <w:rFonts w:eastAsiaTheme="minorEastAsia" w:cs="Times New Roman"/>
          <w:szCs w:val="24"/>
          <w:lang w:val="en-US"/>
        </w:rPr>
        <w:t>the optimal lag order</w:t>
      </w:r>
      <w:r w:rsidR="00F45FBA" w:rsidRPr="00802F1A">
        <w:rPr>
          <w:rFonts w:eastAsiaTheme="minorEastAsia" w:cs="Times New Roman"/>
          <w:szCs w:val="24"/>
          <w:lang w:val="en-US"/>
        </w:rPr>
        <w:t>s</w:t>
      </w:r>
      <w:r w:rsidR="00FD0D34" w:rsidRPr="00802F1A">
        <w:rPr>
          <w:rFonts w:eastAsiaTheme="minorEastAsia" w:cs="Times New Roman"/>
          <w:szCs w:val="24"/>
          <w:lang w:val="en-US"/>
        </w:rPr>
        <w:t xml:space="preserve"> </w:t>
      </w:r>
      <m:oMath>
        <m:r>
          <w:rPr>
            <w:rFonts w:ascii="Cambria Math" w:eastAsiaTheme="minorEastAsia" w:hAnsi="Cambria Math" w:cs="Times New Roman"/>
            <w:szCs w:val="24"/>
            <w:lang w:val="en-US"/>
          </w:rPr>
          <m:t>k</m:t>
        </m:r>
      </m:oMath>
      <w:r w:rsidR="00FD0D34" w:rsidRPr="00802F1A">
        <w:rPr>
          <w:rFonts w:eastAsiaTheme="minorEastAsia" w:cs="Times New Roman"/>
          <w:szCs w:val="24"/>
          <w:lang w:val="en-US"/>
        </w:rPr>
        <w:t xml:space="preserve"> </w:t>
      </w:r>
      <w:r w:rsidR="00F45FBA" w:rsidRPr="00802F1A">
        <w:rPr>
          <w:rFonts w:eastAsiaTheme="minorEastAsia" w:cs="Times New Roman"/>
          <w:szCs w:val="24"/>
          <w:lang w:val="en-US"/>
        </w:rPr>
        <w:t xml:space="preserve">are determined </w:t>
      </w:r>
      <w:r w:rsidR="00570A1A" w:rsidRPr="00802F1A">
        <w:rPr>
          <w:rFonts w:eastAsiaTheme="minorEastAsia" w:cs="Times New Roman"/>
          <w:szCs w:val="24"/>
          <w:lang w:val="en-US"/>
        </w:rPr>
        <w:t>using</w:t>
      </w:r>
      <w:r w:rsidR="00F45FBA" w:rsidRPr="00802F1A">
        <w:rPr>
          <w:rFonts w:eastAsiaTheme="minorEastAsia" w:cs="Times New Roman"/>
          <w:szCs w:val="24"/>
          <w:lang w:val="en-US"/>
        </w:rPr>
        <w:t xml:space="preserve"> </w:t>
      </w:r>
      <w:r w:rsidR="00FD0D34" w:rsidRPr="00802F1A">
        <w:rPr>
          <w:rFonts w:eastAsiaTheme="minorEastAsia" w:cs="Times New Roman"/>
          <w:szCs w:val="24"/>
          <w:lang w:val="en-US"/>
        </w:rPr>
        <w:t>the Akaike information</w:t>
      </w:r>
      <w:r w:rsidR="00F45FBA" w:rsidRPr="00802F1A">
        <w:rPr>
          <w:rFonts w:eastAsiaTheme="minorEastAsia" w:cs="Times New Roman"/>
          <w:szCs w:val="24"/>
          <w:lang w:val="en-US"/>
        </w:rPr>
        <w:t xml:space="preserve"> </w:t>
      </w:r>
      <w:r w:rsidR="00FD0D34" w:rsidRPr="00802F1A">
        <w:rPr>
          <w:rFonts w:eastAsiaTheme="minorEastAsia" w:cs="Times New Roman"/>
          <w:szCs w:val="24"/>
          <w:lang w:val="en-US"/>
        </w:rPr>
        <w:t>criterion</w:t>
      </w:r>
      <w:r w:rsidR="00111C46" w:rsidRPr="00802F1A">
        <w:t xml:space="preserve">; </w:t>
      </w:r>
      <w:r w:rsidR="00277B48" w:rsidRPr="00802F1A">
        <w:rPr>
          <w:rFonts w:eastAsiaTheme="minorEastAsia" w:cs="Times New Roman"/>
          <w:szCs w:val="24"/>
          <w:lang w:val="en-US"/>
        </w:rPr>
        <w:t xml:space="preserve">and </w:t>
      </w:r>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i</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β</m:t>
            </m:r>
          </m:e>
          <m:sub>
            <m:r>
              <w:rPr>
                <w:rFonts w:ascii="Cambria Math" w:hAnsi="Cambria Math" w:cs="Times New Roman"/>
                <w:szCs w:val="24"/>
                <w:lang w:val="en-US"/>
              </w:rPr>
              <m:t>i</m:t>
            </m:r>
          </m:sub>
        </m:sSub>
        <m:r>
          <w:rPr>
            <w:rFonts w:ascii="Cambria Math" w:hAnsi="Cambria Math" w:cs="Times New Roman"/>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γ</m:t>
            </m:r>
          </m:e>
          <m:sub>
            <m:r>
              <w:rPr>
                <w:rFonts w:ascii="Cambria Math" w:hAnsi="Cambria Math" w:cs="Times New Roman"/>
                <w:szCs w:val="24"/>
                <w:lang w:val="en-US"/>
              </w:rPr>
              <m:t>i</m:t>
            </m:r>
          </m:sub>
        </m:sSub>
      </m:oMath>
      <w:r w:rsidR="0003072C" w:rsidRPr="00802F1A">
        <w:rPr>
          <w:rFonts w:eastAsiaTheme="minorEastAsia" w:cs="Times New Roman"/>
          <w:szCs w:val="24"/>
          <w:lang w:val="en-US"/>
        </w:rPr>
        <w:t xml:space="preserve"> are parameters to be estimated.</w:t>
      </w:r>
      <w:r w:rsidR="00D9506E" w:rsidRPr="00802F1A">
        <w:rPr>
          <w:rFonts w:eastAsiaTheme="minorEastAsia" w:cs="Times New Roman"/>
          <w:szCs w:val="24"/>
          <w:lang w:val="en-US"/>
        </w:rPr>
        <w:t xml:space="preserve"> </w:t>
      </w:r>
    </w:p>
    <w:p w14:paraId="6EA16C95" w14:textId="77777777" w:rsidR="00960EE7" w:rsidRPr="00802F1A" w:rsidRDefault="00960EE7" w:rsidP="000A12D1">
      <w:pPr>
        <w:jc w:val="both"/>
        <w:rPr>
          <w:rFonts w:eastAsiaTheme="minorEastAsia" w:cs="Times New Roman"/>
          <w:szCs w:val="24"/>
          <w:lang w:val="en-US"/>
        </w:rPr>
      </w:pPr>
    </w:p>
    <w:p w14:paraId="03B49BAC" w14:textId="23C71488" w:rsidR="00BF3626" w:rsidRPr="00802F1A" w:rsidRDefault="00D9506E" w:rsidP="000A12D1">
      <w:pPr>
        <w:jc w:val="both"/>
        <w:rPr>
          <w:rFonts w:eastAsiaTheme="minorEastAsia" w:cs="Times New Roman"/>
          <w:szCs w:val="24"/>
          <w:lang w:val="en-US"/>
        </w:rPr>
      </w:pPr>
      <w:r w:rsidRPr="00802F1A">
        <w:rPr>
          <w:rFonts w:eastAsiaTheme="minorEastAsia" w:cs="Times New Roman"/>
          <w:szCs w:val="24"/>
          <w:lang w:val="en-US"/>
        </w:rPr>
        <w:t>We conclude</w:t>
      </w:r>
      <w:r w:rsidR="00C07038" w:rsidRPr="00802F1A">
        <w:rPr>
          <w:rFonts w:eastAsiaTheme="minorEastAsia" w:cs="Times New Roman"/>
          <w:szCs w:val="24"/>
          <w:lang w:val="en-US"/>
        </w:rPr>
        <w:t xml:space="preserve"> </w:t>
      </w:r>
      <m:oMath>
        <m:r>
          <w:rPr>
            <w:rFonts w:ascii="Cambria Math" w:eastAsiaTheme="minorEastAsia" w:hAnsi="Cambria Math" w:cs="Times New Roman"/>
            <w:szCs w:val="24"/>
            <w:lang w:val="en-US"/>
          </w:rPr>
          <m:t>x</m:t>
        </m:r>
      </m:oMath>
      <w:r w:rsidR="00D06BD6" w:rsidRPr="00802F1A">
        <w:rPr>
          <w:rFonts w:eastAsiaTheme="minorEastAsia" w:cs="Times New Roman"/>
          <w:szCs w:val="24"/>
          <w:lang w:val="en-US"/>
        </w:rPr>
        <w:t xml:space="preserve"> Granger causes </w:t>
      </w:r>
      <m:oMath>
        <m:r>
          <w:rPr>
            <w:rFonts w:ascii="Cambria Math" w:eastAsiaTheme="minorEastAsia" w:hAnsi="Cambria Math" w:cs="Times New Roman"/>
            <w:szCs w:val="24"/>
            <w:lang w:val="en-US"/>
          </w:rPr>
          <m:t>y</m:t>
        </m:r>
      </m:oMath>
      <w:r w:rsidR="00D06BD6" w:rsidRPr="00802F1A">
        <w:rPr>
          <w:rFonts w:eastAsiaTheme="minorEastAsia" w:cs="Times New Roman"/>
          <w:szCs w:val="24"/>
          <w:lang w:val="en-US"/>
        </w:rPr>
        <w:t xml:space="preserve"> </w:t>
      </w:r>
      <w:r w:rsidR="00CE174A" w:rsidRPr="00802F1A">
        <w:rPr>
          <w:rFonts w:eastAsiaTheme="minorEastAsia" w:cs="Times New Roman"/>
          <w:szCs w:val="24"/>
          <w:lang w:val="en-US"/>
        </w:rPr>
        <w:t>if past values of</w:t>
      </w:r>
      <w:r w:rsidR="00CE174A" w:rsidRPr="00802F1A">
        <w:rPr>
          <w:rFonts w:ascii="Cambria Math" w:eastAsiaTheme="minorEastAsia" w:hAnsi="Cambria Math" w:cs="Times New Roman"/>
          <w:i/>
          <w:szCs w:val="24"/>
          <w:lang w:val="en-US"/>
        </w:rPr>
        <w:t xml:space="preserve"> </w:t>
      </w:r>
      <m:oMath>
        <m:r>
          <w:rPr>
            <w:rFonts w:ascii="Cambria Math" w:eastAsiaTheme="minorEastAsia" w:hAnsi="Cambria Math" w:cs="Times New Roman"/>
            <w:szCs w:val="24"/>
            <w:lang w:val="en-US"/>
          </w:rPr>
          <m:t>x</m:t>
        </m:r>
      </m:oMath>
      <w:r w:rsidR="00CE174A" w:rsidRPr="00802F1A">
        <w:rPr>
          <w:rFonts w:ascii="Cambria Math" w:eastAsiaTheme="minorEastAsia" w:hAnsi="Cambria Math" w:cs="Times New Roman"/>
          <w:i/>
          <w:szCs w:val="24"/>
          <w:lang w:val="en-US"/>
        </w:rPr>
        <w:t xml:space="preserve"> </w:t>
      </w:r>
      <w:r w:rsidR="00CE174A" w:rsidRPr="00802F1A">
        <w:rPr>
          <w:rFonts w:ascii="Cambria Math" w:eastAsiaTheme="minorEastAsia" w:hAnsi="Cambria Math" w:cs="Times New Roman"/>
          <w:iCs/>
          <w:szCs w:val="24"/>
          <w:lang w:val="en-US"/>
        </w:rPr>
        <w:t xml:space="preserve">can </w:t>
      </w:r>
      <w:r w:rsidR="00467465" w:rsidRPr="00802F1A">
        <w:rPr>
          <w:rFonts w:ascii="Cambria Math" w:eastAsiaTheme="minorEastAsia" w:hAnsi="Cambria Math" w:cs="Times New Roman"/>
          <w:iCs/>
          <w:szCs w:val="24"/>
          <w:lang w:val="en-US"/>
        </w:rPr>
        <w:t xml:space="preserve">predict the current values of </w:t>
      </w:r>
      <m:oMath>
        <m:r>
          <w:rPr>
            <w:rFonts w:ascii="Cambria Math" w:eastAsiaTheme="minorEastAsia" w:hAnsi="Cambria Math" w:cs="Times New Roman"/>
            <w:szCs w:val="24"/>
            <w:lang w:val="en-US"/>
          </w:rPr>
          <m:t>y</m:t>
        </m:r>
      </m:oMath>
      <w:r w:rsidR="005540A4" w:rsidRPr="00802F1A">
        <w:rPr>
          <w:rFonts w:ascii="Cambria Math" w:eastAsiaTheme="minorEastAsia" w:hAnsi="Cambria Math" w:cs="Times New Roman"/>
          <w:iCs/>
          <w:szCs w:val="24"/>
          <w:lang w:val="en-US"/>
        </w:rPr>
        <w:t>.</w:t>
      </w:r>
      <w:r w:rsidR="007209EC" w:rsidRPr="00802F1A">
        <w:rPr>
          <w:rFonts w:ascii="Cambria Math" w:eastAsiaTheme="minorEastAsia" w:hAnsi="Cambria Math" w:cs="Times New Roman"/>
          <w:iCs/>
          <w:szCs w:val="24"/>
          <w:lang w:val="en-US"/>
        </w:rPr>
        <w:t xml:space="preserve"> </w:t>
      </w:r>
      <w:r w:rsidR="005540A4" w:rsidRPr="00802F1A">
        <w:rPr>
          <w:rFonts w:cs="Times New Roman"/>
          <w:szCs w:val="24"/>
          <w:lang w:val="en-US"/>
        </w:rPr>
        <w:t>In other words, the coefficients</w:t>
      </w:r>
      <w:r w:rsidR="000031A0" w:rsidRPr="00802F1A">
        <w:rPr>
          <w:rFonts w:eastAsiaTheme="minorEastAsia" w:cs="Times New Roman"/>
          <w:szCs w:val="24"/>
          <w:lang w:val="en-US"/>
        </w:rPr>
        <w:t xml:space="preserve"> </w:t>
      </w:r>
      <m:oMath>
        <m:sSubSup>
          <m:sSubSupPr>
            <m:ctrlPr>
              <w:rPr>
                <w:rFonts w:ascii="Cambria Math" w:hAnsi="Cambria Math" w:cs="Times New Roman"/>
                <w:i/>
                <w:szCs w:val="24"/>
                <w:lang w:val="en-US"/>
              </w:rPr>
            </m:ctrlPr>
          </m:sSubSupPr>
          <m:e>
            <m:r>
              <w:rPr>
                <w:rFonts w:ascii="Cambria Math" w:hAnsi="Cambria Math" w:cs="Times New Roman"/>
                <w:szCs w:val="24"/>
                <w:lang w:val="en-US"/>
              </w:rPr>
              <m:t>β</m:t>
            </m:r>
          </m:e>
          <m:sub>
            <m:r>
              <w:rPr>
                <w:rFonts w:ascii="Cambria Math" w:hAnsi="Cambria Math" w:cs="Times New Roman"/>
                <w:szCs w:val="24"/>
                <w:lang w:val="en-US"/>
              </w:rPr>
              <m:t>i</m:t>
            </m:r>
          </m:sub>
          <m:sup>
            <m:r>
              <w:rPr>
                <w:rFonts w:ascii="Cambria Math" w:hAnsi="Cambria Math" w:cs="Times New Roman"/>
                <w:szCs w:val="24"/>
                <w:lang w:val="en-US"/>
              </w:rPr>
              <m:t>(k)</m:t>
            </m:r>
          </m:sup>
        </m:sSubSup>
      </m:oMath>
      <w:r w:rsidR="009A39F8" w:rsidRPr="00802F1A">
        <w:t xml:space="preserve"> </w:t>
      </w:r>
      <w:r w:rsidR="009A39F8" w:rsidRPr="00802F1A">
        <w:rPr>
          <w:rFonts w:eastAsiaTheme="minorEastAsia" w:cs="Times New Roman"/>
          <w:szCs w:val="24"/>
          <w:lang w:val="en-US"/>
        </w:rPr>
        <w:t>collectively demonstrate statistical significance different from zero</w:t>
      </w:r>
      <w:r w:rsidR="007209EC" w:rsidRPr="00802F1A">
        <w:rPr>
          <w:rFonts w:eastAsiaTheme="minorEastAsia" w:cs="Times New Roman"/>
          <w:szCs w:val="24"/>
          <w:lang w:val="en-US"/>
        </w:rPr>
        <w:t>.</w:t>
      </w:r>
    </w:p>
    <w:p w14:paraId="276B682B" w14:textId="77777777" w:rsidR="008534FA" w:rsidRPr="00802F1A" w:rsidRDefault="008534FA" w:rsidP="000A12D1">
      <w:pPr>
        <w:jc w:val="both"/>
        <w:rPr>
          <w:rFonts w:eastAsiaTheme="minorEastAsia" w:cs="Times New Roman"/>
          <w:szCs w:val="24"/>
          <w:lang w:val="en-US"/>
        </w:rPr>
      </w:pPr>
    </w:p>
    <w:p w14:paraId="0C417AC4" w14:textId="6BB2D1C5" w:rsidR="00D10606" w:rsidRPr="00802F1A" w:rsidRDefault="001A243E" w:rsidP="00BF3626">
      <w:pPr>
        <w:jc w:val="both"/>
        <w:rPr>
          <w:rFonts w:eastAsiaTheme="minorEastAsia" w:cs="Times New Roman"/>
          <w:szCs w:val="24"/>
          <w:lang w:val="en-US"/>
        </w:rPr>
      </w:pPr>
      <w:r w:rsidRPr="00802F1A">
        <w:rPr>
          <w:rFonts w:eastAsiaTheme="minorEastAsia" w:cs="Times New Roman"/>
          <w:szCs w:val="24"/>
          <w:lang w:val="en-US"/>
        </w:rPr>
        <w:lastRenderedPageBreak/>
        <w:t>Next, we proceed to examine the causal relationships while considering the controlling covariates through the following model:</w:t>
      </w:r>
    </w:p>
    <w:p w14:paraId="62F0103D" w14:textId="00200B37" w:rsidR="00921FBA" w:rsidRPr="00802F1A" w:rsidRDefault="004F6E57" w:rsidP="00921FBA">
      <w:pPr>
        <w:jc w:val="center"/>
        <w:rPr>
          <w:rFonts w:cs="Times New Roman"/>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β</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β</m:t>
            </m:r>
          </m:e>
          <m:sub>
            <m:r>
              <w:rPr>
                <w:rFonts w:ascii="Cambria Math" w:hAnsi="Cambria Math" w:cs="Times New Roman"/>
                <w:szCs w:val="24"/>
                <w:lang w:val="en-US"/>
              </w:rPr>
              <m:t>1</m:t>
            </m:r>
          </m:sub>
        </m:sSub>
        <w:bookmarkStart w:id="9" w:name="_Hlk103621845"/>
        <m:r>
          <w:rPr>
            <w:rFonts w:ascii="Cambria Math" w:hAnsi="Cambria Math" w:cs="Times New Roman"/>
            <w:szCs w:val="24"/>
            <w:lang w:val="en-US"/>
          </w:rPr>
          <m:t>trend</m:t>
        </m:r>
        <w:bookmarkEnd w:id="9"/>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β</m:t>
            </m:r>
          </m:e>
          <m:sub>
            <m:r>
              <w:rPr>
                <w:rFonts w:ascii="Cambria Math" w:hAnsi="Cambria Math" w:cs="Times New Roman"/>
                <w:szCs w:val="24"/>
                <w:lang w:val="en-US"/>
              </w:rPr>
              <m:t>2</m:t>
            </m:r>
          </m:sub>
        </m:sSub>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i,t-1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β</m:t>
            </m:r>
          </m:e>
          <m:sub>
            <m:r>
              <w:rPr>
                <w:rFonts w:ascii="Cambria Math" w:hAnsi="Cambria Math" w:cs="Times New Roman"/>
                <w:szCs w:val="24"/>
                <w:lang w:val="en-US"/>
              </w:rPr>
              <m:t>3</m:t>
            </m:r>
          </m:sub>
        </m:sSub>
        <w:bookmarkStart w:id="10" w:name="_Hlk103621929"/>
        <m:sSub>
          <m:sSubPr>
            <m:ctrlPr>
              <w:rPr>
                <w:rFonts w:ascii="Cambria Math" w:hAnsi="Cambria Math" w:cs="Times New Roman"/>
                <w:i/>
                <w:szCs w:val="24"/>
                <w:lang w:val="en-US"/>
              </w:rPr>
            </m:ctrlPr>
          </m:sSubPr>
          <m:e>
            <m:r>
              <w:rPr>
                <w:rFonts w:ascii="Cambria Math" w:hAnsi="Cambria Math" w:cs="Times New Roman"/>
                <w:szCs w:val="24"/>
                <w:lang w:val="en-US"/>
              </w:rPr>
              <m:t>Z</m:t>
            </m:r>
          </m:e>
          <m:sub>
            <m:r>
              <w:rPr>
                <w:rFonts w:ascii="Cambria Math" w:hAnsi="Cambria Math" w:cs="Times New Roman"/>
                <w:szCs w:val="24"/>
                <w:lang w:val="en-US"/>
              </w:rPr>
              <m:t>i,t</m:t>
            </m:r>
          </m:sub>
        </m:sSub>
        <w:bookmarkEnd w:id="10"/>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μ</m:t>
            </m:r>
          </m:e>
          <m:sub>
            <m:r>
              <w:rPr>
                <w:rFonts w:ascii="Cambria Math" w:hAnsi="Cambria Math" w:cs="Times New Roman"/>
                <w:szCs w:val="24"/>
                <w:lang w:val="en-US"/>
              </w:rPr>
              <m:t>i</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ε</m:t>
            </m:r>
          </m:e>
          <m:sub>
            <m:r>
              <w:rPr>
                <w:rFonts w:ascii="Cambria Math" w:hAnsi="Cambria Math" w:cs="Times New Roman"/>
                <w:szCs w:val="24"/>
                <w:lang w:val="en-US"/>
              </w:rPr>
              <m:t>i,t</m:t>
            </m:r>
          </m:sub>
        </m:sSub>
      </m:oMath>
      <w:r w:rsidR="00921FBA" w:rsidRPr="00802F1A">
        <w:rPr>
          <w:rFonts w:eastAsiaTheme="minorEastAsia" w:cs="Times New Roman"/>
          <w:szCs w:val="24"/>
          <w:lang w:val="en-US"/>
        </w:rPr>
        <w:t xml:space="preserve">                  (</w:t>
      </w:r>
      <w:r w:rsidR="001C7A08" w:rsidRPr="00802F1A">
        <w:rPr>
          <w:rFonts w:eastAsiaTheme="minorEastAsia" w:cs="Times New Roman"/>
          <w:szCs w:val="24"/>
          <w:lang w:val="en-US"/>
        </w:rPr>
        <w:t>6</w:t>
      </w:r>
      <w:r w:rsidR="00921FBA" w:rsidRPr="00802F1A">
        <w:rPr>
          <w:rFonts w:eastAsiaTheme="minorEastAsia" w:cs="Times New Roman"/>
          <w:szCs w:val="24"/>
          <w:lang w:val="en-US"/>
        </w:rPr>
        <w:t>)</w:t>
      </w:r>
    </w:p>
    <w:p w14:paraId="6DB38F95" w14:textId="65CC89A8" w:rsidR="008E2E5A" w:rsidRPr="00802F1A" w:rsidRDefault="00722742" w:rsidP="000A12D1">
      <w:pPr>
        <w:jc w:val="both"/>
        <w:rPr>
          <w:rFonts w:eastAsiaTheme="minorEastAsia" w:cs="Times New Roman"/>
          <w:szCs w:val="24"/>
          <w:lang w:val="en-US"/>
        </w:rPr>
      </w:pPr>
      <w:r w:rsidRPr="00802F1A">
        <w:rPr>
          <w:rFonts w:eastAsiaTheme="minorEastAsia" w:cs="Times New Roman"/>
          <w:szCs w:val="24"/>
          <w:lang w:val="en-US"/>
        </w:rPr>
        <w:t>w</w:t>
      </w:r>
      <w:r w:rsidR="005D68E9" w:rsidRPr="00802F1A">
        <w:rPr>
          <w:rFonts w:eastAsiaTheme="minorEastAsia" w:cs="Times New Roman"/>
          <w:szCs w:val="24"/>
          <w:lang w:val="en-US"/>
        </w:rPr>
        <w:t xml:space="preserve">here </w:t>
      </w:r>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oMath>
      <w:r w:rsidRPr="00802F1A">
        <w:rPr>
          <w:rFonts w:eastAsiaTheme="minorEastAsia" w:cs="Times New Roman"/>
          <w:szCs w:val="24"/>
          <w:lang w:val="en-US"/>
        </w:rPr>
        <w:t xml:space="preserve"> and </w:t>
      </w:r>
      <m:oMath>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i,t</m:t>
            </m:r>
          </m:sub>
        </m:sSub>
      </m:oMath>
      <w:r w:rsidRPr="00802F1A">
        <w:rPr>
          <w:rFonts w:eastAsiaTheme="minorEastAsia" w:cs="Times New Roman"/>
          <w:szCs w:val="24"/>
          <w:lang w:val="en-US"/>
        </w:rPr>
        <w:t xml:space="preserve"> </w:t>
      </w:r>
      <w:r w:rsidR="001A243E" w:rsidRPr="00802F1A">
        <w:rPr>
          <w:rFonts w:eastAsiaTheme="minorEastAsia" w:cs="Times New Roman"/>
          <w:szCs w:val="24"/>
          <w:lang w:val="en-US"/>
        </w:rPr>
        <w:t>retain their definitions from</w:t>
      </w:r>
      <w:r w:rsidRPr="00802F1A">
        <w:rPr>
          <w:rFonts w:eastAsiaTheme="minorEastAsia" w:cs="Times New Roman"/>
          <w:szCs w:val="24"/>
          <w:lang w:val="en-US"/>
        </w:rPr>
        <w:t xml:space="preserve"> in Eq</w:t>
      </w:r>
      <w:r w:rsidR="001C7A08" w:rsidRPr="00802F1A">
        <w:rPr>
          <w:rFonts w:eastAsiaTheme="minorEastAsia" w:cs="Times New Roman"/>
          <w:szCs w:val="24"/>
          <w:lang w:val="en-US"/>
        </w:rPr>
        <w:t>.5</w:t>
      </w:r>
      <w:r w:rsidRPr="00802F1A">
        <w:rPr>
          <w:rFonts w:eastAsiaTheme="minorEastAsia" w:cs="Times New Roman"/>
          <w:szCs w:val="24"/>
          <w:lang w:val="en-US"/>
        </w:rPr>
        <w:t xml:space="preserve">; </w:t>
      </w:r>
      <m:oMath>
        <m:r>
          <w:rPr>
            <w:rFonts w:ascii="Cambria Math" w:hAnsi="Cambria Math" w:cs="Times New Roman"/>
            <w:szCs w:val="24"/>
            <w:lang w:val="en-US"/>
          </w:rPr>
          <m:t>trend</m:t>
        </m:r>
      </m:oMath>
      <w:r w:rsidR="006C3FB6" w:rsidRPr="00802F1A">
        <w:rPr>
          <w:rFonts w:eastAsiaTheme="minorEastAsia" w:cs="Times New Roman"/>
          <w:szCs w:val="24"/>
          <w:lang w:val="en-US"/>
        </w:rPr>
        <w:t xml:space="preserve"> </w:t>
      </w:r>
      <w:r w:rsidR="00BF3626" w:rsidRPr="00802F1A">
        <w:rPr>
          <w:rFonts w:eastAsiaTheme="minorEastAsia" w:cs="Times New Roman"/>
          <w:szCs w:val="24"/>
          <w:lang w:val="en-US"/>
        </w:rPr>
        <w:t>denotes the linear trend in</w:t>
      </w:r>
      <w:r w:rsidR="00914097" w:rsidRPr="00802F1A">
        <w:rPr>
          <w:rFonts w:eastAsiaTheme="minorEastAsia" w:cs="Times New Roman"/>
          <w:szCs w:val="24"/>
          <w:lang w:val="en-US"/>
        </w:rPr>
        <w:t xml:space="preserve"> </w:t>
      </w:r>
      <w:bookmarkStart w:id="11" w:name="_Hlk103622018"/>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oMath>
      <w:bookmarkEnd w:id="11"/>
      <w:r w:rsidR="00914097" w:rsidRPr="00802F1A">
        <w:rPr>
          <w:rFonts w:eastAsiaTheme="minorEastAsia" w:cs="Times New Roman"/>
          <w:szCs w:val="24"/>
          <w:lang w:val="en-US"/>
        </w:rPr>
        <w:t xml:space="preserve"> from 1995 to 20</w:t>
      </w:r>
      <w:r w:rsidR="00BB6415" w:rsidRPr="00802F1A">
        <w:rPr>
          <w:rFonts w:eastAsiaTheme="minorEastAsia" w:cs="Times New Roman"/>
          <w:szCs w:val="24"/>
          <w:lang w:val="en-US"/>
        </w:rPr>
        <w:t>19</w:t>
      </w:r>
      <w:r w:rsidR="00355787" w:rsidRPr="00802F1A">
        <w:rPr>
          <w:rFonts w:eastAsiaTheme="minorEastAsia" w:cs="Times New Roman"/>
          <w:szCs w:val="24"/>
          <w:lang w:val="en-US"/>
        </w:rPr>
        <w:t>, representing technological progress</w:t>
      </w:r>
      <w:r w:rsidR="00BB6415" w:rsidRPr="00802F1A">
        <w:rPr>
          <w:rFonts w:eastAsiaTheme="minorEastAsia"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Z</m:t>
            </m:r>
          </m:e>
          <m:sub>
            <m:r>
              <w:rPr>
                <w:rFonts w:ascii="Cambria Math" w:hAnsi="Cambria Math" w:cs="Times New Roman"/>
                <w:szCs w:val="24"/>
                <w:lang w:val="en-US"/>
              </w:rPr>
              <m:t>i,t</m:t>
            </m:r>
          </m:sub>
        </m:sSub>
      </m:oMath>
      <w:r w:rsidR="00BB6415" w:rsidRPr="00802F1A">
        <w:rPr>
          <w:rFonts w:eastAsiaTheme="minorEastAsia" w:cs="Times New Roman"/>
          <w:szCs w:val="24"/>
          <w:lang w:val="en-US"/>
        </w:rPr>
        <w:t xml:space="preserve"> is a set of controlling </w:t>
      </w:r>
      <w:r w:rsidR="007D4AC7" w:rsidRPr="00802F1A">
        <w:rPr>
          <w:rFonts w:eastAsiaTheme="minorEastAsia" w:cs="Times New Roman"/>
          <w:szCs w:val="24"/>
          <w:lang w:val="en-US"/>
        </w:rPr>
        <w:t>covariates</w:t>
      </w:r>
      <w:r w:rsidR="00873E93" w:rsidRPr="00802F1A">
        <w:rPr>
          <w:rFonts w:eastAsiaTheme="minorEastAsia"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μ</m:t>
            </m:r>
          </m:e>
          <m:sub>
            <m:r>
              <w:rPr>
                <w:rFonts w:ascii="Cambria Math" w:hAnsi="Cambria Math" w:cs="Times New Roman"/>
                <w:szCs w:val="24"/>
                <w:lang w:val="en-US"/>
              </w:rPr>
              <m:t>i</m:t>
            </m:r>
          </m:sub>
        </m:sSub>
      </m:oMath>
      <w:r w:rsidR="00873E93" w:rsidRPr="00802F1A">
        <w:rPr>
          <w:rFonts w:eastAsiaTheme="minorEastAsia" w:cs="Times New Roman"/>
          <w:szCs w:val="24"/>
          <w:lang w:val="en-US"/>
        </w:rPr>
        <w:t xml:space="preserve"> </w:t>
      </w:r>
      <w:r w:rsidR="001A243E" w:rsidRPr="00802F1A">
        <w:rPr>
          <w:rFonts w:eastAsiaTheme="minorEastAsia" w:cs="Times New Roman"/>
          <w:szCs w:val="24"/>
          <w:lang w:val="en-US"/>
        </w:rPr>
        <w:t>represents country-specific unobserved features</w:t>
      </w:r>
      <w:r w:rsidR="00CD6C02" w:rsidRPr="00802F1A">
        <w:rPr>
          <w:rFonts w:eastAsiaTheme="minorEastAsia" w:cs="Times New Roman"/>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ε</m:t>
            </m:r>
          </m:e>
          <m:sub>
            <m:r>
              <w:rPr>
                <w:rFonts w:ascii="Cambria Math" w:hAnsi="Cambria Math" w:cs="Times New Roman"/>
                <w:szCs w:val="24"/>
                <w:lang w:val="en-US"/>
              </w:rPr>
              <m:t>i,t</m:t>
            </m:r>
          </m:sub>
        </m:sSub>
      </m:oMath>
      <w:r w:rsidR="00CD6C02" w:rsidRPr="00802F1A">
        <w:rPr>
          <w:rFonts w:eastAsiaTheme="minorEastAsia" w:cs="Times New Roman"/>
          <w:szCs w:val="24"/>
          <w:lang w:val="en-US"/>
        </w:rPr>
        <w:t xml:space="preserve"> </w:t>
      </w:r>
      <w:r w:rsidR="001A243E" w:rsidRPr="00802F1A">
        <w:rPr>
          <w:rFonts w:eastAsiaTheme="minorEastAsia" w:cs="Times New Roman"/>
          <w:szCs w:val="24"/>
          <w:lang w:val="en-US"/>
        </w:rPr>
        <w:t>represents the random error component</w:t>
      </w:r>
      <w:r w:rsidR="000B1940" w:rsidRPr="00802F1A">
        <w:rPr>
          <w:rFonts w:eastAsiaTheme="minorEastAsia" w:cs="Times New Roman"/>
          <w:szCs w:val="24"/>
          <w:lang w:val="en-US"/>
        </w:rPr>
        <w:t xml:space="preserve">; </w:t>
      </w:r>
      <m:oMath>
        <m:r>
          <w:rPr>
            <w:rFonts w:ascii="Cambria Math" w:eastAsiaTheme="minorEastAsia" w:hAnsi="Cambria Math" w:cs="Times New Roman"/>
            <w:szCs w:val="24"/>
            <w:lang w:val="en-US"/>
          </w:rPr>
          <m:t>β</m:t>
        </m:r>
      </m:oMath>
      <w:r w:rsidR="000B1940" w:rsidRPr="00802F1A">
        <w:rPr>
          <w:rFonts w:eastAsiaTheme="minorEastAsia" w:cs="Times New Roman"/>
          <w:szCs w:val="24"/>
          <w:lang w:val="en-US"/>
        </w:rPr>
        <w:t xml:space="preserve"> are parameters to be estimated</w:t>
      </w:r>
      <w:r w:rsidR="006D0965" w:rsidRPr="00802F1A">
        <w:rPr>
          <w:rFonts w:eastAsiaTheme="minorEastAsia" w:cs="Times New Roman"/>
          <w:szCs w:val="24"/>
          <w:lang w:val="en-US"/>
        </w:rPr>
        <w:t>; all variables</w:t>
      </w:r>
      <w:r w:rsidR="001A243E" w:rsidRPr="00802F1A">
        <w:rPr>
          <w:rFonts w:eastAsiaTheme="minorEastAsia" w:cs="Times New Roman"/>
          <w:szCs w:val="24"/>
          <w:lang w:val="en-US"/>
        </w:rPr>
        <w:t>,</w:t>
      </w:r>
      <w:r w:rsidR="006D0965" w:rsidRPr="00802F1A">
        <w:rPr>
          <w:rFonts w:eastAsiaTheme="minorEastAsia" w:cs="Times New Roman"/>
          <w:szCs w:val="24"/>
          <w:lang w:val="en-US"/>
        </w:rPr>
        <w:t xml:space="preserve"> </w:t>
      </w:r>
      <w:r w:rsidR="001A243E" w:rsidRPr="00802F1A">
        <w:rPr>
          <w:rFonts w:eastAsiaTheme="minorEastAsia" w:cs="Times New Roman"/>
          <w:szCs w:val="24"/>
          <w:lang w:val="en-US"/>
        </w:rPr>
        <w:t>excluding</w:t>
      </w:r>
      <w:r w:rsidR="006D0965" w:rsidRPr="00802F1A">
        <w:rPr>
          <w:rFonts w:eastAsiaTheme="minorEastAsia" w:cs="Times New Roman"/>
          <w:szCs w:val="24"/>
          <w:lang w:val="en-US"/>
        </w:rPr>
        <w:t xml:space="preserve"> </w:t>
      </w:r>
      <w:r w:rsidR="006D0965" w:rsidRPr="00802F1A">
        <w:rPr>
          <w:rFonts w:eastAsiaTheme="minorEastAsia" w:cs="Times New Roman"/>
          <w:i/>
          <w:iCs/>
          <w:szCs w:val="24"/>
          <w:lang w:val="en-US"/>
        </w:rPr>
        <w:t>trend</w:t>
      </w:r>
      <w:r w:rsidR="001A243E" w:rsidRPr="00802F1A">
        <w:rPr>
          <w:rFonts w:eastAsiaTheme="minorEastAsia" w:cs="Times New Roman"/>
          <w:szCs w:val="24"/>
          <w:lang w:val="en-US"/>
        </w:rPr>
        <w:t>, are expressed in natural logarithms</w:t>
      </w:r>
      <w:r w:rsidR="006D0965" w:rsidRPr="00802F1A">
        <w:rPr>
          <w:rFonts w:eastAsiaTheme="minorEastAsia" w:cs="Times New Roman"/>
          <w:szCs w:val="24"/>
          <w:lang w:val="en-US"/>
        </w:rPr>
        <w:t>.</w:t>
      </w:r>
    </w:p>
    <w:p w14:paraId="5F1FCA4A" w14:textId="54476A97" w:rsidR="00FB19F2" w:rsidRPr="00802F1A" w:rsidRDefault="00FB19F2" w:rsidP="000A12D1">
      <w:pPr>
        <w:jc w:val="both"/>
        <w:rPr>
          <w:rFonts w:eastAsiaTheme="minorEastAsia" w:cs="Times New Roman"/>
          <w:szCs w:val="24"/>
          <w:lang w:val="en-US"/>
        </w:rPr>
      </w:pPr>
    </w:p>
    <w:p w14:paraId="239E6DA4" w14:textId="4F70EC87" w:rsidR="00394594" w:rsidRPr="00802F1A" w:rsidRDefault="00394594" w:rsidP="00394594">
      <w:pPr>
        <w:jc w:val="both"/>
        <w:rPr>
          <w:rFonts w:eastAsiaTheme="minorEastAsia" w:cs="Times New Roman"/>
          <w:szCs w:val="24"/>
          <w:lang w:val="en-US"/>
        </w:rPr>
      </w:pPr>
      <w:r w:rsidRPr="00802F1A">
        <w:rPr>
          <w:rFonts w:eastAsiaTheme="minorEastAsia" w:cs="Times New Roman"/>
          <w:szCs w:val="24"/>
          <w:lang w:val="en-US"/>
        </w:rPr>
        <w:t xml:space="preserve">The selection of </w:t>
      </w:r>
      <m:oMath>
        <m:sSub>
          <m:sSubPr>
            <m:ctrlPr>
              <w:rPr>
                <w:rFonts w:ascii="Cambria Math" w:hAnsi="Cambria Math" w:cs="Times New Roman"/>
                <w:i/>
                <w:szCs w:val="24"/>
                <w:lang w:val="en-US"/>
              </w:rPr>
            </m:ctrlPr>
          </m:sSubPr>
          <m:e>
            <m:r>
              <w:rPr>
                <w:rFonts w:ascii="Cambria Math" w:hAnsi="Cambria Math" w:cs="Times New Roman"/>
                <w:szCs w:val="24"/>
                <w:lang w:val="en-US"/>
              </w:rPr>
              <m:t>Z</m:t>
            </m:r>
          </m:e>
          <m:sub>
            <m:r>
              <w:rPr>
                <w:rFonts w:ascii="Cambria Math" w:hAnsi="Cambria Math" w:cs="Times New Roman"/>
                <w:szCs w:val="24"/>
                <w:lang w:val="en-US"/>
              </w:rPr>
              <m:t>i,t</m:t>
            </m:r>
          </m:sub>
        </m:sSub>
      </m:oMath>
      <w:r w:rsidR="001373B4" w:rsidRPr="00802F1A">
        <w:rPr>
          <w:rFonts w:eastAsiaTheme="minorEastAsia" w:cs="Times New Roman"/>
          <w:szCs w:val="24"/>
          <w:lang w:val="en-US"/>
        </w:rPr>
        <w:t xml:space="preserve"> is </w:t>
      </w:r>
      <w:r w:rsidRPr="00802F1A">
        <w:rPr>
          <w:rFonts w:eastAsiaTheme="minorEastAsia" w:cs="Times New Roman"/>
          <w:szCs w:val="24"/>
          <w:lang w:val="en-US"/>
        </w:rPr>
        <w:t>based on existing literature and data availability</w:t>
      </w:r>
      <w:r w:rsidR="00BF3626" w:rsidRPr="00802F1A">
        <w:rPr>
          <w:rFonts w:eastAsiaTheme="minorEastAsia" w:cs="Times New Roman"/>
          <w:szCs w:val="24"/>
          <w:lang w:val="en-US"/>
        </w:rPr>
        <w:t>.</w:t>
      </w:r>
      <w:r w:rsidR="001373B4" w:rsidRPr="00802F1A">
        <w:rPr>
          <w:rFonts w:eastAsiaTheme="minorEastAsia" w:cs="Times New Roman"/>
          <w:szCs w:val="24"/>
          <w:lang w:val="en-US"/>
        </w:rPr>
        <w:t xml:space="preserve"> </w:t>
      </w:r>
      <w:r w:rsidRPr="00802F1A">
        <w:rPr>
          <w:rFonts w:eastAsiaTheme="minorEastAsia" w:cs="Times New Roman"/>
          <w:szCs w:val="24"/>
          <w:lang w:val="en-US"/>
        </w:rPr>
        <w:t>Considering that energy consumption is predominantly driven by oil (accounting for 51.23% of the share) and is a significant source of CO2 emissions, w</w:t>
      </w:r>
      <w:r w:rsidR="001373B4" w:rsidRPr="00802F1A">
        <w:rPr>
          <w:rFonts w:eastAsiaTheme="minorEastAsia" w:cs="Times New Roman"/>
          <w:szCs w:val="24"/>
          <w:lang w:val="en-US"/>
        </w:rPr>
        <w:t xml:space="preserve">hen </w:t>
      </w:r>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oMath>
      <w:r w:rsidR="001373B4" w:rsidRPr="00802F1A">
        <w:rPr>
          <w:rFonts w:eastAsiaTheme="minorEastAsia" w:cs="Times New Roman"/>
          <w:szCs w:val="24"/>
          <w:lang w:val="en-US"/>
        </w:rPr>
        <w:t xml:space="preserve"> </w:t>
      </w:r>
      <w:r w:rsidR="001A243E" w:rsidRPr="00802F1A">
        <w:rPr>
          <w:rFonts w:eastAsiaTheme="minorEastAsia" w:cs="Times New Roman"/>
          <w:szCs w:val="24"/>
          <w:lang w:val="en-US"/>
        </w:rPr>
        <w:t>pertains to energy diversification</w:t>
      </w:r>
      <w:r w:rsidR="001373B4" w:rsidRPr="00802F1A">
        <w:rPr>
          <w:rFonts w:eastAsiaTheme="minorEastAsia" w:cs="Times New Roman"/>
          <w:szCs w:val="24"/>
          <w:lang w:val="en-US"/>
        </w:rPr>
        <w:t>,</w:t>
      </w:r>
      <w:r w:rsidR="001373B4" w:rsidRPr="00802F1A">
        <w:rPr>
          <w:rFonts w:ascii="Cambria Math" w:hAnsi="Cambria Math" w:cs="Times New Roman"/>
          <w:i/>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Z</m:t>
            </m:r>
          </m:e>
          <m:sub>
            <m:r>
              <w:rPr>
                <w:rFonts w:ascii="Cambria Math" w:hAnsi="Cambria Math" w:cs="Times New Roman"/>
                <w:szCs w:val="24"/>
                <w:lang w:val="en-US"/>
              </w:rPr>
              <m:t>i,t</m:t>
            </m:r>
          </m:sub>
        </m:sSub>
      </m:oMath>
      <w:r w:rsidR="00924DB9" w:rsidRPr="00802F1A">
        <w:rPr>
          <w:rFonts w:eastAsiaTheme="minorEastAsia" w:cs="Times New Roman"/>
          <w:szCs w:val="24"/>
          <w:lang w:val="en-US"/>
        </w:rPr>
        <w:t xml:space="preserve"> </w:t>
      </w:r>
      <w:r w:rsidRPr="00802F1A">
        <w:rPr>
          <w:rFonts w:eastAsiaTheme="minorEastAsia" w:cs="Times New Roman"/>
          <w:szCs w:val="24"/>
          <w:lang w:val="en-US"/>
        </w:rPr>
        <w:t>encompasses oil price and environmental perception, proxied by the human development index (HDI)</w:t>
      </w:r>
      <w:r w:rsidR="001A243E" w:rsidRPr="00802F1A">
        <w:rPr>
          <w:rFonts w:eastAsiaTheme="minorEastAsia" w:cs="Times New Roman"/>
          <w:szCs w:val="24"/>
          <w:lang w:val="en-US"/>
        </w:rPr>
        <w:t xml:space="preserve">. </w:t>
      </w:r>
      <w:r w:rsidRPr="00802F1A">
        <w:rPr>
          <w:rFonts w:eastAsiaTheme="minorEastAsia" w:cs="Times New Roman"/>
          <w:szCs w:val="24"/>
          <w:lang w:val="en-US"/>
        </w:rPr>
        <w:t>For cases where</w:t>
      </w:r>
      <w:r w:rsidR="007F6B18" w:rsidRPr="00802F1A">
        <w:rPr>
          <w:rFonts w:eastAsiaTheme="minorEastAsia" w:cs="Times New Roman"/>
          <w:szCs w:val="24"/>
          <w:lang w:val="en-US"/>
        </w:rPr>
        <w:t xml:space="preserve"> </w:t>
      </w:r>
      <w:bookmarkStart w:id="12" w:name="_Hlk138865236"/>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oMath>
      <w:r w:rsidR="007F6B18" w:rsidRPr="00802F1A">
        <w:rPr>
          <w:rFonts w:eastAsiaTheme="minorEastAsia" w:cs="Times New Roman"/>
          <w:szCs w:val="24"/>
          <w:lang w:val="en-US"/>
        </w:rPr>
        <w:t xml:space="preserve"> </w:t>
      </w:r>
      <w:bookmarkEnd w:id="12"/>
      <w:r w:rsidRPr="00802F1A">
        <w:rPr>
          <w:rFonts w:eastAsiaTheme="minorEastAsia" w:cs="Times New Roman"/>
          <w:szCs w:val="24"/>
          <w:lang w:val="en-US"/>
        </w:rPr>
        <w:t xml:space="preserve">represents financial development, </w:t>
      </w:r>
      <m:oMath>
        <m:sSub>
          <m:sSubPr>
            <m:ctrlPr>
              <w:rPr>
                <w:rFonts w:ascii="Cambria Math" w:hAnsi="Cambria Math" w:cs="Times New Roman"/>
                <w:i/>
                <w:szCs w:val="24"/>
                <w:lang w:val="en-US"/>
              </w:rPr>
            </m:ctrlPr>
          </m:sSubPr>
          <m:e>
            <m:r>
              <w:rPr>
                <w:rFonts w:ascii="Cambria Math" w:hAnsi="Cambria Math" w:cs="Times New Roman"/>
                <w:szCs w:val="24"/>
                <w:lang w:val="en-US"/>
              </w:rPr>
              <m:t>Z</m:t>
            </m:r>
          </m:e>
          <m:sub>
            <m:r>
              <w:rPr>
                <w:rFonts w:ascii="Cambria Math" w:hAnsi="Cambria Math" w:cs="Times New Roman"/>
                <w:szCs w:val="24"/>
                <w:lang w:val="en-US"/>
              </w:rPr>
              <m:t>i,t</m:t>
            </m:r>
          </m:sub>
        </m:sSub>
      </m:oMath>
      <w:r w:rsidRPr="00802F1A">
        <w:rPr>
          <w:rFonts w:eastAsiaTheme="minorEastAsia" w:cs="Times New Roman"/>
          <w:szCs w:val="24"/>
          <w:lang w:val="en-US"/>
        </w:rPr>
        <w:t xml:space="preserve"> incorporates variables related to tourism development, international trading, and unemployment rate, as they are closely linked to the utilization of financial services. In instances where </w:t>
      </w:r>
      <m:oMath>
        <m:sSub>
          <m:sSubPr>
            <m:ctrlPr>
              <w:rPr>
                <w:rFonts w:ascii="Cambria Math" w:hAnsi="Cambria Math" w:cs="Times New Roman"/>
                <w:i/>
                <w:szCs w:val="24"/>
                <w:lang w:val="en-US"/>
              </w:rPr>
            </m:ctrlPr>
          </m:sSubPr>
          <m:e>
            <m:r>
              <w:rPr>
                <w:rFonts w:ascii="Cambria Math" w:hAnsi="Cambria Math" w:cs="Times New Roman"/>
                <w:szCs w:val="24"/>
                <w:lang w:val="en-US"/>
              </w:rPr>
              <m:t>y</m:t>
            </m:r>
          </m:e>
          <m:sub>
            <m:r>
              <w:rPr>
                <w:rFonts w:ascii="Cambria Math" w:hAnsi="Cambria Math" w:cs="Times New Roman"/>
                <w:szCs w:val="24"/>
                <w:lang w:val="en-US"/>
              </w:rPr>
              <m:t>i,t</m:t>
            </m:r>
          </m:sub>
        </m:sSub>
      </m:oMath>
      <w:r w:rsidRPr="00802F1A">
        <w:rPr>
          <w:rFonts w:eastAsiaTheme="minorEastAsia" w:cs="Times New Roman"/>
          <w:szCs w:val="24"/>
          <w:lang w:val="en-US"/>
        </w:rPr>
        <w:t xml:space="preserve"> serves as an indicator of economic development, </w:t>
      </w:r>
      <m:oMath>
        <m:sSub>
          <m:sSubPr>
            <m:ctrlPr>
              <w:rPr>
                <w:rFonts w:ascii="Cambria Math" w:hAnsi="Cambria Math" w:cs="Times New Roman"/>
                <w:i/>
                <w:szCs w:val="24"/>
                <w:lang w:val="en-US"/>
              </w:rPr>
            </m:ctrlPr>
          </m:sSubPr>
          <m:e>
            <m:r>
              <w:rPr>
                <w:rFonts w:ascii="Cambria Math" w:hAnsi="Cambria Math" w:cs="Times New Roman"/>
                <w:szCs w:val="24"/>
                <w:lang w:val="en-US"/>
              </w:rPr>
              <m:t>Z</m:t>
            </m:r>
          </m:e>
          <m:sub>
            <m:r>
              <w:rPr>
                <w:rFonts w:ascii="Cambria Math" w:hAnsi="Cambria Math" w:cs="Times New Roman"/>
                <w:szCs w:val="24"/>
                <w:lang w:val="en-US"/>
              </w:rPr>
              <m:t>i,t</m:t>
            </m:r>
          </m:sub>
        </m:sSub>
      </m:oMath>
      <w:r w:rsidRPr="00802F1A">
        <w:rPr>
          <w:rFonts w:eastAsiaTheme="minorEastAsia" w:cs="Times New Roman"/>
          <w:szCs w:val="24"/>
          <w:lang w:val="en-US"/>
        </w:rPr>
        <w:t xml:space="preserve"> includes capital stock, labor participation (proxied by the unemployment rate), and labor qualification (proxied by HDI), considering that capital and labor are major factors of production.</w:t>
      </w:r>
    </w:p>
    <w:p w14:paraId="3A2ECE7C" w14:textId="77777777" w:rsidR="00613AF7" w:rsidRPr="00802F1A" w:rsidRDefault="00613AF7" w:rsidP="00394594">
      <w:pPr>
        <w:jc w:val="both"/>
        <w:rPr>
          <w:rFonts w:eastAsiaTheme="minorEastAsia" w:cs="Times New Roman"/>
          <w:szCs w:val="24"/>
          <w:lang w:val="en-US"/>
        </w:rPr>
      </w:pPr>
    </w:p>
    <w:p w14:paraId="021DDF3D" w14:textId="5B2EAD9D" w:rsidR="00394594" w:rsidRPr="00802F1A" w:rsidRDefault="00613AF7" w:rsidP="00394594">
      <w:pPr>
        <w:jc w:val="both"/>
        <w:rPr>
          <w:rFonts w:eastAsiaTheme="minorEastAsia" w:cs="Times New Roman"/>
          <w:szCs w:val="24"/>
          <w:lang w:val="en-US"/>
        </w:rPr>
      </w:pPr>
      <w:r w:rsidRPr="00802F1A">
        <w:rPr>
          <w:rFonts w:eastAsiaTheme="minorEastAsia" w:cs="Times New Roman"/>
          <w:szCs w:val="24"/>
          <w:lang w:val="en-US"/>
        </w:rPr>
        <w:t xml:space="preserve">To obtain reliable results for Eq.6, an appropriate estimator is selected based on the outcomes of the Breusch-Pagan test (OLS versus random effects), Hausman test (fixed effects versus random effects), and F-test (fixed effects versus OLS and random effects). Additionally, the specification for the standard error is determined by considering the results of the Modified Wald test for heteroskedasticity, </w:t>
      </w:r>
      <w:proofErr w:type="spellStart"/>
      <w:r w:rsidRPr="00802F1A">
        <w:rPr>
          <w:rFonts w:eastAsiaTheme="minorEastAsia" w:cs="Times New Roman"/>
          <w:szCs w:val="24"/>
          <w:lang w:val="en-US"/>
        </w:rPr>
        <w:t>Pesaran</w:t>
      </w:r>
      <w:proofErr w:type="spellEnd"/>
      <w:r w:rsidRPr="00802F1A">
        <w:rPr>
          <w:rFonts w:eastAsiaTheme="minorEastAsia" w:cs="Times New Roman"/>
          <w:szCs w:val="24"/>
          <w:lang w:val="en-US"/>
        </w:rPr>
        <w:t xml:space="preserve"> test for cross-sectional dependence, and Wooldridge test for autocorrelation.</w:t>
      </w:r>
    </w:p>
    <w:p w14:paraId="06B7CFAC" w14:textId="77777777" w:rsidR="00E52E87" w:rsidRPr="00802F1A" w:rsidRDefault="00E52E87" w:rsidP="002E0E83">
      <w:pPr>
        <w:rPr>
          <w:rFonts w:cs="Times New Roman"/>
          <w:szCs w:val="24"/>
          <w:lang w:val="en-US"/>
        </w:rPr>
      </w:pPr>
    </w:p>
    <w:p w14:paraId="11EC8E52" w14:textId="77777777" w:rsidR="004D5AD8" w:rsidRPr="00802F1A" w:rsidRDefault="004D5AD8" w:rsidP="0053308A">
      <w:pPr>
        <w:pStyle w:val="Heading2"/>
        <w:rPr>
          <w:lang w:val="en-US"/>
        </w:rPr>
      </w:pPr>
      <w:r w:rsidRPr="00802F1A">
        <w:rPr>
          <w:lang w:val="en-US"/>
        </w:rPr>
        <w:t>Data</w:t>
      </w:r>
    </w:p>
    <w:p w14:paraId="34148960" w14:textId="77777777" w:rsidR="00116008" w:rsidRPr="00802F1A" w:rsidRDefault="00116008" w:rsidP="00116008">
      <w:pPr>
        <w:jc w:val="both"/>
        <w:rPr>
          <w:rFonts w:cs="Times New Roman"/>
          <w:szCs w:val="24"/>
          <w:lang w:val="en-US"/>
        </w:rPr>
      </w:pPr>
      <w:r w:rsidRPr="00802F1A">
        <w:rPr>
          <w:rFonts w:cs="Times New Roman"/>
          <w:szCs w:val="24"/>
          <w:lang w:val="en-US"/>
        </w:rPr>
        <w:t xml:space="preserve">Our sample encompasses 134 countries from 1995 to 2019, representing various income groups and regions. Table 1 provides concise descriptions and key statistics for the variables utilized in this study, along with their respective data sources. The table reveals considerable variations among countries and demonstrates a distinct trend for most variables. On average, the concentration index of energy consumption sources decreases by 0.2 points per year, per-capita </w:t>
      </w:r>
      <w:r w:rsidRPr="00802F1A">
        <w:rPr>
          <w:rFonts w:cs="Times New Roman"/>
          <w:szCs w:val="24"/>
          <w:lang w:val="en-US"/>
        </w:rPr>
        <w:lastRenderedPageBreak/>
        <w:t>income exhibits an annual increase of $362 (PPP), and the financial development index improves by 0.4 points per year. The statistical significance of the "trend" variable for all three variables indicates that technological progress, represented by the linear trend, significantly and positively contributes to energy diversification, economic growth, and financial development. This finding supports the hypothesis of synergies among these three aspects and the formation of convergence clusters (Hypothesis 1).</w:t>
      </w:r>
    </w:p>
    <w:p w14:paraId="12E6E4B8" w14:textId="77777777" w:rsidR="00116008" w:rsidRPr="00802F1A" w:rsidRDefault="00116008" w:rsidP="00116008">
      <w:pPr>
        <w:jc w:val="both"/>
        <w:rPr>
          <w:rFonts w:cs="Times New Roman"/>
          <w:szCs w:val="24"/>
          <w:lang w:val="en-US"/>
        </w:rPr>
      </w:pPr>
    </w:p>
    <w:p w14:paraId="438A4D94" w14:textId="31F65E97" w:rsidR="004D5AD8" w:rsidRPr="00802F1A" w:rsidRDefault="00116008" w:rsidP="007A6237">
      <w:pPr>
        <w:jc w:val="both"/>
        <w:rPr>
          <w:rFonts w:eastAsia="Times New Roman" w:cs="Times New Roman"/>
          <w:sz w:val="16"/>
          <w:szCs w:val="16"/>
          <w:lang w:eastAsia="en-AU"/>
        </w:rPr>
        <w:sectPr w:rsidR="004D5AD8" w:rsidRPr="00802F1A">
          <w:footerReference w:type="default" r:id="rId8"/>
          <w:pgSz w:w="11906" w:h="16838"/>
          <w:pgMar w:top="1440" w:right="1440" w:bottom="1440" w:left="1440" w:header="708" w:footer="708" w:gutter="0"/>
          <w:cols w:space="708"/>
          <w:docGrid w:linePitch="360"/>
        </w:sectPr>
      </w:pPr>
      <w:r w:rsidRPr="00802F1A">
        <w:rPr>
          <w:rFonts w:cs="Times New Roman"/>
          <w:szCs w:val="24"/>
          <w:lang w:val="en-US"/>
        </w:rPr>
        <w:t>The average annual increase in oil price is approximately US$2.583. Non-oil-based energy development necessitates substantial long-term capital investment. Consequently, when oil prices are low, non-oil energy prices tend to be less competitive. However, as oil prices rise, the demand can shift from oil to non-oil energy sources. Therefore, we anticipate a U-shaped relationship between oil price and energy diversification. A greater abundance of production factors leads to increased value in an economy's final goods and services. Hence, physical capital, human capital, and labor participation are expected to positively contribute to per-capita income. Furthermore, a more open economy, higher international tourist arrivals, and a lower unemployment rate are likely to foster increased utilization of financial services (such as foreign exchange, payment, lending, depositing, and investing). Accordingly, employment, international tourist receipts, and international trade are expected to enhance financial development.</w:t>
      </w:r>
    </w:p>
    <w:p w14:paraId="2BCEF345" w14:textId="554A8E39" w:rsidR="004D5AD8" w:rsidRPr="00802F1A" w:rsidRDefault="004D5AD8" w:rsidP="004D5AD8">
      <w:pPr>
        <w:rPr>
          <w:rFonts w:cs="Times New Roman"/>
          <w:sz w:val="22"/>
          <w:lang w:val="en-US"/>
        </w:rPr>
      </w:pPr>
      <w:r w:rsidRPr="00802F1A">
        <w:rPr>
          <w:rFonts w:cs="Times New Roman"/>
          <w:sz w:val="22"/>
          <w:lang w:val="en-US"/>
        </w:rPr>
        <w:lastRenderedPageBreak/>
        <w:t>Table</w:t>
      </w:r>
      <w:r w:rsidR="003D68E9" w:rsidRPr="00802F1A">
        <w:rPr>
          <w:rFonts w:cs="Times New Roman"/>
          <w:sz w:val="22"/>
          <w:lang w:val="en-US"/>
        </w:rPr>
        <w:t xml:space="preserve"> 1</w:t>
      </w:r>
      <w:r w:rsidRPr="00802F1A">
        <w:rPr>
          <w:rFonts w:cs="Times New Roman"/>
          <w:sz w:val="22"/>
          <w:lang w:val="en-US"/>
        </w:rPr>
        <w:t xml:space="preserve">: Summary definition, </w:t>
      </w:r>
      <w:r w:rsidR="004A076E" w:rsidRPr="00802F1A">
        <w:rPr>
          <w:rFonts w:cs="Times New Roman"/>
          <w:sz w:val="22"/>
          <w:lang w:val="en-US"/>
        </w:rPr>
        <w:t>statistics,</w:t>
      </w:r>
      <w:r w:rsidRPr="00802F1A">
        <w:rPr>
          <w:rFonts w:cs="Times New Roman"/>
          <w:sz w:val="22"/>
          <w:lang w:val="en-US"/>
        </w:rPr>
        <w:t xml:space="preserve"> and sources of the full panel data set</w:t>
      </w:r>
    </w:p>
    <w:tbl>
      <w:tblPr>
        <w:tblW w:w="14430" w:type="dxa"/>
        <w:tblLayout w:type="fixed"/>
        <w:tblCellMar>
          <w:left w:w="0" w:type="dxa"/>
          <w:right w:w="0" w:type="dxa"/>
        </w:tblCellMar>
        <w:tblLook w:val="04A0" w:firstRow="1" w:lastRow="0" w:firstColumn="1" w:lastColumn="0" w:noHBand="0" w:noVBand="1"/>
      </w:tblPr>
      <w:tblGrid>
        <w:gridCol w:w="1400"/>
        <w:gridCol w:w="5260"/>
        <w:gridCol w:w="480"/>
        <w:gridCol w:w="540"/>
        <w:gridCol w:w="630"/>
        <w:gridCol w:w="630"/>
        <w:gridCol w:w="630"/>
        <w:gridCol w:w="325"/>
        <w:gridCol w:w="17"/>
        <w:gridCol w:w="4518"/>
      </w:tblGrid>
      <w:tr w:rsidR="00802F1A" w:rsidRPr="00802F1A" w14:paraId="05C740A6" w14:textId="77777777" w:rsidTr="001A5A7B">
        <w:trPr>
          <w:trHeight w:hRule="exact" w:val="245"/>
        </w:trPr>
        <w:tc>
          <w:tcPr>
            <w:tcW w:w="1400" w:type="dxa"/>
            <w:tcBorders>
              <w:top w:val="single" w:sz="4" w:space="0" w:color="auto"/>
              <w:left w:val="nil"/>
              <w:bottom w:val="single" w:sz="4" w:space="0" w:color="auto"/>
              <w:right w:val="nil"/>
            </w:tcBorders>
            <w:shd w:val="clear" w:color="auto" w:fill="auto"/>
            <w:noWrap/>
            <w:vAlign w:val="bottom"/>
            <w:hideMark/>
          </w:tcPr>
          <w:p w14:paraId="6C36D084" w14:textId="77777777" w:rsidR="00BB7499" w:rsidRPr="00802F1A" w:rsidRDefault="00BB7499" w:rsidP="00BB7499">
            <w:pPr>
              <w:spacing w:line="240" w:lineRule="auto"/>
              <w:rPr>
                <w:rFonts w:eastAsia="Times New Roman" w:cs="Times New Roman"/>
                <w:sz w:val="16"/>
                <w:szCs w:val="16"/>
                <w:lang w:eastAsia="en-AU"/>
              </w:rPr>
            </w:pPr>
            <w:r w:rsidRPr="00802F1A">
              <w:rPr>
                <w:rFonts w:eastAsia="Times New Roman" w:cs="Times New Roman"/>
                <w:sz w:val="16"/>
                <w:szCs w:val="16"/>
                <w:lang w:eastAsia="en-AU"/>
              </w:rPr>
              <w:t>Variables</w:t>
            </w:r>
          </w:p>
        </w:tc>
        <w:tc>
          <w:tcPr>
            <w:tcW w:w="5260" w:type="dxa"/>
            <w:tcBorders>
              <w:top w:val="single" w:sz="4" w:space="0" w:color="auto"/>
              <w:left w:val="nil"/>
              <w:bottom w:val="single" w:sz="4" w:space="0" w:color="auto"/>
              <w:right w:val="nil"/>
            </w:tcBorders>
            <w:shd w:val="clear" w:color="auto" w:fill="auto"/>
            <w:noWrap/>
            <w:vAlign w:val="bottom"/>
            <w:hideMark/>
          </w:tcPr>
          <w:p w14:paraId="0DEA4F8B" w14:textId="77777777" w:rsidR="00BB7499" w:rsidRPr="00802F1A" w:rsidRDefault="00BB7499" w:rsidP="00BB7499">
            <w:pPr>
              <w:spacing w:line="240" w:lineRule="auto"/>
              <w:rPr>
                <w:rFonts w:eastAsia="Times New Roman" w:cs="Times New Roman"/>
                <w:sz w:val="16"/>
                <w:szCs w:val="16"/>
                <w:lang w:eastAsia="en-AU"/>
              </w:rPr>
            </w:pPr>
            <w:r w:rsidRPr="00802F1A">
              <w:rPr>
                <w:rFonts w:eastAsia="Times New Roman" w:cs="Times New Roman"/>
                <w:sz w:val="16"/>
                <w:szCs w:val="16"/>
                <w:lang w:eastAsia="en-AU"/>
              </w:rPr>
              <w:t>Definition</w:t>
            </w:r>
          </w:p>
        </w:tc>
        <w:tc>
          <w:tcPr>
            <w:tcW w:w="480" w:type="dxa"/>
            <w:tcBorders>
              <w:top w:val="single" w:sz="4" w:space="0" w:color="auto"/>
              <w:left w:val="nil"/>
              <w:bottom w:val="single" w:sz="4" w:space="0" w:color="auto"/>
              <w:right w:val="nil"/>
            </w:tcBorders>
            <w:shd w:val="clear" w:color="auto" w:fill="auto"/>
            <w:noWrap/>
            <w:vAlign w:val="bottom"/>
            <w:hideMark/>
          </w:tcPr>
          <w:p w14:paraId="70FA3713" w14:textId="77777777" w:rsidR="00BB7499" w:rsidRPr="00802F1A" w:rsidRDefault="00BB7499" w:rsidP="00BB7499">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Mean</w:t>
            </w:r>
          </w:p>
        </w:tc>
        <w:tc>
          <w:tcPr>
            <w:tcW w:w="540" w:type="dxa"/>
            <w:tcBorders>
              <w:top w:val="single" w:sz="4" w:space="0" w:color="auto"/>
              <w:left w:val="nil"/>
              <w:bottom w:val="single" w:sz="4" w:space="0" w:color="auto"/>
              <w:right w:val="nil"/>
            </w:tcBorders>
            <w:shd w:val="clear" w:color="auto" w:fill="auto"/>
            <w:noWrap/>
            <w:vAlign w:val="bottom"/>
            <w:hideMark/>
          </w:tcPr>
          <w:p w14:paraId="4A1FBADB" w14:textId="77777777" w:rsidR="00BB7499" w:rsidRPr="00802F1A" w:rsidRDefault="00BB7499" w:rsidP="00BB7499">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SD</w:t>
            </w:r>
          </w:p>
        </w:tc>
        <w:tc>
          <w:tcPr>
            <w:tcW w:w="630" w:type="dxa"/>
            <w:tcBorders>
              <w:top w:val="single" w:sz="4" w:space="0" w:color="auto"/>
              <w:left w:val="nil"/>
              <w:bottom w:val="single" w:sz="4" w:space="0" w:color="auto"/>
              <w:right w:val="nil"/>
            </w:tcBorders>
            <w:shd w:val="clear" w:color="auto" w:fill="auto"/>
            <w:noWrap/>
            <w:vAlign w:val="bottom"/>
            <w:hideMark/>
          </w:tcPr>
          <w:p w14:paraId="3E502D37" w14:textId="77777777" w:rsidR="00BB7499" w:rsidRPr="00802F1A" w:rsidRDefault="00BB7499" w:rsidP="00BB7499">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Min</w:t>
            </w:r>
          </w:p>
        </w:tc>
        <w:tc>
          <w:tcPr>
            <w:tcW w:w="630" w:type="dxa"/>
            <w:tcBorders>
              <w:top w:val="single" w:sz="4" w:space="0" w:color="auto"/>
              <w:left w:val="nil"/>
              <w:bottom w:val="single" w:sz="4" w:space="0" w:color="auto"/>
              <w:right w:val="nil"/>
            </w:tcBorders>
            <w:shd w:val="clear" w:color="auto" w:fill="auto"/>
            <w:noWrap/>
            <w:vAlign w:val="bottom"/>
            <w:hideMark/>
          </w:tcPr>
          <w:p w14:paraId="24E35FAA" w14:textId="77777777" w:rsidR="00BB7499" w:rsidRPr="00802F1A" w:rsidRDefault="00BB7499" w:rsidP="00BB7499">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Max</w:t>
            </w:r>
          </w:p>
        </w:tc>
        <w:tc>
          <w:tcPr>
            <w:tcW w:w="630" w:type="dxa"/>
            <w:tcBorders>
              <w:top w:val="single" w:sz="4" w:space="0" w:color="auto"/>
              <w:left w:val="nil"/>
              <w:bottom w:val="single" w:sz="4" w:space="0" w:color="auto"/>
              <w:right w:val="nil"/>
            </w:tcBorders>
            <w:shd w:val="clear" w:color="auto" w:fill="auto"/>
            <w:noWrap/>
            <w:vAlign w:val="bottom"/>
            <w:hideMark/>
          </w:tcPr>
          <w:p w14:paraId="41D9B794" w14:textId="77777777" w:rsidR="00BB7499" w:rsidRPr="00802F1A" w:rsidRDefault="00BB7499" w:rsidP="00BB7499">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Trend</w:t>
            </w:r>
          </w:p>
        </w:tc>
        <w:tc>
          <w:tcPr>
            <w:tcW w:w="342" w:type="dxa"/>
            <w:gridSpan w:val="2"/>
            <w:tcBorders>
              <w:top w:val="single" w:sz="4" w:space="0" w:color="auto"/>
              <w:left w:val="nil"/>
              <w:bottom w:val="single" w:sz="4" w:space="0" w:color="auto"/>
              <w:right w:val="nil"/>
            </w:tcBorders>
            <w:shd w:val="clear" w:color="auto" w:fill="auto"/>
            <w:noWrap/>
            <w:vAlign w:val="bottom"/>
            <w:hideMark/>
          </w:tcPr>
          <w:p w14:paraId="586472CB" w14:textId="77777777" w:rsidR="00BB7499" w:rsidRPr="00802F1A" w:rsidRDefault="00BB7499" w:rsidP="00BB7499">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4518" w:type="dxa"/>
            <w:tcBorders>
              <w:top w:val="single" w:sz="4" w:space="0" w:color="auto"/>
              <w:left w:val="nil"/>
              <w:bottom w:val="single" w:sz="4" w:space="0" w:color="auto"/>
              <w:right w:val="nil"/>
            </w:tcBorders>
            <w:shd w:val="clear" w:color="auto" w:fill="auto"/>
            <w:vAlign w:val="center"/>
            <w:hideMark/>
          </w:tcPr>
          <w:p w14:paraId="2094C145" w14:textId="77777777" w:rsidR="00BB7499" w:rsidRPr="00802F1A" w:rsidRDefault="00BB7499" w:rsidP="00BB7499">
            <w:pPr>
              <w:spacing w:line="240" w:lineRule="auto"/>
              <w:rPr>
                <w:rFonts w:eastAsia="Times New Roman" w:cs="Times New Roman"/>
                <w:sz w:val="16"/>
                <w:szCs w:val="16"/>
                <w:lang w:eastAsia="en-AU"/>
              </w:rPr>
            </w:pPr>
            <w:r w:rsidRPr="00802F1A">
              <w:rPr>
                <w:rFonts w:eastAsia="Times New Roman" w:cs="Times New Roman"/>
                <w:sz w:val="16"/>
                <w:szCs w:val="16"/>
                <w:lang w:eastAsia="en-AU"/>
              </w:rPr>
              <w:t>Data source</w:t>
            </w:r>
          </w:p>
        </w:tc>
      </w:tr>
      <w:tr w:rsidR="00802F1A" w:rsidRPr="00802F1A" w14:paraId="76638D3D" w14:textId="77777777" w:rsidTr="001A5A7B">
        <w:trPr>
          <w:trHeight w:hRule="exact" w:val="245"/>
        </w:trPr>
        <w:tc>
          <w:tcPr>
            <w:tcW w:w="9895" w:type="dxa"/>
            <w:gridSpan w:val="8"/>
            <w:tcBorders>
              <w:top w:val="single" w:sz="4" w:space="0" w:color="auto"/>
              <w:left w:val="nil"/>
              <w:bottom w:val="nil"/>
              <w:right w:val="nil"/>
            </w:tcBorders>
            <w:shd w:val="clear" w:color="auto" w:fill="auto"/>
            <w:noWrap/>
            <w:vAlign w:val="bottom"/>
            <w:hideMark/>
          </w:tcPr>
          <w:p w14:paraId="4807C5D8" w14:textId="77777777" w:rsidR="00BB7499" w:rsidRPr="00802F1A" w:rsidRDefault="00BB7499" w:rsidP="00BB7499">
            <w:pPr>
              <w:spacing w:line="240" w:lineRule="auto"/>
              <w:rPr>
                <w:rFonts w:eastAsia="Times New Roman" w:cs="Times New Roman"/>
                <w:b/>
                <w:bCs/>
                <w:i/>
                <w:iCs/>
                <w:sz w:val="16"/>
                <w:szCs w:val="16"/>
                <w:lang w:eastAsia="en-AU"/>
              </w:rPr>
            </w:pPr>
            <w:r w:rsidRPr="00802F1A">
              <w:rPr>
                <w:rFonts w:eastAsia="Times New Roman" w:cs="Times New Roman"/>
                <w:b/>
                <w:bCs/>
                <w:i/>
                <w:iCs/>
                <w:sz w:val="16"/>
                <w:szCs w:val="16"/>
                <w:lang w:eastAsia="en-AU"/>
              </w:rPr>
              <w:t>Energy diversification</w:t>
            </w:r>
          </w:p>
        </w:tc>
        <w:tc>
          <w:tcPr>
            <w:tcW w:w="4535" w:type="dxa"/>
            <w:gridSpan w:val="2"/>
            <w:tcBorders>
              <w:top w:val="nil"/>
              <w:left w:val="nil"/>
              <w:bottom w:val="nil"/>
              <w:right w:val="nil"/>
            </w:tcBorders>
            <w:shd w:val="clear" w:color="auto" w:fill="auto"/>
            <w:vAlign w:val="bottom"/>
            <w:hideMark/>
          </w:tcPr>
          <w:p w14:paraId="6D3DC961" w14:textId="77777777" w:rsidR="00BB7499" w:rsidRPr="00802F1A" w:rsidRDefault="00BB7499" w:rsidP="00BB7499">
            <w:pPr>
              <w:spacing w:line="240" w:lineRule="auto"/>
              <w:rPr>
                <w:rFonts w:eastAsia="Times New Roman" w:cs="Times New Roman"/>
                <w:b/>
                <w:bCs/>
                <w:i/>
                <w:iCs/>
                <w:sz w:val="16"/>
                <w:szCs w:val="16"/>
                <w:lang w:eastAsia="en-AU"/>
              </w:rPr>
            </w:pPr>
          </w:p>
        </w:tc>
      </w:tr>
      <w:tr w:rsidR="00802F1A" w:rsidRPr="00802F1A" w14:paraId="0EC91C5D" w14:textId="77777777" w:rsidTr="001A5A7B">
        <w:trPr>
          <w:trHeight w:hRule="exact" w:val="603"/>
        </w:trPr>
        <w:tc>
          <w:tcPr>
            <w:tcW w:w="1400" w:type="dxa"/>
            <w:tcBorders>
              <w:top w:val="nil"/>
              <w:left w:val="nil"/>
              <w:bottom w:val="nil"/>
              <w:right w:val="nil"/>
            </w:tcBorders>
            <w:shd w:val="clear" w:color="auto" w:fill="auto"/>
            <w:noWrap/>
            <w:hideMark/>
          </w:tcPr>
          <w:p w14:paraId="642E58DD" w14:textId="595CA727" w:rsidR="00885CC8" w:rsidRPr="00802F1A" w:rsidRDefault="008D7387"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val="vi-VN" w:eastAsia="en-AU"/>
              </w:rPr>
              <w:t xml:space="preserve">Energy </w:t>
            </w:r>
            <w:r w:rsidR="00885CC8" w:rsidRPr="00802F1A">
              <w:rPr>
                <w:rFonts w:eastAsia="Times New Roman" w:cs="Times New Roman"/>
                <w:i/>
                <w:iCs/>
                <w:sz w:val="16"/>
                <w:szCs w:val="16"/>
                <w:lang w:eastAsia="en-AU"/>
              </w:rPr>
              <w:t>HHI</w:t>
            </w:r>
          </w:p>
        </w:tc>
        <w:tc>
          <w:tcPr>
            <w:tcW w:w="5260" w:type="dxa"/>
            <w:tcBorders>
              <w:top w:val="nil"/>
              <w:left w:val="nil"/>
              <w:bottom w:val="nil"/>
              <w:right w:val="nil"/>
            </w:tcBorders>
            <w:shd w:val="clear" w:color="auto" w:fill="auto"/>
            <w:noWrap/>
            <w:hideMark/>
          </w:tcPr>
          <w:p w14:paraId="6114124A" w14:textId="3260A94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Author's calculation using Eq.</w:t>
            </w:r>
            <w:r w:rsidR="007C6FEC" w:rsidRPr="00802F1A">
              <w:rPr>
                <w:rFonts w:eastAsia="Times New Roman" w:cs="Times New Roman"/>
                <w:sz w:val="16"/>
                <w:szCs w:val="16"/>
                <w:lang w:eastAsia="en-AU"/>
              </w:rPr>
              <w:t xml:space="preserve">1 </w:t>
            </w:r>
            <w:r w:rsidRPr="00802F1A">
              <w:rPr>
                <w:rFonts w:eastAsia="Times New Roman" w:cs="Times New Roman"/>
                <w:sz w:val="16"/>
                <w:szCs w:val="16"/>
                <w:lang w:eastAsia="en-AU"/>
              </w:rPr>
              <w:t>on the data of energy consumption</w:t>
            </w:r>
            <w:r w:rsidR="007C6FEC" w:rsidRPr="00802F1A">
              <w:t xml:space="preserve"> </w:t>
            </w:r>
            <w:r w:rsidR="007C6FEC" w:rsidRPr="00802F1A">
              <w:rPr>
                <w:rFonts w:eastAsia="Times New Roman" w:cs="Times New Roman"/>
                <w:sz w:val="16"/>
                <w:szCs w:val="16"/>
                <w:lang w:eastAsia="en-AU"/>
              </w:rPr>
              <w:t>sources</w:t>
            </w:r>
            <w:r w:rsidRPr="00802F1A">
              <w:rPr>
                <w:rFonts w:eastAsia="Times New Roman" w:cs="Times New Roman"/>
                <w:sz w:val="16"/>
                <w:szCs w:val="16"/>
                <w:lang w:eastAsia="en-AU"/>
              </w:rPr>
              <w:t xml:space="preserve">: </w:t>
            </w:r>
            <w:proofErr w:type="spellStart"/>
            <w:r w:rsidRPr="00802F1A">
              <w:rPr>
                <w:rFonts w:eastAsia="Times New Roman" w:cs="Times New Roman"/>
                <w:sz w:val="16"/>
                <w:szCs w:val="16"/>
                <w:lang w:eastAsia="en-AU"/>
              </w:rPr>
              <w:t>i</w:t>
            </w:r>
            <w:proofErr w:type="spellEnd"/>
            <w:r w:rsidRPr="00802F1A">
              <w:rPr>
                <w:rFonts w:eastAsia="Times New Roman" w:cs="Times New Roman"/>
                <w:sz w:val="16"/>
                <w:szCs w:val="16"/>
                <w:lang w:eastAsia="en-AU"/>
              </w:rPr>
              <w:t>) renewable energy, ii) coal, iii) natural gas, iv) petroleum and other liquids, and v) nuclear.</w:t>
            </w:r>
          </w:p>
        </w:tc>
        <w:tc>
          <w:tcPr>
            <w:tcW w:w="480" w:type="dxa"/>
            <w:tcBorders>
              <w:top w:val="nil"/>
              <w:left w:val="nil"/>
              <w:bottom w:val="nil"/>
              <w:right w:val="nil"/>
            </w:tcBorders>
            <w:shd w:val="clear" w:color="auto" w:fill="auto"/>
            <w:noWrap/>
            <w:hideMark/>
          </w:tcPr>
          <w:p w14:paraId="5A0E9253"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0.33</w:t>
            </w:r>
          </w:p>
        </w:tc>
        <w:tc>
          <w:tcPr>
            <w:tcW w:w="540" w:type="dxa"/>
            <w:tcBorders>
              <w:top w:val="nil"/>
              <w:left w:val="nil"/>
              <w:bottom w:val="nil"/>
              <w:right w:val="nil"/>
            </w:tcBorders>
            <w:shd w:val="clear" w:color="auto" w:fill="auto"/>
            <w:noWrap/>
            <w:hideMark/>
          </w:tcPr>
          <w:p w14:paraId="7C105423"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0.23</w:t>
            </w:r>
          </w:p>
        </w:tc>
        <w:tc>
          <w:tcPr>
            <w:tcW w:w="630" w:type="dxa"/>
            <w:tcBorders>
              <w:top w:val="nil"/>
              <w:left w:val="nil"/>
              <w:bottom w:val="nil"/>
              <w:right w:val="nil"/>
            </w:tcBorders>
            <w:shd w:val="clear" w:color="auto" w:fill="auto"/>
            <w:noWrap/>
            <w:hideMark/>
          </w:tcPr>
          <w:p w14:paraId="1978C8B0" w14:textId="36AF48BA" w:rsidR="00885CC8" w:rsidRPr="00802F1A" w:rsidRDefault="002E40F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0.00006</w:t>
            </w:r>
          </w:p>
        </w:tc>
        <w:tc>
          <w:tcPr>
            <w:tcW w:w="630" w:type="dxa"/>
            <w:tcBorders>
              <w:top w:val="nil"/>
              <w:left w:val="nil"/>
              <w:bottom w:val="nil"/>
              <w:right w:val="nil"/>
            </w:tcBorders>
            <w:shd w:val="clear" w:color="auto" w:fill="auto"/>
            <w:noWrap/>
            <w:hideMark/>
          </w:tcPr>
          <w:p w14:paraId="49B7D916"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0.99</w:t>
            </w:r>
          </w:p>
        </w:tc>
        <w:tc>
          <w:tcPr>
            <w:tcW w:w="630" w:type="dxa"/>
            <w:tcBorders>
              <w:top w:val="nil"/>
              <w:left w:val="nil"/>
              <w:bottom w:val="nil"/>
              <w:right w:val="nil"/>
            </w:tcBorders>
            <w:shd w:val="clear" w:color="auto" w:fill="auto"/>
            <w:noWrap/>
            <w:hideMark/>
          </w:tcPr>
          <w:p w14:paraId="2D0FEFF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-0.002</w:t>
            </w:r>
          </w:p>
        </w:tc>
        <w:tc>
          <w:tcPr>
            <w:tcW w:w="342" w:type="dxa"/>
            <w:gridSpan w:val="2"/>
            <w:tcBorders>
              <w:top w:val="nil"/>
              <w:left w:val="nil"/>
              <w:bottom w:val="nil"/>
              <w:right w:val="nil"/>
            </w:tcBorders>
            <w:shd w:val="clear" w:color="auto" w:fill="auto"/>
            <w:noWrap/>
            <w:hideMark/>
          </w:tcPr>
          <w:p w14:paraId="5775C1CD"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5B98C4F7" w14:textId="77777777" w:rsidR="00885CC8" w:rsidRPr="00802F1A" w:rsidRDefault="004F6E57" w:rsidP="00885CC8">
            <w:pPr>
              <w:spacing w:line="240" w:lineRule="auto"/>
              <w:rPr>
                <w:rFonts w:eastAsia="Times New Roman" w:cs="Times New Roman"/>
                <w:sz w:val="16"/>
                <w:szCs w:val="16"/>
                <w:u w:val="single"/>
                <w:lang w:eastAsia="en-AU"/>
              </w:rPr>
            </w:pPr>
            <w:hyperlink r:id="rId9" w:history="1">
              <w:r w:rsidR="00885CC8" w:rsidRPr="00802F1A">
                <w:rPr>
                  <w:rFonts w:eastAsia="Times New Roman" w:cs="Times New Roman"/>
                  <w:sz w:val="16"/>
                  <w:szCs w:val="16"/>
                  <w:u w:val="single"/>
                  <w:lang w:eastAsia="en-AU"/>
                </w:rPr>
                <w:t>https://www.eia.gov/</w:t>
              </w:r>
            </w:hyperlink>
          </w:p>
        </w:tc>
      </w:tr>
      <w:tr w:rsidR="00802F1A" w:rsidRPr="00802F1A" w14:paraId="32E93102" w14:textId="77777777" w:rsidTr="001A5A7B">
        <w:trPr>
          <w:trHeight w:hRule="exact" w:val="245"/>
        </w:trPr>
        <w:tc>
          <w:tcPr>
            <w:tcW w:w="14430" w:type="dxa"/>
            <w:gridSpan w:val="10"/>
            <w:tcBorders>
              <w:top w:val="nil"/>
              <w:left w:val="nil"/>
              <w:bottom w:val="nil"/>
              <w:right w:val="nil"/>
            </w:tcBorders>
            <w:shd w:val="clear" w:color="auto" w:fill="auto"/>
            <w:noWrap/>
            <w:hideMark/>
          </w:tcPr>
          <w:p w14:paraId="5A02A7B8" w14:textId="6FEE0727" w:rsidR="00362420" w:rsidRPr="00802F1A" w:rsidRDefault="00362420" w:rsidP="00885CC8">
            <w:pPr>
              <w:spacing w:line="240" w:lineRule="auto"/>
              <w:rPr>
                <w:rFonts w:eastAsia="Times New Roman" w:cs="Times New Roman"/>
                <w:b/>
                <w:bCs/>
                <w:sz w:val="20"/>
                <w:szCs w:val="20"/>
                <w:lang w:eastAsia="en-AU"/>
              </w:rPr>
            </w:pPr>
            <w:r w:rsidRPr="00802F1A">
              <w:rPr>
                <w:rFonts w:eastAsia="Times New Roman" w:cs="Times New Roman"/>
                <w:b/>
                <w:bCs/>
                <w:i/>
                <w:iCs/>
                <w:sz w:val="16"/>
                <w:szCs w:val="16"/>
                <w:lang w:eastAsia="en-AU"/>
              </w:rPr>
              <w:t xml:space="preserve">Economic </w:t>
            </w:r>
            <w:r w:rsidRPr="00802F1A">
              <w:rPr>
                <w:rFonts w:eastAsia="Times New Roman" w:cs="Times New Roman"/>
                <w:b/>
                <w:bCs/>
                <w:i/>
                <w:iCs/>
                <w:sz w:val="16"/>
                <w:szCs w:val="16"/>
                <w:lang w:val="vi-VN" w:eastAsia="en-AU"/>
              </w:rPr>
              <w:t>development</w:t>
            </w:r>
          </w:p>
        </w:tc>
      </w:tr>
      <w:tr w:rsidR="00802F1A" w:rsidRPr="00802F1A" w14:paraId="63F2A036" w14:textId="77777777" w:rsidTr="001A5A7B">
        <w:trPr>
          <w:trHeight w:hRule="exact" w:val="245"/>
        </w:trPr>
        <w:tc>
          <w:tcPr>
            <w:tcW w:w="1400" w:type="dxa"/>
            <w:tcBorders>
              <w:top w:val="nil"/>
              <w:left w:val="nil"/>
              <w:bottom w:val="nil"/>
              <w:right w:val="nil"/>
            </w:tcBorders>
            <w:shd w:val="clear" w:color="auto" w:fill="auto"/>
            <w:noWrap/>
            <w:hideMark/>
          </w:tcPr>
          <w:p w14:paraId="3709FA89" w14:textId="26A96078" w:rsidR="00885CC8" w:rsidRPr="00802F1A" w:rsidRDefault="00156BF0"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Per</w:t>
            </w:r>
            <w:r w:rsidR="00333551" w:rsidRPr="00802F1A">
              <w:rPr>
                <w:rFonts w:eastAsia="Times New Roman" w:cs="Times New Roman"/>
                <w:i/>
                <w:iCs/>
                <w:sz w:val="16"/>
                <w:szCs w:val="16"/>
                <w:lang w:eastAsia="en-AU"/>
              </w:rPr>
              <w:t>-</w:t>
            </w:r>
            <w:r w:rsidRPr="00802F1A">
              <w:rPr>
                <w:rFonts w:eastAsia="Times New Roman" w:cs="Times New Roman"/>
                <w:i/>
                <w:iCs/>
                <w:sz w:val="16"/>
                <w:szCs w:val="16"/>
                <w:lang w:eastAsia="en-AU"/>
              </w:rPr>
              <w:t xml:space="preserve">capita </w:t>
            </w:r>
            <w:r w:rsidR="00673D40" w:rsidRPr="00802F1A">
              <w:rPr>
                <w:rFonts w:eastAsia="Times New Roman" w:cs="Times New Roman"/>
                <w:i/>
                <w:iCs/>
                <w:sz w:val="16"/>
                <w:szCs w:val="16"/>
                <w:lang w:eastAsia="en-AU"/>
              </w:rPr>
              <w:t>Income</w:t>
            </w:r>
          </w:p>
        </w:tc>
        <w:tc>
          <w:tcPr>
            <w:tcW w:w="5260" w:type="dxa"/>
            <w:tcBorders>
              <w:top w:val="nil"/>
              <w:left w:val="nil"/>
              <w:bottom w:val="nil"/>
              <w:right w:val="nil"/>
            </w:tcBorders>
            <w:shd w:val="clear" w:color="auto" w:fill="auto"/>
            <w:noWrap/>
            <w:hideMark/>
          </w:tcPr>
          <w:p w14:paraId="14DD2753" w14:textId="660DC5D8"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Gross domestic product per person (PPP$ inflation adjusted</w:t>
            </w:r>
            <w:r w:rsidR="00B2761F" w:rsidRPr="00802F1A">
              <w:rPr>
                <w:rFonts w:eastAsia="Times New Roman" w:cs="Times New Roman"/>
                <w:sz w:val="16"/>
                <w:szCs w:val="16"/>
                <w:lang w:eastAsia="en-AU"/>
              </w:rPr>
              <w:t>, in $ thousands</w:t>
            </w:r>
            <w:r w:rsidRPr="00802F1A">
              <w:rPr>
                <w:rFonts w:eastAsia="Times New Roman" w:cs="Times New Roman"/>
                <w:sz w:val="16"/>
                <w:szCs w:val="16"/>
                <w:lang w:eastAsia="en-AU"/>
              </w:rPr>
              <w:t>)</w:t>
            </w:r>
          </w:p>
        </w:tc>
        <w:tc>
          <w:tcPr>
            <w:tcW w:w="480" w:type="dxa"/>
            <w:tcBorders>
              <w:top w:val="nil"/>
              <w:left w:val="nil"/>
              <w:bottom w:val="nil"/>
              <w:right w:val="nil"/>
            </w:tcBorders>
            <w:shd w:val="clear" w:color="auto" w:fill="auto"/>
            <w:noWrap/>
            <w:hideMark/>
          </w:tcPr>
          <w:p w14:paraId="033A4E8F"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19.16</w:t>
            </w:r>
          </w:p>
        </w:tc>
        <w:tc>
          <w:tcPr>
            <w:tcW w:w="540" w:type="dxa"/>
            <w:tcBorders>
              <w:top w:val="nil"/>
              <w:left w:val="nil"/>
              <w:bottom w:val="nil"/>
              <w:right w:val="nil"/>
            </w:tcBorders>
            <w:shd w:val="clear" w:color="auto" w:fill="auto"/>
            <w:noWrap/>
            <w:hideMark/>
          </w:tcPr>
          <w:p w14:paraId="6EE4684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20.66</w:t>
            </w:r>
          </w:p>
        </w:tc>
        <w:tc>
          <w:tcPr>
            <w:tcW w:w="630" w:type="dxa"/>
            <w:tcBorders>
              <w:top w:val="nil"/>
              <w:left w:val="nil"/>
              <w:bottom w:val="nil"/>
              <w:right w:val="nil"/>
            </w:tcBorders>
            <w:shd w:val="clear" w:color="auto" w:fill="auto"/>
            <w:noWrap/>
            <w:hideMark/>
          </w:tcPr>
          <w:p w14:paraId="4B81BC65"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0.47</w:t>
            </w:r>
          </w:p>
        </w:tc>
        <w:tc>
          <w:tcPr>
            <w:tcW w:w="630" w:type="dxa"/>
            <w:tcBorders>
              <w:top w:val="nil"/>
              <w:left w:val="nil"/>
              <w:bottom w:val="nil"/>
              <w:right w:val="nil"/>
            </w:tcBorders>
            <w:shd w:val="clear" w:color="auto" w:fill="auto"/>
            <w:noWrap/>
            <w:hideMark/>
          </w:tcPr>
          <w:p w14:paraId="4B25539F"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115.00</w:t>
            </w:r>
          </w:p>
        </w:tc>
        <w:tc>
          <w:tcPr>
            <w:tcW w:w="630" w:type="dxa"/>
            <w:tcBorders>
              <w:top w:val="nil"/>
              <w:left w:val="nil"/>
              <w:bottom w:val="nil"/>
              <w:right w:val="nil"/>
            </w:tcBorders>
            <w:shd w:val="clear" w:color="auto" w:fill="auto"/>
            <w:noWrap/>
            <w:hideMark/>
          </w:tcPr>
          <w:p w14:paraId="7205C7EF"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0.362</w:t>
            </w:r>
          </w:p>
        </w:tc>
        <w:tc>
          <w:tcPr>
            <w:tcW w:w="342" w:type="dxa"/>
            <w:gridSpan w:val="2"/>
            <w:tcBorders>
              <w:top w:val="nil"/>
              <w:left w:val="nil"/>
              <w:bottom w:val="nil"/>
              <w:right w:val="nil"/>
            </w:tcBorders>
            <w:shd w:val="clear" w:color="auto" w:fill="auto"/>
            <w:noWrap/>
            <w:hideMark/>
          </w:tcPr>
          <w:p w14:paraId="62D41F79"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7EC84456" w14:textId="77777777" w:rsidR="00885CC8" w:rsidRPr="00802F1A" w:rsidRDefault="004F6E57" w:rsidP="00885CC8">
            <w:pPr>
              <w:spacing w:line="240" w:lineRule="auto"/>
              <w:rPr>
                <w:rFonts w:eastAsia="Times New Roman" w:cs="Times New Roman"/>
                <w:sz w:val="16"/>
                <w:szCs w:val="16"/>
                <w:u w:val="single"/>
                <w:lang w:eastAsia="en-AU"/>
              </w:rPr>
            </w:pPr>
            <w:hyperlink r:id="rId10" w:history="1">
              <w:r w:rsidR="00885CC8" w:rsidRPr="00802F1A">
                <w:rPr>
                  <w:rFonts w:eastAsia="Times New Roman" w:cs="Times New Roman"/>
                  <w:sz w:val="16"/>
                  <w:szCs w:val="16"/>
                  <w:u w:val="single"/>
                  <w:lang w:eastAsia="en-AU"/>
                </w:rPr>
                <w:t xml:space="preserve">https://www.gapminder.org/data/ </w:t>
              </w:r>
            </w:hyperlink>
          </w:p>
        </w:tc>
      </w:tr>
      <w:tr w:rsidR="00802F1A" w:rsidRPr="00802F1A" w14:paraId="7D11E8B2" w14:textId="77777777" w:rsidTr="001A5A7B">
        <w:trPr>
          <w:trHeight w:hRule="exact" w:val="245"/>
        </w:trPr>
        <w:tc>
          <w:tcPr>
            <w:tcW w:w="9895" w:type="dxa"/>
            <w:gridSpan w:val="8"/>
            <w:tcBorders>
              <w:top w:val="nil"/>
              <w:left w:val="nil"/>
              <w:bottom w:val="nil"/>
              <w:right w:val="nil"/>
            </w:tcBorders>
            <w:shd w:val="clear" w:color="auto" w:fill="auto"/>
            <w:noWrap/>
            <w:hideMark/>
          </w:tcPr>
          <w:p w14:paraId="6DF912F4" w14:textId="77777777" w:rsidR="00885CC8" w:rsidRPr="00802F1A" w:rsidRDefault="00885CC8" w:rsidP="00885CC8">
            <w:pPr>
              <w:spacing w:line="240" w:lineRule="auto"/>
              <w:rPr>
                <w:rFonts w:eastAsia="Times New Roman" w:cs="Times New Roman"/>
                <w:b/>
                <w:bCs/>
                <w:i/>
                <w:iCs/>
                <w:sz w:val="16"/>
                <w:szCs w:val="16"/>
                <w:lang w:eastAsia="en-AU"/>
              </w:rPr>
            </w:pPr>
            <w:r w:rsidRPr="00802F1A">
              <w:rPr>
                <w:rFonts w:eastAsia="Times New Roman" w:cs="Times New Roman"/>
                <w:b/>
                <w:bCs/>
                <w:i/>
                <w:iCs/>
                <w:sz w:val="16"/>
                <w:szCs w:val="16"/>
                <w:lang w:eastAsia="en-AU"/>
              </w:rPr>
              <w:t>Financial development</w:t>
            </w:r>
          </w:p>
        </w:tc>
        <w:tc>
          <w:tcPr>
            <w:tcW w:w="4535" w:type="dxa"/>
            <w:gridSpan w:val="2"/>
            <w:tcBorders>
              <w:top w:val="nil"/>
              <w:left w:val="nil"/>
              <w:bottom w:val="nil"/>
              <w:right w:val="nil"/>
            </w:tcBorders>
            <w:shd w:val="clear" w:color="auto" w:fill="auto"/>
            <w:hideMark/>
          </w:tcPr>
          <w:p w14:paraId="07590498" w14:textId="77777777" w:rsidR="00885CC8" w:rsidRPr="00802F1A" w:rsidRDefault="00885CC8" w:rsidP="00885CC8">
            <w:pPr>
              <w:spacing w:line="240" w:lineRule="auto"/>
              <w:rPr>
                <w:rFonts w:eastAsia="Times New Roman" w:cs="Times New Roman"/>
                <w:b/>
                <w:bCs/>
                <w:i/>
                <w:iCs/>
                <w:sz w:val="16"/>
                <w:szCs w:val="16"/>
                <w:lang w:eastAsia="en-AU"/>
              </w:rPr>
            </w:pPr>
          </w:p>
        </w:tc>
      </w:tr>
      <w:tr w:rsidR="00802F1A" w:rsidRPr="00802F1A" w14:paraId="16EF22F4" w14:textId="77777777" w:rsidTr="001A5A7B">
        <w:trPr>
          <w:trHeight w:hRule="exact" w:val="792"/>
        </w:trPr>
        <w:tc>
          <w:tcPr>
            <w:tcW w:w="1400" w:type="dxa"/>
            <w:tcBorders>
              <w:top w:val="nil"/>
              <w:left w:val="nil"/>
              <w:bottom w:val="nil"/>
              <w:right w:val="nil"/>
            </w:tcBorders>
            <w:shd w:val="clear" w:color="auto" w:fill="auto"/>
            <w:noWrap/>
            <w:hideMark/>
          </w:tcPr>
          <w:p w14:paraId="3318FEAF" w14:textId="244F79AC"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 xml:space="preserve">FI Depth </w:t>
            </w:r>
          </w:p>
        </w:tc>
        <w:tc>
          <w:tcPr>
            <w:tcW w:w="5260" w:type="dxa"/>
            <w:tcBorders>
              <w:top w:val="nil"/>
              <w:left w:val="nil"/>
              <w:bottom w:val="nil"/>
              <w:right w:val="nil"/>
            </w:tcBorders>
            <w:shd w:val="clear" w:color="auto" w:fill="auto"/>
            <w:hideMark/>
          </w:tcPr>
          <w:p w14:paraId="60EF4987" w14:textId="2F193046"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 xml:space="preserve">A sub-index of </w:t>
            </w:r>
            <w:r w:rsidRPr="00802F1A">
              <w:rPr>
                <w:rFonts w:eastAsia="Times New Roman" w:cs="Times New Roman"/>
                <w:i/>
                <w:iCs/>
                <w:sz w:val="16"/>
                <w:szCs w:val="16"/>
                <w:lang w:eastAsia="en-AU"/>
              </w:rPr>
              <w:t>FI Dev</w:t>
            </w:r>
            <w:r w:rsidRPr="00802F1A">
              <w:rPr>
                <w:rFonts w:eastAsia="Times New Roman" w:cs="Times New Roman"/>
                <w:sz w:val="16"/>
                <w:szCs w:val="16"/>
                <w:lang w:eastAsia="en-AU"/>
              </w:rPr>
              <w:t xml:space="preserve"> </w:t>
            </w:r>
            <w:r w:rsidR="006A5E7D" w:rsidRPr="00802F1A">
              <w:rPr>
                <w:rFonts w:eastAsia="Times New Roman" w:cs="Times New Roman"/>
                <w:sz w:val="16"/>
                <w:szCs w:val="16"/>
                <w:lang w:eastAsia="en-AU"/>
              </w:rPr>
              <w:t>i</w:t>
            </w:r>
            <w:r w:rsidRPr="00802F1A">
              <w:rPr>
                <w:rFonts w:eastAsia="Times New Roman" w:cs="Times New Roman"/>
                <w:sz w:val="16"/>
                <w:szCs w:val="16"/>
                <w:lang w:eastAsia="en-AU"/>
              </w:rPr>
              <w:t xml:space="preserve">ndex which relies on the standard banking sector </w:t>
            </w:r>
            <w:r w:rsidR="0056688C" w:rsidRPr="00802F1A">
              <w:rPr>
                <w:rFonts w:eastAsia="Times New Roman" w:cs="Times New Roman"/>
                <w:sz w:val="16"/>
                <w:szCs w:val="16"/>
                <w:lang w:eastAsia="en-AU"/>
              </w:rPr>
              <w:t>depth (</w:t>
            </w:r>
            <w:r w:rsidRPr="00802F1A">
              <w:rPr>
                <w:rFonts w:eastAsia="Times New Roman" w:cs="Times New Roman"/>
                <w:sz w:val="16"/>
                <w:szCs w:val="16"/>
                <w:lang w:eastAsia="en-AU"/>
              </w:rPr>
              <w:t xml:space="preserve">bank credit to the private sector) and other financial institutions' depth (the assets of the mutual fund and pension fund industries and the size of life and non-life insurance premiums). </w:t>
            </w:r>
          </w:p>
        </w:tc>
        <w:tc>
          <w:tcPr>
            <w:tcW w:w="480" w:type="dxa"/>
            <w:tcBorders>
              <w:top w:val="nil"/>
              <w:left w:val="nil"/>
              <w:bottom w:val="nil"/>
              <w:right w:val="nil"/>
            </w:tcBorders>
            <w:shd w:val="clear" w:color="auto" w:fill="auto"/>
            <w:noWrap/>
            <w:hideMark/>
          </w:tcPr>
          <w:p w14:paraId="56E4A49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0.27</w:t>
            </w:r>
          </w:p>
        </w:tc>
        <w:tc>
          <w:tcPr>
            <w:tcW w:w="540" w:type="dxa"/>
            <w:tcBorders>
              <w:top w:val="nil"/>
              <w:left w:val="nil"/>
              <w:bottom w:val="nil"/>
              <w:right w:val="nil"/>
            </w:tcBorders>
            <w:shd w:val="clear" w:color="auto" w:fill="auto"/>
            <w:noWrap/>
            <w:hideMark/>
          </w:tcPr>
          <w:p w14:paraId="1C8B524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0.27</w:t>
            </w:r>
          </w:p>
        </w:tc>
        <w:tc>
          <w:tcPr>
            <w:tcW w:w="630" w:type="dxa"/>
            <w:tcBorders>
              <w:top w:val="nil"/>
              <w:left w:val="nil"/>
              <w:bottom w:val="nil"/>
              <w:right w:val="nil"/>
            </w:tcBorders>
            <w:shd w:val="clear" w:color="auto" w:fill="auto"/>
            <w:noWrap/>
            <w:hideMark/>
          </w:tcPr>
          <w:p w14:paraId="27E05FB0" w14:textId="3DC7D15B"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w:t>
            </w:r>
            <w:r w:rsidR="00051F33" w:rsidRPr="00802F1A">
              <w:rPr>
                <w:rFonts w:eastAsia="Times New Roman" w:cs="Times New Roman"/>
                <w:sz w:val="16"/>
                <w:szCs w:val="16"/>
                <w:lang w:eastAsia="en-AU"/>
              </w:rPr>
              <w:t>1</w:t>
            </w:r>
          </w:p>
        </w:tc>
        <w:tc>
          <w:tcPr>
            <w:tcW w:w="630" w:type="dxa"/>
            <w:tcBorders>
              <w:top w:val="nil"/>
              <w:left w:val="nil"/>
              <w:bottom w:val="nil"/>
              <w:right w:val="nil"/>
            </w:tcBorders>
            <w:shd w:val="clear" w:color="auto" w:fill="auto"/>
            <w:noWrap/>
            <w:hideMark/>
          </w:tcPr>
          <w:p w14:paraId="65C39A02"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1.00</w:t>
            </w:r>
          </w:p>
        </w:tc>
        <w:tc>
          <w:tcPr>
            <w:tcW w:w="630" w:type="dxa"/>
            <w:tcBorders>
              <w:top w:val="nil"/>
              <w:left w:val="nil"/>
              <w:bottom w:val="nil"/>
              <w:right w:val="nil"/>
            </w:tcBorders>
            <w:shd w:val="clear" w:color="auto" w:fill="auto"/>
            <w:noWrap/>
            <w:hideMark/>
          </w:tcPr>
          <w:p w14:paraId="1BF82BF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0.004</w:t>
            </w:r>
          </w:p>
        </w:tc>
        <w:tc>
          <w:tcPr>
            <w:tcW w:w="342" w:type="dxa"/>
            <w:gridSpan w:val="2"/>
            <w:tcBorders>
              <w:top w:val="nil"/>
              <w:left w:val="nil"/>
              <w:bottom w:val="nil"/>
              <w:right w:val="nil"/>
            </w:tcBorders>
            <w:shd w:val="clear" w:color="auto" w:fill="auto"/>
            <w:noWrap/>
            <w:hideMark/>
          </w:tcPr>
          <w:p w14:paraId="1ABBC2DB"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302F0568" w14:textId="1FEE79A4" w:rsidR="00885CC8" w:rsidRPr="00802F1A" w:rsidRDefault="004F6E57" w:rsidP="00885CC8">
            <w:pPr>
              <w:spacing w:line="240" w:lineRule="auto"/>
              <w:rPr>
                <w:rFonts w:eastAsia="Times New Roman" w:cs="Times New Roman"/>
                <w:sz w:val="16"/>
                <w:szCs w:val="16"/>
                <w:u w:val="single"/>
                <w:lang w:eastAsia="en-AU"/>
              </w:rPr>
            </w:pPr>
            <w:hyperlink r:id="rId11" w:history="1">
              <w:r w:rsidR="00885CC8" w:rsidRPr="00802F1A">
                <w:rPr>
                  <w:rFonts w:eastAsia="Times New Roman" w:cs="Times New Roman"/>
                  <w:sz w:val="16"/>
                  <w:szCs w:val="16"/>
                  <w:u w:val="single"/>
                  <w:lang w:eastAsia="en-AU"/>
                </w:rPr>
                <w:t>https://data.imf.org/</w:t>
              </w:r>
            </w:hyperlink>
          </w:p>
        </w:tc>
      </w:tr>
      <w:tr w:rsidR="00802F1A" w:rsidRPr="00802F1A" w14:paraId="0E25B78C" w14:textId="77777777" w:rsidTr="001A5A7B">
        <w:trPr>
          <w:trHeight w:hRule="exact" w:val="450"/>
        </w:trPr>
        <w:tc>
          <w:tcPr>
            <w:tcW w:w="1400" w:type="dxa"/>
            <w:tcBorders>
              <w:top w:val="nil"/>
              <w:left w:val="nil"/>
              <w:bottom w:val="nil"/>
              <w:right w:val="nil"/>
            </w:tcBorders>
            <w:shd w:val="clear" w:color="auto" w:fill="auto"/>
            <w:noWrap/>
            <w:hideMark/>
          </w:tcPr>
          <w:p w14:paraId="6F1C98A5" w14:textId="29991F29"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 Access</w:t>
            </w:r>
          </w:p>
        </w:tc>
        <w:tc>
          <w:tcPr>
            <w:tcW w:w="5260" w:type="dxa"/>
            <w:tcBorders>
              <w:top w:val="nil"/>
              <w:left w:val="nil"/>
              <w:bottom w:val="nil"/>
              <w:right w:val="nil"/>
            </w:tcBorders>
            <w:shd w:val="clear" w:color="auto" w:fill="auto"/>
            <w:hideMark/>
          </w:tcPr>
          <w:p w14:paraId="3718E003" w14:textId="7C4479E5"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 xml:space="preserve">A sub-index of </w:t>
            </w:r>
            <w:r w:rsidRPr="00802F1A">
              <w:rPr>
                <w:rFonts w:eastAsia="Times New Roman" w:cs="Times New Roman"/>
                <w:i/>
                <w:iCs/>
                <w:sz w:val="16"/>
                <w:szCs w:val="16"/>
                <w:lang w:eastAsia="en-AU"/>
              </w:rPr>
              <w:t>FI Dev</w:t>
            </w:r>
            <w:r w:rsidRPr="00802F1A">
              <w:rPr>
                <w:rFonts w:eastAsia="Times New Roman" w:cs="Times New Roman"/>
                <w:sz w:val="16"/>
                <w:szCs w:val="16"/>
                <w:lang w:eastAsia="en-AU"/>
              </w:rPr>
              <w:t xml:space="preserve"> </w:t>
            </w:r>
            <w:r w:rsidR="00090A67" w:rsidRPr="00802F1A">
              <w:rPr>
                <w:rFonts w:eastAsia="Times New Roman" w:cs="Times New Roman"/>
                <w:sz w:val="16"/>
                <w:szCs w:val="16"/>
                <w:lang w:eastAsia="en-AU"/>
              </w:rPr>
              <w:t>i</w:t>
            </w:r>
            <w:r w:rsidRPr="00802F1A">
              <w:rPr>
                <w:rFonts w:eastAsia="Times New Roman" w:cs="Times New Roman"/>
                <w:sz w:val="16"/>
                <w:szCs w:val="16"/>
                <w:lang w:eastAsia="en-AU"/>
              </w:rPr>
              <w:t>ndex which relies on the number of bank branches and ATMs per 100,000 adults.</w:t>
            </w:r>
          </w:p>
        </w:tc>
        <w:tc>
          <w:tcPr>
            <w:tcW w:w="480" w:type="dxa"/>
            <w:tcBorders>
              <w:top w:val="nil"/>
              <w:left w:val="nil"/>
              <w:bottom w:val="nil"/>
              <w:right w:val="nil"/>
            </w:tcBorders>
            <w:shd w:val="clear" w:color="auto" w:fill="auto"/>
            <w:noWrap/>
            <w:hideMark/>
          </w:tcPr>
          <w:p w14:paraId="5056A67C"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0.32</w:t>
            </w:r>
          </w:p>
        </w:tc>
        <w:tc>
          <w:tcPr>
            <w:tcW w:w="540" w:type="dxa"/>
            <w:tcBorders>
              <w:top w:val="nil"/>
              <w:left w:val="nil"/>
              <w:bottom w:val="nil"/>
              <w:right w:val="nil"/>
            </w:tcBorders>
            <w:shd w:val="clear" w:color="auto" w:fill="auto"/>
            <w:noWrap/>
            <w:hideMark/>
          </w:tcPr>
          <w:p w14:paraId="273DC342"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0.27</w:t>
            </w:r>
          </w:p>
        </w:tc>
        <w:tc>
          <w:tcPr>
            <w:tcW w:w="630" w:type="dxa"/>
            <w:tcBorders>
              <w:top w:val="nil"/>
              <w:left w:val="nil"/>
              <w:bottom w:val="nil"/>
              <w:right w:val="nil"/>
            </w:tcBorders>
            <w:shd w:val="clear" w:color="auto" w:fill="auto"/>
            <w:noWrap/>
            <w:hideMark/>
          </w:tcPr>
          <w:p w14:paraId="07787726" w14:textId="35B75D29"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w:t>
            </w:r>
            <w:r w:rsidR="00051F33" w:rsidRPr="00802F1A">
              <w:rPr>
                <w:rFonts w:eastAsia="Times New Roman" w:cs="Times New Roman"/>
                <w:sz w:val="16"/>
                <w:szCs w:val="16"/>
                <w:lang w:eastAsia="en-AU"/>
              </w:rPr>
              <w:t>4</w:t>
            </w:r>
          </w:p>
        </w:tc>
        <w:tc>
          <w:tcPr>
            <w:tcW w:w="630" w:type="dxa"/>
            <w:tcBorders>
              <w:top w:val="nil"/>
              <w:left w:val="nil"/>
              <w:bottom w:val="nil"/>
              <w:right w:val="nil"/>
            </w:tcBorders>
            <w:shd w:val="clear" w:color="auto" w:fill="auto"/>
            <w:noWrap/>
            <w:hideMark/>
          </w:tcPr>
          <w:p w14:paraId="337F9AD0"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1.00</w:t>
            </w:r>
          </w:p>
        </w:tc>
        <w:tc>
          <w:tcPr>
            <w:tcW w:w="630" w:type="dxa"/>
            <w:tcBorders>
              <w:top w:val="nil"/>
              <w:left w:val="nil"/>
              <w:bottom w:val="nil"/>
              <w:right w:val="nil"/>
            </w:tcBorders>
            <w:shd w:val="clear" w:color="auto" w:fill="auto"/>
            <w:noWrap/>
            <w:hideMark/>
          </w:tcPr>
          <w:p w14:paraId="4162E545"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0.007</w:t>
            </w:r>
          </w:p>
        </w:tc>
        <w:tc>
          <w:tcPr>
            <w:tcW w:w="342" w:type="dxa"/>
            <w:gridSpan w:val="2"/>
            <w:tcBorders>
              <w:top w:val="nil"/>
              <w:left w:val="nil"/>
              <w:bottom w:val="nil"/>
              <w:right w:val="nil"/>
            </w:tcBorders>
            <w:shd w:val="clear" w:color="auto" w:fill="auto"/>
            <w:noWrap/>
            <w:hideMark/>
          </w:tcPr>
          <w:p w14:paraId="0A025B64"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1778BE35" w14:textId="1ABD5229" w:rsidR="00885CC8" w:rsidRPr="00802F1A" w:rsidRDefault="004F6E57" w:rsidP="00885CC8">
            <w:pPr>
              <w:spacing w:line="240" w:lineRule="auto"/>
              <w:rPr>
                <w:rFonts w:eastAsia="Times New Roman" w:cs="Times New Roman"/>
                <w:sz w:val="16"/>
                <w:szCs w:val="16"/>
                <w:u w:val="single"/>
                <w:lang w:eastAsia="en-AU"/>
              </w:rPr>
            </w:pPr>
            <w:hyperlink r:id="rId12" w:history="1">
              <w:r w:rsidR="00885CC8" w:rsidRPr="00802F1A">
                <w:rPr>
                  <w:rFonts w:eastAsia="Times New Roman" w:cs="Times New Roman"/>
                  <w:sz w:val="16"/>
                  <w:szCs w:val="16"/>
                  <w:u w:val="single"/>
                  <w:lang w:eastAsia="en-AU"/>
                </w:rPr>
                <w:t>https://data.imf.org/</w:t>
              </w:r>
            </w:hyperlink>
          </w:p>
        </w:tc>
      </w:tr>
      <w:tr w:rsidR="00802F1A" w:rsidRPr="00802F1A" w14:paraId="5F79409F" w14:textId="77777777" w:rsidTr="001A5A7B">
        <w:trPr>
          <w:trHeight w:hRule="exact" w:val="999"/>
        </w:trPr>
        <w:tc>
          <w:tcPr>
            <w:tcW w:w="1400" w:type="dxa"/>
            <w:tcBorders>
              <w:top w:val="nil"/>
              <w:left w:val="nil"/>
              <w:bottom w:val="nil"/>
              <w:right w:val="nil"/>
            </w:tcBorders>
            <w:shd w:val="clear" w:color="auto" w:fill="auto"/>
            <w:noWrap/>
            <w:hideMark/>
          </w:tcPr>
          <w:p w14:paraId="57FF237D" w14:textId="099E1CCA"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 Efficiency</w:t>
            </w:r>
          </w:p>
        </w:tc>
        <w:tc>
          <w:tcPr>
            <w:tcW w:w="5260" w:type="dxa"/>
            <w:tcBorders>
              <w:top w:val="nil"/>
              <w:left w:val="nil"/>
              <w:bottom w:val="nil"/>
              <w:right w:val="nil"/>
            </w:tcBorders>
            <w:shd w:val="clear" w:color="auto" w:fill="auto"/>
            <w:hideMark/>
          </w:tcPr>
          <w:p w14:paraId="72016400" w14:textId="667EAD0A"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 xml:space="preserve">A sub-index of </w:t>
            </w:r>
            <w:r w:rsidRPr="00802F1A">
              <w:rPr>
                <w:rFonts w:eastAsia="Times New Roman" w:cs="Times New Roman"/>
                <w:i/>
                <w:iCs/>
                <w:sz w:val="16"/>
                <w:szCs w:val="16"/>
                <w:lang w:eastAsia="en-AU"/>
              </w:rPr>
              <w:t>FI Dev</w:t>
            </w:r>
            <w:r w:rsidRPr="00802F1A">
              <w:rPr>
                <w:rFonts w:eastAsia="Times New Roman" w:cs="Times New Roman"/>
                <w:sz w:val="16"/>
                <w:szCs w:val="16"/>
                <w:lang w:eastAsia="en-AU"/>
              </w:rPr>
              <w:t xml:space="preserve"> </w:t>
            </w:r>
            <w:r w:rsidR="00090A67" w:rsidRPr="00802F1A">
              <w:rPr>
                <w:rFonts w:eastAsia="Times New Roman" w:cs="Times New Roman"/>
                <w:sz w:val="16"/>
                <w:szCs w:val="16"/>
                <w:lang w:eastAsia="en-AU"/>
              </w:rPr>
              <w:t>i</w:t>
            </w:r>
            <w:r w:rsidRPr="00802F1A">
              <w:rPr>
                <w:rFonts w:eastAsia="Times New Roman" w:cs="Times New Roman"/>
                <w:sz w:val="16"/>
                <w:szCs w:val="16"/>
                <w:lang w:eastAsia="en-AU"/>
              </w:rPr>
              <w:t>ndex which relies on three aspects of bank efficiency: (</w:t>
            </w:r>
            <w:proofErr w:type="spellStart"/>
            <w:r w:rsidRPr="00802F1A">
              <w:rPr>
                <w:rFonts w:eastAsia="Times New Roman" w:cs="Times New Roman"/>
                <w:sz w:val="16"/>
                <w:szCs w:val="16"/>
                <w:lang w:eastAsia="en-AU"/>
              </w:rPr>
              <w:t>i</w:t>
            </w:r>
            <w:proofErr w:type="spellEnd"/>
            <w:r w:rsidRPr="00802F1A">
              <w:rPr>
                <w:rFonts w:eastAsia="Times New Roman" w:cs="Times New Roman"/>
                <w:sz w:val="16"/>
                <w:szCs w:val="16"/>
                <w:lang w:eastAsia="en-AU"/>
              </w:rPr>
              <w:t>) efficiency in intermediating savings to investment, as measured by the net interest margin and lending-deposit spread; (ii) operational efficiency measures, such as non-interest income to total income and overhead costs to total assets; and (iii) profitability measures, such as return on assets and return on equity.</w:t>
            </w:r>
          </w:p>
        </w:tc>
        <w:tc>
          <w:tcPr>
            <w:tcW w:w="480" w:type="dxa"/>
            <w:tcBorders>
              <w:top w:val="nil"/>
              <w:left w:val="nil"/>
              <w:bottom w:val="nil"/>
              <w:right w:val="nil"/>
            </w:tcBorders>
            <w:shd w:val="clear" w:color="auto" w:fill="auto"/>
            <w:noWrap/>
            <w:hideMark/>
          </w:tcPr>
          <w:p w14:paraId="3A663BED"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0.59</w:t>
            </w:r>
          </w:p>
        </w:tc>
        <w:tc>
          <w:tcPr>
            <w:tcW w:w="540" w:type="dxa"/>
            <w:tcBorders>
              <w:top w:val="nil"/>
              <w:left w:val="nil"/>
              <w:bottom w:val="nil"/>
              <w:right w:val="nil"/>
            </w:tcBorders>
            <w:shd w:val="clear" w:color="auto" w:fill="auto"/>
            <w:noWrap/>
            <w:hideMark/>
          </w:tcPr>
          <w:p w14:paraId="7F15CA8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0.12</w:t>
            </w:r>
          </w:p>
        </w:tc>
        <w:tc>
          <w:tcPr>
            <w:tcW w:w="630" w:type="dxa"/>
            <w:tcBorders>
              <w:top w:val="nil"/>
              <w:left w:val="nil"/>
              <w:bottom w:val="nil"/>
              <w:right w:val="nil"/>
            </w:tcBorders>
            <w:shd w:val="clear" w:color="auto" w:fill="auto"/>
            <w:noWrap/>
            <w:hideMark/>
          </w:tcPr>
          <w:p w14:paraId="0207E900"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0.07</w:t>
            </w:r>
          </w:p>
        </w:tc>
        <w:tc>
          <w:tcPr>
            <w:tcW w:w="630" w:type="dxa"/>
            <w:tcBorders>
              <w:top w:val="nil"/>
              <w:left w:val="nil"/>
              <w:bottom w:val="nil"/>
              <w:right w:val="nil"/>
            </w:tcBorders>
            <w:shd w:val="clear" w:color="auto" w:fill="auto"/>
            <w:noWrap/>
            <w:hideMark/>
          </w:tcPr>
          <w:p w14:paraId="048268F7"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0.89</w:t>
            </w:r>
          </w:p>
        </w:tc>
        <w:tc>
          <w:tcPr>
            <w:tcW w:w="630" w:type="dxa"/>
            <w:tcBorders>
              <w:top w:val="nil"/>
              <w:left w:val="nil"/>
              <w:bottom w:val="nil"/>
              <w:right w:val="nil"/>
            </w:tcBorders>
            <w:shd w:val="clear" w:color="auto" w:fill="auto"/>
            <w:noWrap/>
            <w:hideMark/>
          </w:tcPr>
          <w:p w14:paraId="1A01758C"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0.003</w:t>
            </w:r>
          </w:p>
        </w:tc>
        <w:tc>
          <w:tcPr>
            <w:tcW w:w="342" w:type="dxa"/>
            <w:gridSpan w:val="2"/>
            <w:tcBorders>
              <w:top w:val="nil"/>
              <w:left w:val="nil"/>
              <w:bottom w:val="nil"/>
              <w:right w:val="nil"/>
            </w:tcBorders>
            <w:shd w:val="clear" w:color="auto" w:fill="auto"/>
            <w:noWrap/>
            <w:hideMark/>
          </w:tcPr>
          <w:p w14:paraId="45072D9A"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3F6D4EEA" w14:textId="6C05B09B" w:rsidR="00885CC8" w:rsidRPr="00802F1A" w:rsidRDefault="004F6E57" w:rsidP="00885CC8">
            <w:pPr>
              <w:spacing w:line="240" w:lineRule="auto"/>
              <w:rPr>
                <w:rFonts w:eastAsia="Times New Roman" w:cs="Times New Roman"/>
                <w:sz w:val="16"/>
                <w:szCs w:val="16"/>
                <w:u w:val="single"/>
                <w:lang w:eastAsia="en-AU"/>
              </w:rPr>
            </w:pPr>
            <w:hyperlink r:id="rId13" w:history="1">
              <w:r w:rsidR="00885CC8" w:rsidRPr="00802F1A">
                <w:rPr>
                  <w:rFonts w:eastAsia="Times New Roman" w:cs="Times New Roman"/>
                  <w:sz w:val="16"/>
                  <w:szCs w:val="16"/>
                  <w:u w:val="single"/>
                  <w:lang w:eastAsia="en-AU"/>
                </w:rPr>
                <w:t>https://data.imf.org/</w:t>
              </w:r>
            </w:hyperlink>
          </w:p>
        </w:tc>
      </w:tr>
      <w:tr w:rsidR="00802F1A" w:rsidRPr="00802F1A" w14:paraId="3B0D1A1B" w14:textId="77777777" w:rsidTr="001A5A7B">
        <w:trPr>
          <w:trHeight w:hRule="exact" w:val="441"/>
        </w:trPr>
        <w:tc>
          <w:tcPr>
            <w:tcW w:w="1400" w:type="dxa"/>
            <w:tcBorders>
              <w:top w:val="nil"/>
              <w:left w:val="nil"/>
              <w:bottom w:val="nil"/>
              <w:right w:val="nil"/>
            </w:tcBorders>
            <w:shd w:val="clear" w:color="auto" w:fill="auto"/>
            <w:noWrap/>
            <w:hideMark/>
          </w:tcPr>
          <w:p w14:paraId="49B0F6E4" w14:textId="7E1E8DF6"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 Dev</w:t>
            </w:r>
          </w:p>
        </w:tc>
        <w:tc>
          <w:tcPr>
            <w:tcW w:w="5260" w:type="dxa"/>
            <w:tcBorders>
              <w:top w:val="nil"/>
              <w:left w:val="nil"/>
              <w:bottom w:val="nil"/>
              <w:right w:val="nil"/>
            </w:tcBorders>
            <w:shd w:val="clear" w:color="auto" w:fill="auto"/>
            <w:hideMark/>
          </w:tcPr>
          <w:p w14:paraId="24FC6E95"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The overall index of financial institution development which shows how developed financial institutions are.</w:t>
            </w:r>
          </w:p>
        </w:tc>
        <w:tc>
          <w:tcPr>
            <w:tcW w:w="480" w:type="dxa"/>
            <w:tcBorders>
              <w:top w:val="nil"/>
              <w:left w:val="nil"/>
              <w:bottom w:val="nil"/>
              <w:right w:val="nil"/>
            </w:tcBorders>
            <w:shd w:val="clear" w:color="auto" w:fill="auto"/>
            <w:noWrap/>
            <w:hideMark/>
          </w:tcPr>
          <w:p w14:paraId="032B173C"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0.40</w:t>
            </w:r>
          </w:p>
        </w:tc>
        <w:tc>
          <w:tcPr>
            <w:tcW w:w="540" w:type="dxa"/>
            <w:tcBorders>
              <w:top w:val="nil"/>
              <w:left w:val="nil"/>
              <w:bottom w:val="nil"/>
              <w:right w:val="nil"/>
            </w:tcBorders>
            <w:shd w:val="clear" w:color="auto" w:fill="auto"/>
            <w:noWrap/>
            <w:hideMark/>
          </w:tcPr>
          <w:p w14:paraId="272708C1"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0.22</w:t>
            </w:r>
          </w:p>
        </w:tc>
        <w:tc>
          <w:tcPr>
            <w:tcW w:w="630" w:type="dxa"/>
            <w:tcBorders>
              <w:top w:val="nil"/>
              <w:left w:val="nil"/>
              <w:bottom w:val="nil"/>
              <w:right w:val="nil"/>
            </w:tcBorders>
            <w:shd w:val="clear" w:color="auto" w:fill="auto"/>
            <w:noWrap/>
            <w:hideMark/>
          </w:tcPr>
          <w:p w14:paraId="1F87912F"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0.03</w:t>
            </w:r>
          </w:p>
        </w:tc>
        <w:tc>
          <w:tcPr>
            <w:tcW w:w="630" w:type="dxa"/>
            <w:tcBorders>
              <w:top w:val="nil"/>
              <w:left w:val="nil"/>
              <w:bottom w:val="nil"/>
              <w:right w:val="nil"/>
            </w:tcBorders>
            <w:shd w:val="clear" w:color="auto" w:fill="auto"/>
            <w:noWrap/>
            <w:hideMark/>
          </w:tcPr>
          <w:p w14:paraId="2ED983FA"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1.00</w:t>
            </w:r>
          </w:p>
        </w:tc>
        <w:tc>
          <w:tcPr>
            <w:tcW w:w="630" w:type="dxa"/>
            <w:tcBorders>
              <w:top w:val="nil"/>
              <w:left w:val="nil"/>
              <w:bottom w:val="nil"/>
              <w:right w:val="nil"/>
            </w:tcBorders>
            <w:shd w:val="clear" w:color="auto" w:fill="auto"/>
            <w:noWrap/>
            <w:hideMark/>
          </w:tcPr>
          <w:p w14:paraId="69A8E7BB"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0.006</w:t>
            </w:r>
          </w:p>
        </w:tc>
        <w:tc>
          <w:tcPr>
            <w:tcW w:w="342" w:type="dxa"/>
            <w:gridSpan w:val="2"/>
            <w:tcBorders>
              <w:top w:val="nil"/>
              <w:left w:val="nil"/>
              <w:bottom w:val="nil"/>
              <w:right w:val="nil"/>
            </w:tcBorders>
            <w:shd w:val="clear" w:color="auto" w:fill="auto"/>
            <w:noWrap/>
            <w:hideMark/>
          </w:tcPr>
          <w:p w14:paraId="0FCEEFF1"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10D79F76" w14:textId="31550F9D" w:rsidR="00885CC8" w:rsidRPr="00802F1A" w:rsidRDefault="004F6E57" w:rsidP="00885CC8">
            <w:pPr>
              <w:spacing w:line="240" w:lineRule="auto"/>
              <w:rPr>
                <w:rFonts w:eastAsia="Times New Roman" w:cs="Times New Roman"/>
                <w:sz w:val="16"/>
                <w:szCs w:val="16"/>
                <w:u w:val="single"/>
                <w:lang w:eastAsia="en-AU"/>
              </w:rPr>
            </w:pPr>
            <w:hyperlink r:id="rId14" w:history="1">
              <w:r w:rsidR="00885CC8" w:rsidRPr="00802F1A">
                <w:rPr>
                  <w:rFonts w:eastAsia="Times New Roman" w:cs="Times New Roman"/>
                  <w:sz w:val="16"/>
                  <w:szCs w:val="16"/>
                  <w:u w:val="single"/>
                  <w:lang w:eastAsia="en-AU"/>
                </w:rPr>
                <w:t>https://data.imf.org/</w:t>
              </w:r>
            </w:hyperlink>
          </w:p>
        </w:tc>
      </w:tr>
      <w:tr w:rsidR="00802F1A" w:rsidRPr="00802F1A" w14:paraId="2951559C" w14:textId="77777777" w:rsidTr="001A5A7B">
        <w:trPr>
          <w:trHeight w:hRule="exact" w:val="459"/>
        </w:trPr>
        <w:tc>
          <w:tcPr>
            <w:tcW w:w="1400" w:type="dxa"/>
            <w:tcBorders>
              <w:top w:val="nil"/>
              <w:left w:val="nil"/>
              <w:bottom w:val="nil"/>
              <w:right w:val="nil"/>
            </w:tcBorders>
            <w:shd w:val="clear" w:color="auto" w:fill="auto"/>
            <w:noWrap/>
            <w:hideMark/>
          </w:tcPr>
          <w:p w14:paraId="00AF460B" w14:textId="2C1690AE"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 xml:space="preserve">FM </w:t>
            </w:r>
            <w:r w:rsidR="00C31249" w:rsidRPr="00802F1A">
              <w:rPr>
                <w:rFonts w:eastAsia="Times New Roman" w:cs="Times New Roman"/>
                <w:i/>
                <w:iCs/>
                <w:sz w:val="16"/>
                <w:szCs w:val="16"/>
                <w:lang w:eastAsia="en-AU"/>
              </w:rPr>
              <w:t>Dev</w:t>
            </w:r>
          </w:p>
        </w:tc>
        <w:tc>
          <w:tcPr>
            <w:tcW w:w="5260" w:type="dxa"/>
            <w:tcBorders>
              <w:top w:val="nil"/>
              <w:left w:val="nil"/>
              <w:bottom w:val="nil"/>
              <w:right w:val="nil"/>
            </w:tcBorders>
            <w:shd w:val="clear" w:color="auto" w:fill="auto"/>
            <w:hideMark/>
          </w:tcPr>
          <w:p w14:paraId="5F1ECB5E"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The overall index of financial market development which shows how developed financial markets are.</w:t>
            </w:r>
          </w:p>
        </w:tc>
        <w:tc>
          <w:tcPr>
            <w:tcW w:w="480" w:type="dxa"/>
            <w:tcBorders>
              <w:top w:val="nil"/>
              <w:left w:val="nil"/>
              <w:bottom w:val="nil"/>
              <w:right w:val="nil"/>
            </w:tcBorders>
            <w:shd w:val="clear" w:color="auto" w:fill="auto"/>
            <w:noWrap/>
            <w:hideMark/>
          </w:tcPr>
          <w:p w14:paraId="3B6CB7E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0.24</w:t>
            </w:r>
          </w:p>
        </w:tc>
        <w:tc>
          <w:tcPr>
            <w:tcW w:w="540" w:type="dxa"/>
            <w:tcBorders>
              <w:top w:val="nil"/>
              <w:left w:val="nil"/>
              <w:bottom w:val="nil"/>
              <w:right w:val="nil"/>
            </w:tcBorders>
            <w:shd w:val="clear" w:color="auto" w:fill="auto"/>
            <w:noWrap/>
            <w:hideMark/>
          </w:tcPr>
          <w:p w14:paraId="54D80DA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0.27</w:t>
            </w:r>
          </w:p>
        </w:tc>
        <w:tc>
          <w:tcPr>
            <w:tcW w:w="630" w:type="dxa"/>
            <w:tcBorders>
              <w:top w:val="nil"/>
              <w:left w:val="nil"/>
              <w:bottom w:val="nil"/>
              <w:right w:val="nil"/>
            </w:tcBorders>
            <w:shd w:val="clear" w:color="auto" w:fill="auto"/>
            <w:noWrap/>
            <w:hideMark/>
          </w:tcPr>
          <w:p w14:paraId="7F90BFB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w:t>
            </w:r>
          </w:p>
        </w:tc>
        <w:tc>
          <w:tcPr>
            <w:tcW w:w="630" w:type="dxa"/>
            <w:tcBorders>
              <w:top w:val="nil"/>
              <w:left w:val="nil"/>
              <w:bottom w:val="nil"/>
              <w:right w:val="nil"/>
            </w:tcBorders>
            <w:shd w:val="clear" w:color="auto" w:fill="auto"/>
            <w:noWrap/>
            <w:hideMark/>
          </w:tcPr>
          <w:p w14:paraId="6F17DFF1"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1.00</w:t>
            </w:r>
          </w:p>
        </w:tc>
        <w:tc>
          <w:tcPr>
            <w:tcW w:w="630" w:type="dxa"/>
            <w:tcBorders>
              <w:top w:val="nil"/>
              <w:left w:val="nil"/>
              <w:bottom w:val="nil"/>
              <w:right w:val="nil"/>
            </w:tcBorders>
            <w:shd w:val="clear" w:color="auto" w:fill="auto"/>
            <w:noWrap/>
            <w:hideMark/>
          </w:tcPr>
          <w:p w14:paraId="01F70230"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0.003</w:t>
            </w:r>
          </w:p>
        </w:tc>
        <w:tc>
          <w:tcPr>
            <w:tcW w:w="342" w:type="dxa"/>
            <w:gridSpan w:val="2"/>
            <w:tcBorders>
              <w:top w:val="nil"/>
              <w:left w:val="nil"/>
              <w:bottom w:val="nil"/>
              <w:right w:val="nil"/>
            </w:tcBorders>
            <w:shd w:val="clear" w:color="auto" w:fill="auto"/>
            <w:noWrap/>
            <w:hideMark/>
          </w:tcPr>
          <w:p w14:paraId="7C1B929F"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48D4DDE4" w14:textId="2744C3B1" w:rsidR="00885CC8" w:rsidRPr="00802F1A" w:rsidRDefault="004F6E57" w:rsidP="00885CC8">
            <w:pPr>
              <w:spacing w:line="240" w:lineRule="auto"/>
              <w:rPr>
                <w:rFonts w:eastAsia="Times New Roman" w:cs="Times New Roman"/>
                <w:sz w:val="16"/>
                <w:szCs w:val="16"/>
                <w:u w:val="single"/>
                <w:lang w:eastAsia="en-AU"/>
              </w:rPr>
            </w:pPr>
            <w:hyperlink r:id="rId15" w:history="1">
              <w:r w:rsidR="00885CC8" w:rsidRPr="00802F1A">
                <w:rPr>
                  <w:rFonts w:eastAsia="Times New Roman" w:cs="Times New Roman"/>
                  <w:sz w:val="16"/>
                  <w:szCs w:val="16"/>
                  <w:u w:val="single"/>
                  <w:lang w:eastAsia="en-AU"/>
                </w:rPr>
                <w:t>https://data.imf.org/</w:t>
              </w:r>
            </w:hyperlink>
          </w:p>
        </w:tc>
      </w:tr>
      <w:tr w:rsidR="00802F1A" w:rsidRPr="00802F1A" w14:paraId="4FF14E0F" w14:textId="77777777" w:rsidTr="001A5A7B">
        <w:trPr>
          <w:trHeight w:hRule="exact" w:val="450"/>
        </w:trPr>
        <w:tc>
          <w:tcPr>
            <w:tcW w:w="1400" w:type="dxa"/>
            <w:tcBorders>
              <w:top w:val="nil"/>
              <w:left w:val="nil"/>
              <w:bottom w:val="nil"/>
              <w:right w:val="nil"/>
            </w:tcBorders>
            <w:shd w:val="clear" w:color="auto" w:fill="auto"/>
            <w:noWrap/>
            <w:hideMark/>
          </w:tcPr>
          <w:p w14:paraId="304E1D16" w14:textId="68EC4B2A"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Financial Dev</w:t>
            </w:r>
          </w:p>
        </w:tc>
        <w:tc>
          <w:tcPr>
            <w:tcW w:w="5260" w:type="dxa"/>
            <w:tcBorders>
              <w:top w:val="nil"/>
              <w:left w:val="nil"/>
              <w:bottom w:val="nil"/>
              <w:right w:val="nil"/>
            </w:tcBorders>
            <w:shd w:val="clear" w:color="auto" w:fill="auto"/>
            <w:hideMark/>
          </w:tcPr>
          <w:p w14:paraId="3FBE9F8C" w14:textId="5099D5BF"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The overall index of financial development which shows how developed financial systems are</w:t>
            </w:r>
            <w:r w:rsidR="0001408F" w:rsidRPr="00802F1A">
              <w:rPr>
                <w:rFonts w:eastAsia="Times New Roman" w:cs="Times New Roman"/>
                <w:sz w:val="16"/>
                <w:szCs w:val="16"/>
                <w:lang w:eastAsia="en-AU"/>
              </w:rPr>
              <w:t>.</w:t>
            </w:r>
          </w:p>
        </w:tc>
        <w:tc>
          <w:tcPr>
            <w:tcW w:w="480" w:type="dxa"/>
            <w:tcBorders>
              <w:top w:val="nil"/>
              <w:left w:val="nil"/>
              <w:bottom w:val="nil"/>
              <w:right w:val="nil"/>
            </w:tcBorders>
            <w:shd w:val="clear" w:color="auto" w:fill="auto"/>
            <w:noWrap/>
            <w:hideMark/>
          </w:tcPr>
          <w:p w14:paraId="0EFB8D70"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0.33</w:t>
            </w:r>
          </w:p>
        </w:tc>
        <w:tc>
          <w:tcPr>
            <w:tcW w:w="540" w:type="dxa"/>
            <w:tcBorders>
              <w:top w:val="nil"/>
              <w:left w:val="nil"/>
              <w:bottom w:val="nil"/>
              <w:right w:val="nil"/>
            </w:tcBorders>
            <w:shd w:val="clear" w:color="auto" w:fill="auto"/>
            <w:noWrap/>
            <w:hideMark/>
          </w:tcPr>
          <w:p w14:paraId="636DB16A"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0.23</w:t>
            </w:r>
          </w:p>
        </w:tc>
        <w:tc>
          <w:tcPr>
            <w:tcW w:w="630" w:type="dxa"/>
            <w:tcBorders>
              <w:top w:val="nil"/>
              <w:left w:val="nil"/>
              <w:bottom w:val="nil"/>
              <w:right w:val="nil"/>
            </w:tcBorders>
            <w:shd w:val="clear" w:color="auto" w:fill="auto"/>
            <w:noWrap/>
            <w:hideMark/>
          </w:tcPr>
          <w:p w14:paraId="023C2466"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0.02</w:t>
            </w:r>
          </w:p>
        </w:tc>
        <w:tc>
          <w:tcPr>
            <w:tcW w:w="630" w:type="dxa"/>
            <w:tcBorders>
              <w:top w:val="nil"/>
              <w:left w:val="nil"/>
              <w:bottom w:val="nil"/>
              <w:right w:val="nil"/>
            </w:tcBorders>
            <w:shd w:val="clear" w:color="auto" w:fill="auto"/>
            <w:noWrap/>
            <w:hideMark/>
          </w:tcPr>
          <w:p w14:paraId="584D1E51"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1.00</w:t>
            </w:r>
          </w:p>
        </w:tc>
        <w:tc>
          <w:tcPr>
            <w:tcW w:w="630" w:type="dxa"/>
            <w:tcBorders>
              <w:top w:val="nil"/>
              <w:left w:val="nil"/>
              <w:bottom w:val="nil"/>
              <w:right w:val="nil"/>
            </w:tcBorders>
            <w:shd w:val="clear" w:color="auto" w:fill="auto"/>
            <w:noWrap/>
            <w:hideMark/>
          </w:tcPr>
          <w:p w14:paraId="2190EB4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0.004</w:t>
            </w:r>
          </w:p>
        </w:tc>
        <w:tc>
          <w:tcPr>
            <w:tcW w:w="342" w:type="dxa"/>
            <w:gridSpan w:val="2"/>
            <w:tcBorders>
              <w:top w:val="nil"/>
              <w:left w:val="nil"/>
              <w:bottom w:val="nil"/>
              <w:right w:val="nil"/>
            </w:tcBorders>
            <w:shd w:val="clear" w:color="auto" w:fill="auto"/>
            <w:noWrap/>
            <w:hideMark/>
          </w:tcPr>
          <w:p w14:paraId="4F9F228A"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26FCEBDD" w14:textId="141425FC" w:rsidR="00885CC8" w:rsidRPr="00802F1A" w:rsidRDefault="004F6E57" w:rsidP="00885CC8">
            <w:pPr>
              <w:spacing w:line="240" w:lineRule="auto"/>
              <w:rPr>
                <w:rFonts w:eastAsia="Times New Roman" w:cs="Times New Roman"/>
                <w:sz w:val="16"/>
                <w:szCs w:val="16"/>
                <w:u w:val="single"/>
                <w:lang w:eastAsia="en-AU"/>
              </w:rPr>
            </w:pPr>
            <w:hyperlink r:id="rId16" w:history="1">
              <w:r w:rsidR="00885CC8" w:rsidRPr="00802F1A">
                <w:rPr>
                  <w:rFonts w:eastAsia="Times New Roman" w:cs="Times New Roman"/>
                  <w:sz w:val="16"/>
                  <w:szCs w:val="16"/>
                  <w:u w:val="single"/>
                  <w:lang w:eastAsia="en-AU"/>
                </w:rPr>
                <w:t>https://data.imf.org/</w:t>
              </w:r>
            </w:hyperlink>
          </w:p>
        </w:tc>
      </w:tr>
      <w:tr w:rsidR="00802F1A" w:rsidRPr="00802F1A" w14:paraId="324306B1" w14:textId="77777777" w:rsidTr="001A5A7B">
        <w:trPr>
          <w:trHeight w:hRule="exact" w:val="245"/>
        </w:trPr>
        <w:tc>
          <w:tcPr>
            <w:tcW w:w="9895" w:type="dxa"/>
            <w:gridSpan w:val="8"/>
            <w:tcBorders>
              <w:top w:val="nil"/>
              <w:left w:val="nil"/>
              <w:bottom w:val="nil"/>
              <w:right w:val="nil"/>
            </w:tcBorders>
            <w:shd w:val="clear" w:color="auto" w:fill="auto"/>
            <w:noWrap/>
            <w:hideMark/>
          </w:tcPr>
          <w:p w14:paraId="774C67F1" w14:textId="30BED5DD" w:rsidR="00885CC8" w:rsidRPr="00802F1A" w:rsidRDefault="00885CC8" w:rsidP="00885CC8">
            <w:pPr>
              <w:spacing w:line="240" w:lineRule="auto"/>
              <w:rPr>
                <w:rFonts w:eastAsia="Times New Roman" w:cs="Times New Roman"/>
                <w:b/>
                <w:bCs/>
                <w:i/>
                <w:iCs/>
                <w:sz w:val="16"/>
                <w:szCs w:val="16"/>
                <w:lang w:eastAsia="en-AU"/>
              </w:rPr>
            </w:pPr>
            <w:r w:rsidRPr="00802F1A">
              <w:rPr>
                <w:rFonts w:eastAsia="Times New Roman" w:cs="Times New Roman"/>
                <w:b/>
                <w:bCs/>
                <w:i/>
                <w:iCs/>
                <w:sz w:val="16"/>
                <w:szCs w:val="16"/>
                <w:lang w:eastAsia="en-AU"/>
              </w:rPr>
              <w:t xml:space="preserve">Control </w:t>
            </w:r>
            <w:r w:rsidR="0001408F" w:rsidRPr="00802F1A">
              <w:rPr>
                <w:rFonts w:eastAsia="Times New Roman" w:cs="Times New Roman"/>
                <w:b/>
                <w:bCs/>
                <w:i/>
                <w:iCs/>
                <w:sz w:val="16"/>
                <w:szCs w:val="16"/>
                <w:lang w:eastAsia="en-AU"/>
              </w:rPr>
              <w:t>variables</w:t>
            </w:r>
          </w:p>
        </w:tc>
        <w:tc>
          <w:tcPr>
            <w:tcW w:w="4535" w:type="dxa"/>
            <w:gridSpan w:val="2"/>
            <w:tcBorders>
              <w:top w:val="nil"/>
              <w:left w:val="nil"/>
              <w:bottom w:val="nil"/>
              <w:right w:val="nil"/>
            </w:tcBorders>
            <w:shd w:val="clear" w:color="auto" w:fill="auto"/>
            <w:hideMark/>
          </w:tcPr>
          <w:p w14:paraId="493C883A" w14:textId="77777777" w:rsidR="00885CC8" w:rsidRPr="00802F1A" w:rsidRDefault="00885CC8" w:rsidP="00885CC8">
            <w:pPr>
              <w:spacing w:line="240" w:lineRule="auto"/>
              <w:rPr>
                <w:rFonts w:eastAsia="Times New Roman" w:cs="Times New Roman"/>
                <w:b/>
                <w:bCs/>
                <w:i/>
                <w:iCs/>
                <w:sz w:val="16"/>
                <w:szCs w:val="16"/>
                <w:lang w:eastAsia="en-AU"/>
              </w:rPr>
            </w:pPr>
          </w:p>
        </w:tc>
      </w:tr>
      <w:tr w:rsidR="00802F1A" w:rsidRPr="00802F1A" w14:paraId="4044313A" w14:textId="77777777" w:rsidTr="001A5A7B">
        <w:trPr>
          <w:trHeight w:hRule="exact" w:val="245"/>
        </w:trPr>
        <w:tc>
          <w:tcPr>
            <w:tcW w:w="1400" w:type="dxa"/>
            <w:tcBorders>
              <w:top w:val="nil"/>
              <w:left w:val="nil"/>
              <w:bottom w:val="nil"/>
              <w:right w:val="nil"/>
            </w:tcBorders>
            <w:shd w:val="clear" w:color="auto" w:fill="auto"/>
            <w:noWrap/>
            <w:hideMark/>
          </w:tcPr>
          <w:p w14:paraId="5064842C" w14:textId="77777777"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Oil Price</w:t>
            </w:r>
          </w:p>
        </w:tc>
        <w:tc>
          <w:tcPr>
            <w:tcW w:w="5260" w:type="dxa"/>
            <w:tcBorders>
              <w:top w:val="nil"/>
              <w:left w:val="nil"/>
              <w:bottom w:val="nil"/>
              <w:right w:val="nil"/>
            </w:tcBorders>
            <w:shd w:val="clear" w:color="auto" w:fill="auto"/>
            <w:noWrap/>
            <w:hideMark/>
          </w:tcPr>
          <w:p w14:paraId="3B2F7DF3"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Crude oil prices: West Texas Intermediate (WTI) ($)</w:t>
            </w:r>
          </w:p>
        </w:tc>
        <w:tc>
          <w:tcPr>
            <w:tcW w:w="480" w:type="dxa"/>
            <w:tcBorders>
              <w:top w:val="nil"/>
              <w:left w:val="nil"/>
              <w:bottom w:val="nil"/>
              <w:right w:val="nil"/>
            </w:tcBorders>
            <w:shd w:val="clear" w:color="auto" w:fill="auto"/>
            <w:noWrap/>
            <w:hideMark/>
          </w:tcPr>
          <w:p w14:paraId="27FFB7AF"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53.25</w:t>
            </w:r>
          </w:p>
        </w:tc>
        <w:tc>
          <w:tcPr>
            <w:tcW w:w="540" w:type="dxa"/>
            <w:tcBorders>
              <w:top w:val="nil"/>
              <w:left w:val="nil"/>
              <w:bottom w:val="nil"/>
              <w:right w:val="nil"/>
            </w:tcBorders>
            <w:shd w:val="clear" w:color="auto" w:fill="auto"/>
            <w:noWrap/>
            <w:hideMark/>
          </w:tcPr>
          <w:p w14:paraId="18367757"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27.77</w:t>
            </w:r>
          </w:p>
        </w:tc>
        <w:tc>
          <w:tcPr>
            <w:tcW w:w="630" w:type="dxa"/>
            <w:tcBorders>
              <w:top w:val="nil"/>
              <w:left w:val="nil"/>
              <w:bottom w:val="nil"/>
              <w:right w:val="nil"/>
            </w:tcBorders>
            <w:shd w:val="clear" w:color="auto" w:fill="auto"/>
            <w:noWrap/>
            <w:hideMark/>
          </w:tcPr>
          <w:p w14:paraId="7C8CF202"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14.42</w:t>
            </w:r>
          </w:p>
        </w:tc>
        <w:tc>
          <w:tcPr>
            <w:tcW w:w="630" w:type="dxa"/>
            <w:tcBorders>
              <w:top w:val="nil"/>
              <w:left w:val="nil"/>
              <w:bottom w:val="nil"/>
              <w:right w:val="nil"/>
            </w:tcBorders>
            <w:shd w:val="clear" w:color="auto" w:fill="auto"/>
            <w:noWrap/>
            <w:hideMark/>
          </w:tcPr>
          <w:p w14:paraId="462D39C7"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99.67</w:t>
            </w:r>
          </w:p>
        </w:tc>
        <w:tc>
          <w:tcPr>
            <w:tcW w:w="630" w:type="dxa"/>
            <w:tcBorders>
              <w:top w:val="nil"/>
              <w:left w:val="nil"/>
              <w:bottom w:val="nil"/>
              <w:right w:val="nil"/>
            </w:tcBorders>
            <w:shd w:val="clear" w:color="auto" w:fill="auto"/>
            <w:noWrap/>
            <w:hideMark/>
          </w:tcPr>
          <w:p w14:paraId="500E554B"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2.583</w:t>
            </w:r>
          </w:p>
        </w:tc>
        <w:tc>
          <w:tcPr>
            <w:tcW w:w="342" w:type="dxa"/>
            <w:gridSpan w:val="2"/>
            <w:tcBorders>
              <w:top w:val="nil"/>
              <w:left w:val="nil"/>
              <w:bottom w:val="nil"/>
              <w:right w:val="nil"/>
            </w:tcBorders>
            <w:shd w:val="clear" w:color="auto" w:fill="auto"/>
            <w:noWrap/>
            <w:hideMark/>
          </w:tcPr>
          <w:p w14:paraId="50EAFB75"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61BD8FD8" w14:textId="77777777" w:rsidR="00885CC8" w:rsidRPr="00802F1A" w:rsidRDefault="004F6E57" w:rsidP="00885CC8">
            <w:pPr>
              <w:spacing w:line="240" w:lineRule="auto"/>
              <w:rPr>
                <w:rFonts w:eastAsia="Times New Roman" w:cs="Times New Roman"/>
                <w:sz w:val="16"/>
                <w:szCs w:val="16"/>
                <w:u w:val="single"/>
                <w:lang w:eastAsia="en-AU"/>
              </w:rPr>
            </w:pPr>
            <w:hyperlink r:id="rId17" w:history="1">
              <w:r w:rsidR="00885CC8" w:rsidRPr="00802F1A">
                <w:rPr>
                  <w:rFonts w:eastAsia="Times New Roman" w:cs="Times New Roman"/>
                  <w:sz w:val="16"/>
                  <w:szCs w:val="16"/>
                  <w:u w:val="single"/>
                  <w:lang w:eastAsia="en-AU"/>
                </w:rPr>
                <w:t>https://alfred.stlouisfed.org</w:t>
              </w:r>
            </w:hyperlink>
          </w:p>
        </w:tc>
      </w:tr>
      <w:tr w:rsidR="00802F1A" w:rsidRPr="00802F1A" w14:paraId="0917BF01" w14:textId="77777777" w:rsidTr="001A5A7B">
        <w:trPr>
          <w:trHeight w:hRule="exact" w:val="405"/>
        </w:trPr>
        <w:tc>
          <w:tcPr>
            <w:tcW w:w="1400" w:type="dxa"/>
            <w:tcBorders>
              <w:top w:val="nil"/>
              <w:left w:val="nil"/>
              <w:bottom w:val="nil"/>
              <w:right w:val="nil"/>
            </w:tcBorders>
            <w:shd w:val="clear" w:color="auto" w:fill="auto"/>
            <w:noWrap/>
            <w:hideMark/>
          </w:tcPr>
          <w:p w14:paraId="13215D28" w14:textId="77777777"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HDI</w:t>
            </w:r>
          </w:p>
        </w:tc>
        <w:tc>
          <w:tcPr>
            <w:tcW w:w="5260" w:type="dxa"/>
            <w:tcBorders>
              <w:top w:val="nil"/>
              <w:left w:val="nil"/>
              <w:bottom w:val="nil"/>
              <w:right w:val="nil"/>
            </w:tcBorders>
            <w:shd w:val="clear" w:color="auto" w:fill="auto"/>
            <w:noWrap/>
            <w:hideMark/>
          </w:tcPr>
          <w:p w14:paraId="01FF8E45" w14:textId="42ABDE14" w:rsidR="00885CC8" w:rsidRPr="00802F1A" w:rsidRDefault="003D6185"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 xml:space="preserve">A composite index measuring </w:t>
            </w:r>
            <w:r w:rsidR="0094663E" w:rsidRPr="00802F1A">
              <w:rPr>
                <w:rFonts w:eastAsia="Times New Roman" w:cs="Times New Roman"/>
                <w:sz w:val="16"/>
                <w:szCs w:val="16"/>
                <w:lang w:eastAsia="en-AU"/>
              </w:rPr>
              <w:t xml:space="preserve">achievement in three basic </w:t>
            </w:r>
            <w:r w:rsidR="00305DC5" w:rsidRPr="00802F1A">
              <w:rPr>
                <w:rFonts w:eastAsia="Times New Roman" w:cs="Times New Roman"/>
                <w:sz w:val="16"/>
                <w:szCs w:val="16"/>
                <w:lang w:eastAsia="en-AU"/>
              </w:rPr>
              <w:t>dimensions of h</w:t>
            </w:r>
            <w:r w:rsidR="00D221B9" w:rsidRPr="00802F1A">
              <w:rPr>
                <w:rFonts w:eastAsia="Times New Roman" w:cs="Times New Roman"/>
                <w:sz w:val="16"/>
                <w:szCs w:val="16"/>
                <w:lang w:eastAsia="en-AU"/>
              </w:rPr>
              <w:t>u</w:t>
            </w:r>
            <w:r w:rsidR="00305DC5" w:rsidRPr="00802F1A">
              <w:rPr>
                <w:rFonts w:eastAsia="Times New Roman" w:cs="Times New Roman"/>
                <w:sz w:val="16"/>
                <w:szCs w:val="16"/>
                <w:lang w:eastAsia="en-AU"/>
              </w:rPr>
              <w:t>man development</w:t>
            </w:r>
            <w:r w:rsidR="00D221B9" w:rsidRPr="00802F1A">
              <w:rPr>
                <w:rFonts w:eastAsia="Times New Roman" w:cs="Times New Roman"/>
                <w:sz w:val="16"/>
                <w:szCs w:val="16"/>
                <w:lang w:eastAsia="en-AU"/>
              </w:rPr>
              <w:t>: a long and healthy life, knowledge</w:t>
            </w:r>
            <w:r w:rsidR="00E3333E" w:rsidRPr="00802F1A">
              <w:rPr>
                <w:rFonts w:eastAsia="Times New Roman" w:cs="Times New Roman"/>
                <w:sz w:val="16"/>
                <w:szCs w:val="16"/>
                <w:lang w:eastAsia="en-AU"/>
              </w:rPr>
              <w:t>,</w:t>
            </w:r>
            <w:r w:rsidR="00D221B9" w:rsidRPr="00802F1A">
              <w:rPr>
                <w:rFonts w:eastAsia="Times New Roman" w:cs="Times New Roman"/>
                <w:sz w:val="16"/>
                <w:szCs w:val="16"/>
                <w:lang w:eastAsia="en-AU"/>
              </w:rPr>
              <w:t xml:space="preserve"> and a decent standard of living</w:t>
            </w:r>
          </w:p>
        </w:tc>
        <w:tc>
          <w:tcPr>
            <w:tcW w:w="480" w:type="dxa"/>
            <w:tcBorders>
              <w:top w:val="nil"/>
              <w:left w:val="nil"/>
              <w:bottom w:val="nil"/>
              <w:right w:val="nil"/>
            </w:tcBorders>
            <w:shd w:val="clear" w:color="auto" w:fill="auto"/>
            <w:noWrap/>
            <w:hideMark/>
          </w:tcPr>
          <w:p w14:paraId="44018C2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0.74</w:t>
            </w:r>
          </w:p>
        </w:tc>
        <w:tc>
          <w:tcPr>
            <w:tcW w:w="540" w:type="dxa"/>
            <w:tcBorders>
              <w:top w:val="nil"/>
              <w:left w:val="nil"/>
              <w:bottom w:val="nil"/>
              <w:right w:val="nil"/>
            </w:tcBorders>
            <w:shd w:val="clear" w:color="auto" w:fill="auto"/>
            <w:noWrap/>
            <w:hideMark/>
          </w:tcPr>
          <w:p w14:paraId="0A6AE95A"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0.15</w:t>
            </w:r>
          </w:p>
        </w:tc>
        <w:tc>
          <w:tcPr>
            <w:tcW w:w="630" w:type="dxa"/>
            <w:tcBorders>
              <w:top w:val="nil"/>
              <w:left w:val="nil"/>
              <w:bottom w:val="nil"/>
              <w:right w:val="nil"/>
            </w:tcBorders>
            <w:shd w:val="clear" w:color="auto" w:fill="auto"/>
            <w:noWrap/>
            <w:hideMark/>
          </w:tcPr>
          <w:p w14:paraId="4286CDC1"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0.39</w:t>
            </w:r>
          </w:p>
        </w:tc>
        <w:tc>
          <w:tcPr>
            <w:tcW w:w="630" w:type="dxa"/>
            <w:tcBorders>
              <w:top w:val="nil"/>
              <w:left w:val="nil"/>
              <w:bottom w:val="nil"/>
              <w:right w:val="nil"/>
            </w:tcBorders>
            <w:shd w:val="clear" w:color="auto" w:fill="auto"/>
            <w:noWrap/>
            <w:hideMark/>
          </w:tcPr>
          <w:p w14:paraId="48903776"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0.96</w:t>
            </w:r>
          </w:p>
        </w:tc>
        <w:tc>
          <w:tcPr>
            <w:tcW w:w="630" w:type="dxa"/>
            <w:tcBorders>
              <w:top w:val="nil"/>
              <w:left w:val="nil"/>
              <w:bottom w:val="nil"/>
              <w:right w:val="nil"/>
            </w:tcBorders>
            <w:shd w:val="clear" w:color="auto" w:fill="auto"/>
            <w:noWrap/>
            <w:hideMark/>
          </w:tcPr>
          <w:p w14:paraId="5FAC753E"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0.00004</w:t>
            </w:r>
          </w:p>
        </w:tc>
        <w:tc>
          <w:tcPr>
            <w:tcW w:w="342" w:type="dxa"/>
            <w:gridSpan w:val="2"/>
            <w:tcBorders>
              <w:top w:val="nil"/>
              <w:left w:val="nil"/>
              <w:bottom w:val="nil"/>
              <w:right w:val="nil"/>
            </w:tcBorders>
            <w:shd w:val="clear" w:color="auto" w:fill="auto"/>
            <w:noWrap/>
            <w:hideMark/>
          </w:tcPr>
          <w:p w14:paraId="761AC162"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 xml:space="preserve"> </w:t>
            </w:r>
          </w:p>
        </w:tc>
        <w:tc>
          <w:tcPr>
            <w:tcW w:w="4518" w:type="dxa"/>
            <w:tcBorders>
              <w:top w:val="nil"/>
              <w:left w:val="nil"/>
              <w:bottom w:val="nil"/>
              <w:right w:val="nil"/>
            </w:tcBorders>
            <w:shd w:val="clear" w:color="auto" w:fill="auto"/>
            <w:noWrap/>
            <w:hideMark/>
          </w:tcPr>
          <w:p w14:paraId="7B79C216" w14:textId="77777777" w:rsidR="00885CC8" w:rsidRPr="00802F1A" w:rsidRDefault="004F6E57" w:rsidP="00885CC8">
            <w:pPr>
              <w:spacing w:line="240" w:lineRule="auto"/>
              <w:rPr>
                <w:rFonts w:eastAsia="Times New Roman" w:cs="Times New Roman"/>
                <w:sz w:val="16"/>
                <w:szCs w:val="16"/>
                <w:u w:val="single"/>
                <w:lang w:eastAsia="en-AU"/>
              </w:rPr>
            </w:pPr>
            <w:hyperlink r:id="rId18" w:history="1">
              <w:r w:rsidR="00885CC8" w:rsidRPr="00802F1A">
                <w:rPr>
                  <w:rFonts w:eastAsia="Times New Roman" w:cs="Times New Roman"/>
                  <w:sz w:val="16"/>
                  <w:szCs w:val="16"/>
                  <w:u w:val="single"/>
                  <w:lang w:eastAsia="en-AU"/>
                </w:rPr>
                <w:t>http://hdr.undp.org/</w:t>
              </w:r>
            </w:hyperlink>
          </w:p>
        </w:tc>
      </w:tr>
      <w:tr w:rsidR="00802F1A" w:rsidRPr="00802F1A" w14:paraId="2BBB56E4" w14:textId="77777777" w:rsidTr="001A5A7B">
        <w:trPr>
          <w:trHeight w:hRule="exact" w:val="245"/>
        </w:trPr>
        <w:tc>
          <w:tcPr>
            <w:tcW w:w="1400" w:type="dxa"/>
            <w:tcBorders>
              <w:top w:val="nil"/>
              <w:left w:val="nil"/>
              <w:bottom w:val="nil"/>
              <w:right w:val="nil"/>
            </w:tcBorders>
            <w:shd w:val="clear" w:color="auto" w:fill="auto"/>
            <w:noWrap/>
            <w:hideMark/>
          </w:tcPr>
          <w:p w14:paraId="6F074A53" w14:textId="77777777"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Unemployment</w:t>
            </w:r>
          </w:p>
        </w:tc>
        <w:tc>
          <w:tcPr>
            <w:tcW w:w="5260" w:type="dxa"/>
            <w:tcBorders>
              <w:top w:val="nil"/>
              <w:left w:val="nil"/>
              <w:bottom w:val="nil"/>
              <w:right w:val="nil"/>
            </w:tcBorders>
            <w:shd w:val="clear" w:color="auto" w:fill="auto"/>
            <w:noWrap/>
            <w:hideMark/>
          </w:tcPr>
          <w:p w14:paraId="05BB3E81" w14:textId="044D9A75"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 xml:space="preserve">Unemployment, total (% of total </w:t>
            </w:r>
            <w:r w:rsidR="006F0FE7" w:rsidRPr="00802F1A">
              <w:rPr>
                <w:rFonts w:eastAsia="Times New Roman" w:cs="Times New Roman"/>
                <w:sz w:val="16"/>
                <w:szCs w:val="16"/>
                <w:lang w:eastAsia="en-AU"/>
              </w:rPr>
              <w:t>labour</w:t>
            </w:r>
            <w:r w:rsidRPr="00802F1A">
              <w:rPr>
                <w:rFonts w:eastAsia="Times New Roman" w:cs="Times New Roman"/>
                <w:sz w:val="16"/>
                <w:szCs w:val="16"/>
                <w:lang w:eastAsia="en-AU"/>
              </w:rPr>
              <w:t xml:space="preserve"> force) </w:t>
            </w:r>
          </w:p>
        </w:tc>
        <w:tc>
          <w:tcPr>
            <w:tcW w:w="480" w:type="dxa"/>
            <w:tcBorders>
              <w:top w:val="nil"/>
              <w:left w:val="nil"/>
              <w:bottom w:val="nil"/>
              <w:right w:val="nil"/>
            </w:tcBorders>
            <w:shd w:val="clear" w:color="auto" w:fill="auto"/>
            <w:noWrap/>
            <w:hideMark/>
          </w:tcPr>
          <w:p w14:paraId="7B598126"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7.31</w:t>
            </w:r>
          </w:p>
        </w:tc>
        <w:tc>
          <w:tcPr>
            <w:tcW w:w="540" w:type="dxa"/>
            <w:tcBorders>
              <w:top w:val="nil"/>
              <w:left w:val="nil"/>
              <w:bottom w:val="nil"/>
              <w:right w:val="nil"/>
            </w:tcBorders>
            <w:shd w:val="clear" w:color="auto" w:fill="auto"/>
            <w:noWrap/>
            <w:hideMark/>
          </w:tcPr>
          <w:p w14:paraId="33BC880A"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5.60</w:t>
            </w:r>
          </w:p>
        </w:tc>
        <w:tc>
          <w:tcPr>
            <w:tcW w:w="630" w:type="dxa"/>
            <w:tcBorders>
              <w:top w:val="nil"/>
              <w:left w:val="nil"/>
              <w:bottom w:val="nil"/>
              <w:right w:val="nil"/>
            </w:tcBorders>
            <w:shd w:val="clear" w:color="auto" w:fill="auto"/>
            <w:noWrap/>
            <w:hideMark/>
          </w:tcPr>
          <w:p w14:paraId="62BBBD93"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0.11</w:t>
            </w:r>
          </w:p>
        </w:tc>
        <w:tc>
          <w:tcPr>
            <w:tcW w:w="630" w:type="dxa"/>
            <w:tcBorders>
              <w:top w:val="nil"/>
              <w:left w:val="nil"/>
              <w:bottom w:val="nil"/>
              <w:right w:val="nil"/>
            </w:tcBorders>
            <w:shd w:val="clear" w:color="auto" w:fill="auto"/>
            <w:noWrap/>
            <w:hideMark/>
          </w:tcPr>
          <w:p w14:paraId="5764975A"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37.96</w:t>
            </w:r>
          </w:p>
        </w:tc>
        <w:tc>
          <w:tcPr>
            <w:tcW w:w="630" w:type="dxa"/>
            <w:tcBorders>
              <w:top w:val="nil"/>
              <w:left w:val="nil"/>
              <w:bottom w:val="nil"/>
              <w:right w:val="nil"/>
            </w:tcBorders>
            <w:shd w:val="clear" w:color="auto" w:fill="auto"/>
            <w:noWrap/>
            <w:hideMark/>
          </w:tcPr>
          <w:p w14:paraId="490F4790"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-0.061</w:t>
            </w:r>
          </w:p>
        </w:tc>
        <w:tc>
          <w:tcPr>
            <w:tcW w:w="342" w:type="dxa"/>
            <w:gridSpan w:val="2"/>
            <w:tcBorders>
              <w:top w:val="nil"/>
              <w:left w:val="nil"/>
              <w:bottom w:val="nil"/>
              <w:right w:val="nil"/>
            </w:tcBorders>
            <w:shd w:val="clear" w:color="auto" w:fill="auto"/>
            <w:noWrap/>
            <w:hideMark/>
          </w:tcPr>
          <w:p w14:paraId="6A39406B"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3169324C" w14:textId="77777777" w:rsidR="00885CC8" w:rsidRPr="00802F1A" w:rsidRDefault="004F6E57" w:rsidP="00885CC8">
            <w:pPr>
              <w:spacing w:line="240" w:lineRule="auto"/>
              <w:rPr>
                <w:rFonts w:eastAsia="Times New Roman" w:cs="Times New Roman"/>
                <w:sz w:val="16"/>
                <w:szCs w:val="16"/>
                <w:u w:val="single"/>
                <w:lang w:eastAsia="en-AU"/>
              </w:rPr>
            </w:pPr>
            <w:hyperlink r:id="rId19" w:history="1">
              <w:r w:rsidR="00885CC8" w:rsidRPr="00802F1A">
                <w:rPr>
                  <w:rFonts w:eastAsia="Times New Roman" w:cs="Times New Roman"/>
                  <w:sz w:val="16"/>
                  <w:szCs w:val="16"/>
                  <w:u w:val="single"/>
                  <w:lang w:eastAsia="en-AU"/>
                </w:rPr>
                <w:t>https://databank.worldbank.org/source/world-development-indicators</w:t>
              </w:r>
            </w:hyperlink>
          </w:p>
        </w:tc>
      </w:tr>
      <w:tr w:rsidR="00802F1A" w:rsidRPr="00802F1A" w14:paraId="03943339" w14:textId="77777777" w:rsidTr="001A5A7B">
        <w:trPr>
          <w:trHeight w:hRule="exact" w:val="245"/>
        </w:trPr>
        <w:tc>
          <w:tcPr>
            <w:tcW w:w="1400" w:type="dxa"/>
            <w:tcBorders>
              <w:top w:val="nil"/>
              <w:left w:val="nil"/>
              <w:bottom w:val="nil"/>
              <w:right w:val="nil"/>
            </w:tcBorders>
            <w:shd w:val="clear" w:color="auto" w:fill="auto"/>
            <w:noWrap/>
            <w:hideMark/>
          </w:tcPr>
          <w:p w14:paraId="4D013508" w14:textId="77777777"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Capital Stock</w:t>
            </w:r>
          </w:p>
        </w:tc>
        <w:tc>
          <w:tcPr>
            <w:tcW w:w="5260" w:type="dxa"/>
            <w:tcBorders>
              <w:top w:val="nil"/>
              <w:left w:val="nil"/>
              <w:bottom w:val="nil"/>
              <w:right w:val="nil"/>
            </w:tcBorders>
            <w:shd w:val="clear" w:color="auto" w:fill="auto"/>
            <w:noWrap/>
            <w:hideMark/>
          </w:tcPr>
          <w:p w14:paraId="425C4355"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Capital stock per capita at $PPPs</w:t>
            </w:r>
          </w:p>
        </w:tc>
        <w:tc>
          <w:tcPr>
            <w:tcW w:w="480" w:type="dxa"/>
            <w:tcBorders>
              <w:top w:val="nil"/>
              <w:left w:val="nil"/>
              <w:bottom w:val="nil"/>
              <w:right w:val="nil"/>
            </w:tcBorders>
            <w:shd w:val="clear" w:color="auto" w:fill="auto"/>
            <w:noWrap/>
            <w:hideMark/>
          </w:tcPr>
          <w:p w14:paraId="688FDC0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18298</w:t>
            </w:r>
          </w:p>
        </w:tc>
        <w:tc>
          <w:tcPr>
            <w:tcW w:w="540" w:type="dxa"/>
            <w:tcBorders>
              <w:top w:val="nil"/>
              <w:left w:val="nil"/>
              <w:bottom w:val="nil"/>
              <w:right w:val="nil"/>
            </w:tcBorders>
            <w:shd w:val="clear" w:color="auto" w:fill="auto"/>
            <w:noWrap/>
            <w:hideMark/>
          </w:tcPr>
          <w:p w14:paraId="71F91C0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24489</w:t>
            </w:r>
          </w:p>
        </w:tc>
        <w:tc>
          <w:tcPr>
            <w:tcW w:w="630" w:type="dxa"/>
            <w:tcBorders>
              <w:top w:val="nil"/>
              <w:left w:val="nil"/>
              <w:bottom w:val="nil"/>
              <w:right w:val="nil"/>
            </w:tcBorders>
            <w:shd w:val="clear" w:color="auto" w:fill="auto"/>
            <w:noWrap/>
            <w:hideMark/>
          </w:tcPr>
          <w:p w14:paraId="7CB56C25"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18</w:t>
            </w:r>
          </w:p>
        </w:tc>
        <w:tc>
          <w:tcPr>
            <w:tcW w:w="630" w:type="dxa"/>
            <w:tcBorders>
              <w:top w:val="nil"/>
              <w:left w:val="nil"/>
              <w:bottom w:val="nil"/>
              <w:right w:val="nil"/>
            </w:tcBorders>
            <w:shd w:val="clear" w:color="auto" w:fill="auto"/>
            <w:noWrap/>
            <w:hideMark/>
          </w:tcPr>
          <w:p w14:paraId="5702B06A"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161065</w:t>
            </w:r>
          </w:p>
        </w:tc>
        <w:tc>
          <w:tcPr>
            <w:tcW w:w="630" w:type="dxa"/>
            <w:tcBorders>
              <w:top w:val="nil"/>
              <w:left w:val="nil"/>
              <w:bottom w:val="nil"/>
              <w:right w:val="nil"/>
            </w:tcBorders>
            <w:shd w:val="clear" w:color="auto" w:fill="auto"/>
            <w:noWrap/>
            <w:hideMark/>
          </w:tcPr>
          <w:p w14:paraId="1D36BEC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765</w:t>
            </w:r>
          </w:p>
        </w:tc>
        <w:tc>
          <w:tcPr>
            <w:tcW w:w="342" w:type="dxa"/>
            <w:gridSpan w:val="2"/>
            <w:tcBorders>
              <w:top w:val="nil"/>
              <w:left w:val="nil"/>
              <w:bottom w:val="nil"/>
              <w:right w:val="nil"/>
            </w:tcBorders>
            <w:shd w:val="clear" w:color="auto" w:fill="auto"/>
            <w:noWrap/>
            <w:hideMark/>
          </w:tcPr>
          <w:p w14:paraId="5841C430"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nil"/>
              <w:right w:val="nil"/>
            </w:tcBorders>
            <w:shd w:val="clear" w:color="auto" w:fill="auto"/>
            <w:hideMark/>
          </w:tcPr>
          <w:p w14:paraId="6E1054DA" w14:textId="409F9377" w:rsidR="00885CC8" w:rsidRPr="00802F1A" w:rsidRDefault="00885CC8" w:rsidP="00885CC8">
            <w:pPr>
              <w:spacing w:line="240" w:lineRule="auto"/>
              <w:rPr>
                <w:rFonts w:eastAsia="Times New Roman" w:cs="Times New Roman"/>
                <w:sz w:val="16"/>
                <w:szCs w:val="16"/>
                <w:u w:val="single"/>
                <w:lang w:eastAsia="en-AU"/>
              </w:rPr>
            </w:pPr>
            <w:r w:rsidRPr="00802F1A">
              <w:rPr>
                <w:rFonts w:eastAsia="Times New Roman" w:cs="Times New Roman"/>
                <w:sz w:val="16"/>
                <w:szCs w:val="16"/>
                <w:u w:val="single"/>
                <w:lang w:eastAsia="en-AU"/>
              </w:rPr>
              <w:t>https://www.rug.nl/ggdc/productivity/pwt/</w:t>
            </w:r>
          </w:p>
        </w:tc>
      </w:tr>
      <w:tr w:rsidR="00802F1A" w:rsidRPr="00802F1A" w14:paraId="22EAE203" w14:textId="77777777" w:rsidTr="001A5A7B">
        <w:trPr>
          <w:trHeight w:hRule="exact" w:val="245"/>
        </w:trPr>
        <w:tc>
          <w:tcPr>
            <w:tcW w:w="1400" w:type="dxa"/>
            <w:tcBorders>
              <w:top w:val="nil"/>
              <w:left w:val="nil"/>
              <w:bottom w:val="nil"/>
              <w:right w:val="nil"/>
            </w:tcBorders>
            <w:shd w:val="clear" w:color="auto" w:fill="auto"/>
            <w:noWrap/>
            <w:hideMark/>
          </w:tcPr>
          <w:p w14:paraId="677DC747" w14:textId="77777777"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Tourism Receipt</w:t>
            </w:r>
          </w:p>
        </w:tc>
        <w:tc>
          <w:tcPr>
            <w:tcW w:w="5260" w:type="dxa"/>
            <w:tcBorders>
              <w:top w:val="nil"/>
              <w:left w:val="nil"/>
              <w:bottom w:val="nil"/>
              <w:right w:val="nil"/>
            </w:tcBorders>
            <w:shd w:val="clear" w:color="auto" w:fill="auto"/>
            <w:noWrap/>
            <w:hideMark/>
          </w:tcPr>
          <w:p w14:paraId="5F52EA20"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International tourism, receipts (% of total exports)</w:t>
            </w:r>
          </w:p>
        </w:tc>
        <w:tc>
          <w:tcPr>
            <w:tcW w:w="480" w:type="dxa"/>
            <w:tcBorders>
              <w:top w:val="nil"/>
              <w:left w:val="nil"/>
              <w:bottom w:val="nil"/>
              <w:right w:val="nil"/>
            </w:tcBorders>
            <w:shd w:val="clear" w:color="auto" w:fill="auto"/>
            <w:noWrap/>
            <w:hideMark/>
          </w:tcPr>
          <w:p w14:paraId="0AECA6B8"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11.28</w:t>
            </w:r>
          </w:p>
        </w:tc>
        <w:tc>
          <w:tcPr>
            <w:tcW w:w="540" w:type="dxa"/>
            <w:tcBorders>
              <w:top w:val="nil"/>
              <w:left w:val="nil"/>
              <w:bottom w:val="nil"/>
              <w:right w:val="nil"/>
            </w:tcBorders>
            <w:shd w:val="clear" w:color="auto" w:fill="auto"/>
            <w:noWrap/>
            <w:hideMark/>
          </w:tcPr>
          <w:p w14:paraId="33C49332"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12.40</w:t>
            </w:r>
          </w:p>
        </w:tc>
        <w:tc>
          <w:tcPr>
            <w:tcW w:w="630" w:type="dxa"/>
            <w:tcBorders>
              <w:top w:val="nil"/>
              <w:left w:val="nil"/>
              <w:bottom w:val="nil"/>
              <w:right w:val="nil"/>
            </w:tcBorders>
            <w:shd w:val="clear" w:color="auto" w:fill="auto"/>
            <w:noWrap/>
            <w:hideMark/>
          </w:tcPr>
          <w:p w14:paraId="174FC167"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0.001</w:t>
            </w:r>
          </w:p>
        </w:tc>
        <w:tc>
          <w:tcPr>
            <w:tcW w:w="630" w:type="dxa"/>
            <w:tcBorders>
              <w:top w:val="nil"/>
              <w:left w:val="nil"/>
              <w:bottom w:val="nil"/>
              <w:right w:val="nil"/>
            </w:tcBorders>
            <w:shd w:val="clear" w:color="auto" w:fill="auto"/>
            <w:noWrap/>
            <w:hideMark/>
          </w:tcPr>
          <w:p w14:paraId="69BB56E5"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89.12</w:t>
            </w:r>
          </w:p>
        </w:tc>
        <w:tc>
          <w:tcPr>
            <w:tcW w:w="630" w:type="dxa"/>
            <w:tcBorders>
              <w:top w:val="nil"/>
              <w:left w:val="nil"/>
              <w:bottom w:val="nil"/>
              <w:right w:val="nil"/>
            </w:tcBorders>
            <w:shd w:val="clear" w:color="auto" w:fill="auto"/>
            <w:noWrap/>
            <w:hideMark/>
          </w:tcPr>
          <w:p w14:paraId="53017E2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0.046</w:t>
            </w:r>
          </w:p>
        </w:tc>
        <w:tc>
          <w:tcPr>
            <w:tcW w:w="342" w:type="dxa"/>
            <w:gridSpan w:val="2"/>
            <w:tcBorders>
              <w:top w:val="nil"/>
              <w:left w:val="nil"/>
              <w:bottom w:val="nil"/>
              <w:right w:val="nil"/>
            </w:tcBorders>
            <w:shd w:val="clear" w:color="auto" w:fill="auto"/>
            <w:noWrap/>
            <w:hideMark/>
          </w:tcPr>
          <w:p w14:paraId="7B51C51B" w14:textId="77777777" w:rsidR="00885CC8" w:rsidRPr="00802F1A" w:rsidRDefault="00885CC8" w:rsidP="00885CC8">
            <w:pPr>
              <w:spacing w:line="240" w:lineRule="auto"/>
              <w:jc w:val="right"/>
              <w:rPr>
                <w:rFonts w:eastAsia="Times New Roman" w:cs="Times New Roman"/>
                <w:sz w:val="16"/>
                <w:szCs w:val="16"/>
                <w:lang w:eastAsia="en-AU"/>
              </w:rPr>
            </w:pPr>
          </w:p>
        </w:tc>
        <w:tc>
          <w:tcPr>
            <w:tcW w:w="4518" w:type="dxa"/>
            <w:tcBorders>
              <w:top w:val="nil"/>
              <w:left w:val="nil"/>
              <w:bottom w:val="nil"/>
              <w:right w:val="nil"/>
            </w:tcBorders>
            <w:shd w:val="clear" w:color="auto" w:fill="auto"/>
            <w:hideMark/>
          </w:tcPr>
          <w:p w14:paraId="0B039153" w14:textId="77777777" w:rsidR="00885CC8" w:rsidRPr="00802F1A" w:rsidRDefault="004F6E57" w:rsidP="00885CC8">
            <w:pPr>
              <w:spacing w:line="240" w:lineRule="auto"/>
              <w:rPr>
                <w:rFonts w:eastAsia="Times New Roman" w:cs="Times New Roman"/>
                <w:sz w:val="16"/>
                <w:szCs w:val="16"/>
                <w:u w:val="single"/>
                <w:lang w:eastAsia="en-AU"/>
              </w:rPr>
            </w:pPr>
            <w:hyperlink r:id="rId20" w:history="1">
              <w:r w:rsidR="00885CC8" w:rsidRPr="00802F1A">
                <w:rPr>
                  <w:rFonts w:eastAsia="Times New Roman" w:cs="Times New Roman"/>
                  <w:sz w:val="16"/>
                  <w:szCs w:val="16"/>
                  <w:u w:val="single"/>
                  <w:lang w:eastAsia="en-AU"/>
                </w:rPr>
                <w:t>https://databank.worldbank.org/source/world-development-indicators</w:t>
              </w:r>
            </w:hyperlink>
          </w:p>
        </w:tc>
      </w:tr>
      <w:tr w:rsidR="00802F1A" w:rsidRPr="00802F1A" w14:paraId="5F1B3C9B" w14:textId="77777777" w:rsidTr="001A5A7B">
        <w:trPr>
          <w:trHeight w:hRule="exact" w:val="245"/>
        </w:trPr>
        <w:tc>
          <w:tcPr>
            <w:tcW w:w="1400" w:type="dxa"/>
            <w:tcBorders>
              <w:top w:val="nil"/>
              <w:left w:val="nil"/>
              <w:bottom w:val="single" w:sz="4" w:space="0" w:color="auto"/>
              <w:right w:val="nil"/>
            </w:tcBorders>
            <w:shd w:val="clear" w:color="auto" w:fill="auto"/>
            <w:noWrap/>
            <w:hideMark/>
          </w:tcPr>
          <w:p w14:paraId="27ED6429" w14:textId="77777777" w:rsidR="00885CC8" w:rsidRPr="00802F1A" w:rsidRDefault="00885CC8" w:rsidP="00885CC8">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Intl Trade</w:t>
            </w:r>
          </w:p>
        </w:tc>
        <w:tc>
          <w:tcPr>
            <w:tcW w:w="5260" w:type="dxa"/>
            <w:tcBorders>
              <w:top w:val="nil"/>
              <w:left w:val="nil"/>
              <w:bottom w:val="single" w:sz="4" w:space="0" w:color="auto"/>
              <w:right w:val="nil"/>
            </w:tcBorders>
            <w:shd w:val="clear" w:color="auto" w:fill="auto"/>
            <w:noWrap/>
            <w:hideMark/>
          </w:tcPr>
          <w:p w14:paraId="59282EEB"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Imports and exports of goods and services (% of GDP)</w:t>
            </w:r>
          </w:p>
        </w:tc>
        <w:tc>
          <w:tcPr>
            <w:tcW w:w="480" w:type="dxa"/>
            <w:tcBorders>
              <w:top w:val="nil"/>
              <w:left w:val="nil"/>
              <w:bottom w:val="single" w:sz="4" w:space="0" w:color="auto"/>
              <w:right w:val="nil"/>
            </w:tcBorders>
            <w:shd w:val="clear" w:color="auto" w:fill="auto"/>
            <w:noWrap/>
            <w:hideMark/>
          </w:tcPr>
          <w:p w14:paraId="759CC5C9"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53.43</w:t>
            </w:r>
          </w:p>
        </w:tc>
        <w:tc>
          <w:tcPr>
            <w:tcW w:w="540" w:type="dxa"/>
            <w:tcBorders>
              <w:top w:val="nil"/>
              <w:left w:val="nil"/>
              <w:bottom w:val="single" w:sz="4" w:space="0" w:color="auto"/>
              <w:right w:val="nil"/>
            </w:tcBorders>
            <w:shd w:val="clear" w:color="auto" w:fill="auto"/>
            <w:noWrap/>
            <w:hideMark/>
          </w:tcPr>
          <w:p w14:paraId="1A5C96C0"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89.28</w:t>
            </w:r>
          </w:p>
        </w:tc>
        <w:tc>
          <w:tcPr>
            <w:tcW w:w="630" w:type="dxa"/>
            <w:tcBorders>
              <w:top w:val="nil"/>
              <w:left w:val="nil"/>
              <w:bottom w:val="single" w:sz="4" w:space="0" w:color="auto"/>
              <w:right w:val="nil"/>
            </w:tcBorders>
            <w:shd w:val="clear" w:color="auto" w:fill="auto"/>
            <w:noWrap/>
            <w:hideMark/>
          </w:tcPr>
          <w:p w14:paraId="6D0FF86C"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0.000</w:t>
            </w:r>
          </w:p>
        </w:tc>
        <w:tc>
          <w:tcPr>
            <w:tcW w:w="630" w:type="dxa"/>
            <w:tcBorders>
              <w:top w:val="nil"/>
              <w:left w:val="nil"/>
              <w:bottom w:val="single" w:sz="4" w:space="0" w:color="auto"/>
              <w:right w:val="nil"/>
            </w:tcBorders>
            <w:shd w:val="clear" w:color="auto" w:fill="auto"/>
            <w:noWrap/>
            <w:hideMark/>
          </w:tcPr>
          <w:p w14:paraId="18BA3BAD"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1479.49</w:t>
            </w:r>
          </w:p>
        </w:tc>
        <w:tc>
          <w:tcPr>
            <w:tcW w:w="630" w:type="dxa"/>
            <w:tcBorders>
              <w:top w:val="nil"/>
              <w:left w:val="nil"/>
              <w:bottom w:val="single" w:sz="4" w:space="0" w:color="auto"/>
              <w:right w:val="nil"/>
            </w:tcBorders>
            <w:shd w:val="clear" w:color="auto" w:fill="auto"/>
            <w:noWrap/>
            <w:hideMark/>
          </w:tcPr>
          <w:p w14:paraId="3B9019D0" w14:textId="77777777" w:rsidR="00885CC8" w:rsidRPr="00802F1A" w:rsidRDefault="00885CC8" w:rsidP="00885CC8">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1.875</w:t>
            </w:r>
          </w:p>
        </w:tc>
        <w:tc>
          <w:tcPr>
            <w:tcW w:w="342" w:type="dxa"/>
            <w:gridSpan w:val="2"/>
            <w:tcBorders>
              <w:top w:val="nil"/>
              <w:left w:val="nil"/>
              <w:bottom w:val="single" w:sz="4" w:space="0" w:color="auto"/>
              <w:right w:val="nil"/>
            </w:tcBorders>
            <w:shd w:val="clear" w:color="auto" w:fill="auto"/>
            <w:noWrap/>
            <w:hideMark/>
          </w:tcPr>
          <w:p w14:paraId="223B22B9"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w:t>
            </w:r>
          </w:p>
        </w:tc>
        <w:tc>
          <w:tcPr>
            <w:tcW w:w="4518" w:type="dxa"/>
            <w:tcBorders>
              <w:top w:val="nil"/>
              <w:left w:val="nil"/>
              <w:bottom w:val="single" w:sz="4" w:space="0" w:color="auto"/>
              <w:right w:val="nil"/>
            </w:tcBorders>
            <w:shd w:val="clear" w:color="auto" w:fill="auto"/>
            <w:hideMark/>
          </w:tcPr>
          <w:p w14:paraId="51AFC4BC" w14:textId="77777777" w:rsidR="00885CC8" w:rsidRPr="00802F1A" w:rsidRDefault="004F6E57" w:rsidP="00885CC8">
            <w:pPr>
              <w:spacing w:line="240" w:lineRule="auto"/>
              <w:rPr>
                <w:rFonts w:eastAsia="Times New Roman" w:cs="Times New Roman"/>
                <w:sz w:val="16"/>
                <w:szCs w:val="16"/>
                <w:u w:val="single"/>
                <w:lang w:eastAsia="en-AU"/>
              </w:rPr>
            </w:pPr>
            <w:hyperlink r:id="rId21" w:history="1">
              <w:r w:rsidR="00885CC8" w:rsidRPr="00802F1A">
                <w:rPr>
                  <w:rFonts w:eastAsia="Times New Roman" w:cs="Times New Roman"/>
                  <w:sz w:val="16"/>
                  <w:szCs w:val="16"/>
                  <w:u w:val="single"/>
                  <w:lang w:eastAsia="en-AU"/>
                </w:rPr>
                <w:t>https://databank.worldbank.org/source/world-development-indicators</w:t>
              </w:r>
            </w:hyperlink>
          </w:p>
        </w:tc>
      </w:tr>
      <w:tr w:rsidR="00027B51" w:rsidRPr="00802F1A" w14:paraId="4D04DB74" w14:textId="77777777" w:rsidTr="001A5A7B">
        <w:trPr>
          <w:trHeight w:hRule="exact" w:val="245"/>
        </w:trPr>
        <w:tc>
          <w:tcPr>
            <w:tcW w:w="6660" w:type="dxa"/>
            <w:gridSpan w:val="2"/>
            <w:tcBorders>
              <w:top w:val="nil"/>
              <w:left w:val="nil"/>
              <w:bottom w:val="nil"/>
              <w:right w:val="nil"/>
            </w:tcBorders>
            <w:shd w:val="clear" w:color="auto" w:fill="auto"/>
            <w:noWrap/>
            <w:hideMark/>
          </w:tcPr>
          <w:p w14:paraId="32F0FE1F" w14:textId="77777777" w:rsidR="00885CC8" w:rsidRPr="00802F1A" w:rsidRDefault="00885CC8" w:rsidP="00885CC8">
            <w:pPr>
              <w:spacing w:line="240" w:lineRule="auto"/>
              <w:rPr>
                <w:rFonts w:eastAsia="Times New Roman" w:cs="Times New Roman"/>
                <w:sz w:val="16"/>
                <w:szCs w:val="16"/>
                <w:lang w:eastAsia="en-AU"/>
              </w:rPr>
            </w:pPr>
            <w:r w:rsidRPr="00802F1A">
              <w:rPr>
                <w:rFonts w:eastAsia="Times New Roman" w:cs="Times New Roman"/>
                <w:sz w:val="16"/>
                <w:szCs w:val="16"/>
                <w:lang w:eastAsia="en-AU"/>
              </w:rPr>
              <w:t>***: 1% level of significance, respectively</w:t>
            </w:r>
          </w:p>
        </w:tc>
        <w:tc>
          <w:tcPr>
            <w:tcW w:w="480" w:type="dxa"/>
            <w:tcBorders>
              <w:top w:val="nil"/>
              <w:left w:val="nil"/>
              <w:bottom w:val="nil"/>
              <w:right w:val="nil"/>
            </w:tcBorders>
            <w:shd w:val="clear" w:color="auto" w:fill="auto"/>
            <w:noWrap/>
            <w:hideMark/>
          </w:tcPr>
          <w:p w14:paraId="6251AFBF" w14:textId="77777777" w:rsidR="00885CC8" w:rsidRPr="00802F1A" w:rsidRDefault="00885CC8" w:rsidP="00885CC8">
            <w:pPr>
              <w:spacing w:line="240" w:lineRule="auto"/>
              <w:rPr>
                <w:rFonts w:eastAsia="Times New Roman" w:cs="Times New Roman"/>
                <w:sz w:val="16"/>
                <w:szCs w:val="16"/>
                <w:lang w:eastAsia="en-AU"/>
              </w:rPr>
            </w:pPr>
          </w:p>
        </w:tc>
        <w:tc>
          <w:tcPr>
            <w:tcW w:w="540" w:type="dxa"/>
            <w:tcBorders>
              <w:top w:val="nil"/>
              <w:left w:val="nil"/>
              <w:bottom w:val="nil"/>
              <w:right w:val="nil"/>
            </w:tcBorders>
            <w:shd w:val="clear" w:color="auto" w:fill="auto"/>
            <w:noWrap/>
            <w:hideMark/>
          </w:tcPr>
          <w:p w14:paraId="72D00CF9" w14:textId="77777777" w:rsidR="00885CC8" w:rsidRPr="00802F1A" w:rsidRDefault="00885CC8" w:rsidP="00885CC8">
            <w:pPr>
              <w:spacing w:line="240" w:lineRule="auto"/>
              <w:jc w:val="right"/>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328E9D73" w14:textId="77777777" w:rsidR="00885CC8" w:rsidRPr="00802F1A" w:rsidRDefault="00885CC8" w:rsidP="00885CC8">
            <w:pPr>
              <w:spacing w:line="240" w:lineRule="auto"/>
              <w:jc w:val="right"/>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243B1B52" w14:textId="77777777" w:rsidR="00885CC8" w:rsidRPr="00802F1A" w:rsidRDefault="00885CC8" w:rsidP="00885CC8">
            <w:pPr>
              <w:spacing w:line="240" w:lineRule="auto"/>
              <w:jc w:val="right"/>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0A93EAC4" w14:textId="77777777" w:rsidR="00885CC8" w:rsidRPr="00802F1A" w:rsidRDefault="00885CC8" w:rsidP="00885CC8">
            <w:pPr>
              <w:spacing w:line="240" w:lineRule="auto"/>
              <w:jc w:val="right"/>
              <w:rPr>
                <w:rFonts w:eastAsia="Times New Roman" w:cs="Times New Roman"/>
                <w:sz w:val="20"/>
                <w:szCs w:val="20"/>
                <w:lang w:eastAsia="en-AU"/>
              </w:rPr>
            </w:pPr>
          </w:p>
        </w:tc>
        <w:tc>
          <w:tcPr>
            <w:tcW w:w="342" w:type="dxa"/>
            <w:gridSpan w:val="2"/>
            <w:tcBorders>
              <w:top w:val="nil"/>
              <w:left w:val="nil"/>
              <w:bottom w:val="nil"/>
              <w:right w:val="nil"/>
            </w:tcBorders>
            <w:shd w:val="clear" w:color="auto" w:fill="auto"/>
            <w:noWrap/>
            <w:hideMark/>
          </w:tcPr>
          <w:p w14:paraId="67A209BD" w14:textId="77777777" w:rsidR="00885CC8" w:rsidRPr="00802F1A" w:rsidRDefault="00885CC8" w:rsidP="00885CC8">
            <w:pPr>
              <w:spacing w:line="240" w:lineRule="auto"/>
              <w:jc w:val="right"/>
              <w:rPr>
                <w:rFonts w:eastAsia="Times New Roman" w:cs="Times New Roman"/>
                <w:sz w:val="20"/>
                <w:szCs w:val="20"/>
                <w:lang w:eastAsia="en-AU"/>
              </w:rPr>
            </w:pPr>
          </w:p>
        </w:tc>
        <w:tc>
          <w:tcPr>
            <w:tcW w:w="4518" w:type="dxa"/>
            <w:tcBorders>
              <w:top w:val="nil"/>
              <w:left w:val="nil"/>
              <w:bottom w:val="nil"/>
              <w:right w:val="nil"/>
            </w:tcBorders>
            <w:shd w:val="clear" w:color="auto" w:fill="auto"/>
            <w:hideMark/>
          </w:tcPr>
          <w:p w14:paraId="4E5C7BC4" w14:textId="77777777" w:rsidR="00885CC8" w:rsidRPr="00802F1A" w:rsidRDefault="00885CC8" w:rsidP="00885CC8">
            <w:pPr>
              <w:spacing w:line="240" w:lineRule="auto"/>
              <w:rPr>
                <w:rFonts w:eastAsia="Times New Roman" w:cs="Times New Roman"/>
                <w:sz w:val="20"/>
                <w:szCs w:val="20"/>
                <w:lang w:eastAsia="en-AU"/>
              </w:rPr>
            </w:pPr>
          </w:p>
        </w:tc>
      </w:tr>
    </w:tbl>
    <w:p w14:paraId="523A3D2C" w14:textId="1F49A6BD" w:rsidR="00BB7499" w:rsidRPr="00802F1A" w:rsidRDefault="00BB7499" w:rsidP="004D5AD8">
      <w:pPr>
        <w:rPr>
          <w:rFonts w:cs="Times New Roman"/>
          <w:sz w:val="20"/>
          <w:szCs w:val="20"/>
          <w:lang w:val="en-US"/>
        </w:rPr>
      </w:pPr>
    </w:p>
    <w:p w14:paraId="2820CC9F" w14:textId="77777777" w:rsidR="00BB7499" w:rsidRPr="00802F1A" w:rsidRDefault="00BB7499" w:rsidP="004D5AD8">
      <w:pPr>
        <w:rPr>
          <w:rFonts w:cs="Times New Roman"/>
          <w:sz w:val="20"/>
          <w:szCs w:val="20"/>
          <w:lang w:val="en-US"/>
        </w:rPr>
      </w:pPr>
    </w:p>
    <w:p w14:paraId="15E7A496" w14:textId="77777777" w:rsidR="004D5AD8" w:rsidRPr="00802F1A" w:rsidRDefault="004D5AD8" w:rsidP="004D5AD8">
      <w:pPr>
        <w:rPr>
          <w:rFonts w:cs="Times New Roman"/>
          <w:szCs w:val="24"/>
          <w:lang w:val="en-US"/>
        </w:rPr>
      </w:pPr>
    </w:p>
    <w:p w14:paraId="45279B69" w14:textId="77777777" w:rsidR="004D5AD8" w:rsidRPr="00802F1A" w:rsidRDefault="004D5AD8" w:rsidP="004D5AD8">
      <w:pPr>
        <w:rPr>
          <w:rFonts w:cs="Times New Roman"/>
          <w:szCs w:val="24"/>
          <w:lang w:val="en-US"/>
        </w:rPr>
        <w:sectPr w:rsidR="004D5AD8" w:rsidRPr="00802F1A" w:rsidSect="00B559D9">
          <w:pgSz w:w="16838" w:h="11906" w:orient="landscape"/>
          <w:pgMar w:top="1440" w:right="1440" w:bottom="1440" w:left="1440" w:header="706" w:footer="706" w:gutter="0"/>
          <w:cols w:space="708"/>
          <w:docGrid w:linePitch="360"/>
        </w:sectPr>
      </w:pPr>
    </w:p>
    <w:p w14:paraId="5CDA5B86" w14:textId="77777777" w:rsidR="00477727" w:rsidRPr="00802F1A" w:rsidRDefault="00477727" w:rsidP="00410011">
      <w:pPr>
        <w:pStyle w:val="Heading1"/>
        <w:rPr>
          <w:lang w:val="en-US"/>
        </w:rPr>
      </w:pPr>
      <w:r w:rsidRPr="00802F1A">
        <w:rPr>
          <w:lang w:val="en-US"/>
        </w:rPr>
        <w:lastRenderedPageBreak/>
        <w:t>Empirical results</w:t>
      </w:r>
    </w:p>
    <w:p w14:paraId="3FF615F2" w14:textId="43164D6D" w:rsidR="00477727" w:rsidRPr="00802F1A" w:rsidRDefault="0092344F" w:rsidP="0053308A">
      <w:pPr>
        <w:pStyle w:val="Heading2"/>
        <w:rPr>
          <w:lang w:val="en-US"/>
        </w:rPr>
      </w:pPr>
      <w:r w:rsidRPr="00802F1A">
        <w:rPr>
          <w:lang w:val="en-US"/>
        </w:rPr>
        <w:t>Convergence</w:t>
      </w:r>
    </w:p>
    <w:p w14:paraId="3ABDCD9F" w14:textId="0C0869F1" w:rsidR="004C4689" w:rsidRPr="00802F1A" w:rsidRDefault="004C4689" w:rsidP="008160E8">
      <w:pPr>
        <w:jc w:val="both"/>
        <w:rPr>
          <w:rFonts w:cs="Times New Roman"/>
          <w:szCs w:val="24"/>
          <w:lang w:val="vi-VN"/>
        </w:rPr>
      </w:pPr>
      <w:r w:rsidRPr="00802F1A">
        <w:rPr>
          <w:rFonts w:cs="Times New Roman"/>
          <w:szCs w:val="24"/>
          <w:lang w:val="en-US"/>
        </w:rPr>
        <w:t>T</w:t>
      </w:r>
      <w:r w:rsidRPr="00802F1A">
        <w:rPr>
          <w:rFonts w:cs="Times New Roman"/>
          <w:szCs w:val="24"/>
          <w:lang w:val="vi-VN"/>
        </w:rPr>
        <w:t>able 2 presents the findings of the log t convergence tests conducted on the global sample of 134 countries from 1995 to 2019. The t-statistics values for energy diversification, financial development, and per-capita income all fall below -1.65. These results indicate significant divergence among the entire group of 134 countries in terms of energy diversification, financial development, and per-capita income, at a significance level of 5%.</w:t>
      </w:r>
    </w:p>
    <w:p w14:paraId="095F9C6D" w14:textId="77777777" w:rsidR="00297EB7" w:rsidRPr="00802F1A" w:rsidRDefault="00297EB7" w:rsidP="002E0E83">
      <w:pPr>
        <w:rPr>
          <w:rFonts w:cs="Times New Roman"/>
          <w:sz w:val="22"/>
          <w:lang w:val="en-US"/>
        </w:rPr>
      </w:pPr>
    </w:p>
    <w:p w14:paraId="72414E65" w14:textId="48719345" w:rsidR="00E8454C" w:rsidRPr="00802F1A" w:rsidRDefault="00E8454C" w:rsidP="002E0E83">
      <w:pPr>
        <w:rPr>
          <w:rFonts w:cs="Times New Roman"/>
          <w:sz w:val="22"/>
          <w:lang w:val="vi-VN"/>
        </w:rPr>
      </w:pPr>
      <w:r w:rsidRPr="00802F1A">
        <w:rPr>
          <w:rFonts w:cs="Times New Roman"/>
          <w:sz w:val="22"/>
          <w:lang w:val="en-US"/>
        </w:rPr>
        <w:t>Table</w:t>
      </w:r>
      <w:r w:rsidR="004E4390" w:rsidRPr="00802F1A">
        <w:rPr>
          <w:rFonts w:cs="Times New Roman"/>
          <w:sz w:val="22"/>
          <w:lang w:val="vi-VN"/>
        </w:rPr>
        <w:t xml:space="preserve"> 2</w:t>
      </w:r>
      <w:r w:rsidRPr="00802F1A">
        <w:rPr>
          <w:rFonts w:cs="Times New Roman"/>
          <w:sz w:val="22"/>
          <w:lang w:val="en-US"/>
        </w:rPr>
        <w:t xml:space="preserve">: </w:t>
      </w:r>
      <w:r w:rsidR="00225A99" w:rsidRPr="00802F1A">
        <w:rPr>
          <w:rFonts w:cs="Times New Roman"/>
          <w:sz w:val="22"/>
          <w:lang w:val="vi-VN"/>
        </w:rPr>
        <w:t xml:space="preserve">Full Convergence </w:t>
      </w:r>
      <w:r w:rsidR="00225A99" w:rsidRPr="00802F1A">
        <w:rPr>
          <w:rFonts w:cs="Times New Roman"/>
          <w:sz w:val="22"/>
          <w:lang w:val="en-US"/>
        </w:rPr>
        <w:t>Log</w:t>
      </w:r>
      <w:r w:rsidR="003F4D22" w:rsidRPr="00802F1A">
        <w:rPr>
          <w:rFonts w:cs="Times New Roman"/>
          <w:sz w:val="22"/>
          <w:lang w:val="en-US"/>
        </w:rPr>
        <w:t>-</w:t>
      </w:r>
      <w:r w:rsidR="00225A99" w:rsidRPr="00802F1A">
        <w:rPr>
          <w:rFonts w:cs="Times New Roman"/>
          <w:sz w:val="22"/>
          <w:lang w:val="en-US"/>
        </w:rPr>
        <w:t xml:space="preserve">t </w:t>
      </w:r>
      <w:r w:rsidR="00225A99" w:rsidRPr="00802F1A">
        <w:rPr>
          <w:rFonts w:cs="Times New Roman"/>
          <w:sz w:val="22"/>
          <w:lang w:val="vi-VN"/>
        </w:rPr>
        <w:t>Tests</w:t>
      </w:r>
    </w:p>
    <w:tbl>
      <w:tblPr>
        <w:tblW w:w="9149" w:type="dxa"/>
        <w:tblLayout w:type="fixed"/>
        <w:tblCellMar>
          <w:left w:w="0" w:type="dxa"/>
          <w:right w:w="0" w:type="dxa"/>
        </w:tblCellMar>
        <w:tblLook w:val="04A0" w:firstRow="1" w:lastRow="0" w:firstColumn="1" w:lastColumn="0" w:noHBand="0" w:noVBand="1"/>
      </w:tblPr>
      <w:tblGrid>
        <w:gridCol w:w="607"/>
        <w:gridCol w:w="608"/>
        <w:gridCol w:w="565"/>
        <w:gridCol w:w="669"/>
        <w:gridCol w:w="486"/>
        <w:gridCol w:w="576"/>
        <w:gridCol w:w="494"/>
        <w:gridCol w:w="586"/>
        <w:gridCol w:w="548"/>
        <w:gridCol w:w="548"/>
        <w:gridCol w:w="463"/>
        <w:gridCol w:w="547"/>
        <w:gridCol w:w="525"/>
        <w:gridCol w:w="623"/>
        <w:gridCol w:w="597"/>
        <w:gridCol w:w="707"/>
      </w:tblGrid>
      <w:tr w:rsidR="00802F1A" w:rsidRPr="00802F1A" w14:paraId="75F278D7" w14:textId="77777777" w:rsidTr="000A78FE">
        <w:trPr>
          <w:trHeight w:hRule="exact" w:val="288"/>
        </w:trPr>
        <w:tc>
          <w:tcPr>
            <w:tcW w:w="1215" w:type="dxa"/>
            <w:gridSpan w:val="2"/>
            <w:tcBorders>
              <w:top w:val="single" w:sz="4" w:space="0" w:color="auto"/>
              <w:left w:val="nil"/>
              <w:bottom w:val="single" w:sz="4" w:space="0" w:color="auto"/>
              <w:right w:val="nil"/>
            </w:tcBorders>
            <w:shd w:val="clear" w:color="auto" w:fill="auto"/>
            <w:hideMark/>
          </w:tcPr>
          <w:p w14:paraId="25BAF977" w14:textId="0A27F99F" w:rsidR="00E8454C" w:rsidRPr="00802F1A" w:rsidRDefault="00F24D81"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 xml:space="preserve">Energy </w:t>
            </w:r>
            <w:r w:rsidR="00E8454C" w:rsidRPr="00802F1A">
              <w:rPr>
                <w:rFonts w:eastAsia="Times New Roman" w:cs="Times New Roman"/>
                <w:i/>
                <w:iCs/>
                <w:sz w:val="16"/>
                <w:szCs w:val="16"/>
                <w:lang w:eastAsia="en-AU"/>
              </w:rPr>
              <w:t>HHI</w:t>
            </w:r>
          </w:p>
        </w:tc>
        <w:tc>
          <w:tcPr>
            <w:tcW w:w="12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010893" w14:textId="46592F49" w:rsidR="00E8454C" w:rsidRPr="00802F1A" w:rsidRDefault="00F24D81"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Per-capita i</w:t>
            </w:r>
            <w:r w:rsidR="00E8454C" w:rsidRPr="00802F1A">
              <w:rPr>
                <w:rFonts w:eastAsia="Times New Roman" w:cs="Times New Roman"/>
                <w:i/>
                <w:iCs/>
                <w:sz w:val="16"/>
                <w:szCs w:val="16"/>
                <w:lang w:eastAsia="en-AU"/>
              </w:rPr>
              <w:t>ncome</w:t>
            </w:r>
          </w:p>
        </w:tc>
        <w:tc>
          <w:tcPr>
            <w:tcW w:w="1062" w:type="dxa"/>
            <w:gridSpan w:val="2"/>
            <w:tcBorders>
              <w:top w:val="single" w:sz="4" w:space="0" w:color="auto"/>
              <w:left w:val="nil"/>
              <w:bottom w:val="single" w:sz="4" w:space="0" w:color="auto"/>
              <w:right w:val="single" w:sz="4" w:space="0" w:color="000000"/>
            </w:tcBorders>
            <w:shd w:val="clear" w:color="auto" w:fill="auto"/>
            <w:hideMark/>
          </w:tcPr>
          <w:p w14:paraId="6FB2A7AC" w14:textId="77777777" w:rsidR="00E8454C" w:rsidRPr="00802F1A" w:rsidRDefault="00E8454C"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Depth</w:t>
            </w:r>
          </w:p>
        </w:tc>
        <w:tc>
          <w:tcPr>
            <w:tcW w:w="1080" w:type="dxa"/>
            <w:gridSpan w:val="2"/>
            <w:tcBorders>
              <w:top w:val="single" w:sz="4" w:space="0" w:color="auto"/>
              <w:left w:val="nil"/>
              <w:bottom w:val="single" w:sz="4" w:space="0" w:color="auto"/>
              <w:right w:val="nil"/>
            </w:tcBorders>
            <w:shd w:val="clear" w:color="auto" w:fill="auto"/>
            <w:hideMark/>
          </w:tcPr>
          <w:p w14:paraId="33D75B22" w14:textId="77777777" w:rsidR="00E8454C" w:rsidRPr="00802F1A" w:rsidRDefault="00E8454C"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Access</w:t>
            </w:r>
          </w:p>
        </w:tc>
        <w:tc>
          <w:tcPr>
            <w:tcW w:w="109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D005AF" w14:textId="77777777" w:rsidR="00E8454C" w:rsidRPr="00802F1A" w:rsidRDefault="00E8454C"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Efficiency</w:t>
            </w:r>
          </w:p>
        </w:tc>
        <w:tc>
          <w:tcPr>
            <w:tcW w:w="1010" w:type="dxa"/>
            <w:gridSpan w:val="2"/>
            <w:tcBorders>
              <w:top w:val="single" w:sz="4" w:space="0" w:color="auto"/>
              <w:left w:val="nil"/>
              <w:bottom w:val="single" w:sz="4" w:space="0" w:color="auto"/>
              <w:right w:val="nil"/>
            </w:tcBorders>
            <w:shd w:val="clear" w:color="auto" w:fill="auto"/>
            <w:hideMark/>
          </w:tcPr>
          <w:p w14:paraId="3276FEB7" w14:textId="77777777" w:rsidR="00E8454C" w:rsidRPr="00802F1A" w:rsidRDefault="00E8454C"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Dev</w:t>
            </w:r>
          </w:p>
        </w:tc>
        <w:tc>
          <w:tcPr>
            <w:tcW w:w="11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A167ACA" w14:textId="77777777" w:rsidR="00E8454C" w:rsidRPr="00802F1A" w:rsidRDefault="00E8454C"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FM Dev</w:t>
            </w:r>
          </w:p>
        </w:tc>
        <w:tc>
          <w:tcPr>
            <w:tcW w:w="1304" w:type="dxa"/>
            <w:gridSpan w:val="2"/>
            <w:tcBorders>
              <w:top w:val="single" w:sz="4" w:space="0" w:color="auto"/>
              <w:left w:val="nil"/>
              <w:bottom w:val="single" w:sz="4" w:space="0" w:color="auto"/>
              <w:right w:val="nil"/>
            </w:tcBorders>
            <w:shd w:val="clear" w:color="auto" w:fill="auto"/>
            <w:hideMark/>
          </w:tcPr>
          <w:p w14:paraId="6B7155B9" w14:textId="77777777" w:rsidR="00E8454C" w:rsidRPr="00802F1A" w:rsidRDefault="00E8454C" w:rsidP="00E8454C">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Financial Dev</w:t>
            </w:r>
          </w:p>
        </w:tc>
      </w:tr>
      <w:tr w:rsidR="00802F1A" w:rsidRPr="00802F1A" w14:paraId="44EC7193" w14:textId="77777777" w:rsidTr="00AB7518">
        <w:trPr>
          <w:trHeight w:hRule="exact" w:val="288"/>
        </w:trPr>
        <w:tc>
          <w:tcPr>
            <w:tcW w:w="607" w:type="dxa"/>
            <w:tcBorders>
              <w:top w:val="single" w:sz="4" w:space="0" w:color="auto"/>
              <w:left w:val="nil"/>
              <w:right w:val="nil"/>
            </w:tcBorders>
            <w:shd w:val="clear" w:color="auto" w:fill="auto"/>
            <w:noWrap/>
            <w:hideMark/>
          </w:tcPr>
          <w:p w14:paraId="7212B9D4"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608" w:type="dxa"/>
            <w:tcBorders>
              <w:top w:val="single" w:sz="4" w:space="0" w:color="auto"/>
              <w:left w:val="nil"/>
              <w:right w:val="single" w:sz="4" w:space="0" w:color="auto"/>
            </w:tcBorders>
            <w:shd w:val="clear" w:color="auto" w:fill="auto"/>
            <w:noWrap/>
            <w:hideMark/>
          </w:tcPr>
          <w:p w14:paraId="536FDF3E"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65" w:type="dxa"/>
            <w:tcBorders>
              <w:top w:val="single" w:sz="4" w:space="0" w:color="auto"/>
              <w:left w:val="nil"/>
              <w:right w:val="nil"/>
            </w:tcBorders>
            <w:shd w:val="clear" w:color="auto" w:fill="auto"/>
            <w:noWrap/>
            <w:hideMark/>
          </w:tcPr>
          <w:p w14:paraId="05D436A7"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669" w:type="dxa"/>
            <w:tcBorders>
              <w:top w:val="single" w:sz="4" w:space="0" w:color="auto"/>
              <w:left w:val="nil"/>
              <w:right w:val="single" w:sz="4" w:space="0" w:color="auto"/>
            </w:tcBorders>
            <w:shd w:val="clear" w:color="auto" w:fill="auto"/>
            <w:noWrap/>
            <w:hideMark/>
          </w:tcPr>
          <w:p w14:paraId="39415213"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486" w:type="dxa"/>
            <w:tcBorders>
              <w:top w:val="single" w:sz="4" w:space="0" w:color="auto"/>
              <w:left w:val="nil"/>
              <w:right w:val="nil"/>
            </w:tcBorders>
            <w:shd w:val="clear" w:color="auto" w:fill="auto"/>
            <w:noWrap/>
            <w:hideMark/>
          </w:tcPr>
          <w:p w14:paraId="19F67F97"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76" w:type="dxa"/>
            <w:tcBorders>
              <w:top w:val="single" w:sz="4" w:space="0" w:color="auto"/>
              <w:left w:val="nil"/>
              <w:right w:val="single" w:sz="4" w:space="0" w:color="auto"/>
            </w:tcBorders>
            <w:shd w:val="clear" w:color="auto" w:fill="auto"/>
            <w:noWrap/>
            <w:hideMark/>
          </w:tcPr>
          <w:p w14:paraId="208991C8"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494" w:type="dxa"/>
            <w:tcBorders>
              <w:top w:val="single" w:sz="4" w:space="0" w:color="auto"/>
              <w:left w:val="nil"/>
              <w:right w:val="nil"/>
            </w:tcBorders>
            <w:shd w:val="clear" w:color="auto" w:fill="auto"/>
            <w:noWrap/>
            <w:hideMark/>
          </w:tcPr>
          <w:p w14:paraId="58AA7BE6"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86" w:type="dxa"/>
            <w:tcBorders>
              <w:top w:val="single" w:sz="4" w:space="0" w:color="auto"/>
              <w:left w:val="nil"/>
              <w:right w:val="single" w:sz="4" w:space="0" w:color="auto"/>
            </w:tcBorders>
            <w:shd w:val="clear" w:color="auto" w:fill="auto"/>
            <w:noWrap/>
            <w:hideMark/>
          </w:tcPr>
          <w:p w14:paraId="1F600305"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48" w:type="dxa"/>
            <w:tcBorders>
              <w:top w:val="single" w:sz="4" w:space="0" w:color="auto"/>
              <w:left w:val="nil"/>
              <w:right w:val="nil"/>
            </w:tcBorders>
            <w:shd w:val="clear" w:color="auto" w:fill="auto"/>
            <w:noWrap/>
            <w:hideMark/>
          </w:tcPr>
          <w:p w14:paraId="41608FD6"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48" w:type="dxa"/>
            <w:tcBorders>
              <w:top w:val="single" w:sz="4" w:space="0" w:color="auto"/>
              <w:left w:val="nil"/>
              <w:right w:val="single" w:sz="4" w:space="0" w:color="auto"/>
            </w:tcBorders>
            <w:shd w:val="clear" w:color="auto" w:fill="auto"/>
            <w:noWrap/>
            <w:hideMark/>
          </w:tcPr>
          <w:p w14:paraId="307AE759"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463" w:type="dxa"/>
            <w:tcBorders>
              <w:top w:val="single" w:sz="4" w:space="0" w:color="auto"/>
              <w:left w:val="nil"/>
              <w:right w:val="nil"/>
            </w:tcBorders>
            <w:shd w:val="clear" w:color="auto" w:fill="auto"/>
            <w:noWrap/>
            <w:hideMark/>
          </w:tcPr>
          <w:p w14:paraId="760A1CAB"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47" w:type="dxa"/>
            <w:tcBorders>
              <w:top w:val="single" w:sz="4" w:space="0" w:color="auto"/>
              <w:left w:val="nil"/>
              <w:right w:val="single" w:sz="4" w:space="0" w:color="auto"/>
            </w:tcBorders>
            <w:shd w:val="clear" w:color="auto" w:fill="auto"/>
            <w:noWrap/>
            <w:hideMark/>
          </w:tcPr>
          <w:p w14:paraId="7CFAB611"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25" w:type="dxa"/>
            <w:tcBorders>
              <w:top w:val="single" w:sz="4" w:space="0" w:color="auto"/>
              <w:left w:val="nil"/>
              <w:right w:val="nil"/>
            </w:tcBorders>
            <w:shd w:val="clear" w:color="auto" w:fill="auto"/>
            <w:noWrap/>
            <w:hideMark/>
          </w:tcPr>
          <w:p w14:paraId="3927A462"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623" w:type="dxa"/>
            <w:tcBorders>
              <w:top w:val="single" w:sz="4" w:space="0" w:color="auto"/>
              <w:left w:val="nil"/>
              <w:right w:val="single" w:sz="4" w:space="0" w:color="auto"/>
            </w:tcBorders>
            <w:shd w:val="clear" w:color="auto" w:fill="auto"/>
            <w:noWrap/>
            <w:hideMark/>
          </w:tcPr>
          <w:p w14:paraId="40DA2755"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97" w:type="dxa"/>
            <w:tcBorders>
              <w:top w:val="single" w:sz="4" w:space="0" w:color="auto"/>
              <w:left w:val="nil"/>
              <w:right w:val="nil"/>
            </w:tcBorders>
            <w:shd w:val="clear" w:color="auto" w:fill="auto"/>
            <w:noWrap/>
            <w:hideMark/>
          </w:tcPr>
          <w:p w14:paraId="0C23B8A8"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707" w:type="dxa"/>
            <w:tcBorders>
              <w:top w:val="single" w:sz="4" w:space="0" w:color="auto"/>
              <w:left w:val="nil"/>
              <w:right w:val="nil"/>
            </w:tcBorders>
            <w:shd w:val="clear" w:color="auto" w:fill="auto"/>
            <w:noWrap/>
            <w:hideMark/>
          </w:tcPr>
          <w:p w14:paraId="516FB12A" w14:textId="77777777" w:rsidR="00E8454C" w:rsidRPr="00802F1A" w:rsidRDefault="00E8454C" w:rsidP="00A3435E">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r>
      <w:tr w:rsidR="00802F1A" w:rsidRPr="00802F1A" w14:paraId="38F77565" w14:textId="77777777" w:rsidTr="00AB7518">
        <w:trPr>
          <w:trHeight w:hRule="exact" w:val="288"/>
        </w:trPr>
        <w:tc>
          <w:tcPr>
            <w:tcW w:w="607" w:type="dxa"/>
            <w:tcBorders>
              <w:top w:val="nil"/>
              <w:left w:val="nil"/>
              <w:bottom w:val="single" w:sz="4" w:space="0" w:color="auto"/>
              <w:right w:val="nil"/>
            </w:tcBorders>
            <w:shd w:val="clear" w:color="auto" w:fill="auto"/>
            <w:noWrap/>
            <w:vAlign w:val="center"/>
            <w:hideMark/>
          </w:tcPr>
          <w:p w14:paraId="3DCDDBA9" w14:textId="5D2B068D" w:rsidR="006E4671" w:rsidRPr="00802F1A" w:rsidRDefault="006E4671" w:rsidP="006E4671">
            <w:pPr>
              <w:spacing w:line="240" w:lineRule="auto"/>
              <w:jc w:val="center"/>
              <w:rPr>
                <w:rFonts w:eastAsia="Times New Roman" w:cs="Times New Roman"/>
                <w:sz w:val="16"/>
                <w:szCs w:val="16"/>
                <w:lang w:val="vi-VN" w:eastAsia="en-AU"/>
              </w:rPr>
            </w:pPr>
            <w:r w:rsidRPr="00802F1A">
              <w:rPr>
                <w:sz w:val="18"/>
                <w:szCs w:val="18"/>
              </w:rPr>
              <w:t>-0.35</w:t>
            </w:r>
          </w:p>
        </w:tc>
        <w:tc>
          <w:tcPr>
            <w:tcW w:w="608" w:type="dxa"/>
            <w:tcBorders>
              <w:top w:val="nil"/>
              <w:left w:val="nil"/>
              <w:bottom w:val="single" w:sz="4" w:space="0" w:color="auto"/>
              <w:right w:val="nil"/>
            </w:tcBorders>
            <w:shd w:val="clear" w:color="auto" w:fill="auto"/>
            <w:noWrap/>
            <w:vAlign w:val="center"/>
            <w:hideMark/>
          </w:tcPr>
          <w:p w14:paraId="1D70B245" w14:textId="68715EDE"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-6.82</w:t>
            </w:r>
          </w:p>
        </w:tc>
        <w:tc>
          <w:tcPr>
            <w:tcW w:w="565" w:type="dxa"/>
            <w:tcBorders>
              <w:top w:val="nil"/>
              <w:left w:val="single" w:sz="4" w:space="0" w:color="auto"/>
              <w:bottom w:val="single" w:sz="4" w:space="0" w:color="auto"/>
              <w:right w:val="nil"/>
            </w:tcBorders>
            <w:shd w:val="clear" w:color="auto" w:fill="auto"/>
            <w:noWrap/>
            <w:vAlign w:val="center"/>
            <w:hideMark/>
          </w:tcPr>
          <w:p w14:paraId="0773CCAC" w14:textId="2AF94759" w:rsidR="006E4671" w:rsidRPr="00802F1A" w:rsidRDefault="006E4671" w:rsidP="006E4671">
            <w:pPr>
              <w:spacing w:line="240" w:lineRule="auto"/>
              <w:jc w:val="center"/>
              <w:rPr>
                <w:rFonts w:eastAsia="Times New Roman" w:cs="Times New Roman"/>
                <w:sz w:val="16"/>
                <w:szCs w:val="16"/>
                <w:lang w:val="vi-VN" w:eastAsia="en-AU"/>
              </w:rPr>
            </w:pPr>
            <w:r w:rsidRPr="00802F1A">
              <w:rPr>
                <w:sz w:val="18"/>
                <w:szCs w:val="18"/>
              </w:rPr>
              <w:t>-0.24</w:t>
            </w:r>
          </w:p>
        </w:tc>
        <w:tc>
          <w:tcPr>
            <w:tcW w:w="669" w:type="dxa"/>
            <w:tcBorders>
              <w:top w:val="nil"/>
              <w:left w:val="nil"/>
              <w:bottom w:val="single" w:sz="4" w:space="0" w:color="auto"/>
              <w:right w:val="single" w:sz="4" w:space="0" w:color="auto"/>
            </w:tcBorders>
            <w:shd w:val="clear" w:color="auto" w:fill="auto"/>
            <w:noWrap/>
            <w:vAlign w:val="center"/>
            <w:hideMark/>
          </w:tcPr>
          <w:p w14:paraId="007FA087" w14:textId="149E9265"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-13.30</w:t>
            </w:r>
          </w:p>
        </w:tc>
        <w:tc>
          <w:tcPr>
            <w:tcW w:w="486" w:type="dxa"/>
            <w:tcBorders>
              <w:top w:val="nil"/>
              <w:left w:val="nil"/>
              <w:bottom w:val="single" w:sz="4" w:space="0" w:color="auto"/>
              <w:right w:val="nil"/>
            </w:tcBorders>
            <w:shd w:val="clear" w:color="auto" w:fill="auto"/>
            <w:noWrap/>
            <w:vAlign w:val="center"/>
            <w:hideMark/>
          </w:tcPr>
          <w:p w14:paraId="3B3E1DCE" w14:textId="48582B1C" w:rsidR="006E4671" w:rsidRPr="00802F1A" w:rsidRDefault="006E4671" w:rsidP="006E4671">
            <w:pPr>
              <w:spacing w:line="240" w:lineRule="auto"/>
              <w:jc w:val="center"/>
              <w:rPr>
                <w:rFonts w:eastAsia="Times New Roman" w:cs="Times New Roman"/>
                <w:sz w:val="16"/>
                <w:szCs w:val="16"/>
                <w:lang w:val="vi-VN" w:eastAsia="en-AU"/>
              </w:rPr>
            </w:pPr>
            <w:r w:rsidRPr="00802F1A">
              <w:rPr>
                <w:sz w:val="18"/>
                <w:szCs w:val="18"/>
              </w:rPr>
              <w:t>-0.74</w:t>
            </w:r>
          </w:p>
        </w:tc>
        <w:tc>
          <w:tcPr>
            <w:tcW w:w="576" w:type="dxa"/>
            <w:tcBorders>
              <w:top w:val="nil"/>
              <w:left w:val="nil"/>
              <w:bottom w:val="single" w:sz="4" w:space="0" w:color="auto"/>
              <w:right w:val="single" w:sz="4" w:space="0" w:color="auto"/>
            </w:tcBorders>
            <w:shd w:val="clear" w:color="auto" w:fill="auto"/>
            <w:noWrap/>
            <w:vAlign w:val="center"/>
            <w:hideMark/>
          </w:tcPr>
          <w:p w14:paraId="590A3B9B" w14:textId="716CCA5B"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-38.81</w:t>
            </w:r>
          </w:p>
        </w:tc>
        <w:tc>
          <w:tcPr>
            <w:tcW w:w="494" w:type="dxa"/>
            <w:tcBorders>
              <w:top w:val="nil"/>
              <w:left w:val="nil"/>
              <w:bottom w:val="single" w:sz="4" w:space="0" w:color="auto"/>
              <w:right w:val="nil"/>
            </w:tcBorders>
            <w:shd w:val="clear" w:color="auto" w:fill="auto"/>
            <w:noWrap/>
            <w:vAlign w:val="center"/>
            <w:hideMark/>
          </w:tcPr>
          <w:p w14:paraId="789D9175" w14:textId="7A74D043"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-0.81</w:t>
            </w:r>
          </w:p>
        </w:tc>
        <w:tc>
          <w:tcPr>
            <w:tcW w:w="586" w:type="dxa"/>
            <w:tcBorders>
              <w:top w:val="nil"/>
              <w:left w:val="nil"/>
              <w:bottom w:val="single" w:sz="4" w:space="0" w:color="auto"/>
              <w:right w:val="nil"/>
            </w:tcBorders>
            <w:shd w:val="clear" w:color="auto" w:fill="auto"/>
            <w:noWrap/>
            <w:vAlign w:val="center"/>
            <w:hideMark/>
          </w:tcPr>
          <w:p w14:paraId="4FE221C6" w14:textId="6DC2C097"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-22.34</w:t>
            </w:r>
          </w:p>
        </w:tc>
        <w:tc>
          <w:tcPr>
            <w:tcW w:w="548" w:type="dxa"/>
            <w:tcBorders>
              <w:top w:val="nil"/>
              <w:left w:val="single" w:sz="4" w:space="0" w:color="auto"/>
              <w:bottom w:val="single" w:sz="4" w:space="0" w:color="auto"/>
              <w:right w:val="nil"/>
            </w:tcBorders>
            <w:shd w:val="clear" w:color="auto" w:fill="auto"/>
            <w:noWrap/>
            <w:vAlign w:val="center"/>
            <w:hideMark/>
          </w:tcPr>
          <w:p w14:paraId="313694E7" w14:textId="74C362E3"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-0.46</w:t>
            </w:r>
          </w:p>
        </w:tc>
        <w:tc>
          <w:tcPr>
            <w:tcW w:w="548" w:type="dxa"/>
            <w:tcBorders>
              <w:top w:val="nil"/>
              <w:left w:val="nil"/>
              <w:bottom w:val="single" w:sz="4" w:space="0" w:color="auto"/>
              <w:right w:val="single" w:sz="4" w:space="0" w:color="auto"/>
            </w:tcBorders>
            <w:shd w:val="clear" w:color="auto" w:fill="auto"/>
            <w:noWrap/>
            <w:vAlign w:val="center"/>
            <w:hideMark/>
          </w:tcPr>
          <w:p w14:paraId="15FB31F2" w14:textId="7CE3227D"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-8.05</w:t>
            </w:r>
          </w:p>
        </w:tc>
        <w:tc>
          <w:tcPr>
            <w:tcW w:w="463" w:type="dxa"/>
            <w:tcBorders>
              <w:top w:val="nil"/>
              <w:left w:val="nil"/>
              <w:bottom w:val="single" w:sz="4" w:space="0" w:color="auto"/>
              <w:right w:val="nil"/>
            </w:tcBorders>
            <w:shd w:val="clear" w:color="auto" w:fill="auto"/>
            <w:noWrap/>
            <w:vAlign w:val="center"/>
            <w:hideMark/>
          </w:tcPr>
          <w:p w14:paraId="60B7C417" w14:textId="4619AE29"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-0.84</w:t>
            </w:r>
          </w:p>
        </w:tc>
        <w:tc>
          <w:tcPr>
            <w:tcW w:w="547" w:type="dxa"/>
            <w:tcBorders>
              <w:top w:val="nil"/>
              <w:left w:val="nil"/>
              <w:bottom w:val="single" w:sz="4" w:space="0" w:color="auto"/>
              <w:right w:val="nil"/>
            </w:tcBorders>
            <w:shd w:val="clear" w:color="auto" w:fill="auto"/>
            <w:noWrap/>
            <w:vAlign w:val="center"/>
            <w:hideMark/>
          </w:tcPr>
          <w:p w14:paraId="04EA8285" w14:textId="15A1F39E"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-27.16</w:t>
            </w:r>
          </w:p>
        </w:tc>
        <w:tc>
          <w:tcPr>
            <w:tcW w:w="525" w:type="dxa"/>
            <w:tcBorders>
              <w:top w:val="nil"/>
              <w:left w:val="single" w:sz="4" w:space="0" w:color="auto"/>
              <w:bottom w:val="single" w:sz="4" w:space="0" w:color="auto"/>
              <w:right w:val="nil"/>
            </w:tcBorders>
            <w:shd w:val="clear" w:color="auto" w:fill="auto"/>
            <w:noWrap/>
            <w:vAlign w:val="center"/>
            <w:hideMark/>
          </w:tcPr>
          <w:p w14:paraId="339DEBD4" w14:textId="3792E9C8"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-1.52</w:t>
            </w:r>
          </w:p>
        </w:tc>
        <w:tc>
          <w:tcPr>
            <w:tcW w:w="623" w:type="dxa"/>
            <w:tcBorders>
              <w:top w:val="nil"/>
              <w:left w:val="nil"/>
              <w:bottom w:val="single" w:sz="4" w:space="0" w:color="auto"/>
              <w:right w:val="single" w:sz="4" w:space="0" w:color="auto"/>
            </w:tcBorders>
            <w:shd w:val="clear" w:color="auto" w:fill="auto"/>
            <w:noWrap/>
            <w:vAlign w:val="center"/>
            <w:hideMark/>
          </w:tcPr>
          <w:p w14:paraId="4C6CF0BE" w14:textId="4104E521"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-28.06</w:t>
            </w:r>
          </w:p>
        </w:tc>
        <w:tc>
          <w:tcPr>
            <w:tcW w:w="597" w:type="dxa"/>
            <w:tcBorders>
              <w:top w:val="nil"/>
              <w:left w:val="nil"/>
              <w:bottom w:val="single" w:sz="4" w:space="0" w:color="auto"/>
              <w:right w:val="nil"/>
            </w:tcBorders>
            <w:shd w:val="clear" w:color="auto" w:fill="auto"/>
            <w:noWrap/>
            <w:vAlign w:val="center"/>
            <w:hideMark/>
          </w:tcPr>
          <w:p w14:paraId="0A5C82DE" w14:textId="1BF2C891"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-0.74</w:t>
            </w:r>
          </w:p>
        </w:tc>
        <w:tc>
          <w:tcPr>
            <w:tcW w:w="707" w:type="dxa"/>
            <w:tcBorders>
              <w:top w:val="nil"/>
              <w:left w:val="nil"/>
              <w:bottom w:val="single" w:sz="4" w:space="0" w:color="auto"/>
              <w:right w:val="nil"/>
            </w:tcBorders>
            <w:shd w:val="clear" w:color="auto" w:fill="auto"/>
            <w:noWrap/>
            <w:vAlign w:val="center"/>
            <w:hideMark/>
          </w:tcPr>
          <w:p w14:paraId="1A1529F6" w14:textId="7BD914B2" w:rsidR="006E4671" w:rsidRPr="00802F1A" w:rsidRDefault="006E4671" w:rsidP="006E4671">
            <w:pPr>
              <w:spacing w:line="240" w:lineRule="auto"/>
              <w:jc w:val="center"/>
              <w:rPr>
                <w:rFonts w:eastAsia="Times New Roman" w:cs="Times New Roman"/>
                <w:sz w:val="16"/>
                <w:szCs w:val="16"/>
                <w:lang w:eastAsia="en-AU"/>
              </w:rPr>
            </w:pPr>
            <w:r w:rsidRPr="00802F1A">
              <w:rPr>
                <w:sz w:val="18"/>
                <w:szCs w:val="18"/>
              </w:rPr>
              <w:t>-14.70</w:t>
            </w:r>
          </w:p>
        </w:tc>
      </w:tr>
    </w:tbl>
    <w:p w14:paraId="29BF7AFB" w14:textId="6AEFC2FA" w:rsidR="00033149" w:rsidRPr="00802F1A" w:rsidRDefault="00033149" w:rsidP="002E0E83">
      <w:pPr>
        <w:rPr>
          <w:rFonts w:cs="Times New Roman"/>
          <w:szCs w:val="24"/>
          <w:lang w:val="en-US"/>
        </w:rPr>
      </w:pPr>
    </w:p>
    <w:p w14:paraId="6F8C82D3" w14:textId="4C983EDC" w:rsidR="004C4689" w:rsidRPr="00802F1A" w:rsidRDefault="004C4689" w:rsidP="002816F0">
      <w:pPr>
        <w:jc w:val="both"/>
        <w:rPr>
          <w:rFonts w:cs="Times New Roman"/>
          <w:szCs w:val="24"/>
          <w:lang w:val="en-US"/>
        </w:rPr>
      </w:pPr>
      <w:r w:rsidRPr="00802F1A">
        <w:rPr>
          <w:rFonts w:cs="Times New Roman"/>
          <w:szCs w:val="24"/>
          <w:lang w:val="en-US"/>
        </w:rPr>
        <w:t xml:space="preserve">We now proceed to examine subgroups of countries that demonstrate convergence using </w:t>
      </w:r>
      <w:r w:rsidRPr="00802F1A">
        <w:rPr>
          <w:rFonts w:cs="Times New Roman"/>
          <w:szCs w:val="24"/>
        </w:rPr>
        <w:fldChar w:fldCharType="begin"/>
      </w:r>
      <w:r w:rsidRPr="00802F1A">
        <w:rPr>
          <w:rFonts w:cs="Times New Roman"/>
          <w:szCs w:val="24"/>
        </w:rPr>
        <w:instrText xml:space="preserve"> ADDIN EN.CITE &lt;EndNote&gt;&lt;Cite AuthorYear="1"&gt;&lt;Author&gt;Phillips&lt;/Author&gt;&lt;Year&gt;2007&lt;/Year&gt;&lt;RecNum&gt;1596&lt;/RecNum&gt;&lt;DisplayText&gt;Phillips and Sul (2007)&lt;/DisplayText&gt;&lt;record&gt;&lt;rec-number&gt;1596&lt;/rec-number&gt;&lt;foreign-keys&gt;&lt;key app="EN" db-id="esvrve9x1d0a5gerpeuprwp0vtp2zxx2ssr9" timestamp="1641818196"&gt;1596&lt;/key&gt;&lt;/foreign-keys&gt;&lt;ref-type name="Journal Article"&gt;17&lt;/ref-type&gt;&lt;contributors&gt;&lt;authors&gt;&lt;author&gt;Phillips, Peter C. B.&lt;/author&gt;&lt;author&gt;Sul, Donggyu&lt;/author&gt;&lt;/authors&gt;&lt;/contributors&gt;&lt;titles&gt;&lt;title&gt;Transition modeling and econometric convergence tests&lt;/title&gt;&lt;secondary-title&gt;Econometrica&lt;/secondary-title&gt;&lt;/titles&gt;&lt;periodical&gt;&lt;full-title&gt;econometrica&lt;/full-title&gt;&lt;/periodical&gt;&lt;pages&gt;1771-1855&lt;/pages&gt;&lt;volume&gt;75&lt;/volume&gt;&lt;number&gt;6&lt;/number&gt;&lt;dates&gt;&lt;year&gt;2007&lt;/year&gt;&lt;/dates&gt;&lt;publisher&gt;Wiley Online Library&lt;/publisher&gt;&lt;isbn&gt;0012-9682&lt;/isbn&gt;&lt;urls&gt;&lt;/urls&gt;&lt;/record&gt;&lt;/Cite&gt;&lt;/EndNote&gt;</w:instrText>
      </w:r>
      <w:r w:rsidRPr="00802F1A">
        <w:rPr>
          <w:rFonts w:cs="Times New Roman"/>
          <w:szCs w:val="24"/>
        </w:rPr>
        <w:fldChar w:fldCharType="separate"/>
      </w:r>
      <w:r w:rsidRPr="00802F1A">
        <w:rPr>
          <w:rFonts w:cs="Times New Roman"/>
          <w:noProof/>
          <w:szCs w:val="24"/>
        </w:rPr>
        <w:t>Phillips and Sul (2007)</w:t>
      </w:r>
      <w:r w:rsidRPr="00802F1A">
        <w:rPr>
          <w:rFonts w:cs="Times New Roman"/>
          <w:szCs w:val="24"/>
        </w:rPr>
        <w:fldChar w:fldCharType="end"/>
      </w:r>
      <w:r w:rsidRPr="00802F1A">
        <w:rPr>
          <w:rFonts w:cs="Times New Roman"/>
          <w:szCs w:val="24"/>
        </w:rPr>
        <w:t>’s</w:t>
      </w:r>
      <w:r w:rsidRPr="00802F1A">
        <w:rPr>
          <w:rFonts w:cs="Times New Roman"/>
          <w:szCs w:val="24"/>
          <w:lang w:val="en-US"/>
        </w:rPr>
        <w:t xml:space="preserve"> algorithm. The first column of Table 3 illustrates the classification of countries into two clubs based on energy diversification and per-capita income. In terms of energy diversification, club 1 consists of 33 countries, while club 2 comprises 101 countries. However, the speed of convergence in both clubs is slow, as indicated by the non-statistically significant log t coefficients. For per-capita income, club 1 exhibits rapid convergence, while club 2 experiences slower convergence. Club 1 consists of 68 countries, primarily non-low-income countries, while club 2 comprises 66 countries, mostly non-high-income countries. Interestingly, both clubs for energy diversification include countries from various income groups. This observation suggests that the achievement of energy diversification toward renewable sources depends on factors such as natural resources, absorptive capacity, energy infrastructure, and economic structure specific to each country. The financial development indices display substantial variations, with multiple convergence clubs identified, and there are also countries that diverge from the common trend.</w:t>
      </w:r>
    </w:p>
    <w:p w14:paraId="07B060D5" w14:textId="147F75DE" w:rsidR="004C4689" w:rsidRPr="00802F1A" w:rsidRDefault="004C4689" w:rsidP="002816F0">
      <w:pPr>
        <w:jc w:val="both"/>
        <w:rPr>
          <w:rFonts w:cs="Times New Roman"/>
          <w:szCs w:val="24"/>
          <w:lang w:val="en-US"/>
        </w:rPr>
      </w:pPr>
    </w:p>
    <w:p w14:paraId="7EB35E63" w14:textId="6B23BED8" w:rsidR="004C4689" w:rsidRPr="00802F1A" w:rsidRDefault="004C4689" w:rsidP="004C4689">
      <w:pPr>
        <w:jc w:val="both"/>
        <w:rPr>
          <w:rFonts w:cs="Times New Roman"/>
          <w:szCs w:val="24"/>
          <w:lang w:val="en-US"/>
        </w:rPr>
      </w:pPr>
      <w:r w:rsidRPr="00802F1A">
        <w:rPr>
          <w:rFonts w:cs="Times New Roman"/>
          <w:szCs w:val="24"/>
          <w:lang w:val="en-US"/>
        </w:rPr>
        <w:t xml:space="preserve">Next, we investigate whether the initial convergence clubs can be merged to form larger convergence clubs, employing </w:t>
      </w:r>
      <w:r w:rsidRPr="00802F1A">
        <w:rPr>
          <w:rFonts w:cs="Times New Roman"/>
          <w:szCs w:val="24"/>
        </w:rPr>
        <w:fldChar w:fldCharType="begin"/>
      </w:r>
      <w:r w:rsidRPr="00802F1A">
        <w:rPr>
          <w:rFonts w:cs="Times New Roman"/>
          <w:szCs w:val="24"/>
        </w:rPr>
        <w:instrText xml:space="preserve"> ADDIN EN.CITE &lt;EndNote&gt;&lt;Cite AuthorYear="1"&gt;&lt;Author&gt;Phillips&lt;/Author&gt;&lt;Year&gt;2009&lt;/Year&gt;&lt;RecNum&gt;1598&lt;/RecNum&gt;&lt;DisplayText&gt;Phillips and Sul (2009)&lt;/DisplayText&gt;&lt;record&gt;&lt;rec-number&gt;1598&lt;/rec-number&gt;&lt;foreign-keys&gt;&lt;key app="EN" db-id="esvrve9x1d0a5gerpeuprwp0vtp2zxx2ssr9" timestamp="1641818598"&gt;1598&lt;/key&gt;&lt;/foreign-keys&gt;&lt;ref-type name="Journal Article"&gt;17&lt;/ref-type&gt;&lt;contributors&gt;&lt;authors&gt;&lt;author&gt;Phillips, Peter C. B.&lt;/author&gt;&lt;author&gt;Sul, Donggyu&lt;/author&gt;&lt;/authors&gt;&lt;/contributors&gt;&lt;titles&gt;&lt;title&gt;Economic transition and growth&lt;/title&gt;&lt;secondary-title&gt;Journal of applied econometrics&lt;/secondary-title&gt;&lt;/titles&gt;&lt;periodical&gt;&lt;full-title&gt;Journal of applied econometrics&lt;/full-title&gt;&lt;/periodical&gt;&lt;pages&gt;1153-1185&lt;/pages&gt;&lt;volume&gt;24&lt;/volume&gt;&lt;number&gt;7&lt;/number&gt;&lt;dates&gt;&lt;year&gt;2009&lt;/year&gt;&lt;/dates&gt;&lt;publisher&gt;Wiley Online Library&lt;/publisher&gt;&lt;isbn&gt;0883-7252&lt;/isbn&gt;&lt;urls&gt;&lt;/urls&gt;&lt;/record&gt;&lt;/Cite&gt;&lt;/EndNote&gt;</w:instrText>
      </w:r>
      <w:r w:rsidRPr="00802F1A">
        <w:rPr>
          <w:rFonts w:cs="Times New Roman"/>
          <w:szCs w:val="24"/>
        </w:rPr>
        <w:fldChar w:fldCharType="separate"/>
      </w:r>
      <w:r w:rsidRPr="00802F1A">
        <w:rPr>
          <w:rFonts w:cs="Times New Roman"/>
          <w:noProof/>
          <w:szCs w:val="24"/>
        </w:rPr>
        <w:t>Phillips and Sul (2009)</w:t>
      </w:r>
      <w:r w:rsidRPr="00802F1A">
        <w:rPr>
          <w:rFonts w:cs="Times New Roman"/>
          <w:szCs w:val="24"/>
        </w:rPr>
        <w:fldChar w:fldCharType="end"/>
      </w:r>
      <w:r w:rsidRPr="00802F1A">
        <w:rPr>
          <w:rFonts w:cs="Times New Roman"/>
          <w:szCs w:val="24"/>
        </w:rPr>
        <w:t>’s</w:t>
      </w:r>
      <w:r w:rsidRPr="00802F1A">
        <w:rPr>
          <w:rFonts w:cs="Times New Roman"/>
          <w:szCs w:val="24"/>
          <w:lang w:val="en-US"/>
        </w:rPr>
        <w:t xml:space="preserve"> algorithm. In the middle column of Table 3, labeled "Tests of club merging," we present the results of the convergence tests between two consecutive clubs. For both energy diversification (t-value = -7.162) and economic development (t-value = -13.494), we find no evidence of convergence between clubs 1 and 2. However, regarding financial development indices, we observe the formation of larger </w:t>
      </w:r>
      <w:r w:rsidRPr="00802F1A">
        <w:rPr>
          <w:rFonts w:cs="Times New Roman"/>
          <w:szCs w:val="24"/>
          <w:lang w:val="en-US"/>
        </w:rPr>
        <w:lastRenderedPageBreak/>
        <w:t>convergence clubs by merging each club with the next one. The results of the final convergence clubs are reported in the last column of Table 3.</w:t>
      </w:r>
    </w:p>
    <w:p w14:paraId="423900BD" w14:textId="77777777" w:rsidR="004C4689" w:rsidRPr="00802F1A" w:rsidRDefault="004C4689" w:rsidP="004C4689">
      <w:pPr>
        <w:jc w:val="both"/>
        <w:rPr>
          <w:rFonts w:cs="Times New Roman"/>
          <w:szCs w:val="24"/>
          <w:lang w:val="en-US"/>
        </w:rPr>
      </w:pPr>
    </w:p>
    <w:p w14:paraId="78D978BF" w14:textId="1FDE2768" w:rsidR="004C4689" w:rsidRPr="00802F1A" w:rsidRDefault="004C4689" w:rsidP="004C4689">
      <w:pPr>
        <w:jc w:val="both"/>
        <w:rPr>
          <w:rFonts w:cs="Times New Roman"/>
          <w:szCs w:val="24"/>
          <w:lang w:val="en-US"/>
        </w:rPr>
      </w:pPr>
      <w:r w:rsidRPr="00802F1A">
        <w:rPr>
          <w:rFonts w:cs="Times New Roman"/>
          <w:szCs w:val="24"/>
          <w:lang w:val="en-US"/>
        </w:rPr>
        <w:t xml:space="preserve">We note that only one large club is formed from clubs 1, 2, and 3 for </w:t>
      </w:r>
      <w:r w:rsidRPr="00802F1A">
        <w:rPr>
          <w:rFonts w:cs="Times New Roman"/>
          <w:i/>
          <w:iCs/>
          <w:szCs w:val="24"/>
          <w:lang w:val="en-US"/>
        </w:rPr>
        <w:t>FI Depth</w:t>
      </w:r>
      <w:r w:rsidRPr="00802F1A">
        <w:rPr>
          <w:rFonts w:cs="Times New Roman"/>
          <w:szCs w:val="24"/>
          <w:lang w:val="en-US"/>
        </w:rPr>
        <w:t>. Overall, countries are ultimately classified into four, three, two, seven, five, and five convergence clubs for financial institution depth, access, efficiency and overall indices, financial market overall index, and financial development index, respectively. The presence of more convergence clubs in financial development compared to energy diversification and per-capita income can be attributed to the higher level of regulation in the financial sector compared to the energy and production sectors. Consequently, the influence of technological progress and diffusion on the financial sector might be comparatively lower. Nevertheless, the extensive pursuit of financial integration in many countries could have facilitated the similarity of financial services in terms of features and costs, thus enabling catch-up in financial development between certain consecutive clubs.</w:t>
      </w:r>
    </w:p>
    <w:p w14:paraId="1B441E19" w14:textId="29A24A19" w:rsidR="001F7D0B" w:rsidRPr="00802F1A" w:rsidRDefault="001F7D0B" w:rsidP="002E0E83">
      <w:pPr>
        <w:rPr>
          <w:rFonts w:cs="Times New Roman"/>
          <w:sz w:val="20"/>
          <w:szCs w:val="20"/>
          <w:lang w:val="en-US"/>
        </w:rPr>
      </w:pPr>
    </w:p>
    <w:p w14:paraId="12F74E79" w14:textId="54E930D3" w:rsidR="00010D29" w:rsidRPr="00802F1A" w:rsidRDefault="0032674B" w:rsidP="002E0E83">
      <w:pPr>
        <w:rPr>
          <w:rFonts w:cs="Times New Roman"/>
          <w:sz w:val="22"/>
          <w:lang w:val="en-US"/>
        </w:rPr>
      </w:pPr>
      <w:r w:rsidRPr="00802F1A">
        <w:rPr>
          <w:rFonts w:cs="Times New Roman"/>
          <w:sz w:val="22"/>
          <w:lang w:val="en-US"/>
        </w:rPr>
        <w:t xml:space="preserve">Table </w:t>
      </w:r>
      <w:r w:rsidR="004E4390" w:rsidRPr="00802F1A">
        <w:rPr>
          <w:rFonts w:cs="Times New Roman"/>
          <w:sz w:val="22"/>
          <w:lang w:val="vi-VN"/>
        </w:rPr>
        <w:t>3</w:t>
      </w:r>
      <w:r w:rsidRPr="00802F1A">
        <w:rPr>
          <w:rFonts w:cs="Times New Roman"/>
          <w:sz w:val="22"/>
          <w:lang w:val="en-US"/>
        </w:rPr>
        <w:t xml:space="preserve">: Convergence </w:t>
      </w:r>
      <w:r w:rsidR="00262E0B" w:rsidRPr="00802F1A">
        <w:rPr>
          <w:rFonts w:cs="Times New Roman"/>
          <w:sz w:val="22"/>
          <w:lang w:val="en-US"/>
        </w:rPr>
        <w:t>C</w:t>
      </w:r>
      <w:r w:rsidRPr="00802F1A">
        <w:rPr>
          <w:rFonts w:cs="Times New Roman"/>
          <w:sz w:val="22"/>
          <w:lang w:val="en-US"/>
        </w:rPr>
        <w:t xml:space="preserve">lub </w:t>
      </w:r>
      <w:r w:rsidR="00262E0B" w:rsidRPr="00802F1A">
        <w:rPr>
          <w:rFonts w:cs="Times New Roman"/>
          <w:sz w:val="22"/>
          <w:lang w:val="en-US"/>
        </w:rPr>
        <w:t>C</w:t>
      </w:r>
      <w:r w:rsidRPr="00802F1A">
        <w:rPr>
          <w:rFonts w:cs="Times New Roman"/>
          <w:sz w:val="22"/>
          <w:lang w:val="en-US"/>
        </w:rPr>
        <w:t>lassification</w:t>
      </w:r>
    </w:p>
    <w:tbl>
      <w:tblPr>
        <w:tblW w:w="9092" w:type="dxa"/>
        <w:tblLayout w:type="fixed"/>
        <w:tblCellMar>
          <w:left w:w="0" w:type="dxa"/>
          <w:right w:w="0" w:type="dxa"/>
        </w:tblCellMar>
        <w:tblLook w:val="04A0" w:firstRow="1" w:lastRow="0" w:firstColumn="1" w:lastColumn="0" w:noHBand="0" w:noVBand="1"/>
      </w:tblPr>
      <w:tblGrid>
        <w:gridCol w:w="990"/>
        <w:gridCol w:w="630"/>
        <w:gridCol w:w="602"/>
        <w:gridCol w:w="718"/>
        <w:gridCol w:w="1290"/>
        <w:gridCol w:w="630"/>
        <w:gridCol w:w="630"/>
        <w:gridCol w:w="575"/>
        <w:gridCol w:w="1045"/>
        <w:gridCol w:w="720"/>
        <w:gridCol w:w="630"/>
        <w:gridCol w:w="626"/>
        <w:gridCol w:w="6"/>
      </w:tblGrid>
      <w:tr w:rsidR="00802F1A" w:rsidRPr="00802F1A" w14:paraId="487DC2E1" w14:textId="77777777" w:rsidTr="00CD1F30">
        <w:trPr>
          <w:gridAfter w:val="1"/>
          <w:wAfter w:w="6" w:type="dxa"/>
          <w:trHeight w:val="288"/>
        </w:trPr>
        <w:tc>
          <w:tcPr>
            <w:tcW w:w="2940" w:type="dxa"/>
            <w:gridSpan w:val="4"/>
            <w:tcBorders>
              <w:top w:val="single" w:sz="4" w:space="0" w:color="auto"/>
              <w:left w:val="nil"/>
              <w:bottom w:val="nil"/>
              <w:right w:val="single" w:sz="4" w:space="0" w:color="000000"/>
            </w:tcBorders>
            <w:shd w:val="clear" w:color="auto" w:fill="auto"/>
            <w:noWrap/>
            <w:hideMark/>
          </w:tcPr>
          <w:p w14:paraId="63B80A87" w14:textId="77777777" w:rsidR="00AB6C42" w:rsidRPr="00802F1A" w:rsidRDefault="00AB6C42" w:rsidP="00AB6C42">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Initial club classification</w:t>
            </w:r>
          </w:p>
        </w:tc>
        <w:tc>
          <w:tcPr>
            <w:tcW w:w="3125" w:type="dxa"/>
            <w:gridSpan w:val="4"/>
            <w:tcBorders>
              <w:top w:val="single" w:sz="4" w:space="0" w:color="auto"/>
              <w:left w:val="nil"/>
              <w:bottom w:val="nil"/>
              <w:right w:val="single" w:sz="4" w:space="0" w:color="000000"/>
            </w:tcBorders>
            <w:shd w:val="clear" w:color="auto" w:fill="auto"/>
            <w:noWrap/>
            <w:hideMark/>
          </w:tcPr>
          <w:p w14:paraId="2678D348" w14:textId="77777777" w:rsidR="00AB6C42" w:rsidRPr="00802F1A" w:rsidRDefault="00AB6C42" w:rsidP="00AB6C42">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Tests of club merging</w:t>
            </w:r>
          </w:p>
        </w:tc>
        <w:tc>
          <w:tcPr>
            <w:tcW w:w="3021" w:type="dxa"/>
            <w:gridSpan w:val="4"/>
            <w:tcBorders>
              <w:top w:val="single" w:sz="4" w:space="0" w:color="auto"/>
              <w:left w:val="nil"/>
              <w:bottom w:val="nil"/>
              <w:right w:val="nil"/>
            </w:tcBorders>
            <w:shd w:val="clear" w:color="auto" w:fill="auto"/>
            <w:noWrap/>
            <w:hideMark/>
          </w:tcPr>
          <w:p w14:paraId="044E3CC3" w14:textId="77777777" w:rsidR="00AB6C42" w:rsidRPr="00802F1A" w:rsidRDefault="00AB6C42" w:rsidP="00AB6C42">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Final club classification</w:t>
            </w:r>
          </w:p>
        </w:tc>
      </w:tr>
      <w:tr w:rsidR="00802F1A" w:rsidRPr="00802F1A" w14:paraId="16E16E54" w14:textId="77777777" w:rsidTr="00CD1F30">
        <w:trPr>
          <w:trHeight w:val="288"/>
        </w:trPr>
        <w:tc>
          <w:tcPr>
            <w:tcW w:w="990" w:type="dxa"/>
            <w:tcBorders>
              <w:top w:val="nil"/>
              <w:left w:val="nil"/>
              <w:bottom w:val="single" w:sz="4" w:space="0" w:color="auto"/>
              <w:right w:val="nil"/>
            </w:tcBorders>
            <w:shd w:val="clear" w:color="auto" w:fill="auto"/>
            <w:noWrap/>
            <w:hideMark/>
          </w:tcPr>
          <w:p w14:paraId="1BAA1AD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w:t>
            </w:r>
          </w:p>
        </w:tc>
        <w:tc>
          <w:tcPr>
            <w:tcW w:w="630" w:type="dxa"/>
            <w:tcBorders>
              <w:top w:val="nil"/>
              <w:left w:val="nil"/>
              <w:bottom w:val="single" w:sz="4" w:space="0" w:color="auto"/>
              <w:right w:val="nil"/>
            </w:tcBorders>
            <w:shd w:val="clear" w:color="auto" w:fill="auto"/>
            <w:noWrap/>
            <w:hideMark/>
          </w:tcPr>
          <w:p w14:paraId="67D5640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Members</w:t>
            </w:r>
          </w:p>
        </w:tc>
        <w:tc>
          <w:tcPr>
            <w:tcW w:w="602" w:type="dxa"/>
            <w:tcBorders>
              <w:top w:val="nil"/>
              <w:left w:val="nil"/>
              <w:bottom w:val="single" w:sz="4" w:space="0" w:color="auto"/>
              <w:right w:val="nil"/>
            </w:tcBorders>
            <w:shd w:val="clear" w:color="auto" w:fill="auto"/>
            <w:noWrap/>
            <w:hideMark/>
          </w:tcPr>
          <w:p w14:paraId="006C49C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718" w:type="dxa"/>
            <w:tcBorders>
              <w:top w:val="nil"/>
              <w:left w:val="nil"/>
              <w:bottom w:val="single" w:sz="4" w:space="0" w:color="auto"/>
              <w:right w:val="single" w:sz="4" w:space="0" w:color="auto"/>
            </w:tcBorders>
            <w:shd w:val="clear" w:color="auto" w:fill="auto"/>
            <w:noWrap/>
            <w:hideMark/>
          </w:tcPr>
          <w:p w14:paraId="5556FEDB"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1290" w:type="dxa"/>
            <w:tcBorders>
              <w:top w:val="nil"/>
              <w:left w:val="nil"/>
              <w:bottom w:val="single" w:sz="4" w:space="0" w:color="auto"/>
              <w:right w:val="nil"/>
            </w:tcBorders>
            <w:shd w:val="clear" w:color="auto" w:fill="auto"/>
            <w:noWrap/>
            <w:hideMark/>
          </w:tcPr>
          <w:p w14:paraId="057BEDC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w:t>
            </w:r>
          </w:p>
        </w:tc>
        <w:tc>
          <w:tcPr>
            <w:tcW w:w="630" w:type="dxa"/>
            <w:tcBorders>
              <w:top w:val="nil"/>
              <w:left w:val="nil"/>
              <w:bottom w:val="single" w:sz="4" w:space="0" w:color="auto"/>
              <w:right w:val="nil"/>
            </w:tcBorders>
            <w:shd w:val="clear" w:color="auto" w:fill="auto"/>
            <w:noWrap/>
            <w:hideMark/>
          </w:tcPr>
          <w:p w14:paraId="7E5EB965" w14:textId="77777777" w:rsidR="00AB6C42" w:rsidRPr="00802F1A" w:rsidRDefault="00AB6C42" w:rsidP="00AB6C42">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Members</w:t>
            </w:r>
          </w:p>
        </w:tc>
        <w:tc>
          <w:tcPr>
            <w:tcW w:w="630" w:type="dxa"/>
            <w:tcBorders>
              <w:top w:val="nil"/>
              <w:left w:val="nil"/>
              <w:bottom w:val="single" w:sz="4" w:space="0" w:color="auto"/>
              <w:right w:val="nil"/>
            </w:tcBorders>
            <w:shd w:val="clear" w:color="auto" w:fill="auto"/>
            <w:noWrap/>
            <w:hideMark/>
          </w:tcPr>
          <w:p w14:paraId="12FB556D"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75" w:type="dxa"/>
            <w:tcBorders>
              <w:top w:val="nil"/>
              <w:left w:val="nil"/>
              <w:bottom w:val="single" w:sz="4" w:space="0" w:color="auto"/>
              <w:right w:val="single" w:sz="4" w:space="0" w:color="auto"/>
            </w:tcBorders>
            <w:shd w:val="clear" w:color="auto" w:fill="auto"/>
            <w:noWrap/>
            <w:hideMark/>
          </w:tcPr>
          <w:p w14:paraId="4F08E248"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1045" w:type="dxa"/>
            <w:tcBorders>
              <w:top w:val="nil"/>
              <w:left w:val="nil"/>
              <w:bottom w:val="single" w:sz="4" w:space="0" w:color="auto"/>
              <w:right w:val="nil"/>
            </w:tcBorders>
            <w:shd w:val="clear" w:color="auto" w:fill="auto"/>
            <w:noWrap/>
            <w:hideMark/>
          </w:tcPr>
          <w:p w14:paraId="22DDBA07"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w:t>
            </w:r>
          </w:p>
        </w:tc>
        <w:tc>
          <w:tcPr>
            <w:tcW w:w="720" w:type="dxa"/>
            <w:tcBorders>
              <w:top w:val="nil"/>
              <w:left w:val="nil"/>
              <w:bottom w:val="single" w:sz="4" w:space="0" w:color="auto"/>
              <w:right w:val="nil"/>
            </w:tcBorders>
            <w:shd w:val="clear" w:color="auto" w:fill="auto"/>
            <w:noWrap/>
            <w:hideMark/>
          </w:tcPr>
          <w:p w14:paraId="2F36582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Members</w:t>
            </w:r>
          </w:p>
        </w:tc>
        <w:tc>
          <w:tcPr>
            <w:tcW w:w="630" w:type="dxa"/>
            <w:tcBorders>
              <w:top w:val="nil"/>
              <w:left w:val="nil"/>
              <w:bottom w:val="single" w:sz="4" w:space="0" w:color="auto"/>
              <w:right w:val="nil"/>
            </w:tcBorders>
            <w:shd w:val="clear" w:color="auto" w:fill="auto"/>
            <w:noWrap/>
            <w:hideMark/>
          </w:tcPr>
          <w:p w14:paraId="52E110E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Log t</w:t>
            </w:r>
          </w:p>
        </w:tc>
        <w:tc>
          <w:tcPr>
            <w:tcW w:w="632" w:type="dxa"/>
            <w:gridSpan w:val="2"/>
            <w:tcBorders>
              <w:top w:val="nil"/>
              <w:left w:val="nil"/>
              <w:bottom w:val="single" w:sz="4" w:space="0" w:color="auto"/>
              <w:right w:val="nil"/>
            </w:tcBorders>
            <w:shd w:val="clear" w:color="auto" w:fill="auto"/>
            <w:noWrap/>
            <w:hideMark/>
          </w:tcPr>
          <w:p w14:paraId="1F518ED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t-stat</w:t>
            </w:r>
          </w:p>
        </w:tc>
      </w:tr>
      <w:tr w:rsidR="00802F1A" w:rsidRPr="00802F1A" w14:paraId="2C08FDF7"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61524409" w14:textId="08F88B68" w:rsidR="00AB6C42" w:rsidRPr="00802F1A" w:rsidRDefault="00AB6C42" w:rsidP="00CD1F30">
            <w:pPr>
              <w:spacing w:line="240" w:lineRule="auto"/>
              <w:rPr>
                <w:rFonts w:eastAsia="Times New Roman" w:cs="Times New Roman"/>
                <w:b/>
                <w:bCs/>
                <w:i/>
                <w:iCs/>
                <w:sz w:val="16"/>
                <w:szCs w:val="16"/>
                <w:lang w:eastAsia="en-AU"/>
              </w:rPr>
            </w:pPr>
            <w:r w:rsidRPr="00802F1A">
              <w:rPr>
                <w:rFonts w:eastAsia="Times New Roman" w:cs="Times New Roman"/>
                <w:b/>
                <w:bCs/>
                <w:i/>
                <w:iCs/>
                <w:sz w:val="16"/>
                <w:szCs w:val="16"/>
                <w:lang w:eastAsia="en-AU"/>
              </w:rPr>
              <w:t>Part A: Energy HHI</w:t>
            </w:r>
          </w:p>
        </w:tc>
      </w:tr>
      <w:tr w:rsidR="00802F1A" w:rsidRPr="00802F1A" w14:paraId="38B48E26" w14:textId="77777777" w:rsidTr="00CD1F30">
        <w:trPr>
          <w:trHeight w:val="288"/>
        </w:trPr>
        <w:tc>
          <w:tcPr>
            <w:tcW w:w="990" w:type="dxa"/>
            <w:tcBorders>
              <w:top w:val="nil"/>
              <w:left w:val="nil"/>
              <w:bottom w:val="nil"/>
              <w:right w:val="nil"/>
            </w:tcBorders>
            <w:shd w:val="clear" w:color="auto" w:fill="auto"/>
            <w:noWrap/>
            <w:hideMark/>
          </w:tcPr>
          <w:p w14:paraId="7003A76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5739D68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33</w:t>
            </w:r>
          </w:p>
        </w:tc>
        <w:tc>
          <w:tcPr>
            <w:tcW w:w="602" w:type="dxa"/>
            <w:tcBorders>
              <w:top w:val="nil"/>
              <w:left w:val="nil"/>
              <w:bottom w:val="nil"/>
              <w:right w:val="nil"/>
            </w:tcBorders>
            <w:shd w:val="clear" w:color="auto" w:fill="auto"/>
            <w:noWrap/>
            <w:hideMark/>
          </w:tcPr>
          <w:p w14:paraId="60E72D24"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-0.03</w:t>
            </w:r>
          </w:p>
        </w:tc>
        <w:tc>
          <w:tcPr>
            <w:tcW w:w="718" w:type="dxa"/>
            <w:tcBorders>
              <w:top w:val="nil"/>
              <w:left w:val="nil"/>
              <w:bottom w:val="nil"/>
              <w:right w:val="nil"/>
            </w:tcBorders>
            <w:shd w:val="clear" w:color="auto" w:fill="auto"/>
            <w:noWrap/>
            <w:hideMark/>
          </w:tcPr>
          <w:p w14:paraId="1FBB97D8"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-0.70</w:t>
            </w:r>
          </w:p>
        </w:tc>
        <w:tc>
          <w:tcPr>
            <w:tcW w:w="1290" w:type="dxa"/>
            <w:tcBorders>
              <w:top w:val="nil"/>
              <w:left w:val="single" w:sz="4" w:space="0" w:color="auto"/>
              <w:bottom w:val="nil"/>
              <w:right w:val="nil"/>
            </w:tcBorders>
            <w:shd w:val="clear" w:color="auto" w:fill="auto"/>
            <w:noWrap/>
            <w:hideMark/>
          </w:tcPr>
          <w:p w14:paraId="7ABD042B"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4055E97F"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3AEB7AFD"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76DA0B2E" w14:textId="47F3F8C1"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25EBEAA9"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720" w:type="dxa"/>
            <w:tcBorders>
              <w:top w:val="nil"/>
              <w:left w:val="nil"/>
              <w:bottom w:val="nil"/>
              <w:right w:val="nil"/>
            </w:tcBorders>
            <w:shd w:val="clear" w:color="auto" w:fill="auto"/>
            <w:noWrap/>
            <w:hideMark/>
          </w:tcPr>
          <w:p w14:paraId="66960E1D" w14:textId="50EC013E"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w:t>
            </w:r>
            <w:r w:rsidR="003E394A" w:rsidRPr="00802F1A">
              <w:rPr>
                <w:rFonts w:eastAsia="Times New Roman" w:cs="Times New Roman"/>
                <w:sz w:val="16"/>
                <w:szCs w:val="16"/>
                <w:lang w:eastAsia="en-AU"/>
              </w:rPr>
              <w:t>3</w:t>
            </w:r>
          </w:p>
        </w:tc>
        <w:tc>
          <w:tcPr>
            <w:tcW w:w="630" w:type="dxa"/>
            <w:tcBorders>
              <w:top w:val="nil"/>
              <w:left w:val="nil"/>
              <w:bottom w:val="nil"/>
              <w:right w:val="nil"/>
            </w:tcBorders>
            <w:shd w:val="clear" w:color="auto" w:fill="auto"/>
            <w:noWrap/>
            <w:hideMark/>
          </w:tcPr>
          <w:p w14:paraId="25A85BA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-0.03</w:t>
            </w:r>
          </w:p>
        </w:tc>
        <w:tc>
          <w:tcPr>
            <w:tcW w:w="632" w:type="dxa"/>
            <w:gridSpan w:val="2"/>
            <w:tcBorders>
              <w:top w:val="nil"/>
              <w:left w:val="nil"/>
              <w:bottom w:val="nil"/>
              <w:right w:val="nil"/>
            </w:tcBorders>
            <w:shd w:val="clear" w:color="auto" w:fill="auto"/>
            <w:noWrap/>
            <w:hideMark/>
          </w:tcPr>
          <w:p w14:paraId="46D01B4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-0.70</w:t>
            </w:r>
          </w:p>
        </w:tc>
      </w:tr>
      <w:tr w:rsidR="00802F1A" w:rsidRPr="00802F1A" w14:paraId="02523D41" w14:textId="77777777" w:rsidTr="00CD1F30">
        <w:trPr>
          <w:trHeight w:val="288"/>
        </w:trPr>
        <w:tc>
          <w:tcPr>
            <w:tcW w:w="990" w:type="dxa"/>
            <w:tcBorders>
              <w:top w:val="nil"/>
              <w:left w:val="nil"/>
              <w:bottom w:val="nil"/>
              <w:right w:val="nil"/>
            </w:tcBorders>
            <w:shd w:val="clear" w:color="auto" w:fill="auto"/>
            <w:noWrap/>
            <w:hideMark/>
          </w:tcPr>
          <w:p w14:paraId="01BE2997"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774E3AE7"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101</w:t>
            </w:r>
          </w:p>
        </w:tc>
        <w:tc>
          <w:tcPr>
            <w:tcW w:w="602" w:type="dxa"/>
            <w:tcBorders>
              <w:top w:val="nil"/>
              <w:left w:val="nil"/>
              <w:bottom w:val="nil"/>
              <w:right w:val="nil"/>
            </w:tcBorders>
            <w:shd w:val="clear" w:color="auto" w:fill="auto"/>
            <w:noWrap/>
            <w:hideMark/>
          </w:tcPr>
          <w:p w14:paraId="0F36A0D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0.12</w:t>
            </w:r>
          </w:p>
        </w:tc>
        <w:tc>
          <w:tcPr>
            <w:tcW w:w="718" w:type="dxa"/>
            <w:tcBorders>
              <w:top w:val="nil"/>
              <w:left w:val="nil"/>
              <w:bottom w:val="nil"/>
              <w:right w:val="nil"/>
            </w:tcBorders>
            <w:shd w:val="clear" w:color="auto" w:fill="auto"/>
            <w:noWrap/>
            <w:hideMark/>
          </w:tcPr>
          <w:p w14:paraId="3DC51852"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1.28</w:t>
            </w:r>
          </w:p>
        </w:tc>
        <w:tc>
          <w:tcPr>
            <w:tcW w:w="1290" w:type="dxa"/>
            <w:tcBorders>
              <w:top w:val="nil"/>
              <w:left w:val="single" w:sz="4" w:space="0" w:color="auto"/>
              <w:bottom w:val="nil"/>
              <w:right w:val="nil"/>
            </w:tcBorders>
            <w:shd w:val="clear" w:color="auto" w:fill="auto"/>
            <w:noWrap/>
            <w:hideMark/>
          </w:tcPr>
          <w:p w14:paraId="4D42CED1"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1+2</w:t>
            </w:r>
          </w:p>
        </w:tc>
        <w:tc>
          <w:tcPr>
            <w:tcW w:w="630" w:type="dxa"/>
            <w:tcBorders>
              <w:top w:val="nil"/>
              <w:left w:val="nil"/>
              <w:bottom w:val="nil"/>
              <w:right w:val="nil"/>
            </w:tcBorders>
            <w:shd w:val="clear" w:color="auto" w:fill="auto"/>
            <w:noWrap/>
            <w:hideMark/>
          </w:tcPr>
          <w:p w14:paraId="1704F747"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134</w:t>
            </w:r>
          </w:p>
        </w:tc>
        <w:tc>
          <w:tcPr>
            <w:tcW w:w="630" w:type="dxa"/>
            <w:tcBorders>
              <w:top w:val="nil"/>
              <w:left w:val="nil"/>
              <w:bottom w:val="nil"/>
              <w:right w:val="nil"/>
            </w:tcBorders>
            <w:shd w:val="clear" w:color="auto" w:fill="auto"/>
            <w:noWrap/>
            <w:hideMark/>
          </w:tcPr>
          <w:p w14:paraId="348F1FFB"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-0.35</w:t>
            </w:r>
          </w:p>
        </w:tc>
        <w:tc>
          <w:tcPr>
            <w:tcW w:w="575" w:type="dxa"/>
            <w:tcBorders>
              <w:top w:val="nil"/>
              <w:left w:val="nil"/>
              <w:bottom w:val="nil"/>
              <w:right w:val="single" w:sz="4" w:space="0" w:color="auto"/>
            </w:tcBorders>
            <w:shd w:val="clear" w:color="auto" w:fill="auto"/>
            <w:noWrap/>
            <w:hideMark/>
          </w:tcPr>
          <w:p w14:paraId="71CABB12"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-6.82</w:t>
            </w:r>
          </w:p>
        </w:tc>
        <w:tc>
          <w:tcPr>
            <w:tcW w:w="1045" w:type="dxa"/>
            <w:tcBorders>
              <w:top w:val="nil"/>
              <w:left w:val="nil"/>
              <w:bottom w:val="nil"/>
              <w:right w:val="nil"/>
            </w:tcBorders>
            <w:shd w:val="clear" w:color="auto" w:fill="auto"/>
            <w:noWrap/>
            <w:hideMark/>
          </w:tcPr>
          <w:p w14:paraId="0977880B"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720" w:type="dxa"/>
            <w:tcBorders>
              <w:top w:val="nil"/>
              <w:left w:val="nil"/>
              <w:bottom w:val="nil"/>
              <w:right w:val="nil"/>
            </w:tcBorders>
            <w:shd w:val="clear" w:color="auto" w:fill="auto"/>
            <w:noWrap/>
            <w:hideMark/>
          </w:tcPr>
          <w:p w14:paraId="49AAD40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101</w:t>
            </w:r>
          </w:p>
        </w:tc>
        <w:tc>
          <w:tcPr>
            <w:tcW w:w="630" w:type="dxa"/>
            <w:tcBorders>
              <w:top w:val="nil"/>
              <w:left w:val="nil"/>
              <w:bottom w:val="nil"/>
              <w:right w:val="nil"/>
            </w:tcBorders>
            <w:shd w:val="clear" w:color="auto" w:fill="auto"/>
            <w:noWrap/>
            <w:hideMark/>
          </w:tcPr>
          <w:p w14:paraId="3995F08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0.12</w:t>
            </w:r>
          </w:p>
        </w:tc>
        <w:tc>
          <w:tcPr>
            <w:tcW w:w="632" w:type="dxa"/>
            <w:gridSpan w:val="2"/>
            <w:tcBorders>
              <w:top w:val="nil"/>
              <w:left w:val="nil"/>
              <w:bottom w:val="nil"/>
              <w:right w:val="nil"/>
            </w:tcBorders>
            <w:shd w:val="clear" w:color="auto" w:fill="auto"/>
            <w:noWrap/>
            <w:hideMark/>
          </w:tcPr>
          <w:p w14:paraId="483A5EC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1.28</w:t>
            </w:r>
          </w:p>
        </w:tc>
      </w:tr>
      <w:tr w:rsidR="00802F1A" w:rsidRPr="00802F1A" w14:paraId="52D4BED3"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280494FF" w14:textId="77777777" w:rsidR="00AB6C42" w:rsidRPr="00802F1A" w:rsidRDefault="00AB6C42" w:rsidP="00CD1F30">
            <w:pPr>
              <w:spacing w:line="240" w:lineRule="auto"/>
              <w:rPr>
                <w:rFonts w:eastAsia="Times New Roman" w:cs="Times New Roman"/>
                <w:b/>
                <w:bCs/>
                <w:i/>
                <w:iCs/>
                <w:sz w:val="16"/>
                <w:szCs w:val="16"/>
                <w:lang w:eastAsia="en-AU"/>
              </w:rPr>
            </w:pPr>
            <w:r w:rsidRPr="00802F1A">
              <w:rPr>
                <w:rFonts w:eastAsia="Times New Roman" w:cs="Times New Roman"/>
                <w:b/>
                <w:bCs/>
                <w:i/>
                <w:iCs/>
                <w:sz w:val="16"/>
                <w:szCs w:val="16"/>
                <w:lang w:eastAsia="en-AU"/>
              </w:rPr>
              <w:t>Part B: Per-capita income</w:t>
            </w:r>
          </w:p>
        </w:tc>
      </w:tr>
      <w:tr w:rsidR="00802F1A" w:rsidRPr="00802F1A" w14:paraId="4F0B2657" w14:textId="77777777" w:rsidTr="00CD1F30">
        <w:trPr>
          <w:trHeight w:val="288"/>
        </w:trPr>
        <w:tc>
          <w:tcPr>
            <w:tcW w:w="990" w:type="dxa"/>
            <w:tcBorders>
              <w:top w:val="nil"/>
              <w:left w:val="nil"/>
              <w:bottom w:val="nil"/>
              <w:right w:val="nil"/>
            </w:tcBorders>
            <w:shd w:val="clear" w:color="auto" w:fill="auto"/>
            <w:noWrap/>
            <w:hideMark/>
          </w:tcPr>
          <w:p w14:paraId="46A97A5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6EC8608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68</w:t>
            </w:r>
          </w:p>
        </w:tc>
        <w:tc>
          <w:tcPr>
            <w:tcW w:w="602" w:type="dxa"/>
            <w:tcBorders>
              <w:top w:val="nil"/>
              <w:left w:val="nil"/>
              <w:bottom w:val="nil"/>
              <w:right w:val="nil"/>
            </w:tcBorders>
            <w:shd w:val="clear" w:color="auto" w:fill="auto"/>
            <w:noWrap/>
            <w:hideMark/>
          </w:tcPr>
          <w:p w14:paraId="182D23D2"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0.19</w:t>
            </w:r>
          </w:p>
        </w:tc>
        <w:tc>
          <w:tcPr>
            <w:tcW w:w="718" w:type="dxa"/>
            <w:tcBorders>
              <w:top w:val="nil"/>
              <w:left w:val="nil"/>
              <w:bottom w:val="nil"/>
              <w:right w:val="nil"/>
            </w:tcBorders>
            <w:shd w:val="clear" w:color="auto" w:fill="auto"/>
            <w:noWrap/>
            <w:hideMark/>
          </w:tcPr>
          <w:p w14:paraId="16C3E910"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14.71</w:t>
            </w:r>
          </w:p>
        </w:tc>
        <w:tc>
          <w:tcPr>
            <w:tcW w:w="1290" w:type="dxa"/>
            <w:tcBorders>
              <w:top w:val="nil"/>
              <w:left w:val="single" w:sz="4" w:space="0" w:color="auto"/>
              <w:bottom w:val="nil"/>
              <w:right w:val="nil"/>
            </w:tcBorders>
            <w:shd w:val="clear" w:color="auto" w:fill="auto"/>
            <w:noWrap/>
            <w:hideMark/>
          </w:tcPr>
          <w:p w14:paraId="74D0C00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07630B95"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7DC01A88"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4DC6D794" w14:textId="759AE25F"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6049327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720" w:type="dxa"/>
            <w:tcBorders>
              <w:top w:val="nil"/>
              <w:left w:val="nil"/>
              <w:bottom w:val="nil"/>
              <w:right w:val="nil"/>
            </w:tcBorders>
            <w:shd w:val="clear" w:color="auto" w:fill="auto"/>
            <w:noWrap/>
            <w:hideMark/>
          </w:tcPr>
          <w:p w14:paraId="7322CA9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68</w:t>
            </w:r>
          </w:p>
        </w:tc>
        <w:tc>
          <w:tcPr>
            <w:tcW w:w="630" w:type="dxa"/>
            <w:tcBorders>
              <w:top w:val="nil"/>
              <w:left w:val="nil"/>
              <w:bottom w:val="nil"/>
              <w:right w:val="nil"/>
            </w:tcBorders>
            <w:shd w:val="clear" w:color="auto" w:fill="auto"/>
            <w:noWrap/>
            <w:hideMark/>
          </w:tcPr>
          <w:p w14:paraId="18C1D86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0.19</w:t>
            </w:r>
          </w:p>
        </w:tc>
        <w:tc>
          <w:tcPr>
            <w:tcW w:w="632" w:type="dxa"/>
            <w:gridSpan w:val="2"/>
            <w:tcBorders>
              <w:top w:val="nil"/>
              <w:left w:val="nil"/>
              <w:bottom w:val="nil"/>
              <w:right w:val="nil"/>
            </w:tcBorders>
            <w:shd w:val="clear" w:color="auto" w:fill="auto"/>
            <w:noWrap/>
            <w:hideMark/>
          </w:tcPr>
          <w:p w14:paraId="5F976BB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14.71</w:t>
            </w:r>
          </w:p>
        </w:tc>
      </w:tr>
      <w:tr w:rsidR="00802F1A" w:rsidRPr="00802F1A" w14:paraId="6FF3F4D8" w14:textId="77777777" w:rsidTr="00CD1F30">
        <w:trPr>
          <w:trHeight w:val="288"/>
        </w:trPr>
        <w:tc>
          <w:tcPr>
            <w:tcW w:w="990" w:type="dxa"/>
            <w:tcBorders>
              <w:top w:val="nil"/>
              <w:left w:val="nil"/>
              <w:bottom w:val="nil"/>
              <w:right w:val="nil"/>
            </w:tcBorders>
            <w:shd w:val="clear" w:color="auto" w:fill="auto"/>
            <w:noWrap/>
            <w:hideMark/>
          </w:tcPr>
          <w:p w14:paraId="79CAA48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6E17CA54"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66</w:t>
            </w:r>
          </w:p>
        </w:tc>
        <w:tc>
          <w:tcPr>
            <w:tcW w:w="602" w:type="dxa"/>
            <w:tcBorders>
              <w:top w:val="nil"/>
              <w:left w:val="nil"/>
              <w:bottom w:val="nil"/>
              <w:right w:val="nil"/>
            </w:tcBorders>
            <w:shd w:val="clear" w:color="auto" w:fill="auto"/>
            <w:noWrap/>
            <w:hideMark/>
          </w:tcPr>
          <w:p w14:paraId="21B9E45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-0.05</w:t>
            </w:r>
          </w:p>
        </w:tc>
        <w:tc>
          <w:tcPr>
            <w:tcW w:w="718" w:type="dxa"/>
            <w:tcBorders>
              <w:top w:val="nil"/>
              <w:left w:val="nil"/>
              <w:bottom w:val="nil"/>
              <w:right w:val="nil"/>
            </w:tcBorders>
            <w:shd w:val="clear" w:color="auto" w:fill="auto"/>
            <w:noWrap/>
            <w:hideMark/>
          </w:tcPr>
          <w:p w14:paraId="73799FC4"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-1.27</w:t>
            </w:r>
          </w:p>
        </w:tc>
        <w:tc>
          <w:tcPr>
            <w:tcW w:w="1290" w:type="dxa"/>
            <w:tcBorders>
              <w:top w:val="nil"/>
              <w:left w:val="single" w:sz="4" w:space="0" w:color="auto"/>
              <w:bottom w:val="nil"/>
              <w:right w:val="nil"/>
            </w:tcBorders>
            <w:shd w:val="clear" w:color="auto" w:fill="auto"/>
            <w:noWrap/>
            <w:hideMark/>
          </w:tcPr>
          <w:p w14:paraId="1BF30AF5"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1+2</w:t>
            </w:r>
          </w:p>
        </w:tc>
        <w:tc>
          <w:tcPr>
            <w:tcW w:w="630" w:type="dxa"/>
            <w:tcBorders>
              <w:top w:val="nil"/>
              <w:left w:val="nil"/>
              <w:bottom w:val="nil"/>
              <w:right w:val="nil"/>
            </w:tcBorders>
            <w:shd w:val="clear" w:color="auto" w:fill="auto"/>
            <w:noWrap/>
            <w:hideMark/>
          </w:tcPr>
          <w:p w14:paraId="55F80A1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134</w:t>
            </w:r>
          </w:p>
        </w:tc>
        <w:tc>
          <w:tcPr>
            <w:tcW w:w="630" w:type="dxa"/>
            <w:tcBorders>
              <w:top w:val="nil"/>
              <w:left w:val="nil"/>
              <w:bottom w:val="nil"/>
              <w:right w:val="nil"/>
            </w:tcBorders>
            <w:shd w:val="clear" w:color="auto" w:fill="auto"/>
            <w:noWrap/>
            <w:hideMark/>
          </w:tcPr>
          <w:p w14:paraId="27A7A07F"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-0.24</w:t>
            </w:r>
          </w:p>
        </w:tc>
        <w:tc>
          <w:tcPr>
            <w:tcW w:w="575" w:type="dxa"/>
            <w:tcBorders>
              <w:top w:val="nil"/>
              <w:left w:val="nil"/>
              <w:bottom w:val="nil"/>
              <w:right w:val="single" w:sz="4" w:space="0" w:color="auto"/>
            </w:tcBorders>
            <w:shd w:val="clear" w:color="auto" w:fill="auto"/>
            <w:noWrap/>
            <w:hideMark/>
          </w:tcPr>
          <w:p w14:paraId="64C4EBF2"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-13.30</w:t>
            </w:r>
          </w:p>
        </w:tc>
        <w:tc>
          <w:tcPr>
            <w:tcW w:w="1045" w:type="dxa"/>
            <w:tcBorders>
              <w:top w:val="nil"/>
              <w:left w:val="nil"/>
              <w:bottom w:val="nil"/>
              <w:right w:val="nil"/>
            </w:tcBorders>
            <w:shd w:val="clear" w:color="auto" w:fill="auto"/>
            <w:noWrap/>
            <w:hideMark/>
          </w:tcPr>
          <w:p w14:paraId="719C8B8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720" w:type="dxa"/>
            <w:tcBorders>
              <w:top w:val="nil"/>
              <w:left w:val="nil"/>
              <w:bottom w:val="nil"/>
              <w:right w:val="nil"/>
            </w:tcBorders>
            <w:shd w:val="clear" w:color="auto" w:fill="auto"/>
            <w:noWrap/>
            <w:hideMark/>
          </w:tcPr>
          <w:p w14:paraId="1DA1104F" w14:textId="78C99262"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w:t>
            </w:r>
            <w:r w:rsidR="000F3A31" w:rsidRPr="00802F1A">
              <w:rPr>
                <w:rFonts w:eastAsia="Times New Roman" w:cs="Times New Roman"/>
                <w:sz w:val="16"/>
                <w:szCs w:val="16"/>
                <w:lang w:eastAsia="en-AU"/>
              </w:rPr>
              <w:t>6</w:t>
            </w:r>
          </w:p>
        </w:tc>
        <w:tc>
          <w:tcPr>
            <w:tcW w:w="630" w:type="dxa"/>
            <w:tcBorders>
              <w:top w:val="nil"/>
              <w:left w:val="nil"/>
              <w:bottom w:val="nil"/>
              <w:right w:val="nil"/>
            </w:tcBorders>
            <w:shd w:val="clear" w:color="auto" w:fill="auto"/>
            <w:noWrap/>
            <w:hideMark/>
          </w:tcPr>
          <w:p w14:paraId="46FB79F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-0.05</w:t>
            </w:r>
          </w:p>
        </w:tc>
        <w:tc>
          <w:tcPr>
            <w:tcW w:w="632" w:type="dxa"/>
            <w:gridSpan w:val="2"/>
            <w:tcBorders>
              <w:top w:val="nil"/>
              <w:left w:val="nil"/>
              <w:bottom w:val="nil"/>
              <w:right w:val="nil"/>
            </w:tcBorders>
            <w:shd w:val="clear" w:color="auto" w:fill="auto"/>
            <w:noWrap/>
            <w:hideMark/>
          </w:tcPr>
          <w:p w14:paraId="38820B3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-1.27</w:t>
            </w:r>
          </w:p>
        </w:tc>
      </w:tr>
      <w:tr w:rsidR="00802F1A" w:rsidRPr="00802F1A" w14:paraId="4355BCE4"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7D04FC73" w14:textId="77777777" w:rsidR="00AB6C42" w:rsidRPr="00802F1A" w:rsidRDefault="00AB6C42" w:rsidP="00CD1F30">
            <w:pPr>
              <w:spacing w:line="240" w:lineRule="auto"/>
              <w:rPr>
                <w:rFonts w:eastAsia="Times New Roman" w:cs="Times New Roman"/>
                <w:b/>
                <w:bCs/>
                <w:i/>
                <w:iCs/>
                <w:sz w:val="16"/>
                <w:szCs w:val="16"/>
                <w:lang w:eastAsia="en-AU"/>
              </w:rPr>
            </w:pPr>
            <w:r w:rsidRPr="00802F1A">
              <w:rPr>
                <w:rFonts w:eastAsia="Times New Roman" w:cs="Times New Roman"/>
                <w:b/>
                <w:bCs/>
                <w:i/>
                <w:iCs/>
                <w:sz w:val="16"/>
                <w:szCs w:val="16"/>
                <w:lang w:eastAsia="en-AU"/>
              </w:rPr>
              <w:t>Part C: Financial development indices</w:t>
            </w:r>
          </w:p>
        </w:tc>
      </w:tr>
      <w:tr w:rsidR="00802F1A" w:rsidRPr="00802F1A" w14:paraId="63658800"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4B3C4D12" w14:textId="77777777" w:rsidR="00AB6C42" w:rsidRPr="00802F1A" w:rsidRDefault="00AB6C42" w:rsidP="00CD1F30">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 Depth</w:t>
            </w:r>
          </w:p>
        </w:tc>
      </w:tr>
      <w:tr w:rsidR="00802F1A" w:rsidRPr="00802F1A" w14:paraId="164C1236" w14:textId="77777777" w:rsidTr="00CD1F30">
        <w:trPr>
          <w:trHeight w:val="288"/>
        </w:trPr>
        <w:tc>
          <w:tcPr>
            <w:tcW w:w="990" w:type="dxa"/>
            <w:tcBorders>
              <w:top w:val="nil"/>
              <w:left w:val="nil"/>
              <w:bottom w:val="nil"/>
              <w:right w:val="nil"/>
            </w:tcBorders>
            <w:shd w:val="clear" w:color="auto" w:fill="auto"/>
            <w:noWrap/>
            <w:hideMark/>
          </w:tcPr>
          <w:p w14:paraId="491F476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50025D3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02" w:type="dxa"/>
            <w:tcBorders>
              <w:top w:val="nil"/>
              <w:left w:val="nil"/>
              <w:bottom w:val="nil"/>
              <w:right w:val="nil"/>
            </w:tcBorders>
            <w:shd w:val="clear" w:color="auto" w:fill="auto"/>
            <w:noWrap/>
            <w:hideMark/>
          </w:tcPr>
          <w:p w14:paraId="05BE9598"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-0.44</w:t>
            </w:r>
          </w:p>
        </w:tc>
        <w:tc>
          <w:tcPr>
            <w:tcW w:w="718" w:type="dxa"/>
            <w:tcBorders>
              <w:top w:val="nil"/>
              <w:left w:val="nil"/>
              <w:bottom w:val="nil"/>
              <w:right w:val="nil"/>
            </w:tcBorders>
            <w:shd w:val="clear" w:color="auto" w:fill="auto"/>
            <w:noWrap/>
            <w:hideMark/>
          </w:tcPr>
          <w:p w14:paraId="7B7DABCD"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-0.44</w:t>
            </w:r>
          </w:p>
        </w:tc>
        <w:tc>
          <w:tcPr>
            <w:tcW w:w="1290" w:type="dxa"/>
            <w:tcBorders>
              <w:top w:val="nil"/>
              <w:left w:val="single" w:sz="4" w:space="0" w:color="auto"/>
              <w:bottom w:val="nil"/>
              <w:right w:val="nil"/>
            </w:tcBorders>
            <w:shd w:val="clear" w:color="auto" w:fill="auto"/>
            <w:noWrap/>
            <w:hideMark/>
          </w:tcPr>
          <w:p w14:paraId="1F34D188"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48572433"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5214918B"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7A20533D" w14:textId="51EB43AE"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452651E2" w14:textId="77777777" w:rsidR="00AB6C42" w:rsidRPr="00802F1A" w:rsidRDefault="00AB6C42" w:rsidP="00AB6C42">
            <w:pPr>
              <w:spacing w:line="240" w:lineRule="auto"/>
              <w:jc w:val="right"/>
              <w:rPr>
                <w:rFonts w:eastAsia="Times New Roman" w:cs="Times New Roman"/>
                <w:sz w:val="16"/>
                <w:szCs w:val="16"/>
                <w:lang w:eastAsia="en-AU"/>
              </w:rPr>
            </w:pPr>
          </w:p>
        </w:tc>
        <w:tc>
          <w:tcPr>
            <w:tcW w:w="720" w:type="dxa"/>
            <w:tcBorders>
              <w:top w:val="nil"/>
              <w:left w:val="nil"/>
              <w:bottom w:val="nil"/>
              <w:right w:val="nil"/>
            </w:tcBorders>
            <w:shd w:val="clear" w:color="auto" w:fill="auto"/>
            <w:noWrap/>
            <w:hideMark/>
          </w:tcPr>
          <w:p w14:paraId="6A20155A" w14:textId="77777777" w:rsidR="00AB6C42" w:rsidRPr="00802F1A" w:rsidRDefault="00AB6C42" w:rsidP="00AB6C42">
            <w:pPr>
              <w:spacing w:line="240" w:lineRule="auto"/>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6BE01E1F" w14:textId="77777777" w:rsidR="00AB6C42" w:rsidRPr="00802F1A" w:rsidRDefault="00AB6C42" w:rsidP="00AB6C42">
            <w:pPr>
              <w:spacing w:line="240" w:lineRule="auto"/>
              <w:jc w:val="right"/>
              <w:rPr>
                <w:rFonts w:eastAsia="Times New Roman" w:cs="Times New Roman"/>
                <w:sz w:val="20"/>
                <w:szCs w:val="20"/>
                <w:lang w:eastAsia="en-AU"/>
              </w:rPr>
            </w:pPr>
          </w:p>
        </w:tc>
        <w:tc>
          <w:tcPr>
            <w:tcW w:w="632" w:type="dxa"/>
            <w:gridSpan w:val="2"/>
            <w:tcBorders>
              <w:top w:val="nil"/>
              <w:left w:val="nil"/>
              <w:bottom w:val="nil"/>
              <w:right w:val="nil"/>
            </w:tcBorders>
            <w:shd w:val="clear" w:color="auto" w:fill="auto"/>
            <w:noWrap/>
            <w:hideMark/>
          </w:tcPr>
          <w:p w14:paraId="0FF071D8"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56373BA3" w14:textId="77777777" w:rsidTr="00CD1F30">
        <w:trPr>
          <w:trHeight w:val="288"/>
        </w:trPr>
        <w:tc>
          <w:tcPr>
            <w:tcW w:w="990" w:type="dxa"/>
            <w:tcBorders>
              <w:top w:val="nil"/>
              <w:left w:val="nil"/>
              <w:bottom w:val="nil"/>
              <w:right w:val="nil"/>
            </w:tcBorders>
            <w:shd w:val="clear" w:color="auto" w:fill="auto"/>
            <w:noWrap/>
            <w:hideMark/>
          </w:tcPr>
          <w:p w14:paraId="7F635191"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203D317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11</w:t>
            </w:r>
          </w:p>
        </w:tc>
        <w:tc>
          <w:tcPr>
            <w:tcW w:w="602" w:type="dxa"/>
            <w:tcBorders>
              <w:top w:val="nil"/>
              <w:left w:val="nil"/>
              <w:bottom w:val="nil"/>
              <w:right w:val="nil"/>
            </w:tcBorders>
            <w:shd w:val="clear" w:color="auto" w:fill="auto"/>
            <w:noWrap/>
            <w:hideMark/>
          </w:tcPr>
          <w:p w14:paraId="669FA3EE"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0.37</w:t>
            </w:r>
          </w:p>
        </w:tc>
        <w:tc>
          <w:tcPr>
            <w:tcW w:w="718" w:type="dxa"/>
            <w:tcBorders>
              <w:top w:val="nil"/>
              <w:left w:val="nil"/>
              <w:bottom w:val="nil"/>
              <w:right w:val="nil"/>
            </w:tcBorders>
            <w:shd w:val="clear" w:color="auto" w:fill="auto"/>
            <w:noWrap/>
            <w:hideMark/>
          </w:tcPr>
          <w:p w14:paraId="1560CB6A"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2.50</w:t>
            </w:r>
          </w:p>
        </w:tc>
        <w:tc>
          <w:tcPr>
            <w:tcW w:w="1290" w:type="dxa"/>
            <w:tcBorders>
              <w:top w:val="nil"/>
              <w:left w:val="single" w:sz="4" w:space="0" w:color="auto"/>
              <w:bottom w:val="nil"/>
              <w:right w:val="nil"/>
            </w:tcBorders>
            <w:shd w:val="clear" w:color="auto" w:fill="auto"/>
            <w:noWrap/>
            <w:hideMark/>
          </w:tcPr>
          <w:p w14:paraId="3D684ED7"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1+2</w:t>
            </w:r>
          </w:p>
        </w:tc>
        <w:tc>
          <w:tcPr>
            <w:tcW w:w="630" w:type="dxa"/>
            <w:tcBorders>
              <w:top w:val="nil"/>
              <w:left w:val="nil"/>
              <w:bottom w:val="nil"/>
              <w:right w:val="nil"/>
            </w:tcBorders>
            <w:shd w:val="clear" w:color="auto" w:fill="auto"/>
            <w:noWrap/>
            <w:hideMark/>
          </w:tcPr>
          <w:p w14:paraId="65A563D2"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13</w:t>
            </w:r>
          </w:p>
        </w:tc>
        <w:tc>
          <w:tcPr>
            <w:tcW w:w="630" w:type="dxa"/>
            <w:tcBorders>
              <w:top w:val="nil"/>
              <w:left w:val="nil"/>
              <w:bottom w:val="nil"/>
              <w:right w:val="nil"/>
            </w:tcBorders>
            <w:shd w:val="clear" w:color="auto" w:fill="auto"/>
            <w:noWrap/>
            <w:hideMark/>
          </w:tcPr>
          <w:p w14:paraId="14F367B4"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-0.03</w:t>
            </w:r>
          </w:p>
        </w:tc>
        <w:tc>
          <w:tcPr>
            <w:tcW w:w="575" w:type="dxa"/>
            <w:tcBorders>
              <w:top w:val="nil"/>
              <w:left w:val="nil"/>
              <w:bottom w:val="nil"/>
              <w:right w:val="single" w:sz="4" w:space="0" w:color="auto"/>
            </w:tcBorders>
            <w:shd w:val="clear" w:color="auto" w:fill="auto"/>
            <w:noWrap/>
            <w:hideMark/>
          </w:tcPr>
          <w:p w14:paraId="58DE13E5"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-0.36</w:t>
            </w:r>
          </w:p>
        </w:tc>
        <w:tc>
          <w:tcPr>
            <w:tcW w:w="1045" w:type="dxa"/>
            <w:tcBorders>
              <w:top w:val="nil"/>
              <w:left w:val="nil"/>
              <w:bottom w:val="nil"/>
              <w:right w:val="nil"/>
            </w:tcBorders>
            <w:shd w:val="clear" w:color="auto" w:fill="auto"/>
            <w:noWrap/>
            <w:hideMark/>
          </w:tcPr>
          <w:p w14:paraId="5AAE182C" w14:textId="77777777" w:rsidR="00AB6C42" w:rsidRPr="00802F1A" w:rsidRDefault="00AB6C42" w:rsidP="00AB6C42">
            <w:pPr>
              <w:spacing w:line="240" w:lineRule="auto"/>
              <w:jc w:val="right"/>
              <w:rPr>
                <w:rFonts w:eastAsia="Times New Roman" w:cs="Times New Roman"/>
                <w:b/>
                <w:bCs/>
                <w:sz w:val="16"/>
                <w:szCs w:val="16"/>
                <w:lang w:eastAsia="en-AU"/>
              </w:rPr>
            </w:pPr>
          </w:p>
        </w:tc>
        <w:tc>
          <w:tcPr>
            <w:tcW w:w="720" w:type="dxa"/>
            <w:tcBorders>
              <w:top w:val="nil"/>
              <w:left w:val="nil"/>
              <w:bottom w:val="nil"/>
              <w:right w:val="nil"/>
            </w:tcBorders>
            <w:shd w:val="clear" w:color="auto" w:fill="auto"/>
            <w:noWrap/>
            <w:hideMark/>
          </w:tcPr>
          <w:p w14:paraId="63E243F9" w14:textId="77777777" w:rsidR="00AB6C42" w:rsidRPr="00802F1A" w:rsidRDefault="00AB6C42" w:rsidP="00AB6C42">
            <w:pPr>
              <w:spacing w:line="240" w:lineRule="auto"/>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7A568830" w14:textId="77777777" w:rsidR="00AB6C42" w:rsidRPr="00802F1A" w:rsidRDefault="00AB6C42" w:rsidP="00AB6C42">
            <w:pPr>
              <w:spacing w:line="240" w:lineRule="auto"/>
              <w:jc w:val="right"/>
              <w:rPr>
                <w:rFonts w:eastAsia="Times New Roman" w:cs="Times New Roman"/>
                <w:sz w:val="20"/>
                <w:szCs w:val="20"/>
                <w:lang w:eastAsia="en-AU"/>
              </w:rPr>
            </w:pPr>
          </w:p>
        </w:tc>
        <w:tc>
          <w:tcPr>
            <w:tcW w:w="632" w:type="dxa"/>
            <w:gridSpan w:val="2"/>
            <w:tcBorders>
              <w:top w:val="nil"/>
              <w:left w:val="nil"/>
              <w:bottom w:val="nil"/>
              <w:right w:val="nil"/>
            </w:tcBorders>
            <w:shd w:val="clear" w:color="auto" w:fill="auto"/>
            <w:noWrap/>
            <w:hideMark/>
          </w:tcPr>
          <w:p w14:paraId="64B38662"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5B5D5C25" w14:textId="77777777" w:rsidTr="00CD1F30">
        <w:trPr>
          <w:trHeight w:val="288"/>
        </w:trPr>
        <w:tc>
          <w:tcPr>
            <w:tcW w:w="990" w:type="dxa"/>
            <w:tcBorders>
              <w:top w:val="nil"/>
              <w:left w:val="nil"/>
              <w:bottom w:val="nil"/>
              <w:right w:val="nil"/>
            </w:tcBorders>
            <w:shd w:val="clear" w:color="auto" w:fill="auto"/>
            <w:noWrap/>
            <w:hideMark/>
          </w:tcPr>
          <w:p w14:paraId="1FF7B47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w:t>
            </w:r>
          </w:p>
        </w:tc>
        <w:tc>
          <w:tcPr>
            <w:tcW w:w="630" w:type="dxa"/>
            <w:tcBorders>
              <w:top w:val="nil"/>
              <w:left w:val="nil"/>
              <w:bottom w:val="nil"/>
              <w:right w:val="nil"/>
            </w:tcBorders>
            <w:shd w:val="clear" w:color="auto" w:fill="auto"/>
            <w:noWrap/>
            <w:hideMark/>
          </w:tcPr>
          <w:p w14:paraId="7CD3AB78"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16</w:t>
            </w:r>
          </w:p>
        </w:tc>
        <w:tc>
          <w:tcPr>
            <w:tcW w:w="602" w:type="dxa"/>
            <w:tcBorders>
              <w:top w:val="nil"/>
              <w:left w:val="nil"/>
              <w:bottom w:val="nil"/>
              <w:right w:val="nil"/>
            </w:tcBorders>
            <w:shd w:val="clear" w:color="auto" w:fill="auto"/>
            <w:noWrap/>
            <w:hideMark/>
          </w:tcPr>
          <w:p w14:paraId="5F66242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0.61</w:t>
            </w:r>
          </w:p>
        </w:tc>
        <w:tc>
          <w:tcPr>
            <w:tcW w:w="718" w:type="dxa"/>
            <w:tcBorders>
              <w:top w:val="nil"/>
              <w:left w:val="nil"/>
              <w:bottom w:val="nil"/>
              <w:right w:val="nil"/>
            </w:tcBorders>
            <w:shd w:val="clear" w:color="auto" w:fill="auto"/>
            <w:noWrap/>
            <w:hideMark/>
          </w:tcPr>
          <w:p w14:paraId="6C86259D"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7.27</w:t>
            </w:r>
          </w:p>
        </w:tc>
        <w:tc>
          <w:tcPr>
            <w:tcW w:w="1290" w:type="dxa"/>
            <w:tcBorders>
              <w:top w:val="nil"/>
              <w:left w:val="single" w:sz="4" w:space="0" w:color="auto"/>
              <w:bottom w:val="nil"/>
              <w:right w:val="nil"/>
            </w:tcBorders>
            <w:shd w:val="clear" w:color="auto" w:fill="auto"/>
            <w:noWrap/>
            <w:hideMark/>
          </w:tcPr>
          <w:p w14:paraId="715DE760"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2+3</w:t>
            </w:r>
          </w:p>
        </w:tc>
        <w:tc>
          <w:tcPr>
            <w:tcW w:w="630" w:type="dxa"/>
            <w:tcBorders>
              <w:top w:val="nil"/>
              <w:left w:val="nil"/>
              <w:bottom w:val="nil"/>
              <w:right w:val="nil"/>
            </w:tcBorders>
            <w:shd w:val="clear" w:color="auto" w:fill="auto"/>
            <w:noWrap/>
            <w:hideMark/>
          </w:tcPr>
          <w:p w14:paraId="3A824B15"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27</w:t>
            </w:r>
          </w:p>
        </w:tc>
        <w:tc>
          <w:tcPr>
            <w:tcW w:w="630" w:type="dxa"/>
            <w:tcBorders>
              <w:top w:val="nil"/>
              <w:left w:val="nil"/>
              <w:bottom w:val="nil"/>
              <w:right w:val="nil"/>
            </w:tcBorders>
            <w:shd w:val="clear" w:color="auto" w:fill="auto"/>
            <w:noWrap/>
            <w:hideMark/>
          </w:tcPr>
          <w:p w14:paraId="33872C30"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0.39</w:t>
            </w:r>
          </w:p>
        </w:tc>
        <w:tc>
          <w:tcPr>
            <w:tcW w:w="575" w:type="dxa"/>
            <w:tcBorders>
              <w:top w:val="nil"/>
              <w:left w:val="nil"/>
              <w:bottom w:val="nil"/>
              <w:right w:val="single" w:sz="4" w:space="0" w:color="auto"/>
            </w:tcBorders>
            <w:shd w:val="clear" w:color="auto" w:fill="auto"/>
            <w:noWrap/>
            <w:hideMark/>
          </w:tcPr>
          <w:p w14:paraId="63B6F2D2"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4.55</w:t>
            </w:r>
          </w:p>
        </w:tc>
        <w:tc>
          <w:tcPr>
            <w:tcW w:w="1045" w:type="dxa"/>
            <w:tcBorders>
              <w:top w:val="nil"/>
              <w:left w:val="nil"/>
              <w:bottom w:val="nil"/>
              <w:right w:val="nil"/>
            </w:tcBorders>
            <w:shd w:val="clear" w:color="auto" w:fill="auto"/>
            <w:noWrap/>
            <w:hideMark/>
          </w:tcPr>
          <w:p w14:paraId="7C8E43C4"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1+2+3</w:t>
            </w:r>
          </w:p>
        </w:tc>
        <w:tc>
          <w:tcPr>
            <w:tcW w:w="720" w:type="dxa"/>
            <w:tcBorders>
              <w:top w:val="nil"/>
              <w:left w:val="nil"/>
              <w:bottom w:val="nil"/>
              <w:right w:val="nil"/>
            </w:tcBorders>
            <w:shd w:val="clear" w:color="auto" w:fill="auto"/>
            <w:noWrap/>
            <w:hideMark/>
          </w:tcPr>
          <w:p w14:paraId="78CAC277"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29</w:t>
            </w:r>
          </w:p>
        </w:tc>
        <w:tc>
          <w:tcPr>
            <w:tcW w:w="630" w:type="dxa"/>
            <w:tcBorders>
              <w:top w:val="nil"/>
              <w:left w:val="nil"/>
              <w:bottom w:val="nil"/>
              <w:right w:val="nil"/>
            </w:tcBorders>
            <w:shd w:val="clear" w:color="auto" w:fill="auto"/>
            <w:noWrap/>
            <w:hideMark/>
          </w:tcPr>
          <w:p w14:paraId="159350A2"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0.32</w:t>
            </w:r>
          </w:p>
        </w:tc>
        <w:tc>
          <w:tcPr>
            <w:tcW w:w="632" w:type="dxa"/>
            <w:gridSpan w:val="2"/>
            <w:tcBorders>
              <w:top w:val="nil"/>
              <w:left w:val="nil"/>
              <w:bottom w:val="nil"/>
              <w:right w:val="nil"/>
            </w:tcBorders>
            <w:shd w:val="clear" w:color="auto" w:fill="auto"/>
            <w:noWrap/>
            <w:hideMark/>
          </w:tcPr>
          <w:p w14:paraId="4F892500"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4.08</w:t>
            </w:r>
          </w:p>
        </w:tc>
      </w:tr>
      <w:tr w:rsidR="00802F1A" w:rsidRPr="00802F1A" w14:paraId="514C571A" w14:textId="77777777" w:rsidTr="00CD1F30">
        <w:trPr>
          <w:trHeight w:val="288"/>
        </w:trPr>
        <w:tc>
          <w:tcPr>
            <w:tcW w:w="990" w:type="dxa"/>
            <w:tcBorders>
              <w:top w:val="nil"/>
              <w:left w:val="nil"/>
              <w:bottom w:val="nil"/>
              <w:right w:val="nil"/>
            </w:tcBorders>
            <w:shd w:val="clear" w:color="auto" w:fill="auto"/>
            <w:noWrap/>
            <w:hideMark/>
          </w:tcPr>
          <w:p w14:paraId="27A4EDE8"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630" w:type="dxa"/>
            <w:tcBorders>
              <w:top w:val="nil"/>
              <w:left w:val="nil"/>
              <w:bottom w:val="nil"/>
              <w:right w:val="nil"/>
            </w:tcBorders>
            <w:shd w:val="clear" w:color="auto" w:fill="auto"/>
            <w:noWrap/>
            <w:hideMark/>
          </w:tcPr>
          <w:p w14:paraId="7D47976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35</w:t>
            </w:r>
          </w:p>
        </w:tc>
        <w:tc>
          <w:tcPr>
            <w:tcW w:w="602" w:type="dxa"/>
            <w:tcBorders>
              <w:top w:val="nil"/>
              <w:left w:val="nil"/>
              <w:bottom w:val="nil"/>
              <w:right w:val="nil"/>
            </w:tcBorders>
            <w:shd w:val="clear" w:color="auto" w:fill="auto"/>
            <w:noWrap/>
            <w:hideMark/>
          </w:tcPr>
          <w:p w14:paraId="3E8908A4"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0.27</w:t>
            </w:r>
          </w:p>
        </w:tc>
        <w:tc>
          <w:tcPr>
            <w:tcW w:w="718" w:type="dxa"/>
            <w:tcBorders>
              <w:top w:val="nil"/>
              <w:left w:val="nil"/>
              <w:bottom w:val="nil"/>
              <w:right w:val="nil"/>
            </w:tcBorders>
            <w:shd w:val="clear" w:color="auto" w:fill="auto"/>
            <w:noWrap/>
            <w:hideMark/>
          </w:tcPr>
          <w:p w14:paraId="2A1D3F8A"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2.86</w:t>
            </w:r>
          </w:p>
        </w:tc>
        <w:tc>
          <w:tcPr>
            <w:tcW w:w="1290" w:type="dxa"/>
            <w:tcBorders>
              <w:top w:val="nil"/>
              <w:left w:val="single" w:sz="4" w:space="0" w:color="auto"/>
              <w:bottom w:val="nil"/>
              <w:right w:val="nil"/>
            </w:tcBorders>
            <w:shd w:val="clear" w:color="auto" w:fill="auto"/>
            <w:noWrap/>
            <w:hideMark/>
          </w:tcPr>
          <w:p w14:paraId="3F1B614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3+4</w:t>
            </w:r>
          </w:p>
        </w:tc>
        <w:tc>
          <w:tcPr>
            <w:tcW w:w="630" w:type="dxa"/>
            <w:tcBorders>
              <w:top w:val="nil"/>
              <w:left w:val="nil"/>
              <w:bottom w:val="nil"/>
              <w:right w:val="nil"/>
            </w:tcBorders>
            <w:shd w:val="clear" w:color="auto" w:fill="auto"/>
            <w:noWrap/>
            <w:hideMark/>
          </w:tcPr>
          <w:p w14:paraId="1870D4D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51</w:t>
            </w:r>
          </w:p>
        </w:tc>
        <w:tc>
          <w:tcPr>
            <w:tcW w:w="630" w:type="dxa"/>
            <w:tcBorders>
              <w:top w:val="nil"/>
              <w:left w:val="nil"/>
              <w:bottom w:val="nil"/>
              <w:right w:val="nil"/>
            </w:tcBorders>
            <w:shd w:val="clear" w:color="auto" w:fill="auto"/>
            <w:noWrap/>
            <w:hideMark/>
          </w:tcPr>
          <w:p w14:paraId="3BA1037C"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-0.13</w:t>
            </w:r>
          </w:p>
        </w:tc>
        <w:tc>
          <w:tcPr>
            <w:tcW w:w="575" w:type="dxa"/>
            <w:tcBorders>
              <w:top w:val="nil"/>
              <w:left w:val="nil"/>
              <w:bottom w:val="nil"/>
              <w:right w:val="single" w:sz="4" w:space="0" w:color="auto"/>
            </w:tcBorders>
            <w:shd w:val="clear" w:color="auto" w:fill="auto"/>
            <w:noWrap/>
            <w:hideMark/>
          </w:tcPr>
          <w:p w14:paraId="2B0F704F"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-4.61</w:t>
            </w:r>
          </w:p>
        </w:tc>
        <w:tc>
          <w:tcPr>
            <w:tcW w:w="1045" w:type="dxa"/>
            <w:tcBorders>
              <w:top w:val="nil"/>
              <w:left w:val="nil"/>
              <w:bottom w:val="nil"/>
              <w:right w:val="nil"/>
            </w:tcBorders>
            <w:shd w:val="clear" w:color="auto" w:fill="auto"/>
            <w:noWrap/>
            <w:hideMark/>
          </w:tcPr>
          <w:p w14:paraId="0A544C6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720" w:type="dxa"/>
            <w:tcBorders>
              <w:top w:val="nil"/>
              <w:left w:val="nil"/>
              <w:bottom w:val="nil"/>
              <w:right w:val="nil"/>
            </w:tcBorders>
            <w:shd w:val="clear" w:color="auto" w:fill="auto"/>
            <w:noWrap/>
            <w:hideMark/>
          </w:tcPr>
          <w:p w14:paraId="5F032297"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35</w:t>
            </w:r>
          </w:p>
        </w:tc>
        <w:tc>
          <w:tcPr>
            <w:tcW w:w="630" w:type="dxa"/>
            <w:tcBorders>
              <w:top w:val="nil"/>
              <w:left w:val="nil"/>
              <w:bottom w:val="nil"/>
              <w:right w:val="nil"/>
            </w:tcBorders>
            <w:shd w:val="clear" w:color="auto" w:fill="auto"/>
            <w:noWrap/>
            <w:hideMark/>
          </w:tcPr>
          <w:p w14:paraId="1652F6A4"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0.27</w:t>
            </w:r>
          </w:p>
        </w:tc>
        <w:tc>
          <w:tcPr>
            <w:tcW w:w="632" w:type="dxa"/>
            <w:gridSpan w:val="2"/>
            <w:tcBorders>
              <w:top w:val="nil"/>
              <w:left w:val="nil"/>
              <w:bottom w:val="nil"/>
              <w:right w:val="nil"/>
            </w:tcBorders>
            <w:shd w:val="clear" w:color="auto" w:fill="auto"/>
            <w:noWrap/>
            <w:hideMark/>
          </w:tcPr>
          <w:p w14:paraId="07CCA7C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2.86</w:t>
            </w:r>
          </w:p>
        </w:tc>
      </w:tr>
      <w:tr w:rsidR="00802F1A" w:rsidRPr="00802F1A" w14:paraId="2B5A07D6" w14:textId="77777777" w:rsidTr="00CD1F30">
        <w:trPr>
          <w:trHeight w:val="288"/>
        </w:trPr>
        <w:tc>
          <w:tcPr>
            <w:tcW w:w="990" w:type="dxa"/>
            <w:tcBorders>
              <w:top w:val="nil"/>
              <w:left w:val="nil"/>
              <w:bottom w:val="nil"/>
              <w:right w:val="nil"/>
            </w:tcBorders>
            <w:shd w:val="clear" w:color="auto" w:fill="auto"/>
            <w:noWrap/>
            <w:hideMark/>
          </w:tcPr>
          <w:p w14:paraId="78B65EE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5</w:t>
            </w:r>
          </w:p>
        </w:tc>
        <w:tc>
          <w:tcPr>
            <w:tcW w:w="630" w:type="dxa"/>
            <w:tcBorders>
              <w:top w:val="nil"/>
              <w:left w:val="nil"/>
              <w:bottom w:val="nil"/>
              <w:right w:val="nil"/>
            </w:tcBorders>
            <w:shd w:val="clear" w:color="auto" w:fill="auto"/>
            <w:noWrap/>
            <w:hideMark/>
          </w:tcPr>
          <w:p w14:paraId="0764AC2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60</w:t>
            </w:r>
          </w:p>
        </w:tc>
        <w:tc>
          <w:tcPr>
            <w:tcW w:w="602" w:type="dxa"/>
            <w:tcBorders>
              <w:top w:val="nil"/>
              <w:left w:val="nil"/>
              <w:bottom w:val="nil"/>
              <w:right w:val="nil"/>
            </w:tcBorders>
            <w:shd w:val="clear" w:color="auto" w:fill="auto"/>
            <w:noWrap/>
            <w:hideMark/>
          </w:tcPr>
          <w:p w14:paraId="3C2DFA6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-0.13</w:t>
            </w:r>
          </w:p>
        </w:tc>
        <w:tc>
          <w:tcPr>
            <w:tcW w:w="718" w:type="dxa"/>
            <w:tcBorders>
              <w:top w:val="nil"/>
              <w:left w:val="nil"/>
              <w:bottom w:val="nil"/>
              <w:right w:val="nil"/>
            </w:tcBorders>
            <w:shd w:val="clear" w:color="auto" w:fill="auto"/>
            <w:noWrap/>
            <w:hideMark/>
          </w:tcPr>
          <w:p w14:paraId="4AEC739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-1.47</w:t>
            </w:r>
          </w:p>
        </w:tc>
        <w:tc>
          <w:tcPr>
            <w:tcW w:w="1290" w:type="dxa"/>
            <w:tcBorders>
              <w:top w:val="nil"/>
              <w:left w:val="single" w:sz="4" w:space="0" w:color="auto"/>
              <w:bottom w:val="nil"/>
              <w:right w:val="nil"/>
            </w:tcBorders>
            <w:shd w:val="clear" w:color="auto" w:fill="auto"/>
            <w:noWrap/>
            <w:hideMark/>
          </w:tcPr>
          <w:p w14:paraId="6C1B8C2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4+5</w:t>
            </w:r>
          </w:p>
        </w:tc>
        <w:tc>
          <w:tcPr>
            <w:tcW w:w="630" w:type="dxa"/>
            <w:tcBorders>
              <w:top w:val="nil"/>
              <w:left w:val="nil"/>
              <w:bottom w:val="nil"/>
              <w:right w:val="nil"/>
            </w:tcBorders>
            <w:shd w:val="clear" w:color="auto" w:fill="auto"/>
            <w:noWrap/>
            <w:hideMark/>
          </w:tcPr>
          <w:p w14:paraId="77DD5AC8"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95</w:t>
            </w:r>
          </w:p>
        </w:tc>
        <w:tc>
          <w:tcPr>
            <w:tcW w:w="630" w:type="dxa"/>
            <w:tcBorders>
              <w:top w:val="nil"/>
              <w:left w:val="nil"/>
              <w:bottom w:val="nil"/>
              <w:right w:val="nil"/>
            </w:tcBorders>
            <w:shd w:val="clear" w:color="auto" w:fill="auto"/>
            <w:noWrap/>
            <w:hideMark/>
          </w:tcPr>
          <w:p w14:paraId="01F0B2F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-0.52</w:t>
            </w:r>
          </w:p>
        </w:tc>
        <w:tc>
          <w:tcPr>
            <w:tcW w:w="575" w:type="dxa"/>
            <w:tcBorders>
              <w:top w:val="nil"/>
              <w:left w:val="nil"/>
              <w:bottom w:val="nil"/>
              <w:right w:val="single" w:sz="4" w:space="0" w:color="auto"/>
            </w:tcBorders>
            <w:shd w:val="clear" w:color="auto" w:fill="auto"/>
            <w:noWrap/>
            <w:hideMark/>
          </w:tcPr>
          <w:p w14:paraId="0A0DFDB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-8.14</w:t>
            </w:r>
          </w:p>
        </w:tc>
        <w:tc>
          <w:tcPr>
            <w:tcW w:w="1045" w:type="dxa"/>
            <w:tcBorders>
              <w:top w:val="nil"/>
              <w:left w:val="nil"/>
              <w:bottom w:val="nil"/>
              <w:right w:val="nil"/>
            </w:tcBorders>
            <w:shd w:val="clear" w:color="auto" w:fill="auto"/>
            <w:noWrap/>
            <w:hideMark/>
          </w:tcPr>
          <w:p w14:paraId="55CAABA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5</w:t>
            </w:r>
          </w:p>
        </w:tc>
        <w:tc>
          <w:tcPr>
            <w:tcW w:w="720" w:type="dxa"/>
            <w:tcBorders>
              <w:top w:val="nil"/>
              <w:left w:val="nil"/>
              <w:bottom w:val="nil"/>
              <w:right w:val="nil"/>
            </w:tcBorders>
            <w:shd w:val="clear" w:color="auto" w:fill="auto"/>
            <w:noWrap/>
            <w:hideMark/>
          </w:tcPr>
          <w:p w14:paraId="5B28C8A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60</w:t>
            </w:r>
          </w:p>
        </w:tc>
        <w:tc>
          <w:tcPr>
            <w:tcW w:w="630" w:type="dxa"/>
            <w:tcBorders>
              <w:top w:val="nil"/>
              <w:left w:val="nil"/>
              <w:bottom w:val="nil"/>
              <w:right w:val="nil"/>
            </w:tcBorders>
            <w:shd w:val="clear" w:color="auto" w:fill="auto"/>
            <w:noWrap/>
            <w:hideMark/>
          </w:tcPr>
          <w:p w14:paraId="46A798A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-0.13</w:t>
            </w:r>
          </w:p>
        </w:tc>
        <w:tc>
          <w:tcPr>
            <w:tcW w:w="632" w:type="dxa"/>
            <w:gridSpan w:val="2"/>
            <w:tcBorders>
              <w:top w:val="nil"/>
              <w:left w:val="nil"/>
              <w:bottom w:val="nil"/>
              <w:right w:val="nil"/>
            </w:tcBorders>
            <w:shd w:val="clear" w:color="auto" w:fill="auto"/>
            <w:noWrap/>
            <w:hideMark/>
          </w:tcPr>
          <w:p w14:paraId="2697DF3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-1.47</w:t>
            </w:r>
          </w:p>
        </w:tc>
      </w:tr>
      <w:tr w:rsidR="00802F1A" w:rsidRPr="00802F1A" w14:paraId="7900A8CE" w14:textId="77777777" w:rsidTr="00CD1F30">
        <w:trPr>
          <w:trHeight w:val="288"/>
        </w:trPr>
        <w:tc>
          <w:tcPr>
            <w:tcW w:w="990" w:type="dxa"/>
            <w:tcBorders>
              <w:top w:val="nil"/>
              <w:left w:val="nil"/>
              <w:bottom w:val="nil"/>
              <w:right w:val="nil"/>
            </w:tcBorders>
            <w:shd w:val="clear" w:color="auto" w:fill="auto"/>
            <w:noWrap/>
            <w:hideMark/>
          </w:tcPr>
          <w:p w14:paraId="37EB569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w:t>
            </w:r>
          </w:p>
        </w:tc>
        <w:tc>
          <w:tcPr>
            <w:tcW w:w="630" w:type="dxa"/>
            <w:tcBorders>
              <w:top w:val="nil"/>
              <w:left w:val="nil"/>
              <w:bottom w:val="nil"/>
              <w:right w:val="nil"/>
            </w:tcBorders>
            <w:shd w:val="clear" w:color="auto" w:fill="auto"/>
            <w:noWrap/>
            <w:hideMark/>
          </w:tcPr>
          <w:p w14:paraId="5A659B0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w:t>
            </w:r>
          </w:p>
        </w:tc>
        <w:tc>
          <w:tcPr>
            <w:tcW w:w="602" w:type="dxa"/>
            <w:tcBorders>
              <w:top w:val="nil"/>
              <w:left w:val="nil"/>
              <w:bottom w:val="nil"/>
              <w:right w:val="nil"/>
            </w:tcBorders>
            <w:shd w:val="clear" w:color="auto" w:fill="auto"/>
            <w:noWrap/>
            <w:hideMark/>
          </w:tcPr>
          <w:p w14:paraId="06F9098E"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0.82</w:t>
            </w:r>
          </w:p>
        </w:tc>
        <w:tc>
          <w:tcPr>
            <w:tcW w:w="718" w:type="dxa"/>
            <w:tcBorders>
              <w:top w:val="nil"/>
              <w:left w:val="nil"/>
              <w:bottom w:val="nil"/>
              <w:right w:val="nil"/>
            </w:tcBorders>
            <w:shd w:val="clear" w:color="auto" w:fill="auto"/>
            <w:noWrap/>
            <w:hideMark/>
          </w:tcPr>
          <w:p w14:paraId="1AF02DEE"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4.67</w:t>
            </w:r>
          </w:p>
        </w:tc>
        <w:tc>
          <w:tcPr>
            <w:tcW w:w="1290" w:type="dxa"/>
            <w:tcBorders>
              <w:top w:val="nil"/>
              <w:left w:val="single" w:sz="4" w:space="0" w:color="auto"/>
              <w:bottom w:val="nil"/>
              <w:right w:val="nil"/>
            </w:tcBorders>
            <w:shd w:val="clear" w:color="auto" w:fill="auto"/>
            <w:noWrap/>
            <w:hideMark/>
          </w:tcPr>
          <w:p w14:paraId="0B1ED6C9"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5+6</w:t>
            </w:r>
          </w:p>
        </w:tc>
        <w:tc>
          <w:tcPr>
            <w:tcW w:w="630" w:type="dxa"/>
            <w:tcBorders>
              <w:top w:val="nil"/>
              <w:left w:val="nil"/>
              <w:bottom w:val="nil"/>
              <w:right w:val="nil"/>
            </w:tcBorders>
            <w:shd w:val="clear" w:color="auto" w:fill="auto"/>
            <w:noWrap/>
            <w:hideMark/>
          </w:tcPr>
          <w:p w14:paraId="39228FE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66</w:t>
            </w:r>
          </w:p>
        </w:tc>
        <w:tc>
          <w:tcPr>
            <w:tcW w:w="630" w:type="dxa"/>
            <w:tcBorders>
              <w:top w:val="nil"/>
              <w:left w:val="nil"/>
              <w:bottom w:val="nil"/>
              <w:right w:val="nil"/>
            </w:tcBorders>
            <w:shd w:val="clear" w:color="auto" w:fill="auto"/>
            <w:noWrap/>
            <w:hideMark/>
          </w:tcPr>
          <w:p w14:paraId="7DF72AD7"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-0.33</w:t>
            </w:r>
          </w:p>
        </w:tc>
        <w:tc>
          <w:tcPr>
            <w:tcW w:w="575" w:type="dxa"/>
            <w:tcBorders>
              <w:top w:val="nil"/>
              <w:left w:val="nil"/>
              <w:bottom w:val="nil"/>
              <w:right w:val="single" w:sz="4" w:space="0" w:color="auto"/>
            </w:tcBorders>
            <w:shd w:val="clear" w:color="auto" w:fill="auto"/>
            <w:noWrap/>
            <w:hideMark/>
          </w:tcPr>
          <w:p w14:paraId="0E337477"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-5.51</w:t>
            </w:r>
          </w:p>
        </w:tc>
        <w:tc>
          <w:tcPr>
            <w:tcW w:w="1045" w:type="dxa"/>
            <w:tcBorders>
              <w:top w:val="nil"/>
              <w:left w:val="nil"/>
              <w:bottom w:val="nil"/>
              <w:right w:val="nil"/>
            </w:tcBorders>
            <w:shd w:val="clear" w:color="auto" w:fill="auto"/>
            <w:noWrap/>
            <w:hideMark/>
          </w:tcPr>
          <w:p w14:paraId="6707C488"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w:t>
            </w:r>
          </w:p>
        </w:tc>
        <w:tc>
          <w:tcPr>
            <w:tcW w:w="720" w:type="dxa"/>
            <w:tcBorders>
              <w:top w:val="nil"/>
              <w:left w:val="nil"/>
              <w:bottom w:val="nil"/>
              <w:right w:val="nil"/>
            </w:tcBorders>
            <w:shd w:val="clear" w:color="auto" w:fill="auto"/>
            <w:noWrap/>
            <w:hideMark/>
          </w:tcPr>
          <w:p w14:paraId="300B844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w:t>
            </w:r>
          </w:p>
        </w:tc>
        <w:tc>
          <w:tcPr>
            <w:tcW w:w="630" w:type="dxa"/>
            <w:tcBorders>
              <w:top w:val="nil"/>
              <w:left w:val="nil"/>
              <w:bottom w:val="nil"/>
              <w:right w:val="nil"/>
            </w:tcBorders>
            <w:shd w:val="clear" w:color="auto" w:fill="auto"/>
            <w:noWrap/>
            <w:hideMark/>
          </w:tcPr>
          <w:p w14:paraId="44DF5138"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0.82</w:t>
            </w:r>
          </w:p>
        </w:tc>
        <w:tc>
          <w:tcPr>
            <w:tcW w:w="632" w:type="dxa"/>
            <w:gridSpan w:val="2"/>
            <w:tcBorders>
              <w:top w:val="nil"/>
              <w:left w:val="nil"/>
              <w:bottom w:val="nil"/>
              <w:right w:val="nil"/>
            </w:tcBorders>
            <w:shd w:val="clear" w:color="auto" w:fill="auto"/>
            <w:noWrap/>
            <w:hideMark/>
          </w:tcPr>
          <w:p w14:paraId="463BA39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4.67</w:t>
            </w:r>
          </w:p>
        </w:tc>
      </w:tr>
      <w:tr w:rsidR="00802F1A" w:rsidRPr="00802F1A" w14:paraId="40B3B1E8" w14:textId="77777777" w:rsidTr="00CD1F30">
        <w:trPr>
          <w:trHeight w:val="288"/>
        </w:trPr>
        <w:tc>
          <w:tcPr>
            <w:tcW w:w="990" w:type="dxa"/>
            <w:tcBorders>
              <w:top w:val="nil"/>
              <w:left w:val="nil"/>
              <w:bottom w:val="nil"/>
              <w:right w:val="nil"/>
            </w:tcBorders>
            <w:shd w:val="clear" w:color="auto" w:fill="auto"/>
            <w:noWrap/>
            <w:hideMark/>
          </w:tcPr>
          <w:p w14:paraId="2958E0D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630" w:type="dxa"/>
            <w:tcBorders>
              <w:top w:val="nil"/>
              <w:left w:val="nil"/>
              <w:bottom w:val="nil"/>
              <w:right w:val="nil"/>
            </w:tcBorders>
            <w:shd w:val="clear" w:color="auto" w:fill="auto"/>
            <w:noWrap/>
            <w:hideMark/>
          </w:tcPr>
          <w:p w14:paraId="51B5A70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w:t>
            </w:r>
          </w:p>
        </w:tc>
        <w:tc>
          <w:tcPr>
            <w:tcW w:w="602" w:type="dxa"/>
            <w:tcBorders>
              <w:top w:val="nil"/>
              <w:left w:val="nil"/>
              <w:bottom w:val="nil"/>
              <w:right w:val="nil"/>
            </w:tcBorders>
            <w:shd w:val="clear" w:color="auto" w:fill="auto"/>
            <w:noWrap/>
            <w:hideMark/>
          </w:tcPr>
          <w:p w14:paraId="40D600CD"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-2.59</w:t>
            </w:r>
          </w:p>
        </w:tc>
        <w:tc>
          <w:tcPr>
            <w:tcW w:w="718" w:type="dxa"/>
            <w:tcBorders>
              <w:top w:val="nil"/>
              <w:left w:val="nil"/>
              <w:bottom w:val="nil"/>
              <w:right w:val="nil"/>
            </w:tcBorders>
            <w:shd w:val="clear" w:color="auto" w:fill="auto"/>
            <w:noWrap/>
            <w:hideMark/>
          </w:tcPr>
          <w:p w14:paraId="6CE98DF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-4.50</w:t>
            </w:r>
          </w:p>
        </w:tc>
        <w:tc>
          <w:tcPr>
            <w:tcW w:w="1290" w:type="dxa"/>
            <w:tcBorders>
              <w:top w:val="nil"/>
              <w:left w:val="single" w:sz="4" w:space="0" w:color="auto"/>
              <w:bottom w:val="nil"/>
              <w:right w:val="nil"/>
            </w:tcBorders>
            <w:shd w:val="clear" w:color="auto" w:fill="auto"/>
            <w:noWrap/>
            <w:hideMark/>
          </w:tcPr>
          <w:p w14:paraId="56F8203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6+Divergence</w:t>
            </w:r>
          </w:p>
        </w:tc>
        <w:tc>
          <w:tcPr>
            <w:tcW w:w="630" w:type="dxa"/>
            <w:tcBorders>
              <w:top w:val="nil"/>
              <w:left w:val="nil"/>
              <w:bottom w:val="nil"/>
              <w:right w:val="nil"/>
            </w:tcBorders>
            <w:shd w:val="clear" w:color="auto" w:fill="auto"/>
            <w:noWrap/>
            <w:hideMark/>
          </w:tcPr>
          <w:p w14:paraId="07F98008"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10</w:t>
            </w:r>
          </w:p>
        </w:tc>
        <w:tc>
          <w:tcPr>
            <w:tcW w:w="630" w:type="dxa"/>
            <w:tcBorders>
              <w:top w:val="nil"/>
              <w:left w:val="nil"/>
              <w:bottom w:val="nil"/>
              <w:right w:val="nil"/>
            </w:tcBorders>
            <w:shd w:val="clear" w:color="auto" w:fill="auto"/>
            <w:noWrap/>
            <w:hideMark/>
          </w:tcPr>
          <w:p w14:paraId="09B16B68"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-0.78</w:t>
            </w:r>
          </w:p>
        </w:tc>
        <w:tc>
          <w:tcPr>
            <w:tcW w:w="575" w:type="dxa"/>
            <w:tcBorders>
              <w:top w:val="nil"/>
              <w:left w:val="nil"/>
              <w:bottom w:val="nil"/>
              <w:right w:val="single" w:sz="4" w:space="0" w:color="auto"/>
            </w:tcBorders>
            <w:shd w:val="clear" w:color="auto" w:fill="auto"/>
            <w:noWrap/>
            <w:hideMark/>
          </w:tcPr>
          <w:p w14:paraId="7672269B"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-25.92</w:t>
            </w:r>
          </w:p>
        </w:tc>
        <w:tc>
          <w:tcPr>
            <w:tcW w:w="1045" w:type="dxa"/>
            <w:tcBorders>
              <w:top w:val="nil"/>
              <w:left w:val="nil"/>
              <w:bottom w:val="nil"/>
              <w:right w:val="nil"/>
            </w:tcBorders>
            <w:shd w:val="clear" w:color="auto" w:fill="auto"/>
            <w:noWrap/>
            <w:hideMark/>
          </w:tcPr>
          <w:p w14:paraId="1440007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720" w:type="dxa"/>
            <w:tcBorders>
              <w:top w:val="nil"/>
              <w:left w:val="nil"/>
              <w:bottom w:val="nil"/>
              <w:right w:val="nil"/>
            </w:tcBorders>
            <w:shd w:val="clear" w:color="auto" w:fill="auto"/>
            <w:noWrap/>
            <w:hideMark/>
          </w:tcPr>
          <w:p w14:paraId="765FC91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w:t>
            </w:r>
          </w:p>
        </w:tc>
        <w:tc>
          <w:tcPr>
            <w:tcW w:w="630" w:type="dxa"/>
            <w:tcBorders>
              <w:top w:val="nil"/>
              <w:left w:val="nil"/>
              <w:bottom w:val="nil"/>
              <w:right w:val="nil"/>
            </w:tcBorders>
            <w:shd w:val="clear" w:color="auto" w:fill="auto"/>
            <w:noWrap/>
            <w:hideMark/>
          </w:tcPr>
          <w:p w14:paraId="53B2B06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-2.59</w:t>
            </w:r>
          </w:p>
        </w:tc>
        <w:tc>
          <w:tcPr>
            <w:tcW w:w="632" w:type="dxa"/>
            <w:gridSpan w:val="2"/>
            <w:tcBorders>
              <w:top w:val="nil"/>
              <w:left w:val="nil"/>
              <w:bottom w:val="nil"/>
              <w:right w:val="nil"/>
            </w:tcBorders>
            <w:shd w:val="clear" w:color="auto" w:fill="auto"/>
            <w:noWrap/>
            <w:hideMark/>
          </w:tcPr>
          <w:p w14:paraId="0927389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-4.50</w:t>
            </w:r>
          </w:p>
        </w:tc>
      </w:tr>
      <w:tr w:rsidR="00802F1A" w:rsidRPr="00802F1A" w14:paraId="11F99CEC"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48BCE713" w14:textId="77777777" w:rsidR="00AB6C42" w:rsidRPr="00802F1A" w:rsidRDefault="00AB6C42" w:rsidP="00CD1F30">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 Access</w:t>
            </w:r>
          </w:p>
        </w:tc>
      </w:tr>
      <w:tr w:rsidR="00802F1A" w:rsidRPr="00802F1A" w14:paraId="06CF0525" w14:textId="77777777" w:rsidTr="00CD1F30">
        <w:trPr>
          <w:trHeight w:val="288"/>
        </w:trPr>
        <w:tc>
          <w:tcPr>
            <w:tcW w:w="990" w:type="dxa"/>
            <w:tcBorders>
              <w:top w:val="nil"/>
              <w:left w:val="nil"/>
              <w:bottom w:val="nil"/>
              <w:right w:val="nil"/>
            </w:tcBorders>
            <w:shd w:val="clear" w:color="auto" w:fill="auto"/>
            <w:noWrap/>
            <w:hideMark/>
          </w:tcPr>
          <w:p w14:paraId="3005B51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6602204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52</w:t>
            </w:r>
          </w:p>
        </w:tc>
        <w:tc>
          <w:tcPr>
            <w:tcW w:w="602" w:type="dxa"/>
            <w:tcBorders>
              <w:top w:val="nil"/>
              <w:left w:val="nil"/>
              <w:bottom w:val="nil"/>
              <w:right w:val="nil"/>
            </w:tcBorders>
            <w:shd w:val="clear" w:color="auto" w:fill="auto"/>
            <w:noWrap/>
            <w:hideMark/>
          </w:tcPr>
          <w:p w14:paraId="7A9C4E14"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0.26</w:t>
            </w:r>
          </w:p>
        </w:tc>
        <w:tc>
          <w:tcPr>
            <w:tcW w:w="718" w:type="dxa"/>
            <w:tcBorders>
              <w:top w:val="nil"/>
              <w:left w:val="nil"/>
              <w:bottom w:val="nil"/>
              <w:right w:val="nil"/>
            </w:tcBorders>
            <w:shd w:val="clear" w:color="auto" w:fill="auto"/>
            <w:noWrap/>
            <w:hideMark/>
          </w:tcPr>
          <w:p w14:paraId="596C47C1"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1.75</w:t>
            </w:r>
          </w:p>
        </w:tc>
        <w:tc>
          <w:tcPr>
            <w:tcW w:w="1290" w:type="dxa"/>
            <w:tcBorders>
              <w:top w:val="nil"/>
              <w:left w:val="single" w:sz="4" w:space="0" w:color="auto"/>
              <w:bottom w:val="nil"/>
              <w:right w:val="nil"/>
            </w:tcBorders>
            <w:shd w:val="clear" w:color="auto" w:fill="auto"/>
            <w:noWrap/>
            <w:hideMark/>
          </w:tcPr>
          <w:p w14:paraId="2A09A5E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4F2F8E1A"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6E6B51D6"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262F6924" w14:textId="49905D13"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03E16139"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720" w:type="dxa"/>
            <w:tcBorders>
              <w:top w:val="nil"/>
              <w:left w:val="nil"/>
              <w:bottom w:val="nil"/>
              <w:right w:val="nil"/>
            </w:tcBorders>
            <w:shd w:val="clear" w:color="auto" w:fill="auto"/>
            <w:noWrap/>
            <w:hideMark/>
          </w:tcPr>
          <w:p w14:paraId="785B84B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52</w:t>
            </w:r>
          </w:p>
        </w:tc>
        <w:tc>
          <w:tcPr>
            <w:tcW w:w="630" w:type="dxa"/>
            <w:tcBorders>
              <w:top w:val="nil"/>
              <w:left w:val="nil"/>
              <w:bottom w:val="nil"/>
              <w:right w:val="nil"/>
            </w:tcBorders>
            <w:shd w:val="clear" w:color="auto" w:fill="auto"/>
            <w:noWrap/>
            <w:hideMark/>
          </w:tcPr>
          <w:p w14:paraId="69FE9B5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0.26</w:t>
            </w:r>
          </w:p>
        </w:tc>
        <w:tc>
          <w:tcPr>
            <w:tcW w:w="632" w:type="dxa"/>
            <w:gridSpan w:val="2"/>
            <w:tcBorders>
              <w:top w:val="nil"/>
              <w:left w:val="nil"/>
              <w:bottom w:val="nil"/>
              <w:right w:val="nil"/>
            </w:tcBorders>
            <w:shd w:val="clear" w:color="auto" w:fill="auto"/>
            <w:noWrap/>
            <w:hideMark/>
          </w:tcPr>
          <w:p w14:paraId="67997FF7"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1.75</w:t>
            </w:r>
          </w:p>
        </w:tc>
      </w:tr>
      <w:tr w:rsidR="00802F1A" w:rsidRPr="00802F1A" w14:paraId="45C057C7" w14:textId="77777777" w:rsidTr="00CD1F30">
        <w:trPr>
          <w:trHeight w:val="288"/>
        </w:trPr>
        <w:tc>
          <w:tcPr>
            <w:tcW w:w="990" w:type="dxa"/>
            <w:tcBorders>
              <w:top w:val="nil"/>
              <w:left w:val="nil"/>
              <w:bottom w:val="nil"/>
              <w:right w:val="nil"/>
            </w:tcBorders>
            <w:shd w:val="clear" w:color="auto" w:fill="auto"/>
            <w:noWrap/>
            <w:hideMark/>
          </w:tcPr>
          <w:p w14:paraId="4F050AD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0F7D04D7"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69</w:t>
            </w:r>
          </w:p>
        </w:tc>
        <w:tc>
          <w:tcPr>
            <w:tcW w:w="602" w:type="dxa"/>
            <w:tcBorders>
              <w:top w:val="nil"/>
              <w:left w:val="nil"/>
              <w:bottom w:val="nil"/>
              <w:right w:val="nil"/>
            </w:tcBorders>
            <w:shd w:val="clear" w:color="auto" w:fill="auto"/>
            <w:noWrap/>
            <w:hideMark/>
          </w:tcPr>
          <w:p w14:paraId="4A2F6AD2"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-0.12</w:t>
            </w:r>
          </w:p>
        </w:tc>
        <w:tc>
          <w:tcPr>
            <w:tcW w:w="718" w:type="dxa"/>
            <w:tcBorders>
              <w:top w:val="nil"/>
              <w:left w:val="nil"/>
              <w:bottom w:val="nil"/>
              <w:right w:val="nil"/>
            </w:tcBorders>
            <w:shd w:val="clear" w:color="auto" w:fill="auto"/>
            <w:noWrap/>
            <w:hideMark/>
          </w:tcPr>
          <w:p w14:paraId="1821D568"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-1.48</w:t>
            </w:r>
          </w:p>
        </w:tc>
        <w:tc>
          <w:tcPr>
            <w:tcW w:w="1290" w:type="dxa"/>
            <w:tcBorders>
              <w:top w:val="nil"/>
              <w:left w:val="single" w:sz="4" w:space="0" w:color="auto"/>
              <w:bottom w:val="nil"/>
              <w:right w:val="nil"/>
            </w:tcBorders>
            <w:shd w:val="clear" w:color="auto" w:fill="auto"/>
            <w:noWrap/>
            <w:hideMark/>
          </w:tcPr>
          <w:p w14:paraId="6504A57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1+2</w:t>
            </w:r>
          </w:p>
        </w:tc>
        <w:tc>
          <w:tcPr>
            <w:tcW w:w="630" w:type="dxa"/>
            <w:tcBorders>
              <w:top w:val="nil"/>
              <w:left w:val="nil"/>
              <w:bottom w:val="nil"/>
              <w:right w:val="nil"/>
            </w:tcBorders>
            <w:shd w:val="clear" w:color="auto" w:fill="auto"/>
            <w:noWrap/>
            <w:hideMark/>
          </w:tcPr>
          <w:p w14:paraId="7E4C7FE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121</w:t>
            </w:r>
          </w:p>
        </w:tc>
        <w:tc>
          <w:tcPr>
            <w:tcW w:w="630" w:type="dxa"/>
            <w:tcBorders>
              <w:top w:val="nil"/>
              <w:left w:val="nil"/>
              <w:bottom w:val="nil"/>
              <w:right w:val="nil"/>
            </w:tcBorders>
            <w:shd w:val="clear" w:color="auto" w:fill="auto"/>
            <w:noWrap/>
            <w:hideMark/>
          </w:tcPr>
          <w:p w14:paraId="57D47BB1"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-0.61</w:t>
            </w:r>
          </w:p>
        </w:tc>
        <w:tc>
          <w:tcPr>
            <w:tcW w:w="575" w:type="dxa"/>
            <w:tcBorders>
              <w:top w:val="nil"/>
              <w:left w:val="nil"/>
              <w:bottom w:val="nil"/>
              <w:right w:val="single" w:sz="4" w:space="0" w:color="auto"/>
            </w:tcBorders>
            <w:shd w:val="clear" w:color="auto" w:fill="auto"/>
            <w:noWrap/>
            <w:hideMark/>
          </w:tcPr>
          <w:p w14:paraId="0D9A11FE"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-11.84</w:t>
            </w:r>
          </w:p>
        </w:tc>
        <w:tc>
          <w:tcPr>
            <w:tcW w:w="1045" w:type="dxa"/>
            <w:tcBorders>
              <w:top w:val="nil"/>
              <w:left w:val="nil"/>
              <w:bottom w:val="nil"/>
              <w:right w:val="nil"/>
            </w:tcBorders>
            <w:shd w:val="clear" w:color="auto" w:fill="auto"/>
            <w:noWrap/>
            <w:hideMark/>
          </w:tcPr>
          <w:p w14:paraId="6AB0E4D5"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720" w:type="dxa"/>
            <w:tcBorders>
              <w:top w:val="nil"/>
              <w:left w:val="nil"/>
              <w:bottom w:val="nil"/>
              <w:right w:val="nil"/>
            </w:tcBorders>
            <w:shd w:val="clear" w:color="auto" w:fill="auto"/>
            <w:noWrap/>
            <w:hideMark/>
          </w:tcPr>
          <w:p w14:paraId="1F47BBF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69</w:t>
            </w:r>
          </w:p>
        </w:tc>
        <w:tc>
          <w:tcPr>
            <w:tcW w:w="630" w:type="dxa"/>
            <w:tcBorders>
              <w:top w:val="nil"/>
              <w:left w:val="nil"/>
              <w:bottom w:val="nil"/>
              <w:right w:val="nil"/>
            </w:tcBorders>
            <w:shd w:val="clear" w:color="auto" w:fill="auto"/>
            <w:noWrap/>
            <w:hideMark/>
          </w:tcPr>
          <w:p w14:paraId="1E038F0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-0.12</w:t>
            </w:r>
          </w:p>
        </w:tc>
        <w:tc>
          <w:tcPr>
            <w:tcW w:w="632" w:type="dxa"/>
            <w:gridSpan w:val="2"/>
            <w:tcBorders>
              <w:top w:val="nil"/>
              <w:left w:val="nil"/>
              <w:bottom w:val="nil"/>
              <w:right w:val="nil"/>
            </w:tcBorders>
            <w:shd w:val="clear" w:color="auto" w:fill="auto"/>
            <w:noWrap/>
            <w:hideMark/>
          </w:tcPr>
          <w:p w14:paraId="09921F1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-1.48</w:t>
            </w:r>
          </w:p>
        </w:tc>
      </w:tr>
      <w:tr w:rsidR="00802F1A" w:rsidRPr="00802F1A" w14:paraId="00E54F32" w14:textId="77777777" w:rsidTr="00CD1F30">
        <w:trPr>
          <w:trHeight w:val="288"/>
        </w:trPr>
        <w:tc>
          <w:tcPr>
            <w:tcW w:w="990" w:type="dxa"/>
            <w:tcBorders>
              <w:top w:val="nil"/>
              <w:left w:val="nil"/>
              <w:bottom w:val="nil"/>
              <w:right w:val="nil"/>
            </w:tcBorders>
            <w:shd w:val="clear" w:color="auto" w:fill="auto"/>
            <w:noWrap/>
            <w:hideMark/>
          </w:tcPr>
          <w:p w14:paraId="7EF448A1"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w:t>
            </w:r>
          </w:p>
        </w:tc>
        <w:tc>
          <w:tcPr>
            <w:tcW w:w="630" w:type="dxa"/>
            <w:tcBorders>
              <w:top w:val="nil"/>
              <w:left w:val="nil"/>
              <w:bottom w:val="nil"/>
              <w:right w:val="nil"/>
            </w:tcBorders>
            <w:shd w:val="clear" w:color="auto" w:fill="auto"/>
            <w:noWrap/>
            <w:hideMark/>
          </w:tcPr>
          <w:p w14:paraId="7C93326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11</w:t>
            </w:r>
          </w:p>
        </w:tc>
        <w:tc>
          <w:tcPr>
            <w:tcW w:w="602" w:type="dxa"/>
            <w:tcBorders>
              <w:top w:val="nil"/>
              <w:left w:val="nil"/>
              <w:bottom w:val="nil"/>
              <w:right w:val="nil"/>
            </w:tcBorders>
            <w:shd w:val="clear" w:color="auto" w:fill="auto"/>
            <w:noWrap/>
            <w:hideMark/>
          </w:tcPr>
          <w:p w14:paraId="3602C688"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0.65</w:t>
            </w:r>
          </w:p>
        </w:tc>
        <w:tc>
          <w:tcPr>
            <w:tcW w:w="718" w:type="dxa"/>
            <w:tcBorders>
              <w:top w:val="nil"/>
              <w:left w:val="nil"/>
              <w:bottom w:val="nil"/>
              <w:right w:val="nil"/>
            </w:tcBorders>
            <w:shd w:val="clear" w:color="auto" w:fill="auto"/>
            <w:noWrap/>
            <w:hideMark/>
          </w:tcPr>
          <w:p w14:paraId="23873323"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6.42</w:t>
            </w:r>
          </w:p>
        </w:tc>
        <w:tc>
          <w:tcPr>
            <w:tcW w:w="1290" w:type="dxa"/>
            <w:tcBorders>
              <w:top w:val="nil"/>
              <w:left w:val="single" w:sz="4" w:space="0" w:color="auto"/>
              <w:bottom w:val="nil"/>
              <w:right w:val="nil"/>
            </w:tcBorders>
            <w:shd w:val="clear" w:color="auto" w:fill="auto"/>
            <w:noWrap/>
            <w:hideMark/>
          </w:tcPr>
          <w:p w14:paraId="14C1967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2+3</w:t>
            </w:r>
          </w:p>
        </w:tc>
        <w:tc>
          <w:tcPr>
            <w:tcW w:w="630" w:type="dxa"/>
            <w:tcBorders>
              <w:top w:val="nil"/>
              <w:left w:val="nil"/>
              <w:bottom w:val="nil"/>
              <w:right w:val="nil"/>
            </w:tcBorders>
            <w:shd w:val="clear" w:color="auto" w:fill="auto"/>
            <w:noWrap/>
            <w:hideMark/>
          </w:tcPr>
          <w:p w14:paraId="61B70BE8"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80</w:t>
            </w:r>
          </w:p>
        </w:tc>
        <w:tc>
          <w:tcPr>
            <w:tcW w:w="630" w:type="dxa"/>
            <w:tcBorders>
              <w:top w:val="nil"/>
              <w:left w:val="nil"/>
              <w:bottom w:val="nil"/>
              <w:right w:val="nil"/>
            </w:tcBorders>
            <w:shd w:val="clear" w:color="auto" w:fill="auto"/>
            <w:noWrap/>
            <w:hideMark/>
          </w:tcPr>
          <w:p w14:paraId="46509C99"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-0.48</w:t>
            </w:r>
          </w:p>
        </w:tc>
        <w:tc>
          <w:tcPr>
            <w:tcW w:w="575" w:type="dxa"/>
            <w:tcBorders>
              <w:top w:val="nil"/>
              <w:left w:val="nil"/>
              <w:bottom w:val="nil"/>
              <w:right w:val="single" w:sz="4" w:space="0" w:color="auto"/>
            </w:tcBorders>
            <w:shd w:val="clear" w:color="auto" w:fill="auto"/>
            <w:noWrap/>
            <w:hideMark/>
          </w:tcPr>
          <w:p w14:paraId="1D9460D7"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-10.14</w:t>
            </w:r>
          </w:p>
        </w:tc>
        <w:tc>
          <w:tcPr>
            <w:tcW w:w="1045" w:type="dxa"/>
            <w:tcBorders>
              <w:top w:val="nil"/>
              <w:left w:val="nil"/>
              <w:bottom w:val="nil"/>
              <w:right w:val="nil"/>
            </w:tcBorders>
            <w:shd w:val="clear" w:color="auto" w:fill="auto"/>
            <w:noWrap/>
            <w:hideMark/>
          </w:tcPr>
          <w:p w14:paraId="6053E7FA"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w:t>
            </w:r>
          </w:p>
        </w:tc>
        <w:tc>
          <w:tcPr>
            <w:tcW w:w="720" w:type="dxa"/>
            <w:tcBorders>
              <w:top w:val="nil"/>
              <w:left w:val="nil"/>
              <w:bottom w:val="nil"/>
              <w:right w:val="nil"/>
            </w:tcBorders>
            <w:shd w:val="clear" w:color="auto" w:fill="auto"/>
            <w:noWrap/>
            <w:hideMark/>
          </w:tcPr>
          <w:p w14:paraId="0DF753C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11</w:t>
            </w:r>
          </w:p>
        </w:tc>
        <w:tc>
          <w:tcPr>
            <w:tcW w:w="630" w:type="dxa"/>
            <w:tcBorders>
              <w:top w:val="nil"/>
              <w:left w:val="nil"/>
              <w:bottom w:val="nil"/>
              <w:right w:val="nil"/>
            </w:tcBorders>
            <w:shd w:val="clear" w:color="auto" w:fill="auto"/>
            <w:noWrap/>
            <w:hideMark/>
          </w:tcPr>
          <w:p w14:paraId="64562A6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0.65</w:t>
            </w:r>
          </w:p>
        </w:tc>
        <w:tc>
          <w:tcPr>
            <w:tcW w:w="632" w:type="dxa"/>
            <w:gridSpan w:val="2"/>
            <w:tcBorders>
              <w:top w:val="nil"/>
              <w:left w:val="nil"/>
              <w:bottom w:val="nil"/>
              <w:right w:val="nil"/>
            </w:tcBorders>
            <w:shd w:val="clear" w:color="auto" w:fill="auto"/>
            <w:noWrap/>
            <w:hideMark/>
          </w:tcPr>
          <w:p w14:paraId="58A65A5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6.42</w:t>
            </w:r>
          </w:p>
        </w:tc>
      </w:tr>
      <w:tr w:rsidR="00802F1A" w:rsidRPr="00802F1A" w14:paraId="172E62CA" w14:textId="77777777" w:rsidTr="00CD1F30">
        <w:trPr>
          <w:trHeight w:val="288"/>
        </w:trPr>
        <w:tc>
          <w:tcPr>
            <w:tcW w:w="990" w:type="dxa"/>
            <w:tcBorders>
              <w:top w:val="nil"/>
              <w:left w:val="nil"/>
              <w:bottom w:val="nil"/>
              <w:right w:val="nil"/>
            </w:tcBorders>
            <w:shd w:val="clear" w:color="auto" w:fill="auto"/>
            <w:noWrap/>
            <w:hideMark/>
          </w:tcPr>
          <w:p w14:paraId="781BE77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630" w:type="dxa"/>
            <w:tcBorders>
              <w:top w:val="nil"/>
              <w:left w:val="nil"/>
              <w:bottom w:val="nil"/>
              <w:right w:val="nil"/>
            </w:tcBorders>
            <w:shd w:val="clear" w:color="auto" w:fill="auto"/>
            <w:noWrap/>
            <w:hideMark/>
          </w:tcPr>
          <w:p w14:paraId="618C745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02" w:type="dxa"/>
            <w:tcBorders>
              <w:top w:val="nil"/>
              <w:left w:val="nil"/>
              <w:bottom w:val="nil"/>
              <w:right w:val="nil"/>
            </w:tcBorders>
            <w:shd w:val="clear" w:color="auto" w:fill="auto"/>
            <w:noWrap/>
            <w:hideMark/>
          </w:tcPr>
          <w:p w14:paraId="6457E906"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-1.28</w:t>
            </w:r>
          </w:p>
        </w:tc>
        <w:tc>
          <w:tcPr>
            <w:tcW w:w="718" w:type="dxa"/>
            <w:tcBorders>
              <w:top w:val="nil"/>
              <w:left w:val="nil"/>
              <w:bottom w:val="nil"/>
              <w:right w:val="nil"/>
            </w:tcBorders>
            <w:shd w:val="clear" w:color="auto" w:fill="auto"/>
            <w:noWrap/>
            <w:hideMark/>
          </w:tcPr>
          <w:p w14:paraId="1B936698"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-1.97</w:t>
            </w:r>
          </w:p>
        </w:tc>
        <w:tc>
          <w:tcPr>
            <w:tcW w:w="1290" w:type="dxa"/>
            <w:tcBorders>
              <w:top w:val="nil"/>
              <w:left w:val="single" w:sz="4" w:space="0" w:color="auto"/>
              <w:bottom w:val="nil"/>
              <w:right w:val="nil"/>
            </w:tcBorders>
            <w:shd w:val="clear" w:color="auto" w:fill="auto"/>
            <w:noWrap/>
            <w:hideMark/>
          </w:tcPr>
          <w:p w14:paraId="00D39FC7"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3+Divergence</w:t>
            </w:r>
          </w:p>
        </w:tc>
        <w:tc>
          <w:tcPr>
            <w:tcW w:w="630" w:type="dxa"/>
            <w:tcBorders>
              <w:top w:val="nil"/>
              <w:left w:val="nil"/>
              <w:bottom w:val="nil"/>
              <w:right w:val="nil"/>
            </w:tcBorders>
            <w:shd w:val="clear" w:color="auto" w:fill="auto"/>
            <w:noWrap/>
            <w:hideMark/>
          </w:tcPr>
          <w:p w14:paraId="51A53E8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w:t>
            </w:r>
          </w:p>
        </w:tc>
        <w:tc>
          <w:tcPr>
            <w:tcW w:w="630" w:type="dxa"/>
            <w:tcBorders>
              <w:top w:val="nil"/>
              <w:left w:val="nil"/>
              <w:bottom w:val="nil"/>
              <w:right w:val="nil"/>
            </w:tcBorders>
            <w:shd w:val="clear" w:color="auto" w:fill="auto"/>
            <w:noWrap/>
            <w:hideMark/>
          </w:tcPr>
          <w:p w14:paraId="4B5BB0F5"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-0.42</w:t>
            </w:r>
          </w:p>
        </w:tc>
        <w:tc>
          <w:tcPr>
            <w:tcW w:w="575" w:type="dxa"/>
            <w:tcBorders>
              <w:top w:val="nil"/>
              <w:left w:val="nil"/>
              <w:bottom w:val="nil"/>
              <w:right w:val="single" w:sz="4" w:space="0" w:color="auto"/>
            </w:tcBorders>
            <w:shd w:val="clear" w:color="auto" w:fill="auto"/>
            <w:noWrap/>
            <w:hideMark/>
          </w:tcPr>
          <w:p w14:paraId="17A080FF"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-6.40</w:t>
            </w:r>
          </w:p>
        </w:tc>
        <w:tc>
          <w:tcPr>
            <w:tcW w:w="1045" w:type="dxa"/>
            <w:tcBorders>
              <w:top w:val="nil"/>
              <w:left w:val="nil"/>
              <w:bottom w:val="nil"/>
              <w:right w:val="nil"/>
            </w:tcBorders>
            <w:shd w:val="clear" w:color="auto" w:fill="auto"/>
            <w:noWrap/>
            <w:hideMark/>
          </w:tcPr>
          <w:p w14:paraId="03816FE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720" w:type="dxa"/>
            <w:tcBorders>
              <w:top w:val="nil"/>
              <w:left w:val="nil"/>
              <w:bottom w:val="nil"/>
              <w:right w:val="nil"/>
            </w:tcBorders>
            <w:shd w:val="clear" w:color="auto" w:fill="auto"/>
            <w:noWrap/>
            <w:hideMark/>
          </w:tcPr>
          <w:p w14:paraId="17AE024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30" w:type="dxa"/>
            <w:tcBorders>
              <w:top w:val="nil"/>
              <w:left w:val="nil"/>
              <w:bottom w:val="nil"/>
              <w:right w:val="nil"/>
            </w:tcBorders>
            <w:shd w:val="clear" w:color="auto" w:fill="auto"/>
            <w:noWrap/>
            <w:hideMark/>
          </w:tcPr>
          <w:p w14:paraId="0999203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-1.28</w:t>
            </w:r>
          </w:p>
        </w:tc>
        <w:tc>
          <w:tcPr>
            <w:tcW w:w="632" w:type="dxa"/>
            <w:gridSpan w:val="2"/>
            <w:tcBorders>
              <w:top w:val="nil"/>
              <w:left w:val="nil"/>
              <w:bottom w:val="nil"/>
              <w:right w:val="nil"/>
            </w:tcBorders>
            <w:shd w:val="clear" w:color="auto" w:fill="auto"/>
            <w:noWrap/>
            <w:hideMark/>
          </w:tcPr>
          <w:p w14:paraId="527615C7"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-1.97</w:t>
            </w:r>
          </w:p>
        </w:tc>
      </w:tr>
      <w:tr w:rsidR="00802F1A" w:rsidRPr="00802F1A" w14:paraId="6BFCC0F8"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69909DA5" w14:textId="77777777" w:rsidR="00AB6C42" w:rsidRPr="00802F1A" w:rsidRDefault="00AB6C42" w:rsidP="00CD1F30">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 Efficiency</w:t>
            </w:r>
          </w:p>
        </w:tc>
      </w:tr>
      <w:tr w:rsidR="00802F1A" w:rsidRPr="00802F1A" w14:paraId="4AE5757A" w14:textId="77777777" w:rsidTr="00CD1F30">
        <w:trPr>
          <w:trHeight w:val="288"/>
        </w:trPr>
        <w:tc>
          <w:tcPr>
            <w:tcW w:w="990" w:type="dxa"/>
            <w:tcBorders>
              <w:top w:val="nil"/>
              <w:left w:val="nil"/>
              <w:bottom w:val="nil"/>
              <w:right w:val="nil"/>
            </w:tcBorders>
            <w:shd w:val="clear" w:color="auto" w:fill="auto"/>
            <w:noWrap/>
            <w:hideMark/>
          </w:tcPr>
          <w:p w14:paraId="5A83D7D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0EFD172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123</w:t>
            </w:r>
          </w:p>
        </w:tc>
        <w:tc>
          <w:tcPr>
            <w:tcW w:w="602" w:type="dxa"/>
            <w:tcBorders>
              <w:top w:val="nil"/>
              <w:left w:val="nil"/>
              <w:bottom w:val="nil"/>
              <w:right w:val="nil"/>
            </w:tcBorders>
            <w:shd w:val="clear" w:color="auto" w:fill="auto"/>
            <w:noWrap/>
            <w:hideMark/>
          </w:tcPr>
          <w:p w14:paraId="1E6EBD51"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-0.05</w:t>
            </w:r>
          </w:p>
        </w:tc>
        <w:tc>
          <w:tcPr>
            <w:tcW w:w="718" w:type="dxa"/>
            <w:tcBorders>
              <w:top w:val="nil"/>
              <w:left w:val="nil"/>
              <w:bottom w:val="nil"/>
              <w:right w:val="nil"/>
            </w:tcBorders>
            <w:shd w:val="clear" w:color="auto" w:fill="auto"/>
            <w:noWrap/>
            <w:hideMark/>
          </w:tcPr>
          <w:p w14:paraId="1961871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-0.76</w:t>
            </w:r>
          </w:p>
        </w:tc>
        <w:tc>
          <w:tcPr>
            <w:tcW w:w="1290" w:type="dxa"/>
            <w:tcBorders>
              <w:top w:val="nil"/>
              <w:left w:val="single" w:sz="4" w:space="0" w:color="auto"/>
              <w:bottom w:val="nil"/>
              <w:right w:val="nil"/>
            </w:tcBorders>
            <w:shd w:val="clear" w:color="auto" w:fill="auto"/>
            <w:noWrap/>
            <w:hideMark/>
          </w:tcPr>
          <w:p w14:paraId="4D88862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099039C1"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7D044693"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28146EB7" w14:textId="424F8D33"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32E818F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720" w:type="dxa"/>
            <w:tcBorders>
              <w:top w:val="nil"/>
              <w:left w:val="nil"/>
              <w:bottom w:val="nil"/>
              <w:right w:val="nil"/>
            </w:tcBorders>
            <w:shd w:val="clear" w:color="auto" w:fill="auto"/>
            <w:noWrap/>
            <w:hideMark/>
          </w:tcPr>
          <w:p w14:paraId="0D12248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123</w:t>
            </w:r>
          </w:p>
        </w:tc>
        <w:tc>
          <w:tcPr>
            <w:tcW w:w="630" w:type="dxa"/>
            <w:tcBorders>
              <w:top w:val="nil"/>
              <w:left w:val="nil"/>
              <w:bottom w:val="nil"/>
              <w:right w:val="nil"/>
            </w:tcBorders>
            <w:shd w:val="clear" w:color="auto" w:fill="auto"/>
            <w:noWrap/>
            <w:hideMark/>
          </w:tcPr>
          <w:p w14:paraId="0C0F36D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-0.05</w:t>
            </w:r>
          </w:p>
        </w:tc>
        <w:tc>
          <w:tcPr>
            <w:tcW w:w="632" w:type="dxa"/>
            <w:gridSpan w:val="2"/>
            <w:tcBorders>
              <w:top w:val="nil"/>
              <w:left w:val="nil"/>
              <w:bottom w:val="nil"/>
              <w:right w:val="nil"/>
            </w:tcBorders>
            <w:shd w:val="clear" w:color="auto" w:fill="auto"/>
            <w:noWrap/>
            <w:hideMark/>
          </w:tcPr>
          <w:p w14:paraId="3EB8997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-0.76</w:t>
            </w:r>
          </w:p>
        </w:tc>
      </w:tr>
      <w:tr w:rsidR="00802F1A" w:rsidRPr="00802F1A" w14:paraId="15E1B1D5" w14:textId="77777777" w:rsidTr="00CD1F30">
        <w:trPr>
          <w:trHeight w:val="288"/>
        </w:trPr>
        <w:tc>
          <w:tcPr>
            <w:tcW w:w="990" w:type="dxa"/>
            <w:tcBorders>
              <w:top w:val="nil"/>
              <w:left w:val="nil"/>
              <w:bottom w:val="nil"/>
              <w:right w:val="nil"/>
            </w:tcBorders>
            <w:shd w:val="clear" w:color="auto" w:fill="auto"/>
            <w:noWrap/>
            <w:hideMark/>
          </w:tcPr>
          <w:p w14:paraId="5FD8A91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15DB435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11</w:t>
            </w:r>
          </w:p>
        </w:tc>
        <w:tc>
          <w:tcPr>
            <w:tcW w:w="602" w:type="dxa"/>
            <w:tcBorders>
              <w:top w:val="nil"/>
              <w:left w:val="nil"/>
              <w:bottom w:val="nil"/>
              <w:right w:val="nil"/>
            </w:tcBorders>
            <w:shd w:val="clear" w:color="auto" w:fill="auto"/>
            <w:noWrap/>
            <w:hideMark/>
          </w:tcPr>
          <w:p w14:paraId="17B39A6E"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-0.25</w:t>
            </w:r>
          </w:p>
        </w:tc>
        <w:tc>
          <w:tcPr>
            <w:tcW w:w="718" w:type="dxa"/>
            <w:tcBorders>
              <w:top w:val="nil"/>
              <w:left w:val="nil"/>
              <w:bottom w:val="nil"/>
              <w:right w:val="nil"/>
            </w:tcBorders>
            <w:shd w:val="clear" w:color="auto" w:fill="auto"/>
            <w:noWrap/>
            <w:hideMark/>
          </w:tcPr>
          <w:p w14:paraId="6038336B"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-0.47</w:t>
            </w:r>
          </w:p>
        </w:tc>
        <w:tc>
          <w:tcPr>
            <w:tcW w:w="1290" w:type="dxa"/>
            <w:tcBorders>
              <w:top w:val="nil"/>
              <w:left w:val="single" w:sz="4" w:space="0" w:color="auto"/>
              <w:bottom w:val="nil"/>
              <w:right w:val="nil"/>
            </w:tcBorders>
            <w:shd w:val="clear" w:color="auto" w:fill="auto"/>
            <w:noWrap/>
            <w:hideMark/>
          </w:tcPr>
          <w:p w14:paraId="6719785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1+2</w:t>
            </w:r>
          </w:p>
        </w:tc>
        <w:tc>
          <w:tcPr>
            <w:tcW w:w="630" w:type="dxa"/>
            <w:tcBorders>
              <w:top w:val="nil"/>
              <w:left w:val="nil"/>
              <w:bottom w:val="nil"/>
              <w:right w:val="nil"/>
            </w:tcBorders>
            <w:shd w:val="clear" w:color="auto" w:fill="auto"/>
            <w:noWrap/>
            <w:hideMark/>
          </w:tcPr>
          <w:p w14:paraId="5729C39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134</w:t>
            </w:r>
          </w:p>
        </w:tc>
        <w:tc>
          <w:tcPr>
            <w:tcW w:w="630" w:type="dxa"/>
            <w:tcBorders>
              <w:top w:val="nil"/>
              <w:left w:val="nil"/>
              <w:bottom w:val="nil"/>
              <w:right w:val="nil"/>
            </w:tcBorders>
            <w:shd w:val="clear" w:color="auto" w:fill="auto"/>
            <w:noWrap/>
            <w:hideMark/>
          </w:tcPr>
          <w:p w14:paraId="78409373"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-0.46</w:t>
            </w:r>
          </w:p>
        </w:tc>
        <w:tc>
          <w:tcPr>
            <w:tcW w:w="575" w:type="dxa"/>
            <w:tcBorders>
              <w:top w:val="nil"/>
              <w:left w:val="nil"/>
              <w:bottom w:val="nil"/>
              <w:right w:val="single" w:sz="4" w:space="0" w:color="auto"/>
            </w:tcBorders>
            <w:shd w:val="clear" w:color="auto" w:fill="auto"/>
            <w:noWrap/>
            <w:hideMark/>
          </w:tcPr>
          <w:p w14:paraId="606593B1"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-8.05</w:t>
            </w:r>
          </w:p>
        </w:tc>
        <w:tc>
          <w:tcPr>
            <w:tcW w:w="1045" w:type="dxa"/>
            <w:tcBorders>
              <w:top w:val="nil"/>
              <w:left w:val="nil"/>
              <w:bottom w:val="nil"/>
              <w:right w:val="nil"/>
            </w:tcBorders>
            <w:shd w:val="clear" w:color="auto" w:fill="auto"/>
            <w:noWrap/>
            <w:hideMark/>
          </w:tcPr>
          <w:p w14:paraId="33DFE350"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720" w:type="dxa"/>
            <w:tcBorders>
              <w:top w:val="nil"/>
              <w:left w:val="nil"/>
              <w:bottom w:val="nil"/>
              <w:right w:val="nil"/>
            </w:tcBorders>
            <w:shd w:val="clear" w:color="auto" w:fill="auto"/>
            <w:noWrap/>
            <w:hideMark/>
          </w:tcPr>
          <w:p w14:paraId="2F20512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11</w:t>
            </w:r>
          </w:p>
        </w:tc>
        <w:tc>
          <w:tcPr>
            <w:tcW w:w="630" w:type="dxa"/>
            <w:tcBorders>
              <w:top w:val="nil"/>
              <w:left w:val="nil"/>
              <w:bottom w:val="nil"/>
              <w:right w:val="nil"/>
            </w:tcBorders>
            <w:shd w:val="clear" w:color="auto" w:fill="auto"/>
            <w:noWrap/>
            <w:hideMark/>
          </w:tcPr>
          <w:p w14:paraId="05D50308"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-0.25</w:t>
            </w:r>
          </w:p>
        </w:tc>
        <w:tc>
          <w:tcPr>
            <w:tcW w:w="632" w:type="dxa"/>
            <w:gridSpan w:val="2"/>
            <w:tcBorders>
              <w:top w:val="nil"/>
              <w:left w:val="nil"/>
              <w:bottom w:val="nil"/>
              <w:right w:val="nil"/>
            </w:tcBorders>
            <w:shd w:val="clear" w:color="auto" w:fill="auto"/>
            <w:noWrap/>
            <w:hideMark/>
          </w:tcPr>
          <w:p w14:paraId="57E20B8B"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-0.47</w:t>
            </w:r>
          </w:p>
        </w:tc>
      </w:tr>
      <w:tr w:rsidR="00802F1A" w:rsidRPr="00802F1A" w14:paraId="7AA8F4D5"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0E700628" w14:textId="77777777" w:rsidR="00AB6C42" w:rsidRPr="00802F1A" w:rsidRDefault="00AB6C42" w:rsidP="00436129">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lastRenderedPageBreak/>
              <w:t>FI Dev</w:t>
            </w:r>
          </w:p>
        </w:tc>
      </w:tr>
      <w:tr w:rsidR="00802F1A" w:rsidRPr="00802F1A" w14:paraId="52A2A1C1" w14:textId="77777777" w:rsidTr="00CD1F30">
        <w:trPr>
          <w:trHeight w:val="288"/>
        </w:trPr>
        <w:tc>
          <w:tcPr>
            <w:tcW w:w="990" w:type="dxa"/>
            <w:tcBorders>
              <w:top w:val="nil"/>
              <w:left w:val="nil"/>
              <w:bottom w:val="nil"/>
              <w:right w:val="nil"/>
            </w:tcBorders>
            <w:shd w:val="clear" w:color="auto" w:fill="auto"/>
            <w:noWrap/>
            <w:hideMark/>
          </w:tcPr>
          <w:p w14:paraId="3EC59A7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3DC2E60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w:t>
            </w:r>
          </w:p>
        </w:tc>
        <w:tc>
          <w:tcPr>
            <w:tcW w:w="602" w:type="dxa"/>
            <w:tcBorders>
              <w:top w:val="nil"/>
              <w:left w:val="nil"/>
              <w:bottom w:val="nil"/>
              <w:right w:val="nil"/>
            </w:tcBorders>
            <w:shd w:val="clear" w:color="auto" w:fill="auto"/>
            <w:noWrap/>
            <w:hideMark/>
          </w:tcPr>
          <w:p w14:paraId="79004401"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0.19</w:t>
            </w:r>
          </w:p>
        </w:tc>
        <w:tc>
          <w:tcPr>
            <w:tcW w:w="718" w:type="dxa"/>
            <w:tcBorders>
              <w:top w:val="nil"/>
              <w:left w:val="nil"/>
              <w:bottom w:val="nil"/>
              <w:right w:val="nil"/>
            </w:tcBorders>
            <w:shd w:val="clear" w:color="auto" w:fill="auto"/>
            <w:noWrap/>
            <w:hideMark/>
          </w:tcPr>
          <w:p w14:paraId="1A3DDEEA"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0.52</w:t>
            </w:r>
          </w:p>
        </w:tc>
        <w:tc>
          <w:tcPr>
            <w:tcW w:w="1290" w:type="dxa"/>
            <w:tcBorders>
              <w:top w:val="nil"/>
              <w:left w:val="single" w:sz="4" w:space="0" w:color="auto"/>
              <w:bottom w:val="nil"/>
              <w:right w:val="nil"/>
            </w:tcBorders>
            <w:shd w:val="clear" w:color="auto" w:fill="auto"/>
            <w:noWrap/>
            <w:hideMark/>
          </w:tcPr>
          <w:p w14:paraId="529D76E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7DE8133F"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4B375E15"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262131C2" w14:textId="00E8BB91"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627EA90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720" w:type="dxa"/>
            <w:tcBorders>
              <w:top w:val="nil"/>
              <w:left w:val="nil"/>
              <w:bottom w:val="nil"/>
              <w:right w:val="nil"/>
            </w:tcBorders>
            <w:shd w:val="clear" w:color="auto" w:fill="auto"/>
            <w:noWrap/>
            <w:hideMark/>
          </w:tcPr>
          <w:p w14:paraId="3028662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w:t>
            </w:r>
          </w:p>
        </w:tc>
        <w:tc>
          <w:tcPr>
            <w:tcW w:w="630" w:type="dxa"/>
            <w:tcBorders>
              <w:top w:val="nil"/>
              <w:left w:val="nil"/>
              <w:bottom w:val="nil"/>
              <w:right w:val="nil"/>
            </w:tcBorders>
            <w:shd w:val="clear" w:color="auto" w:fill="auto"/>
            <w:noWrap/>
            <w:hideMark/>
          </w:tcPr>
          <w:p w14:paraId="18E4183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0.19</w:t>
            </w:r>
          </w:p>
        </w:tc>
        <w:tc>
          <w:tcPr>
            <w:tcW w:w="632" w:type="dxa"/>
            <w:gridSpan w:val="2"/>
            <w:tcBorders>
              <w:top w:val="nil"/>
              <w:left w:val="nil"/>
              <w:bottom w:val="nil"/>
              <w:right w:val="nil"/>
            </w:tcBorders>
            <w:shd w:val="clear" w:color="auto" w:fill="auto"/>
            <w:noWrap/>
            <w:hideMark/>
          </w:tcPr>
          <w:p w14:paraId="0181263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0.52</w:t>
            </w:r>
          </w:p>
        </w:tc>
      </w:tr>
      <w:tr w:rsidR="00802F1A" w:rsidRPr="00802F1A" w14:paraId="19E86BFA" w14:textId="77777777" w:rsidTr="00CD1F30">
        <w:trPr>
          <w:trHeight w:val="288"/>
        </w:trPr>
        <w:tc>
          <w:tcPr>
            <w:tcW w:w="990" w:type="dxa"/>
            <w:tcBorders>
              <w:top w:val="nil"/>
              <w:left w:val="nil"/>
              <w:bottom w:val="nil"/>
              <w:right w:val="nil"/>
            </w:tcBorders>
            <w:shd w:val="clear" w:color="auto" w:fill="auto"/>
            <w:noWrap/>
            <w:hideMark/>
          </w:tcPr>
          <w:p w14:paraId="44244A4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3F431B1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8</w:t>
            </w:r>
          </w:p>
        </w:tc>
        <w:tc>
          <w:tcPr>
            <w:tcW w:w="602" w:type="dxa"/>
            <w:tcBorders>
              <w:top w:val="nil"/>
              <w:left w:val="nil"/>
              <w:bottom w:val="nil"/>
              <w:right w:val="nil"/>
            </w:tcBorders>
            <w:shd w:val="clear" w:color="auto" w:fill="auto"/>
            <w:noWrap/>
            <w:hideMark/>
          </w:tcPr>
          <w:p w14:paraId="0C7397F4"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-0.14</w:t>
            </w:r>
          </w:p>
        </w:tc>
        <w:tc>
          <w:tcPr>
            <w:tcW w:w="718" w:type="dxa"/>
            <w:tcBorders>
              <w:top w:val="nil"/>
              <w:left w:val="nil"/>
              <w:bottom w:val="nil"/>
              <w:right w:val="nil"/>
            </w:tcBorders>
            <w:shd w:val="clear" w:color="auto" w:fill="auto"/>
            <w:noWrap/>
            <w:hideMark/>
          </w:tcPr>
          <w:p w14:paraId="49992782"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-1.62</w:t>
            </w:r>
          </w:p>
        </w:tc>
        <w:tc>
          <w:tcPr>
            <w:tcW w:w="1290" w:type="dxa"/>
            <w:tcBorders>
              <w:top w:val="nil"/>
              <w:left w:val="single" w:sz="4" w:space="0" w:color="auto"/>
              <w:bottom w:val="nil"/>
              <w:right w:val="nil"/>
            </w:tcBorders>
            <w:shd w:val="clear" w:color="auto" w:fill="auto"/>
            <w:noWrap/>
            <w:hideMark/>
          </w:tcPr>
          <w:p w14:paraId="138D8517"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1+2</w:t>
            </w:r>
          </w:p>
        </w:tc>
        <w:tc>
          <w:tcPr>
            <w:tcW w:w="630" w:type="dxa"/>
            <w:tcBorders>
              <w:top w:val="nil"/>
              <w:left w:val="nil"/>
              <w:bottom w:val="nil"/>
              <w:right w:val="nil"/>
            </w:tcBorders>
            <w:shd w:val="clear" w:color="auto" w:fill="auto"/>
            <w:noWrap/>
            <w:hideMark/>
          </w:tcPr>
          <w:p w14:paraId="3737752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w:t>
            </w:r>
          </w:p>
        </w:tc>
        <w:tc>
          <w:tcPr>
            <w:tcW w:w="630" w:type="dxa"/>
            <w:tcBorders>
              <w:top w:val="nil"/>
              <w:left w:val="nil"/>
              <w:bottom w:val="nil"/>
              <w:right w:val="nil"/>
            </w:tcBorders>
            <w:shd w:val="clear" w:color="auto" w:fill="auto"/>
            <w:noWrap/>
            <w:hideMark/>
          </w:tcPr>
          <w:p w14:paraId="65975DE5"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-0.17</w:t>
            </w:r>
          </w:p>
        </w:tc>
        <w:tc>
          <w:tcPr>
            <w:tcW w:w="575" w:type="dxa"/>
            <w:tcBorders>
              <w:top w:val="nil"/>
              <w:left w:val="nil"/>
              <w:bottom w:val="nil"/>
              <w:right w:val="single" w:sz="4" w:space="0" w:color="auto"/>
            </w:tcBorders>
            <w:shd w:val="clear" w:color="auto" w:fill="auto"/>
            <w:noWrap/>
            <w:hideMark/>
          </w:tcPr>
          <w:p w14:paraId="7AFA018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-2.02</w:t>
            </w:r>
          </w:p>
        </w:tc>
        <w:tc>
          <w:tcPr>
            <w:tcW w:w="1045" w:type="dxa"/>
            <w:tcBorders>
              <w:top w:val="nil"/>
              <w:left w:val="nil"/>
              <w:bottom w:val="nil"/>
              <w:right w:val="nil"/>
            </w:tcBorders>
            <w:shd w:val="clear" w:color="auto" w:fill="auto"/>
            <w:noWrap/>
            <w:hideMark/>
          </w:tcPr>
          <w:p w14:paraId="6419114C" w14:textId="77777777" w:rsidR="00AB6C42" w:rsidRPr="00802F1A" w:rsidRDefault="00AB6C42" w:rsidP="00AB6C42">
            <w:pPr>
              <w:spacing w:line="240" w:lineRule="auto"/>
              <w:jc w:val="right"/>
              <w:rPr>
                <w:rFonts w:eastAsia="Times New Roman" w:cs="Times New Roman"/>
                <w:sz w:val="16"/>
                <w:szCs w:val="16"/>
                <w:lang w:eastAsia="en-AU"/>
              </w:rPr>
            </w:pPr>
          </w:p>
        </w:tc>
        <w:tc>
          <w:tcPr>
            <w:tcW w:w="720" w:type="dxa"/>
            <w:tcBorders>
              <w:top w:val="nil"/>
              <w:left w:val="nil"/>
              <w:bottom w:val="nil"/>
              <w:right w:val="nil"/>
            </w:tcBorders>
            <w:shd w:val="clear" w:color="auto" w:fill="auto"/>
            <w:noWrap/>
            <w:hideMark/>
          </w:tcPr>
          <w:p w14:paraId="30B983A0" w14:textId="77777777" w:rsidR="00AB6C42" w:rsidRPr="00802F1A" w:rsidRDefault="00AB6C42" w:rsidP="00AB6C42">
            <w:pPr>
              <w:spacing w:line="240" w:lineRule="auto"/>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57FB63FF" w14:textId="77777777" w:rsidR="00AB6C42" w:rsidRPr="00802F1A" w:rsidRDefault="00AB6C42" w:rsidP="00AB6C42">
            <w:pPr>
              <w:spacing w:line="240" w:lineRule="auto"/>
              <w:jc w:val="right"/>
              <w:rPr>
                <w:rFonts w:eastAsia="Times New Roman" w:cs="Times New Roman"/>
                <w:sz w:val="20"/>
                <w:szCs w:val="20"/>
                <w:lang w:eastAsia="en-AU"/>
              </w:rPr>
            </w:pPr>
          </w:p>
        </w:tc>
        <w:tc>
          <w:tcPr>
            <w:tcW w:w="632" w:type="dxa"/>
            <w:gridSpan w:val="2"/>
            <w:tcBorders>
              <w:top w:val="nil"/>
              <w:left w:val="nil"/>
              <w:bottom w:val="nil"/>
              <w:right w:val="nil"/>
            </w:tcBorders>
            <w:shd w:val="clear" w:color="auto" w:fill="auto"/>
            <w:noWrap/>
            <w:hideMark/>
          </w:tcPr>
          <w:p w14:paraId="6238036E"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6254408B" w14:textId="77777777" w:rsidTr="00CD1F30">
        <w:trPr>
          <w:trHeight w:val="288"/>
        </w:trPr>
        <w:tc>
          <w:tcPr>
            <w:tcW w:w="990" w:type="dxa"/>
            <w:tcBorders>
              <w:top w:val="nil"/>
              <w:left w:val="nil"/>
              <w:bottom w:val="nil"/>
              <w:right w:val="nil"/>
            </w:tcBorders>
            <w:shd w:val="clear" w:color="auto" w:fill="auto"/>
            <w:noWrap/>
            <w:hideMark/>
          </w:tcPr>
          <w:p w14:paraId="0483279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w:t>
            </w:r>
          </w:p>
        </w:tc>
        <w:tc>
          <w:tcPr>
            <w:tcW w:w="630" w:type="dxa"/>
            <w:tcBorders>
              <w:top w:val="nil"/>
              <w:left w:val="nil"/>
              <w:bottom w:val="nil"/>
              <w:right w:val="nil"/>
            </w:tcBorders>
            <w:shd w:val="clear" w:color="auto" w:fill="auto"/>
            <w:noWrap/>
            <w:hideMark/>
          </w:tcPr>
          <w:p w14:paraId="3691C60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15</w:t>
            </w:r>
          </w:p>
        </w:tc>
        <w:tc>
          <w:tcPr>
            <w:tcW w:w="602" w:type="dxa"/>
            <w:tcBorders>
              <w:top w:val="nil"/>
              <w:left w:val="nil"/>
              <w:bottom w:val="nil"/>
              <w:right w:val="nil"/>
            </w:tcBorders>
            <w:shd w:val="clear" w:color="auto" w:fill="auto"/>
            <w:noWrap/>
            <w:hideMark/>
          </w:tcPr>
          <w:p w14:paraId="11671160"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0.74</w:t>
            </w:r>
          </w:p>
        </w:tc>
        <w:tc>
          <w:tcPr>
            <w:tcW w:w="718" w:type="dxa"/>
            <w:tcBorders>
              <w:top w:val="nil"/>
              <w:left w:val="nil"/>
              <w:bottom w:val="nil"/>
              <w:right w:val="nil"/>
            </w:tcBorders>
            <w:shd w:val="clear" w:color="auto" w:fill="auto"/>
            <w:noWrap/>
            <w:hideMark/>
          </w:tcPr>
          <w:p w14:paraId="3A125C01"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3.92</w:t>
            </w:r>
          </w:p>
        </w:tc>
        <w:tc>
          <w:tcPr>
            <w:tcW w:w="1290" w:type="dxa"/>
            <w:tcBorders>
              <w:top w:val="nil"/>
              <w:left w:val="single" w:sz="4" w:space="0" w:color="auto"/>
              <w:bottom w:val="nil"/>
              <w:right w:val="nil"/>
            </w:tcBorders>
            <w:shd w:val="clear" w:color="auto" w:fill="auto"/>
            <w:noWrap/>
            <w:hideMark/>
          </w:tcPr>
          <w:p w14:paraId="6D605AD1"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2+3</w:t>
            </w:r>
          </w:p>
        </w:tc>
        <w:tc>
          <w:tcPr>
            <w:tcW w:w="630" w:type="dxa"/>
            <w:tcBorders>
              <w:top w:val="nil"/>
              <w:left w:val="nil"/>
              <w:bottom w:val="nil"/>
              <w:right w:val="nil"/>
            </w:tcBorders>
            <w:shd w:val="clear" w:color="auto" w:fill="auto"/>
            <w:noWrap/>
            <w:hideMark/>
          </w:tcPr>
          <w:p w14:paraId="2488F691"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23</w:t>
            </w:r>
          </w:p>
        </w:tc>
        <w:tc>
          <w:tcPr>
            <w:tcW w:w="630" w:type="dxa"/>
            <w:tcBorders>
              <w:top w:val="nil"/>
              <w:left w:val="nil"/>
              <w:bottom w:val="nil"/>
              <w:right w:val="nil"/>
            </w:tcBorders>
            <w:shd w:val="clear" w:color="auto" w:fill="auto"/>
            <w:noWrap/>
            <w:hideMark/>
          </w:tcPr>
          <w:p w14:paraId="3567EF38"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0.47</w:t>
            </w:r>
          </w:p>
        </w:tc>
        <w:tc>
          <w:tcPr>
            <w:tcW w:w="575" w:type="dxa"/>
            <w:tcBorders>
              <w:top w:val="nil"/>
              <w:left w:val="nil"/>
              <w:bottom w:val="nil"/>
              <w:right w:val="single" w:sz="4" w:space="0" w:color="auto"/>
            </w:tcBorders>
            <w:shd w:val="clear" w:color="auto" w:fill="auto"/>
            <w:noWrap/>
            <w:hideMark/>
          </w:tcPr>
          <w:p w14:paraId="6F510950"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3.24</w:t>
            </w:r>
          </w:p>
        </w:tc>
        <w:tc>
          <w:tcPr>
            <w:tcW w:w="1045" w:type="dxa"/>
            <w:tcBorders>
              <w:top w:val="nil"/>
              <w:left w:val="nil"/>
              <w:bottom w:val="nil"/>
              <w:right w:val="nil"/>
            </w:tcBorders>
            <w:shd w:val="clear" w:color="auto" w:fill="auto"/>
            <w:noWrap/>
            <w:hideMark/>
          </w:tcPr>
          <w:p w14:paraId="12DF375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2+3</w:t>
            </w:r>
          </w:p>
        </w:tc>
        <w:tc>
          <w:tcPr>
            <w:tcW w:w="720" w:type="dxa"/>
            <w:tcBorders>
              <w:top w:val="nil"/>
              <w:left w:val="nil"/>
              <w:bottom w:val="nil"/>
              <w:right w:val="nil"/>
            </w:tcBorders>
            <w:shd w:val="clear" w:color="auto" w:fill="auto"/>
            <w:noWrap/>
            <w:hideMark/>
          </w:tcPr>
          <w:p w14:paraId="185A4F5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23</w:t>
            </w:r>
          </w:p>
        </w:tc>
        <w:tc>
          <w:tcPr>
            <w:tcW w:w="630" w:type="dxa"/>
            <w:tcBorders>
              <w:top w:val="nil"/>
              <w:left w:val="nil"/>
              <w:bottom w:val="nil"/>
              <w:right w:val="nil"/>
            </w:tcBorders>
            <w:shd w:val="clear" w:color="auto" w:fill="auto"/>
            <w:noWrap/>
            <w:hideMark/>
          </w:tcPr>
          <w:p w14:paraId="5BA2441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0.47</w:t>
            </w:r>
          </w:p>
        </w:tc>
        <w:tc>
          <w:tcPr>
            <w:tcW w:w="632" w:type="dxa"/>
            <w:gridSpan w:val="2"/>
            <w:tcBorders>
              <w:top w:val="nil"/>
              <w:left w:val="nil"/>
              <w:bottom w:val="nil"/>
              <w:right w:val="nil"/>
            </w:tcBorders>
            <w:shd w:val="clear" w:color="auto" w:fill="auto"/>
            <w:noWrap/>
            <w:hideMark/>
          </w:tcPr>
          <w:p w14:paraId="7B1B533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3.24</w:t>
            </w:r>
          </w:p>
        </w:tc>
      </w:tr>
      <w:tr w:rsidR="00802F1A" w:rsidRPr="00802F1A" w14:paraId="4D310685" w14:textId="77777777" w:rsidTr="00CD1F30">
        <w:trPr>
          <w:trHeight w:val="288"/>
        </w:trPr>
        <w:tc>
          <w:tcPr>
            <w:tcW w:w="990" w:type="dxa"/>
            <w:tcBorders>
              <w:top w:val="nil"/>
              <w:left w:val="nil"/>
              <w:bottom w:val="nil"/>
              <w:right w:val="nil"/>
            </w:tcBorders>
            <w:shd w:val="clear" w:color="auto" w:fill="auto"/>
            <w:noWrap/>
            <w:hideMark/>
          </w:tcPr>
          <w:p w14:paraId="553CED2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630" w:type="dxa"/>
            <w:tcBorders>
              <w:top w:val="nil"/>
              <w:left w:val="nil"/>
              <w:bottom w:val="nil"/>
              <w:right w:val="nil"/>
            </w:tcBorders>
            <w:shd w:val="clear" w:color="auto" w:fill="auto"/>
            <w:noWrap/>
            <w:hideMark/>
          </w:tcPr>
          <w:p w14:paraId="1D622CF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76</w:t>
            </w:r>
          </w:p>
        </w:tc>
        <w:tc>
          <w:tcPr>
            <w:tcW w:w="602" w:type="dxa"/>
            <w:tcBorders>
              <w:top w:val="nil"/>
              <w:left w:val="nil"/>
              <w:bottom w:val="nil"/>
              <w:right w:val="nil"/>
            </w:tcBorders>
            <w:shd w:val="clear" w:color="auto" w:fill="auto"/>
            <w:noWrap/>
            <w:hideMark/>
          </w:tcPr>
          <w:p w14:paraId="5A648E25"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-0.13</w:t>
            </w:r>
          </w:p>
        </w:tc>
        <w:tc>
          <w:tcPr>
            <w:tcW w:w="718" w:type="dxa"/>
            <w:tcBorders>
              <w:top w:val="nil"/>
              <w:left w:val="nil"/>
              <w:bottom w:val="nil"/>
              <w:right w:val="nil"/>
            </w:tcBorders>
            <w:shd w:val="clear" w:color="auto" w:fill="auto"/>
            <w:noWrap/>
            <w:hideMark/>
          </w:tcPr>
          <w:p w14:paraId="5EAE100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-1.56</w:t>
            </w:r>
          </w:p>
        </w:tc>
        <w:tc>
          <w:tcPr>
            <w:tcW w:w="1290" w:type="dxa"/>
            <w:tcBorders>
              <w:top w:val="nil"/>
              <w:left w:val="single" w:sz="4" w:space="0" w:color="auto"/>
              <w:bottom w:val="nil"/>
              <w:right w:val="nil"/>
            </w:tcBorders>
            <w:shd w:val="clear" w:color="auto" w:fill="auto"/>
            <w:noWrap/>
            <w:hideMark/>
          </w:tcPr>
          <w:p w14:paraId="56AA0701"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3+4</w:t>
            </w:r>
          </w:p>
        </w:tc>
        <w:tc>
          <w:tcPr>
            <w:tcW w:w="630" w:type="dxa"/>
            <w:tcBorders>
              <w:top w:val="nil"/>
              <w:left w:val="nil"/>
              <w:bottom w:val="nil"/>
              <w:right w:val="nil"/>
            </w:tcBorders>
            <w:shd w:val="clear" w:color="auto" w:fill="auto"/>
            <w:noWrap/>
            <w:hideMark/>
          </w:tcPr>
          <w:p w14:paraId="53DB941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91</w:t>
            </w:r>
          </w:p>
        </w:tc>
        <w:tc>
          <w:tcPr>
            <w:tcW w:w="630" w:type="dxa"/>
            <w:tcBorders>
              <w:top w:val="nil"/>
              <w:left w:val="nil"/>
              <w:bottom w:val="nil"/>
              <w:right w:val="nil"/>
            </w:tcBorders>
            <w:shd w:val="clear" w:color="auto" w:fill="auto"/>
            <w:noWrap/>
            <w:hideMark/>
          </w:tcPr>
          <w:p w14:paraId="29CE2C2D"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-0.31</w:t>
            </w:r>
          </w:p>
        </w:tc>
        <w:tc>
          <w:tcPr>
            <w:tcW w:w="575" w:type="dxa"/>
            <w:tcBorders>
              <w:top w:val="nil"/>
              <w:left w:val="nil"/>
              <w:bottom w:val="nil"/>
              <w:right w:val="single" w:sz="4" w:space="0" w:color="auto"/>
            </w:tcBorders>
            <w:shd w:val="clear" w:color="auto" w:fill="auto"/>
            <w:noWrap/>
            <w:hideMark/>
          </w:tcPr>
          <w:p w14:paraId="658175B0"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-4.25</w:t>
            </w:r>
          </w:p>
        </w:tc>
        <w:tc>
          <w:tcPr>
            <w:tcW w:w="1045" w:type="dxa"/>
            <w:tcBorders>
              <w:top w:val="nil"/>
              <w:left w:val="nil"/>
              <w:bottom w:val="nil"/>
              <w:right w:val="nil"/>
            </w:tcBorders>
            <w:shd w:val="clear" w:color="auto" w:fill="auto"/>
            <w:noWrap/>
            <w:hideMark/>
          </w:tcPr>
          <w:p w14:paraId="328CDBB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720" w:type="dxa"/>
            <w:tcBorders>
              <w:top w:val="nil"/>
              <w:left w:val="nil"/>
              <w:bottom w:val="nil"/>
              <w:right w:val="nil"/>
            </w:tcBorders>
            <w:shd w:val="clear" w:color="auto" w:fill="auto"/>
            <w:noWrap/>
            <w:hideMark/>
          </w:tcPr>
          <w:p w14:paraId="60D6FD0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76</w:t>
            </w:r>
          </w:p>
        </w:tc>
        <w:tc>
          <w:tcPr>
            <w:tcW w:w="630" w:type="dxa"/>
            <w:tcBorders>
              <w:top w:val="nil"/>
              <w:left w:val="nil"/>
              <w:bottom w:val="nil"/>
              <w:right w:val="nil"/>
            </w:tcBorders>
            <w:shd w:val="clear" w:color="auto" w:fill="auto"/>
            <w:noWrap/>
            <w:hideMark/>
          </w:tcPr>
          <w:p w14:paraId="32B71E0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-0.13</w:t>
            </w:r>
          </w:p>
        </w:tc>
        <w:tc>
          <w:tcPr>
            <w:tcW w:w="632" w:type="dxa"/>
            <w:gridSpan w:val="2"/>
            <w:tcBorders>
              <w:top w:val="nil"/>
              <w:left w:val="nil"/>
              <w:bottom w:val="nil"/>
              <w:right w:val="nil"/>
            </w:tcBorders>
            <w:shd w:val="clear" w:color="auto" w:fill="auto"/>
            <w:noWrap/>
            <w:hideMark/>
          </w:tcPr>
          <w:p w14:paraId="360732B4"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-1.56</w:t>
            </w:r>
          </w:p>
        </w:tc>
      </w:tr>
      <w:tr w:rsidR="00802F1A" w:rsidRPr="00802F1A" w14:paraId="4BBAFB71" w14:textId="77777777" w:rsidTr="00CD1F30">
        <w:trPr>
          <w:trHeight w:val="288"/>
        </w:trPr>
        <w:tc>
          <w:tcPr>
            <w:tcW w:w="990" w:type="dxa"/>
            <w:tcBorders>
              <w:top w:val="nil"/>
              <w:left w:val="nil"/>
              <w:bottom w:val="nil"/>
              <w:right w:val="nil"/>
            </w:tcBorders>
            <w:shd w:val="clear" w:color="auto" w:fill="auto"/>
            <w:noWrap/>
            <w:hideMark/>
          </w:tcPr>
          <w:p w14:paraId="6CD40211"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5</w:t>
            </w:r>
          </w:p>
        </w:tc>
        <w:tc>
          <w:tcPr>
            <w:tcW w:w="630" w:type="dxa"/>
            <w:tcBorders>
              <w:top w:val="nil"/>
              <w:left w:val="nil"/>
              <w:bottom w:val="nil"/>
              <w:right w:val="nil"/>
            </w:tcBorders>
            <w:shd w:val="clear" w:color="auto" w:fill="auto"/>
            <w:noWrap/>
            <w:hideMark/>
          </w:tcPr>
          <w:p w14:paraId="1C6039A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17</w:t>
            </w:r>
          </w:p>
        </w:tc>
        <w:tc>
          <w:tcPr>
            <w:tcW w:w="602" w:type="dxa"/>
            <w:tcBorders>
              <w:top w:val="nil"/>
              <w:left w:val="nil"/>
              <w:bottom w:val="nil"/>
              <w:right w:val="nil"/>
            </w:tcBorders>
            <w:shd w:val="clear" w:color="auto" w:fill="auto"/>
            <w:noWrap/>
            <w:hideMark/>
          </w:tcPr>
          <w:p w14:paraId="32901EF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0.28</w:t>
            </w:r>
          </w:p>
        </w:tc>
        <w:tc>
          <w:tcPr>
            <w:tcW w:w="718" w:type="dxa"/>
            <w:tcBorders>
              <w:top w:val="nil"/>
              <w:left w:val="nil"/>
              <w:bottom w:val="nil"/>
              <w:right w:val="nil"/>
            </w:tcBorders>
            <w:shd w:val="clear" w:color="auto" w:fill="auto"/>
            <w:noWrap/>
            <w:hideMark/>
          </w:tcPr>
          <w:p w14:paraId="5E00FA7E"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1.74</w:t>
            </w:r>
          </w:p>
        </w:tc>
        <w:tc>
          <w:tcPr>
            <w:tcW w:w="1290" w:type="dxa"/>
            <w:tcBorders>
              <w:top w:val="nil"/>
              <w:left w:val="single" w:sz="4" w:space="0" w:color="auto"/>
              <w:bottom w:val="nil"/>
              <w:right w:val="nil"/>
            </w:tcBorders>
            <w:shd w:val="clear" w:color="auto" w:fill="auto"/>
            <w:noWrap/>
            <w:hideMark/>
          </w:tcPr>
          <w:p w14:paraId="66968AEA"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4+5</w:t>
            </w:r>
          </w:p>
        </w:tc>
        <w:tc>
          <w:tcPr>
            <w:tcW w:w="630" w:type="dxa"/>
            <w:tcBorders>
              <w:top w:val="nil"/>
              <w:left w:val="nil"/>
              <w:bottom w:val="nil"/>
              <w:right w:val="nil"/>
            </w:tcBorders>
            <w:shd w:val="clear" w:color="auto" w:fill="auto"/>
            <w:noWrap/>
            <w:hideMark/>
          </w:tcPr>
          <w:p w14:paraId="385C165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93</w:t>
            </w:r>
          </w:p>
        </w:tc>
        <w:tc>
          <w:tcPr>
            <w:tcW w:w="630" w:type="dxa"/>
            <w:tcBorders>
              <w:top w:val="nil"/>
              <w:left w:val="nil"/>
              <w:bottom w:val="nil"/>
              <w:right w:val="nil"/>
            </w:tcBorders>
            <w:shd w:val="clear" w:color="auto" w:fill="auto"/>
            <w:noWrap/>
            <w:hideMark/>
          </w:tcPr>
          <w:p w14:paraId="3FD2C21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-0.42</w:t>
            </w:r>
          </w:p>
        </w:tc>
        <w:tc>
          <w:tcPr>
            <w:tcW w:w="575" w:type="dxa"/>
            <w:tcBorders>
              <w:top w:val="nil"/>
              <w:left w:val="nil"/>
              <w:bottom w:val="nil"/>
              <w:right w:val="single" w:sz="4" w:space="0" w:color="auto"/>
            </w:tcBorders>
            <w:shd w:val="clear" w:color="auto" w:fill="auto"/>
            <w:noWrap/>
            <w:hideMark/>
          </w:tcPr>
          <w:p w14:paraId="136C605F"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-5.82</w:t>
            </w:r>
          </w:p>
        </w:tc>
        <w:tc>
          <w:tcPr>
            <w:tcW w:w="1045" w:type="dxa"/>
            <w:tcBorders>
              <w:top w:val="nil"/>
              <w:left w:val="nil"/>
              <w:bottom w:val="nil"/>
              <w:right w:val="nil"/>
            </w:tcBorders>
            <w:shd w:val="clear" w:color="auto" w:fill="auto"/>
            <w:noWrap/>
            <w:hideMark/>
          </w:tcPr>
          <w:p w14:paraId="3FB9CD97" w14:textId="77777777" w:rsidR="00AB6C42" w:rsidRPr="00802F1A" w:rsidRDefault="00AB6C42" w:rsidP="00AB6C42">
            <w:pPr>
              <w:spacing w:line="240" w:lineRule="auto"/>
              <w:jc w:val="right"/>
              <w:rPr>
                <w:rFonts w:eastAsia="Times New Roman" w:cs="Times New Roman"/>
                <w:sz w:val="16"/>
                <w:szCs w:val="16"/>
                <w:lang w:eastAsia="en-AU"/>
              </w:rPr>
            </w:pPr>
          </w:p>
        </w:tc>
        <w:tc>
          <w:tcPr>
            <w:tcW w:w="720" w:type="dxa"/>
            <w:tcBorders>
              <w:top w:val="nil"/>
              <w:left w:val="nil"/>
              <w:bottom w:val="nil"/>
              <w:right w:val="nil"/>
            </w:tcBorders>
            <w:shd w:val="clear" w:color="auto" w:fill="auto"/>
            <w:noWrap/>
            <w:hideMark/>
          </w:tcPr>
          <w:p w14:paraId="5610F2B8" w14:textId="77777777" w:rsidR="00AB6C42" w:rsidRPr="00802F1A" w:rsidRDefault="00AB6C42" w:rsidP="00AB6C42">
            <w:pPr>
              <w:spacing w:line="240" w:lineRule="auto"/>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633C6704" w14:textId="77777777" w:rsidR="00AB6C42" w:rsidRPr="00802F1A" w:rsidRDefault="00AB6C42" w:rsidP="00AB6C42">
            <w:pPr>
              <w:spacing w:line="240" w:lineRule="auto"/>
              <w:jc w:val="right"/>
              <w:rPr>
                <w:rFonts w:eastAsia="Times New Roman" w:cs="Times New Roman"/>
                <w:sz w:val="20"/>
                <w:szCs w:val="20"/>
                <w:lang w:eastAsia="en-AU"/>
              </w:rPr>
            </w:pPr>
          </w:p>
        </w:tc>
        <w:tc>
          <w:tcPr>
            <w:tcW w:w="632" w:type="dxa"/>
            <w:gridSpan w:val="2"/>
            <w:tcBorders>
              <w:top w:val="nil"/>
              <w:left w:val="nil"/>
              <w:bottom w:val="nil"/>
              <w:right w:val="nil"/>
            </w:tcBorders>
            <w:shd w:val="clear" w:color="auto" w:fill="auto"/>
            <w:noWrap/>
            <w:hideMark/>
          </w:tcPr>
          <w:p w14:paraId="1F48ED0E"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3EA84109" w14:textId="77777777" w:rsidTr="00CD1F30">
        <w:trPr>
          <w:trHeight w:val="288"/>
        </w:trPr>
        <w:tc>
          <w:tcPr>
            <w:tcW w:w="990" w:type="dxa"/>
            <w:tcBorders>
              <w:top w:val="nil"/>
              <w:left w:val="nil"/>
              <w:bottom w:val="nil"/>
              <w:right w:val="nil"/>
            </w:tcBorders>
            <w:shd w:val="clear" w:color="auto" w:fill="auto"/>
            <w:noWrap/>
            <w:hideMark/>
          </w:tcPr>
          <w:p w14:paraId="5F4CF138"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w:t>
            </w:r>
          </w:p>
        </w:tc>
        <w:tc>
          <w:tcPr>
            <w:tcW w:w="630" w:type="dxa"/>
            <w:tcBorders>
              <w:top w:val="nil"/>
              <w:left w:val="nil"/>
              <w:bottom w:val="nil"/>
              <w:right w:val="nil"/>
            </w:tcBorders>
            <w:shd w:val="clear" w:color="auto" w:fill="auto"/>
            <w:noWrap/>
            <w:hideMark/>
          </w:tcPr>
          <w:p w14:paraId="25CEE30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w:t>
            </w:r>
          </w:p>
        </w:tc>
        <w:tc>
          <w:tcPr>
            <w:tcW w:w="602" w:type="dxa"/>
            <w:tcBorders>
              <w:top w:val="nil"/>
              <w:left w:val="nil"/>
              <w:bottom w:val="nil"/>
              <w:right w:val="nil"/>
            </w:tcBorders>
            <w:shd w:val="clear" w:color="auto" w:fill="auto"/>
            <w:noWrap/>
            <w:hideMark/>
          </w:tcPr>
          <w:p w14:paraId="0CE7B2A0"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1.22</w:t>
            </w:r>
          </w:p>
        </w:tc>
        <w:tc>
          <w:tcPr>
            <w:tcW w:w="718" w:type="dxa"/>
            <w:tcBorders>
              <w:top w:val="nil"/>
              <w:left w:val="nil"/>
              <w:bottom w:val="nil"/>
              <w:right w:val="nil"/>
            </w:tcBorders>
            <w:shd w:val="clear" w:color="auto" w:fill="auto"/>
            <w:noWrap/>
            <w:hideMark/>
          </w:tcPr>
          <w:p w14:paraId="2FBC5102"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2.05</w:t>
            </w:r>
          </w:p>
        </w:tc>
        <w:tc>
          <w:tcPr>
            <w:tcW w:w="1290" w:type="dxa"/>
            <w:tcBorders>
              <w:top w:val="nil"/>
              <w:left w:val="single" w:sz="4" w:space="0" w:color="auto"/>
              <w:bottom w:val="nil"/>
              <w:right w:val="nil"/>
            </w:tcBorders>
            <w:shd w:val="clear" w:color="auto" w:fill="auto"/>
            <w:noWrap/>
            <w:hideMark/>
          </w:tcPr>
          <w:p w14:paraId="667C8BFF"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5+6</w:t>
            </w:r>
          </w:p>
        </w:tc>
        <w:tc>
          <w:tcPr>
            <w:tcW w:w="630" w:type="dxa"/>
            <w:tcBorders>
              <w:top w:val="nil"/>
              <w:left w:val="nil"/>
              <w:bottom w:val="nil"/>
              <w:right w:val="nil"/>
            </w:tcBorders>
            <w:shd w:val="clear" w:color="auto" w:fill="auto"/>
            <w:noWrap/>
            <w:hideMark/>
          </w:tcPr>
          <w:p w14:paraId="5313A069"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21</w:t>
            </w:r>
          </w:p>
        </w:tc>
        <w:tc>
          <w:tcPr>
            <w:tcW w:w="630" w:type="dxa"/>
            <w:tcBorders>
              <w:top w:val="nil"/>
              <w:left w:val="nil"/>
              <w:bottom w:val="nil"/>
              <w:right w:val="nil"/>
            </w:tcBorders>
            <w:shd w:val="clear" w:color="auto" w:fill="auto"/>
            <w:noWrap/>
            <w:hideMark/>
          </w:tcPr>
          <w:p w14:paraId="32FDAFC4"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-0.04</w:t>
            </w:r>
          </w:p>
        </w:tc>
        <w:tc>
          <w:tcPr>
            <w:tcW w:w="575" w:type="dxa"/>
            <w:tcBorders>
              <w:top w:val="nil"/>
              <w:left w:val="nil"/>
              <w:bottom w:val="nil"/>
              <w:right w:val="single" w:sz="4" w:space="0" w:color="auto"/>
            </w:tcBorders>
            <w:shd w:val="clear" w:color="auto" w:fill="auto"/>
            <w:noWrap/>
            <w:hideMark/>
          </w:tcPr>
          <w:p w14:paraId="494CC0F4"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-0.31</w:t>
            </w:r>
          </w:p>
        </w:tc>
        <w:tc>
          <w:tcPr>
            <w:tcW w:w="1045" w:type="dxa"/>
            <w:tcBorders>
              <w:top w:val="nil"/>
              <w:left w:val="nil"/>
              <w:bottom w:val="nil"/>
              <w:right w:val="nil"/>
            </w:tcBorders>
            <w:shd w:val="clear" w:color="auto" w:fill="auto"/>
            <w:noWrap/>
            <w:hideMark/>
          </w:tcPr>
          <w:p w14:paraId="209326C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5+6</w:t>
            </w:r>
          </w:p>
        </w:tc>
        <w:tc>
          <w:tcPr>
            <w:tcW w:w="720" w:type="dxa"/>
            <w:tcBorders>
              <w:top w:val="nil"/>
              <w:left w:val="nil"/>
              <w:bottom w:val="nil"/>
              <w:right w:val="nil"/>
            </w:tcBorders>
            <w:shd w:val="clear" w:color="auto" w:fill="auto"/>
            <w:noWrap/>
            <w:hideMark/>
          </w:tcPr>
          <w:p w14:paraId="4844A8B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21</w:t>
            </w:r>
          </w:p>
        </w:tc>
        <w:tc>
          <w:tcPr>
            <w:tcW w:w="630" w:type="dxa"/>
            <w:tcBorders>
              <w:top w:val="nil"/>
              <w:left w:val="nil"/>
              <w:bottom w:val="nil"/>
              <w:right w:val="nil"/>
            </w:tcBorders>
            <w:shd w:val="clear" w:color="auto" w:fill="auto"/>
            <w:noWrap/>
            <w:hideMark/>
          </w:tcPr>
          <w:p w14:paraId="0D0871C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-0.04</w:t>
            </w:r>
          </w:p>
        </w:tc>
        <w:tc>
          <w:tcPr>
            <w:tcW w:w="632" w:type="dxa"/>
            <w:gridSpan w:val="2"/>
            <w:tcBorders>
              <w:top w:val="nil"/>
              <w:left w:val="nil"/>
              <w:bottom w:val="nil"/>
              <w:right w:val="nil"/>
            </w:tcBorders>
            <w:shd w:val="clear" w:color="auto" w:fill="auto"/>
            <w:noWrap/>
            <w:hideMark/>
          </w:tcPr>
          <w:p w14:paraId="1802CE1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-0.31</w:t>
            </w:r>
          </w:p>
        </w:tc>
      </w:tr>
      <w:tr w:rsidR="00802F1A" w:rsidRPr="00802F1A" w14:paraId="3AA55457" w14:textId="77777777" w:rsidTr="00CD1F30">
        <w:trPr>
          <w:trHeight w:val="288"/>
        </w:trPr>
        <w:tc>
          <w:tcPr>
            <w:tcW w:w="990" w:type="dxa"/>
            <w:tcBorders>
              <w:top w:val="nil"/>
              <w:left w:val="nil"/>
              <w:bottom w:val="nil"/>
              <w:right w:val="nil"/>
            </w:tcBorders>
            <w:shd w:val="clear" w:color="auto" w:fill="auto"/>
            <w:noWrap/>
            <w:hideMark/>
          </w:tcPr>
          <w:p w14:paraId="57D3CE7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7</w:t>
            </w:r>
          </w:p>
        </w:tc>
        <w:tc>
          <w:tcPr>
            <w:tcW w:w="630" w:type="dxa"/>
            <w:tcBorders>
              <w:top w:val="nil"/>
              <w:left w:val="nil"/>
              <w:bottom w:val="nil"/>
              <w:right w:val="nil"/>
            </w:tcBorders>
            <w:shd w:val="clear" w:color="auto" w:fill="auto"/>
            <w:noWrap/>
            <w:hideMark/>
          </w:tcPr>
          <w:p w14:paraId="73A456B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w:t>
            </w:r>
          </w:p>
        </w:tc>
        <w:tc>
          <w:tcPr>
            <w:tcW w:w="602" w:type="dxa"/>
            <w:tcBorders>
              <w:top w:val="nil"/>
              <w:left w:val="nil"/>
              <w:bottom w:val="nil"/>
              <w:right w:val="nil"/>
            </w:tcBorders>
            <w:shd w:val="clear" w:color="auto" w:fill="auto"/>
            <w:noWrap/>
            <w:hideMark/>
          </w:tcPr>
          <w:p w14:paraId="029E8545"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0.41</w:t>
            </w:r>
          </w:p>
        </w:tc>
        <w:tc>
          <w:tcPr>
            <w:tcW w:w="718" w:type="dxa"/>
            <w:tcBorders>
              <w:top w:val="nil"/>
              <w:left w:val="nil"/>
              <w:bottom w:val="nil"/>
              <w:right w:val="nil"/>
            </w:tcBorders>
            <w:shd w:val="clear" w:color="auto" w:fill="auto"/>
            <w:noWrap/>
            <w:hideMark/>
          </w:tcPr>
          <w:p w14:paraId="166B47C4"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1.05</w:t>
            </w:r>
          </w:p>
        </w:tc>
        <w:tc>
          <w:tcPr>
            <w:tcW w:w="1290" w:type="dxa"/>
            <w:tcBorders>
              <w:top w:val="nil"/>
              <w:left w:val="single" w:sz="4" w:space="0" w:color="auto"/>
              <w:bottom w:val="nil"/>
              <w:right w:val="nil"/>
            </w:tcBorders>
            <w:shd w:val="clear" w:color="auto" w:fill="auto"/>
            <w:noWrap/>
            <w:hideMark/>
          </w:tcPr>
          <w:p w14:paraId="2CACD750"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6+7</w:t>
            </w:r>
          </w:p>
        </w:tc>
        <w:tc>
          <w:tcPr>
            <w:tcW w:w="630" w:type="dxa"/>
            <w:tcBorders>
              <w:top w:val="nil"/>
              <w:left w:val="nil"/>
              <w:bottom w:val="nil"/>
              <w:right w:val="nil"/>
            </w:tcBorders>
            <w:shd w:val="clear" w:color="auto" w:fill="auto"/>
            <w:noWrap/>
            <w:hideMark/>
          </w:tcPr>
          <w:p w14:paraId="7DCCEFE0"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9</w:t>
            </w:r>
          </w:p>
        </w:tc>
        <w:tc>
          <w:tcPr>
            <w:tcW w:w="630" w:type="dxa"/>
            <w:tcBorders>
              <w:top w:val="nil"/>
              <w:left w:val="nil"/>
              <w:bottom w:val="nil"/>
              <w:right w:val="nil"/>
            </w:tcBorders>
            <w:shd w:val="clear" w:color="auto" w:fill="auto"/>
            <w:noWrap/>
            <w:hideMark/>
          </w:tcPr>
          <w:p w14:paraId="3A1B6015"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0.20</w:t>
            </w:r>
          </w:p>
        </w:tc>
        <w:tc>
          <w:tcPr>
            <w:tcW w:w="575" w:type="dxa"/>
            <w:tcBorders>
              <w:top w:val="nil"/>
              <w:left w:val="nil"/>
              <w:bottom w:val="nil"/>
              <w:right w:val="single" w:sz="4" w:space="0" w:color="auto"/>
            </w:tcBorders>
            <w:shd w:val="clear" w:color="auto" w:fill="auto"/>
            <w:noWrap/>
            <w:hideMark/>
          </w:tcPr>
          <w:p w14:paraId="4741DB46"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0.58</w:t>
            </w:r>
          </w:p>
        </w:tc>
        <w:tc>
          <w:tcPr>
            <w:tcW w:w="1045" w:type="dxa"/>
            <w:tcBorders>
              <w:top w:val="nil"/>
              <w:left w:val="nil"/>
              <w:bottom w:val="nil"/>
              <w:right w:val="nil"/>
            </w:tcBorders>
            <w:shd w:val="clear" w:color="auto" w:fill="auto"/>
            <w:noWrap/>
            <w:hideMark/>
          </w:tcPr>
          <w:p w14:paraId="4485D782" w14:textId="77777777" w:rsidR="00AB6C42" w:rsidRPr="00802F1A" w:rsidRDefault="00AB6C42" w:rsidP="00AB6C42">
            <w:pPr>
              <w:spacing w:line="240" w:lineRule="auto"/>
              <w:jc w:val="right"/>
              <w:rPr>
                <w:rFonts w:eastAsia="Times New Roman" w:cs="Times New Roman"/>
                <w:b/>
                <w:bCs/>
                <w:sz w:val="16"/>
                <w:szCs w:val="16"/>
                <w:lang w:eastAsia="en-AU"/>
              </w:rPr>
            </w:pPr>
          </w:p>
        </w:tc>
        <w:tc>
          <w:tcPr>
            <w:tcW w:w="720" w:type="dxa"/>
            <w:tcBorders>
              <w:top w:val="nil"/>
              <w:left w:val="nil"/>
              <w:bottom w:val="nil"/>
              <w:right w:val="nil"/>
            </w:tcBorders>
            <w:shd w:val="clear" w:color="auto" w:fill="auto"/>
            <w:noWrap/>
            <w:hideMark/>
          </w:tcPr>
          <w:p w14:paraId="5DA97037" w14:textId="77777777" w:rsidR="00AB6C42" w:rsidRPr="00802F1A" w:rsidRDefault="00AB6C42" w:rsidP="00AB6C42">
            <w:pPr>
              <w:spacing w:line="240" w:lineRule="auto"/>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4842CD97" w14:textId="77777777" w:rsidR="00AB6C42" w:rsidRPr="00802F1A" w:rsidRDefault="00AB6C42" w:rsidP="00AB6C42">
            <w:pPr>
              <w:spacing w:line="240" w:lineRule="auto"/>
              <w:jc w:val="right"/>
              <w:rPr>
                <w:rFonts w:eastAsia="Times New Roman" w:cs="Times New Roman"/>
                <w:sz w:val="20"/>
                <w:szCs w:val="20"/>
                <w:lang w:eastAsia="en-AU"/>
              </w:rPr>
            </w:pPr>
          </w:p>
        </w:tc>
        <w:tc>
          <w:tcPr>
            <w:tcW w:w="632" w:type="dxa"/>
            <w:gridSpan w:val="2"/>
            <w:tcBorders>
              <w:top w:val="nil"/>
              <w:left w:val="nil"/>
              <w:bottom w:val="nil"/>
              <w:right w:val="nil"/>
            </w:tcBorders>
            <w:shd w:val="clear" w:color="auto" w:fill="auto"/>
            <w:noWrap/>
            <w:hideMark/>
          </w:tcPr>
          <w:p w14:paraId="45D5EB01"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581112B4" w14:textId="77777777" w:rsidTr="00CD1F30">
        <w:trPr>
          <w:trHeight w:val="288"/>
        </w:trPr>
        <w:tc>
          <w:tcPr>
            <w:tcW w:w="990" w:type="dxa"/>
            <w:tcBorders>
              <w:top w:val="nil"/>
              <w:left w:val="nil"/>
              <w:bottom w:val="nil"/>
              <w:right w:val="nil"/>
            </w:tcBorders>
            <w:shd w:val="clear" w:color="auto" w:fill="auto"/>
            <w:noWrap/>
            <w:hideMark/>
          </w:tcPr>
          <w:p w14:paraId="73A15250"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8</w:t>
            </w:r>
          </w:p>
        </w:tc>
        <w:tc>
          <w:tcPr>
            <w:tcW w:w="630" w:type="dxa"/>
            <w:tcBorders>
              <w:top w:val="nil"/>
              <w:left w:val="nil"/>
              <w:bottom w:val="nil"/>
              <w:right w:val="nil"/>
            </w:tcBorders>
            <w:shd w:val="clear" w:color="auto" w:fill="auto"/>
            <w:noWrap/>
            <w:hideMark/>
          </w:tcPr>
          <w:p w14:paraId="0EDFB68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02" w:type="dxa"/>
            <w:tcBorders>
              <w:top w:val="nil"/>
              <w:left w:val="nil"/>
              <w:bottom w:val="nil"/>
              <w:right w:val="nil"/>
            </w:tcBorders>
            <w:shd w:val="clear" w:color="auto" w:fill="auto"/>
            <w:noWrap/>
            <w:hideMark/>
          </w:tcPr>
          <w:p w14:paraId="376B4A3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1.12</w:t>
            </w:r>
          </w:p>
        </w:tc>
        <w:tc>
          <w:tcPr>
            <w:tcW w:w="718" w:type="dxa"/>
            <w:tcBorders>
              <w:top w:val="nil"/>
              <w:left w:val="nil"/>
              <w:bottom w:val="nil"/>
              <w:right w:val="nil"/>
            </w:tcBorders>
            <w:shd w:val="clear" w:color="auto" w:fill="auto"/>
            <w:noWrap/>
            <w:hideMark/>
          </w:tcPr>
          <w:p w14:paraId="2A0AF7A6"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0.43</w:t>
            </w:r>
          </w:p>
        </w:tc>
        <w:tc>
          <w:tcPr>
            <w:tcW w:w="1290" w:type="dxa"/>
            <w:tcBorders>
              <w:top w:val="nil"/>
              <w:left w:val="single" w:sz="4" w:space="0" w:color="auto"/>
              <w:bottom w:val="nil"/>
              <w:right w:val="nil"/>
            </w:tcBorders>
            <w:shd w:val="clear" w:color="auto" w:fill="auto"/>
            <w:noWrap/>
            <w:hideMark/>
          </w:tcPr>
          <w:p w14:paraId="01CB62B7"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7+8</w:t>
            </w:r>
          </w:p>
        </w:tc>
        <w:tc>
          <w:tcPr>
            <w:tcW w:w="630" w:type="dxa"/>
            <w:tcBorders>
              <w:top w:val="nil"/>
              <w:left w:val="nil"/>
              <w:bottom w:val="nil"/>
              <w:right w:val="nil"/>
            </w:tcBorders>
            <w:shd w:val="clear" w:color="auto" w:fill="auto"/>
            <w:noWrap/>
            <w:hideMark/>
          </w:tcPr>
          <w:p w14:paraId="7296BDED"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7</w:t>
            </w:r>
          </w:p>
        </w:tc>
        <w:tc>
          <w:tcPr>
            <w:tcW w:w="630" w:type="dxa"/>
            <w:tcBorders>
              <w:top w:val="nil"/>
              <w:left w:val="nil"/>
              <w:bottom w:val="nil"/>
              <w:right w:val="nil"/>
            </w:tcBorders>
            <w:shd w:val="clear" w:color="auto" w:fill="auto"/>
            <w:noWrap/>
            <w:hideMark/>
          </w:tcPr>
          <w:p w14:paraId="1C0116D4"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-0.13</w:t>
            </w:r>
          </w:p>
        </w:tc>
        <w:tc>
          <w:tcPr>
            <w:tcW w:w="575" w:type="dxa"/>
            <w:tcBorders>
              <w:top w:val="nil"/>
              <w:left w:val="nil"/>
              <w:bottom w:val="nil"/>
              <w:right w:val="single" w:sz="4" w:space="0" w:color="auto"/>
            </w:tcBorders>
            <w:shd w:val="clear" w:color="auto" w:fill="auto"/>
            <w:noWrap/>
            <w:hideMark/>
          </w:tcPr>
          <w:p w14:paraId="70D57271"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-0.32</w:t>
            </w:r>
          </w:p>
        </w:tc>
        <w:tc>
          <w:tcPr>
            <w:tcW w:w="1045" w:type="dxa"/>
            <w:tcBorders>
              <w:top w:val="nil"/>
              <w:left w:val="nil"/>
              <w:bottom w:val="nil"/>
              <w:right w:val="nil"/>
            </w:tcBorders>
            <w:shd w:val="clear" w:color="auto" w:fill="auto"/>
            <w:noWrap/>
            <w:hideMark/>
          </w:tcPr>
          <w:p w14:paraId="4794586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7+8</w:t>
            </w:r>
          </w:p>
        </w:tc>
        <w:tc>
          <w:tcPr>
            <w:tcW w:w="720" w:type="dxa"/>
            <w:tcBorders>
              <w:top w:val="nil"/>
              <w:left w:val="nil"/>
              <w:bottom w:val="nil"/>
              <w:right w:val="nil"/>
            </w:tcBorders>
            <w:shd w:val="clear" w:color="auto" w:fill="auto"/>
            <w:noWrap/>
            <w:hideMark/>
          </w:tcPr>
          <w:p w14:paraId="211145B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7</w:t>
            </w:r>
          </w:p>
        </w:tc>
        <w:tc>
          <w:tcPr>
            <w:tcW w:w="630" w:type="dxa"/>
            <w:tcBorders>
              <w:top w:val="nil"/>
              <w:left w:val="nil"/>
              <w:bottom w:val="nil"/>
              <w:right w:val="nil"/>
            </w:tcBorders>
            <w:shd w:val="clear" w:color="auto" w:fill="auto"/>
            <w:noWrap/>
            <w:hideMark/>
          </w:tcPr>
          <w:p w14:paraId="2EAC111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-0.13</w:t>
            </w:r>
          </w:p>
        </w:tc>
        <w:tc>
          <w:tcPr>
            <w:tcW w:w="632" w:type="dxa"/>
            <w:gridSpan w:val="2"/>
            <w:tcBorders>
              <w:top w:val="nil"/>
              <w:left w:val="nil"/>
              <w:bottom w:val="nil"/>
              <w:right w:val="nil"/>
            </w:tcBorders>
            <w:shd w:val="clear" w:color="auto" w:fill="auto"/>
            <w:noWrap/>
            <w:hideMark/>
          </w:tcPr>
          <w:p w14:paraId="1A194FA4"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-0.32</w:t>
            </w:r>
          </w:p>
        </w:tc>
      </w:tr>
      <w:tr w:rsidR="00802F1A" w:rsidRPr="00802F1A" w14:paraId="6510D516" w14:textId="77777777" w:rsidTr="00CD1F30">
        <w:trPr>
          <w:trHeight w:val="288"/>
        </w:trPr>
        <w:tc>
          <w:tcPr>
            <w:tcW w:w="990" w:type="dxa"/>
            <w:tcBorders>
              <w:top w:val="nil"/>
              <w:left w:val="nil"/>
              <w:bottom w:val="nil"/>
              <w:right w:val="nil"/>
            </w:tcBorders>
            <w:shd w:val="clear" w:color="auto" w:fill="auto"/>
            <w:noWrap/>
            <w:hideMark/>
          </w:tcPr>
          <w:p w14:paraId="2207723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9</w:t>
            </w:r>
          </w:p>
        </w:tc>
        <w:tc>
          <w:tcPr>
            <w:tcW w:w="630" w:type="dxa"/>
            <w:tcBorders>
              <w:top w:val="nil"/>
              <w:left w:val="nil"/>
              <w:bottom w:val="nil"/>
              <w:right w:val="nil"/>
            </w:tcBorders>
            <w:shd w:val="clear" w:color="auto" w:fill="auto"/>
            <w:noWrap/>
            <w:hideMark/>
          </w:tcPr>
          <w:p w14:paraId="12B54DE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02" w:type="dxa"/>
            <w:tcBorders>
              <w:top w:val="nil"/>
              <w:left w:val="nil"/>
              <w:bottom w:val="nil"/>
              <w:right w:val="nil"/>
            </w:tcBorders>
            <w:shd w:val="clear" w:color="auto" w:fill="auto"/>
            <w:noWrap/>
            <w:hideMark/>
          </w:tcPr>
          <w:p w14:paraId="507A2095"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0.71</w:t>
            </w:r>
          </w:p>
        </w:tc>
        <w:tc>
          <w:tcPr>
            <w:tcW w:w="718" w:type="dxa"/>
            <w:tcBorders>
              <w:top w:val="nil"/>
              <w:left w:val="nil"/>
              <w:bottom w:val="nil"/>
              <w:right w:val="nil"/>
            </w:tcBorders>
            <w:shd w:val="clear" w:color="auto" w:fill="auto"/>
            <w:noWrap/>
            <w:hideMark/>
          </w:tcPr>
          <w:p w14:paraId="7840DE86"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1.33</w:t>
            </w:r>
          </w:p>
        </w:tc>
        <w:tc>
          <w:tcPr>
            <w:tcW w:w="1290" w:type="dxa"/>
            <w:tcBorders>
              <w:top w:val="nil"/>
              <w:left w:val="single" w:sz="4" w:space="0" w:color="auto"/>
              <w:bottom w:val="nil"/>
              <w:right w:val="nil"/>
            </w:tcBorders>
            <w:shd w:val="clear" w:color="auto" w:fill="auto"/>
            <w:noWrap/>
            <w:hideMark/>
          </w:tcPr>
          <w:p w14:paraId="6BA5B82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8+9</w:t>
            </w:r>
          </w:p>
        </w:tc>
        <w:tc>
          <w:tcPr>
            <w:tcW w:w="630" w:type="dxa"/>
            <w:tcBorders>
              <w:top w:val="nil"/>
              <w:left w:val="nil"/>
              <w:bottom w:val="nil"/>
              <w:right w:val="nil"/>
            </w:tcBorders>
            <w:shd w:val="clear" w:color="auto" w:fill="auto"/>
            <w:noWrap/>
            <w:hideMark/>
          </w:tcPr>
          <w:p w14:paraId="4F97C68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w:t>
            </w:r>
          </w:p>
        </w:tc>
        <w:tc>
          <w:tcPr>
            <w:tcW w:w="630" w:type="dxa"/>
            <w:tcBorders>
              <w:top w:val="nil"/>
              <w:left w:val="nil"/>
              <w:bottom w:val="nil"/>
              <w:right w:val="nil"/>
            </w:tcBorders>
            <w:shd w:val="clear" w:color="auto" w:fill="auto"/>
            <w:noWrap/>
            <w:hideMark/>
          </w:tcPr>
          <w:p w14:paraId="0CA71E3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-0.68</w:t>
            </w:r>
          </w:p>
        </w:tc>
        <w:tc>
          <w:tcPr>
            <w:tcW w:w="575" w:type="dxa"/>
            <w:tcBorders>
              <w:top w:val="nil"/>
              <w:left w:val="nil"/>
              <w:bottom w:val="nil"/>
              <w:right w:val="single" w:sz="4" w:space="0" w:color="auto"/>
            </w:tcBorders>
            <w:shd w:val="clear" w:color="auto" w:fill="auto"/>
            <w:noWrap/>
            <w:hideMark/>
          </w:tcPr>
          <w:p w14:paraId="023E747B"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-3.31</w:t>
            </w:r>
          </w:p>
        </w:tc>
        <w:tc>
          <w:tcPr>
            <w:tcW w:w="1045" w:type="dxa"/>
            <w:tcBorders>
              <w:top w:val="nil"/>
              <w:left w:val="nil"/>
              <w:bottom w:val="nil"/>
              <w:right w:val="nil"/>
            </w:tcBorders>
            <w:shd w:val="clear" w:color="auto" w:fill="auto"/>
            <w:noWrap/>
            <w:hideMark/>
          </w:tcPr>
          <w:p w14:paraId="3107400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9</w:t>
            </w:r>
          </w:p>
        </w:tc>
        <w:tc>
          <w:tcPr>
            <w:tcW w:w="720" w:type="dxa"/>
            <w:tcBorders>
              <w:top w:val="nil"/>
              <w:left w:val="nil"/>
              <w:bottom w:val="nil"/>
              <w:right w:val="nil"/>
            </w:tcBorders>
            <w:shd w:val="clear" w:color="auto" w:fill="auto"/>
            <w:noWrap/>
            <w:hideMark/>
          </w:tcPr>
          <w:p w14:paraId="7E2FAF2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30" w:type="dxa"/>
            <w:tcBorders>
              <w:top w:val="nil"/>
              <w:left w:val="nil"/>
              <w:bottom w:val="nil"/>
              <w:right w:val="nil"/>
            </w:tcBorders>
            <w:shd w:val="clear" w:color="auto" w:fill="auto"/>
            <w:noWrap/>
            <w:hideMark/>
          </w:tcPr>
          <w:p w14:paraId="0660140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0.71</w:t>
            </w:r>
          </w:p>
        </w:tc>
        <w:tc>
          <w:tcPr>
            <w:tcW w:w="632" w:type="dxa"/>
            <w:gridSpan w:val="2"/>
            <w:tcBorders>
              <w:top w:val="nil"/>
              <w:left w:val="nil"/>
              <w:bottom w:val="nil"/>
              <w:right w:val="nil"/>
            </w:tcBorders>
            <w:shd w:val="clear" w:color="auto" w:fill="auto"/>
            <w:noWrap/>
            <w:hideMark/>
          </w:tcPr>
          <w:p w14:paraId="2EED6A3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1.33</w:t>
            </w:r>
          </w:p>
        </w:tc>
      </w:tr>
      <w:tr w:rsidR="00802F1A" w:rsidRPr="00802F1A" w14:paraId="5A39E751" w14:textId="77777777" w:rsidTr="00CD1F30">
        <w:trPr>
          <w:trHeight w:val="288"/>
        </w:trPr>
        <w:tc>
          <w:tcPr>
            <w:tcW w:w="990" w:type="dxa"/>
            <w:tcBorders>
              <w:top w:val="nil"/>
              <w:left w:val="nil"/>
              <w:bottom w:val="nil"/>
              <w:right w:val="nil"/>
            </w:tcBorders>
            <w:shd w:val="clear" w:color="auto" w:fill="auto"/>
            <w:noWrap/>
            <w:hideMark/>
          </w:tcPr>
          <w:p w14:paraId="51CB98AA"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630" w:type="dxa"/>
            <w:tcBorders>
              <w:top w:val="nil"/>
              <w:left w:val="nil"/>
              <w:bottom w:val="nil"/>
              <w:right w:val="nil"/>
            </w:tcBorders>
            <w:shd w:val="clear" w:color="auto" w:fill="auto"/>
            <w:noWrap/>
            <w:hideMark/>
          </w:tcPr>
          <w:p w14:paraId="0AAC8C4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 xml:space="preserve">1 </w:t>
            </w:r>
          </w:p>
        </w:tc>
        <w:tc>
          <w:tcPr>
            <w:tcW w:w="602" w:type="dxa"/>
            <w:tcBorders>
              <w:top w:val="nil"/>
              <w:left w:val="nil"/>
              <w:bottom w:val="nil"/>
              <w:right w:val="nil"/>
            </w:tcBorders>
            <w:shd w:val="clear" w:color="auto" w:fill="auto"/>
            <w:noWrap/>
            <w:hideMark/>
          </w:tcPr>
          <w:p w14:paraId="188E1D18" w14:textId="77777777" w:rsidR="00AB6C42" w:rsidRPr="00802F1A" w:rsidRDefault="00AB6C42" w:rsidP="003E394A">
            <w:pPr>
              <w:spacing w:line="240" w:lineRule="auto"/>
              <w:jc w:val="center"/>
              <w:rPr>
                <w:rFonts w:eastAsia="Times New Roman" w:cs="Times New Roman"/>
                <w:sz w:val="16"/>
                <w:szCs w:val="16"/>
                <w:lang w:eastAsia="en-AU"/>
              </w:rPr>
            </w:pPr>
          </w:p>
        </w:tc>
        <w:tc>
          <w:tcPr>
            <w:tcW w:w="718" w:type="dxa"/>
            <w:tcBorders>
              <w:top w:val="nil"/>
              <w:left w:val="nil"/>
              <w:bottom w:val="nil"/>
              <w:right w:val="nil"/>
            </w:tcBorders>
            <w:shd w:val="clear" w:color="auto" w:fill="auto"/>
            <w:noWrap/>
            <w:hideMark/>
          </w:tcPr>
          <w:p w14:paraId="1EFED605" w14:textId="77777777" w:rsidR="00AB6C42" w:rsidRPr="00802F1A" w:rsidRDefault="00AB6C42" w:rsidP="003E394A">
            <w:pPr>
              <w:spacing w:line="240" w:lineRule="auto"/>
              <w:jc w:val="center"/>
              <w:rPr>
                <w:rFonts w:eastAsia="Times New Roman" w:cs="Times New Roman"/>
                <w:sz w:val="20"/>
                <w:szCs w:val="20"/>
                <w:lang w:eastAsia="en-AU"/>
              </w:rPr>
            </w:pPr>
          </w:p>
        </w:tc>
        <w:tc>
          <w:tcPr>
            <w:tcW w:w="1290" w:type="dxa"/>
            <w:tcBorders>
              <w:top w:val="nil"/>
              <w:left w:val="single" w:sz="4" w:space="0" w:color="auto"/>
              <w:bottom w:val="nil"/>
              <w:right w:val="nil"/>
            </w:tcBorders>
            <w:shd w:val="clear" w:color="auto" w:fill="auto"/>
            <w:noWrap/>
            <w:hideMark/>
          </w:tcPr>
          <w:p w14:paraId="31654F6A"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9+Divergence</w:t>
            </w:r>
          </w:p>
        </w:tc>
        <w:tc>
          <w:tcPr>
            <w:tcW w:w="630" w:type="dxa"/>
            <w:tcBorders>
              <w:top w:val="nil"/>
              <w:left w:val="nil"/>
              <w:bottom w:val="nil"/>
              <w:right w:val="nil"/>
            </w:tcBorders>
            <w:shd w:val="clear" w:color="auto" w:fill="auto"/>
            <w:noWrap/>
            <w:hideMark/>
          </w:tcPr>
          <w:p w14:paraId="16A467E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w:t>
            </w:r>
          </w:p>
        </w:tc>
        <w:tc>
          <w:tcPr>
            <w:tcW w:w="630" w:type="dxa"/>
            <w:tcBorders>
              <w:top w:val="nil"/>
              <w:left w:val="nil"/>
              <w:bottom w:val="nil"/>
              <w:right w:val="nil"/>
            </w:tcBorders>
            <w:shd w:val="clear" w:color="auto" w:fill="auto"/>
            <w:noWrap/>
            <w:hideMark/>
          </w:tcPr>
          <w:p w14:paraId="3C33E7CF"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-0.98</w:t>
            </w:r>
          </w:p>
        </w:tc>
        <w:tc>
          <w:tcPr>
            <w:tcW w:w="575" w:type="dxa"/>
            <w:tcBorders>
              <w:top w:val="nil"/>
              <w:left w:val="nil"/>
              <w:bottom w:val="nil"/>
              <w:right w:val="single" w:sz="4" w:space="0" w:color="auto"/>
            </w:tcBorders>
            <w:shd w:val="clear" w:color="auto" w:fill="auto"/>
            <w:noWrap/>
            <w:hideMark/>
          </w:tcPr>
          <w:p w14:paraId="2E50BB9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-4.97</w:t>
            </w:r>
          </w:p>
        </w:tc>
        <w:tc>
          <w:tcPr>
            <w:tcW w:w="1045" w:type="dxa"/>
            <w:tcBorders>
              <w:top w:val="nil"/>
              <w:left w:val="nil"/>
              <w:bottom w:val="nil"/>
              <w:right w:val="nil"/>
            </w:tcBorders>
            <w:shd w:val="clear" w:color="auto" w:fill="auto"/>
            <w:noWrap/>
            <w:hideMark/>
          </w:tcPr>
          <w:p w14:paraId="6A38EC4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720" w:type="dxa"/>
            <w:tcBorders>
              <w:top w:val="nil"/>
              <w:left w:val="nil"/>
              <w:bottom w:val="nil"/>
              <w:right w:val="nil"/>
            </w:tcBorders>
            <w:shd w:val="clear" w:color="auto" w:fill="auto"/>
            <w:noWrap/>
            <w:hideMark/>
          </w:tcPr>
          <w:p w14:paraId="24CCBBD4"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w:t>
            </w:r>
          </w:p>
        </w:tc>
        <w:tc>
          <w:tcPr>
            <w:tcW w:w="630" w:type="dxa"/>
            <w:tcBorders>
              <w:top w:val="nil"/>
              <w:left w:val="nil"/>
              <w:bottom w:val="nil"/>
              <w:right w:val="nil"/>
            </w:tcBorders>
            <w:shd w:val="clear" w:color="auto" w:fill="auto"/>
            <w:noWrap/>
            <w:hideMark/>
          </w:tcPr>
          <w:p w14:paraId="5D4E86A9" w14:textId="77777777" w:rsidR="00AB6C42" w:rsidRPr="00802F1A" w:rsidRDefault="00AB6C42" w:rsidP="00AB6C42">
            <w:pPr>
              <w:spacing w:line="240" w:lineRule="auto"/>
              <w:jc w:val="right"/>
              <w:rPr>
                <w:rFonts w:eastAsia="Times New Roman" w:cs="Times New Roman"/>
                <w:sz w:val="16"/>
                <w:szCs w:val="16"/>
                <w:lang w:eastAsia="en-AU"/>
              </w:rPr>
            </w:pPr>
          </w:p>
        </w:tc>
        <w:tc>
          <w:tcPr>
            <w:tcW w:w="632" w:type="dxa"/>
            <w:gridSpan w:val="2"/>
            <w:tcBorders>
              <w:top w:val="nil"/>
              <w:left w:val="nil"/>
              <w:bottom w:val="nil"/>
              <w:right w:val="nil"/>
            </w:tcBorders>
            <w:shd w:val="clear" w:color="auto" w:fill="auto"/>
            <w:noWrap/>
            <w:hideMark/>
          </w:tcPr>
          <w:p w14:paraId="2890E8A6"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1D187812"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7A6C0569" w14:textId="77777777" w:rsidR="00AB6C42" w:rsidRPr="00802F1A" w:rsidRDefault="00AB6C42" w:rsidP="00CD1F30">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FM Dev</w:t>
            </w:r>
          </w:p>
        </w:tc>
      </w:tr>
      <w:tr w:rsidR="00802F1A" w:rsidRPr="00802F1A" w14:paraId="7DD3B971" w14:textId="77777777" w:rsidTr="00CD1F30">
        <w:trPr>
          <w:trHeight w:val="288"/>
        </w:trPr>
        <w:tc>
          <w:tcPr>
            <w:tcW w:w="990" w:type="dxa"/>
            <w:tcBorders>
              <w:top w:val="nil"/>
              <w:left w:val="nil"/>
              <w:bottom w:val="nil"/>
              <w:right w:val="nil"/>
            </w:tcBorders>
            <w:shd w:val="clear" w:color="auto" w:fill="auto"/>
            <w:noWrap/>
            <w:hideMark/>
          </w:tcPr>
          <w:p w14:paraId="4EC305C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2AC2A3A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w:t>
            </w:r>
          </w:p>
        </w:tc>
        <w:tc>
          <w:tcPr>
            <w:tcW w:w="602" w:type="dxa"/>
            <w:tcBorders>
              <w:top w:val="nil"/>
              <w:left w:val="nil"/>
              <w:bottom w:val="nil"/>
              <w:right w:val="nil"/>
            </w:tcBorders>
            <w:shd w:val="clear" w:color="auto" w:fill="auto"/>
            <w:noWrap/>
            <w:hideMark/>
          </w:tcPr>
          <w:p w14:paraId="080DF6A6"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0.89</w:t>
            </w:r>
          </w:p>
        </w:tc>
        <w:tc>
          <w:tcPr>
            <w:tcW w:w="718" w:type="dxa"/>
            <w:tcBorders>
              <w:top w:val="nil"/>
              <w:left w:val="nil"/>
              <w:bottom w:val="nil"/>
              <w:right w:val="nil"/>
            </w:tcBorders>
            <w:shd w:val="clear" w:color="auto" w:fill="auto"/>
            <w:noWrap/>
            <w:hideMark/>
          </w:tcPr>
          <w:p w14:paraId="1ABBE6C5"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9.79</w:t>
            </w:r>
          </w:p>
        </w:tc>
        <w:tc>
          <w:tcPr>
            <w:tcW w:w="1290" w:type="dxa"/>
            <w:tcBorders>
              <w:top w:val="nil"/>
              <w:left w:val="single" w:sz="4" w:space="0" w:color="auto"/>
              <w:bottom w:val="nil"/>
              <w:right w:val="nil"/>
            </w:tcBorders>
            <w:shd w:val="clear" w:color="auto" w:fill="auto"/>
            <w:noWrap/>
            <w:hideMark/>
          </w:tcPr>
          <w:p w14:paraId="3590CA57"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0EAF3CFB"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73C326B2"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20B07FBD" w14:textId="7B705B93"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2E213FEA" w14:textId="77777777" w:rsidR="00AB6C42" w:rsidRPr="00802F1A" w:rsidRDefault="00AB6C42" w:rsidP="00AB6C42">
            <w:pPr>
              <w:spacing w:line="240" w:lineRule="auto"/>
              <w:jc w:val="right"/>
              <w:rPr>
                <w:rFonts w:eastAsia="Times New Roman" w:cs="Times New Roman"/>
                <w:sz w:val="16"/>
                <w:szCs w:val="16"/>
                <w:lang w:eastAsia="en-AU"/>
              </w:rPr>
            </w:pPr>
          </w:p>
        </w:tc>
        <w:tc>
          <w:tcPr>
            <w:tcW w:w="720" w:type="dxa"/>
            <w:tcBorders>
              <w:top w:val="nil"/>
              <w:left w:val="nil"/>
              <w:bottom w:val="nil"/>
              <w:right w:val="nil"/>
            </w:tcBorders>
            <w:shd w:val="clear" w:color="auto" w:fill="auto"/>
            <w:noWrap/>
            <w:hideMark/>
          </w:tcPr>
          <w:p w14:paraId="4C9DCE12" w14:textId="77777777" w:rsidR="00AB6C42" w:rsidRPr="00802F1A" w:rsidRDefault="00AB6C42" w:rsidP="00AB6C42">
            <w:pPr>
              <w:spacing w:line="240" w:lineRule="auto"/>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5CF76F1D" w14:textId="77777777" w:rsidR="00AB6C42" w:rsidRPr="00802F1A" w:rsidRDefault="00AB6C42" w:rsidP="00AB6C42">
            <w:pPr>
              <w:spacing w:line="240" w:lineRule="auto"/>
              <w:jc w:val="right"/>
              <w:rPr>
                <w:rFonts w:eastAsia="Times New Roman" w:cs="Times New Roman"/>
                <w:sz w:val="20"/>
                <w:szCs w:val="20"/>
                <w:lang w:eastAsia="en-AU"/>
              </w:rPr>
            </w:pPr>
          </w:p>
        </w:tc>
        <w:tc>
          <w:tcPr>
            <w:tcW w:w="632" w:type="dxa"/>
            <w:gridSpan w:val="2"/>
            <w:tcBorders>
              <w:top w:val="nil"/>
              <w:left w:val="nil"/>
              <w:bottom w:val="nil"/>
              <w:right w:val="nil"/>
            </w:tcBorders>
            <w:shd w:val="clear" w:color="auto" w:fill="auto"/>
            <w:noWrap/>
            <w:hideMark/>
          </w:tcPr>
          <w:p w14:paraId="1B6E9EED"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05FC1D0D" w14:textId="77777777" w:rsidTr="00CD1F30">
        <w:trPr>
          <w:trHeight w:val="288"/>
        </w:trPr>
        <w:tc>
          <w:tcPr>
            <w:tcW w:w="990" w:type="dxa"/>
            <w:tcBorders>
              <w:top w:val="nil"/>
              <w:left w:val="nil"/>
              <w:bottom w:val="nil"/>
              <w:right w:val="nil"/>
            </w:tcBorders>
            <w:shd w:val="clear" w:color="auto" w:fill="auto"/>
            <w:noWrap/>
            <w:hideMark/>
          </w:tcPr>
          <w:p w14:paraId="3E7E31F7"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0A4FABC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29</w:t>
            </w:r>
          </w:p>
        </w:tc>
        <w:tc>
          <w:tcPr>
            <w:tcW w:w="602" w:type="dxa"/>
            <w:tcBorders>
              <w:top w:val="nil"/>
              <w:left w:val="nil"/>
              <w:bottom w:val="nil"/>
              <w:right w:val="nil"/>
            </w:tcBorders>
            <w:shd w:val="clear" w:color="auto" w:fill="auto"/>
            <w:noWrap/>
            <w:hideMark/>
          </w:tcPr>
          <w:p w14:paraId="2D7D72A5"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0.48</w:t>
            </w:r>
          </w:p>
        </w:tc>
        <w:tc>
          <w:tcPr>
            <w:tcW w:w="718" w:type="dxa"/>
            <w:tcBorders>
              <w:top w:val="nil"/>
              <w:left w:val="nil"/>
              <w:bottom w:val="nil"/>
              <w:right w:val="nil"/>
            </w:tcBorders>
            <w:shd w:val="clear" w:color="auto" w:fill="auto"/>
            <w:noWrap/>
            <w:hideMark/>
          </w:tcPr>
          <w:p w14:paraId="40A3E1C2"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2.15</w:t>
            </w:r>
          </w:p>
        </w:tc>
        <w:tc>
          <w:tcPr>
            <w:tcW w:w="1290" w:type="dxa"/>
            <w:tcBorders>
              <w:top w:val="nil"/>
              <w:left w:val="single" w:sz="4" w:space="0" w:color="auto"/>
              <w:bottom w:val="nil"/>
              <w:right w:val="nil"/>
            </w:tcBorders>
            <w:shd w:val="clear" w:color="auto" w:fill="auto"/>
            <w:noWrap/>
            <w:hideMark/>
          </w:tcPr>
          <w:p w14:paraId="6A18A3B2"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1+2</w:t>
            </w:r>
          </w:p>
        </w:tc>
        <w:tc>
          <w:tcPr>
            <w:tcW w:w="630" w:type="dxa"/>
            <w:tcBorders>
              <w:top w:val="nil"/>
              <w:left w:val="nil"/>
              <w:bottom w:val="nil"/>
              <w:right w:val="nil"/>
            </w:tcBorders>
            <w:shd w:val="clear" w:color="auto" w:fill="auto"/>
            <w:noWrap/>
            <w:hideMark/>
          </w:tcPr>
          <w:p w14:paraId="4E4CC3CC"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41</w:t>
            </w:r>
          </w:p>
        </w:tc>
        <w:tc>
          <w:tcPr>
            <w:tcW w:w="630" w:type="dxa"/>
            <w:tcBorders>
              <w:top w:val="nil"/>
              <w:left w:val="nil"/>
              <w:bottom w:val="nil"/>
              <w:right w:val="nil"/>
            </w:tcBorders>
            <w:shd w:val="clear" w:color="auto" w:fill="auto"/>
            <w:noWrap/>
            <w:hideMark/>
          </w:tcPr>
          <w:p w14:paraId="720044AB"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0.29</w:t>
            </w:r>
          </w:p>
        </w:tc>
        <w:tc>
          <w:tcPr>
            <w:tcW w:w="575" w:type="dxa"/>
            <w:tcBorders>
              <w:top w:val="nil"/>
              <w:left w:val="nil"/>
              <w:bottom w:val="nil"/>
              <w:right w:val="single" w:sz="4" w:space="0" w:color="auto"/>
            </w:tcBorders>
            <w:shd w:val="clear" w:color="auto" w:fill="auto"/>
            <w:noWrap/>
            <w:hideMark/>
          </w:tcPr>
          <w:p w14:paraId="0F5752FA"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1.59</w:t>
            </w:r>
          </w:p>
        </w:tc>
        <w:tc>
          <w:tcPr>
            <w:tcW w:w="1045" w:type="dxa"/>
            <w:tcBorders>
              <w:top w:val="nil"/>
              <w:left w:val="nil"/>
              <w:bottom w:val="nil"/>
              <w:right w:val="nil"/>
            </w:tcBorders>
            <w:shd w:val="clear" w:color="auto" w:fill="auto"/>
            <w:noWrap/>
            <w:hideMark/>
          </w:tcPr>
          <w:p w14:paraId="2417083B"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Clubs1+2</w:t>
            </w:r>
          </w:p>
        </w:tc>
        <w:tc>
          <w:tcPr>
            <w:tcW w:w="720" w:type="dxa"/>
            <w:tcBorders>
              <w:top w:val="nil"/>
              <w:left w:val="nil"/>
              <w:bottom w:val="nil"/>
              <w:right w:val="nil"/>
            </w:tcBorders>
            <w:shd w:val="clear" w:color="auto" w:fill="auto"/>
            <w:noWrap/>
            <w:hideMark/>
          </w:tcPr>
          <w:p w14:paraId="22A376E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41</w:t>
            </w:r>
          </w:p>
        </w:tc>
        <w:tc>
          <w:tcPr>
            <w:tcW w:w="630" w:type="dxa"/>
            <w:tcBorders>
              <w:top w:val="nil"/>
              <w:left w:val="nil"/>
              <w:bottom w:val="nil"/>
              <w:right w:val="nil"/>
            </w:tcBorders>
            <w:shd w:val="clear" w:color="auto" w:fill="auto"/>
            <w:noWrap/>
            <w:hideMark/>
          </w:tcPr>
          <w:p w14:paraId="74147F7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0.29</w:t>
            </w:r>
          </w:p>
        </w:tc>
        <w:tc>
          <w:tcPr>
            <w:tcW w:w="632" w:type="dxa"/>
            <w:gridSpan w:val="2"/>
            <w:tcBorders>
              <w:top w:val="nil"/>
              <w:left w:val="nil"/>
              <w:bottom w:val="nil"/>
              <w:right w:val="nil"/>
            </w:tcBorders>
            <w:shd w:val="clear" w:color="auto" w:fill="auto"/>
            <w:noWrap/>
            <w:hideMark/>
          </w:tcPr>
          <w:p w14:paraId="516AB70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1.59</w:t>
            </w:r>
          </w:p>
        </w:tc>
      </w:tr>
      <w:tr w:rsidR="00802F1A" w:rsidRPr="00802F1A" w14:paraId="784C2E02" w14:textId="77777777" w:rsidTr="00CD1F30">
        <w:trPr>
          <w:trHeight w:val="288"/>
        </w:trPr>
        <w:tc>
          <w:tcPr>
            <w:tcW w:w="990" w:type="dxa"/>
            <w:tcBorders>
              <w:top w:val="nil"/>
              <w:left w:val="nil"/>
              <w:bottom w:val="nil"/>
              <w:right w:val="nil"/>
            </w:tcBorders>
            <w:shd w:val="clear" w:color="auto" w:fill="auto"/>
            <w:noWrap/>
            <w:hideMark/>
          </w:tcPr>
          <w:p w14:paraId="33F33438"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w:t>
            </w:r>
          </w:p>
        </w:tc>
        <w:tc>
          <w:tcPr>
            <w:tcW w:w="630" w:type="dxa"/>
            <w:tcBorders>
              <w:top w:val="nil"/>
              <w:left w:val="nil"/>
              <w:bottom w:val="nil"/>
              <w:right w:val="nil"/>
            </w:tcBorders>
            <w:shd w:val="clear" w:color="auto" w:fill="auto"/>
            <w:noWrap/>
            <w:hideMark/>
          </w:tcPr>
          <w:p w14:paraId="1427208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37</w:t>
            </w:r>
          </w:p>
        </w:tc>
        <w:tc>
          <w:tcPr>
            <w:tcW w:w="602" w:type="dxa"/>
            <w:tcBorders>
              <w:top w:val="nil"/>
              <w:left w:val="nil"/>
              <w:bottom w:val="nil"/>
              <w:right w:val="nil"/>
            </w:tcBorders>
            <w:shd w:val="clear" w:color="auto" w:fill="auto"/>
            <w:noWrap/>
            <w:hideMark/>
          </w:tcPr>
          <w:p w14:paraId="3C17F99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0.23</w:t>
            </w:r>
          </w:p>
        </w:tc>
        <w:tc>
          <w:tcPr>
            <w:tcW w:w="718" w:type="dxa"/>
            <w:tcBorders>
              <w:top w:val="nil"/>
              <w:left w:val="nil"/>
              <w:bottom w:val="nil"/>
              <w:right w:val="nil"/>
            </w:tcBorders>
            <w:shd w:val="clear" w:color="auto" w:fill="auto"/>
            <w:noWrap/>
            <w:hideMark/>
          </w:tcPr>
          <w:p w14:paraId="7ECEFD2E"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1.48</w:t>
            </w:r>
          </w:p>
        </w:tc>
        <w:tc>
          <w:tcPr>
            <w:tcW w:w="1290" w:type="dxa"/>
            <w:tcBorders>
              <w:top w:val="nil"/>
              <w:left w:val="single" w:sz="4" w:space="0" w:color="auto"/>
              <w:bottom w:val="nil"/>
              <w:right w:val="nil"/>
            </w:tcBorders>
            <w:shd w:val="clear" w:color="auto" w:fill="auto"/>
            <w:noWrap/>
            <w:hideMark/>
          </w:tcPr>
          <w:p w14:paraId="65D3BA0E"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2+3</w:t>
            </w:r>
          </w:p>
        </w:tc>
        <w:tc>
          <w:tcPr>
            <w:tcW w:w="630" w:type="dxa"/>
            <w:tcBorders>
              <w:top w:val="nil"/>
              <w:left w:val="nil"/>
              <w:bottom w:val="nil"/>
              <w:right w:val="nil"/>
            </w:tcBorders>
            <w:shd w:val="clear" w:color="auto" w:fill="auto"/>
            <w:noWrap/>
            <w:hideMark/>
          </w:tcPr>
          <w:p w14:paraId="06959E1B"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66</w:t>
            </w:r>
          </w:p>
        </w:tc>
        <w:tc>
          <w:tcPr>
            <w:tcW w:w="630" w:type="dxa"/>
            <w:tcBorders>
              <w:top w:val="nil"/>
              <w:left w:val="nil"/>
              <w:bottom w:val="nil"/>
              <w:right w:val="nil"/>
            </w:tcBorders>
            <w:shd w:val="clear" w:color="auto" w:fill="auto"/>
            <w:noWrap/>
            <w:hideMark/>
          </w:tcPr>
          <w:p w14:paraId="34DF1E51"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-0.08</w:t>
            </w:r>
          </w:p>
        </w:tc>
        <w:tc>
          <w:tcPr>
            <w:tcW w:w="575" w:type="dxa"/>
            <w:tcBorders>
              <w:top w:val="nil"/>
              <w:left w:val="nil"/>
              <w:bottom w:val="nil"/>
              <w:right w:val="single" w:sz="4" w:space="0" w:color="auto"/>
            </w:tcBorders>
            <w:shd w:val="clear" w:color="auto" w:fill="auto"/>
            <w:noWrap/>
            <w:hideMark/>
          </w:tcPr>
          <w:p w14:paraId="6E9ADF37"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-0.64</w:t>
            </w:r>
          </w:p>
        </w:tc>
        <w:tc>
          <w:tcPr>
            <w:tcW w:w="1045" w:type="dxa"/>
            <w:tcBorders>
              <w:top w:val="nil"/>
              <w:left w:val="nil"/>
              <w:bottom w:val="nil"/>
              <w:right w:val="nil"/>
            </w:tcBorders>
            <w:shd w:val="clear" w:color="auto" w:fill="auto"/>
            <w:noWrap/>
            <w:hideMark/>
          </w:tcPr>
          <w:p w14:paraId="4672405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w:t>
            </w:r>
          </w:p>
        </w:tc>
        <w:tc>
          <w:tcPr>
            <w:tcW w:w="720" w:type="dxa"/>
            <w:tcBorders>
              <w:top w:val="nil"/>
              <w:left w:val="nil"/>
              <w:bottom w:val="nil"/>
              <w:right w:val="nil"/>
            </w:tcBorders>
            <w:shd w:val="clear" w:color="auto" w:fill="auto"/>
            <w:noWrap/>
            <w:hideMark/>
          </w:tcPr>
          <w:p w14:paraId="281BDB2C"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37</w:t>
            </w:r>
          </w:p>
        </w:tc>
        <w:tc>
          <w:tcPr>
            <w:tcW w:w="630" w:type="dxa"/>
            <w:tcBorders>
              <w:top w:val="nil"/>
              <w:left w:val="nil"/>
              <w:bottom w:val="nil"/>
              <w:right w:val="nil"/>
            </w:tcBorders>
            <w:shd w:val="clear" w:color="auto" w:fill="auto"/>
            <w:noWrap/>
            <w:hideMark/>
          </w:tcPr>
          <w:p w14:paraId="4FB3E0F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0.23</w:t>
            </w:r>
          </w:p>
        </w:tc>
        <w:tc>
          <w:tcPr>
            <w:tcW w:w="632" w:type="dxa"/>
            <w:gridSpan w:val="2"/>
            <w:tcBorders>
              <w:top w:val="nil"/>
              <w:left w:val="nil"/>
              <w:bottom w:val="nil"/>
              <w:right w:val="nil"/>
            </w:tcBorders>
            <w:shd w:val="clear" w:color="auto" w:fill="auto"/>
            <w:noWrap/>
            <w:hideMark/>
          </w:tcPr>
          <w:p w14:paraId="42CAC74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1.48</w:t>
            </w:r>
          </w:p>
        </w:tc>
      </w:tr>
      <w:tr w:rsidR="00802F1A" w:rsidRPr="00802F1A" w14:paraId="1BB1DE1E" w14:textId="77777777" w:rsidTr="00CD1F30">
        <w:trPr>
          <w:trHeight w:val="288"/>
        </w:trPr>
        <w:tc>
          <w:tcPr>
            <w:tcW w:w="990" w:type="dxa"/>
            <w:tcBorders>
              <w:top w:val="nil"/>
              <w:left w:val="nil"/>
              <w:bottom w:val="nil"/>
              <w:right w:val="nil"/>
            </w:tcBorders>
            <w:shd w:val="clear" w:color="auto" w:fill="auto"/>
            <w:noWrap/>
            <w:hideMark/>
          </w:tcPr>
          <w:p w14:paraId="1D8DF18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630" w:type="dxa"/>
            <w:tcBorders>
              <w:top w:val="nil"/>
              <w:left w:val="nil"/>
              <w:bottom w:val="nil"/>
              <w:right w:val="nil"/>
            </w:tcBorders>
            <w:shd w:val="clear" w:color="auto" w:fill="auto"/>
            <w:noWrap/>
            <w:hideMark/>
          </w:tcPr>
          <w:p w14:paraId="6978543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41</w:t>
            </w:r>
          </w:p>
        </w:tc>
        <w:tc>
          <w:tcPr>
            <w:tcW w:w="602" w:type="dxa"/>
            <w:tcBorders>
              <w:top w:val="nil"/>
              <w:left w:val="nil"/>
              <w:bottom w:val="nil"/>
              <w:right w:val="nil"/>
            </w:tcBorders>
            <w:shd w:val="clear" w:color="auto" w:fill="auto"/>
            <w:noWrap/>
            <w:hideMark/>
          </w:tcPr>
          <w:p w14:paraId="484378FA"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0.08</w:t>
            </w:r>
          </w:p>
        </w:tc>
        <w:tc>
          <w:tcPr>
            <w:tcW w:w="718" w:type="dxa"/>
            <w:tcBorders>
              <w:top w:val="nil"/>
              <w:left w:val="nil"/>
              <w:bottom w:val="nil"/>
              <w:right w:val="nil"/>
            </w:tcBorders>
            <w:shd w:val="clear" w:color="auto" w:fill="auto"/>
            <w:noWrap/>
            <w:hideMark/>
          </w:tcPr>
          <w:p w14:paraId="5F84F51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0.90</w:t>
            </w:r>
          </w:p>
        </w:tc>
        <w:tc>
          <w:tcPr>
            <w:tcW w:w="1290" w:type="dxa"/>
            <w:tcBorders>
              <w:top w:val="nil"/>
              <w:left w:val="single" w:sz="4" w:space="0" w:color="auto"/>
              <w:bottom w:val="nil"/>
              <w:right w:val="nil"/>
            </w:tcBorders>
            <w:shd w:val="clear" w:color="auto" w:fill="auto"/>
            <w:noWrap/>
            <w:hideMark/>
          </w:tcPr>
          <w:p w14:paraId="0ABB979A"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3+4</w:t>
            </w:r>
          </w:p>
        </w:tc>
        <w:tc>
          <w:tcPr>
            <w:tcW w:w="630" w:type="dxa"/>
            <w:tcBorders>
              <w:top w:val="nil"/>
              <w:left w:val="nil"/>
              <w:bottom w:val="nil"/>
              <w:right w:val="nil"/>
            </w:tcBorders>
            <w:shd w:val="clear" w:color="auto" w:fill="auto"/>
            <w:noWrap/>
            <w:hideMark/>
          </w:tcPr>
          <w:p w14:paraId="59B3A86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78</w:t>
            </w:r>
          </w:p>
        </w:tc>
        <w:tc>
          <w:tcPr>
            <w:tcW w:w="630" w:type="dxa"/>
            <w:tcBorders>
              <w:top w:val="nil"/>
              <w:left w:val="nil"/>
              <w:bottom w:val="nil"/>
              <w:right w:val="nil"/>
            </w:tcBorders>
            <w:shd w:val="clear" w:color="auto" w:fill="auto"/>
            <w:noWrap/>
            <w:hideMark/>
          </w:tcPr>
          <w:p w14:paraId="5C50D08F"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-0.31</w:t>
            </w:r>
          </w:p>
        </w:tc>
        <w:tc>
          <w:tcPr>
            <w:tcW w:w="575" w:type="dxa"/>
            <w:tcBorders>
              <w:top w:val="nil"/>
              <w:left w:val="nil"/>
              <w:bottom w:val="nil"/>
              <w:right w:val="single" w:sz="4" w:space="0" w:color="auto"/>
            </w:tcBorders>
            <w:shd w:val="clear" w:color="auto" w:fill="auto"/>
            <w:noWrap/>
            <w:hideMark/>
          </w:tcPr>
          <w:p w14:paraId="235DE6ED"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-3.96</w:t>
            </w:r>
          </w:p>
        </w:tc>
        <w:tc>
          <w:tcPr>
            <w:tcW w:w="1045" w:type="dxa"/>
            <w:tcBorders>
              <w:top w:val="nil"/>
              <w:left w:val="nil"/>
              <w:bottom w:val="nil"/>
              <w:right w:val="nil"/>
            </w:tcBorders>
            <w:shd w:val="clear" w:color="auto" w:fill="auto"/>
            <w:noWrap/>
            <w:hideMark/>
          </w:tcPr>
          <w:p w14:paraId="6470D7E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720" w:type="dxa"/>
            <w:tcBorders>
              <w:top w:val="nil"/>
              <w:left w:val="nil"/>
              <w:bottom w:val="nil"/>
              <w:right w:val="nil"/>
            </w:tcBorders>
            <w:shd w:val="clear" w:color="auto" w:fill="auto"/>
            <w:noWrap/>
            <w:hideMark/>
          </w:tcPr>
          <w:p w14:paraId="5818AA6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41</w:t>
            </w:r>
          </w:p>
        </w:tc>
        <w:tc>
          <w:tcPr>
            <w:tcW w:w="630" w:type="dxa"/>
            <w:tcBorders>
              <w:top w:val="nil"/>
              <w:left w:val="nil"/>
              <w:bottom w:val="nil"/>
              <w:right w:val="nil"/>
            </w:tcBorders>
            <w:shd w:val="clear" w:color="auto" w:fill="auto"/>
            <w:noWrap/>
            <w:hideMark/>
          </w:tcPr>
          <w:p w14:paraId="454D8B8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0.08</w:t>
            </w:r>
          </w:p>
        </w:tc>
        <w:tc>
          <w:tcPr>
            <w:tcW w:w="632" w:type="dxa"/>
            <w:gridSpan w:val="2"/>
            <w:tcBorders>
              <w:top w:val="nil"/>
              <w:left w:val="nil"/>
              <w:bottom w:val="nil"/>
              <w:right w:val="nil"/>
            </w:tcBorders>
            <w:shd w:val="clear" w:color="auto" w:fill="auto"/>
            <w:noWrap/>
            <w:hideMark/>
          </w:tcPr>
          <w:p w14:paraId="4AEDB12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0.90</w:t>
            </w:r>
          </w:p>
        </w:tc>
      </w:tr>
      <w:tr w:rsidR="00802F1A" w:rsidRPr="00802F1A" w14:paraId="4CF7D2EC" w14:textId="77777777" w:rsidTr="00CD1F30">
        <w:trPr>
          <w:trHeight w:val="288"/>
        </w:trPr>
        <w:tc>
          <w:tcPr>
            <w:tcW w:w="990" w:type="dxa"/>
            <w:tcBorders>
              <w:top w:val="nil"/>
              <w:left w:val="nil"/>
              <w:bottom w:val="nil"/>
              <w:right w:val="nil"/>
            </w:tcBorders>
            <w:shd w:val="clear" w:color="auto" w:fill="auto"/>
            <w:noWrap/>
            <w:hideMark/>
          </w:tcPr>
          <w:p w14:paraId="11A2DA2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5</w:t>
            </w:r>
          </w:p>
        </w:tc>
        <w:tc>
          <w:tcPr>
            <w:tcW w:w="630" w:type="dxa"/>
            <w:tcBorders>
              <w:top w:val="nil"/>
              <w:left w:val="nil"/>
              <w:bottom w:val="nil"/>
              <w:right w:val="nil"/>
            </w:tcBorders>
            <w:shd w:val="clear" w:color="auto" w:fill="auto"/>
            <w:noWrap/>
            <w:hideMark/>
          </w:tcPr>
          <w:p w14:paraId="2F98A97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w:t>
            </w:r>
          </w:p>
        </w:tc>
        <w:tc>
          <w:tcPr>
            <w:tcW w:w="602" w:type="dxa"/>
            <w:tcBorders>
              <w:top w:val="nil"/>
              <w:left w:val="nil"/>
              <w:bottom w:val="nil"/>
              <w:right w:val="nil"/>
            </w:tcBorders>
            <w:shd w:val="clear" w:color="auto" w:fill="auto"/>
            <w:noWrap/>
            <w:hideMark/>
          </w:tcPr>
          <w:p w14:paraId="0EA93DA1"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0.05</w:t>
            </w:r>
          </w:p>
        </w:tc>
        <w:tc>
          <w:tcPr>
            <w:tcW w:w="718" w:type="dxa"/>
            <w:tcBorders>
              <w:top w:val="nil"/>
              <w:left w:val="nil"/>
              <w:bottom w:val="nil"/>
              <w:right w:val="nil"/>
            </w:tcBorders>
            <w:shd w:val="clear" w:color="auto" w:fill="auto"/>
            <w:noWrap/>
            <w:hideMark/>
          </w:tcPr>
          <w:p w14:paraId="0DADFA58"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0.41</w:t>
            </w:r>
          </w:p>
        </w:tc>
        <w:tc>
          <w:tcPr>
            <w:tcW w:w="1290" w:type="dxa"/>
            <w:tcBorders>
              <w:top w:val="nil"/>
              <w:left w:val="single" w:sz="4" w:space="0" w:color="auto"/>
              <w:bottom w:val="nil"/>
              <w:right w:val="nil"/>
            </w:tcBorders>
            <w:shd w:val="clear" w:color="auto" w:fill="auto"/>
            <w:noWrap/>
            <w:hideMark/>
          </w:tcPr>
          <w:p w14:paraId="6669C5E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4+5</w:t>
            </w:r>
          </w:p>
        </w:tc>
        <w:tc>
          <w:tcPr>
            <w:tcW w:w="630" w:type="dxa"/>
            <w:tcBorders>
              <w:top w:val="nil"/>
              <w:left w:val="nil"/>
              <w:bottom w:val="nil"/>
              <w:right w:val="nil"/>
            </w:tcBorders>
            <w:shd w:val="clear" w:color="auto" w:fill="auto"/>
            <w:noWrap/>
            <w:hideMark/>
          </w:tcPr>
          <w:p w14:paraId="02DB0BA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54</w:t>
            </w:r>
          </w:p>
        </w:tc>
        <w:tc>
          <w:tcPr>
            <w:tcW w:w="630" w:type="dxa"/>
            <w:tcBorders>
              <w:top w:val="nil"/>
              <w:left w:val="nil"/>
              <w:bottom w:val="nil"/>
              <w:right w:val="nil"/>
            </w:tcBorders>
            <w:shd w:val="clear" w:color="auto" w:fill="auto"/>
            <w:noWrap/>
            <w:hideMark/>
          </w:tcPr>
          <w:p w14:paraId="285A2D5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-0.33</w:t>
            </w:r>
          </w:p>
        </w:tc>
        <w:tc>
          <w:tcPr>
            <w:tcW w:w="575" w:type="dxa"/>
            <w:tcBorders>
              <w:top w:val="nil"/>
              <w:left w:val="nil"/>
              <w:bottom w:val="nil"/>
              <w:right w:val="single" w:sz="4" w:space="0" w:color="auto"/>
            </w:tcBorders>
            <w:shd w:val="clear" w:color="auto" w:fill="auto"/>
            <w:noWrap/>
            <w:hideMark/>
          </w:tcPr>
          <w:p w14:paraId="2689C371"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-7.91</w:t>
            </w:r>
          </w:p>
        </w:tc>
        <w:tc>
          <w:tcPr>
            <w:tcW w:w="1045" w:type="dxa"/>
            <w:tcBorders>
              <w:top w:val="nil"/>
              <w:left w:val="nil"/>
              <w:bottom w:val="nil"/>
              <w:right w:val="nil"/>
            </w:tcBorders>
            <w:shd w:val="clear" w:color="auto" w:fill="auto"/>
            <w:noWrap/>
            <w:hideMark/>
          </w:tcPr>
          <w:p w14:paraId="0E1B7AF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5</w:t>
            </w:r>
          </w:p>
        </w:tc>
        <w:tc>
          <w:tcPr>
            <w:tcW w:w="720" w:type="dxa"/>
            <w:tcBorders>
              <w:top w:val="nil"/>
              <w:left w:val="nil"/>
              <w:bottom w:val="nil"/>
              <w:right w:val="nil"/>
            </w:tcBorders>
            <w:shd w:val="clear" w:color="auto" w:fill="auto"/>
            <w:noWrap/>
            <w:hideMark/>
          </w:tcPr>
          <w:p w14:paraId="4F489F4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w:t>
            </w:r>
          </w:p>
        </w:tc>
        <w:tc>
          <w:tcPr>
            <w:tcW w:w="630" w:type="dxa"/>
            <w:tcBorders>
              <w:top w:val="nil"/>
              <w:left w:val="nil"/>
              <w:bottom w:val="nil"/>
              <w:right w:val="nil"/>
            </w:tcBorders>
            <w:shd w:val="clear" w:color="auto" w:fill="auto"/>
            <w:noWrap/>
            <w:hideMark/>
          </w:tcPr>
          <w:p w14:paraId="30127ECB"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0.05</w:t>
            </w:r>
          </w:p>
        </w:tc>
        <w:tc>
          <w:tcPr>
            <w:tcW w:w="632" w:type="dxa"/>
            <w:gridSpan w:val="2"/>
            <w:tcBorders>
              <w:top w:val="nil"/>
              <w:left w:val="nil"/>
              <w:bottom w:val="nil"/>
              <w:right w:val="nil"/>
            </w:tcBorders>
            <w:shd w:val="clear" w:color="auto" w:fill="auto"/>
            <w:noWrap/>
            <w:hideMark/>
          </w:tcPr>
          <w:p w14:paraId="50970717"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0.41</w:t>
            </w:r>
          </w:p>
        </w:tc>
      </w:tr>
      <w:tr w:rsidR="00802F1A" w:rsidRPr="00802F1A" w14:paraId="1269DF04" w14:textId="77777777" w:rsidTr="00CD1F30">
        <w:trPr>
          <w:trHeight w:val="288"/>
        </w:trPr>
        <w:tc>
          <w:tcPr>
            <w:tcW w:w="990" w:type="dxa"/>
            <w:tcBorders>
              <w:top w:val="nil"/>
              <w:left w:val="nil"/>
              <w:bottom w:val="nil"/>
              <w:right w:val="nil"/>
            </w:tcBorders>
            <w:shd w:val="clear" w:color="auto" w:fill="auto"/>
            <w:noWrap/>
            <w:hideMark/>
          </w:tcPr>
          <w:p w14:paraId="5A639235"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w:t>
            </w:r>
          </w:p>
        </w:tc>
        <w:tc>
          <w:tcPr>
            <w:tcW w:w="630" w:type="dxa"/>
            <w:tcBorders>
              <w:top w:val="nil"/>
              <w:left w:val="nil"/>
              <w:bottom w:val="nil"/>
              <w:right w:val="nil"/>
            </w:tcBorders>
            <w:shd w:val="clear" w:color="auto" w:fill="auto"/>
            <w:noWrap/>
            <w:hideMark/>
          </w:tcPr>
          <w:p w14:paraId="38ECD95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02" w:type="dxa"/>
            <w:tcBorders>
              <w:top w:val="nil"/>
              <w:left w:val="nil"/>
              <w:bottom w:val="nil"/>
              <w:right w:val="nil"/>
            </w:tcBorders>
            <w:shd w:val="clear" w:color="auto" w:fill="auto"/>
            <w:noWrap/>
            <w:hideMark/>
          </w:tcPr>
          <w:p w14:paraId="715BA404"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-2.05</w:t>
            </w:r>
          </w:p>
        </w:tc>
        <w:tc>
          <w:tcPr>
            <w:tcW w:w="718" w:type="dxa"/>
            <w:tcBorders>
              <w:top w:val="nil"/>
              <w:left w:val="nil"/>
              <w:bottom w:val="nil"/>
              <w:right w:val="nil"/>
            </w:tcBorders>
            <w:shd w:val="clear" w:color="auto" w:fill="auto"/>
            <w:noWrap/>
            <w:hideMark/>
          </w:tcPr>
          <w:p w14:paraId="63B0287C"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-0.79</w:t>
            </w:r>
          </w:p>
        </w:tc>
        <w:tc>
          <w:tcPr>
            <w:tcW w:w="1290" w:type="dxa"/>
            <w:tcBorders>
              <w:top w:val="nil"/>
              <w:left w:val="single" w:sz="4" w:space="0" w:color="auto"/>
              <w:bottom w:val="nil"/>
              <w:right w:val="nil"/>
            </w:tcBorders>
            <w:shd w:val="clear" w:color="auto" w:fill="auto"/>
            <w:noWrap/>
            <w:hideMark/>
          </w:tcPr>
          <w:p w14:paraId="780E00C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5+6</w:t>
            </w:r>
          </w:p>
        </w:tc>
        <w:tc>
          <w:tcPr>
            <w:tcW w:w="630" w:type="dxa"/>
            <w:tcBorders>
              <w:top w:val="nil"/>
              <w:left w:val="nil"/>
              <w:bottom w:val="nil"/>
              <w:right w:val="nil"/>
            </w:tcBorders>
            <w:shd w:val="clear" w:color="auto" w:fill="auto"/>
            <w:noWrap/>
            <w:hideMark/>
          </w:tcPr>
          <w:p w14:paraId="4C40A311"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15</w:t>
            </w:r>
          </w:p>
        </w:tc>
        <w:tc>
          <w:tcPr>
            <w:tcW w:w="630" w:type="dxa"/>
            <w:tcBorders>
              <w:top w:val="nil"/>
              <w:left w:val="nil"/>
              <w:bottom w:val="nil"/>
              <w:right w:val="nil"/>
            </w:tcBorders>
            <w:shd w:val="clear" w:color="auto" w:fill="auto"/>
            <w:noWrap/>
            <w:hideMark/>
          </w:tcPr>
          <w:p w14:paraId="66BC95D2"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-3.76</w:t>
            </w:r>
          </w:p>
        </w:tc>
        <w:tc>
          <w:tcPr>
            <w:tcW w:w="575" w:type="dxa"/>
            <w:tcBorders>
              <w:top w:val="nil"/>
              <w:left w:val="nil"/>
              <w:bottom w:val="nil"/>
              <w:right w:val="single" w:sz="4" w:space="0" w:color="auto"/>
            </w:tcBorders>
            <w:shd w:val="clear" w:color="auto" w:fill="auto"/>
            <w:noWrap/>
            <w:hideMark/>
          </w:tcPr>
          <w:p w14:paraId="6BCC808A"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-21.30</w:t>
            </w:r>
          </w:p>
        </w:tc>
        <w:tc>
          <w:tcPr>
            <w:tcW w:w="1045" w:type="dxa"/>
            <w:tcBorders>
              <w:top w:val="nil"/>
              <w:left w:val="nil"/>
              <w:bottom w:val="nil"/>
              <w:right w:val="nil"/>
            </w:tcBorders>
            <w:shd w:val="clear" w:color="auto" w:fill="auto"/>
            <w:noWrap/>
            <w:hideMark/>
          </w:tcPr>
          <w:p w14:paraId="1F6C138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w:t>
            </w:r>
          </w:p>
        </w:tc>
        <w:tc>
          <w:tcPr>
            <w:tcW w:w="720" w:type="dxa"/>
            <w:tcBorders>
              <w:top w:val="nil"/>
              <w:left w:val="nil"/>
              <w:bottom w:val="nil"/>
              <w:right w:val="nil"/>
            </w:tcBorders>
            <w:shd w:val="clear" w:color="auto" w:fill="auto"/>
            <w:noWrap/>
            <w:hideMark/>
          </w:tcPr>
          <w:p w14:paraId="1035594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30" w:type="dxa"/>
            <w:tcBorders>
              <w:top w:val="nil"/>
              <w:left w:val="nil"/>
              <w:bottom w:val="nil"/>
              <w:right w:val="nil"/>
            </w:tcBorders>
            <w:shd w:val="clear" w:color="auto" w:fill="auto"/>
            <w:noWrap/>
            <w:hideMark/>
          </w:tcPr>
          <w:p w14:paraId="69AF376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-2.05</w:t>
            </w:r>
          </w:p>
        </w:tc>
        <w:tc>
          <w:tcPr>
            <w:tcW w:w="632" w:type="dxa"/>
            <w:gridSpan w:val="2"/>
            <w:tcBorders>
              <w:top w:val="nil"/>
              <w:left w:val="nil"/>
              <w:bottom w:val="nil"/>
              <w:right w:val="nil"/>
            </w:tcBorders>
            <w:shd w:val="clear" w:color="auto" w:fill="auto"/>
            <w:noWrap/>
            <w:hideMark/>
          </w:tcPr>
          <w:p w14:paraId="01ED949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-0.79</w:t>
            </w:r>
          </w:p>
        </w:tc>
      </w:tr>
      <w:tr w:rsidR="00802F1A" w:rsidRPr="00802F1A" w14:paraId="67191141" w14:textId="77777777" w:rsidTr="00CD1F30">
        <w:trPr>
          <w:gridAfter w:val="1"/>
          <w:wAfter w:w="6" w:type="dxa"/>
          <w:trHeight w:val="288"/>
        </w:trPr>
        <w:tc>
          <w:tcPr>
            <w:tcW w:w="9086" w:type="dxa"/>
            <w:gridSpan w:val="12"/>
            <w:tcBorders>
              <w:top w:val="nil"/>
              <w:left w:val="nil"/>
              <w:bottom w:val="nil"/>
              <w:right w:val="nil"/>
            </w:tcBorders>
            <w:shd w:val="clear" w:color="auto" w:fill="auto"/>
            <w:noWrap/>
            <w:hideMark/>
          </w:tcPr>
          <w:p w14:paraId="029D497E" w14:textId="77777777" w:rsidR="00AB6C42" w:rsidRPr="00802F1A" w:rsidRDefault="00AB6C42" w:rsidP="00CD1F30">
            <w:pPr>
              <w:spacing w:line="240" w:lineRule="auto"/>
              <w:rPr>
                <w:rFonts w:eastAsia="Times New Roman" w:cs="Times New Roman"/>
                <w:i/>
                <w:iCs/>
                <w:sz w:val="16"/>
                <w:szCs w:val="16"/>
                <w:lang w:eastAsia="en-AU"/>
              </w:rPr>
            </w:pPr>
            <w:r w:rsidRPr="00802F1A">
              <w:rPr>
                <w:rFonts w:eastAsia="Times New Roman" w:cs="Times New Roman"/>
                <w:i/>
                <w:iCs/>
                <w:sz w:val="16"/>
                <w:szCs w:val="16"/>
                <w:lang w:eastAsia="en-AU"/>
              </w:rPr>
              <w:t>Financial Dev</w:t>
            </w:r>
          </w:p>
        </w:tc>
      </w:tr>
      <w:tr w:rsidR="00802F1A" w:rsidRPr="00802F1A" w14:paraId="157ACD5C" w14:textId="77777777" w:rsidTr="00CD1F30">
        <w:trPr>
          <w:trHeight w:val="288"/>
        </w:trPr>
        <w:tc>
          <w:tcPr>
            <w:tcW w:w="990" w:type="dxa"/>
            <w:tcBorders>
              <w:top w:val="nil"/>
              <w:left w:val="nil"/>
              <w:bottom w:val="nil"/>
              <w:right w:val="nil"/>
            </w:tcBorders>
            <w:shd w:val="clear" w:color="auto" w:fill="auto"/>
            <w:noWrap/>
            <w:hideMark/>
          </w:tcPr>
          <w:p w14:paraId="47B7EA71"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630" w:type="dxa"/>
            <w:tcBorders>
              <w:top w:val="nil"/>
              <w:left w:val="nil"/>
              <w:bottom w:val="nil"/>
              <w:right w:val="nil"/>
            </w:tcBorders>
            <w:shd w:val="clear" w:color="auto" w:fill="auto"/>
            <w:noWrap/>
            <w:hideMark/>
          </w:tcPr>
          <w:p w14:paraId="75A9DD3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w:t>
            </w:r>
          </w:p>
        </w:tc>
        <w:tc>
          <w:tcPr>
            <w:tcW w:w="602" w:type="dxa"/>
            <w:tcBorders>
              <w:top w:val="nil"/>
              <w:left w:val="nil"/>
              <w:bottom w:val="nil"/>
              <w:right w:val="nil"/>
            </w:tcBorders>
            <w:shd w:val="clear" w:color="auto" w:fill="auto"/>
            <w:noWrap/>
            <w:hideMark/>
          </w:tcPr>
          <w:p w14:paraId="10999ED1"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2.72</w:t>
            </w:r>
          </w:p>
        </w:tc>
        <w:tc>
          <w:tcPr>
            <w:tcW w:w="718" w:type="dxa"/>
            <w:tcBorders>
              <w:top w:val="nil"/>
              <w:left w:val="nil"/>
              <w:bottom w:val="nil"/>
              <w:right w:val="nil"/>
            </w:tcBorders>
            <w:shd w:val="clear" w:color="auto" w:fill="auto"/>
            <w:noWrap/>
            <w:hideMark/>
          </w:tcPr>
          <w:p w14:paraId="706E852D"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4.96</w:t>
            </w:r>
          </w:p>
        </w:tc>
        <w:tc>
          <w:tcPr>
            <w:tcW w:w="1290" w:type="dxa"/>
            <w:tcBorders>
              <w:top w:val="nil"/>
              <w:left w:val="single" w:sz="4" w:space="0" w:color="auto"/>
              <w:bottom w:val="nil"/>
              <w:right w:val="nil"/>
            </w:tcBorders>
            <w:shd w:val="clear" w:color="auto" w:fill="auto"/>
            <w:noWrap/>
            <w:hideMark/>
          </w:tcPr>
          <w:p w14:paraId="5AF7F39A"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 </w:t>
            </w:r>
          </w:p>
        </w:tc>
        <w:tc>
          <w:tcPr>
            <w:tcW w:w="630" w:type="dxa"/>
            <w:tcBorders>
              <w:top w:val="nil"/>
              <w:left w:val="nil"/>
              <w:bottom w:val="nil"/>
              <w:right w:val="nil"/>
            </w:tcBorders>
            <w:shd w:val="clear" w:color="auto" w:fill="auto"/>
            <w:noWrap/>
            <w:hideMark/>
          </w:tcPr>
          <w:p w14:paraId="75493648" w14:textId="77777777" w:rsidR="00AB6C42" w:rsidRPr="00802F1A" w:rsidRDefault="00AB6C42" w:rsidP="00AB6C42">
            <w:pPr>
              <w:spacing w:line="240" w:lineRule="auto"/>
              <w:rPr>
                <w:rFonts w:eastAsia="Times New Roman" w:cs="Times New Roman"/>
                <w:sz w:val="16"/>
                <w:szCs w:val="16"/>
                <w:lang w:eastAsia="en-AU"/>
              </w:rPr>
            </w:pPr>
          </w:p>
        </w:tc>
        <w:tc>
          <w:tcPr>
            <w:tcW w:w="630" w:type="dxa"/>
            <w:tcBorders>
              <w:top w:val="nil"/>
              <w:left w:val="nil"/>
              <w:bottom w:val="nil"/>
              <w:right w:val="nil"/>
            </w:tcBorders>
            <w:shd w:val="clear" w:color="auto" w:fill="auto"/>
            <w:noWrap/>
            <w:hideMark/>
          </w:tcPr>
          <w:p w14:paraId="14B4521C" w14:textId="77777777" w:rsidR="00AB6C42" w:rsidRPr="00802F1A" w:rsidRDefault="00AB6C42" w:rsidP="000F3A31">
            <w:pPr>
              <w:spacing w:line="240" w:lineRule="auto"/>
              <w:jc w:val="center"/>
              <w:rPr>
                <w:rFonts w:eastAsia="Times New Roman" w:cs="Times New Roman"/>
                <w:sz w:val="20"/>
                <w:szCs w:val="20"/>
                <w:lang w:eastAsia="en-AU"/>
              </w:rPr>
            </w:pPr>
          </w:p>
        </w:tc>
        <w:tc>
          <w:tcPr>
            <w:tcW w:w="575" w:type="dxa"/>
            <w:tcBorders>
              <w:top w:val="nil"/>
              <w:left w:val="nil"/>
              <w:bottom w:val="nil"/>
              <w:right w:val="single" w:sz="4" w:space="0" w:color="auto"/>
            </w:tcBorders>
            <w:shd w:val="clear" w:color="auto" w:fill="auto"/>
            <w:noWrap/>
            <w:hideMark/>
          </w:tcPr>
          <w:p w14:paraId="64BEA9A7" w14:textId="2076158F" w:rsidR="00AB6C42" w:rsidRPr="00802F1A" w:rsidRDefault="00AB6C42" w:rsidP="000F3A31">
            <w:pPr>
              <w:spacing w:line="240" w:lineRule="auto"/>
              <w:jc w:val="center"/>
              <w:rPr>
                <w:rFonts w:eastAsia="Times New Roman" w:cs="Times New Roman"/>
                <w:sz w:val="16"/>
                <w:szCs w:val="16"/>
                <w:lang w:eastAsia="en-AU"/>
              </w:rPr>
            </w:pPr>
          </w:p>
        </w:tc>
        <w:tc>
          <w:tcPr>
            <w:tcW w:w="1045" w:type="dxa"/>
            <w:tcBorders>
              <w:top w:val="nil"/>
              <w:left w:val="nil"/>
              <w:bottom w:val="nil"/>
              <w:right w:val="nil"/>
            </w:tcBorders>
            <w:shd w:val="clear" w:color="auto" w:fill="auto"/>
            <w:noWrap/>
            <w:hideMark/>
          </w:tcPr>
          <w:p w14:paraId="017F4F5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1</w:t>
            </w:r>
          </w:p>
        </w:tc>
        <w:tc>
          <w:tcPr>
            <w:tcW w:w="720" w:type="dxa"/>
            <w:tcBorders>
              <w:top w:val="nil"/>
              <w:left w:val="nil"/>
              <w:bottom w:val="nil"/>
              <w:right w:val="nil"/>
            </w:tcBorders>
            <w:shd w:val="clear" w:color="auto" w:fill="auto"/>
            <w:noWrap/>
            <w:hideMark/>
          </w:tcPr>
          <w:p w14:paraId="0C12ECF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w:t>
            </w:r>
          </w:p>
        </w:tc>
        <w:tc>
          <w:tcPr>
            <w:tcW w:w="630" w:type="dxa"/>
            <w:tcBorders>
              <w:top w:val="nil"/>
              <w:left w:val="nil"/>
              <w:bottom w:val="nil"/>
              <w:right w:val="nil"/>
            </w:tcBorders>
            <w:shd w:val="clear" w:color="auto" w:fill="auto"/>
            <w:noWrap/>
            <w:hideMark/>
          </w:tcPr>
          <w:p w14:paraId="4D19499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2.72</w:t>
            </w:r>
          </w:p>
        </w:tc>
        <w:tc>
          <w:tcPr>
            <w:tcW w:w="632" w:type="dxa"/>
            <w:gridSpan w:val="2"/>
            <w:tcBorders>
              <w:top w:val="nil"/>
              <w:left w:val="nil"/>
              <w:bottom w:val="nil"/>
              <w:right w:val="nil"/>
            </w:tcBorders>
            <w:shd w:val="clear" w:color="auto" w:fill="auto"/>
            <w:noWrap/>
            <w:hideMark/>
          </w:tcPr>
          <w:p w14:paraId="5E2A3D34"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4.96</w:t>
            </w:r>
          </w:p>
        </w:tc>
      </w:tr>
      <w:tr w:rsidR="00802F1A" w:rsidRPr="00802F1A" w14:paraId="24664F9E" w14:textId="77777777" w:rsidTr="00CD1F30">
        <w:trPr>
          <w:trHeight w:val="288"/>
        </w:trPr>
        <w:tc>
          <w:tcPr>
            <w:tcW w:w="990" w:type="dxa"/>
            <w:tcBorders>
              <w:top w:val="nil"/>
              <w:left w:val="nil"/>
              <w:bottom w:val="nil"/>
              <w:right w:val="nil"/>
            </w:tcBorders>
            <w:shd w:val="clear" w:color="auto" w:fill="auto"/>
            <w:noWrap/>
            <w:hideMark/>
          </w:tcPr>
          <w:p w14:paraId="2324F141"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2</w:t>
            </w:r>
          </w:p>
        </w:tc>
        <w:tc>
          <w:tcPr>
            <w:tcW w:w="630" w:type="dxa"/>
            <w:tcBorders>
              <w:top w:val="nil"/>
              <w:left w:val="nil"/>
              <w:bottom w:val="nil"/>
              <w:right w:val="nil"/>
            </w:tcBorders>
            <w:shd w:val="clear" w:color="auto" w:fill="auto"/>
            <w:noWrap/>
            <w:hideMark/>
          </w:tcPr>
          <w:p w14:paraId="5B48123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8</w:t>
            </w:r>
          </w:p>
        </w:tc>
        <w:tc>
          <w:tcPr>
            <w:tcW w:w="602" w:type="dxa"/>
            <w:tcBorders>
              <w:top w:val="nil"/>
              <w:left w:val="nil"/>
              <w:bottom w:val="nil"/>
              <w:right w:val="nil"/>
            </w:tcBorders>
            <w:shd w:val="clear" w:color="auto" w:fill="auto"/>
            <w:noWrap/>
            <w:hideMark/>
          </w:tcPr>
          <w:p w14:paraId="76F0C73C"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0.10</w:t>
            </w:r>
          </w:p>
        </w:tc>
        <w:tc>
          <w:tcPr>
            <w:tcW w:w="718" w:type="dxa"/>
            <w:tcBorders>
              <w:top w:val="nil"/>
              <w:left w:val="nil"/>
              <w:bottom w:val="nil"/>
              <w:right w:val="nil"/>
            </w:tcBorders>
            <w:shd w:val="clear" w:color="auto" w:fill="auto"/>
            <w:noWrap/>
            <w:hideMark/>
          </w:tcPr>
          <w:p w14:paraId="0E184C86"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1.64</w:t>
            </w:r>
          </w:p>
        </w:tc>
        <w:tc>
          <w:tcPr>
            <w:tcW w:w="1290" w:type="dxa"/>
            <w:tcBorders>
              <w:top w:val="nil"/>
              <w:left w:val="single" w:sz="4" w:space="0" w:color="auto"/>
              <w:bottom w:val="nil"/>
              <w:right w:val="nil"/>
            </w:tcBorders>
            <w:shd w:val="clear" w:color="auto" w:fill="auto"/>
            <w:noWrap/>
            <w:hideMark/>
          </w:tcPr>
          <w:p w14:paraId="553C70BE"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1+2</w:t>
            </w:r>
          </w:p>
        </w:tc>
        <w:tc>
          <w:tcPr>
            <w:tcW w:w="630" w:type="dxa"/>
            <w:tcBorders>
              <w:top w:val="nil"/>
              <w:left w:val="nil"/>
              <w:bottom w:val="nil"/>
              <w:right w:val="nil"/>
            </w:tcBorders>
            <w:shd w:val="clear" w:color="auto" w:fill="auto"/>
            <w:noWrap/>
            <w:hideMark/>
          </w:tcPr>
          <w:p w14:paraId="0ABE0E7B"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13</w:t>
            </w:r>
          </w:p>
        </w:tc>
        <w:tc>
          <w:tcPr>
            <w:tcW w:w="630" w:type="dxa"/>
            <w:tcBorders>
              <w:top w:val="nil"/>
              <w:left w:val="nil"/>
              <w:bottom w:val="nil"/>
              <w:right w:val="nil"/>
            </w:tcBorders>
            <w:shd w:val="clear" w:color="auto" w:fill="auto"/>
            <w:noWrap/>
            <w:hideMark/>
          </w:tcPr>
          <w:p w14:paraId="383E35EA"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-0.19</w:t>
            </w:r>
          </w:p>
        </w:tc>
        <w:tc>
          <w:tcPr>
            <w:tcW w:w="575" w:type="dxa"/>
            <w:tcBorders>
              <w:top w:val="nil"/>
              <w:left w:val="nil"/>
              <w:bottom w:val="nil"/>
              <w:right w:val="single" w:sz="4" w:space="0" w:color="auto"/>
            </w:tcBorders>
            <w:shd w:val="clear" w:color="auto" w:fill="auto"/>
            <w:noWrap/>
            <w:hideMark/>
          </w:tcPr>
          <w:p w14:paraId="45A71272"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-3.14</w:t>
            </w:r>
          </w:p>
        </w:tc>
        <w:tc>
          <w:tcPr>
            <w:tcW w:w="1045" w:type="dxa"/>
            <w:tcBorders>
              <w:top w:val="nil"/>
              <w:left w:val="nil"/>
              <w:bottom w:val="nil"/>
              <w:right w:val="nil"/>
            </w:tcBorders>
            <w:shd w:val="clear" w:color="auto" w:fill="auto"/>
            <w:noWrap/>
            <w:hideMark/>
          </w:tcPr>
          <w:p w14:paraId="357B8159" w14:textId="77777777" w:rsidR="00AB6C42" w:rsidRPr="00802F1A" w:rsidRDefault="00AB6C42" w:rsidP="00AB6C42">
            <w:pPr>
              <w:spacing w:line="240" w:lineRule="auto"/>
              <w:jc w:val="right"/>
              <w:rPr>
                <w:rFonts w:eastAsia="Times New Roman" w:cs="Times New Roman"/>
                <w:sz w:val="16"/>
                <w:szCs w:val="16"/>
                <w:lang w:eastAsia="en-AU"/>
              </w:rPr>
            </w:pPr>
          </w:p>
        </w:tc>
        <w:tc>
          <w:tcPr>
            <w:tcW w:w="720" w:type="dxa"/>
            <w:tcBorders>
              <w:top w:val="nil"/>
              <w:left w:val="nil"/>
              <w:bottom w:val="nil"/>
              <w:right w:val="nil"/>
            </w:tcBorders>
            <w:shd w:val="clear" w:color="auto" w:fill="auto"/>
            <w:noWrap/>
            <w:hideMark/>
          </w:tcPr>
          <w:p w14:paraId="5E1DF651" w14:textId="77777777" w:rsidR="00AB6C42" w:rsidRPr="00802F1A" w:rsidRDefault="00AB6C42" w:rsidP="00AB6C42">
            <w:pPr>
              <w:spacing w:line="240" w:lineRule="auto"/>
              <w:rPr>
                <w:rFonts w:eastAsia="Times New Roman" w:cs="Times New Roman"/>
                <w:sz w:val="20"/>
                <w:szCs w:val="20"/>
                <w:lang w:eastAsia="en-AU"/>
              </w:rPr>
            </w:pPr>
          </w:p>
        </w:tc>
        <w:tc>
          <w:tcPr>
            <w:tcW w:w="630" w:type="dxa"/>
            <w:tcBorders>
              <w:top w:val="nil"/>
              <w:left w:val="nil"/>
              <w:bottom w:val="nil"/>
              <w:right w:val="nil"/>
            </w:tcBorders>
            <w:shd w:val="clear" w:color="auto" w:fill="auto"/>
            <w:noWrap/>
            <w:hideMark/>
          </w:tcPr>
          <w:p w14:paraId="3E7F6A1A" w14:textId="77777777" w:rsidR="00AB6C42" w:rsidRPr="00802F1A" w:rsidRDefault="00AB6C42" w:rsidP="00AB6C42">
            <w:pPr>
              <w:spacing w:line="240" w:lineRule="auto"/>
              <w:jc w:val="right"/>
              <w:rPr>
                <w:rFonts w:eastAsia="Times New Roman" w:cs="Times New Roman"/>
                <w:sz w:val="20"/>
                <w:szCs w:val="20"/>
                <w:lang w:eastAsia="en-AU"/>
              </w:rPr>
            </w:pPr>
          </w:p>
        </w:tc>
        <w:tc>
          <w:tcPr>
            <w:tcW w:w="632" w:type="dxa"/>
            <w:gridSpan w:val="2"/>
            <w:tcBorders>
              <w:top w:val="nil"/>
              <w:left w:val="nil"/>
              <w:bottom w:val="nil"/>
              <w:right w:val="nil"/>
            </w:tcBorders>
            <w:shd w:val="clear" w:color="auto" w:fill="auto"/>
            <w:noWrap/>
            <w:hideMark/>
          </w:tcPr>
          <w:p w14:paraId="391637C5" w14:textId="77777777" w:rsidR="00AB6C42" w:rsidRPr="00802F1A" w:rsidRDefault="00AB6C42" w:rsidP="00AB6C42">
            <w:pPr>
              <w:spacing w:line="240" w:lineRule="auto"/>
              <w:rPr>
                <w:rFonts w:eastAsia="Times New Roman" w:cs="Times New Roman"/>
                <w:sz w:val="20"/>
                <w:szCs w:val="20"/>
                <w:lang w:eastAsia="en-AU"/>
              </w:rPr>
            </w:pPr>
          </w:p>
        </w:tc>
      </w:tr>
      <w:tr w:rsidR="00802F1A" w:rsidRPr="00802F1A" w14:paraId="4C774C32" w14:textId="77777777" w:rsidTr="00CD1F30">
        <w:trPr>
          <w:trHeight w:val="288"/>
        </w:trPr>
        <w:tc>
          <w:tcPr>
            <w:tcW w:w="990" w:type="dxa"/>
            <w:tcBorders>
              <w:top w:val="nil"/>
              <w:left w:val="nil"/>
              <w:bottom w:val="nil"/>
              <w:right w:val="nil"/>
            </w:tcBorders>
            <w:shd w:val="clear" w:color="auto" w:fill="auto"/>
            <w:noWrap/>
            <w:hideMark/>
          </w:tcPr>
          <w:p w14:paraId="04092C1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3</w:t>
            </w:r>
          </w:p>
        </w:tc>
        <w:tc>
          <w:tcPr>
            <w:tcW w:w="630" w:type="dxa"/>
            <w:tcBorders>
              <w:top w:val="nil"/>
              <w:left w:val="nil"/>
              <w:bottom w:val="nil"/>
              <w:right w:val="nil"/>
            </w:tcBorders>
            <w:shd w:val="clear" w:color="auto" w:fill="auto"/>
            <w:noWrap/>
            <w:hideMark/>
          </w:tcPr>
          <w:p w14:paraId="6EECC046"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w:t>
            </w:r>
          </w:p>
        </w:tc>
        <w:tc>
          <w:tcPr>
            <w:tcW w:w="602" w:type="dxa"/>
            <w:tcBorders>
              <w:top w:val="nil"/>
              <w:left w:val="nil"/>
              <w:bottom w:val="nil"/>
              <w:right w:val="nil"/>
            </w:tcBorders>
            <w:shd w:val="clear" w:color="auto" w:fill="auto"/>
            <w:noWrap/>
            <w:hideMark/>
          </w:tcPr>
          <w:p w14:paraId="0B992270"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1.17</w:t>
            </w:r>
          </w:p>
        </w:tc>
        <w:tc>
          <w:tcPr>
            <w:tcW w:w="718" w:type="dxa"/>
            <w:tcBorders>
              <w:top w:val="nil"/>
              <w:left w:val="nil"/>
              <w:bottom w:val="nil"/>
              <w:right w:val="nil"/>
            </w:tcBorders>
            <w:shd w:val="clear" w:color="auto" w:fill="auto"/>
            <w:noWrap/>
            <w:hideMark/>
          </w:tcPr>
          <w:p w14:paraId="0CCAD07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7.51</w:t>
            </w:r>
          </w:p>
        </w:tc>
        <w:tc>
          <w:tcPr>
            <w:tcW w:w="1290" w:type="dxa"/>
            <w:tcBorders>
              <w:top w:val="nil"/>
              <w:left w:val="single" w:sz="4" w:space="0" w:color="auto"/>
              <w:bottom w:val="nil"/>
              <w:right w:val="nil"/>
            </w:tcBorders>
            <w:shd w:val="clear" w:color="auto" w:fill="auto"/>
            <w:noWrap/>
            <w:hideMark/>
          </w:tcPr>
          <w:p w14:paraId="5BAC64C2"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2+3</w:t>
            </w:r>
          </w:p>
        </w:tc>
        <w:tc>
          <w:tcPr>
            <w:tcW w:w="630" w:type="dxa"/>
            <w:tcBorders>
              <w:top w:val="nil"/>
              <w:left w:val="nil"/>
              <w:bottom w:val="nil"/>
              <w:right w:val="nil"/>
            </w:tcBorders>
            <w:shd w:val="clear" w:color="auto" w:fill="auto"/>
            <w:noWrap/>
            <w:hideMark/>
          </w:tcPr>
          <w:p w14:paraId="7FA24628"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12</w:t>
            </w:r>
          </w:p>
        </w:tc>
        <w:tc>
          <w:tcPr>
            <w:tcW w:w="630" w:type="dxa"/>
            <w:tcBorders>
              <w:top w:val="nil"/>
              <w:left w:val="nil"/>
              <w:bottom w:val="nil"/>
              <w:right w:val="nil"/>
            </w:tcBorders>
            <w:shd w:val="clear" w:color="auto" w:fill="auto"/>
            <w:noWrap/>
            <w:hideMark/>
          </w:tcPr>
          <w:p w14:paraId="0F6A6B03"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0.67</w:t>
            </w:r>
          </w:p>
        </w:tc>
        <w:tc>
          <w:tcPr>
            <w:tcW w:w="575" w:type="dxa"/>
            <w:tcBorders>
              <w:top w:val="nil"/>
              <w:left w:val="nil"/>
              <w:bottom w:val="nil"/>
              <w:right w:val="single" w:sz="4" w:space="0" w:color="auto"/>
            </w:tcBorders>
            <w:shd w:val="clear" w:color="auto" w:fill="auto"/>
            <w:noWrap/>
            <w:hideMark/>
          </w:tcPr>
          <w:p w14:paraId="00981CF3"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5.35</w:t>
            </w:r>
          </w:p>
        </w:tc>
        <w:tc>
          <w:tcPr>
            <w:tcW w:w="1045" w:type="dxa"/>
            <w:tcBorders>
              <w:top w:val="nil"/>
              <w:left w:val="nil"/>
              <w:bottom w:val="nil"/>
              <w:right w:val="nil"/>
            </w:tcBorders>
            <w:shd w:val="clear" w:color="auto" w:fill="auto"/>
            <w:noWrap/>
            <w:hideMark/>
          </w:tcPr>
          <w:p w14:paraId="669B34F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2+3</w:t>
            </w:r>
          </w:p>
        </w:tc>
        <w:tc>
          <w:tcPr>
            <w:tcW w:w="720" w:type="dxa"/>
            <w:tcBorders>
              <w:top w:val="nil"/>
              <w:left w:val="nil"/>
              <w:bottom w:val="nil"/>
              <w:right w:val="nil"/>
            </w:tcBorders>
            <w:shd w:val="clear" w:color="auto" w:fill="auto"/>
            <w:noWrap/>
            <w:hideMark/>
          </w:tcPr>
          <w:p w14:paraId="6B4D069B"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12</w:t>
            </w:r>
          </w:p>
        </w:tc>
        <w:tc>
          <w:tcPr>
            <w:tcW w:w="630" w:type="dxa"/>
            <w:tcBorders>
              <w:top w:val="nil"/>
              <w:left w:val="nil"/>
              <w:bottom w:val="nil"/>
              <w:right w:val="nil"/>
            </w:tcBorders>
            <w:shd w:val="clear" w:color="auto" w:fill="auto"/>
            <w:noWrap/>
            <w:hideMark/>
          </w:tcPr>
          <w:p w14:paraId="05036A2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0.67</w:t>
            </w:r>
          </w:p>
        </w:tc>
        <w:tc>
          <w:tcPr>
            <w:tcW w:w="632" w:type="dxa"/>
            <w:gridSpan w:val="2"/>
            <w:tcBorders>
              <w:top w:val="nil"/>
              <w:left w:val="nil"/>
              <w:bottom w:val="nil"/>
              <w:right w:val="nil"/>
            </w:tcBorders>
            <w:shd w:val="clear" w:color="auto" w:fill="auto"/>
            <w:noWrap/>
            <w:hideMark/>
          </w:tcPr>
          <w:p w14:paraId="6F0C787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5.35</w:t>
            </w:r>
          </w:p>
        </w:tc>
      </w:tr>
      <w:tr w:rsidR="00802F1A" w:rsidRPr="00802F1A" w14:paraId="3D86FF18" w14:textId="77777777" w:rsidTr="00CD1F30">
        <w:trPr>
          <w:trHeight w:val="288"/>
        </w:trPr>
        <w:tc>
          <w:tcPr>
            <w:tcW w:w="990" w:type="dxa"/>
            <w:tcBorders>
              <w:top w:val="nil"/>
              <w:left w:val="nil"/>
              <w:bottom w:val="nil"/>
              <w:right w:val="nil"/>
            </w:tcBorders>
            <w:shd w:val="clear" w:color="auto" w:fill="auto"/>
            <w:noWrap/>
            <w:hideMark/>
          </w:tcPr>
          <w:p w14:paraId="17B2EC8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630" w:type="dxa"/>
            <w:tcBorders>
              <w:top w:val="nil"/>
              <w:left w:val="nil"/>
              <w:bottom w:val="nil"/>
              <w:right w:val="nil"/>
            </w:tcBorders>
            <w:shd w:val="clear" w:color="auto" w:fill="auto"/>
            <w:noWrap/>
            <w:hideMark/>
          </w:tcPr>
          <w:p w14:paraId="462828F8"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42</w:t>
            </w:r>
          </w:p>
        </w:tc>
        <w:tc>
          <w:tcPr>
            <w:tcW w:w="602" w:type="dxa"/>
            <w:tcBorders>
              <w:top w:val="nil"/>
              <w:left w:val="nil"/>
              <w:bottom w:val="nil"/>
              <w:right w:val="nil"/>
            </w:tcBorders>
            <w:shd w:val="clear" w:color="auto" w:fill="auto"/>
            <w:noWrap/>
            <w:hideMark/>
          </w:tcPr>
          <w:p w14:paraId="0DB88199"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-0.10</w:t>
            </w:r>
          </w:p>
        </w:tc>
        <w:tc>
          <w:tcPr>
            <w:tcW w:w="718" w:type="dxa"/>
            <w:tcBorders>
              <w:top w:val="nil"/>
              <w:left w:val="nil"/>
              <w:bottom w:val="nil"/>
              <w:right w:val="nil"/>
            </w:tcBorders>
            <w:shd w:val="clear" w:color="auto" w:fill="auto"/>
            <w:noWrap/>
            <w:hideMark/>
          </w:tcPr>
          <w:p w14:paraId="7A50735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-0.85</w:t>
            </w:r>
          </w:p>
        </w:tc>
        <w:tc>
          <w:tcPr>
            <w:tcW w:w="1290" w:type="dxa"/>
            <w:tcBorders>
              <w:top w:val="nil"/>
              <w:left w:val="single" w:sz="4" w:space="0" w:color="auto"/>
              <w:bottom w:val="nil"/>
              <w:right w:val="nil"/>
            </w:tcBorders>
            <w:shd w:val="clear" w:color="auto" w:fill="auto"/>
            <w:noWrap/>
            <w:hideMark/>
          </w:tcPr>
          <w:p w14:paraId="7B65C99D" w14:textId="77777777" w:rsidR="00AB6C42" w:rsidRPr="00802F1A" w:rsidRDefault="00AB6C42" w:rsidP="00AB6C42">
            <w:pPr>
              <w:spacing w:line="240" w:lineRule="auto"/>
              <w:rPr>
                <w:rFonts w:eastAsia="Times New Roman" w:cs="Times New Roman"/>
                <w:b/>
                <w:bCs/>
                <w:sz w:val="16"/>
                <w:szCs w:val="16"/>
                <w:lang w:eastAsia="en-AU"/>
              </w:rPr>
            </w:pPr>
            <w:r w:rsidRPr="00802F1A">
              <w:rPr>
                <w:rFonts w:eastAsia="Times New Roman" w:cs="Times New Roman"/>
                <w:b/>
                <w:bCs/>
                <w:sz w:val="16"/>
                <w:szCs w:val="16"/>
                <w:lang w:eastAsia="en-AU"/>
              </w:rPr>
              <w:t>Clubs 3+4</w:t>
            </w:r>
          </w:p>
        </w:tc>
        <w:tc>
          <w:tcPr>
            <w:tcW w:w="630" w:type="dxa"/>
            <w:tcBorders>
              <w:top w:val="nil"/>
              <w:left w:val="nil"/>
              <w:bottom w:val="nil"/>
              <w:right w:val="nil"/>
            </w:tcBorders>
            <w:shd w:val="clear" w:color="auto" w:fill="auto"/>
            <w:noWrap/>
            <w:hideMark/>
          </w:tcPr>
          <w:p w14:paraId="0AF4735D" w14:textId="77777777" w:rsidR="00AB6C42" w:rsidRPr="00802F1A" w:rsidRDefault="00AB6C42" w:rsidP="00AB6C42">
            <w:pPr>
              <w:spacing w:line="240" w:lineRule="auto"/>
              <w:jc w:val="right"/>
              <w:rPr>
                <w:rFonts w:eastAsia="Times New Roman" w:cs="Times New Roman"/>
                <w:b/>
                <w:bCs/>
                <w:sz w:val="16"/>
                <w:szCs w:val="16"/>
                <w:lang w:eastAsia="en-AU"/>
              </w:rPr>
            </w:pPr>
            <w:r w:rsidRPr="00802F1A">
              <w:rPr>
                <w:rFonts w:eastAsia="Times New Roman" w:cs="Times New Roman"/>
                <w:b/>
                <w:bCs/>
                <w:sz w:val="16"/>
                <w:szCs w:val="16"/>
                <w:lang w:eastAsia="en-AU"/>
              </w:rPr>
              <w:t>46</w:t>
            </w:r>
          </w:p>
        </w:tc>
        <w:tc>
          <w:tcPr>
            <w:tcW w:w="630" w:type="dxa"/>
            <w:tcBorders>
              <w:top w:val="nil"/>
              <w:left w:val="nil"/>
              <w:bottom w:val="nil"/>
              <w:right w:val="nil"/>
            </w:tcBorders>
            <w:shd w:val="clear" w:color="auto" w:fill="auto"/>
            <w:noWrap/>
            <w:hideMark/>
          </w:tcPr>
          <w:p w14:paraId="5EFA7CD7"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-0.11</w:t>
            </w:r>
          </w:p>
        </w:tc>
        <w:tc>
          <w:tcPr>
            <w:tcW w:w="575" w:type="dxa"/>
            <w:tcBorders>
              <w:top w:val="nil"/>
              <w:left w:val="nil"/>
              <w:bottom w:val="nil"/>
              <w:right w:val="single" w:sz="4" w:space="0" w:color="auto"/>
            </w:tcBorders>
            <w:shd w:val="clear" w:color="auto" w:fill="auto"/>
            <w:noWrap/>
            <w:hideMark/>
          </w:tcPr>
          <w:p w14:paraId="4A943DF0" w14:textId="77777777" w:rsidR="00AB6C42" w:rsidRPr="00802F1A" w:rsidRDefault="00AB6C42" w:rsidP="000F3A31">
            <w:pPr>
              <w:spacing w:line="240" w:lineRule="auto"/>
              <w:jc w:val="center"/>
              <w:rPr>
                <w:rFonts w:eastAsia="Times New Roman" w:cs="Times New Roman"/>
                <w:b/>
                <w:bCs/>
                <w:sz w:val="16"/>
                <w:szCs w:val="16"/>
                <w:lang w:eastAsia="en-AU"/>
              </w:rPr>
            </w:pPr>
            <w:r w:rsidRPr="00802F1A">
              <w:rPr>
                <w:rFonts w:eastAsia="Times New Roman" w:cs="Times New Roman"/>
                <w:b/>
                <w:bCs/>
                <w:sz w:val="16"/>
                <w:szCs w:val="16"/>
                <w:lang w:eastAsia="en-AU"/>
              </w:rPr>
              <w:t>-1.01</w:t>
            </w:r>
          </w:p>
        </w:tc>
        <w:tc>
          <w:tcPr>
            <w:tcW w:w="1045" w:type="dxa"/>
            <w:tcBorders>
              <w:top w:val="nil"/>
              <w:left w:val="nil"/>
              <w:bottom w:val="nil"/>
              <w:right w:val="nil"/>
            </w:tcBorders>
            <w:shd w:val="clear" w:color="auto" w:fill="auto"/>
            <w:noWrap/>
            <w:hideMark/>
          </w:tcPr>
          <w:p w14:paraId="3419075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4</w:t>
            </w:r>
          </w:p>
        </w:tc>
        <w:tc>
          <w:tcPr>
            <w:tcW w:w="720" w:type="dxa"/>
            <w:tcBorders>
              <w:top w:val="nil"/>
              <w:left w:val="nil"/>
              <w:bottom w:val="nil"/>
              <w:right w:val="nil"/>
            </w:tcBorders>
            <w:shd w:val="clear" w:color="auto" w:fill="auto"/>
            <w:noWrap/>
            <w:hideMark/>
          </w:tcPr>
          <w:p w14:paraId="3F3C593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42</w:t>
            </w:r>
          </w:p>
        </w:tc>
        <w:tc>
          <w:tcPr>
            <w:tcW w:w="630" w:type="dxa"/>
            <w:tcBorders>
              <w:top w:val="nil"/>
              <w:left w:val="nil"/>
              <w:bottom w:val="nil"/>
              <w:right w:val="nil"/>
            </w:tcBorders>
            <w:shd w:val="clear" w:color="auto" w:fill="auto"/>
            <w:noWrap/>
            <w:hideMark/>
          </w:tcPr>
          <w:p w14:paraId="0936A7E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-0.10</w:t>
            </w:r>
          </w:p>
        </w:tc>
        <w:tc>
          <w:tcPr>
            <w:tcW w:w="632" w:type="dxa"/>
            <w:gridSpan w:val="2"/>
            <w:tcBorders>
              <w:top w:val="nil"/>
              <w:left w:val="nil"/>
              <w:bottom w:val="nil"/>
              <w:right w:val="nil"/>
            </w:tcBorders>
            <w:shd w:val="clear" w:color="auto" w:fill="auto"/>
            <w:noWrap/>
            <w:hideMark/>
          </w:tcPr>
          <w:p w14:paraId="10D459D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-0.85</w:t>
            </w:r>
          </w:p>
        </w:tc>
      </w:tr>
      <w:tr w:rsidR="00802F1A" w:rsidRPr="00802F1A" w14:paraId="1B72CDF6" w14:textId="77777777" w:rsidTr="00CD1F30">
        <w:trPr>
          <w:trHeight w:val="288"/>
        </w:trPr>
        <w:tc>
          <w:tcPr>
            <w:tcW w:w="990" w:type="dxa"/>
            <w:tcBorders>
              <w:top w:val="nil"/>
              <w:left w:val="nil"/>
              <w:bottom w:val="nil"/>
              <w:right w:val="nil"/>
            </w:tcBorders>
            <w:shd w:val="clear" w:color="auto" w:fill="auto"/>
            <w:noWrap/>
            <w:hideMark/>
          </w:tcPr>
          <w:p w14:paraId="7EF516D4"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5</w:t>
            </w:r>
          </w:p>
        </w:tc>
        <w:tc>
          <w:tcPr>
            <w:tcW w:w="630" w:type="dxa"/>
            <w:tcBorders>
              <w:top w:val="nil"/>
              <w:left w:val="nil"/>
              <w:bottom w:val="nil"/>
              <w:right w:val="nil"/>
            </w:tcBorders>
            <w:shd w:val="clear" w:color="auto" w:fill="auto"/>
            <w:noWrap/>
            <w:hideMark/>
          </w:tcPr>
          <w:p w14:paraId="1B79BE6D"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49</w:t>
            </w:r>
          </w:p>
        </w:tc>
        <w:tc>
          <w:tcPr>
            <w:tcW w:w="602" w:type="dxa"/>
            <w:tcBorders>
              <w:top w:val="nil"/>
              <w:left w:val="nil"/>
              <w:bottom w:val="nil"/>
              <w:right w:val="nil"/>
            </w:tcBorders>
            <w:shd w:val="clear" w:color="auto" w:fill="auto"/>
            <w:noWrap/>
            <w:hideMark/>
          </w:tcPr>
          <w:p w14:paraId="288B155E"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-0.16</w:t>
            </w:r>
          </w:p>
        </w:tc>
        <w:tc>
          <w:tcPr>
            <w:tcW w:w="718" w:type="dxa"/>
            <w:tcBorders>
              <w:top w:val="nil"/>
              <w:left w:val="nil"/>
              <w:bottom w:val="nil"/>
              <w:right w:val="nil"/>
            </w:tcBorders>
            <w:shd w:val="clear" w:color="auto" w:fill="auto"/>
            <w:noWrap/>
            <w:hideMark/>
          </w:tcPr>
          <w:p w14:paraId="7ABF92B5"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-1.51</w:t>
            </w:r>
          </w:p>
        </w:tc>
        <w:tc>
          <w:tcPr>
            <w:tcW w:w="1290" w:type="dxa"/>
            <w:tcBorders>
              <w:top w:val="nil"/>
              <w:left w:val="single" w:sz="4" w:space="0" w:color="auto"/>
              <w:bottom w:val="nil"/>
              <w:right w:val="nil"/>
            </w:tcBorders>
            <w:shd w:val="clear" w:color="auto" w:fill="auto"/>
            <w:noWrap/>
            <w:hideMark/>
          </w:tcPr>
          <w:p w14:paraId="226C289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4+5</w:t>
            </w:r>
          </w:p>
        </w:tc>
        <w:tc>
          <w:tcPr>
            <w:tcW w:w="630" w:type="dxa"/>
            <w:tcBorders>
              <w:top w:val="nil"/>
              <w:left w:val="nil"/>
              <w:bottom w:val="nil"/>
              <w:right w:val="nil"/>
            </w:tcBorders>
            <w:shd w:val="clear" w:color="auto" w:fill="auto"/>
            <w:noWrap/>
            <w:hideMark/>
          </w:tcPr>
          <w:p w14:paraId="2A5EB015"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91</w:t>
            </w:r>
          </w:p>
        </w:tc>
        <w:tc>
          <w:tcPr>
            <w:tcW w:w="630" w:type="dxa"/>
            <w:tcBorders>
              <w:top w:val="nil"/>
              <w:left w:val="nil"/>
              <w:bottom w:val="nil"/>
              <w:right w:val="nil"/>
            </w:tcBorders>
            <w:shd w:val="clear" w:color="auto" w:fill="auto"/>
            <w:noWrap/>
            <w:hideMark/>
          </w:tcPr>
          <w:p w14:paraId="0D95CD14"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-0.41</w:t>
            </w:r>
          </w:p>
        </w:tc>
        <w:tc>
          <w:tcPr>
            <w:tcW w:w="575" w:type="dxa"/>
            <w:tcBorders>
              <w:top w:val="nil"/>
              <w:left w:val="nil"/>
              <w:bottom w:val="nil"/>
              <w:right w:val="single" w:sz="4" w:space="0" w:color="auto"/>
            </w:tcBorders>
            <w:shd w:val="clear" w:color="auto" w:fill="auto"/>
            <w:noWrap/>
            <w:hideMark/>
          </w:tcPr>
          <w:p w14:paraId="46E93BA0"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-5.04</w:t>
            </w:r>
          </w:p>
        </w:tc>
        <w:tc>
          <w:tcPr>
            <w:tcW w:w="1045" w:type="dxa"/>
            <w:tcBorders>
              <w:top w:val="nil"/>
              <w:left w:val="nil"/>
              <w:bottom w:val="nil"/>
              <w:right w:val="nil"/>
            </w:tcBorders>
            <w:shd w:val="clear" w:color="auto" w:fill="auto"/>
            <w:noWrap/>
            <w:hideMark/>
          </w:tcPr>
          <w:p w14:paraId="7CA14E4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5</w:t>
            </w:r>
          </w:p>
        </w:tc>
        <w:tc>
          <w:tcPr>
            <w:tcW w:w="720" w:type="dxa"/>
            <w:tcBorders>
              <w:top w:val="nil"/>
              <w:left w:val="nil"/>
              <w:bottom w:val="nil"/>
              <w:right w:val="nil"/>
            </w:tcBorders>
            <w:shd w:val="clear" w:color="auto" w:fill="auto"/>
            <w:noWrap/>
            <w:hideMark/>
          </w:tcPr>
          <w:p w14:paraId="5344DBE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49</w:t>
            </w:r>
          </w:p>
        </w:tc>
        <w:tc>
          <w:tcPr>
            <w:tcW w:w="630" w:type="dxa"/>
            <w:tcBorders>
              <w:top w:val="nil"/>
              <w:left w:val="nil"/>
              <w:bottom w:val="nil"/>
              <w:right w:val="nil"/>
            </w:tcBorders>
            <w:shd w:val="clear" w:color="auto" w:fill="auto"/>
            <w:noWrap/>
            <w:hideMark/>
          </w:tcPr>
          <w:p w14:paraId="13B3F160"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-0.16</w:t>
            </w:r>
          </w:p>
        </w:tc>
        <w:tc>
          <w:tcPr>
            <w:tcW w:w="632" w:type="dxa"/>
            <w:gridSpan w:val="2"/>
            <w:tcBorders>
              <w:top w:val="nil"/>
              <w:left w:val="nil"/>
              <w:bottom w:val="nil"/>
              <w:right w:val="nil"/>
            </w:tcBorders>
            <w:shd w:val="clear" w:color="auto" w:fill="auto"/>
            <w:noWrap/>
            <w:hideMark/>
          </w:tcPr>
          <w:p w14:paraId="793FB0E9"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-1.51</w:t>
            </w:r>
          </w:p>
        </w:tc>
      </w:tr>
      <w:tr w:rsidR="00802F1A" w:rsidRPr="00802F1A" w14:paraId="2A72E423" w14:textId="77777777" w:rsidTr="00CD1F30">
        <w:trPr>
          <w:trHeight w:val="288"/>
        </w:trPr>
        <w:tc>
          <w:tcPr>
            <w:tcW w:w="990" w:type="dxa"/>
            <w:tcBorders>
              <w:top w:val="nil"/>
              <w:left w:val="nil"/>
              <w:bottom w:val="nil"/>
              <w:right w:val="nil"/>
            </w:tcBorders>
            <w:shd w:val="clear" w:color="auto" w:fill="auto"/>
            <w:noWrap/>
            <w:hideMark/>
          </w:tcPr>
          <w:p w14:paraId="1E541ED3"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w:t>
            </w:r>
          </w:p>
        </w:tc>
        <w:tc>
          <w:tcPr>
            <w:tcW w:w="630" w:type="dxa"/>
            <w:tcBorders>
              <w:top w:val="nil"/>
              <w:left w:val="nil"/>
              <w:bottom w:val="nil"/>
              <w:right w:val="nil"/>
            </w:tcBorders>
            <w:shd w:val="clear" w:color="auto" w:fill="auto"/>
            <w:noWrap/>
            <w:hideMark/>
          </w:tcPr>
          <w:p w14:paraId="1C2F50E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24</w:t>
            </w:r>
          </w:p>
        </w:tc>
        <w:tc>
          <w:tcPr>
            <w:tcW w:w="602" w:type="dxa"/>
            <w:tcBorders>
              <w:top w:val="nil"/>
              <w:left w:val="nil"/>
              <w:bottom w:val="nil"/>
              <w:right w:val="nil"/>
            </w:tcBorders>
            <w:shd w:val="clear" w:color="auto" w:fill="auto"/>
            <w:noWrap/>
            <w:hideMark/>
          </w:tcPr>
          <w:p w14:paraId="5E4090DA"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0.19</w:t>
            </w:r>
          </w:p>
        </w:tc>
        <w:tc>
          <w:tcPr>
            <w:tcW w:w="718" w:type="dxa"/>
            <w:tcBorders>
              <w:top w:val="nil"/>
              <w:left w:val="nil"/>
              <w:bottom w:val="nil"/>
              <w:right w:val="nil"/>
            </w:tcBorders>
            <w:shd w:val="clear" w:color="auto" w:fill="auto"/>
            <w:noWrap/>
            <w:hideMark/>
          </w:tcPr>
          <w:p w14:paraId="6E01E597"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1.66</w:t>
            </w:r>
          </w:p>
        </w:tc>
        <w:tc>
          <w:tcPr>
            <w:tcW w:w="1290" w:type="dxa"/>
            <w:tcBorders>
              <w:top w:val="nil"/>
              <w:left w:val="single" w:sz="4" w:space="0" w:color="auto"/>
              <w:bottom w:val="nil"/>
              <w:right w:val="nil"/>
            </w:tcBorders>
            <w:shd w:val="clear" w:color="auto" w:fill="auto"/>
            <w:noWrap/>
            <w:hideMark/>
          </w:tcPr>
          <w:p w14:paraId="59D1CF5C"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Clubs 5+6</w:t>
            </w:r>
          </w:p>
        </w:tc>
        <w:tc>
          <w:tcPr>
            <w:tcW w:w="630" w:type="dxa"/>
            <w:tcBorders>
              <w:top w:val="nil"/>
              <w:left w:val="nil"/>
              <w:bottom w:val="nil"/>
              <w:right w:val="nil"/>
            </w:tcBorders>
            <w:shd w:val="clear" w:color="auto" w:fill="auto"/>
            <w:noWrap/>
            <w:hideMark/>
          </w:tcPr>
          <w:p w14:paraId="610CDFDA"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73</w:t>
            </w:r>
          </w:p>
        </w:tc>
        <w:tc>
          <w:tcPr>
            <w:tcW w:w="630" w:type="dxa"/>
            <w:tcBorders>
              <w:top w:val="nil"/>
              <w:left w:val="nil"/>
              <w:bottom w:val="nil"/>
              <w:right w:val="nil"/>
            </w:tcBorders>
            <w:shd w:val="clear" w:color="auto" w:fill="auto"/>
            <w:noWrap/>
            <w:hideMark/>
          </w:tcPr>
          <w:p w14:paraId="45F48975"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-0.45</w:t>
            </w:r>
          </w:p>
        </w:tc>
        <w:tc>
          <w:tcPr>
            <w:tcW w:w="575" w:type="dxa"/>
            <w:tcBorders>
              <w:top w:val="nil"/>
              <w:left w:val="nil"/>
              <w:bottom w:val="nil"/>
              <w:right w:val="single" w:sz="4" w:space="0" w:color="auto"/>
            </w:tcBorders>
            <w:shd w:val="clear" w:color="auto" w:fill="auto"/>
            <w:noWrap/>
            <w:hideMark/>
          </w:tcPr>
          <w:p w14:paraId="514A307C"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-5.09</w:t>
            </w:r>
          </w:p>
        </w:tc>
        <w:tc>
          <w:tcPr>
            <w:tcW w:w="1045" w:type="dxa"/>
            <w:tcBorders>
              <w:top w:val="nil"/>
              <w:left w:val="nil"/>
              <w:bottom w:val="nil"/>
              <w:right w:val="nil"/>
            </w:tcBorders>
            <w:shd w:val="clear" w:color="auto" w:fill="auto"/>
            <w:noWrap/>
            <w:hideMark/>
          </w:tcPr>
          <w:p w14:paraId="2632DCDD"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w:t>
            </w:r>
          </w:p>
        </w:tc>
        <w:tc>
          <w:tcPr>
            <w:tcW w:w="720" w:type="dxa"/>
            <w:tcBorders>
              <w:top w:val="nil"/>
              <w:left w:val="nil"/>
              <w:bottom w:val="nil"/>
              <w:right w:val="nil"/>
            </w:tcBorders>
            <w:shd w:val="clear" w:color="auto" w:fill="auto"/>
            <w:noWrap/>
            <w:hideMark/>
          </w:tcPr>
          <w:p w14:paraId="084FDFA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24</w:t>
            </w:r>
          </w:p>
        </w:tc>
        <w:tc>
          <w:tcPr>
            <w:tcW w:w="630" w:type="dxa"/>
            <w:tcBorders>
              <w:top w:val="nil"/>
              <w:left w:val="nil"/>
              <w:bottom w:val="nil"/>
              <w:right w:val="nil"/>
            </w:tcBorders>
            <w:shd w:val="clear" w:color="auto" w:fill="auto"/>
            <w:noWrap/>
            <w:hideMark/>
          </w:tcPr>
          <w:p w14:paraId="7B42F90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0.19</w:t>
            </w:r>
          </w:p>
        </w:tc>
        <w:tc>
          <w:tcPr>
            <w:tcW w:w="632" w:type="dxa"/>
            <w:gridSpan w:val="2"/>
            <w:tcBorders>
              <w:top w:val="nil"/>
              <w:left w:val="nil"/>
              <w:bottom w:val="nil"/>
              <w:right w:val="nil"/>
            </w:tcBorders>
            <w:shd w:val="clear" w:color="auto" w:fill="auto"/>
            <w:noWrap/>
            <w:hideMark/>
          </w:tcPr>
          <w:p w14:paraId="5359788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1.66</w:t>
            </w:r>
          </w:p>
        </w:tc>
      </w:tr>
      <w:tr w:rsidR="00802F1A" w:rsidRPr="00802F1A" w14:paraId="14D1FD82" w14:textId="77777777" w:rsidTr="00CD1F30">
        <w:trPr>
          <w:trHeight w:val="288"/>
        </w:trPr>
        <w:tc>
          <w:tcPr>
            <w:tcW w:w="990" w:type="dxa"/>
            <w:tcBorders>
              <w:top w:val="nil"/>
              <w:left w:val="nil"/>
              <w:bottom w:val="single" w:sz="4" w:space="0" w:color="auto"/>
              <w:right w:val="nil"/>
            </w:tcBorders>
            <w:shd w:val="clear" w:color="auto" w:fill="auto"/>
            <w:noWrap/>
            <w:hideMark/>
          </w:tcPr>
          <w:p w14:paraId="14A6D28F"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630" w:type="dxa"/>
            <w:tcBorders>
              <w:top w:val="nil"/>
              <w:left w:val="nil"/>
              <w:bottom w:val="single" w:sz="4" w:space="0" w:color="auto"/>
              <w:right w:val="nil"/>
            </w:tcBorders>
            <w:shd w:val="clear" w:color="auto" w:fill="auto"/>
            <w:noWrap/>
            <w:hideMark/>
          </w:tcPr>
          <w:p w14:paraId="5EE86222"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02" w:type="dxa"/>
            <w:tcBorders>
              <w:top w:val="nil"/>
              <w:left w:val="nil"/>
              <w:bottom w:val="single" w:sz="4" w:space="0" w:color="auto"/>
              <w:right w:val="nil"/>
            </w:tcBorders>
            <w:shd w:val="clear" w:color="auto" w:fill="auto"/>
            <w:noWrap/>
            <w:hideMark/>
          </w:tcPr>
          <w:p w14:paraId="1409964F"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-0.88</w:t>
            </w:r>
          </w:p>
        </w:tc>
        <w:tc>
          <w:tcPr>
            <w:tcW w:w="718" w:type="dxa"/>
            <w:tcBorders>
              <w:top w:val="nil"/>
              <w:left w:val="nil"/>
              <w:bottom w:val="single" w:sz="4" w:space="0" w:color="auto"/>
              <w:right w:val="nil"/>
            </w:tcBorders>
            <w:shd w:val="clear" w:color="auto" w:fill="auto"/>
            <w:noWrap/>
            <w:hideMark/>
          </w:tcPr>
          <w:p w14:paraId="4ED81403" w14:textId="77777777" w:rsidR="00AB6C42" w:rsidRPr="00802F1A" w:rsidRDefault="00AB6C42" w:rsidP="003E394A">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-33.47</w:t>
            </w:r>
          </w:p>
        </w:tc>
        <w:tc>
          <w:tcPr>
            <w:tcW w:w="1290" w:type="dxa"/>
            <w:tcBorders>
              <w:top w:val="nil"/>
              <w:left w:val="single" w:sz="4" w:space="0" w:color="auto"/>
              <w:bottom w:val="single" w:sz="4" w:space="0" w:color="auto"/>
              <w:right w:val="nil"/>
            </w:tcBorders>
            <w:shd w:val="clear" w:color="auto" w:fill="auto"/>
            <w:noWrap/>
            <w:hideMark/>
          </w:tcPr>
          <w:p w14:paraId="5284A396"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Club 6+Divergence</w:t>
            </w:r>
          </w:p>
        </w:tc>
        <w:tc>
          <w:tcPr>
            <w:tcW w:w="630" w:type="dxa"/>
            <w:tcBorders>
              <w:top w:val="nil"/>
              <w:left w:val="nil"/>
              <w:bottom w:val="single" w:sz="4" w:space="0" w:color="auto"/>
              <w:right w:val="nil"/>
            </w:tcBorders>
            <w:shd w:val="clear" w:color="auto" w:fill="auto"/>
            <w:noWrap/>
            <w:hideMark/>
          </w:tcPr>
          <w:p w14:paraId="45848BEE"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26</w:t>
            </w:r>
          </w:p>
        </w:tc>
        <w:tc>
          <w:tcPr>
            <w:tcW w:w="630" w:type="dxa"/>
            <w:tcBorders>
              <w:top w:val="nil"/>
              <w:left w:val="nil"/>
              <w:bottom w:val="single" w:sz="4" w:space="0" w:color="auto"/>
              <w:right w:val="nil"/>
            </w:tcBorders>
            <w:shd w:val="clear" w:color="auto" w:fill="auto"/>
            <w:noWrap/>
            <w:hideMark/>
          </w:tcPr>
          <w:p w14:paraId="08F90C85"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-0.50</w:t>
            </w:r>
          </w:p>
        </w:tc>
        <w:tc>
          <w:tcPr>
            <w:tcW w:w="575" w:type="dxa"/>
            <w:tcBorders>
              <w:top w:val="nil"/>
              <w:left w:val="nil"/>
              <w:bottom w:val="single" w:sz="4" w:space="0" w:color="auto"/>
              <w:right w:val="single" w:sz="4" w:space="0" w:color="auto"/>
            </w:tcBorders>
            <w:shd w:val="clear" w:color="auto" w:fill="auto"/>
            <w:noWrap/>
            <w:hideMark/>
          </w:tcPr>
          <w:p w14:paraId="556202BD" w14:textId="77777777" w:rsidR="00AB6C42" w:rsidRPr="00802F1A" w:rsidRDefault="00AB6C42" w:rsidP="000F3A31">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-9.79</w:t>
            </w:r>
          </w:p>
        </w:tc>
        <w:tc>
          <w:tcPr>
            <w:tcW w:w="1045" w:type="dxa"/>
            <w:tcBorders>
              <w:top w:val="nil"/>
              <w:left w:val="nil"/>
              <w:bottom w:val="single" w:sz="4" w:space="0" w:color="auto"/>
              <w:right w:val="nil"/>
            </w:tcBorders>
            <w:shd w:val="clear" w:color="auto" w:fill="auto"/>
            <w:noWrap/>
            <w:hideMark/>
          </w:tcPr>
          <w:p w14:paraId="2C0FDDE2"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Divergence</w:t>
            </w:r>
          </w:p>
        </w:tc>
        <w:tc>
          <w:tcPr>
            <w:tcW w:w="720" w:type="dxa"/>
            <w:tcBorders>
              <w:top w:val="nil"/>
              <w:left w:val="nil"/>
              <w:bottom w:val="single" w:sz="4" w:space="0" w:color="auto"/>
              <w:right w:val="nil"/>
            </w:tcBorders>
            <w:shd w:val="clear" w:color="auto" w:fill="auto"/>
            <w:noWrap/>
            <w:hideMark/>
          </w:tcPr>
          <w:p w14:paraId="77BFFD0B"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2</w:t>
            </w:r>
          </w:p>
        </w:tc>
        <w:tc>
          <w:tcPr>
            <w:tcW w:w="630" w:type="dxa"/>
            <w:tcBorders>
              <w:top w:val="nil"/>
              <w:left w:val="nil"/>
              <w:bottom w:val="single" w:sz="4" w:space="0" w:color="auto"/>
              <w:right w:val="nil"/>
            </w:tcBorders>
            <w:shd w:val="clear" w:color="auto" w:fill="auto"/>
            <w:noWrap/>
            <w:hideMark/>
          </w:tcPr>
          <w:p w14:paraId="1B5B75F3"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-0.88</w:t>
            </w:r>
          </w:p>
        </w:tc>
        <w:tc>
          <w:tcPr>
            <w:tcW w:w="632" w:type="dxa"/>
            <w:gridSpan w:val="2"/>
            <w:tcBorders>
              <w:top w:val="nil"/>
              <w:left w:val="nil"/>
              <w:bottom w:val="single" w:sz="4" w:space="0" w:color="auto"/>
              <w:right w:val="nil"/>
            </w:tcBorders>
            <w:shd w:val="clear" w:color="auto" w:fill="auto"/>
            <w:noWrap/>
            <w:hideMark/>
          </w:tcPr>
          <w:p w14:paraId="1EC8B4EF" w14:textId="77777777" w:rsidR="00AB6C42" w:rsidRPr="00802F1A" w:rsidRDefault="00AB6C42" w:rsidP="00AB6C42">
            <w:pPr>
              <w:spacing w:line="240" w:lineRule="auto"/>
              <w:jc w:val="right"/>
              <w:rPr>
                <w:rFonts w:eastAsia="Times New Roman" w:cs="Times New Roman"/>
                <w:sz w:val="16"/>
                <w:szCs w:val="16"/>
                <w:lang w:eastAsia="en-AU"/>
              </w:rPr>
            </w:pPr>
            <w:r w:rsidRPr="00802F1A">
              <w:rPr>
                <w:rFonts w:eastAsia="Times New Roman" w:cs="Times New Roman"/>
                <w:sz w:val="16"/>
                <w:szCs w:val="16"/>
                <w:lang w:eastAsia="en-AU"/>
              </w:rPr>
              <w:t>-33.47</w:t>
            </w:r>
          </w:p>
        </w:tc>
      </w:tr>
      <w:tr w:rsidR="00AB6C42" w:rsidRPr="00802F1A" w14:paraId="616ED963" w14:textId="77777777" w:rsidTr="00CD1F30">
        <w:trPr>
          <w:gridAfter w:val="1"/>
          <w:wAfter w:w="6" w:type="dxa"/>
          <w:trHeight w:val="288"/>
        </w:trPr>
        <w:tc>
          <w:tcPr>
            <w:tcW w:w="9086" w:type="dxa"/>
            <w:gridSpan w:val="12"/>
            <w:tcBorders>
              <w:top w:val="single" w:sz="4" w:space="0" w:color="auto"/>
              <w:left w:val="nil"/>
              <w:bottom w:val="nil"/>
              <w:right w:val="nil"/>
            </w:tcBorders>
            <w:shd w:val="clear" w:color="auto" w:fill="auto"/>
            <w:hideMark/>
          </w:tcPr>
          <w:p w14:paraId="56F71F0B" w14:textId="77777777" w:rsidR="00AB6C42" w:rsidRPr="00802F1A" w:rsidRDefault="00AB6C42" w:rsidP="00AB6C42">
            <w:pPr>
              <w:spacing w:line="240" w:lineRule="auto"/>
              <w:rPr>
                <w:rFonts w:eastAsia="Times New Roman" w:cs="Times New Roman"/>
                <w:sz w:val="16"/>
                <w:szCs w:val="16"/>
                <w:lang w:eastAsia="en-AU"/>
              </w:rPr>
            </w:pPr>
            <w:r w:rsidRPr="00802F1A">
              <w:rPr>
                <w:rFonts w:eastAsia="Times New Roman" w:cs="Times New Roman"/>
                <w:sz w:val="16"/>
                <w:szCs w:val="16"/>
                <w:lang w:eastAsia="en-AU"/>
              </w:rPr>
              <w:t>Boldfacing for the “Tests of club merging” and “Final club classification” indicates that the null hypothesis of the convergence for club merge is not rejected at 5% level of significance.</w:t>
            </w:r>
          </w:p>
        </w:tc>
      </w:tr>
    </w:tbl>
    <w:p w14:paraId="1102ED24" w14:textId="4533A2A2" w:rsidR="00AB6C42" w:rsidRPr="00802F1A" w:rsidRDefault="00AB6C42" w:rsidP="002E0E83">
      <w:pPr>
        <w:rPr>
          <w:rFonts w:cs="Times New Roman"/>
          <w:sz w:val="22"/>
          <w:lang w:val="en-US"/>
        </w:rPr>
      </w:pPr>
    </w:p>
    <w:p w14:paraId="1C257A29" w14:textId="51C29AA1" w:rsidR="00BF6BD5" w:rsidRPr="00802F1A" w:rsidRDefault="00BF6BD5" w:rsidP="00BF6BD5">
      <w:pPr>
        <w:jc w:val="both"/>
        <w:rPr>
          <w:rFonts w:cs="Times New Roman"/>
          <w:szCs w:val="24"/>
          <w:lang w:val="en-US"/>
        </w:rPr>
      </w:pPr>
      <w:r w:rsidRPr="00802F1A">
        <w:rPr>
          <w:rFonts w:cs="Times New Roman"/>
          <w:szCs w:val="24"/>
          <w:lang w:val="en-US"/>
        </w:rPr>
        <w:t>In the final stage of our analysis, we investigate convergence among countries sharing similar characteristics. Specifically, we test for convergence among low-income, lower-middle-income, upper-middle-income, and high-income countries based on the IMF's income classification in 2019. The results presented in Table 4 reveal that convergence occurs in both energy diversification and income per capita for low-income and lower-middle-income countries. It is worth noting that the convergence observed in these income groups, as opposed to upper-middle-income and high-income countries, can be attributed to the fact that low-income and lower-middle-income countries often act as technology followers, thus making it feasible for them to catch up with each other. It is important to note that the beta and sigma convergences for the global sample, as well as the subsamples, are also observed, and the detailed results can be provided upon request. Overall, the findings in this section lend support to Hypothesis 1.</w:t>
      </w:r>
    </w:p>
    <w:p w14:paraId="31B2F7A5" w14:textId="39D330A9" w:rsidR="00BF6BD5" w:rsidRPr="00802F1A" w:rsidRDefault="00BF6BD5" w:rsidP="00BF6BD5">
      <w:pPr>
        <w:jc w:val="both"/>
        <w:rPr>
          <w:rFonts w:cs="Times New Roman"/>
          <w:szCs w:val="24"/>
          <w:lang w:val="en-US"/>
        </w:rPr>
      </w:pPr>
    </w:p>
    <w:p w14:paraId="75FE9450" w14:textId="77777777" w:rsidR="00BF6BD5" w:rsidRPr="00802F1A" w:rsidRDefault="00BF6BD5" w:rsidP="00BF6BD5">
      <w:pPr>
        <w:jc w:val="both"/>
        <w:rPr>
          <w:rFonts w:cs="Times New Roman"/>
          <w:szCs w:val="24"/>
          <w:lang w:val="en-US"/>
        </w:rPr>
      </w:pPr>
    </w:p>
    <w:p w14:paraId="5BD2B975" w14:textId="6E849158" w:rsidR="00010D29" w:rsidRPr="00802F1A" w:rsidRDefault="00D63FE8" w:rsidP="002E0E83">
      <w:pPr>
        <w:rPr>
          <w:rFonts w:cs="Times New Roman"/>
          <w:sz w:val="22"/>
          <w:lang w:val="en-US"/>
        </w:rPr>
      </w:pPr>
      <w:r w:rsidRPr="00802F1A">
        <w:rPr>
          <w:rFonts w:cs="Times New Roman"/>
          <w:sz w:val="22"/>
          <w:lang w:val="en-US"/>
        </w:rPr>
        <w:lastRenderedPageBreak/>
        <w:t>Table</w:t>
      </w:r>
      <w:r w:rsidR="00997438" w:rsidRPr="00802F1A">
        <w:rPr>
          <w:rFonts w:cs="Times New Roman"/>
          <w:sz w:val="22"/>
          <w:lang w:val="en-US"/>
        </w:rPr>
        <w:t xml:space="preserve"> 4</w:t>
      </w:r>
      <w:r w:rsidRPr="00802F1A">
        <w:rPr>
          <w:rFonts w:cs="Times New Roman"/>
          <w:sz w:val="22"/>
          <w:lang w:val="en-US"/>
        </w:rPr>
        <w:t xml:space="preserve">: </w:t>
      </w:r>
      <w:r w:rsidR="00E21CC1" w:rsidRPr="00802F1A">
        <w:rPr>
          <w:rFonts w:cs="Times New Roman"/>
          <w:sz w:val="22"/>
          <w:lang w:val="en-US"/>
        </w:rPr>
        <w:t>Full Convergence Tests</w:t>
      </w:r>
    </w:p>
    <w:tbl>
      <w:tblPr>
        <w:tblW w:w="9354" w:type="dxa"/>
        <w:tblLayout w:type="fixed"/>
        <w:tblCellMar>
          <w:left w:w="0" w:type="dxa"/>
          <w:right w:w="0" w:type="dxa"/>
        </w:tblCellMar>
        <w:tblLook w:val="04A0" w:firstRow="1" w:lastRow="0" w:firstColumn="1" w:lastColumn="0" w:noHBand="0" w:noVBand="1"/>
      </w:tblPr>
      <w:tblGrid>
        <w:gridCol w:w="545"/>
        <w:gridCol w:w="669"/>
        <w:gridCol w:w="553"/>
        <w:gridCol w:w="678"/>
        <w:gridCol w:w="483"/>
        <w:gridCol w:w="577"/>
        <w:gridCol w:w="531"/>
        <w:gridCol w:w="768"/>
        <w:gridCol w:w="498"/>
        <w:gridCol w:w="596"/>
        <w:gridCol w:w="454"/>
        <w:gridCol w:w="555"/>
        <w:gridCol w:w="515"/>
        <w:gridCol w:w="630"/>
        <w:gridCol w:w="591"/>
        <w:gridCol w:w="711"/>
      </w:tblGrid>
      <w:tr w:rsidR="00802F1A" w:rsidRPr="00802F1A" w14:paraId="16D37D35" w14:textId="77777777" w:rsidTr="00D50A44">
        <w:trPr>
          <w:trHeight w:hRule="exact" w:val="288"/>
        </w:trPr>
        <w:tc>
          <w:tcPr>
            <w:tcW w:w="1214" w:type="dxa"/>
            <w:gridSpan w:val="2"/>
            <w:tcBorders>
              <w:top w:val="single" w:sz="4" w:space="0" w:color="auto"/>
              <w:left w:val="nil"/>
              <w:bottom w:val="nil"/>
              <w:right w:val="nil"/>
            </w:tcBorders>
            <w:shd w:val="clear" w:color="auto" w:fill="auto"/>
            <w:vAlign w:val="center"/>
            <w:hideMark/>
          </w:tcPr>
          <w:p w14:paraId="000540A1"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Energy HHI</w:t>
            </w:r>
          </w:p>
        </w:tc>
        <w:tc>
          <w:tcPr>
            <w:tcW w:w="1231" w:type="dxa"/>
            <w:gridSpan w:val="2"/>
            <w:tcBorders>
              <w:top w:val="single" w:sz="4" w:space="0" w:color="auto"/>
              <w:left w:val="single" w:sz="4" w:space="0" w:color="auto"/>
              <w:bottom w:val="nil"/>
              <w:right w:val="single" w:sz="4" w:space="0" w:color="000000"/>
            </w:tcBorders>
            <w:shd w:val="clear" w:color="auto" w:fill="auto"/>
            <w:vAlign w:val="center"/>
            <w:hideMark/>
          </w:tcPr>
          <w:p w14:paraId="648D0C52"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Per-capita income</w:t>
            </w:r>
          </w:p>
        </w:tc>
        <w:tc>
          <w:tcPr>
            <w:tcW w:w="1060" w:type="dxa"/>
            <w:gridSpan w:val="2"/>
            <w:tcBorders>
              <w:top w:val="single" w:sz="4" w:space="0" w:color="auto"/>
              <w:left w:val="nil"/>
              <w:bottom w:val="nil"/>
              <w:right w:val="nil"/>
            </w:tcBorders>
            <w:shd w:val="clear" w:color="auto" w:fill="auto"/>
            <w:vAlign w:val="center"/>
            <w:hideMark/>
          </w:tcPr>
          <w:p w14:paraId="121E8999"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Depth</w:t>
            </w:r>
          </w:p>
        </w:tc>
        <w:tc>
          <w:tcPr>
            <w:tcW w:w="1299" w:type="dxa"/>
            <w:gridSpan w:val="2"/>
            <w:tcBorders>
              <w:top w:val="single" w:sz="4" w:space="0" w:color="auto"/>
              <w:left w:val="single" w:sz="4" w:space="0" w:color="auto"/>
              <w:bottom w:val="nil"/>
              <w:right w:val="single" w:sz="4" w:space="0" w:color="000000"/>
            </w:tcBorders>
            <w:shd w:val="clear" w:color="auto" w:fill="auto"/>
            <w:vAlign w:val="center"/>
            <w:hideMark/>
          </w:tcPr>
          <w:p w14:paraId="389171D3"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Access</w:t>
            </w:r>
          </w:p>
        </w:tc>
        <w:tc>
          <w:tcPr>
            <w:tcW w:w="1094" w:type="dxa"/>
            <w:gridSpan w:val="2"/>
            <w:tcBorders>
              <w:top w:val="single" w:sz="4" w:space="0" w:color="auto"/>
              <w:left w:val="nil"/>
              <w:bottom w:val="nil"/>
              <w:right w:val="nil"/>
            </w:tcBorders>
            <w:shd w:val="clear" w:color="auto" w:fill="auto"/>
            <w:vAlign w:val="center"/>
            <w:hideMark/>
          </w:tcPr>
          <w:p w14:paraId="3EC86AD1"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Efficiency</w:t>
            </w:r>
          </w:p>
        </w:tc>
        <w:tc>
          <w:tcPr>
            <w:tcW w:w="1009" w:type="dxa"/>
            <w:gridSpan w:val="2"/>
            <w:tcBorders>
              <w:top w:val="single" w:sz="4" w:space="0" w:color="auto"/>
              <w:left w:val="single" w:sz="4" w:space="0" w:color="auto"/>
              <w:bottom w:val="nil"/>
              <w:right w:val="single" w:sz="4" w:space="0" w:color="000000"/>
            </w:tcBorders>
            <w:shd w:val="clear" w:color="auto" w:fill="auto"/>
            <w:vAlign w:val="center"/>
            <w:hideMark/>
          </w:tcPr>
          <w:p w14:paraId="29B6B27D"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 Dev</w:t>
            </w:r>
          </w:p>
        </w:tc>
        <w:tc>
          <w:tcPr>
            <w:tcW w:w="1145" w:type="dxa"/>
            <w:gridSpan w:val="2"/>
            <w:tcBorders>
              <w:top w:val="single" w:sz="4" w:space="0" w:color="auto"/>
              <w:left w:val="nil"/>
              <w:bottom w:val="nil"/>
              <w:right w:val="nil"/>
            </w:tcBorders>
            <w:shd w:val="clear" w:color="auto" w:fill="auto"/>
            <w:vAlign w:val="center"/>
            <w:hideMark/>
          </w:tcPr>
          <w:p w14:paraId="60EA21BA"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FM Dev</w:t>
            </w:r>
          </w:p>
        </w:tc>
        <w:tc>
          <w:tcPr>
            <w:tcW w:w="1299" w:type="dxa"/>
            <w:gridSpan w:val="2"/>
            <w:tcBorders>
              <w:top w:val="single" w:sz="4" w:space="0" w:color="auto"/>
              <w:left w:val="single" w:sz="4" w:space="0" w:color="auto"/>
              <w:bottom w:val="nil"/>
              <w:right w:val="nil"/>
            </w:tcBorders>
            <w:shd w:val="clear" w:color="auto" w:fill="auto"/>
            <w:vAlign w:val="center"/>
            <w:hideMark/>
          </w:tcPr>
          <w:p w14:paraId="111CBEE1" w14:textId="77777777" w:rsidR="00D50A44" w:rsidRPr="00802F1A" w:rsidRDefault="00D50A44" w:rsidP="00D50A44">
            <w:pPr>
              <w:spacing w:line="240" w:lineRule="auto"/>
              <w:jc w:val="center"/>
              <w:rPr>
                <w:rFonts w:eastAsia="Times New Roman" w:cs="Times New Roman"/>
                <w:i/>
                <w:iCs/>
                <w:sz w:val="16"/>
                <w:szCs w:val="16"/>
                <w:lang w:eastAsia="en-AU"/>
              </w:rPr>
            </w:pPr>
            <w:r w:rsidRPr="00802F1A">
              <w:rPr>
                <w:rFonts w:eastAsia="Times New Roman" w:cs="Times New Roman"/>
                <w:i/>
                <w:iCs/>
                <w:sz w:val="16"/>
                <w:szCs w:val="16"/>
                <w:lang w:eastAsia="en-AU"/>
              </w:rPr>
              <w:t>Financial Dev</w:t>
            </w:r>
          </w:p>
        </w:tc>
      </w:tr>
      <w:tr w:rsidR="00802F1A" w:rsidRPr="00802F1A" w14:paraId="672B7DB0" w14:textId="77777777" w:rsidTr="00D50A44">
        <w:trPr>
          <w:trHeight w:hRule="exact" w:val="288"/>
        </w:trPr>
        <w:tc>
          <w:tcPr>
            <w:tcW w:w="545" w:type="dxa"/>
            <w:tcBorders>
              <w:top w:val="nil"/>
              <w:left w:val="nil"/>
              <w:bottom w:val="single" w:sz="4" w:space="0" w:color="auto"/>
              <w:right w:val="nil"/>
            </w:tcBorders>
            <w:shd w:val="clear" w:color="auto" w:fill="auto"/>
            <w:noWrap/>
            <w:vAlign w:val="center"/>
            <w:hideMark/>
          </w:tcPr>
          <w:p w14:paraId="4A7707F6"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668" w:type="dxa"/>
            <w:tcBorders>
              <w:top w:val="nil"/>
              <w:left w:val="nil"/>
              <w:bottom w:val="single" w:sz="4" w:space="0" w:color="auto"/>
              <w:right w:val="nil"/>
            </w:tcBorders>
            <w:shd w:val="clear" w:color="auto" w:fill="auto"/>
            <w:noWrap/>
            <w:vAlign w:val="center"/>
            <w:hideMark/>
          </w:tcPr>
          <w:p w14:paraId="53793A90"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53" w:type="dxa"/>
            <w:tcBorders>
              <w:top w:val="nil"/>
              <w:left w:val="single" w:sz="4" w:space="0" w:color="auto"/>
              <w:bottom w:val="single" w:sz="4" w:space="0" w:color="auto"/>
              <w:right w:val="nil"/>
            </w:tcBorders>
            <w:shd w:val="clear" w:color="auto" w:fill="auto"/>
            <w:noWrap/>
            <w:vAlign w:val="center"/>
            <w:hideMark/>
          </w:tcPr>
          <w:p w14:paraId="6CC88A1D"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678" w:type="dxa"/>
            <w:tcBorders>
              <w:top w:val="nil"/>
              <w:left w:val="nil"/>
              <w:bottom w:val="single" w:sz="4" w:space="0" w:color="auto"/>
              <w:right w:val="single" w:sz="4" w:space="0" w:color="auto"/>
            </w:tcBorders>
            <w:shd w:val="clear" w:color="auto" w:fill="auto"/>
            <w:noWrap/>
            <w:vAlign w:val="center"/>
            <w:hideMark/>
          </w:tcPr>
          <w:p w14:paraId="646778A3"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483" w:type="dxa"/>
            <w:tcBorders>
              <w:top w:val="nil"/>
              <w:left w:val="nil"/>
              <w:bottom w:val="single" w:sz="4" w:space="0" w:color="auto"/>
              <w:right w:val="nil"/>
            </w:tcBorders>
            <w:shd w:val="clear" w:color="auto" w:fill="auto"/>
            <w:noWrap/>
            <w:vAlign w:val="center"/>
            <w:hideMark/>
          </w:tcPr>
          <w:p w14:paraId="708BFA07"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77" w:type="dxa"/>
            <w:tcBorders>
              <w:top w:val="nil"/>
              <w:left w:val="nil"/>
              <w:bottom w:val="single" w:sz="4" w:space="0" w:color="auto"/>
              <w:right w:val="nil"/>
            </w:tcBorders>
            <w:shd w:val="clear" w:color="auto" w:fill="auto"/>
            <w:noWrap/>
            <w:vAlign w:val="center"/>
            <w:hideMark/>
          </w:tcPr>
          <w:p w14:paraId="4503BF33"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31" w:type="dxa"/>
            <w:tcBorders>
              <w:top w:val="nil"/>
              <w:left w:val="single" w:sz="4" w:space="0" w:color="auto"/>
              <w:bottom w:val="single" w:sz="4" w:space="0" w:color="auto"/>
              <w:right w:val="nil"/>
            </w:tcBorders>
            <w:shd w:val="clear" w:color="auto" w:fill="auto"/>
            <w:noWrap/>
            <w:vAlign w:val="center"/>
            <w:hideMark/>
          </w:tcPr>
          <w:p w14:paraId="3BCAEDA8"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767" w:type="dxa"/>
            <w:tcBorders>
              <w:top w:val="nil"/>
              <w:left w:val="nil"/>
              <w:bottom w:val="single" w:sz="4" w:space="0" w:color="auto"/>
              <w:right w:val="single" w:sz="4" w:space="0" w:color="auto"/>
            </w:tcBorders>
            <w:shd w:val="clear" w:color="auto" w:fill="auto"/>
            <w:noWrap/>
            <w:vAlign w:val="center"/>
            <w:hideMark/>
          </w:tcPr>
          <w:p w14:paraId="730C0F9C"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498" w:type="dxa"/>
            <w:tcBorders>
              <w:top w:val="nil"/>
              <w:left w:val="nil"/>
              <w:bottom w:val="single" w:sz="4" w:space="0" w:color="auto"/>
              <w:right w:val="nil"/>
            </w:tcBorders>
            <w:shd w:val="clear" w:color="auto" w:fill="auto"/>
            <w:noWrap/>
            <w:vAlign w:val="center"/>
            <w:hideMark/>
          </w:tcPr>
          <w:p w14:paraId="30BFBBC0"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96" w:type="dxa"/>
            <w:tcBorders>
              <w:top w:val="nil"/>
              <w:left w:val="nil"/>
              <w:bottom w:val="single" w:sz="4" w:space="0" w:color="auto"/>
              <w:right w:val="nil"/>
            </w:tcBorders>
            <w:shd w:val="clear" w:color="auto" w:fill="auto"/>
            <w:noWrap/>
            <w:vAlign w:val="center"/>
            <w:hideMark/>
          </w:tcPr>
          <w:p w14:paraId="469273C4"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454" w:type="dxa"/>
            <w:tcBorders>
              <w:top w:val="nil"/>
              <w:left w:val="single" w:sz="4" w:space="0" w:color="auto"/>
              <w:bottom w:val="single" w:sz="4" w:space="0" w:color="auto"/>
              <w:right w:val="nil"/>
            </w:tcBorders>
            <w:shd w:val="clear" w:color="auto" w:fill="auto"/>
            <w:noWrap/>
            <w:vAlign w:val="center"/>
            <w:hideMark/>
          </w:tcPr>
          <w:p w14:paraId="7B6FF6D3"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554" w:type="dxa"/>
            <w:tcBorders>
              <w:top w:val="nil"/>
              <w:left w:val="nil"/>
              <w:bottom w:val="single" w:sz="4" w:space="0" w:color="auto"/>
              <w:right w:val="single" w:sz="4" w:space="0" w:color="auto"/>
            </w:tcBorders>
            <w:shd w:val="clear" w:color="auto" w:fill="auto"/>
            <w:noWrap/>
            <w:vAlign w:val="center"/>
            <w:hideMark/>
          </w:tcPr>
          <w:p w14:paraId="115CE794"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15" w:type="dxa"/>
            <w:tcBorders>
              <w:top w:val="nil"/>
              <w:left w:val="nil"/>
              <w:bottom w:val="single" w:sz="4" w:space="0" w:color="auto"/>
              <w:right w:val="nil"/>
            </w:tcBorders>
            <w:shd w:val="clear" w:color="auto" w:fill="auto"/>
            <w:noWrap/>
            <w:vAlign w:val="center"/>
            <w:hideMark/>
          </w:tcPr>
          <w:p w14:paraId="342CD409"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630" w:type="dxa"/>
            <w:tcBorders>
              <w:top w:val="nil"/>
              <w:left w:val="nil"/>
              <w:bottom w:val="single" w:sz="4" w:space="0" w:color="auto"/>
              <w:right w:val="nil"/>
            </w:tcBorders>
            <w:shd w:val="clear" w:color="auto" w:fill="auto"/>
            <w:noWrap/>
            <w:vAlign w:val="center"/>
            <w:hideMark/>
          </w:tcPr>
          <w:p w14:paraId="36CF2ABF"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c>
          <w:tcPr>
            <w:tcW w:w="591" w:type="dxa"/>
            <w:tcBorders>
              <w:top w:val="nil"/>
              <w:left w:val="single" w:sz="4" w:space="0" w:color="auto"/>
              <w:bottom w:val="single" w:sz="4" w:space="0" w:color="auto"/>
              <w:right w:val="nil"/>
            </w:tcBorders>
            <w:shd w:val="clear" w:color="auto" w:fill="auto"/>
            <w:noWrap/>
            <w:vAlign w:val="center"/>
            <w:hideMark/>
          </w:tcPr>
          <w:p w14:paraId="44A7B42F"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Log t</w:t>
            </w:r>
          </w:p>
        </w:tc>
        <w:tc>
          <w:tcPr>
            <w:tcW w:w="708" w:type="dxa"/>
            <w:tcBorders>
              <w:top w:val="nil"/>
              <w:left w:val="nil"/>
              <w:bottom w:val="single" w:sz="4" w:space="0" w:color="auto"/>
              <w:right w:val="nil"/>
            </w:tcBorders>
            <w:shd w:val="clear" w:color="auto" w:fill="auto"/>
            <w:noWrap/>
            <w:vAlign w:val="center"/>
            <w:hideMark/>
          </w:tcPr>
          <w:p w14:paraId="70B83DE5" w14:textId="77777777" w:rsidR="00D50A44" w:rsidRPr="00802F1A" w:rsidRDefault="00D50A44" w:rsidP="00D50A44">
            <w:pPr>
              <w:spacing w:line="240" w:lineRule="auto"/>
              <w:jc w:val="center"/>
              <w:rPr>
                <w:rFonts w:eastAsia="Times New Roman" w:cs="Times New Roman"/>
                <w:sz w:val="16"/>
                <w:szCs w:val="16"/>
                <w:lang w:eastAsia="en-AU"/>
              </w:rPr>
            </w:pPr>
            <w:r w:rsidRPr="00802F1A">
              <w:rPr>
                <w:rFonts w:eastAsia="Times New Roman" w:cs="Times New Roman"/>
                <w:sz w:val="16"/>
                <w:szCs w:val="16"/>
                <w:lang w:eastAsia="en-AU"/>
              </w:rPr>
              <w:t>t-stat</w:t>
            </w:r>
          </w:p>
        </w:tc>
      </w:tr>
      <w:tr w:rsidR="00802F1A" w:rsidRPr="00802F1A" w14:paraId="2ECC4A3C" w14:textId="77777777" w:rsidTr="00D50A44">
        <w:trPr>
          <w:trHeight w:hRule="exact" w:val="288"/>
        </w:trPr>
        <w:tc>
          <w:tcPr>
            <w:tcW w:w="9354" w:type="dxa"/>
            <w:gridSpan w:val="16"/>
            <w:tcBorders>
              <w:top w:val="nil"/>
              <w:left w:val="nil"/>
              <w:bottom w:val="nil"/>
              <w:right w:val="nil"/>
            </w:tcBorders>
            <w:shd w:val="clear" w:color="auto" w:fill="auto"/>
            <w:vAlign w:val="center"/>
            <w:hideMark/>
          </w:tcPr>
          <w:p w14:paraId="0A81C0C0" w14:textId="77777777" w:rsidR="00D50A44" w:rsidRPr="00802F1A" w:rsidRDefault="00D50A44" w:rsidP="00D50A44">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Part A: Low-income countries (14 countries)</w:t>
            </w:r>
          </w:p>
        </w:tc>
      </w:tr>
      <w:tr w:rsidR="00802F1A" w:rsidRPr="00802F1A" w14:paraId="5B6207BF" w14:textId="77777777" w:rsidTr="00D50A44">
        <w:trPr>
          <w:trHeight w:hRule="exact" w:val="288"/>
        </w:trPr>
        <w:tc>
          <w:tcPr>
            <w:tcW w:w="545" w:type="dxa"/>
            <w:tcBorders>
              <w:top w:val="nil"/>
              <w:left w:val="nil"/>
              <w:bottom w:val="nil"/>
              <w:right w:val="nil"/>
            </w:tcBorders>
            <w:shd w:val="clear" w:color="auto" w:fill="auto"/>
            <w:noWrap/>
            <w:vAlign w:val="center"/>
            <w:hideMark/>
          </w:tcPr>
          <w:p w14:paraId="6E48BA62" w14:textId="77777777" w:rsidR="00D50A44" w:rsidRPr="00802F1A" w:rsidRDefault="00D50A44" w:rsidP="00D50A44">
            <w:pPr>
              <w:spacing w:line="240" w:lineRule="auto"/>
              <w:rPr>
                <w:rFonts w:ascii="Arial" w:eastAsia="Times New Roman" w:hAnsi="Arial" w:cs="Arial"/>
                <w:b/>
                <w:bCs/>
                <w:sz w:val="16"/>
                <w:szCs w:val="16"/>
                <w:lang w:eastAsia="en-AU"/>
              </w:rPr>
            </w:pPr>
            <w:r w:rsidRPr="00802F1A">
              <w:rPr>
                <w:rFonts w:ascii="Arial" w:eastAsia="Times New Roman" w:hAnsi="Arial" w:cs="Arial"/>
                <w:b/>
                <w:bCs/>
                <w:sz w:val="16"/>
                <w:szCs w:val="16"/>
                <w:lang w:eastAsia="en-AU"/>
              </w:rPr>
              <w:t>0.90</w:t>
            </w:r>
          </w:p>
        </w:tc>
        <w:tc>
          <w:tcPr>
            <w:tcW w:w="668" w:type="dxa"/>
            <w:tcBorders>
              <w:top w:val="nil"/>
              <w:left w:val="nil"/>
              <w:bottom w:val="nil"/>
              <w:right w:val="nil"/>
            </w:tcBorders>
            <w:shd w:val="clear" w:color="auto" w:fill="auto"/>
            <w:noWrap/>
            <w:vAlign w:val="center"/>
            <w:hideMark/>
          </w:tcPr>
          <w:p w14:paraId="77233297" w14:textId="77777777" w:rsidR="00D50A44" w:rsidRPr="00802F1A" w:rsidRDefault="00D50A44" w:rsidP="00D50A44">
            <w:pPr>
              <w:spacing w:line="240" w:lineRule="auto"/>
              <w:rPr>
                <w:rFonts w:ascii="Arial" w:eastAsia="Times New Roman" w:hAnsi="Arial" w:cs="Arial"/>
                <w:b/>
                <w:bCs/>
                <w:sz w:val="16"/>
                <w:szCs w:val="16"/>
                <w:lang w:eastAsia="en-AU"/>
              </w:rPr>
            </w:pPr>
            <w:r w:rsidRPr="00802F1A">
              <w:rPr>
                <w:rFonts w:ascii="Arial" w:eastAsia="Times New Roman" w:hAnsi="Arial" w:cs="Arial"/>
                <w:b/>
                <w:bCs/>
                <w:sz w:val="16"/>
                <w:szCs w:val="16"/>
                <w:lang w:eastAsia="en-AU"/>
              </w:rPr>
              <w:t>5.32</w:t>
            </w:r>
          </w:p>
        </w:tc>
        <w:tc>
          <w:tcPr>
            <w:tcW w:w="553" w:type="dxa"/>
            <w:tcBorders>
              <w:top w:val="nil"/>
              <w:left w:val="single" w:sz="4" w:space="0" w:color="auto"/>
              <w:bottom w:val="nil"/>
              <w:right w:val="nil"/>
            </w:tcBorders>
            <w:shd w:val="clear" w:color="auto" w:fill="auto"/>
            <w:noWrap/>
            <w:vAlign w:val="center"/>
            <w:hideMark/>
          </w:tcPr>
          <w:p w14:paraId="1C58C7C3" w14:textId="77777777" w:rsidR="00D50A44" w:rsidRPr="00802F1A" w:rsidRDefault="00D50A44" w:rsidP="00D50A44">
            <w:pPr>
              <w:spacing w:line="240" w:lineRule="auto"/>
              <w:rPr>
                <w:rFonts w:ascii="Arial" w:eastAsia="Times New Roman" w:hAnsi="Arial" w:cs="Arial"/>
                <w:b/>
                <w:bCs/>
                <w:sz w:val="16"/>
                <w:szCs w:val="16"/>
                <w:lang w:eastAsia="en-AU"/>
              </w:rPr>
            </w:pPr>
            <w:r w:rsidRPr="00802F1A">
              <w:rPr>
                <w:rFonts w:ascii="Arial" w:eastAsia="Times New Roman" w:hAnsi="Arial" w:cs="Arial"/>
                <w:b/>
                <w:bCs/>
                <w:sz w:val="16"/>
                <w:szCs w:val="16"/>
                <w:lang w:eastAsia="en-AU"/>
              </w:rPr>
              <w:t>1.70</w:t>
            </w:r>
          </w:p>
        </w:tc>
        <w:tc>
          <w:tcPr>
            <w:tcW w:w="678" w:type="dxa"/>
            <w:tcBorders>
              <w:top w:val="nil"/>
              <w:left w:val="nil"/>
              <w:bottom w:val="nil"/>
              <w:right w:val="single" w:sz="4" w:space="0" w:color="auto"/>
            </w:tcBorders>
            <w:shd w:val="clear" w:color="auto" w:fill="auto"/>
            <w:noWrap/>
            <w:vAlign w:val="center"/>
            <w:hideMark/>
          </w:tcPr>
          <w:p w14:paraId="14F455E4" w14:textId="77777777" w:rsidR="00D50A44" w:rsidRPr="00802F1A" w:rsidRDefault="00D50A44" w:rsidP="00D50A44">
            <w:pPr>
              <w:spacing w:line="240" w:lineRule="auto"/>
              <w:rPr>
                <w:rFonts w:ascii="Arial" w:eastAsia="Times New Roman" w:hAnsi="Arial" w:cs="Arial"/>
                <w:b/>
                <w:bCs/>
                <w:sz w:val="16"/>
                <w:szCs w:val="16"/>
                <w:lang w:eastAsia="en-AU"/>
              </w:rPr>
            </w:pPr>
            <w:r w:rsidRPr="00802F1A">
              <w:rPr>
                <w:rFonts w:ascii="Arial" w:eastAsia="Times New Roman" w:hAnsi="Arial" w:cs="Arial"/>
                <w:b/>
                <w:bCs/>
                <w:sz w:val="16"/>
                <w:szCs w:val="16"/>
                <w:lang w:eastAsia="en-AU"/>
              </w:rPr>
              <w:t>25.21</w:t>
            </w:r>
          </w:p>
        </w:tc>
        <w:tc>
          <w:tcPr>
            <w:tcW w:w="483" w:type="dxa"/>
            <w:tcBorders>
              <w:top w:val="nil"/>
              <w:left w:val="nil"/>
              <w:bottom w:val="nil"/>
              <w:right w:val="nil"/>
            </w:tcBorders>
            <w:shd w:val="clear" w:color="auto" w:fill="auto"/>
            <w:noWrap/>
            <w:vAlign w:val="center"/>
            <w:hideMark/>
          </w:tcPr>
          <w:p w14:paraId="7C8FBB54"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-0.87</w:t>
            </w:r>
          </w:p>
        </w:tc>
        <w:tc>
          <w:tcPr>
            <w:tcW w:w="577" w:type="dxa"/>
            <w:tcBorders>
              <w:top w:val="nil"/>
              <w:left w:val="nil"/>
              <w:bottom w:val="nil"/>
              <w:right w:val="nil"/>
            </w:tcBorders>
            <w:shd w:val="clear" w:color="auto" w:fill="auto"/>
            <w:noWrap/>
            <w:vAlign w:val="center"/>
            <w:hideMark/>
          </w:tcPr>
          <w:p w14:paraId="31128BDD"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-29.38</w:t>
            </w:r>
          </w:p>
        </w:tc>
        <w:tc>
          <w:tcPr>
            <w:tcW w:w="531" w:type="dxa"/>
            <w:tcBorders>
              <w:top w:val="nil"/>
              <w:left w:val="single" w:sz="4" w:space="0" w:color="auto"/>
              <w:bottom w:val="nil"/>
              <w:right w:val="nil"/>
            </w:tcBorders>
            <w:shd w:val="clear" w:color="auto" w:fill="auto"/>
            <w:noWrap/>
            <w:vAlign w:val="center"/>
            <w:hideMark/>
          </w:tcPr>
          <w:p w14:paraId="2F8C6AFD"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-1.14</w:t>
            </w:r>
          </w:p>
        </w:tc>
        <w:tc>
          <w:tcPr>
            <w:tcW w:w="767" w:type="dxa"/>
            <w:tcBorders>
              <w:top w:val="nil"/>
              <w:left w:val="nil"/>
              <w:bottom w:val="nil"/>
              <w:right w:val="single" w:sz="4" w:space="0" w:color="auto"/>
            </w:tcBorders>
            <w:shd w:val="clear" w:color="auto" w:fill="auto"/>
            <w:noWrap/>
            <w:vAlign w:val="center"/>
            <w:hideMark/>
          </w:tcPr>
          <w:p w14:paraId="38F12D40"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-16.67</w:t>
            </w:r>
          </w:p>
        </w:tc>
        <w:tc>
          <w:tcPr>
            <w:tcW w:w="498" w:type="dxa"/>
            <w:tcBorders>
              <w:top w:val="nil"/>
              <w:left w:val="nil"/>
              <w:bottom w:val="nil"/>
              <w:right w:val="nil"/>
            </w:tcBorders>
            <w:shd w:val="clear" w:color="auto" w:fill="auto"/>
            <w:noWrap/>
            <w:vAlign w:val="center"/>
            <w:hideMark/>
          </w:tcPr>
          <w:p w14:paraId="1761B2B7"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-1.71</w:t>
            </w:r>
          </w:p>
        </w:tc>
        <w:tc>
          <w:tcPr>
            <w:tcW w:w="596" w:type="dxa"/>
            <w:tcBorders>
              <w:top w:val="nil"/>
              <w:left w:val="nil"/>
              <w:bottom w:val="nil"/>
              <w:right w:val="nil"/>
            </w:tcBorders>
            <w:shd w:val="clear" w:color="auto" w:fill="auto"/>
            <w:noWrap/>
            <w:vAlign w:val="center"/>
            <w:hideMark/>
          </w:tcPr>
          <w:p w14:paraId="1A11CE61"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-16.63</w:t>
            </w:r>
          </w:p>
        </w:tc>
        <w:tc>
          <w:tcPr>
            <w:tcW w:w="454" w:type="dxa"/>
            <w:tcBorders>
              <w:top w:val="nil"/>
              <w:left w:val="single" w:sz="4" w:space="0" w:color="auto"/>
              <w:bottom w:val="nil"/>
              <w:right w:val="nil"/>
            </w:tcBorders>
            <w:shd w:val="clear" w:color="auto" w:fill="auto"/>
            <w:noWrap/>
            <w:vAlign w:val="center"/>
            <w:hideMark/>
          </w:tcPr>
          <w:p w14:paraId="3827260C"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-1.49</w:t>
            </w:r>
          </w:p>
        </w:tc>
        <w:tc>
          <w:tcPr>
            <w:tcW w:w="554" w:type="dxa"/>
            <w:tcBorders>
              <w:top w:val="nil"/>
              <w:left w:val="nil"/>
              <w:bottom w:val="nil"/>
              <w:right w:val="single" w:sz="4" w:space="0" w:color="auto"/>
            </w:tcBorders>
            <w:shd w:val="clear" w:color="auto" w:fill="auto"/>
            <w:noWrap/>
            <w:vAlign w:val="center"/>
            <w:hideMark/>
          </w:tcPr>
          <w:p w14:paraId="50EB66C9"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-12.08</w:t>
            </w:r>
          </w:p>
        </w:tc>
        <w:tc>
          <w:tcPr>
            <w:tcW w:w="515" w:type="dxa"/>
            <w:tcBorders>
              <w:top w:val="nil"/>
              <w:left w:val="nil"/>
              <w:bottom w:val="nil"/>
              <w:right w:val="nil"/>
            </w:tcBorders>
            <w:shd w:val="clear" w:color="auto" w:fill="auto"/>
            <w:noWrap/>
            <w:vAlign w:val="center"/>
            <w:hideMark/>
          </w:tcPr>
          <w:p w14:paraId="71D31159"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-3.45</w:t>
            </w:r>
          </w:p>
        </w:tc>
        <w:tc>
          <w:tcPr>
            <w:tcW w:w="630" w:type="dxa"/>
            <w:tcBorders>
              <w:top w:val="nil"/>
              <w:left w:val="nil"/>
              <w:bottom w:val="nil"/>
              <w:right w:val="nil"/>
            </w:tcBorders>
            <w:shd w:val="clear" w:color="auto" w:fill="auto"/>
            <w:noWrap/>
            <w:vAlign w:val="center"/>
            <w:hideMark/>
          </w:tcPr>
          <w:p w14:paraId="494D657D"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-18.90</w:t>
            </w:r>
          </w:p>
        </w:tc>
        <w:tc>
          <w:tcPr>
            <w:tcW w:w="591" w:type="dxa"/>
            <w:tcBorders>
              <w:top w:val="nil"/>
              <w:left w:val="single" w:sz="4" w:space="0" w:color="auto"/>
              <w:bottom w:val="nil"/>
              <w:right w:val="nil"/>
            </w:tcBorders>
            <w:shd w:val="clear" w:color="auto" w:fill="auto"/>
            <w:noWrap/>
            <w:vAlign w:val="center"/>
            <w:hideMark/>
          </w:tcPr>
          <w:p w14:paraId="393B4474"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-1.73</w:t>
            </w:r>
          </w:p>
        </w:tc>
        <w:tc>
          <w:tcPr>
            <w:tcW w:w="708" w:type="dxa"/>
            <w:tcBorders>
              <w:top w:val="nil"/>
              <w:left w:val="nil"/>
              <w:bottom w:val="nil"/>
              <w:right w:val="nil"/>
            </w:tcBorders>
            <w:shd w:val="clear" w:color="auto" w:fill="auto"/>
            <w:noWrap/>
            <w:vAlign w:val="center"/>
            <w:hideMark/>
          </w:tcPr>
          <w:p w14:paraId="31BDDA07"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-12.80</w:t>
            </w:r>
          </w:p>
        </w:tc>
      </w:tr>
      <w:tr w:rsidR="00802F1A" w:rsidRPr="00802F1A" w14:paraId="7BE83817" w14:textId="77777777" w:rsidTr="00D50A44">
        <w:trPr>
          <w:trHeight w:hRule="exact" w:val="288"/>
        </w:trPr>
        <w:tc>
          <w:tcPr>
            <w:tcW w:w="9354" w:type="dxa"/>
            <w:gridSpan w:val="16"/>
            <w:tcBorders>
              <w:top w:val="nil"/>
              <w:left w:val="nil"/>
              <w:bottom w:val="nil"/>
              <w:right w:val="nil"/>
            </w:tcBorders>
            <w:shd w:val="clear" w:color="auto" w:fill="auto"/>
            <w:vAlign w:val="center"/>
            <w:hideMark/>
          </w:tcPr>
          <w:p w14:paraId="5AD015FC" w14:textId="48C14CF5" w:rsidR="00D50A44" w:rsidRPr="00802F1A" w:rsidRDefault="00D50A44" w:rsidP="00D50A44">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Part B: Lower middle-income countries (41 countries)</w:t>
            </w:r>
          </w:p>
        </w:tc>
      </w:tr>
      <w:tr w:rsidR="00802F1A" w:rsidRPr="00802F1A" w14:paraId="424B052B" w14:textId="77777777" w:rsidTr="00D50A44">
        <w:trPr>
          <w:trHeight w:hRule="exact" w:val="288"/>
        </w:trPr>
        <w:tc>
          <w:tcPr>
            <w:tcW w:w="545" w:type="dxa"/>
            <w:tcBorders>
              <w:top w:val="nil"/>
              <w:left w:val="nil"/>
              <w:bottom w:val="nil"/>
              <w:right w:val="nil"/>
            </w:tcBorders>
            <w:shd w:val="clear" w:color="auto" w:fill="auto"/>
            <w:noWrap/>
            <w:vAlign w:val="bottom"/>
            <w:hideMark/>
          </w:tcPr>
          <w:p w14:paraId="16BCB881" w14:textId="77777777" w:rsidR="00D50A44" w:rsidRPr="00802F1A" w:rsidRDefault="00D50A44" w:rsidP="00D50A44">
            <w:pPr>
              <w:spacing w:line="240" w:lineRule="auto"/>
              <w:rPr>
                <w:rFonts w:eastAsia="Times New Roman" w:cs="Times New Roman"/>
                <w:b/>
                <w:bCs/>
                <w:sz w:val="18"/>
                <w:szCs w:val="18"/>
                <w:lang w:eastAsia="en-AU"/>
              </w:rPr>
            </w:pPr>
            <w:r w:rsidRPr="00802F1A">
              <w:rPr>
                <w:rFonts w:eastAsia="Times New Roman" w:cs="Times New Roman"/>
                <w:b/>
                <w:bCs/>
                <w:sz w:val="18"/>
                <w:szCs w:val="18"/>
                <w:lang w:eastAsia="en-AU"/>
              </w:rPr>
              <w:t>0.05</w:t>
            </w:r>
          </w:p>
        </w:tc>
        <w:tc>
          <w:tcPr>
            <w:tcW w:w="668" w:type="dxa"/>
            <w:tcBorders>
              <w:top w:val="nil"/>
              <w:left w:val="nil"/>
              <w:bottom w:val="nil"/>
              <w:right w:val="nil"/>
            </w:tcBorders>
            <w:shd w:val="clear" w:color="auto" w:fill="auto"/>
            <w:noWrap/>
            <w:vAlign w:val="bottom"/>
            <w:hideMark/>
          </w:tcPr>
          <w:p w14:paraId="60FEE0F0" w14:textId="77777777" w:rsidR="00D50A44" w:rsidRPr="00802F1A" w:rsidRDefault="00D50A44" w:rsidP="00D50A44">
            <w:pPr>
              <w:spacing w:line="240" w:lineRule="auto"/>
              <w:rPr>
                <w:rFonts w:eastAsia="Times New Roman" w:cs="Times New Roman"/>
                <w:b/>
                <w:bCs/>
                <w:sz w:val="18"/>
                <w:szCs w:val="18"/>
                <w:lang w:eastAsia="en-AU"/>
              </w:rPr>
            </w:pPr>
            <w:r w:rsidRPr="00802F1A">
              <w:rPr>
                <w:rFonts w:eastAsia="Times New Roman" w:cs="Times New Roman"/>
                <w:b/>
                <w:bCs/>
                <w:sz w:val="18"/>
                <w:szCs w:val="18"/>
                <w:lang w:eastAsia="en-AU"/>
              </w:rPr>
              <w:t>0.33</w:t>
            </w:r>
          </w:p>
        </w:tc>
        <w:tc>
          <w:tcPr>
            <w:tcW w:w="553" w:type="dxa"/>
            <w:tcBorders>
              <w:top w:val="nil"/>
              <w:left w:val="single" w:sz="4" w:space="0" w:color="auto"/>
              <w:bottom w:val="nil"/>
              <w:right w:val="nil"/>
            </w:tcBorders>
            <w:shd w:val="clear" w:color="auto" w:fill="auto"/>
            <w:noWrap/>
            <w:vAlign w:val="bottom"/>
            <w:hideMark/>
          </w:tcPr>
          <w:p w14:paraId="2D083A3F" w14:textId="77777777" w:rsidR="00D50A44" w:rsidRPr="00802F1A" w:rsidRDefault="00D50A44" w:rsidP="00D50A44">
            <w:pPr>
              <w:spacing w:line="240" w:lineRule="auto"/>
              <w:rPr>
                <w:rFonts w:eastAsia="Times New Roman" w:cs="Times New Roman"/>
                <w:b/>
                <w:bCs/>
                <w:sz w:val="18"/>
                <w:szCs w:val="18"/>
                <w:lang w:eastAsia="en-AU"/>
              </w:rPr>
            </w:pPr>
            <w:r w:rsidRPr="00802F1A">
              <w:rPr>
                <w:rFonts w:eastAsia="Times New Roman" w:cs="Times New Roman"/>
                <w:b/>
                <w:bCs/>
                <w:sz w:val="18"/>
                <w:szCs w:val="18"/>
                <w:lang w:eastAsia="en-AU"/>
              </w:rPr>
              <w:t>0.13</w:t>
            </w:r>
          </w:p>
        </w:tc>
        <w:tc>
          <w:tcPr>
            <w:tcW w:w="678" w:type="dxa"/>
            <w:tcBorders>
              <w:top w:val="nil"/>
              <w:left w:val="nil"/>
              <w:bottom w:val="nil"/>
              <w:right w:val="single" w:sz="4" w:space="0" w:color="auto"/>
            </w:tcBorders>
            <w:shd w:val="clear" w:color="auto" w:fill="auto"/>
            <w:noWrap/>
            <w:vAlign w:val="bottom"/>
            <w:hideMark/>
          </w:tcPr>
          <w:p w14:paraId="2FAF3B4F" w14:textId="77777777" w:rsidR="00D50A44" w:rsidRPr="00802F1A" w:rsidRDefault="00D50A44" w:rsidP="00D50A44">
            <w:pPr>
              <w:spacing w:line="240" w:lineRule="auto"/>
              <w:rPr>
                <w:rFonts w:eastAsia="Times New Roman" w:cs="Times New Roman"/>
                <w:b/>
                <w:bCs/>
                <w:sz w:val="18"/>
                <w:szCs w:val="18"/>
                <w:lang w:eastAsia="en-AU"/>
              </w:rPr>
            </w:pPr>
            <w:r w:rsidRPr="00802F1A">
              <w:rPr>
                <w:rFonts w:eastAsia="Times New Roman" w:cs="Times New Roman"/>
                <w:b/>
                <w:bCs/>
                <w:sz w:val="18"/>
                <w:szCs w:val="18"/>
                <w:lang w:eastAsia="en-AU"/>
              </w:rPr>
              <w:t>3.13</w:t>
            </w:r>
          </w:p>
        </w:tc>
        <w:tc>
          <w:tcPr>
            <w:tcW w:w="483" w:type="dxa"/>
            <w:tcBorders>
              <w:top w:val="nil"/>
              <w:left w:val="nil"/>
              <w:bottom w:val="nil"/>
              <w:right w:val="nil"/>
            </w:tcBorders>
            <w:shd w:val="clear" w:color="auto" w:fill="auto"/>
            <w:noWrap/>
            <w:vAlign w:val="bottom"/>
            <w:hideMark/>
          </w:tcPr>
          <w:p w14:paraId="708316EB"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-0.50</w:t>
            </w:r>
          </w:p>
        </w:tc>
        <w:tc>
          <w:tcPr>
            <w:tcW w:w="577" w:type="dxa"/>
            <w:tcBorders>
              <w:top w:val="nil"/>
              <w:left w:val="nil"/>
              <w:bottom w:val="nil"/>
              <w:right w:val="nil"/>
            </w:tcBorders>
            <w:shd w:val="clear" w:color="auto" w:fill="auto"/>
            <w:noWrap/>
            <w:vAlign w:val="bottom"/>
            <w:hideMark/>
          </w:tcPr>
          <w:p w14:paraId="701331AD"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-8.68</w:t>
            </w:r>
          </w:p>
        </w:tc>
        <w:tc>
          <w:tcPr>
            <w:tcW w:w="531" w:type="dxa"/>
            <w:tcBorders>
              <w:top w:val="nil"/>
              <w:left w:val="single" w:sz="4" w:space="0" w:color="auto"/>
              <w:bottom w:val="nil"/>
              <w:right w:val="nil"/>
            </w:tcBorders>
            <w:shd w:val="clear" w:color="auto" w:fill="auto"/>
            <w:noWrap/>
            <w:vAlign w:val="bottom"/>
            <w:hideMark/>
          </w:tcPr>
          <w:p w14:paraId="2B65A0E0"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-1.15</w:t>
            </w:r>
          </w:p>
        </w:tc>
        <w:tc>
          <w:tcPr>
            <w:tcW w:w="767" w:type="dxa"/>
            <w:tcBorders>
              <w:top w:val="nil"/>
              <w:left w:val="nil"/>
              <w:bottom w:val="nil"/>
              <w:right w:val="single" w:sz="4" w:space="0" w:color="auto"/>
            </w:tcBorders>
            <w:shd w:val="clear" w:color="auto" w:fill="auto"/>
            <w:noWrap/>
            <w:vAlign w:val="bottom"/>
            <w:hideMark/>
          </w:tcPr>
          <w:p w14:paraId="74D981EC"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-170.30</w:t>
            </w:r>
          </w:p>
        </w:tc>
        <w:tc>
          <w:tcPr>
            <w:tcW w:w="498" w:type="dxa"/>
            <w:tcBorders>
              <w:top w:val="nil"/>
              <w:left w:val="nil"/>
              <w:bottom w:val="nil"/>
              <w:right w:val="nil"/>
            </w:tcBorders>
            <w:shd w:val="clear" w:color="auto" w:fill="auto"/>
            <w:noWrap/>
            <w:vAlign w:val="bottom"/>
            <w:hideMark/>
          </w:tcPr>
          <w:p w14:paraId="575A1EB0"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-0.23</w:t>
            </w:r>
          </w:p>
        </w:tc>
        <w:tc>
          <w:tcPr>
            <w:tcW w:w="596" w:type="dxa"/>
            <w:tcBorders>
              <w:top w:val="nil"/>
              <w:left w:val="nil"/>
              <w:bottom w:val="nil"/>
              <w:right w:val="nil"/>
            </w:tcBorders>
            <w:shd w:val="clear" w:color="auto" w:fill="auto"/>
            <w:noWrap/>
            <w:vAlign w:val="bottom"/>
            <w:hideMark/>
          </w:tcPr>
          <w:p w14:paraId="37582BC4"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-1.85</w:t>
            </w:r>
          </w:p>
        </w:tc>
        <w:tc>
          <w:tcPr>
            <w:tcW w:w="454" w:type="dxa"/>
            <w:tcBorders>
              <w:top w:val="nil"/>
              <w:left w:val="single" w:sz="4" w:space="0" w:color="auto"/>
              <w:bottom w:val="nil"/>
              <w:right w:val="nil"/>
            </w:tcBorders>
            <w:shd w:val="clear" w:color="auto" w:fill="auto"/>
            <w:noWrap/>
            <w:vAlign w:val="bottom"/>
            <w:hideMark/>
          </w:tcPr>
          <w:p w14:paraId="4C93D246"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-1.09</w:t>
            </w:r>
          </w:p>
        </w:tc>
        <w:tc>
          <w:tcPr>
            <w:tcW w:w="554" w:type="dxa"/>
            <w:tcBorders>
              <w:top w:val="nil"/>
              <w:left w:val="nil"/>
              <w:bottom w:val="nil"/>
              <w:right w:val="single" w:sz="4" w:space="0" w:color="auto"/>
            </w:tcBorders>
            <w:shd w:val="clear" w:color="auto" w:fill="auto"/>
            <w:noWrap/>
            <w:vAlign w:val="bottom"/>
            <w:hideMark/>
          </w:tcPr>
          <w:p w14:paraId="5DF699A0"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-27.45</w:t>
            </w:r>
          </w:p>
        </w:tc>
        <w:tc>
          <w:tcPr>
            <w:tcW w:w="515" w:type="dxa"/>
            <w:tcBorders>
              <w:top w:val="nil"/>
              <w:left w:val="nil"/>
              <w:bottom w:val="nil"/>
              <w:right w:val="nil"/>
            </w:tcBorders>
            <w:shd w:val="clear" w:color="auto" w:fill="auto"/>
            <w:noWrap/>
            <w:vAlign w:val="bottom"/>
            <w:hideMark/>
          </w:tcPr>
          <w:p w14:paraId="587072EE"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-0.63</w:t>
            </w:r>
          </w:p>
        </w:tc>
        <w:tc>
          <w:tcPr>
            <w:tcW w:w="630" w:type="dxa"/>
            <w:tcBorders>
              <w:top w:val="nil"/>
              <w:left w:val="nil"/>
              <w:bottom w:val="nil"/>
              <w:right w:val="nil"/>
            </w:tcBorders>
            <w:shd w:val="clear" w:color="auto" w:fill="auto"/>
            <w:noWrap/>
            <w:vAlign w:val="bottom"/>
            <w:hideMark/>
          </w:tcPr>
          <w:p w14:paraId="6CF5EC33"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-25.09</w:t>
            </w:r>
          </w:p>
        </w:tc>
        <w:tc>
          <w:tcPr>
            <w:tcW w:w="591" w:type="dxa"/>
            <w:tcBorders>
              <w:top w:val="nil"/>
              <w:left w:val="single" w:sz="4" w:space="0" w:color="auto"/>
              <w:bottom w:val="nil"/>
              <w:right w:val="nil"/>
            </w:tcBorders>
            <w:shd w:val="clear" w:color="auto" w:fill="auto"/>
            <w:noWrap/>
            <w:vAlign w:val="bottom"/>
            <w:hideMark/>
          </w:tcPr>
          <w:p w14:paraId="31735544"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-0.58</w:t>
            </w:r>
          </w:p>
        </w:tc>
        <w:tc>
          <w:tcPr>
            <w:tcW w:w="708" w:type="dxa"/>
            <w:tcBorders>
              <w:top w:val="nil"/>
              <w:left w:val="nil"/>
              <w:bottom w:val="nil"/>
              <w:right w:val="nil"/>
            </w:tcBorders>
            <w:shd w:val="clear" w:color="auto" w:fill="auto"/>
            <w:noWrap/>
            <w:vAlign w:val="bottom"/>
            <w:hideMark/>
          </w:tcPr>
          <w:p w14:paraId="309AEB8B"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-9.18</w:t>
            </w:r>
          </w:p>
        </w:tc>
      </w:tr>
      <w:tr w:rsidR="00802F1A" w:rsidRPr="00802F1A" w14:paraId="78C96D50" w14:textId="77777777" w:rsidTr="00D50A44">
        <w:trPr>
          <w:trHeight w:hRule="exact" w:val="288"/>
        </w:trPr>
        <w:tc>
          <w:tcPr>
            <w:tcW w:w="9354" w:type="dxa"/>
            <w:gridSpan w:val="16"/>
            <w:tcBorders>
              <w:top w:val="nil"/>
              <w:left w:val="nil"/>
              <w:bottom w:val="nil"/>
              <w:right w:val="nil"/>
            </w:tcBorders>
            <w:shd w:val="clear" w:color="auto" w:fill="auto"/>
            <w:vAlign w:val="center"/>
            <w:hideMark/>
          </w:tcPr>
          <w:p w14:paraId="53121C02" w14:textId="77777777" w:rsidR="00D50A44" w:rsidRPr="00802F1A" w:rsidRDefault="00D50A44" w:rsidP="00D50A44">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Part C: Upper middle -income countries (37 countries)</w:t>
            </w:r>
          </w:p>
        </w:tc>
      </w:tr>
      <w:tr w:rsidR="00802F1A" w:rsidRPr="00802F1A" w14:paraId="158D8521" w14:textId="77777777" w:rsidTr="00D50A44">
        <w:trPr>
          <w:trHeight w:hRule="exact" w:val="288"/>
        </w:trPr>
        <w:tc>
          <w:tcPr>
            <w:tcW w:w="545" w:type="dxa"/>
            <w:tcBorders>
              <w:top w:val="nil"/>
              <w:left w:val="nil"/>
              <w:bottom w:val="nil"/>
              <w:right w:val="nil"/>
            </w:tcBorders>
            <w:shd w:val="clear" w:color="auto" w:fill="auto"/>
            <w:noWrap/>
            <w:vAlign w:val="center"/>
            <w:hideMark/>
          </w:tcPr>
          <w:p w14:paraId="6273882D"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-0.88</w:t>
            </w:r>
          </w:p>
        </w:tc>
        <w:tc>
          <w:tcPr>
            <w:tcW w:w="668" w:type="dxa"/>
            <w:tcBorders>
              <w:top w:val="nil"/>
              <w:left w:val="nil"/>
              <w:bottom w:val="nil"/>
              <w:right w:val="nil"/>
            </w:tcBorders>
            <w:shd w:val="clear" w:color="auto" w:fill="auto"/>
            <w:noWrap/>
            <w:vAlign w:val="center"/>
            <w:hideMark/>
          </w:tcPr>
          <w:p w14:paraId="053C18C4"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-83.94</w:t>
            </w:r>
          </w:p>
        </w:tc>
        <w:tc>
          <w:tcPr>
            <w:tcW w:w="553" w:type="dxa"/>
            <w:tcBorders>
              <w:top w:val="nil"/>
              <w:left w:val="single" w:sz="4" w:space="0" w:color="auto"/>
              <w:bottom w:val="nil"/>
              <w:right w:val="nil"/>
            </w:tcBorders>
            <w:shd w:val="clear" w:color="auto" w:fill="auto"/>
            <w:noWrap/>
            <w:vAlign w:val="center"/>
            <w:hideMark/>
          </w:tcPr>
          <w:p w14:paraId="6D8ED8B0"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-0.20</w:t>
            </w:r>
          </w:p>
        </w:tc>
        <w:tc>
          <w:tcPr>
            <w:tcW w:w="678" w:type="dxa"/>
            <w:tcBorders>
              <w:top w:val="nil"/>
              <w:left w:val="nil"/>
              <w:bottom w:val="nil"/>
              <w:right w:val="single" w:sz="4" w:space="0" w:color="auto"/>
            </w:tcBorders>
            <w:shd w:val="clear" w:color="auto" w:fill="auto"/>
            <w:noWrap/>
            <w:vAlign w:val="center"/>
            <w:hideMark/>
          </w:tcPr>
          <w:p w14:paraId="1C1BCEB4"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-4.67</w:t>
            </w:r>
          </w:p>
        </w:tc>
        <w:tc>
          <w:tcPr>
            <w:tcW w:w="483" w:type="dxa"/>
            <w:tcBorders>
              <w:top w:val="nil"/>
              <w:left w:val="nil"/>
              <w:bottom w:val="nil"/>
              <w:right w:val="nil"/>
            </w:tcBorders>
            <w:shd w:val="clear" w:color="auto" w:fill="auto"/>
            <w:noWrap/>
            <w:vAlign w:val="center"/>
            <w:hideMark/>
          </w:tcPr>
          <w:p w14:paraId="71D57F1E"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-0.62</w:t>
            </w:r>
          </w:p>
        </w:tc>
        <w:tc>
          <w:tcPr>
            <w:tcW w:w="577" w:type="dxa"/>
            <w:tcBorders>
              <w:top w:val="nil"/>
              <w:left w:val="nil"/>
              <w:bottom w:val="nil"/>
              <w:right w:val="nil"/>
            </w:tcBorders>
            <w:shd w:val="clear" w:color="auto" w:fill="auto"/>
            <w:noWrap/>
            <w:vAlign w:val="center"/>
            <w:hideMark/>
          </w:tcPr>
          <w:p w14:paraId="267A96CA"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-24.10</w:t>
            </w:r>
          </w:p>
        </w:tc>
        <w:tc>
          <w:tcPr>
            <w:tcW w:w="531" w:type="dxa"/>
            <w:tcBorders>
              <w:top w:val="nil"/>
              <w:left w:val="single" w:sz="4" w:space="0" w:color="auto"/>
              <w:bottom w:val="nil"/>
              <w:right w:val="nil"/>
            </w:tcBorders>
            <w:shd w:val="clear" w:color="auto" w:fill="auto"/>
            <w:noWrap/>
            <w:vAlign w:val="center"/>
            <w:hideMark/>
          </w:tcPr>
          <w:p w14:paraId="47F784A5"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-1.33</w:t>
            </w:r>
          </w:p>
        </w:tc>
        <w:tc>
          <w:tcPr>
            <w:tcW w:w="767" w:type="dxa"/>
            <w:tcBorders>
              <w:top w:val="nil"/>
              <w:left w:val="nil"/>
              <w:bottom w:val="nil"/>
              <w:right w:val="single" w:sz="4" w:space="0" w:color="auto"/>
            </w:tcBorders>
            <w:shd w:val="clear" w:color="auto" w:fill="auto"/>
            <w:noWrap/>
            <w:vAlign w:val="center"/>
            <w:hideMark/>
          </w:tcPr>
          <w:p w14:paraId="7DA88FCB"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-25.11</w:t>
            </w:r>
          </w:p>
        </w:tc>
        <w:tc>
          <w:tcPr>
            <w:tcW w:w="498" w:type="dxa"/>
            <w:tcBorders>
              <w:top w:val="nil"/>
              <w:left w:val="nil"/>
              <w:bottom w:val="nil"/>
              <w:right w:val="nil"/>
            </w:tcBorders>
            <w:shd w:val="clear" w:color="auto" w:fill="auto"/>
            <w:noWrap/>
            <w:vAlign w:val="center"/>
            <w:hideMark/>
          </w:tcPr>
          <w:p w14:paraId="46A1677D"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-0.36</w:t>
            </w:r>
          </w:p>
        </w:tc>
        <w:tc>
          <w:tcPr>
            <w:tcW w:w="596" w:type="dxa"/>
            <w:tcBorders>
              <w:top w:val="nil"/>
              <w:left w:val="nil"/>
              <w:bottom w:val="nil"/>
              <w:right w:val="nil"/>
            </w:tcBorders>
            <w:shd w:val="clear" w:color="auto" w:fill="auto"/>
            <w:noWrap/>
            <w:vAlign w:val="center"/>
            <w:hideMark/>
          </w:tcPr>
          <w:p w14:paraId="390C1348"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-2.89</w:t>
            </w:r>
          </w:p>
        </w:tc>
        <w:tc>
          <w:tcPr>
            <w:tcW w:w="454" w:type="dxa"/>
            <w:tcBorders>
              <w:top w:val="nil"/>
              <w:left w:val="single" w:sz="4" w:space="0" w:color="auto"/>
              <w:bottom w:val="nil"/>
              <w:right w:val="nil"/>
            </w:tcBorders>
            <w:shd w:val="clear" w:color="auto" w:fill="auto"/>
            <w:noWrap/>
            <w:vAlign w:val="center"/>
            <w:hideMark/>
          </w:tcPr>
          <w:p w14:paraId="1F4C8813"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-1.06</w:t>
            </w:r>
          </w:p>
        </w:tc>
        <w:tc>
          <w:tcPr>
            <w:tcW w:w="554" w:type="dxa"/>
            <w:tcBorders>
              <w:top w:val="nil"/>
              <w:left w:val="nil"/>
              <w:bottom w:val="nil"/>
              <w:right w:val="single" w:sz="4" w:space="0" w:color="auto"/>
            </w:tcBorders>
            <w:shd w:val="clear" w:color="auto" w:fill="auto"/>
            <w:noWrap/>
            <w:vAlign w:val="center"/>
            <w:hideMark/>
          </w:tcPr>
          <w:p w14:paraId="560D0F5A"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-66.13</w:t>
            </w:r>
          </w:p>
        </w:tc>
        <w:tc>
          <w:tcPr>
            <w:tcW w:w="515" w:type="dxa"/>
            <w:tcBorders>
              <w:top w:val="nil"/>
              <w:left w:val="nil"/>
              <w:bottom w:val="nil"/>
              <w:right w:val="nil"/>
            </w:tcBorders>
            <w:shd w:val="clear" w:color="auto" w:fill="auto"/>
            <w:noWrap/>
            <w:vAlign w:val="center"/>
            <w:hideMark/>
          </w:tcPr>
          <w:p w14:paraId="4E12D05A"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-0.68</w:t>
            </w:r>
          </w:p>
        </w:tc>
        <w:tc>
          <w:tcPr>
            <w:tcW w:w="630" w:type="dxa"/>
            <w:tcBorders>
              <w:top w:val="nil"/>
              <w:left w:val="nil"/>
              <w:bottom w:val="nil"/>
              <w:right w:val="nil"/>
            </w:tcBorders>
            <w:shd w:val="clear" w:color="auto" w:fill="auto"/>
            <w:noWrap/>
            <w:vAlign w:val="center"/>
            <w:hideMark/>
          </w:tcPr>
          <w:p w14:paraId="42CFF2AC"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-13.86</w:t>
            </w:r>
          </w:p>
        </w:tc>
        <w:tc>
          <w:tcPr>
            <w:tcW w:w="591" w:type="dxa"/>
            <w:tcBorders>
              <w:top w:val="nil"/>
              <w:left w:val="single" w:sz="4" w:space="0" w:color="auto"/>
              <w:bottom w:val="nil"/>
              <w:right w:val="nil"/>
            </w:tcBorders>
            <w:shd w:val="clear" w:color="auto" w:fill="auto"/>
            <w:noWrap/>
            <w:vAlign w:val="center"/>
            <w:hideMark/>
          </w:tcPr>
          <w:p w14:paraId="3E9D927E"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-0.84</w:t>
            </w:r>
          </w:p>
        </w:tc>
        <w:tc>
          <w:tcPr>
            <w:tcW w:w="708" w:type="dxa"/>
            <w:tcBorders>
              <w:top w:val="nil"/>
              <w:left w:val="nil"/>
              <w:bottom w:val="nil"/>
              <w:right w:val="nil"/>
            </w:tcBorders>
            <w:shd w:val="clear" w:color="auto" w:fill="auto"/>
            <w:noWrap/>
            <w:vAlign w:val="center"/>
            <w:hideMark/>
          </w:tcPr>
          <w:p w14:paraId="3E09B5BA"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-35.44</w:t>
            </w:r>
          </w:p>
        </w:tc>
      </w:tr>
      <w:tr w:rsidR="00802F1A" w:rsidRPr="00802F1A" w14:paraId="2FF554AE" w14:textId="77777777" w:rsidTr="00D50A44">
        <w:trPr>
          <w:trHeight w:hRule="exact" w:val="288"/>
        </w:trPr>
        <w:tc>
          <w:tcPr>
            <w:tcW w:w="9354" w:type="dxa"/>
            <w:gridSpan w:val="16"/>
            <w:tcBorders>
              <w:top w:val="nil"/>
              <w:left w:val="nil"/>
              <w:bottom w:val="nil"/>
              <w:right w:val="nil"/>
            </w:tcBorders>
            <w:shd w:val="clear" w:color="auto" w:fill="auto"/>
            <w:vAlign w:val="center"/>
            <w:hideMark/>
          </w:tcPr>
          <w:p w14:paraId="7138ED52" w14:textId="77777777" w:rsidR="00D50A44" w:rsidRPr="00802F1A" w:rsidRDefault="00D50A44" w:rsidP="00D50A44">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Part D: High-income countries (42 counties)</w:t>
            </w:r>
          </w:p>
        </w:tc>
      </w:tr>
      <w:tr w:rsidR="00802F1A" w:rsidRPr="00802F1A" w14:paraId="3B32325E" w14:textId="77777777" w:rsidTr="00D50A44">
        <w:trPr>
          <w:trHeight w:hRule="exact" w:val="288"/>
        </w:trPr>
        <w:tc>
          <w:tcPr>
            <w:tcW w:w="545" w:type="dxa"/>
            <w:tcBorders>
              <w:top w:val="nil"/>
              <w:left w:val="nil"/>
              <w:bottom w:val="single" w:sz="4" w:space="0" w:color="auto"/>
              <w:right w:val="nil"/>
            </w:tcBorders>
            <w:shd w:val="clear" w:color="auto" w:fill="auto"/>
            <w:noWrap/>
            <w:vAlign w:val="center"/>
            <w:hideMark/>
          </w:tcPr>
          <w:p w14:paraId="71BE74A5"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-0.65</w:t>
            </w:r>
          </w:p>
        </w:tc>
        <w:tc>
          <w:tcPr>
            <w:tcW w:w="668" w:type="dxa"/>
            <w:tcBorders>
              <w:top w:val="nil"/>
              <w:left w:val="nil"/>
              <w:bottom w:val="single" w:sz="4" w:space="0" w:color="auto"/>
              <w:right w:val="nil"/>
            </w:tcBorders>
            <w:shd w:val="clear" w:color="auto" w:fill="auto"/>
            <w:noWrap/>
            <w:vAlign w:val="center"/>
            <w:hideMark/>
          </w:tcPr>
          <w:p w14:paraId="328DCB30"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-37.18</w:t>
            </w:r>
          </w:p>
        </w:tc>
        <w:tc>
          <w:tcPr>
            <w:tcW w:w="553" w:type="dxa"/>
            <w:tcBorders>
              <w:top w:val="nil"/>
              <w:left w:val="single" w:sz="4" w:space="0" w:color="auto"/>
              <w:bottom w:val="single" w:sz="4" w:space="0" w:color="auto"/>
              <w:right w:val="nil"/>
            </w:tcBorders>
            <w:shd w:val="clear" w:color="auto" w:fill="auto"/>
            <w:noWrap/>
            <w:vAlign w:val="center"/>
            <w:hideMark/>
          </w:tcPr>
          <w:p w14:paraId="04B8C3FD"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-0.39</w:t>
            </w:r>
          </w:p>
        </w:tc>
        <w:tc>
          <w:tcPr>
            <w:tcW w:w="678" w:type="dxa"/>
            <w:tcBorders>
              <w:top w:val="nil"/>
              <w:left w:val="nil"/>
              <w:bottom w:val="single" w:sz="4" w:space="0" w:color="auto"/>
              <w:right w:val="single" w:sz="4" w:space="0" w:color="auto"/>
            </w:tcBorders>
            <w:shd w:val="clear" w:color="auto" w:fill="auto"/>
            <w:noWrap/>
            <w:vAlign w:val="center"/>
            <w:hideMark/>
          </w:tcPr>
          <w:p w14:paraId="3F436254"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-13.38</w:t>
            </w:r>
          </w:p>
        </w:tc>
        <w:tc>
          <w:tcPr>
            <w:tcW w:w="483" w:type="dxa"/>
            <w:tcBorders>
              <w:top w:val="nil"/>
              <w:left w:val="nil"/>
              <w:bottom w:val="single" w:sz="4" w:space="0" w:color="auto"/>
              <w:right w:val="nil"/>
            </w:tcBorders>
            <w:shd w:val="clear" w:color="auto" w:fill="auto"/>
            <w:noWrap/>
            <w:vAlign w:val="center"/>
            <w:hideMark/>
          </w:tcPr>
          <w:p w14:paraId="17200ACF"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-0.82</w:t>
            </w:r>
          </w:p>
        </w:tc>
        <w:tc>
          <w:tcPr>
            <w:tcW w:w="577" w:type="dxa"/>
            <w:tcBorders>
              <w:top w:val="nil"/>
              <w:left w:val="nil"/>
              <w:bottom w:val="single" w:sz="4" w:space="0" w:color="auto"/>
              <w:right w:val="nil"/>
            </w:tcBorders>
            <w:shd w:val="clear" w:color="auto" w:fill="auto"/>
            <w:noWrap/>
            <w:vAlign w:val="center"/>
            <w:hideMark/>
          </w:tcPr>
          <w:p w14:paraId="434B55F4"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-34.09</w:t>
            </w:r>
          </w:p>
        </w:tc>
        <w:tc>
          <w:tcPr>
            <w:tcW w:w="531" w:type="dxa"/>
            <w:tcBorders>
              <w:top w:val="nil"/>
              <w:left w:val="single" w:sz="4" w:space="0" w:color="auto"/>
              <w:bottom w:val="single" w:sz="4" w:space="0" w:color="auto"/>
              <w:right w:val="nil"/>
            </w:tcBorders>
            <w:shd w:val="clear" w:color="auto" w:fill="auto"/>
            <w:noWrap/>
            <w:vAlign w:val="center"/>
            <w:hideMark/>
          </w:tcPr>
          <w:p w14:paraId="3C2D58AB"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-0.65</w:t>
            </w:r>
          </w:p>
        </w:tc>
        <w:tc>
          <w:tcPr>
            <w:tcW w:w="767" w:type="dxa"/>
            <w:tcBorders>
              <w:top w:val="nil"/>
              <w:left w:val="nil"/>
              <w:bottom w:val="single" w:sz="4" w:space="0" w:color="auto"/>
              <w:right w:val="single" w:sz="4" w:space="0" w:color="auto"/>
            </w:tcBorders>
            <w:shd w:val="clear" w:color="auto" w:fill="auto"/>
            <w:noWrap/>
            <w:vAlign w:val="center"/>
            <w:hideMark/>
          </w:tcPr>
          <w:p w14:paraId="32AF6898"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-9.88</w:t>
            </w:r>
          </w:p>
        </w:tc>
        <w:tc>
          <w:tcPr>
            <w:tcW w:w="498" w:type="dxa"/>
            <w:tcBorders>
              <w:top w:val="nil"/>
              <w:left w:val="nil"/>
              <w:bottom w:val="single" w:sz="4" w:space="0" w:color="auto"/>
              <w:right w:val="nil"/>
            </w:tcBorders>
            <w:shd w:val="clear" w:color="auto" w:fill="auto"/>
            <w:noWrap/>
            <w:vAlign w:val="center"/>
            <w:hideMark/>
          </w:tcPr>
          <w:p w14:paraId="0E4C6C35"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-0.53</w:t>
            </w:r>
          </w:p>
        </w:tc>
        <w:tc>
          <w:tcPr>
            <w:tcW w:w="596" w:type="dxa"/>
            <w:tcBorders>
              <w:top w:val="nil"/>
              <w:left w:val="nil"/>
              <w:bottom w:val="single" w:sz="4" w:space="0" w:color="auto"/>
              <w:right w:val="nil"/>
            </w:tcBorders>
            <w:shd w:val="clear" w:color="auto" w:fill="auto"/>
            <w:noWrap/>
            <w:vAlign w:val="center"/>
            <w:hideMark/>
          </w:tcPr>
          <w:p w14:paraId="24DFF0B1"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-13.97</w:t>
            </w:r>
          </w:p>
        </w:tc>
        <w:tc>
          <w:tcPr>
            <w:tcW w:w="454" w:type="dxa"/>
            <w:tcBorders>
              <w:top w:val="nil"/>
              <w:left w:val="single" w:sz="4" w:space="0" w:color="auto"/>
              <w:bottom w:val="single" w:sz="4" w:space="0" w:color="auto"/>
              <w:right w:val="nil"/>
            </w:tcBorders>
            <w:shd w:val="clear" w:color="auto" w:fill="auto"/>
            <w:noWrap/>
            <w:vAlign w:val="center"/>
            <w:hideMark/>
          </w:tcPr>
          <w:p w14:paraId="3E217C0F"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-0.38</w:t>
            </w:r>
          </w:p>
        </w:tc>
        <w:tc>
          <w:tcPr>
            <w:tcW w:w="554" w:type="dxa"/>
            <w:tcBorders>
              <w:top w:val="nil"/>
              <w:left w:val="nil"/>
              <w:bottom w:val="single" w:sz="4" w:space="0" w:color="auto"/>
              <w:right w:val="single" w:sz="4" w:space="0" w:color="auto"/>
            </w:tcBorders>
            <w:shd w:val="clear" w:color="auto" w:fill="auto"/>
            <w:noWrap/>
            <w:vAlign w:val="center"/>
            <w:hideMark/>
          </w:tcPr>
          <w:p w14:paraId="25A12969"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-4.47</w:t>
            </w:r>
          </w:p>
        </w:tc>
        <w:tc>
          <w:tcPr>
            <w:tcW w:w="515" w:type="dxa"/>
            <w:tcBorders>
              <w:top w:val="nil"/>
              <w:left w:val="nil"/>
              <w:bottom w:val="single" w:sz="4" w:space="0" w:color="auto"/>
              <w:right w:val="nil"/>
            </w:tcBorders>
            <w:shd w:val="clear" w:color="auto" w:fill="auto"/>
            <w:noWrap/>
            <w:vAlign w:val="center"/>
            <w:hideMark/>
          </w:tcPr>
          <w:p w14:paraId="32BE7271"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-0.82</w:t>
            </w:r>
          </w:p>
        </w:tc>
        <w:tc>
          <w:tcPr>
            <w:tcW w:w="630" w:type="dxa"/>
            <w:tcBorders>
              <w:top w:val="nil"/>
              <w:left w:val="nil"/>
              <w:bottom w:val="single" w:sz="4" w:space="0" w:color="auto"/>
              <w:right w:val="nil"/>
            </w:tcBorders>
            <w:shd w:val="clear" w:color="auto" w:fill="auto"/>
            <w:noWrap/>
            <w:vAlign w:val="center"/>
            <w:hideMark/>
          </w:tcPr>
          <w:p w14:paraId="4F3935F6"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-8.55</w:t>
            </w:r>
          </w:p>
        </w:tc>
        <w:tc>
          <w:tcPr>
            <w:tcW w:w="591" w:type="dxa"/>
            <w:tcBorders>
              <w:top w:val="nil"/>
              <w:left w:val="single" w:sz="4" w:space="0" w:color="auto"/>
              <w:bottom w:val="single" w:sz="4" w:space="0" w:color="auto"/>
              <w:right w:val="nil"/>
            </w:tcBorders>
            <w:shd w:val="clear" w:color="auto" w:fill="auto"/>
            <w:noWrap/>
            <w:vAlign w:val="center"/>
            <w:hideMark/>
          </w:tcPr>
          <w:p w14:paraId="60D80132"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-0.46</w:t>
            </w:r>
          </w:p>
        </w:tc>
        <w:tc>
          <w:tcPr>
            <w:tcW w:w="708" w:type="dxa"/>
            <w:tcBorders>
              <w:top w:val="nil"/>
              <w:left w:val="nil"/>
              <w:bottom w:val="single" w:sz="4" w:space="0" w:color="auto"/>
              <w:right w:val="nil"/>
            </w:tcBorders>
            <w:shd w:val="clear" w:color="auto" w:fill="auto"/>
            <w:noWrap/>
            <w:vAlign w:val="center"/>
            <w:hideMark/>
          </w:tcPr>
          <w:p w14:paraId="59B2CB68" w14:textId="77777777" w:rsidR="00D50A44" w:rsidRPr="00802F1A" w:rsidRDefault="00D50A44" w:rsidP="00D50A44">
            <w:pPr>
              <w:spacing w:line="240" w:lineRule="auto"/>
              <w:rPr>
                <w:rFonts w:ascii="Arial" w:eastAsia="Times New Roman" w:hAnsi="Arial" w:cs="Arial"/>
                <w:sz w:val="16"/>
                <w:szCs w:val="16"/>
                <w:lang w:eastAsia="en-AU"/>
              </w:rPr>
            </w:pPr>
            <w:r w:rsidRPr="00802F1A">
              <w:rPr>
                <w:rFonts w:ascii="Arial" w:eastAsia="Times New Roman" w:hAnsi="Arial" w:cs="Arial"/>
                <w:sz w:val="16"/>
                <w:szCs w:val="16"/>
                <w:lang w:eastAsia="en-AU"/>
              </w:rPr>
              <w:t>-6.51</w:t>
            </w:r>
          </w:p>
        </w:tc>
      </w:tr>
      <w:tr w:rsidR="00D50A44" w:rsidRPr="00802F1A" w14:paraId="4A08393F" w14:textId="77777777" w:rsidTr="00D50A44">
        <w:trPr>
          <w:trHeight w:hRule="exact" w:val="288"/>
        </w:trPr>
        <w:tc>
          <w:tcPr>
            <w:tcW w:w="9354" w:type="dxa"/>
            <w:gridSpan w:val="16"/>
            <w:tcBorders>
              <w:top w:val="single" w:sz="4" w:space="0" w:color="auto"/>
              <w:left w:val="nil"/>
              <w:bottom w:val="nil"/>
              <w:right w:val="nil"/>
            </w:tcBorders>
            <w:shd w:val="clear" w:color="auto" w:fill="auto"/>
            <w:noWrap/>
            <w:vAlign w:val="center"/>
            <w:hideMark/>
          </w:tcPr>
          <w:p w14:paraId="0FC314F8" w14:textId="77777777" w:rsidR="00D50A44" w:rsidRPr="00802F1A" w:rsidRDefault="00D50A44" w:rsidP="00D50A44">
            <w:pPr>
              <w:spacing w:line="240" w:lineRule="auto"/>
              <w:rPr>
                <w:rFonts w:eastAsia="Times New Roman" w:cs="Times New Roman"/>
                <w:sz w:val="18"/>
                <w:szCs w:val="18"/>
                <w:lang w:eastAsia="en-AU"/>
              </w:rPr>
            </w:pPr>
            <w:r w:rsidRPr="00802F1A">
              <w:rPr>
                <w:rFonts w:eastAsia="Times New Roman" w:cs="Times New Roman"/>
                <w:sz w:val="18"/>
                <w:szCs w:val="18"/>
                <w:lang w:eastAsia="en-AU"/>
              </w:rPr>
              <w:t>Boldfacing indicates that the null hypothesis of convergence is not rejected at 5% level of significance.</w:t>
            </w:r>
          </w:p>
        </w:tc>
      </w:tr>
    </w:tbl>
    <w:p w14:paraId="6EC8D9B9" w14:textId="2A5578AF" w:rsidR="008F4127" w:rsidRPr="00802F1A" w:rsidRDefault="008F4127" w:rsidP="002E0E83">
      <w:pPr>
        <w:rPr>
          <w:rFonts w:cs="Times New Roman"/>
          <w:sz w:val="22"/>
          <w:lang w:val="en-US"/>
        </w:rPr>
      </w:pPr>
    </w:p>
    <w:p w14:paraId="3A88763B" w14:textId="4A00AF75" w:rsidR="00557F89" w:rsidRPr="00802F1A" w:rsidRDefault="00557F89" w:rsidP="0053308A">
      <w:pPr>
        <w:pStyle w:val="Heading2"/>
        <w:rPr>
          <w:lang w:val="en-US"/>
        </w:rPr>
      </w:pPr>
      <w:r w:rsidRPr="00802F1A">
        <w:rPr>
          <w:lang w:val="en-US"/>
        </w:rPr>
        <w:t>Interrelationship</w:t>
      </w:r>
      <w:r w:rsidR="0066016B" w:rsidRPr="00802F1A">
        <w:rPr>
          <w:lang w:val="en-US"/>
        </w:rPr>
        <w:t>s</w:t>
      </w:r>
    </w:p>
    <w:p w14:paraId="211D2365" w14:textId="2279FB08" w:rsidR="00033149" w:rsidRPr="00802F1A" w:rsidRDefault="00BF39A3" w:rsidP="0053308A">
      <w:pPr>
        <w:pStyle w:val="Heading3"/>
        <w:rPr>
          <w:lang w:val="en-US"/>
        </w:rPr>
      </w:pPr>
      <w:r w:rsidRPr="00802F1A">
        <w:rPr>
          <w:lang w:val="en-US"/>
        </w:rPr>
        <w:t>Granger causality</w:t>
      </w:r>
    </w:p>
    <w:p w14:paraId="6551EE8E" w14:textId="439ABFA2" w:rsidR="009B354E" w:rsidRPr="00802F1A" w:rsidRDefault="009B354E" w:rsidP="00485072">
      <w:pPr>
        <w:jc w:val="both"/>
        <w:rPr>
          <w:rFonts w:cs="Times New Roman"/>
          <w:szCs w:val="24"/>
          <w:lang w:val="en-US"/>
        </w:rPr>
      </w:pPr>
      <w:r w:rsidRPr="00802F1A">
        <w:rPr>
          <w:rFonts w:cs="Times New Roman"/>
          <w:szCs w:val="24"/>
          <w:lang w:val="en-US"/>
        </w:rPr>
        <w:t xml:space="preserve">Table 5 presents the outcomes of several unit root tests conducted using LLC, </w:t>
      </w:r>
      <w:proofErr w:type="spellStart"/>
      <w:r w:rsidRPr="00802F1A">
        <w:rPr>
          <w:rFonts w:cs="Times New Roman"/>
          <w:szCs w:val="24"/>
          <w:lang w:val="en-US"/>
        </w:rPr>
        <w:t>Breitung</w:t>
      </w:r>
      <w:proofErr w:type="spellEnd"/>
      <w:r w:rsidRPr="00802F1A">
        <w:rPr>
          <w:rFonts w:cs="Times New Roman"/>
          <w:szCs w:val="24"/>
          <w:lang w:val="en-US"/>
        </w:rPr>
        <w:t>, IPS, Fisher-DF, and Fisher-PP methods. The results indicate that the null hypothesis of the presence of a unit root cannot be rejected at the level form for HHI Energy and FI Depth variables. However, when considering the first difference form, the null hypothesis is rejected for all variables. Consequently, the Granger causality analysis is performed using the first difference form to examine the causal relationships among energy diversification, economic growth, and financial development. The results of the Granger causality test are reported in Table 6, revealing a bi-directional Granger causality between these three variables.</w:t>
      </w:r>
    </w:p>
    <w:p w14:paraId="7412A9AD" w14:textId="77777777" w:rsidR="00DE3425" w:rsidRPr="00802F1A" w:rsidRDefault="00DE3425" w:rsidP="002E0E83">
      <w:pPr>
        <w:rPr>
          <w:rFonts w:cs="Times New Roman"/>
          <w:szCs w:val="24"/>
          <w:lang w:val="en-US"/>
        </w:rPr>
      </w:pPr>
    </w:p>
    <w:p w14:paraId="556744E1" w14:textId="3683BC1D" w:rsidR="00E16F5A" w:rsidRPr="00802F1A" w:rsidRDefault="00E16F5A" w:rsidP="002E0E83">
      <w:pPr>
        <w:rPr>
          <w:rFonts w:cs="Times New Roman"/>
          <w:sz w:val="22"/>
          <w:lang w:val="en-US"/>
        </w:rPr>
      </w:pPr>
      <w:r w:rsidRPr="00802F1A">
        <w:rPr>
          <w:rFonts w:cs="Times New Roman"/>
          <w:sz w:val="22"/>
          <w:lang w:val="en-US"/>
        </w:rPr>
        <w:t>Table</w:t>
      </w:r>
      <w:r w:rsidR="00773109" w:rsidRPr="00802F1A">
        <w:rPr>
          <w:rFonts w:cs="Times New Roman"/>
          <w:sz w:val="22"/>
          <w:lang w:val="en-US"/>
        </w:rPr>
        <w:t xml:space="preserve"> 5</w:t>
      </w:r>
      <w:r w:rsidRPr="00802F1A">
        <w:rPr>
          <w:rFonts w:cs="Times New Roman"/>
          <w:sz w:val="22"/>
          <w:lang w:val="en-US"/>
        </w:rPr>
        <w:t xml:space="preserve">: </w:t>
      </w:r>
      <w:r w:rsidR="009802F4" w:rsidRPr="00802F1A">
        <w:rPr>
          <w:rFonts w:cs="Times New Roman"/>
          <w:sz w:val="22"/>
          <w:lang w:val="en-US"/>
        </w:rPr>
        <w:t>Unit root test analysis</w:t>
      </w:r>
    </w:p>
    <w:tbl>
      <w:tblPr>
        <w:tblW w:w="7322" w:type="dxa"/>
        <w:tblLayout w:type="fixed"/>
        <w:tblCellMar>
          <w:left w:w="0" w:type="dxa"/>
          <w:right w:w="0" w:type="dxa"/>
        </w:tblCellMar>
        <w:tblLook w:val="04A0" w:firstRow="1" w:lastRow="0" w:firstColumn="1" w:lastColumn="0" w:noHBand="0" w:noVBand="1"/>
      </w:tblPr>
      <w:tblGrid>
        <w:gridCol w:w="1540"/>
        <w:gridCol w:w="665"/>
        <w:gridCol w:w="403"/>
        <w:gridCol w:w="665"/>
        <w:gridCol w:w="403"/>
        <w:gridCol w:w="665"/>
        <w:gridCol w:w="403"/>
        <w:gridCol w:w="886"/>
        <w:gridCol w:w="403"/>
        <w:gridCol w:w="886"/>
        <w:gridCol w:w="403"/>
      </w:tblGrid>
      <w:tr w:rsidR="00802F1A" w:rsidRPr="00802F1A" w14:paraId="60744A83" w14:textId="77777777" w:rsidTr="00402D5E">
        <w:trPr>
          <w:trHeight w:hRule="exact" w:val="288"/>
        </w:trPr>
        <w:tc>
          <w:tcPr>
            <w:tcW w:w="1540" w:type="dxa"/>
            <w:vMerge w:val="restart"/>
            <w:tcBorders>
              <w:top w:val="single" w:sz="4" w:space="0" w:color="auto"/>
              <w:left w:val="nil"/>
              <w:bottom w:val="single" w:sz="4" w:space="0" w:color="000000"/>
              <w:right w:val="nil"/>
            </w:tcBorders>
            <w:shd w:val="clear" w:color="auto" w:fill="auto"/>
            <w:noWrap/>
            <w:vAlign w:val="bottom"/>
            <w:hideMark/>
          </w:tcPr>
          <w:p w14:paraId="36EDE7F2" w14:textId="77777777" w:rsidR="00402D5E" w:rsidRPr="00802F1A" w:rsidRDefault="00402D5E" w:rsidP="00402D5E">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Variables</w:t>
            </w:r>
          </w:p>
        </w:tc>
        <w:tc>
          <w:tcPr>
            <w:tcW w:w="5782" w:type="dxa"/>
            <w:gridSpan w:val="10"/>
            <w:tcBorders>
              <w:top w:val="single" w:sz="4" w:space="0" w:color="auto"/>
              <w:left w:val="nil"/>
              <w:bottom w:val="single" w:sz="4" w:space="0" w:color="auto"/>
              <w:right w:val="nil"/>
            </w:tcBorders>
            <w:shd w:val="clear" w:color="auto" w:fill="auto"/>
            <w:noWrap/>
            <w:vAlign w:val="center"/>
            <w:hideMark/>
          </w:tcPr>
          <w:p w14:paraId="5FE7F379" w14:textId="77777777" w:rsidR="00402D5E" w:rsidRPr="00802F1A" w:rsidRDefault="00402D5E" w:rsidP="00402D5E">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Unit root test methods</w:t>
            </w:r>
          </w:p>
        </w:tc>
      </w:tr>
      <w:tr w:rsidR="00802F1A" w:rsidRPr="00802F1A" w14:paraId="45F20300" w14:textId="77777777" w:rsidTr="00EF5EDB">
        <w:trPr>
          <w:trHeight w:hRule="exact" w:val="288"/>
        </w:trPr>
        <w:tc>
          <w:tcPr>
            <w:tcW w:w="1540" w:type="dxa"/>
            <w:vMerge/>
            <w:tcBorders>
              <w:top w:val="single" w:sz="4" w:space="0" w:color="auto"/>
              <w:left w:val="nil"/>
              <w:bottom w:val="single" w:sz="4" w:space="0" w:color="000000"/>
              <w:right w:val="nil"/>
            </w:tcBorders>
            <w:vAlign w:val="center"/>
            <w:hideMark/>
          </w:tcPr>
          <w:p w14:paraId="685B7075" w14:textId="77777777" w:rsidR="00C94A34" w:rsidRPr="00802F1A" w:rsidRDefault="00C94A34" w:rsidP="00C94A34">
            <w:pPr>
              <w:spacing w:line="240" w:lineRule="auto"/>
              <w:rPr>
                <w:rFonts w:eastAsia="Times New Roman" w:cs="Times New Roman"/>
                <w:sz w:val="18"/>
                <w:szCs w:val="18"/>
                <w:lang w:eastAsia="en-AU"/>
              </w:rPr>
            </w:pPr>
          </w:p>
        </w:tc>
        <w:tc>
          <w:tcPr>
            <w:tcW w:w="1068" w:type="dxa"/>
            <w:gridSpan w:val="2"/>
            <w:tcBorders>
              <w:top w:val="single" w:sz="4" w:space="0" w:color="auto"/>
              <w:left w:val="nil"/>
              <w:bottom w:val="single" w:sz="4" w:space="0" w:color="auto"/>
              <w:right w:val="nil"/>
            </w:tcBorders>
            <w:shd w:val="clear" w:color="auto" w:fill="auto"/>
            <w:noWrap/>
            <w:hideMark/>
          </w:tcPr>
          <w:p w14:paraId="16F635C9" w14:textId="2C5EABC4" w:rsidR="00C94A34" w:rsidRPr="00802F1A" w:rsidRDefault="00C94A34" w:rsidP="00C94A34">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LLC</w:t>
            </w:r>
          </w:p>
        </w:tc>
        <w:tc>
          <w:tcPr>
            <w:tcW w:w="1068" w:type="dxa"/>
            <w:gridSpan w:val="2"/>
            <w:tcBorders>
              <w:top w:val="single" w:sz="4" w:space="0" w:color="auto"/>
              <w:left w:val="nil"/>
              <w:bottom w:val="single" w:sz="4" w:space="0" w:color="auto"/>
              <w:right w:val="nil"/>
            </w:tcBorders>
            <w:shd w:val="clear" w:color="auto" w:fill="auto"/>
            <w:noWrap/>
            <w:hideMark/>
          </w:tcPr>
          <w:p w14:paraId="7E7A2E77" w14:textId="0CF5B51A" w:rsidR="00C94A34" w:rsidRPr="00802F1A" w:rsidRDefault="00C94A34" w:rsidP="00C94A34">
            <w:pPr>
              <w:spacing w:line="240" w:lineRule="auto"/>
              <w:jc w:val="center"/>
              <w:rPr>
                <w:rFonts w:eastAsia="Times New Roman" w:cs="Times New Roman"/>
                <w:sz w:val="18"/>
                <w:szCs w:val="18"/>
                <w:lang w:eastAsia="en-AU"/>
              </w:rPr>
            </w:pPr>
            <w:proofErr w:type="spellStart"/>
            <w:r w:rsidRPr="00802F1A">
              <w:rPr>
                <w:rFonts w:eastAsia="Times New Roman" w:cs="Times New Roman"/>
                <w:sz w:val="18"/>
                <w:szCs w:val="18"/>
                <w:lang w:eastAsia="en-AU"/>
              </w:rPr>
              <w:t>Breitung</w:t>
            </w:r>
            <w:proofErr w:type="spellEnd"/>
          </w:p>
        </w:tc>
        <w:tc>
          <w:tcPr>
            <w:tcW w:w="1068" w:type="dxa"/>
            <w:gridSpan w:val="2"/>
            <w:tcBorders>
              <w:top w:val="single" w:sz="4" w:space="0" w:color="auto"/>
              <w:left w:val="nil"/>
              <w:bottom w:val="single" w:sz="4" w:space="0" w:color="auto"/>
              <w:right w:val="nil"/>
            </w:tcBorders>
            <w:shd w:val="clear" w:color="auto" w:fill="auto"/>
            <w:noWrap/>
            <w:hideMark/>
          </w:tcPr>
          <w:p w14:paraId="30559241" w14:textId="0833634D" w:rsidR="00C94A34" w:rsidRPr="00802F1A" w:rsidRDefault="00C94A34" w:rsidP="00C94A34">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IPS</w:t>
            </w:r>
          </w:p>
        </w:tc>
        <w:tc>
          <w:tcPr>
            <w:tcW w:w="1289" w:type="dxa"/>
            <w:gridSpan w:val="2"/>
            <w:tcBorders>
              <w:top w:val="single" w:sz="4" w:space="0" w:color="auto"/>
              <w:left w:val="nil"/>
              <w:bottom w:val="single" w:sz="4" w:space="0" w:color="auto"/>
              <w:right w:val="nil"/>
            </w:tcBorders>
            <w:shd w:val="clear" w:color="auto" w:fill="auto"/>
            <w:noWrap/>
            <w:hideMark/>
          </w:tcPr>
          <w:p w14:paraId="5DD88760" w14:textId="4C38911E" w:rsidR="00C94A34" w:rsidRPr="00802F1A" w:rsidRDefault="00C94A34" w:rsidP="00C94A34">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Fisher-DF</w:t>
            </w:r>
          </w:p>
        </w:tc>
        <w:tc>
          <w:tcPr>
            <w:tcW w:w="1289" w:type="dxa"/>
            <w:gridSpan w:val="2"/>
            <w:tcBorders>
              <w:top w:val="single" w:sz="4" w:space="0" w:color="auto"/>
              <w:left w:val="nil"/>
              <w:bottom w:val="single" w:sz="4" w:space="0" w:color="auto"/>
              <w:right w:val="nil"/>
            </w:tcBorders>
            <w:shd w:val="clear" w:color="auto" w:fill="auto"/>
            <w:noWrap/>
            <w:hideMark/>
          </w:tcPr>
          <w:p w14:paraId="56CE5DD1" w14:textId="4EC06C8A" w:rsidR="00C94A34" w:rsidRPr="00802F1A" w:rsidRDefault="00C94A34" w:rsidP="00C94A34">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Fisher-PP</w:t>
            </w:r>
          </w:p>
        </w:tc>
      </w:tr>
      <w:tr w:rsidR="00802F1A" w:rsidRPr="00802F1A" w14:paraId="4062CD71" w14:textId="77777777" w:rsidTr="001648F6">
        <w:trPr>
          <w:trHeight w:hRule="exact" w:val="288"/>
        </w:trPr>
        <w:tc>
          <w:tcPr>
            <w:tcW w:w="1540" w:type="dxa"/>
            <w:tcBorders>
              <w:top w:val="nil"/>
              <w:left w:val="nil"/>
              <w:bottom w:val="nil"/>
              <w:right w:val="nil"/>
            </w:tcBorders>
            <w:shd w:val="clear" w:color="auto" w:fill="auto"/>
            <w:noWrap/>
            <w:hideMark/>
          </w:tcPr>
          <w:p w14:paraId="7069FC4D" w14:textId="0D976E24" w:rsidR="00C94A34" w:rsidRPr="00802F1A" w:rsidRDefault="00C94A34" w:rsidP="00C94A34">
            <w:pPr>
              <w:spacing w:line="240" w:lineRule="auto"/>
              <w:rPr>
                <w:rFonts w:eastAsia="Times New Roman" w:cs="Times New Roman"/>
                <w:i/>
                <w:iCs/>
                <w:sz w:val="18"/>
                <w:szCs w:val="18"/>
                <w:lang w:eastAsia="en-AU"/>
              </w:rPr>
            </w:pPr>
            <w:r w:rsidRPr="00802F1A">
              <w:rPr>
                <w:rFonts w:eastAsia="Times New Roman" w:cs="Times New Roman"/>
                <w:b/>
                <w:bCs/>
                <w:i/>
                <w:iCs/>
                <w:sz w:val="18"/>
                <w:szCs w:val="18"/>
                <w:lang w:eastAsia="en-AU"/>
              </w:rPr>
              <w:t>Level</w:t>
            </w:r>
          </w:p>
        </w:tc>
        <w:tc>
          <w:tcPr>
            <w:tcW w:w="665" w:type="dxa"/>
            <w:tcBorders>
              <w:top w:val="nil"/>
              <w:left w:val="nil"/>
              <w:bottom w:val="nil"/>
              <w:right w:val="nil"/>
            </w:tcBorders>
            <w:shd w:val="clear" w:color="auto" w:fill="auto"/>
            <w:noWrap/>
            <w:vAlign w:val="center"/>
            <w:hideMark/>
          </w:tcPr>
          <w:p w14:paraId="2D0105FE" w14:textId="77777777" w:rsidR="00C94A34" w:rsidRPr="00802F1A" w:rsidRDefault="00C94A34" w:rsidP="00C94A34">
            <w:pPr>
              <w:spacing w:line="240" w:lineRule="auto"/>
              <w:rPr>
                <w:rFonts w:eastAsia="Times New Roman" w:cs="Times New Roman"/>
                <w:i/>
                <w:iCs/>
                <w:sz w:val="18"/>
                <w:szCs w:val="18"/>
                <w:lang w:eastAsia="en-AU"/>
              </w:rPr>
            </w:pPr>
          </w:p>
        </w:tc>
        <w:tc>
          <w:tcPr>
            <w:tcW w:w="403" w:type="dxa"/>
            <w:tcBorders>
              <w:top w:val="nil"/>
              <w:left w:val="nil"/>
              <w:bottom w:val="nil"/>
              <w:right w:val="nil"/>
            </w:tcBorders>
            <w:shd w:val="clear" w:color="auto" w:fill="auto"/>
            <w:noWrap/>
            <w:vAlign w:val="center"/>
            <w:hideMark/>
          </w:tcPr>
          <w:p w14:paraId="1B4FAA08" w14:textId="77777777" w:rsidR="00C94A34" w:rsidRPr="00802F1A" w:rsidRDefault="00C94A34" w:rsidP="00C94A34">
            <w:pPr>
              <w:spacing w:line="240" w:lineRule="auto"/>
              <w:jc w:val="right"/>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5A3AB6B1"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197F9093" w14:textId="77777777" w:rsidR="00C94A34" w:rsidRPr="00802F1A" w:rsidRDefault="00C94A34" w:rsidP="00C94A34">
            <w:pPr>
              <w:spacing w:line="240" w:lineRule="auto"/>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4DDA1CEF"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4394EC3E" w14:textId="77777777" w:rsidR="00C94A34" w:rsidRPr="00802F1A" w:rsidRDefault="00C94A34" w:rsidP="00C94A34">
            <w:pPr>
              <w:spacing w:line="240" w:lineRule="auto"/>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4337E42F"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5239BADC" w14:textId="77777777" w:rsidR="00C94A34" w:rsidRPr="00802F1A" w:rsidRDefault="00C94A34" w:rsidP="00C94A34">
            <w:pPr>
              <w:spacing w:line="240" w:lineRule="auto"/>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0BC27752"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3E683FC2" w14:textId="77777777" w:rsidR="00C94A34" w:rsidRPr="00802F1A" w:rsidRDefault="00C94A34" w:rsidP="00C94A34">
            <w:pPr>
              <w:spacing w:line="240" w:lineRule="auto"/>
              <w:rPr>
                <w:rFonts w:eastAsia="Times New Roman" w:cs="Times New Roman"/>
                <w:sz w:val="18"/>
                <w:szCs w:val="18"/>
                <w:lang w:eastAsia="en-AU"/>
              </w:rPr>
            </w:pPr>
          </w:p>
        </w:tc>
      </w:tr>
      <w:tr w:rsidR="00802F1A" w:rsidRPr="00802F1A" w14:paraId="7877B5E9" w14:textId="77777777" w:rsidTr="001648F6">
        <w:trPr>
          <w:trHeight w:hRule="exact" w:val="288"/>
        </w:trPr>
        <w:tc>
          <w:tcPr>
            <w:tcW w:w="1540" w:type="dxa"/>
            <w:tcBorders>
              <w:top w:val="nil"/>
              <w:left w:val="nil"/>
              <w:bottom w:val="nil"/>
              <w:right w:val="nil"/>
            </w:tcBorders>
            <w:shd w:val="clear" w:color="auto" w:fill="auto"/>
            <w:noWrap/>
            <w:hideMark/>
          </w:tcPr>
          <w:p w14:paraId="29704B55" w14:textId="2A43708D"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 xml:space="preserve">Energy HHI </w:t>
            </w:r>
          </w:p>
        </w:tc>
        <w:tc>
          <w:tcPr>
            <w:tcW w:w="665" w:type="dxa"/>
            <w:tcBorders>
              <w:top w:val="nil"/>
              <w:left w:val="nil"/>
              <w:bottom w:val="nil"/>
              <w:right w:val="nil"/>
            </w:tcBorders>
            <w:shd w:val="clear" w:color="auto" w:fill="auto"/>
            <w:noWrap/>
            <w:vAlign w:val="center"/>
            <w:hideMark/>
          </w:tcPr>
          <w:p w14:paraId="5406C934"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-7.25</w:t>
            </w:r>
          </w:p>
        </w:tc>
        <w:tc>
          <w:tcPr>
            <w:tcW w:w="403" w:type="dxa"/>
            <w:tcBorders>
              <w:top w:val="nil"/>
              <w:left w:val="nil"/>
              <w:bottom w:val="nil"/>
              <w:right w:val="nil"/>
            </w:tcBorders>
            <w:shd w:val="clear" w:color="auto" w:fill="auto"/>
            <w:noWrap/>
            <w:vAlign w:val="center"/>
            <w:hideMark/>
          </w:tcPr>
          <w:p w14:paraId="2361BB1D"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77541E9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0.60</w:t>
            </w:r>
          </w:p>
        </w:tc>
        <w:tc>
          <w:tcPr>
            <w:tcW w:w="403" w:type="dxa"/>
            <w:tcBorders>
              <w:top w:val="nil"/>
              <w:left w:val="nil"/>
              <w:bottom w:val="nil"/>
              <w:right w:val="nil"/>
            </w:tcBorders>
            <w:shd w:val="clear" w:color="auto" w:fill="auto"/>
            <w:noWrap/>
            <w:vAlign w:val="center"/>
            <w:hideMark/>
          </w:tcPr>
          <w:p w14:paraId="7126D654" w14:textId="77777777" w:rsidR="00C94A34" w:rsidRPr="00802F1A" w:rsidRDefault="00C94A34" w:rsidP="00C94A34">
            <w:pPr>
              <w:spacing w:line="240" w:lineRule="auto"/>
              <w:jc w:val="right"/>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79F9535E"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-0.01</w:t>
            </w:r>
          </w:p>
        </w:tc>
        <w:tc>
          <w:tcPr>
            <w:tcW w:w="403" w:type="dxa"/>
            <w:tcBorders>
              <w:top w:val="nil"/>
              <w:left w:val="nil"/>
              <w:bottom w:val="nil"/>
              <w:right w:val="nil"/>
            </w:tcBorders>
            <w:shd w:val="clear" w:color="auto" w:fill="auto"/>
            <w:noWrap/>
            <w:vAlign w:val="center"/>
            <w:hideMark/>
          </w:tcPr>
          <w:p w14:paraId="6D002AEA" w14:textId="77777777" w:rsidR="00C94A34" w:rsidRPr="00802F1A" w:rsidRDefault="00C94A34" w:rsidP="00C94A34">
            <w:pPr>
              <w:spacing w:line="240" w:lineRule="auto"/>
              <w:jc w:val="right"/>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3A7B5742"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300.04</w:t>
            </w:r>
          </w:p>
        </w:tc>
        <w:tc>
          <w:tcPr>
            <w:tcW w:w="403" w:type="dxa"/>
            <w:tcBorders>
              <w:top w:val="nil"/>
              <w:left w:val="nil"/>
              <w:bottom w:val="nil"/>
              <w:right w:val="nil"/>
            </w:tcBorders>
            <w:shd w:val="clear" w:color="auto" w:fill="auto"/>
            <w:noWrap/>
            <w:vAlign w:val="center"/>
            <w:hideMark/>
          </w:tcPr>
          <w:p w14:paraId="28CF4962"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333EF63D"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367.49</w:t>
            </w:r>
          </w:p>
        </w:tc>
        <w:tc>
          <w:tcPr>
            <w:tcW w:w="403" w:type="dxa"/>
            <w:tcBorders>
              <w:top w:val="nil"/>
              <w:left w:val="nil"/>
              <w:bottom w:val="nil"/>
              <w:right w:val="nil"/>
            </w:tcBorders>
            <w:shd w:val="clear" w:color="auto" w:fill="auto"/>
            <w:noWrap/>
            <w:vAlign w:val="center"/>
            <w:hideMark/>
          </w:tcPr>
          <w:p w14:paraId="1179607F"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7A17B97A" w14:textId="77777777" w:rsidTr="001648F6">
        <w:trPr>
          <w:trHeight w:hRule="exact" w:val="288"/>
        </w:trPr>
        <w:tc>
          <w:tcPr>
            <w:tcW w:w="1540" w:type="dxa"/>
            <w:tcBorders>
              <w:top w:val="nil"/>
              <w:left w:val="nil"/>
              <w:bottom w:val="nil"/>
              <w:right w:val="nil"/>
            </w:tcBorders>
            <w:shd w:val="clear" w:color="auto" w:fill="auto"/>
            <w:noWrap/>
            <w:hideMark/>
          </w:tcPr>
          <w:p w14:paraId="238A9A51" w14:textId="0AA85259"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Per-capita income</w:t>
            </w:r>
          </w:p>
        </w:tc>
        <w:tc>
          <w:tcPr>
            <w:tcW w:w="665" w:type="dxa"/>
            <w:tcBorders>
              <w:top w:val="nil"/>
              <w:left w:val="nil"/>
              <w:bottom w:val="nil"/>
              <w:right w:val="nil"/>
            </w:tcBorders>
            <w:shd w:val="clear" w:color="auto" w:fill="auto"/>
            <w:noWrap/>
            <w:vAlign w:val="center"/>
            <w:hideMark/>
          </w:tcPr>
          <w:p w14:paraId="174ED3D8"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-3.12</w:t>
            </w:r>
          </w:p>
        </w:tc>
        <w:tc>
          <w:tcPr>
            <w:tcW w:w="403" w:type="dxa"/>
            <w:tcBorders>
              <w:top w:val="nil"/>
              <w:left w:val="nil"/>
              <w:bottom w:val="nil"/>
              <w:right w:val="nil"/>
            </w:tcBorders>
            <w:shd w:val="clear" w:color="auto" w:fill="auto"/>
            <w:noWrap/>
            <w:vAlign w:val="center"/>
            <w:hideMark/>
          </w:tcPr>
          <w:p w14:paraId="4621C4B5"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1884394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2.22</w:t>
            </w:r>
          </w:p>
        </w:tc>
        <w:tc>
          <w:tcPr>
            <w:tcW w:w="403" w:type="dxa"/>
            <w:tcBorders>
              <w:top w:val="nil"/>
              <w:left w:val="nil"/>
              <w:bottom w:val="nil"/>
              <w:right w:val="nil"/>
            </w:tcBorders>
            <w:shd w:val="clear" w:color="auto" w:fill="auto"/>
            <w:noWrap/>
            <w:vAlign w:val="center"/>
            <w:hideMark/>
          </w:tcPr>
          <w:p w14:paraId="23965DB8" w14:textId="77777777" w:rsidR="00C94A34" w:rsidRPr="00802F1A" w:rsidRDefault="00C94A34" w:rsidP="00C94A34">
            <w:pPr>
              <w:spacing w:line="240" w:lineRule="auto"/>
              <w:jc w:val="right"/>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5A96182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2.10</w:t>
            </w:r>
          </w:p>
        </w:tc>
        <w:tc>
          <w:tcPr>
            <w:tcW w:w="403" w:type="dxa"/>
            <w:tcBorders>
              <w:top w:val="nil"/>
              <w:left w:val="nil"/>
              <w:bottom w:val="nil"/>
              <w:right w:val="nil"/>
            </w:tcBorders>
            <w:shd w:val="clear" w:color="auto" w:fill="auto"/>
            <w:noWrap/>
            <w:vAlign w:val="center"/>
            <w:hideMark/>
          </w:tcPr>
          <w:p w14:paraId="4B29BF33" w14:textId="77777777" w:rsidR="00C94A34" w:rsidRPr="00802F1A" w:rsidRDefault="00C94A34" w:rsidP="00C94A34">
            <w:pPr>
              <w:spacing w:line="240" w:lineRule="auto"/>
              <w:jc w:val="right"/>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1B98ED5C"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342.25</w:t>
            </w:r>
          </w:p>
        </w:tc>
        <w:tc>
          <w:tcPr>
            <w:tcW w:w="403" w:type="dxa"/>
            <w:tcBorders>
              <w:top w:val="nil"/>
              <w:left w:val="nil"/>
              <w:bottom w:val="nil"/>
              <w:right w:val="nil"/>
            </w:tcBorders>
            <w:shd w:val="clear" w:color="auto" w:fill="auto"/>
            <w:noWrap/>
            <w:vAlign w:val="center"/>
            <w:hideMark/>
          </w:tcPr>
          <w:p w14:paraId="54D69021"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4664142F"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219.61</w:t>
            </w:r>
          </w:p>
        </w:tc>
        <w:tc>
          <w:tcPr>
            <w:tcW w:w="403" w:type="dxa"/>
            <w:tcBorders>
              <w:top w:val="nil"/>
              <w:left w:val="nil"/>
              <w:bottom w:val="nil"/>
              <w:right w:val="nil"/>
            </w:tcBorders>
            <w:shd w:val="clear" w:color="auto" w:fill="auto"/>
            <w:noWrap/>
            <w:vAlign w:val="center"/>
            <w:hideMark/>
          </w:tcPr>
          <w:p w14:paraId="086732E2" w14:textId="77777777" w:rsidR="00C94A34" w:rsidRPr="00802F1A" w:rsidRDefault="00C94A34" w:rsidP="00C94A34">
            <w:pPr>
              <w:spacing w:line="240" w:lineRule="auto"/>
              <w:jc w:val="right"/>
              <w:rPr>
                <w:rFonts w:eastAsia="Times New Roman" w:cs="Times New Roman"/>
                <w:sz w:val="18"/>
                <w:szCs w:val="18"/>
                <w:lang w:eastAsia="en-AU"/>
              </w:rPr>
            </w:pPr>
          </w:p>
        </w:tc>
      </w:tr>
      <w:tr w:rsidR="00802F1A" w:rsidRPr="00802F1A" w14:paraId="381143A2" w14:textId="77777777" w:rsidTr="001648F6">
        <w:trPr>
          <w:trHeight w:hRule="exact" w:val="288"/>
        </w:trPr>
        <w:tc>
          <w:tcPr>
            <w:tcW w:w="1540" w:type="dxa"/>
            <w:tcBorders>
              <w:top w:val="nil"/>
              <w:left w:val="nil"/>
              <w:bottom w:val="nil"/>
              <w:right w:val="nil"/>
            </w:tcBorders>
            <w:shd w:val="clear" w:color="auto" w:fill="auto"/>
            <w:noWrap/>
            <w:hideMark/>
          </w:tcPr>
          <w:p w14:paraId="7B33720E" w14:textId="24D9D925"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 xml:space="preserve">FI Depth </w:t>
            </w:r>
          </w:p>
        </w:tc>
        <w:tc>
          <w:tcPr>
            <w:tcW w:w="665" w:type="dxa"/>
            <w:tcBorders>
              <w:top w:val="nil"/>
              <w:left w:val="nil"/>
              <w:bottom w:val="nil"/>
              <w:right w:val="nil"/>
            </w:tcBorders>
            <w:shd w:val="clear" w:color="auto" w:fill="auto"/>
            <w:noWrap/>
            <w:vAlign w:val="center"/>
            <w:hideMark/>
          </w:tcPr>
          <w:p w14:paraId="7FAB834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-7.94</w:t>
            </w:r>
          </w:p>
        </w:tc>
        <w:tc>
          <w:tcPr>
            <w:tcW w:w="403" w:type="dxa"/>
            <w:tcBorders>
              <w:top w:val="nil"/>
              <w:left w:val="nil"/>
              <w:bottom w:val="nil"/>
              <w:right w:val="nil"/>
            </w:tcBorders>
            <w:shd w:val="clear" w:color="auto" w:fill="auto"/>
            <w:noWrap/>
            <w:vAlign w:val="center"/>
            <w:hideMark/>
          </w:tcPr>
          <w:p w14:paraId="71D87FA0"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19A523EC"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-1.95</w:t>
            </w:r>
          </w:p>
        </w:tc>
        <w:tc>
          <w:tcPr>
            <w:tcW w:w="403" w:type="dxa"/>
            <w:tcBorders>
              <w:top w:val="nil"/>
              <w:left w:val="nil"/>
              <w:bottom w:val="nil"/>
              <w:right w:val="nil"/>
            </w:tcBorders>
            <w:shd w:val="clear" w:color="auto" w:fill="auto"/>
            <w:noWrap/>
            <w:vAlign w:val="center"/>
            <w:hideMark/>
          </w:tcPr>
          <w:p w14:paraId="6F5FE5E1"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4D02DE1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-3.05</w:t>
            </w:r>
          </w:p>
        </w:tc>
        <w:tc>
          <w:tcPr>
            <w:tcW w:w="403" w:type="dxa"/>
            <w:tcBorders>
              <w:top w:val="nil"/>
              <w:left w:val="nil"/>
              <w:bottom w:val="nil"/>
              <w:right w:val="nil"/>
            </w:tcBorders>
            <w:shd w:val="clear" w:color="auto" w:fill="auto"/>
            <w:noWrap/>
            <w:vAlign w:val="center"/>
            <w:hideMark/>
          </w:tcPr>
          <w:p w14:paraId="020E6A21"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7E0A24B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426.04</w:t>
            </w:r>
          </w:p>
        </w:tc>
        <w:tc>
          <w:tcPr>
            <w:tcW w:w="403" w:type="dxa"/>
            <w:tcBorders>
              <w:top w:val="nil"/>
              <w:left w:val="nil"/>
              <w:bottom w:val="nil"/>
              <w:right w:val="nil"/>
            </w:tcBorders>
            <w:shd w:val="clear" w:color="auto" w:fill="auto"/>
            <w:noWrap/>
            <w:vAlign w:val="center"/>
            <w:hideMark/>
          </w:tcPr>
          <w:p w14:paraId="662E76B0"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1F8C2D5C"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421.23</w:t>
            </w:r>
          </w:p>
        </w:tc>
        <w:tc>
          <w:tcPr>
            <w:tcW w:w="403" w:type="dxa"/>
            <w:tcBorders>
              <w:top w:val="nil"/>
              <w:left w:val="nil"/>
              <w:bottom w:val="nil"/>
              <w:right w:val="nil"/>
            </w:tcBorders>
            <w:shd w:val="clear" w:color="auto" w:fill="auto"/>
            <w:noWrap/>
            <w:vAlign w:val="center"/>
            <w:hideMark/>
          </w:tcPr>
          <w:p w14:paraId="5FB4D9B8"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2116982C" w14:textId="77777777" w:rsidTr="001648F6">
        <w:trPr>
          <w:trHeight w:hRule="exact" w:val="288"/>
        </w:trPr>
        <w:tc>
          <w:tcPr>
            <w:tcW w:w="1540" w:type="dxa"/>
            <w:tcBorders>
              <w:top w:val="nil"/>
              <w:left w:val="nil"/>
              <w:bottom w:val="nil"/>
              <w:right w:val="nil"/>
            </w:tcBorders>
            <w:shd w:val="clear" w:color="auto" w:fill="auto"/>
            <w:noWrap/>
            <w:hideMark/>
          </w:tcPr>
          <w:p w14:paraId="095C64E3" w14:textId="540DCFF8"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FI Access</w:t>
            </w:r>
          </w:p>
        </w:tc>
        <w:tc>
          <w:tcPr>
            <w:tcW w:w="665" w:type="dxa"/>
            <w:tcBorders>
              <w:top w:val="nil"/>
              <w:left w:val="nil"/>
              <w:bottom w:val="nil"/>
              <w:right w:val="nil"/>
            </w:tcBorders>
            <w:shd w:val="clear" w:color="auto" w:fill="auto"/>
            <w:noWrap/>
            <w:vAlign w:val="center"/>
            <w:hideMark/>
          </w:tcPr>
          <w:p w14:paraId="3897136F"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-5.07</w:t>
            </w:r>
          </w:p>
        </w:tc>
        <w:tc>
          <w:tcPr>
            <w:tcW w:w="403" w:type="dxa"/>
            <w:tcBorders>
              <w:top w:val="nil"/>
              <w:left w:val="nil"/>
              <w:bottom w:val="nil"/>
              <w:right w:val="nil"/>
            </w:tcBorders>
            <w:shd w:val="clear" w:color="auto" w:fill="auto"/>
            <w:noWrap/>
            <w:vAlign w:val="center"/>
            <w:hideMark/>
          </w:tcPr>
          <w:p w14:paraId="16D1614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798E372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-0.10</w:t>
            </w:r>
          </w:p>
        </w:tc>
        <w:tc>
          <w:tcPr>
            <w:tcW w:w="403" w:type="dxa"/>
            <w:tcBorders>
              <w:top w:val="nil"/>
              <w:left w:val="nil"/>
              <w:bottom w:val="nil"/>
              <w:right w:val="nil"/>
            </w:tcBorders>
            <w:shd w:val="clear" w:color="auto" w:fill="auto"/>
            <w:noWrap/>
            <w:vAlign w:val="center"/>
            <w:hideMark/>
          </w:tcPr>
          <w:p w14:paraId="5FE71395" w14:textId="77777777" w:rsidR="00C94A34" w:rsidRPr="00802F1A" w:rsidRDefault="00C94A34" w:rsidP="00C94A34">
            <w:pPr>
              <w:spacing w:line="240" w:lineRule="auto"/>
              <w:jc w:val="right"/>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3EE7265A"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1.49</w:t>
            </w:r>
          </w:p>
        </w:tc>
        <w:tc>
          <w:tcPr>
            <w:tcW w:w="403" w:type="dxa"/>
            <w:tcBorders>
              <w:top w:val="nil"/>
              <w:left w:val="nil"/>
              <w:bottom w:val="nil"/>
              <w:right w:val="nil"/>
            </w:tcBorders>
            <w:shd w:val="clear" w:color="auto" w:fill="auto"/>
            <w:noWrap/>
            <w:vAlign w:val="center"/>
            <w:hideMark/>
          </w:tcPr>
          <w:p w14:paraId="44B721C3" w14:textId="77777777" w:rsidR="00C94A34" w:rsidRPr="00802F1A" w:rsidRDefault="00C94A34" w:rsidP="00C94A34">
            <w:pPr>
              <w:spacing w:line="240" w:lineRule="auto"/>
              <w:jc w:val="right"/>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4097123A"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249.89</w:t>
            </w:r>
          </w:p>
        </w:tc>
        <w:tc>
          <w:tcPr>
            <w:tcW w:w="403" w:type="dxa"/>
            <w:tcBorders>
              <w:top w:val="nil"/>
              <w:left w:val="nil"/>
              <w:bottom w:val="nil"/>
              <w:right w:val="nil"/>
            </w:tcBorders>
            <w:shd w:val="clear" w:color="auto" w:fill="auto"/>
            <w:noWrap/>
            <w:vAlign w:val="center"/>
            <w:hideMark/>
          </w:tcPr>
          <w:p w14:paraId="7EA3137B" w14:textId="77777777" w:rsidR="00C94A34" w:rsidRPr="00802F1A" w:rsidRDefault="00C94A34" w:rsidP="00C94A34">
            <w:pPr>
              <w:spacing w:line="240" w:lineRule="auto"/>
              <w:jc w:val="right"/>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512F62C6"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223.97</w:t>
            </w:r>
          </w:p>
        </w:tc>
        <w:tc>
          <w:tcPr>
            <w:tcW w:w="403" w:type="dxa"/>
            <w:tcBorders>
              <w:top w:val="nil"/>
              <w:left w:val="nil"/>
              <w:bottom w:val="nil"/>
              <w:right w:val="nil"/>
            </w:tcBorders>
            <w:shd w:val="clear" w:color="auto" w:fill="auto"/>
            <w:noWrap/>
            <w:vAlign w:val="center"/>
            <w:hideMark/>
          </w:tcPr>
          <w:p w14:paraId="21ED20F8" w14:textId="77777777" w:rsidR="00C94A34" w:rsidRPr="00802F1A" w:rsidRDefault="00C94A34" w:rsidP="00C94A34">
            <w:pPr>
              <w:spacing w:line="240" w:lineRule="auto"/>
              <w:jc w:val="right"/>
              <w:rPr>
                <w:rFonts w:eastAsia="Times New Roman" w:cs="Times New Roman"/>
                <w:sz w:val="18"/>
                <w:szCs w:val="18"/>
                <w:lang w:eastAsia="en-AU"/>
              </w:rPr>
            </w:pPr>
          </w:p>
        </w:tc>
      </w:tr>
      <w:tr w:rsidR="00802F1A" w:rsidRPr="00802F1A" w14:paraId="628CBC67" w14:textId="77777777" w:rsidTr="001648F6">
        <w:trPr>
          <w:trHeight w:hRule="exact" w:val="288"/>
        </w:trPr>
        <w:tc>
          <w:tcPr>
            <w:tcW w:w="1540" w:type="dxa"/>
            <w:tcBorders>
              <w:top w:val="nil"/>
              <w:left w:val="nil"/>
              <w:bottom w:val="nil"/>
              <w:right w:val="nil"/>
            </w:tcBorders>
            <w:shd w:val="clear" w:color="auto" w:fill="auto"/>
            <w:noWrap/>
            <w:hideMark/>
          </w:tcPr>
          <w:p w14:paraId="7AD88DCC" w14:textId="0C77E97B"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FI Efficiency</w:t>
            </w:r>
          </w:p>
        </w:tc>
        <w:tc>
          <w:tcPr>
            <w:tcW w:w="665" w:type="dxa"/>
            <w:tcBorders>
              <w:top w:val="nil"/>
              <w:left w:val="nil"/>
              <w:bottom w:val="nil"/>
              <w:right w:val="nil"/>
            </w:tcBorders>
            <w:shd w:val="clear" w:color="auto" w:fill="auto"/>
            <w:noWrap/>
            <w:vAlign w:val="center"/>
            <w:hideMark/>
          </w:tcPr>
          <w:p w14:paraId="60C4C5B1"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-20.91</w:t>
            </w:r>
          </w:p>
        </w:tc>
        <w:tc>
          <w:tcPr>
            <w:tcW w:w="403" w:type="dxa"/>
            <w:tcBorders>
              <w:top w:val="nil"/>
              <w:left w:val="nil"/>
              <w:bottom w:val="nil"/>
              <w:right w:val="nil"/>
            </w:tcBorders>
            <w:shd w:val="clear" w:color="auto" w:fill="auto"/>
            <w:noWrap/>
            <w:vAlign w:val="center"/>
            <w:hideMark/>
          </w:tcPr>
          <w:p w14:paraId="77E0F76E"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0C8138E4"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-5.92</w:t>
            </w:r>
          </w:p>
        </w:tc>
        <w:tc>
          <w:tcPr>
            <w:tcW w:w="403" w:type="dxa"/>
            <w:tcBorders>
              <w:top w:val="nil"/>
              <w:left w:val="nil"/>
              <w:bottom w:val="nil"/>
              <w:right w:val="nil"/>
            </w:tcBorders>
            <w:shd w:val="clear" w:color="auto" w:fill="auto"/>
            <w:noWrap/>
            <w:vAlign w:val="center"/>
            <w:hideMark/>
          </w:tcPr>
          <w:p w14:paraId="5470351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6FB2221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-9.31</w:t>
            </w:r>
          </w:p>
        </w:tc>
        <w:tc>
          <w:tcPr>
            <w:tcW w:w="403" w:type="dxa"/>
            <w:tcBorders>
              <w:top w:val="nil"/>
              <w:left w:val="nil"/>
              <w:bottom w:val="nil"/>
              <w:right w:val="nil"/>
            </w:tcBorders>
            <w:shd w:val="clear" w:color="auto" w:fill="auto"/>
            <w:noWrap/>
            <w:vAlign w:val="center"/>
            <w:hideMark/>
          </w:tcPr>
          <w:p w14:paraId="1FD227DE"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5C5037F4"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627.23</w:t>
            </w:r>
          </w:p>
        </w:tc>
        <w:tc>
          <w:tcPr>
            <w:tcW w:w="403" w:type="dxa"/>
            <w:tcBorders>
              <w:top w:val="nil"/>
              <w:left w:val="nil"/>
              <w:bottom w:val="nil"/>
              <w:right w:val="nil"/>
            </w:tcBorders>
            <w:shd w:val="clear" w:color="auto" w:fill="auto"/>
            <w:noWrap/>
            <w:vAlign w:val="center"/>
            <w:hideMark/>
          </w:tcPr>
          <w:p w14:paraId="0C7F7059"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1005BE9B"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912.85</w:t>
            </w:r>
          </w:p>
        </w:tc>
        <w:tc>
          <w:tcPr>
            <w:tcW w:w="403" w:type="dxa"/>
            <w:tcBorders>
              <w:top w:val="nil"/>
              <w:left w:val="nil"/>
              <w:bottom w:val="nil"/>
              <w:right w:val="nil"/>
            </w:tcBorders>
            <w:shd w:val="clear" w:color="auto" w:fill="auto"/>
            <w:noWrap/>
            <w:vAlign w:val="center"/>
            <w:hideMark/>
          </w:tcPr>
          <w:p w14:paraId="476E0398"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5D36D53D" w14:textId="77777777" w:rsidTr="001648F6">
        <w:trPr>
          <w:trHeight w:hRule="exact" w:val="288"/>
        </w:trPr>
        <w:tc>
          <w:tcPr>
            <w:tcW w:w="1540" w:type="dxa"/>
            <w:tcBorders>
              <w:top w:val="nil"/>
              <w:left w:val="nil"/>
              <w:bottom w:val="nil"/>
              <w:right w:val="nil"/>
            </w:tcBorders>
            <w:shd w:val="clear" w:color="auto" w:fill="auto"/>
            <w:noWrap/>
            <w:hideMark/>
          </w:tcPr>
          <w:p w14:paraId="4C24A19F" w14:textId="3BD5CA5C"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 xml:space="preserve">FI Dev </w:t>
            </w:r>
          </w:p>
        </w:tc>
        <w:tc>
          <w:tcPr>
            <w:tcW w:w="665" w:type="dxa"/>
            <w:tcBorders>
              <w:top w:val="nil"/>
              <w:left w:val="nil"/>
              <w:bottom w:val="nil"/>
              <w:right w:val="nil"/>
            </w:tcBorders>
            <w:shd w:val="clear" w:color="auto" w:fill="auto"/>
            <w:noWrap/>
            <w:vAlign w:val="center"/>
            <w:hideMark/>
          </w:tcPr>
          <w:p w14:paraId="3459215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-13.18</w:t>
            </w:r>
          </w:p>
        </w:tc>
        <w:tc>
          <w:tcPr>
            <w:tcW w:w="403" w:type="dxa"/>
            <w:tcBorders>
              <w:top w:val="nil"/>
              <w:left w:val="nil"/>
              <w:bottom w:val="nil"/>
              <w:right w:val="nil"/>
            </w:tcBorders>
            <w:shd w:val="clear" w:color="auto" w:fill="auto"/>
            <w:noWrap/>
            <w:vAlign w:val="center"/>
            <w:hideMark/>
          </w:tcPr>
          <w:p w14:paraId="5A5FB7A7"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2515675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-2.79</w:t>
            </w:r>
          </w:p>
        </w:tc>
        <w:tc>
          <w:tcPr>
            <w:tcW w:w="403" w:type="dxa"/>
            <w:tcBorders>
              <w:top w:val="nil"/>
              <w:left w:val="nil"/>
              <w:bottom w:val="nil"/>
              <w:right w:val="nil"/>
            </w:tcBorders>
            <w:shd w:val="clear" w:color="auto" w:fill="auto"/>
            <w:noWrap/>
            <w:vAlign w:val="center"/>
            <w:hideMark/>
          </w:tcPr>
          <w:p w14:paraId="412A8777"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179BBAAC"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-5.10</w:t>
            </w:r>
          </w:p>
        </w:tc>
        <w:tc>
          <w:tcPr>
            <w:tcW w:w="403" w:type="dxa"/>
            <w:tcBorders>
              <w:top w:val="nil"/>
              <w:left w:val="nil"/>
              <w:bottom w:val="nil"/>
              <w:right w:val="nil"/>
            </w:tcBorders>
            <w:shd w:val="clear" w:color="auto" w:fill="auto"/>
            <w:noWrap/>
            <w:vAlign w:val="center"/>
            <w:hideMark/>
          </w:tcPr>
          <w:p w14:paraId="4C55152D"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771A3E21"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500.06</w:t>
            </w:r>
          </w:p>
        </w:tc>
        <w:tc>
          <w:tcPr>
            <w:tcW w:w="403" w:type="dxa"/>
            <w:tcBorders>
              <w:top w:val="nil"/>
              <w:left w:val="nil"/>
              <w:bottom w:val="nil"/>
              <w:right w:val="nil"/>
            </w:tcBorders>
            <w:shd w:val="clear" w:color="auto" w:fill="auto"/>
            <w:noWrap/>
            <w:vAlign w:val="center"/>
            <w:hideMark/>
          </w:tcPr>
          <w:p w14:paraId="44CE6F93"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3E9B3058"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543.32</w:t>
            </w:r>
          </w:p>
        </w:tc>
        <w:tc>
          <w:tcPr>
            <w:tcW w:w="403" w:type="dxa"/>
            <w:tcBorders>
              <w:top w:val="nil"/>
              <w:left w:val="nil"/>
              <w:bottom w:val="nil"/>
              <w:right w:val="nil"/>
            </w:tcBorders>
            <w:shd w:val="clear" w:color="auto" w:fill="auto"/>
            <w:noWrap/>
            <w:vAlign w:val="center"/>
            <w:hideMark/>
          </w:tcPr>
          <w:p w14:paraId="629A86E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26D64CDE" w14:textId="77777777" w:rsidTr="001648F6">
        <w:trPr>
          <w:trHeight w:hRule="exact" w:val="288"/>
        </w:trPr>
        <w:tc>
          <w:tcPr>
            <w:tcW w:w="1540" w:type="dxa"/>
            <w:tcBorders>
              <w:top w:val="nil"/>
              <w:left w:val="nil"/>
              <w:bottom w:val="nil"/>
              <w:right w:val="nil"/>
            </w:tcBorders>
            <w:shd w:val="clear" w:color="auto" w:fill="auto"/>
            <w:noWrap/>
            <w:hideMark/>
          </w:tcPr>
          <w:p w14:paraId="1B9F6645" w14:textId="70A8995A"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FM Dev</w:t>
            </w:r>
          </w:p>
        </w:tc>
        <w:tc>
          <w:tcPr>
            <w:tcW w:w="665" w:type="dxa"/>
            <w:tcBorders>
              <w:top w:val="nil"/>
              <w:left w:val="nil"/>
              <w:bottom w:val="nil"/>
              <w:right w:val="nil"/>
            </w:tcBorders>
            <w:shd w:val="clear" w:color="auto" w:fill="auto"/>
            <w:noWrap/>
            <w:vAlign w:val="center"/>
            <w:hideMark/>
          </w:tcPr>
          <w:p w14:paraId="4D23282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-10.51</w:t>
            </w:r>
          </w:p>
        </w:tc>
        <w:tc>
          <w:tcPr>
            <w:tcW w:w="403" w:type="dxa"/>
            <w:tcBorders>
              <w:top w:val="nil"/>
              <w:left w:val="nil"/>
              <w:bottom w:val="nil"/>
              <w:right w:val="nil"/>
            </w:tcBorders>
            <w:shd w:val="clear" w:color="auto" w:fill="auto"/>
            <w:noWrap/>
            <w:vAlign w:val="center"/>
            <w:hideMark/>
          </w:tcPr>
          <w:p w14:paraId="58C74344"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6F6C7A44"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-1.27</w:t>
            </w:r>
          </w:p>
        </w:tc>
        <w:tc>
          <w:tcPr>
            <w:tcW w:w="403" w:type="dxa"/>
            <w:tcBorders>
              <w:top w:val="nil"/>
              <w:left w:val="nil"/>
              <w:bottom w:val="nil"/>
              <w:right w:val="nil"/>
            </w:tcBorders>
            <w:shd w:val="clear" w:color="auto" w:fill="auto"/>
            <w:noWrap/>
            <w:vAlign w:val="center"/>
            <w:hideMark/>
          </w:tcPr>
          <w:p w14:paraId="2F9B787E" w14:textId="77777777" w:rsidR="00C94A34" w:rsidRPr="00802F1A" w:rsidRDefault="00C94A34" w:rsidP="00C94A34">
            <w:pPr>
              <w:spacing w:line="240" w:lineRule="auto"/>
              <w:jc w:val="right"/>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7A6A41ED"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-5.58</w:t>
            </w:r>
          </w:p>
        </w:tc>
        <w:tc>
          <w:tcPr>
            <w:tcW w:w="403" w:type="dxa"/>
            <w:tcBorders>
              <w:top w:val="nil"/>
              <w:left w:val="nil"/>
              <w:bottom w:val="nil"/>
              <w:right w:val="nil"/>
            </w:tcBorders>
            <w:shd w:val="clear" w:color="auto" w:fill="auto"/>
            <w:noWrap/>
            <w:vAlign w:val="center"/>
            <w:hideMark/>
          </w:tcPr>
          <w:p w14:paraId="59701E3A"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3D447E1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509.67</w:t>
            </w:r>
          </w:p>
        </w:tc>
        <w:tc>
          <w:tcPr>
            <w:tcW w:w="403" w:type="dxa"/>
            <w:tcBorders>
              <w:top w:val="nil"/>
              <w:left w:val="nil"/>
              <w:bottom w:val="nil"/>
              <w:right w:val="nil"/>
            </w:tcBorders>
            <w:shd w:val="clear" w:color="auto" w:fill="auto"/>
            <w:noWrap/>
            <w:vAlign w:val="center"/>
            <w:hideMark/>
          </w:tcPr>
          <w:p w14:paraId="07A6558F"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132D059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510.38</w:t>
            </w:r>
          </w:p>
        </w:tc>
        <w:tc>
          <w:tcPr>
            <w:tcW w:w="403" w:type="dxa"/>
            <w:tcBorders>
              <w:top w:val="nil"/>
              <w:left w:val="nil"/>
              <w:bottom w:val="nil"/>
              <w:right w:val="nil"/>
            </w:tcBorders>
            <w:shd w:val="clear" w:color="auto" w:fill="auto"/>
            <w:noWrap/>
            <w:vAlign w:val="center"/>
            <w:hideMark/>
          </w:tcPr>
          <w:p w14:paraId="413B9BD7"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785743C1" w14:textId="77777777" w:rsidTr="001648F6">
        <w:trPr>
          <w:trHeight w:hRule="exact" w:val="288"/>
        </w:trPr>
        <w:tc>
          <w:tcPr>
            <w:tcW w:w="1540" w:type="dxa"/>
            <w:tcBorders>
              <w:top w:val="nil"/>
              <w:left w:val="nil"/>
              <w:bottom w:val="nil"/>
              <w:right w:val="nil"/>
            </w:tcBorders>
            <w:shd w:val="clear" w:color="auto" w:fill="auto"/>
            <w:noWrap/>
            <w:hideMark/>
          </w:tcPr>
          <w:p w14:paraId="064F9840" w14:textId="74974CCD"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Financial Dev</w:t>
            </w:r>
          </w:p>
        </w:tc>
        <w:tc>
          <w:tcPr>
            <w:tcW w:w="665" w:type="dxa"/>
            <w:tcBorders>
              <w:top w:val="nil"/>
              <w:left w:val="nil"/>
              <w:bottom w:val="nil"/>
              <w:right w:val="nil"/>
            </w:tcBorders>
            <w:shd w:val="clear" w:color="auto" w:fill="auto"/>
            <w:noWrap/>
            <w:vAlign w:val="center"/>
            <w:hideMark/>
          </w:tcPr>
          <w:p w14:paraId="36907A2F"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-15.20</w:t>
            </w:r>
          </w:p>
        </w:tc>
        <w:tc>
          <w:tcPr>
            <w:tcW w:w="403" w:type="dxa"/>
            <w:tcBorders>
              <w:top w:val="nil"/>
              <w:left w:val="nil"/>
              <w:bottom w:val="nil"/>
              <w:right w:val="nil"/>
            </w:tcBorders>
            <w:shd w:val="clear" w:color="auto" w:fill="auto"/>
            <w:noWrap/>
            <w:vAlign w:val="center"/>
            <w:hideMark/>
          </w:tcPr>
          <w:p w14:paraId="5FAC39FC"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6D395B6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-2.24</w:t>
            </w:r>
          </w:p>
        </w:tc>
        <w:tc>
          <w:tcPr>
            <w:tcW w:w="403" w:type="dxa"/>
            <w:tcBorders>
              <w:top w:val="nil"/>
              <w:left w:val="nil"/>
              <w:bottom w:val="nil"/>
              <w:right w:val="nil"/>
            </w:tcBorders>
            <w:shd w:val="clear" w:color="auto" w:fill="auto"/>
            <w:noWrap/>
            <w:vAlign w:val="center"/>
            <w:hideMark/>
          </w:tcPr>
          <w:p w14:paraId="4C73621E"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0187F6A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-7.70</w:t>
            </w:r>
          </w:p>
        </w:tc>
        <w:tc>
          <w:tcPr>
            <w:tcW w:w="403" w:type="dxa"/>
            <w:tcBorders>
              <w:top w:val="nil"/>
              <w:left w:val="nil"/>
              <w:bottom w:val="nil"/>
              <w:right w:val="nil"/>
            </w:tcBorders>
            <w:shd w:val="clear" w:color="auto" w:fill="auto"/>
            <w:noWrap/>
            <w:vAlign w:val="center"/>
            <w:hideMark/>
          </w:tcPr>
          <w:p w14:paraId="580D879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1A182E96"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630.72</w:t>
            </w:r>
          </w:p>
        </w:tc>
        <w:tc>
          <w:tcPr>
            <w:tcW w:w="403" w:type="dxa"/>
            <w:tcBorders>
              <w:top w:val="nil"/>
              <w:left w:val="nil"/>
              <w:bottom w:val="nil"/>
              <w:right w:val="nil"/>
            </w:tcBorders>
            <w:shd w:val="clear" w:color="auto" w:fill="auto"/>
            <w:noWrap/>
            <w:vAlign w:val="center"/>
            <w:hideMark/>
          </w:tcPr>
          <w:p w14:paraId="2CBFF74D"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5B7F1166"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591.26</w:t>
            </w:r>
          </w:p>
        </w:tc>
        <w:tc>
          <w:tcPr>
            <w:tcW w:w="403" w:type="dxa"/>
            <w:tcBorders>
              <w:top w:val="nil"/>
              <w:left w:val="nil"/>
              <w:bottom w:val="nil"/>
              <w:right w:val="nil"/>
            </w:tcBorders>
            <w:shd w:val="clear" w:color="auto" w:fill="auto"/>
            <w:noWrap/>
            <w:vAlign w:val="center"/>
            <w:hideMark/>
          </w:tcPr>
          <w:p w14:paraId="34CB5A62"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763E17D0" w14:textId="77777777" w:rsidTr="001648F6">
        <w:trPr>
          <w:trHeight w:hRule="exact" w:val="288"/>
        </w:trPr>
        <w:tc>
          <w:tcPr>
            <w:tcW w:w="1540" w:type="dxa"/>
            <w:tcBorders>
              <w:top w:val="nil"/>
              <w:left w:val="nil"/>
              <w:bottom w:val="nil"/>
              <w:right w:val="nil"/>
            </w:tcBorders>
            <w:shd w:val="clear" w:color="auto" w:fill="auto"/>
            <w:noWrap/>
            <w:hideMark/>
          </w:tcPr>
          <w:p w14:paraId="46CF415E" w14:textId="68732BB3" w:rsidR="00C94A34" w:rsidRPr="00802F1A" w:rsidRDefault="00C94A34" w:rsidP="00C94A34">
            <w:pPr>
              <w:spacing w:line="240" w:lineRule="auto"/>
              <w:rPr>
                <w:rFonts w:eastAsia="Times New Roman" w:cs="Times New Roman"/>
                <w:i/>
                <w:iCs/>
                <w:sz w:val="18"/>
                <w:szCs w:val="18"/>
                <w:lang w:eastAsia="en-AU"/>
              </w:rPr>
            </w:pPr>
            <w:r w:rsidRPr="00802F1A">
              <w:rPr>
                <w:rFonts w:eastAsia="Times New Roman" w:cs="Times New Roman"/>
                <w:b/>
                <w:bCs/>
                <w:i/>
                <w:iCs/>
                <w:sz w:val="18"/>
                <w:szCs w:val="18"/>
                <w:lang w:eastAsia="en-AU"/>
              </w:rPr>
              <w:t>First difference</w:t>
            </w:r>
          </w:p>
        </w:tc>
        <w:tc>
          <w:tcPr>
            <w:tcW w:w="665" w:type="dxa"/>
            <w:tcBorders>
              <w:top w:val="nil"/>
              <w:left w:val="nil"/>
              <w:bottom w:val="nil"/>
              <w:right w:val="nil"/>
            </w:tcBorders>
            <w:shd w:val="clear" w:color="auto" w:fill="auto"/>
            <w:noWrap/>
            <w:vAlign w:val="center"/>
            <w:hideMark/>
          </w:tcPr>
          <w:p w14:paraId="180B8F8A" w14:textId="77777777" w:rsidR="00C94A34" w:rsidRPr="00802F1A" w:rsidRDefault="00C94A34" w:rsidP="00C94A34">
            <w:pPr>
              <w:spacing w:line="240" w:lineRule="auto"/>
              <w:rPr>
                <w:rFonts w:eastAsia="Times New Roman" w:cs="Times New Roman"/>
                <w:i/>
                <w:iCs/>
                <w:sz w:val="18"/>
                <w:szCs w:val="18"/>
                <w:lang w:eastAsia="en-AU"/>
              </w:rPr>
            </w:pPr>
          </w:p>
        </w:tc>
        <w:tc>
          <w:tcPr>
            <w:tcW w:w="403" w:type="dxa"/>
            <w:tcBorders>
              <w:top w:val="nil"/>
              <w:left w:val="nil"/>
              <w:bottom w:val="nil"/>
              <w:right w:val="nil"/>
            </w:tcBorders>
            <w:shd w:val="clear" w:color="auto" w:fill="auto"/>
            <w:noWrap/>
            <w:vAlign w:val="center"/>
            <w:hideMark/>
          </w:tcPr>
          <w:p w14:paraId="0E8E5330" w14:textId="77777777" w:rsidR="00C94A34" w:rsidRPr="00802F1A" w:rsidRDefault="00C94A34" w:rsidP="00C94A34">
            <w:pPr>
              <w:spacing w:line="240" w:lineRule="auto"/>
              <w:jc w:val="right"/>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051A18CE"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55364B6F" w14:textId="77777777" w:rsidR="00C94A34" w:rsidRPr="00802F1A" w:rsidRDefault="00C94A34" w:rsidP="00C94A34">
            <w:pPr>
              <w:spacing w:line="240" w:lineRule="auto"/>
              <w:jc w:val="right"/>
              <w:rPr>
                <w:rFonts w:eastAsia="Times New Roman" w:cs="Times New Roman"/>
                <w:sz w:val="18"/>
                <w:szCs w:val="18"/>
                <w:lang w:eastAsia="en-AU"/>
              </w:rPr>
            </w:pPr>
          </w:p>
        </w:tc>
        <w:tc>
          <w:tcPr>
            <w:tcW w:w="665" w:type="dxa"/>
            <w:tcBorders>
              <w:top w:val="nil"/>
              <w:left w:val="nil"/>
              <w:bottom w:val="nil"/>
              <w:right w:val="nil"/>
            </w:tcBorders>
            <w:shd w:val="clear" w:color="auto" w:fill="auto"/>
            <w:noWrap/>
            <w:vAlign w:val="center"/>
            <w:hideMark/>
          </w:tcPr>
          <w:p w14:paraId="1EF8CECC"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4A222A0C" w14:textId="77777777" w:rsidR="00C94A34" w:rsidRPr="00802F1A" w:rsidRDefault="00C94A34" w:rsidP="00C94A34">
            <w:pPr>
              <w:spacing w:line="240" w:lineRule="auto"/>
              <w:jc w:val="right"/>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1BB3E235"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5EF9C88B" w14:textId="77777777" w:rsidR="00C94A34" w:rsidRPr="00802F1A" w:rsidRDefault="00C94A34" w:rsidP="00C94A34">
            <w:pPr>
              <w:spacing w:line="240" w:lineRule="auto"/>
              <w:jc w:val="right"/>
              <w:rPr>
                <w:rFonts w:eastAsia="Times New Roman" w:cs="Times New Roman"/>
                <w:sz w:val="18"/>
                <w:szCs w:val="18"/>
                <w:lang w:eastAsia="en-AU"/>
              </w:rPr>
            </w:pPr>
          </w:p>
        </w:tc>
        <w:tc>
          <w:tcPr>
            <w:tcW w:w="886" w:type="dxa"/>
            <w:tcBorders>
              <w:top w:val="nil"/>
              <w:left w:val="nil"/>
              <w:bottom w:val="nil"/>
              <w:right w:val="nil"/>
            </w:tcBorders>
            <w:shd w:val="clear" w:color="auto" w:fill="auto"/>
            <w:noWrap/>
            <w:vAlign w:val="center"/>
            <w:hideMark/>
          </w:tcPr>
          <w:p w14:paraId="2F8F6CAA" w14:textId="77777777" w:rsidR="00C94A34" w:rsidRPr="00802F1A" w:rsidRDefault="00C94A34" w:rsidP="00C94A34">
            <w:pPr>
              <w:spacing w:line="240" w:lineRule="auto"/>
              <w:rPr>
                <w:rFonts w:eastAsia="Times New Roman" w:cs="Times New Roman"/>
                <w:sz w:val="18"/>
                <w:szCs w:val="18"/>
                <w:lang w:eastAsia="en-AU"/>
              </w:rPr>
            </w:pPr>
          </w:p>
        </w:tc>
        <w:tc>
          <w:tcPr>
            <w:tcW w:w="403" w:type="dxa"/>
            <w:tcBorders>
              <w:top w:val="nil"/>
              <w:left w:val="nil"/>
              <w:bottom w:val="nil"/>
              <w:right w:val="nil"/>
            </w:tcBorders>
            <w:shd w:val="clear" w:color="auto" w:fill="auto"/>
            <w:noWrap/>
            <w:vAlign w:val="center"/>
            <w:hideMark/>
          </w:tcPr>
          <w:p w14:paraId="2C488C60" w14:textId="77777777" w:rsidR="00C94A34" w:rsidRPr="00802F1A" w:rsidRDefault="00C94A34" w:rsidP="00C94A34">
            <w:pPr>
              <w:spacing w:line="240" w:lineRule="auto"/>
              <w:jc w:val="right"/>
              <w:rPr>
                <w:rFonts w:eastAsia="Times New Roman" w:cs="Times New Roman"/>
                <w:sz w:val="18"/>
                <w:szCs w:val="18"/>
                <w:lang w:eastAsia="en-AU"/>
              </w:rPr>
            </w:pPr>
          </w:p>
        </w:tc>
      </w:tr>
      <w:tr w:rsidR="00802F1A" w:rsidRPr="00802F1A" w14:paraId="311DDFEB" w14:textId="77777777" w:rsidTr="001648F6">
        <w:trPr>
          <w:trHeight w:hRule="exact" w:val="288"/>
        </w:trPr>
        <w:tc>
          <w:tcPr>
            <w:tcW w:w="1540" w:type="dxa"/>
            <w:tcBorders>
              <w:top w:val="nil"/>
              <w:left w:val="nil"/>
              <w:bottom w:val="nil"/>
              <w:right w:val="nil"/>
            </w:tcBorders>
            <w:shd w:val="clear" w:color="auto" w:fill="auto"/>
            <w:noWrap/>
            <w:hideMark/>
          </w:tcPr>
          <w:p w14:paraId="472477B4" w14:textId="7DD7AC73"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 xml:space="preserve">Energy HHI </w:t>
            </w:r>
          </w:p>
        </w:tc>
        <w:tc>
          <w:tcPr>
            <w:tcW w:w="665" w:type="dxa"/>
            <w:tcBorders>
              <w:top w:val="nil"/>
              <w:left w:val="nil"/>
              <w:bottom w:val="nil"/>
              <w:right w:val="nil"/>
            </w:tcBorders>
            <w:shd w:val="clear" w:color="auto" w:fill="auto"/>
            <w:noWrap/>
            <w:vAlign w:val="center"/>
            <w:hideMark/>
          </w:tcPr>
          <w:p w14:paraId="5D111905"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-38.03</w:t>
            </w:r>
          </w:p>
        </w:tc>
        <w:tc>
          <w:tcPr>
            <w:tcW w:w="403" w:type="dxa"/>
            <w:tcBorders>
              <w:top w:val="nil"/>
              <w:left w:val="nil"/>
              <w:bottom w:val="nil"/>
              <w:right w:val="nil"/>
            </w:tcBorders>
            <w:shd w:val="clear" w:color="auto" w:fill="auto"/>
            <w:noWrap/>
            <w:vAlign w:val="center"/>
            <w:hideMark/>
          </w:tcPr>
          <w:p w14:paraId="73F9AC7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4C5AD874"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-14.32</w:t>
            </w:r>
          </w:p>
        </w:tc>
        <w:tc>
          <w:tcPr>
            <w:tcW w:w="403" w:type="dxa"/>
            <w:tcBorders>
              <w:top w:val="nil"/>
              <w:left w:val="nil"/>
              <w:bottom w:val="nil"/>
              <w:right w:val="nil"/>
            </w:tcBorders>
            <w:shd w:val="clear" w:color="auto" w:fill="auto"/>
            <w:noWrap/>
            <w:vAlign w:val="center"/>
            <w:hideMark/>
          </w:tcPr>
          <w:p w14:paraId="542EB806"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1F56AEE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-24.60</w:t>
            </w:r>
          </w:p>
        </w:tc>
        <w:tc>
          <w:tcPr>
            <w:tcW w:w="403" w:type="dxa"/>
            <w:tcBorders>
              <w:top w:val="nil"/>
              <w:left w:val="nil"/>
              <w:bottom w:val="nil"/>
              <w:right w:val="nil"/>
            </w:tcBorders>
            <w:shd w:val="clear" w:color="auto" w:fill="auto"/>
            <w:noWrap/>
            <w:vAlign w:val="center"/>
            <w:hideMark/>
          </w:tcPr>
          <w:p w14:paraId="5B7F820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45ACC274"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1,469.82</w:t>
            </w:r>
          </w:p>
        </w:tc>
        <w:tc>
          <w:tcPr>
            <w:tcW w:w="403" w:type="dxa"/>
            <w:tcBorders>
              <w:top w:val="nil"/>
              <w:left w:val="nil"/>
              <w:bottom w:val="nil"/>
              <w:right w:val="nil"/>
            </w:tcBorders>
            <w:shd w:val="clear" w:color="auto" w:fill="auto"/>
            <w:noWrap/>
            <w:vAlign w:val="center"/>
            <w:hideMark/>
          </w:tcPr>
          <w:p w14:paraId="0FACA98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6DF10552"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2,902.02</w:t>
            </w:r>
          </w:p>
        </w:tc>
        <w:tc>
          <w:tcPr>
            <w:tcW w:w="403" w:type="dxa"/>
            <w:tcBorders>
              <w:top w:val="nil"/>
              <w:left w:val="nil"/>
              <w:bottom w:val="nil"/>
              <w:right w:val="nil"/>
            </w:tcBorders>
            <w:shd w:val="clear" w:color="auto" w:fill="auto"/>
            <w:noWrap/>
            <w:vAlign w:val="center"/>
            <w:hideMark/>
          </w:tcPr>
          <w:p w14:paraId="52661419"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6E023507" w14:textId="77777777" w:rsidTr="001648F6">
        <w:trPr>
          <w:trHeight w:hRule="exact" w:val="288"/>
        </w:trPr>
        <w:tc>
          <w:tcPr>
            <w:tcW w:w="1540" w:type="dxa"/>
            <w:tcBorders>
              <w:top w:val="nil"/>
              <w:left w:val="nil"/>
              <w:bottom w:val="nil"/>
              <w:right w:val="nil"/>
            </w:tcBorders>
            <w:shd w:val="clear" w:color="auto" w:fill="auto"/>
            <w:noWrap/>
            <w:hideMark/>
          </w:tcPr>
          <w:p w14:paraId="6224163B" w14:textId="4E812716"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Per-capita income</w:t>
            </w:r>
          </w:p>
        </w:tc>
        <w:tc>
          <w:tcPr>
            <w:tcW w:w="665" w:type="dxa"/>
            <w:tcBorders>
              <w:top w:val="nil"/>
              <w:left w:val="nil"/>
              <w:bottom w:val="nil"/>
              <w:right w:val="nil"/>
            </w:tcBorders>
            <w:shd w:val="clear" w:color="auto" w:fill="auto"/>
            <w:noWrap/>
            <w:vAlign w:val="center"/>
            <w:hideMark/>
          </w:tcPr>
          <w:p w14:paraId="1D75C9CD"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-27.77</w:t>
            </w:r>
          </w:p>
        </w:tc>
        <w:tc>
          <w:tcPr>
            <w:tcW w:w="403" w:type="dxa"/>
            <w:tcBorders>
              <w:top w:val="nil"/>
              <w:left w:val="nil"/>
              <w:bottom w:val="nil"/>
              <w:right w:val="nil"/>
            </w:tcBorders>
            <w:shd w:val="clear" w:color="auto" w:fill="auto"/>
            <w:noWrap/>
            <w:vAlign w:val="center"/>
            <w:hideMark/>
          </w:tcPr>
          <w:p w14:paraId="4ACB7452"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7A3A462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-10.30</w:t>
            </w:r>
          </w:p>
        </w:tc>
        <w:tc>
          <w:tcPr>
            <w:tcW w:w="403" w:type="dxa"/>
            <w:tcBorders>
              <w:top w:val="nil"/>
              <w:left w:val="nil"/>
              <w:bottom w:val="nil"/>
              <w:right w:val="nil"/>
            </w:tcBorders>
            <w:shd w:val="clear" w:color="auto" w:fill="auto"/>
            <w:noWrap/>
            <w:vAlign w:val="center"/>
            <w:hideMark/>
          </w:tcPr>
          <w:p w14:paraId="28A13FC0"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4D17619F"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-11.77</w:t>
            </w:r>
          </w:p>
        </w:tc>
        <w:tc>
          <w:tcPr>
            <w:tcW w:w="403" w:type="dxa"/>
            <w:tcBorders>
              <w:top w:val="nil"/>
              <w:left w:val="nil"/>
              <w:bottom w:val="nil"/>
              <w:right w:val="nil"/>
            </w:tcBorders>
            <w:shd w:val="clear" w:color="auto" w:fill="auto"/>
            <w:noWrap/>
            <w:vAlign w:val="center"/>
            <w:hideMark/>
          </w:tcPr>
          <w:p w14:paraId="1508E56F"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1156908B"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787.13</w:t>
            </w:r>
          </w:p>
        </w:tc>
        <w:tc>
          <w:tcPr>
            <w:tcW w:w="403" w:type="dxa"/>
            <w:tcBorders>
              <w:top w:val="nil"/>
              <w:left w:val="nil"/>
              <w:bottom w:val="nil"/>
              <w:right w:val="nil"/>
            </w:tcBorders>
            <w:shd w:val="clear" w:color="auto" w:fill="auto"/>
            <w:noWrap/>
            <w:vAlign w:val="center"/>
            <w:hideMark/>
          </w:tcPr>
          <w:p w14:paraId="40F3E755"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67FE829D"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1,267.53</w:t>
            </w:r>
          </w:p>
        </w:tc>
        <w:tc>
          <w:tcPr>
            <w:tcW w:w="403" w:type="dxa"/>
            <w:tcBorders>
              <w:top w:val="nil"/>
              <w:left w:val="nil"/>
              <w:bottom w:val="nil"/>
              <w:right w:val="nil"/>
            </w:tcBorders>
            <w:shd w:val="clear" w:color="auto" w:fill="auto"/>
            <w:noWrap/>
            <w:vAlign w:val="center"/>
            <w:hideMark/>
          </w:tcPr>
          <w:p w14:paraId="29E5BFF7"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11C15FD2" w14:textId="77777777" w:rsidTr="001648F6">
        <w:trPr>
          <w:trHeight w:hRule="exact" w:val="288"/>
        </w:trPr>
        <w:tc>
          <w:tcPr>
            <w:tcW w:w="1540" w:type="dxa"/>
            <w:tcBorders>
              <w:top w:val="nil"/>
              <w:left w:val="nil"/>
              <w:bottom w:val="nil"/>
              <w:right w:val="nil"/>
            </w:tcBorders>
            <w:shd w:val="clear" w:color="auto" w:fill="auto"/>
            <w:noWrap/>
            <w:hideMark/>
          </w:tcPr>
          <w:p w14:paraId="65B946A0" w14:textId="6A9E39DA"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 xml:space="preserve">FI Depth </w:t>
            </w:r>
          </w:p>
        </w:tc>
        <w:tc>
          <w:tcPr>
            <w:tcW w:w="665" w:type="dxa"/>
            <w:tcBorders>
              <w:top w:val="nil"/>
              <w:left w:val="nil"/>
              <w:bottom w:val="nil"/>
              <w:right w:val="nil"/>
            </w:tcBorders>
            <w:shd w:val="clear" w:color="auto" w:fill="auto"/>
            <w:noWrap/>
            <w:vAlign w:val="center"/>
            <w:hideMark/>
          </w:tcPr>
          <w:p w14:paraId="0FD7565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-34.71</w:t>
            </w:r>
          </w:p>
        </w:tc>
        <w:tc>
          <w:tcPr>
            <w:tcW w:w="403" w:type="dxa"/>
            <w:tcBorders>
              <w:top w:val="nil"/>
              <w:left w:val="nil"/>
              <w:bottom w:val="nil"/>
              <w:right w:val="nil"/>
            </w:tcBorders>
            <w:shd w:val="clear" w:color="auto" w:fill="auto"/>
            <w:noWrap/>
            <w:vAlign w:val="center"/>
            <w:hideMark/>
          </w:tcPr>
          <w:p w14:paraId="53184F3A"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66A43511"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-17.29</w:t>
            </w:r>
          </w:p>
        </w:tc>
        <w:tc>
          <w:tcPr>
            <w:tcW w:w="403" w:type="dxa"/>
            <w:tcBorders>
              <w:top w:val="nil"/>
              <w:left w:val="nil"/>
              <w:bottom w:val="nil"/>
              <w:right w:val="nil"/>
            </w:tcBorders>
            <w:shd w:val="clear" w:color="auto" w:fill="auto"/>
            <w:noWrap/>
            <w:vAlign w:val="center"/>
            <w:hideMark/>
          </w:tcPr>
          <w:p w14:paraId="4494B494"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17E05EB8"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-22.12</w:t>
            </w:r>
          </w:p>
        </w:tc>
        <w:tc>
          <w:tcPr>
            <w:tcW w:w="403" w:type="dxa"/>
            <w:tcBorders>
              <w:top w:val="nil"/>
              <w:left w:val="nil"/>
              <w:bottom w:val="nil"/>
              <w:right w:val="nil"/>
            </w:tcBorders>
            <w:shd w:val="clear" w:color="auto" w:fill="auto"/>
            <w:noWrap/>
            <w:vAlign w:val="center"/>
            <w:hideMark/>
          </w:tcPr>
          <w:p w14:paraId="159E813A"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7CD0536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1,301.70</w:t>
            </w:r>
          </w:p>
        </w:tc>
        <w:tc>
          <w:tcPr>
            <w:tcW w:w="403" w:type="dxa"/>
            <w:tcBorders>
              <w:top w:val="nil"/>
              <w:left w:val="nil"/>
              <w:bottom w:val="nil"/>
              <w:right w:val="nil"/>
            </w:tcBorders>
            <w:shd w:val="clear" w:color="auto" w:fill="auto"/>
            <w:noWrap/>
            <w:vAlign w:val="center"/>
            <w:hideMark/>
          </w:tcPr>
          <w:p w14:paraId="5F1B8AC0"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3EA6D1C6"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2,145.87</w:t>
            </w:r>
          </w:p>
        </w:tc>
        <w:tc>
          <w:tcPr>
            <w:tcW w:w="403" w:type="dxa"/>
            <w:tcBorders>
              <w:top w:val="nil"/>
              <w:left w:val="nil"/>
              <w:bottom w:val="nil"/>
              <w:right w:val="nil"/>
            </w:tcBorders>
            <w:shd w:val="clear" w:color="auto" w:fill="auto"/>
            <w:noWrap/>
            <w:vAlign w:val="center"/>
            <w:hideMark/>
          </w:tcPr>
          <w:p w14:paraId="20CA7398"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60722F45" w14:textId="77777777" w:rsidTr="001648F6">
        <w:trPr>
          <w:trHeight w:hRule="exact" w:val="288"/>
        </w:trPr>
        <w:tc>
          <w:tcPr>
            <w:tcW w:w="1540" w:type="dxa"/>
            <w:tcBorders>
              <w:top w:val="nil"/>
              <w:left w:val="nil"/>
              <w:bottom w:val="nil"/>
              <w:right w:val="nil"/>
            </w:tcBorders>
            <w:shd w:val="clear" w:color="auto" w:fill="auto"/>
            <w:noWrap/>
            <w:hideMark/>
          </w:tcPr>
          <w:p w14:paraId="4285A759" w14:textId="4D3A33B0"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FI Access</w:t>
            </w:r>
          </w:p>
        </w:tc>
        <w:tc>
          <w:tcPr>
            <w:tcW w:w="665" w:type="dxa"/>
            <w:tcBorders>
              <w:top w:val="nil"/>
              <w:left w:val="nil"/>
              <w:bottom w:val="nil"/>
              <w:right w:val="nil"/>
            </w:tcBorders>
            <w:shd w:val="clear" w:color="auto" w:fill="auto"/>
            <w:noWrap/>
            <w:vAlign w:val="center"/>
            <w:hideMark/>
          </w:tcPr>
          <w:p w14:paraId="1C71D3AE"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-27.58</w:t>
            </w:r>
          </w:p>
        </w:tc>
        <w:tc>
          <w:tcPr>
            <w:tcW w:w="403" w:type="dxa"/>
            <w:tcBorders>
              <w:top w:val="nil"/>
              <w:left w:val="nil"/>
              <w:bottom w:val="nil"/>
              <w:right w:val="nil"/>
            </w:tcBorders>
            <w:shd w:val="clear" w:color="auto" w:fill="auto"/>
            <w:noWrap/>
            <w:vAlign w:val="center"/>
            <w:hideMark/>
          </w:tcPr>
          <w:p w14:paraId="55D28596"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085BC15C"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-11.23</w:t>
            </w:r>
          </w:p>
        </w:tc>
        <w:tc>
          <w:tcPr>
            <w:tcW w:w="403" w:type="dxa"/>
            <w:tcBorders>
              <w:top w:val="nil"/>
              <w:left w:val="nil"/>
              <w:bottom w:val="nil"/>
              <w:right w:val="nil"/>
            </w:tcBorders>
            <w:shd w:val="clear" w:color="auto" w:fill="auto"/>
            <w:noWrap/>
            <w:vAlign w:val="center"/>
            <w:hideMark/>
          </w:tcPr>
          <w:p w14:paraId="43158F2F"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2D22D0B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-11.10</w:t>
            </w:r>
          </w:p>
        </w:tc>
        <w:tc>
          <w:tcPr>
            <w:tcW w:w="403" w:type="dxa"/>
            <w:tcBorders>
              <w:top w:val="nil"/>
              <w:left w:val="nil"/>
              <w:bottom w:val="nil"/>
              <w:right w:val="nil"/>
            </w:tcBorders>
            <w:shd w:val="clear" w:color="auto" w:fill="auto"/>
            <w:noWrap/>
            <w:vAlign w:val="center"/>
            <w:hideMark/>
          </w:tcPr>
          <w:p w14:paraId="2BAE0A19"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4EC62019"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720.64</w:t>
            </w:r>
          </w:p>
        </w:tc>
        <w:tc>
          <w:tcPr>
            <w:tcW w:w="403" w:type="dxa"/>
            <w:tcBorders>
              <w:top w:val="nil"/>
              <w:left w:val="nil"/>
              <w:bottom w:val="nil"/>
              <w:right w:val="nil"/>
            </w:tcBorders>
            <w:shd w:val="clear" w:color="auto" w:fill="auto"/>
            <w:noWrap/>
            <w:vAlign w:val="center"/>
            <w:hideMark/>
          </w:tcPr>
          <w:p w14:paraId="21CA2FB5"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6494F75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1,601.06</w:t>
            </w:r>
          </w:p>
        </w:tc>
        <w:tc>
          <w:tcPr>
            <w:tcW w:w="403" w:type="dxa"/>
            <w:tcBorders>
              <w:top w:val="nil"/>
              <w:left w:val="nil"/>
              <w:bottom w:val="nil"/>
              <w:right w:val="nil"/>
            </w:tcBorders>
            <w:shd w:val="clear" w:color="auto" w:fill="auto"/>
            <w:noWrap/>
            <w:vAlign w:val="center"/>
            <w:hideMark/>
          </w:tcPr>
          <w:p w14:paraId="41E0999F"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063B4717" w14:textId="77777777" w:rsidTr="001648F6">
        <w:trPr>
          <w:trHeight w:hRule="exact" w:val="288"/>
        </w:trPr>
        <w:tc>
          <w:tcPr>
            <w:tcW w:w="1540" w:type="dxa"/>
            <w:tcBorders>
              <w:top w:val="nil"/>
              <w:left w:val="nil"/>
              <w:bottom w:val="nil"/>
              <w:right w:val="nil"/>
            </w:tcBorders>
            <w:shd w:val="clear" w:color="auto" w:fill="auto"/>
            <w:noWrap/>
            <w:hideMark/>
          </w:tcPr>
          <w:p w14:paraId="178C40FC" w14:textId="709E5675"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FI Efficiency</w:t>
            </w:r>
          </w:p>
        </w:tc>
        <w:tc>
          <w:tcPr>
            <w:tcW w:w="665" w:type="dxa"/>
            <w:tcBorders>
              <w:top w:val="nil"/>
              <w:left w:val="nil"/>
              <w:bottom w:val="nil"/>
              <w:right w:val="nil"/>
            </w:tcBorders>
            <w:shd w:val="clear" w:color="auto" w:fill="auto"/>
            <w:noWrap/>
            <w:vAlign w:val="center"/>
            <w:hideMark/>
          </w:tcPr>
          <w:p w14:paraId="7AA5D1FE"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-47.80</w:t>
            </w:r>
          </w:p>
        </w:tc>
        <w:tc>
          <w:tcPr>
            <w:tcW w:w="403" w:type="dxa"/>
            <w:tcBorders>
              <w:top w:val="nil"/>
              <w:left w:val="nil"/>
              <w:bottom w:val="nil"/>
              <w:right w:val="nil"/>
            </w:tcBorders>
            <w:shd w:val="clear" w:color="auto" w:fill="auto"/>
            <w:noWrap/>
            <w:vAlign w:val="center"/>
            <w:hideMark/>
          </w:tcPr>
          <w:p w14:paraId="4676044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388F976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-17.46</w:t>
            </w:r>
          </w:p>
        </w:tc>
        <w:tc>
          <w:tcPr>
            <w:tcW w:w="403" w:type="dxa"/>
            <w:tcBorders>
              <w:top w:val="nil"/>
              <w:left w:val="nil"/>
              <w:bottom w:val="nil"/>
              <w:right w:val="nil"/>
            </w:tcBorders>
            <w:shd w:val="clear" w:color="auto" w:fill="auto"/>
            <w:noWrap/>
            <w:vAlign w:val="center"/>
            <w:hideMark/>
          </w:tcPr>
          <w:p w14:paraId="77AF0774"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10BDD538"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-29.83</w:t>
            </w:r>
          </w:p>
        </w:tc>
        <w:tc>
          <w:tcPr>
            <w:tcW w:w="403" w:type="dxa"/>
            <w:tcBorders>
              <w:top w:val="nil"/>
              <w:left w:val="nil"/>
              <w:bottom w:val="nil"/>
              <w:right w:val="nil"/>
            </w:tcBorders>
            <w:shd w:val="clear" w:color="auto" w:fill="auto"/>
            <w:noWrap/>
            <w:vAlign w:val="center"/>
            <w:hideMark/>
          </w:tcPr>
          <w:p w14:paraId="5DA9845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4B478E0B"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1,837.37</w:t>
            </w:r>
          </w:p>
        </w:tc>
        <w:tc>
          <w:tcPr>
            <w:tcW w:w="403" w:type="dxa"/>
            <w:tcBorders>
              <w:top w:val="nil"/>
              <w:left w:val="nil"/>
              <w:bottom w:val="nil"/>
              <w:right w:val="nil"/>
            </w:tcBorders>
            <w:shd w:val="clear" w:color="auto" w:fill="auto"/>
            <w:noWrap/>
            <w:vAlign w:val="center"/>
            <w:hideMark/>
          </w:tcPr>
          <w:p w14:paraId="132126EC"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79DEE6ED"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3,956.80</w:t>
            </w:r>
          </w:p>
        </w:tc>
        <w:tc>
          <w:tcPr>
            <w:tcW w:w="403" w:type="dxa"/>
            <w:tcBorders>
              <w:top w:val="nil"/>
              <w:left w:val="nil"/>
              <w:bottom w:val="nil"/>
              <w:right w:val="nil"/>
            </w:tcBorders>
            <w:shd w:val="clear" w:color="auto" w:fill="auto"/>
            <w:noWrap/>
            <w:vAlign w:val="center"/>
            <w:hideMark/>
          </w:tcPr>
          <w:p w14:paraId="774DFEF7"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049E1A89" w14:textId="77777777" w:rsidTr="001648F6">
        <w:trPr>
          <w:trHeight w:hRule="exact" w:val="288"/>
        </w:trPr>
        <w:tc>
          <w:tcPr>
            <w:tcW w:w="1540" w:type="dxa"/>
            <w:tcBorders>
              <w:top w:val="nil"/>
              <w:left w:val="nil"/>
              <w:bottom w:val="nil"/>
              <w:right w:val="nil"/>
            </w:tcBorders>
            <w:shd w:val="clear" w:color="auto" w:fill="auto"/>
            <w:noWrap/>
            <w:hideMark/>
          </w:tcPr>
          <w:p w14:paraId="2B22EC7D" w14:textId="7581AAA3"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lastRenderedPageBreak/>
              <w:t xml:space="preserve">FI Dev </w:t>
            </w:r>
          </w:p>
        </w:tc>
        <w:tc>
          <w:tcPr>
            <w:tcW w:w="665" w:type="dxa"/>
            <w:tcBorders>
              <w:top w:val="nil"/>
              <w:left w:val="nil"/>
              <w:bottom w:val="nil"/>
              <w:right w:val="nil"/>
            </w:tcBorders>
            <w:shd w:val="clear" w:color="auto" w:fill="auto"/>
            <w:noWrap/>
            <w:vAlign w:val="center"/>
            <w:hideMark/>
          </w:tcPr>
          <w:p w14:paraId="75D7348C"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-40.17</w:t>
            </w:r>
          </w:p>
        </w:tc>
        <w:tc>
          <w:tcPr>
            <w:tcW w:w="403" w:type="dxa"/>
            <w:tcBorders>
              <w:top w:val="nil"/>
              <w:left w:val="nil"/>
              <w:bottom w:val="nil"/>
              <w:right w:val="nil"/>
            </w:tcBorders>
            <w:shd w:val="clear" w:color="auto" w:fill="auto"/>
            <w:noWrap/>
            <w:vAlign w:val="center"/>
            <w:hideMark/>
          </w:tcPr>
          <w:p w14:paraId="5C07E774"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36472C1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-17.62</w:t>
            </w:r>
          </w:p>
        </w:tc>
        <w:tc>
          <w:tcPr>
            <w:tcW w:w="403" w:type="dxa"/>
            <w:tcBorders>
              <w:top w:val="nil"/>
              <w:left w:val="nil"/>
              <w:bottom w:val="nil"/>
              <w:right w:val="nil"/>
            </w:tcBorders>
            <w:shd w:val="clear" w:color="auto" w:fill="auto"/>
            <w:noWrap/>
            <w:vAlign w:val="center"/>
            <w:hideMark/>
          </w:tcPr>
          <w:p w14:paraId="6372B40F"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4272978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-23.26</w:t>
            </w:r>
          </w:p>
        </w:tc>
        <w:tc>
          <w:tcPr>
            <w:tcW w:w="403" w:type="dxa"/>
            <w:tcBorders>
              <w:top w:val="nil"/>
              <w:left w:val="nil"/>
              <w:bottom w:val="nil"/>
              <w:right w:val="nil"/>
            </w:tcBorders>
            <w:shd w:val="clear" w:color="auto" w:fill="auto"/>
            <w:noWrap/>
            <w:vAlign w:val="center"/>
            <w:hideMark/>
          </w:tcPr>
          <w:p w14:paraId="412B644A"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38B353B5"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1,379.34</w:t>
            </w:r>
          </w:p>
        </w:tc>
        <w:tc>
          <w:tcPr>
            <w:tcW w:w="403" w:type="dxa"/>
            <w:tcBorders>
              <w:top w:val="nil"/>
              <w:left w:val="nil"/>
              <w:bottom w:val="nil"/>
              <w:right w:val="nil"/>
            </w:tcBorders>
            <w:shd w:val="clear" w:color="auto" w:fill="auto"/>
            <w:noWrap/>
            <w:vAlign w:val="center"/>
            <w:hideMark/>
          </w:tcPr>
          <w:p w14:paraId="529F2503"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3E5BD14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3,190.01</w:t>
            </w:r>
          </w:p>
        </w:tc>
        <w:tc>
          <w:tcPr>
            <w:tcW w:w="403" w:type="dxa"/>
            <w:tcBorders>
              <w:top w:val="nil"/>
              <w:left w:val="nil"/>
              <w:bottom w:val="nil"/>
              <w:right w:val="nil"/>
            </w:tcBorders>
            <w:shd w:val="clear" w:color="auto" w:fill="auto"/>
            <w:noWrap/>
            <w:vAlign w:val="center"/>
            <w:hideMark/>
          </w:tcPr>
          <w:p w14:paraId="6377C3C4"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039663AA" w14:textId="77777777" w:rsidTr="001648F6">
        <w:trPr>
          <w:trHeight w:hRule="exact" w:val="288"/>
        </w:trPr>
        <w:tc>
          <w:tcPr>
            <w:tcW w:w="1540" w:type="dxa"/>
            <w:tcBorders>
              <w:top w:val="nil"/>
              <w:left w:val="nil"/>
              <w:bottom w:val="nil"/>
              <w:right w:val="nil"/>
            </w:tcBorders>
            <w:shd w:val="clear" w:color="auto" w:fill="auto"/>
            <w:noWrap/>
            <w:hideMark/>
          </w:tcPr>
          <w:p w14:paraId="406CB590" w14:textId="59E9058B"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FM Dev</w:t>
            </w:r>
          </w:p>
        </w:tc>
        <w:tc>
          <w:tcPr>
            <w:tcW w:w="665" w:type="dxa"/>
            <w:tcBorders>
              <w:top w:val="nil"/>
              <w:left w:val="nil"/>
              <w:bottom w:val="nil"/>
              <w:right w:val="nil"/>
            </w:tcBorders>
            <w:shd w:val="clear" w:color="auto" w:fill="auto"/>
            <w:noWrap/>
            <w:vAlign w:val="center"/>
            <w:hideMark/>
          </w:tcPr>
          <w:p w14:paraId="257E2D35"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-40.27</w:t>
            </w:r>
          </w:p>
        </w:tc>
        <w:tc>
          <w:tcPr>
            <w:tcW w:w="403" w:type="dxa"/>
            <w:tcBorders>
              <w:top w:val="nil"/>
              <w:left w:val="nil"/>
              <w:bottom w:val="nil"/>
              <w:right w:val="nil"/>
            </w:tcBorders>
            <w:shd w:val="clear" w:color="auto" w:fill="auto"/>
            <w:noWrap/>
            <w:vAlign w:val="center"/>
            <w:hideMark/>
          </w:tcPr>
          <w:p w14:paraId="74990033"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2CA99C57"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-13.00</w:t>
            </w:r>
          </w:p>
        </w:tc>
        <w:tc>
          <w:tcPr>
            <w:tcW w:w="403" w:type="dxa"/>
            <w:tcBorders>
              <w:top w:val="nil"/>
              <w:left w:val="nil"/>
              <w:bottom w:val="nil"/>
              <w:right w:val="nil"/>
            </w:tcBorders>
            <w:shd w:val="clear" w:color="auto" w:fill="auto"/>
            <w:noWrap/>
            <w:vAlign w:val="center"/>
            <w:hideMark/>
          </w:tcPr>
          <w:p w14:paraId="01DF7A2B"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755E7ED0"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-25.33</w:t>
            </w:r>
          </w:p>
        </w:tc>
        <w:tc>
          <w:tcPr>
            <w:tcW w:w="403" w:type="dxa"/>
            <w:tcBorders>
              <w:top w:val="nil"/>
              <w:left w:val="nil"/>
              <w:bottom w:val="nil"/>
              <w:right w:val="nil"/>
            </w:tcBorders>
            <w:shd w:val="clear" w:color="auto" w:fill="auto"/>
            <w:noWrap/>
            <w:vAlign w:val="center"/>
            <w:hideMark/>
          </w:tcPr>
          <w:p w14:paraId="4533DE70"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71E9363E"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1,526.86</w:t>
            </w:r>
          </w:p>
        </w:tc>
        <w:tc>
          <w:tcPr>
            <w:tcW w:w="403" w:type="dxa"/>
            <w:tcBorders>
              <w:top w:val="nil"/>
              <w:left w:val="nil"/>
              <w:bottom w:val="nil"/>
              <w:right w:val="nil"/>
            </w:tcBorders>
            <w:shd w:val="clear" w:color="auto" w:fill="auto"/>
            <w:noWrap/>
            <w:vAlign w:val="center"/>
            <w:hideMark/>
          </w:tcPr>
          <w:p w14:paraId="1AD2D446"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25263CB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2,812.81</w:t>
            </w:r>
          </w:p>
        </w:tc>
        <w:tc>
          <w:tcPr>
            <w:tcW w:w="403" w:type="dxa"/>
            <w:tcBorders>
              <w:top w:val="nil"/>
              <w:left w:val="nil"/>
              <w:bottom w:val="nil"/>
              <w:right w:val="nil"/>
            </w:tcBorders>
            <w:shd w:val="clear" w:color="auto" w:fill="auto"/>
            <w:noWrap/>
            <w:vAlign w:val="center"/>
            <w:hideMark/>
          </w:tcPr>
          <w:p w14:paraId="46F36C81"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4D0C5262" w14:textId="77777777" w:rsidTr="001648F6">
        <w:trPr>
          <w:trHeight w:hRule="exact" w:val="288"/>
        </w:trPr>
        <w:tc>
          <w:tcPr>
            <w:tcW w:w="1540" w:type="dxa"/>
            <w:tcBorders>
              <w:top w:val="nil"/>
              <w:left w:val="nil"/>
              <w:bottom w:val="single" w:sz="4" w:space="0" w:color="auto"/>
              <w:right w:val="nil"/>
            </w:tcBorders>
            <w:shd w:val="clear" w:color="auto" w:fill="auto"/>
            <w:noWrap/>
            <w:hideMark/>
          </w:tcPr>
          <w:p w14:paraId="3B7A1938" w14:textId="552B513F"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i/>
                <w:iCs/>
                <w:sz w:val="18"/>
                <w:szCs w:val="18"/>
                <w:lang w:eastAsia="en-AU"/>
              </w:rPr>
              <w:t>Financial Dev</w:t>
            </w:r>
          </w:p>
        </w:tc>
        <w:tc>
          <w:tcPr>
            <w:tcW w:w="665" w:type="dxa"/>
            <w:tcBorders>
              <w:top w:val="nil"/>
              <w:left w:val="nil"/>
              <w:bottom w:val="nil"/>
              <w:right w:val="nil"/>
            </w:tcBorders>
            <w:shd w:val="clear" w:color="auto" w:fill="auto"/>
            <w:noWrap/>
            <w:vAlign w:val="center"/>
            <w:hideMark/>
          </w:tcPr>
          <w:p w14:paraId="5626567B"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-41.24</w:t>
            </w:r>
          </w:p>
        </w:tc>
        <w:tc>
          <w:tcPr>
            <w:tcW w:w="403" w:type="dxa"/>
            <w:tcBorders>
              <w:top w:val="nil"/>
              <w:left w:val="nil"/>
              <w:bottom w:val="nil"/>
              <w:right w:val="nil"/>
            </w:tcBorders>
            <w:shd w:val="clear" w:color="auto" w:fill="auto"/>
            <w:noWrap/>
            <w:vAlign w:val="center"/>
            <w:hideMark/>
          </w:tcPr>
          <w:p w14:paraId="17D07E0F"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3480C2F7"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-16.30</w:t>
            </w:r>
          </w:p>
        </w:tc>
        <w:tc>
          <w:tcPr>
            <w:tcW w:w="403" w:type="dxa"/>
            <w:tcBorders>
              <w:top w:val="nil"/>
              <w:left w:val="nil"/>
              <w:bottom w:val="nil"/>
              <w:right w:val="nil"/>
            </w:tcBorders>
            <w:shd w:val="clear" w:color="auto" w:fill="auto"/>
            <w:noWrap/>
            <w:vAlign w:val="center"/>
            <w:hideMark/>
          </w:tcPr>
          <w:p w14:paraId="4AC45C71"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65" w:type="dxa"/>
            <w:tcBorders>
              <w:top w:val="nil"/>
              <w:left w:val="nil"/>
              <w:bottom w:val="nil"/>
              <w:right w:val="nil"/>
            </w:tcBorders>
            <w:shd w:val="clear" w:color="auto" w:fill="auto"/>
            <w:noWrap/>
            <w:vAlign w:val="center"/>
            <w:hideMark/>
          </w:tcPr>
          <w:p w14:paraId="6A1B254D"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-24.80</w:t>
            </w:r>
          </w:p>
        </w:tc>
        <w:tc>
          <w:tcPr>
            <w:tcW w:w="403" w:type="dxa"/>
            <w:tcBorders>
              <w:top w:val="nil"/>
              <w:left w:val="nil"/>
              <w:bottom w:val="nil"/>
              <w:right w:val="nil"/>
            </w:tcBorders>
            <w:shd w:val="clear" w:color="auto" w:fill="auto"/>
            <w:noWrap/>
            <w:vAlign w:val="center"/>
            <w:hideMark/>
          </w:tcPr>
          <w:p w14:paraId="2E72FB67"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0C235EA3"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1,489.74</w:t>
            </w:r>
          </w:p>
        </w:tc>
        <w:tc>
          <w:tcPr>
            <w:tcW w:w="403" w:type="dxa"/>
            <w:tcBorders>
              <w:top w:val="nil"/>
              <w:left w:val="nil"/>
              <w:bottom w:val="nil"/>
              <w:right w:val="nil"/>
            </w:tcBorders>
            <w:shd w:val="clear" w:color="auto" w:fill="auto"/>
            <w:noWrap/>
            <w:vAlign w:val="center"/>
            <w:hideMark/>
          </w:tcPr>
          <w:p w14:paraId="43F239E1"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886" w:type="dxa"/>
            <w:tcBorders>
              <w:top w:val="nil"/>
              <w:left w:val="nil"/>
              <w:bottom w:val="nil"/>
              <w:right w:val="nil"/>
            </w:tcBorders>
            <w:shd w:val="clear" w:color="auto" w:fill="auto"/>
            <w:noWrap/>
            <w:vAlign w:val="center"/>
            <w:hideMark/>
          </w:tcPr>
          <w:p w14:paraId="3EA33C16" w14:textId="77777777" w:rsidR="00C94A34" w:rsidRPr="00802F1A" w:rsidRDefault="00C94A34" w:rsidP="00C94A34">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3,296.80</w:t>
            </w:r>
          </w:p>
        </w:tc>
        <w:tc>
          <w:tcPr>
            <w:tcW w:w="403" w:type="dxa"/>
            <w:tcBorders>
              <w:top w:val="nil"/>
              <w:left w:val="nil"/>
              <w:bottom w:val="nil"/>
              <w:right w:val="nil"/>
            </w:tcBorders>
            <w:shd w:val="clear" w:color="auto" w:fill="auto"/>
            <w:noWrap/>
            <w:vAlign w:val="center"/>
            <w:hideMark/>
          </w:tcPr>
          <w:p w14:paraId="1744FF8C" w14:textId="77777777" w:rsidR="00C94A34" w:rsidRPr="00802F1A" w:rsidRDefault="00C94A34" w:rsidP="00C94A34">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402D5E" w:rsidRPr="00802F1A" w14:paraId="5190B1DE" w14:textId="77777777" w:rsidTr="00402D5E">
        <w:trPr>
          <w:trHeight w:hRule="exact" w:val="288"/>
        </w:trPr>
        <w:tc>
          <w:tcPr>
            <w:tcW w:w="7322" w:type="dxa"/>
            <w:gridSpan w:val="11"/>
            <w:tcBorders>
              <w:top w:val="single" w:sz="4" w:space="0" w:color="auto"/>
              <w:left w:val="nil"/>
              <w:bottom w:val="nil"/>
              <w:right w:val="nil"/>
            </w:tcBorders>
            <w:shd w:val="clear" w:color="auto" w:fill="auto"/>
            <w:hideMark/>
          </w:tcPr>
          <w:p w14:paraId="6CC1601A" w14:textId="77777777" w:rsidR="00402D5E" w:rsidRPr="00802F1A" w:rsidRDefault="00402D5E" w:rsidP="00402D5E">
            <w:pPr>
              <w:spacing w:line="240" w:lineRule="auto"/>
              <w:rPr>
                <w:rFonts w:eastAsia="Times New Roman" w:cs="Times New Roman"/>
                <w:sz w:val="18"/>
                <w:szCs w:val="18"/>
                <w:lang w:eastAsia="en-AU"/>
              </w:rPr>
            </w:pPr>
            <w:r w:rsidRPr="00802F1A">
              <w:rPr>
                <w:rFonts w:eastAsia="Times New Roman" w:cs="Times New Roman"/>
                <w:sz w:val="18"/>
                <w:szCs w:val="18"/>
                <w:lang w:eastAsia="en-AU"/>
              </w:rPr>
              <w:t xml:space="preserve">Note: The null hypothesis is that the series has a unit </w:t>
            </w:r>
            <w:proofErr w:type="gramStart"/>
            <w:r w:rsidRPr="00802F1A">
              <w:rPr>
                <w:rFonts w:eastAsia="Times New Roman" w:cs="Times New Roman"/>
                <w:sz w:val="18"/>
                <w:szCs w:val="18"/>
                <w:lang w:eastAsia="en-AU"/>
              </w:rPr>
              <w:t xml:space="preserve">root;   </w:t>
            </w:r>
            <w:proofErr w:type="gramEnd"/>
            <w:r w:rsidRPr="00802F1A">
              <w:rPr>
                <w:rFonts w:eastAsia="Times New Roman" w:cs="Times New Roman"/>
                <w:sz w:val="18"/>
                <w:szCs w:val="18"/>
                <w:lang w:eastAsia="en-AU"/>
              </w:rPr>
              <w:t>***, ** and *: 1%, 5% and 10% levels of significance, respectively</w:t>
            </w:r>
          </w:p>
        </w:tc>
      </w:tr>
    </w:tbl>
    <w:p w14:paraId="76D4730F" w14:textId="4F4EEE13" w:rsidR="00402D5E" w:rsidRPr="00802F1A" w:rsidRDefault="00402D5E" w:rsidP="002E0E83">
      <w:pPr>
        <w:rPr>
          <w:rFonts w:cs="Times New Roman"/>
          <w:sz w:val="22"/>
          <w:lang w:val="en-US"/>
        </w:rPr>
      </w:pPr>
    </w:p>
    <w:p w14:paraId="3FEE1607" w14:textId="36CE6112" w:rsidR="006D7872" w:rsidRPr="00802F1A" w:rsidRDefault="006D2203" w:rsidP="002E0E83">
      <w:pPr>
        <w:rPr>
          <w:rFonts w:cs="Times New Roman"/>
          <w:sz w:val="22"/>
          <w:lang w:val="en-US"/>
        </w:rPr>
      </w:pPr>
      <w:r w:rsidRPr="00802F1A">
        <w:rPr>
          <w:rFonts w:cs="Times New Roman"/>
          <w:sz w:val="22"/>
          <w:lang w:val="en-US"/>
        </w:rPr>
        <w:t xml:space="preserve">Table </w:t>
      </w:r>
      <w:r w:rsidR="00773109" w:rsidRPr="00802F1A">
        <w:rPr>
          <w:rFonts w:cs="Times New Roman"/>
          <w:sz w:val="22"/>
          <w:lang w:val="en-US"/>
        </w:rPr>
        <w:t>6</w:t>
      </w:r>
      <w:r w:rsidRPr="00802F1A">
        <w:rPr>
          <w:rFonts w:cs="Times New Roman"/>
          <w:sz w:val="22"/>
          <w:lang w:val="en-US"/>
        </w:rPr>
        <w:t xml:space="preserve">: </w:t>
      </w:r>
      <w:proofErr w:type="spellStart"/>
      <w:r w:rsidRPr="00802F1A">
        <w:rPr>
          <w:rFonts w:cs="Times New Roman"/>
          <w:sz w:val="22"/>
          <w:lang w:val="en-US"/>
        </w:rPr>
        <w:t>Dumitrescu</w:t>
      </w:r>
      <w:proofErr w:type="spellEnd"/>
      <w:r w:rsidRPr="00802F1A">
        <w:rPr>
          <w:rFonts w:cs="Times New Roman"/>
          <w:sz w:val="22"/>
          <w:lang w:val="en-US"/>
        </w:rPr>
        <w:t xml:space="preserve"> &amp; Hurlin (2012) Granger causality test results (at first difference)</w:t>
      </w:r>
    </w:p>
    <w:tbl>
      <w:tblPr>
        <w:tblW w:w="5260" w:type="dxa"/>
        <w:tblLayout w:type="fixed"/>
        <w:tblCellMar>
          <w:left w:w="0" w:type="dxa"/>
          <w:right w:w="0" w:type="dxa"/>
        </w:tblCellMar>
        <w:tblLook w:val="04A0" w:firstRow="1" w:lastRow="0" w:firstColumn="1" w:lastColumn="0" w:noHBand="0" w:noVBand="1"/>
      </w:tblPr>
      <w:tblGrid>
        <w:gridCol w:w="2520"/>
        <w:gridCol w:w="1340"/>
        <w:gridCol w:w="960"/>
        <w:gridCol w:w="440"/>
      </w:tblGrid>
      <w:tr w:rsidR="00802F1A" w:rsidRPr="00802F1A" w14:paraId="1A26DE7C" w14:textId="77777777" w:rsidTr="00C24537">
        <w:trPr>
          <w:trHeight w:hRule="exact" w:val="245"/>
        </w:trPr>
        <w:tc>
          <w:tcPr>
            <w:tcW w:w="2520" w:type="dxa"/>
            <w:tcBorders>
              <w:top w:val="single" w:sz="4" w:space="0" w:color="auto"/>
              <w:left w:val="nil"/>
              <w:bottom w:val="nil"/>
              <w:right w:val="nil"/>
            </w:tcBorders>
            <w:shd w:val="clear" w:color="auto" w:fill="auto"/>
            <w:noWrap/>
            <w:vAlign w:val="bottom"/>
            <w:hideMark/>
          </w:tcPr>
          <w:p w14:paraId="518328B6" w14:textId="7ACEAE16"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Per-capita income --&gt; Energy HHI</w:t>
            </w:r>
          </w:p>
        </w:tc>
        <w:tc>
          <w:tcPr>
            <w:tcW w:w="1340" w:type="dxa"/>
            <w:tcBorders>
              <w:top w:val="single" w:sz="4" w:space="0" w:color="auto"/>
              <w:left w:val="nil"/>
              <w:bottom w:val="nil"/>
              <w:right w:val="nil"/>
            </w:tcBorders>
            <w:shd w:val="clear" w:color="auto" w:fill="auto"/>
            <w:noWrap/>
            <w:vAlign w:val="bottom"/>
            <w:hideMark/>
          </w:tcPr>
          <w:p w14:paraId="2FBDBAD7" w14:textId="77777777" w:rsidR="002C0956" w:rsidRPr="00802F1A" w:rsidRDefault="002C0956" w:rsidP="002C0956">
            <w:pPr>
              <w:spacing w:line="240" w:lineRule="auto"/>
              <w:rPr>
                <w:rFonts w:eastAsia="Times New Roman" w:cs="Times New Roman"/>
                <w:sz w:val="18"/>
                <w:szCs w:val="18"/>
                <w:lang w:eastAsia="en-AU"/>
              </w:rPr>
            </w:pPr>
            <w:r w:rsidRPr="00802F1A">
              <w:rPr>
                <w:rFonts w:eastAsia="Times New Roman" w:cs="Times New Roman"/>
                <w:sz w:val="18"/>
                <w:szCs w:val="18"/>
                <w:lang w:eastAsia="en-AU"/>
              </w:rPr>
              <w:t> </w:t>
            </w:r>
          </w:p>
        </w:tc>
        <w:tc>
          <w:tcPr>
            <w:tcW w:w="960" w:type="dxa"/>
            <w:tcBorders>
              <w:top w:val="single" w:sz="4" w:space="0" w:color="auto"/>
              <w:left w:val="nil"/>
              <w:bottom w:val="nil"/>
              <w:right w:val="nil"/>
            </w:tcBorders>
            <w:shd w:val="clear" w:color="auto" w:fill="auto"/>
            <w:noWrap/>
            <w:vAlign w:val="center"/>
            <w:hideMark/>
          </w:tcPr>
          <w:p w14:paraId="1CB59317" w14:textId="31274B3C"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6.24</w:t>
            </w:r>
          </w:p>
        </w:tc>
        <w:tc>
          <w:tcPr>
            <w:tcW w:w="440" w:type="dxa"/>
            <w:tcBorders>
              <w:top w:val="single" w:sz="4" w:space="0" w:color="auto"/>
              <w:left w:val="nil"/>
              <w:bottom w:val="nil"/>
              <w:right w:val="nil"/>
            </w:tcBorders>
            <w:shd w:val="clear" w:color="auto" w:fill="auto"/>
            <w:noWrap/>
            <w:vAlign w:val="center"/>
            <w:hideMark/>
          </w:tcPr>
          <w:p w14:paraId="7CD889AE" w14:textId="3E00CADB"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04AA326F" w14:textId="77777777" w:rsidTr="00C24537">
        <w:trPr>
          <w:trHeight w:hRule="exact" w:val="245"/>
        </w:trPr>
        <w:tc>
          <w:tcPr>
            <w:tcW w:w="2520" w:type="dxa"/>
            <w:tcBorders>
              <w:top w:val="nil"/>
              <w:left w:val="nil"/>
              <w:bottom w:val="nil"/>
              <w:right w:val="nil"/>
            </w:tcBorders>
            <w:shd w:val="clear" w:color="auto" w:fill="auto"/>
            <w:noWrap/>
            <w:vAlign w:val="bottom"/>
            <w:hideMark/>
          </w:tcPr>
          <w:p w14:paraId="603201B4" w14:textId="13AAEA70"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Energy HHI --&gt; Per-capita income</w:t>
            </w:r>
          </w:p>
        </w:tc>
        <w:tc>
          <w:tcPr>
            <w:tcW w:w="1340" w:type="dxa"/>
            <w:tcBorders>
              <w:top w:val="nil"/>
              <w:left w:val="nil"/>
              <w:bottom w:val="nil"/>
              <w:right w:val="nil"/>
            </w:tcBorders>
            <w:shd w:val="clear" w:color="auto" w:fill="auto"/>
            <w:noWrap/>
            <w:vAlign w:val="bottom"/>
            <w:hideMark/>
          </w:tcPr>
          <w:p w14:paraId="79783B3E" w14:textId="77777777" w:rsidR="002C0956" w:rsidRPr="00802F1A" w:rsidRDefault="002C0956" w:rsidP="002C0956">
            <w:pPr>
              <w:spacing w:line="240" w:lineRule="auto"/>
              <w:rPr>
                <w:rFonts w:eastAsia="Times New Roman" w:cs="Times New Roman"/>
                <w:sz w:val="18"/>
                <w:szCs w:val="18"/>
                <w:lang w:eastAsia="en-AU"/>
              </w:rPr>
            </w:pPr>
          </w:p>
        </w:tc>
        <w:tc>
          <w:tcPr>
            <w:tcW w:w="960" w:type="dxa"/>
            <w:tcBorders>
              <w:top w:val="nil"/>
              <w:left w:val="nil"/>
              <w:bottom w:val="nil"/>
              <w:right w:val="nil"/>
            </w:tcBorders>
            <w:shd w:val="clear" w:color="auto" w:fill="auto"/>
            <w:noWrap/>
            <w:vAlign w:val="center"/>
            <w:hideMark/>
          </w:tcPr>
          <w:p w14:paraId="1485A619" w14:textId="397A2EE3"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20.21</w:t>
            </w:r>
          </w:p>
        </w:tc>
        <w:tc>
          <w:tcPr>
            <w:tcW w:w="440" w:type="dxa"/>
            <w:tcBorders>
              <w:top w:val="nil"/>
              <w:left w:val="nil"/>
              <w:bottom w:val="nil"/>
              <w:right w:val="nil"/>
            </w:tcBorders>
            <w:shd w:val="clear" w:color="auto" w:fill="auto"/>
            <w:noWrap/>
            <w:vAlign w:val="center"/>
            <w:hideMark/>
          </w:tcPr>
          <w:p w14:paraId="6641C833" w14:textId="145C6404"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5A94E5EC" w14:textId="77777777" w:rsidTr="005655F5">
        <w:trPr>
          <w:trHeight w:hRule="exact" w:val="245"/>
        </w:trPr>
        <w:tc>
          <w:tcPr>
            <w:tcW w:w="3860" w:type="dxa"/>
            <w:gridSpan w:val="2"/>
            <w:tcBorders>
              <w:top w:val="nil"/>
              <w:left w:val="nil"/>
              <w:bottom w:val="nil"/>
              <w:right w:val="nil"/>
            </w:tcBorders>
            <w:shd w:val="clear" w:color="auto" w:fill="auto"/>
            <w:noWrap/>
            <w:vAlign w:val="bottom"/>
            <w:hideMark/>
          </w:tcPr>
          <w:p w14:paraId="105D8101" w14:textId="5864F9D3"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Development --&gt; Energy HHI</w:t>
            </w:r>
          </w:p>
        </w:tc>
        <w:tc>
          <w:tcPr>
            <w:tcW w:w="960" w:type="dxa"/>
            <w:tcBorders>
              <w:top w:val="nil"/>
              <w:left w:val="nil"/>
              <w:bottom w:val="nil"/>
              <w:right w:val="nil"/>
            </w:tcBorders>
            <w:shd w:val="clear" w:color="auto" w:fill="auto"/>
            <w:noWrap/>
            <w:vAlign w:val="bottom"/>
            <w:hideMark/>
          </w:tcPr>
          <w:p w14:paraId="6E2AAB13" w14:textId="77777777" w:rsidR="002C0956" w:rsidRPr="00802F1A" w:rsidRDefault="002C0956" w:rsidP="002C0956">
            <w:pPr>
              <w:spacing w:line="240" w:lineRule="auto"/>
              <w:rPr>
                <w:rFonts w:eastAsia="Times New Roman" w:cs="Times New Roman"/>
                <w:i/>
                <w:iCs/>
                <w:sz w:val="18"/>
                <w:szCs w:val="18"/>
                <w:lang w:eastAsia="en-AU"/>
              </w:rPr>
            </w:pPr>
          </w:p>
        </w:tc>
        <w:tc>
          <w:tcPr>
            <w:tcW w:w="440" w:type="dxa"/>
            <w:tcBorders>
              <w:top w:val="nil"/>
              <w:left w:val="nil"/>
              <w:bottom w:val="nil"/>
              <w:right w:val="nil"/>
            </w:tcBorders>
            <w:shd w:val="clear" w:color="auto" w:fill="auto"/>
            <w:noWrap/>
            <w:vAlign w:val="bottom"/>
            <w:hideMark/>
          </w:tcPr>
          <w:p w14:paraId="75F1DC14" w14:textId="77777777" w:rsidR="002C0956" w:rsidRPr="00802F1A" w:rsidRDefault="002C0956" w:rsidP="002C0956">
            <w:pPr>
              <w:spacing w:line="240" w:lineRule="auto"/>
              <w:rPr>
                <w:rFonts w:eastAsia="Times New Roman" w:cs="Times New Roman"/>
                <w:i/>
                <w:iCs/>
                <w:sz w:val="18"/>
                <w:szCs w:val="18"/>
                <w:lang w:eastAsia="en-AU"/>
              </w:rPr>
            </w:pPr>
          </w:p>
        </w:tc>
      </w:tr>
      <w:tr w:rsidR="00802F1A" w:rsidRPr="00802F1A" w14:paraId="32C79364" w14:textId="77777777" w:rsidTr="00C24537">
        <w:trPr>
          <w:trHeight w:hRule="exact" w:val="245"/>
        </w:trPr>
        <w:tc>
          <w:tcPr>
            <w:tcW w:w="2520" w:type="dxa"/>
            <w:tcBorders>
              <w:top w:val="nil"/>
              <w:left w:val="nil"/>
              <w:bottom w:val="nil"/>
              <w:right w:val="nil"/>
            </w:tcBorders>
            <w:shd w:val="clear" w:color="auto" w:fill="auto"/>
            <w:noWrap/>
            <w:vAlign w:val="bottom"/>
            <w:hideMark/>
          </w:tcPr>
          <w:p w14:paraId="1D4575EA"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0CC94A0F" w14:textId="7BE5F6EA"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Depth</w:t>
            </w:r>
          </w:p>
        </w:tc>
        <w:tc>
          <w:tcPr>
            <w:tcW w:w="960" w:type="dxa"/>
            <w:tcBorders>
              <w:top w:val="nil"/>
              <w:left w:val="nil"/>
              <w:bottom w:val="nil"/>
              <w:right w:val="nil"/>
            </w:tcBorders>
            <w:shd w:val="clear" w:color="auto" w:fill="auto"/>
            <w:noWrap/>
            <w:vAlign w:val="center"/>
            <w:hideMark/>
          </w:tcPr>
          <w:p w14:paraId="212ACFD5" w14:textId="36276215"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15.75</w:t>
            </w:r>
          </w:p>
        </w:tc>
        <w:tc>
          <w:tcPr>
            <w:tcW w:w="440" w:type="dxa"/>
            <w:tcBorders>
              <w:top w:val="nil"/>
              <w:left w:val="nil"/>
              <w:bottom w:val="nil"/>
              <w:right w:val="nil"/>
            </w:tcBorders>
            <w:shd w:val="clear" w:color="auto" w:fill="auto"/>
            <w:noWrap/>
            <w:vAlign w:val="center"/>
            <w:hideMark/>
          </w:tcPr>
          <w:p w14:paraId="0273E291" w14:textId="05A6E6ED"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3A05E732" w14:textId="77777777" w:rsidTr="00C24537">
        <w:trPr>
          <w:trHeight w:hRule="exact" w:val="245"/>
        </w:trPr>
        <w:tc>
          <w:tcPr>
            <w:tcW w:w="2520" w:type="dxa"/>
            <w:tcBorders>
              <w:top w:val="nil"/>
              <w:left w:val="nil"/>
              <w:bottom w:val="nil"/>
              <w:right w:val="nil"/>
            </w:tcBorders>
            <w:shd w:val="clear" w:color="auto" w:fill="auto"/>
            <w:noWrap/>
            <w:vAlign w:val="bottom"/>
            <w:hideMark/>
          </w:tcPr>
          <w:p w14:paraId="2D6E3E72"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795E6118" w14:textId="23626F72"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Access</w:t>
            </w:r>
          </w:p>
        </w:tc>
        <w:tc>
          <w:tcPr>
            <w:tcW w:w="960" w:type="dxa"/>
            <w:tcBorders>
              <w:top w:val="nil"/>
              <w:left w:val="nil"/>
              <w:bottom w:val="nil"/>
              <w:right w:val="nil"/>
            </w:tcBorders>
            <w:shd w:val="clear" w:color="auto" w:fill="auto"/>
            <w:noWrap/>
            <w:vAlign w:val="center"/>
            <w:hideMark/>
          </w:tcPr>
          <w:p w14:paraId="34BFD313" w14:textId="64D4B3A4"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12.38</w:t>
            </w:r>
          </w:p>
        </w:tc>
        <w:tc>
          <w:tcPr>
            <w:tcW w:w="440" w:type="dxa"/>
            <w:tcBorders>
              <w:top w:val="nil"/>
              <w:left w:val="nil"/>
              <w:bottom w:val="nil"/>
              <w:right w:val="nil"/>
            </w:tcBorders>
            <w:shd w:val="clear" w:color="auto" w:fill="auto"/>
            <w:noWrap/>
            <w:vAlign w:val="center"/>
            <w:hideMark/>
          </w:tcPr>
          <w:p w14:paraId="3E115565" w14:textId="4B6EC077"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7971A2D7" w14:textId="77777777" w:rsidTr="00C24537">
        <w:trPr>
          <w:trHeight w:hRule="exact" w:val="245"/>
        </w:trPr>
        <w:tc>
          <w:tcPr>
            <w:tcW w:w="2520" w:type="dxa"/>
            <w:tcBorders>
              <w:top w:val="nil"/>
              <w:left w:val="nil"/>
              <w:bottom w:val="nil"/>
              <w:right w:val="nil"/>
            </w:tcBorders>
            <w:shd w:val="clear" w:color="auto" w:fill="auto"/>
            <w:noWrap/>
            <w:vAlign w:val="bottom"/>
            <w:hideMark/>
          </w:tcPr>
          <w:p w14:paraId="0F834B66"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3AF0408D" w14:textId="3C5D8A25"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Efficiency</w:t>
            </w:r>
          </w:p>
        </w:tc>
        <w:tc>
          <w:tcPr>
            <w:tcW w:w="960" w:type="dxa"/>
            <w:tcBorders>
              <w:top w:val="nil"/>
              <w:left w:val="nil"/>
              <w:bottom w:val="nil"/>
              <w:right w:val="nil"/>
            </w:tcBorders>
            <w:shd w:val="clear" w:color="auto" w:fill="auto"/>
            <w:noWrap/>
            <w:vAlign w:val="center"/>
            <w:hideMark/>
          </w:tcPr>
          <w:p w14:paraId="2DE9396A" w14:textId="43567B05"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12.98</w:t>
            </w:r>
          </w:p>
        </w:tc>
        <w:tc>
          <w:tcPr>
            <w:tcW w:w="440" w:type="dxa"/>
            <w:tcBorders>
              <w:top w:val="nil"/>
              <w:left w:val="nil"/>
              <w:bottom w:val="nil"/>
              <w:right w:val="nil"/>
            </w:tcBorders>
            <w:shd w:val="clear" w:color="auto" w:fill="auto"/>
            <w:noWrap/>
            <w:vAlign w:val="center"/>
            <w:hideMark/>
          </w:tcPr>
          <w:p w14:paraId="674C6954" w14:textId="6E09C327"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428BB9D1" w14:textId="77777777" w:rsidTr="00C24537">
        <w:trPr>
          <w:trHeight w:hRule="exact" w:val="245"/>
        </w:trPr>
        <w:tc>
          <w:tcPr>
            <w:tcW w:w="2520" w:type="dxa"/>
            <w:tcBorders>
              <w:top w:val="nil"/>
              <w:left w:val="nil"/>
              <w:bottom w:val="nil"/>
              <w:right w:val="nil"/>
            </w:tcBorders>
            <w:shd w:val="clear" w:color="auto" w:fill="auto"/>
            <w:noWrap/>
            <w:vAlign w:val="bottom"/>
            <w:hideMark/>
          </w:tcPr>
          <w:p w14:paraId="1780FE74"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4AAE74CB" w14:textId="119E8E4A"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Dev</w:t>
            </w:r>
          </w:p>
        </w:tc>
        <w:tc>
          <w:tcPr>
            <w:tcW w:w="960" w:type="dxa"/>
            <w:tcBorders>
              <w:top w:val="nil"/>
              <w:left w:val="nil"/>
              <w:bottom w:val="nil"/>
              <w:right w:val="nil"/>
            </w:tcBorders>
            <w:shd w:val="clear" w:color="auto" w:fill="auto"/>
            <w:noWrap/>
            <w:vAlign w:val="center"/>
            <w:hideMark/>
          </w:tcPr>
          <w:p w14:paraId="21C3629E" w14:textId="5276FA59"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12.10</w:t>
            </w:r>
          </w:p>
        </w:tc>
        <w:tc>
          <w:tcPr>
            <w:tcW w:w="440" w:type="dxa"/>
            <w:tcBorders>
              <w:top w:val="nil"/>
              <w:left w:val="nil"/>
              <w:bottom w:val="nil"/>
              <w:right w:val="nil"/>
            </w:tcBorders>
            <w:shd w:val="clear" w:color="auto" w:fill="auto"/>
            <w:noWrap/>
            <w:vAlign w:val="center"/>
            <w:hideMark/>
          </w:tcPr>
          <w:p w14:paraId="5FAB1D31" w14:textId="72C18302"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78DE2EBB" w14:textId="77777777" w:rsidTr="00C24537">
        <w:trPr>
          <w:trHeight w:hRule="exact" w:val="245"/>
        </w:trPr>
        <w:tc>
          <w:tcPr>
            <w:tcW w:w="2520" w:type="dxa"/>
            <w:tcBorders>
              <w:top w:val="nil"/>
              <w:left w:val="nil"/>
              <w:bottom w:val="nil"/>
              <w:right w:val="nil"/>
            </w:tcBorders>
            <w:shd w:val="clear" w:color="auto" w:fill="auto"/>
            <w:noWrap/>
            <w:vAlign w:val="bottom"/>
            <w:hideMark/>
          </w:tcPr>
          <w:p w14:paraId="056458AD"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75AA9ED7" w14:textId="1855AF2F"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FM Dev</w:t>
            </w:r>
          </w:p>
        </w:tc>
        <w:tc>
          <w:tcPr>
            <w:tcW w:w="960" w:type="dxa"/>
            <w:tcBorders>
              <w:top w:val="nil"/>
              <w:left w:val="nil"/>
              <w:bottom w:val="nil"/>
              <w:right w:val="nil"/>
            </w:tcBorders>
            <w:shd w:val="clear" w:color="auto" w:fill="auto"/>
            <w:noWrap/>
            <w:vAlign w:val="center"/>
            <w:hideMark/>
          </w:tcPr>
          <w:p w14:paraId="2D9C8E93" w14:textId="19CC37A0"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0.99</w:t>
            </w:r>
          </w:p>
        </w:tc>
        <w:tc>
          <w:tcPr>
            <w:tcW w:w="440" w:type="dxa"/>
            <w:tcBorders>
              <w:top w:val="nil"/>
              <w:left w:val="nil"/>
              <w:bottom w:val="nil"/>
              <w:right w:val="nil"/>
            </w:tcBorders>
            <w:shd w:val="clear" w:color="auto" w:fill="auto"/>
            <w:noWrap/>
            <w:vAlign w:val="center"/>
            <w:hideMark/>
          </w:tcPr>
          <w:p w14:paraId="6A16699A" w14:textId="4A7EBD35" w:rsidR="002C0956" w:rsidRPr="00802F1A" w:rsidRDefault="002C0956" w:rsidP="002C0956">
            <w:pPr>
              <w:spacing w:line="240" w:lineRule="auto"/>
              <w:rPr>
                <w:rFonts w:eastAsia="Times New Roman" w:cs="Times New Roman"/>
                <w:sz w:val="18"/>
                <w:szCs w:val="18"/>
                <w:lang w:eastAsia="en-AU"/>
              </w:rPr>
            </w:pPr>
          </w:p>
        </w:tc>
      </w:tr>
      <w:tr w:rsidR="00802F1A" w:rsidRPr="00802F1A" w14:paraId="14EF2B49" w14:textId="77777777" w:rsidTr="00C24537">
        <w:trPr>
          <w:trHeight w:hRule="exact" w:val="245"/>
        </w:trPr>
        <w:tc>
          <w:tcPr>
            <w:tcW w:w="2520" w:type="dxa"/>
            <w:tcBorders>
              <w:top w:val="nil"/>
              <w:left w:val="nil"/>
              <w:bottom w:val="nil"/>
              <w:right w:val="nil"/>
            </w:tcBorders>
            <w:shd w:val="clear" w:color="auto" w:fill="auto"/>
            <w:noWrap/>
            <w:vAlign w:val="bottom"/>
            <w:hideMark/>
          </w:tcPr>
          <w:p w14:paraId="7EB3AA73"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4D9EFAFB" w14:textId="11E5C815"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w:t>
            </w:r>
          </w:p>
        </w:tc>
        <w:tc>
          <w:tcPr>
            <w:tcW w:w="960" w:type="dxa"/>
            <w:tcBorders>
              <w:top w:val="nil"/>
              <w:left w:val="nil"/>
              <w:bottom w:val="nil"/>
              <w:right w:val="nil"/>
            </w:tcBorders>
            <w:shd w:val="clear" w:color="auto" w:fill="auto"/>
            <w:noWrap/>
            <w:vAlign w:val="center"/>
            <w:hideMark/>
          </w:tcPr>
          <w:p w14:paraId="670F5D1A" w14:textId="184A5FB9"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8.21</w:t>
            </w:r>
          </w:p>
        </w:tc>
        <w:tc>
          <w:tcPr>
            <w:tcW w:w="440" w:type="dxa"/>
            <w:tcBorders>
              <w:top w:val="nil"/>
              <w:left w:val="nil"/>
              <w:bottom w:val="nil"/>
              <w:right w:val="nil"/>
            </w:tcBorders>
            <w:shd w:val="clear" w:color="auto" w:fill="auto"/>
            <w:noWrap/>
            <w:vAlign w:val="center"/>
            <w:hideMark/>
          </w:tcPr>
          <w:p w14:paraId="53739A31" w14:textId="569944E6"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397D333A" w14:textId="77777777" w:rsidTr="005655F5">
        <w:trPr>
          <w:trHeight w:hRule="exact" w:val="245"/>
        </w:trPr>
        <w:tc>
          <w:tcPr>
            <w:tcW w:w="3860" w:type="dxa"/>
            <w:gridSpan w:val="2"/>
            <w:tcBorders>
              <w:top w:val="nil"/>
              <w:left w:val="nil"/>
              <w:bottom w:val="nil"/>
              <w:right w:val="nil"/>
            </w:tcBorders>
            <w:shd w:val="clear" w:color="auto" w:fill="auto"/>
            <w:noWrap/>
            <w:vAlign w:val="bottom"/>
            <w:hideMark/>
          </w:tcPr>
          <w:p w14:paraId="365C4F0F" w14:textId="0C83895D"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Energy HHI --&gt; Financial Development</w:t>
            </w:r>
          </w:p>
        </w:tc>
        <w:tc>
          <w:tcPr>
            <w:tcW w:w="960" w:type="dxa"/>
            <w:tcBorders>
              <w:top w:val="nil"/>
              <w:left w:val="nil"/>
              <w:bottom w:val="nil"/>
              <w:right w:val="nil"/>
            </w:tcBorders>
            <w:shd w:val="clear" w:color="auto" w:fill="auto"/>
            <w:noWrap/>
            <w:vAlign w:val="bottom"/>
            <w:hideMark/>
          </w:tcPr>
          <w:p w14:paraId="0E51CD7E" w14:textId="77777777" w:rsidR="002C0956" w:rsidRPr="00802F1A" w:rsidRDefault="002C0956" w:rsidP="002C0956">
            <w:pPr>
              <w:spacing w:line="240" w:lineRule="auto"/>
              <w:rPr>
                <w:rFonts w:eastAsia="Times New Roman" w:cs="Times New Roman"/>
                <w:i/>
                <w:iCs/>
                <w:sz w:val="18"/>
                <w:szCs w:val="18"/>
                <w:lang w:eastAsia="en-AU"/>
              </w:rPr>
            </w:pPr>
          </w:p>
        </w:tc>
        <w:tc>
          <w:tcPr>
            <w:tcW w:w="440" w:type="dxa"/>
            <w:tcBorders>
              <w:top w:val="nil"/>
              <w:left w:val="nil"/>
              <w:bottom w:val="nil"/>
              <w:right w:val="nil"/>
            </w:tcBorders>
            <w:shd w:val="clear" w:color="auto" w:fill="auto"/>
            <w:noWrap/>
            <w:vAlign w:val="bottom"/>
            <w:hideMark/>
          </w:tcPr>
          <w:p w14:paraId="7345027C" w14:textId="77777777" w:rsidR="002C0956" w:rsidRPr="00802F1A" w:rsidRDefault="002C0956" w:rsidP="002C0956">
            <w:pPr>
              <w:spacing w:line="240" w:lineRule="auto"/>
              <w:rPr>
                <w:rFonts w:eastAsia="Times New Roman" w:cs="Times New Roman"/>
                <w:i/>
                <w:iCs/>
                <w:sz w:val="18"/>
                <w:szCs w:val="18"/>
                <w:lang w:eastAsia="en-AU"/>
              </w:rPr>
            </w:pPr>
          </w:p>
        </w:tc>
      </w:tr>
      <w:tr w:rsidR="00802F1A" w:rsidRPr="00802F1A" w14:paraId="7B4C6B9D" w14:textId="77777777" w:rsidTr="00C24537">
        <w:trPr>
          <w:trHeight w:hRule="exact" w:val="245"/>
        </w:trPr>
        <w:tc>
          <w:tcPr>
            <w:tcW w:w="2520" w:type="dxa"/>
            <w:tcBorders>
              <w:top w:val="nil"/>
              <w:left w:val="nil"/>
              <w:bottom w:val="nil"/>
              <w:right w:val="nil"/>
            </w:tcBorders>
            <w:shd w:val="clear" w:color="auto" w:fill="auto"/>
            <w:noWrap/>
            <w:vAlign w:val="bottom"/>
            <w:hideMark/>
          </w:tcPr>
          <w:p w14:paraId="13230C5E"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429E32E3" w14:textId="6642A471"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Depth </w:t>
            </w:r>
          </w:p>
        </w:tc>
        <w:tc>
          <w:tcPr>
            <w:tcW w:w="960" w:type="dxa"/>
            <w:tcBorders>
              <w:top w:val="nil"/>
              <w:left w:val="nil"/>
              <w:bottom w:val="nil"/>
              <w:right w:val="nil"/>
            </w:tcBorders>
            <w:shd w:val="clear" w:color="auto" w:fill="auto"/>
            <w:noWrap/>
            <w:vAlign w:val="center"/>
            <w:hideMark/>
          </w:tcPr>
          <w:p w14:paraId="4A1305E8" w14:textId="6280C980"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14.80</w:t>
            </w:r>
          </w:p>
        </w:tc>
        <w:tc>
          <w:tcPr>
            <w:tcW w:w="440" w:type="dxa"/>
            <w:tcBorders>
              <w:top w:val="nil"/>
              <w:left w:val="nil"/>
              <w:bottom w:val="nil"/>
              <w:right w:val="nil"/>
            </w:tcBorders>
            <w:shd w:val="clear" w:color="auto" w:fill="auto"/>
            <w:noWrap/>
            <w:vAlign w:val="center"/>
            <w:hideMark/>
          </w:tcPr>
          <w:p w14:paraId="56D66E25" w14:textId="1BE23816"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10201002" w14:textId="77777777" w:rsidTr="00C24537">
        <w:trPr>
          <w:trHeight w:hRule="exact" w:val="245"/>
        </w:trPr>
        <w:tc>
          <w:tcPr>
            <w:tcW w:w="2520" w:type="dxa"/>
            <w:tcBorders>
              <w:top w:val="nil"/>
              <w:left w:val="nil"/>
              <w:bottom w:val="nil"/>
              <w:right w:val="nil"/>
            </w:tcBorders>
            <w:shd w:val="clear" w:color="auto" w:fill="auto"/>
            <w:noWrap/>
            <w:vAlign w:val="bottom"/>
            <w:hideMark/>
          </w:tcPr>
          <w:p w14:paraId="3DC94EA3"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6EDA8C91" w14:textId="79AF17EE"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Access</w:t>
            </w:r>
          </w:p>
        </w:tc>
        <w:tc>
          <w:tcPr>
            <w:tcW w:w="960" w:type="dxa"/>
            <w:tcBorders>
              <w:top w:val="nil"/>
              <w:left w:val="nil"/>
              <w:bottom w:val="nil"/>
              <w:right w:val="nil"/>
            </w:tcBorders>
            <w:shd w:val="clear" w:color="auto" w:fill="auto"/>
            <w:noWrap/>
            <w:vAlign w:val="center"/>
            <w:hideMark/>
          </w:tcPr>
          <w:p w14:paraId="514F9035" w14:textId="0305D982"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20.91</w:t>
            </w:r>
          </w:p>
        </w:tc>
        <w:tc>
          <w:tcPr>
            <w:tcW w:w="440" w:type="dxa"/>
            <w:tcBorders>
              <w:top w:val="nil"/>
              <w:left w:val="nil"/>
              <w:bottom w:val="nil"/>
              <w:right w:val="nil"/>
            </w:tcBorders>
            <w:shd w:val="clear" w:color="auto" w:fill="auto"/>
            <w:noWrap/>
            <w:vAlign w:val="center"/>
            <w:hideMark/>
          </w:tcPr>
          <w:p w14:paraId="745C3311" w14:textId="56AF2896"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797F0DC1" w14:textId="77777777" w:rsidTr="00C24537">
        <w:trPr>
          <w:trHeight w:hRule="exact" w:val="245"/>
        </w:trPr>
        <w:tc>
          <w:tcPr>
            <w:tcW w:w="2520" w:type="dxa"/>
            <w:tcBorders>
              <w:top w:val="nil"/>
              <w:left w:val="nil"/>
              <w:bottom w:val="nil"/>
              <w:right w:val="nil"/>
            </w:tcBorders>
            <w:shd w:val="clear" w:color="auto" w:fill="auto"/>
            <w:noWrap/>
            <w:vAlign w:val="bottom"/>
            <w:hideMark/>
          </w:tcPr>
          <w:p w14:paraId="3912E7E1"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255683B3" w14:textId="4866E339"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Efficiency</w:t>
            </w:r>
          </w:p>
        </w:tc>
        <w:tc>
          <w:tcPr>
            <w:tcW w:w="960" w:type="dxa"/>
            <w:tcBorders>
              <w:top w:val="nil"/>
              <w:left w:val="nil"/>
              <w:bottom w:val="nil"/>
              <w:right w:val="nil"/>
            </w:tcBorders>
            <w:shd w:val="clear" w:color="auto" w:fill="auto"/>
            <w:noWrap/>
            <w:vAlign w:val="center"/>
            <w:hideMark/>
          </w:tcPr>
          <w:p w14:paraId="03071F28" w14:textId="6FE81E5B"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28.41</w:t>
            </w:r>
          </w:p>
        </w:tc>
        <w:tc>
          <w:tcPr>
            <w:tcW w:w="440" w:type="dxa"/>
            <w:tcBorders>
              <w:top w:val="nil"/>
              <w:left w:val="nil"/>
              <w:bottom w:val="nil"/>
              <w:right w:val="nil"/>
            </w:tcBorders>
            <w:shd w:val="clear" w:color="auto" w:fill="auto"/>
            <w:noWrap/>
            <w:vAlign w:val="center"/>
            <w:hideMark/>
          </w:tcPr>
          <w:p w14:paraId="4342ECB1" w14:textId="02E33D8B"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1EA7DAC8" w14:textId="77777777" w:rsidTr="00C24537">
        <w:trPr>
          <w:trHeight w:hRule="exact" w:val="245"/>
        </w:trPr>
        <w:tc>
          <w:tcPr>
            <w:tcW w:w="2520" w:type="dxa"/>
            <w:tcBorders>
              <w:top w:val="nil"/>
              <w:left w:val="nil"/>
              <w:bottom w:val="nil"/>
              <w:right w:val="nil"/>
            </w:tcBorders>
            <w:shd w:val="clear" w:color="auto" w:fill="auto"/>
            <w:noWrap/>
            <w:vAlign w:val="bottom"/>
            <w:hideMark/>
          </w:tcPr>
          <w:p w14:paraId="1A3F9296"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13E74682" w14:textId="62AA96F5"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Dev </w:t>
            </w:r>
          </w:p>
        </w:tc>
        <w:tc>
          <w:tcPr>
            <w:tcW w:w="960" w:type="dxa"/>
            <w:tcBorders>
              <w:top w:val="nil"/>
              <w:left w:val="nil"/>
              <w:bottom w:val="nil"/>
              <w:right w:val="nil"/>
            </w:tcBorders>
            <w:shd w:val="clear" w:color="auto" w:fill="auto"/>
            <w:noWrap/>
            <w:vAlign w:val="center"/>
            <w:hideMark/>
          </w:tcPr>
          <w:p w14:paraId="2A889DAE" w14:textId="7ABBBF31"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12.25</w:t>
            </w:r>
          </w:p>
        </w:tc>
        <w:tc>
          <w:tcPr>
            <w:tcW w:w="440" w:type="dxa"/>
            <w:tcBorders>
              <w:top w:val="nil"/>
              <w:left w:val="nil"/>
              <w:bottom w:val="nil"/>
              <w:right w:val="nil"/>
            </w:tcBorders>
            <w:shd w:val="clear" w:color="auto" w:fill="auto"/>
            <w:noWrap/>
            <w:vAlign w:val="center"/>
            <w:hideMark/>
          </w:tcPr>
          <w:p w14:paraId="5615D561" w14:textId="6DB10C5A"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7D4F3C1D" w14:textId="77777777" w:rsidTr="00C24537">
        <w:trPr>
          <w:trHeight w:hRule="exact" w:val="245"/>
        </w:trPr>
        <w:tc>
          <w:tcPr>
            <w:tcW w:w="2520" w:type="dxa"/>
            <w:tcBorders>
              <w:top w:val="nil"/>
              <w:left w:val="nil"/>
              <w:bottom w:val="nil"/>
              <w:right w:val="nil"/>
            </w:tcBorders>
            <w:shd w:val="clear" w:color="auto" w:fill="auto"/>
            <w:noWrap/>
            <w:vAlign w:val="bottom"/>
            <w:hideMark/>
          </w:tcPr>
          <w:p w14:paraId="2880FDC1"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77939972" w14:textId="7B1E9F80"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FM Dev</w:t>
            </w:r>
          </w:p>
        </w:tc>
        <w:tc>
          <w:tcPr>
            <w:tcW w:w="960" w:type="dxa"/>
            <w:tcBorders>
              <w:top w:val="nil"/>
              <w:left w:val="nil"/>
              <w:bottom w:val="nil"/>
              <w:right w:val="nil"/>
            </w:tcBorders>
            <w:shd w:val="clear" w:color="auto" w:fill="auto"/>
            <w:noWrap/>
            <w:vAlign w:val="center"/>
            <w:hideMark/>
          </w:tcPr>
          <w:p w14:paraId="74729D6D" w14:textId="2CB2DA44"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14.74</w:t>
            </w:r>
          </w:p>
        </w:tc>
        <w:tc>
          <w:tcPr>
            <w:tcW w:w="440" w:type="dxa"/>
            <w:tcBorders>
              <w:top w:val="nil"/>
              <w:left w:val="nil"/>
              <w:bottom w:val="nil"/>
              <w:right w:val="nil"/>
            </w:tcBorders>
            <w:shd w:val="clear" w:color="auto" w:fill="auto"/>
            <w:noWrap/>
            <w:vAlign w:val="center"/>
            <w:hideMark/>
          </w:tcPr>
          <w:p w14:paraId="6C0E57E7" w14:textId="24283707"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19A03689" w14:textId="77777777" w:rsidTr="00C24537">
        <w:trPr>
          <w:trHeight w:hRule="exact" w:val="245"/>
        </w:trPr>
        <w:tc>
          <w:tcPr>
            <w:tcW w:w="2520" w:type="dxa"/>
            <w:tcBorders>
              <w:top w:val="nil"/>
              <w:left w:val="nil"/>
              <w:bottom w:val="nil"/>
              <w:right w:val="nil"/>
            </w:tcBorders>
            <w:shd w:val="clear" w:color="auto" w:fill="auto"/>
            <w:noWrap/>
            <w:vAlign w:val="bottom"/>
            <w:hideMark/>
          </w:tcPr>
          <w:p w14:paraId="63C226D5"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2A58B4CA" w14:textId="4FA79D5F"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w:t>
            </w:r>
          </w:p>
        </w:tc>
        <w:tc>
          <w:tcPr>
            <w:tcW w:w="960" w:type="dxa"/>
            <w:tcBorders>
              <w:top w:val="nil"/>
              <w:left w:val="nil"/>
              <w:bottom w:val="nil"/>
              <w:right w:val="nil"/>
            </w:tcBorders>
            <w:shd w:val="clear" w:color="auto" w:fill="auto"/>
            <w:noWrap/>
            <w:vAlign w:val="center"/>
            <w:hideMark/>
          </w:tcPr>
          <w:p w14:paraId="281C6314" w14:textId="1A32B887"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9.84</w:t>
            </w:r>
          </w:p>
        </w:tc>
        <w:tc>
          <w:tcPr>
            <w:tcW w:w="440" w:type="dxa"/>
            <w:tcBorders>
              <w:top w:val="nil"/>
              <w:left w:val="nil"/>
              <w:bottom w:val="nil"/>
              <w:right w:val="nil"/>
            </w:tcBorders>
            <w:shd w:val="clear" w:color="auto" w:fill="auto"/>
            <w:noWrap/>
            <w:vAlign w:val="center"/>
            <w:hideMark/>
          </w:tcPr>
          <w:p w14:paraId="6411CADC" w14:textId="29A7995B"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1811268D" w14:textId="77777777" w:rsidTr="005655F5">
        <w:trPr>
          <w:trHeight w:hRule="exact" w:val="245"/>
        </w:trPr>
        <w:tc>
          <w:tcPr>
            <w:tcW w:w="3860" w:type="dxa"/>
            <w:gridSpan w:val="2"/>
            <w:tcBorders>
              <w:top w:val="nil"/>
              <w:left w:val="nil"/>
              <w:bottom w:val="nil"/>
              <w:right w:val="nil"/>
            </w:tcBorders>
            <w:shd w:val="clear" w:color="auto" w:fill="auto"/>
            <w:noWrap/>
            <w:vAlign w:val="bottom"/>
            <w:hideMark/>
          </w:tcPr>
          <w:p w14:paraId="3258ECBA" w14:textId="77777777"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Income per capita --&gt; Financial Development</w:t>
            </w:r>
          </w:p>
        </w:tc>
        <w:tc>
          <w:tcPr>
            <w:tcW w:w="960" w:type="dxa"/>
            <w:tcBorders>
              <w:top w:val="nil"/>
              <w:left w:val="nil"/>
              <w:bottom w:val="nil"/>
              <w:right w:val="nil"/>
            </w:tcBorders>
            <w:shd w:val="clear" w:color="auto" w:fill="auto"/>
            <w:noWrap/>
            <w:vAlign w:val="bottom"/>
            <w:hideMark/>
          </w:tcPr>
          <w:p w14:paraId="187E75F0" w14:textId="77777777" w:rsidR="002C0956" w:rsidRPr="00802F1A" w:rsidRDefault="002C0956" w:rsidP="002C0956">
            <w:pPr>
              <w:spacing w:line="240" w:lineRule="auto"/>
              <w:rPr>
                <w:rFonts w:eastAsia="Times New Roman" w:cs="Times New Roman"/>
                <w:sz w:val="18"/>
                <w:szCs w:val="18"/>
                <w:lang w:eastAsia="en-AU"/>
              </w:rPr>
            </w:pPr>
          </w:p>
        </w:tc>
        <w:tc>
          <w:tcPr>
            <w:tcW w:w="440" w:type="dxa"/>
            <w:tcBorders>
              <w:top w:val="nil"/>
              <w:left w:val="nil"/>
              <w:bottom w:val="nil"/>
              <w:right w:val="nil"/>
            </w:tcBorders>
            <w:shd w:val="clear" w:color="auto" w:fill="auto"/>
            <w:noWrap/>
            <w:vAlign w:val="bottom"/>
            <w:hideMark/>
          </w:tcPr>
          <w:p w14:paraId="467F2DE9" w14:textId="77777777" w:rsidR="002C0956" w:rsidRPr="00802F1A" w:rsidRDefault="002C0956" w:rsidP="002C0956">
            <w:pPr>
              <w:spacing w:line="240" w:lineRule="auto"/>
              <w:rPr>
                <w:rFonts w:eastAsia="Times New Roman" w:cs="Times New Roman"/>
                <w:sz w:val="18"/>
                <w:szCs w:val="18"/>
                <w:lang w:eastAsia="en-AU"/>
              </w:rPr>
            </w:pPr>
          </w:p>
        </w:tc>
      </w:tr>
      <w:tr w:rsidR="00802F1A" w:rsidRPr="00802F1A" w14:paraId="7578F07A" w14:textId="77777777" w:rsidTr="00C24537">
        <w:trPr>
          <w:trHeight w:hRule="exact" w:val="245"/>
        </w:trPr>
        <w:tc>
          <w:tcPr>
            <w:tcW w:w="2520" w:type="dxa"/>
            <w:tcBorders>
              <w:top w:val="nil"/>
              <w:left w:val="nil"/>
              <w:bottom w:val="nil"/>
              <w:right w:val="nil"/>
            </w:tcBorders>
            <w:shd w:val="clear" w:color="auto" w:fill="auto"/>
            <w:noWrap/>
            <w:vAlign w:val="bottom"/>
            <w:hideMark/>
          </w:tcPr>
          <w:p w14:paraId="6500C011"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68D54C00" w14:textId="6768BB6A"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Depth </w:t>
            </w:r>
          </w:p>
        </w:tc>
        <w:tc>
          <w:tcPr>
            <w:tcW w:w="960" w:type="dxa"/>
            <w:tcBorders>
              <w:top w:val="nil"/>
              <w:left w:val="nil"/>
              <w:bottom w:val="nil"/>
              <w:right w:val="nil"/>
            </w:tcBorders>
            <w:shd w:val="clear" w:color="auto" w:fill="auto"/>
            <w:noWrap/>
            <w:vAlign w:val="center"/>
            <w:hideMark/>
          </w:tcPr>
          <w:p w14:paraId="59D1978E" w14:textId="758C86B9"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20.55</w:t>
            </w:r>
          </w:p>
        </w:tc>
        <w:tc>
          <w:tcPr>
            <w:tcW w:w="440" w:type="dxa"/>
            <w:tcBorders>
              <w:top w:val="nil"/>
              <w:left w:val="nil"/>
              <w:bottom w:val="nil"/>
              <w:right w:val="nil"/>
            </w:tcBorders>
            <w:shd w:val="clear" w:color="auto" w:fill="auto"/>
            <w:noWrap/>
            <w:vAlign w:val="center"/>
            <w:hideMark/>
          </w:tcPr>
          <w:p w14:paraId="58B01094" w14:textId="0470C935"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2E22C8D9" w14:textId="77777777" w:rsidTr="00C24537">
        <w:trPr>
          <w:trHeight w:hRule="exact" w:val="245"/>
        </w:trPr>
        <w:tc>
          <w:tcPr>
            <w:tcW w:w="2520" w:type="dxa"/>
            <w:tcBorders>
              <w:top w:val="nil"/>
              <w:left w:val="nil"/>
              <w:bottom w:val="nil"/>
              <w:right w:val="nil"/>
            </w:tcBorders>
            <w:shd w:val="clear" w:color="auto" w:fill="auto"/>
            <w:noWrap/>
            <w:vAlign w:val="bottom"/>
            <w:hideMark/>
          </w:tcPr>
          <w:p w14:paraId="3BAE7C0B"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2FD9986D" w14:textId="019248AE"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Access</w:t>
            </w:r>
          </w:p>
        </w:tc>
        <w:tc>
          <w:tcPr>
            <w:tcW w:w="960" w:type="dxa"/>
            <w:tcBorders>
              <w:top w:val="nil"/>
              <w:left w:val="nil"/>
              <w:bottom w:val="nil"/>
              <w:right w:val="nil"/>
            </w:tcBorders>
            <w:shd w:val="clear" w:color="auto" w:fill="auto"/>
            <w:noWrap/>
            <w:vAlign w:val="center"/>
            <w:hideMark/>
          </w:tcPr>
          <w:p w14:paraId="49B94CB0" w14:textId="3C5D40CD"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19.41</w:t>
            </w:r>
          </w:p>
        </w:tc>
        <w:tc>
          <w:tcPr>
            <w:tcW w:w="440" w:type="dxa"/>
            <w:tcBorders>
              <w:top w:val="nil"/>
              <w:left w:val="nil"/>
              <w:bottom w:val="nil"/>
              <w:right w:val="nil"/>
            </w:tcBorders>
            <w:shd w:val="clear" w:color="auto" w:fill="auto"/>
            <w:noWrap/>
            <w:vAlign w:val="center"/>
            <w:hideMark/>
          </w:tcPr>
          <w:p w14:paraId="64BFD387" w14:textId="6E74DFB7"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1835140C" w14:textId="77777777" w:rsidTr="00C24537">
        <w:trPr>
          <w:trHeight w:hRule="exact" w:val="245"/>
        </w:trPr>
        <w:tc>
          <w:tcPr>
            <w:tcW w:w="2520" w:type="dxa"/>
            <w:tcBorders>
              <w:top w:val="nil"/>
              <w:left w:val="nil"/>
              <w:bottom w:val="nil"/>
              <w:right w:val="nil"/>
            </w:tcBorders>
            <w:shd w:val="clear" w:color="auto" w:fill="auto"/>
            <w:noWrap/>
            <w:vAlign w:val="bottom"/>
            <w:hideMark/>
          </w:tcPr>
          <w:p w14:paraId="077FE867"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51037A67" w14:textId="50F9DCE8"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Efficiency</w:t>
            </w:r>
          </w:p>
        </w:tc>
        <w:tc>
          <w:tcPr>
            <w:tcW w:w="960" w:type="dxa"/>
            <w:tcBorders>
              <w:top w:val="nil"/>
              <w:left w:val="nil"/>
              <w:bottom w:val="nil"/>
              <w:right w:val="nil"/>
            </w:tcBorders>
            <w:shd w:val="clear" w:color="auto" w:fill="auto"/>
            <w:noWrap/>
            <w:vAlign w:val="center"/>
            <w:hideMark/>
          </w:tcPr>
          <w:p w14:paraId="0D7BAA19" w14:textId="5B0DEC49"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6.97</w:t>
            </w:r>
          </w:p>
        </w:tc>
        <w:tc>
          <w:tcPr>
            <w:tcW w:w="440" w:type="dxa"/>
            <w:tcBorders>
              <w:top w:val="nil"/>
              <w:left w:val="nil"/>
              <w:bottom w:val="nil"/>
              <w:right w:val="nil"/>
            </w:tcBorders>
            <w:shd w:val="clear" w:color="auto" w:fill="auto"/>
            <w:noWrap/>
            <w:vAlign w:val="center"/>
            <w:hideMark/>
          </w:tcPr>
          <w:p w14:paraId="5C392B0A" w14:textId="5854B602"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5B1D0698" w14:textId="77777777" w:rsidTr="00C24537">
        <w:trPr>
          <w:trHeight w:hRule="exact" w:val="245"/>
        </w:trPr>
        <w:tc>
          <w:tcPr>
            <w:tcW w:w="2520" w:type="dxa"/>
            <w:tcBorders>
              <w:top w:val="nil"/>
              <w:left w:val="nil"/>
              <w:bottom w:val="nil"/>
              <w:right w:val="nil"/>
            </w:tcBorders>
            <w:shd w:val="clear" w:color="auto" w:fill="auto"/>
            <w:noWrap/>
            <w:vAlign w:val="bottom"/>
            <w:hideMark/>
          </w:tcPr>
          <w:p w14:paraId="474EDC09"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375C30A5" w14:textId="058F3E4E"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Dev </w:t>
            </w:r>
          </w:p>
        </w:tc>
        <w:tc>
          <w:tcPr>
            <w:tcW w:w="960" w:type="dxa"/>
            <w:tcBorders>
              <w:top w:val="nil"/>
              <w:left w:val="nil"/>
              <w:bottom w:val="nil"/>
              <w:right w:val="nil"/>
            </w:tcBorders>
            <w:shd w:val="clear" w:color="auto" w:fill="auto"/>
            <w:noWrap/>
            <w:vAlign w:val="center"/>
            <w:hideMark/>
          </w:tcPr>
          <w:p w14:paraId="66C2E894" w14:textId="14A17B7E"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13.65</w:t>
            </w:r>
          </w:p>
        </w:tc>
        <w:tc>
          <w:tcPr>
            <w:tcW w:w="440" w:type="dxa"/>
            <w:tcBorders>
              <w:top w:val="nil"/>
              <w:left w:val="nil"/>
              <w:bottom w:val="nil"/>
              <w:right w:val="nil"/>
            </w:tcBorders>
            <w:shd w:val="clear" w:color="auto" w:fill="auto"/>
            <w:noWrap/>
            <w:vAlign w:val="center"/>
            <w:hideMark/>
          </w:tcPr>
          <w:p w14:paraId="5E617046" w14:textId="576B2438"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72E001B9" w14:textId="77777777" w:rsidTr="00C24537">
        <w:trPr>
          <w:trHeight w:hRule="exact" w:val="245"/>
        </w:trPr>
        <w:tc>
          <w:tcPr>
            <w:tcW w:w="2520" w:type="dxa"/>
            <w:tcBorders>
              <w:top w:val="nil"/>
              <w:left w:val="nil"/>
              <w:bottom w:val="nil"/>
              <w:right w:val="nil"/>
            </w:tcBorders>
            <w:shd w:val="clear" w:color="auto" w:fill="auto"/>
            <w:noWrap/>
            <w:vAlign w:val="bottom"/>
            <w:hideMark/>
          </w:tcPr>
          <w:p w14:paraId="0392D4E8"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32FE7A09" w14:textId="3F3FF68B"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FM Dev</w:t>
            </w:r>
          </w:p>
        </w:tc>
        <w:tc>
          <w:tcPr>
            <w:tcW w:w="960" w:type="dxa"/>
            <w:tcBorders>
              <w:top w:val="nil"/>
              <w:left w:val="nil"/>
              <w:bottom w:val="nil"/>
              <w:right w:val="nil"/>
            </w:tcBorders>
            <w:shd w:val="clear" w:color="auto" w:fill="auto"/>
            <w:noWrap/>
            <w:vAlign w:val="center"/>
            <w:hideMark/>
          </w:tcPr>
          <w:p w14:paraId="679C761F" w14:textId="34676794"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22.21</w:t>
            </w:r>
          </w:p>
        </w:tc>
        <w:tc>
          <w:tcPr>
            <w:tcW w:w="440" w:type="dxa"/>
            <w:tcBorders>
              <w:top w:val="nil"/>
              <w:left w:val="nil"/>
              <w:bottom w:val="nil"/>
              <w:right w:val="nil"/>
            </w:tcBorders>
            <w:shd w:val="clear" w:color="auto" w:fill="auto"/>
            <w:noWrap/>
            <w:vAlign w:val="center"/>
            <w:hideMark/>
          </w:tcPr>
          <w:p w14:paraId="786C6EB5" w14:textId="7FB50F62"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1688CBA8" w14:textId="77777777" w:rsidTr="00C24537">
        <w:trPr>
          <w:trHeight w:hRule="exact" w:val="245"/>
        </w:trPr>
        <w:tc>
          <w:tcPr>
            <w:tcW w:w="2520" w:type="dxa"/>
            <w:tcBorders>
              <w:top w:val="nil"/>
              <w:left w:val="nil"/>
              <w:bottom w:val="nil"/>
              <w:right w:val="nil"/>
            </w:tcBorders>
            <w:shd w:val="clear" w:color="auto" w:fill="auto"/>
            <w:noWrap/>
            <w:vAlign w:val="bottom"/>
            <w:hideMark/>
          </w:tcPr>
          <w:p w14:paraId="16AF0CAC"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5485DCB4" w14:textId="0BECF418"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w:t>
            </w:r>
          </w:p>
        </w:tc>
        <w:tc>
          <w:tcPr>
            <w:tcW w:w="960" w:type="dxa"/>
            <w:tcBorders>
              <w:top w:val="nil"/>
              <w:left w:val="nil"/>
              <w:bottom w:val="nil"/>
              <w:right w:val="nil"/>
            </w:tcBorders>
            <w:shd w:val="clear" w:color="auto" w:fill="auto"/>
            <w:noWrap/>
            <w:vAlign w:val="center"/>
            <w:hideMark/>
          </w:tcPr>
          <w:p w14:paraId="2E70C467" w14:textId="2FA16AEA"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13.41</w:t>
            </w:r>
          </w:p>
        </w:tc>
        <w:tc>
          <w:tcPr>
            <w:tcW w:w="440" w:type="dxa"/>
            <w:tcBorders>
              <w:top w:val="nil"/>
              <w:left w:val="nil"/>
              <w:bottom w:val="nil"/>
              <w:right w:val="nil"/>
            </w:tcBorders>
            <w:shd w:val="clear" w:color="auto" w:fill="auto"/>
            <w:noWrap/>
            <w:vAlign w:val="center"/>
            <w:hideMark/>
          </w:tcPr>
          <w:p w14:paraId="372B632F" w14:textId="3F74F0D3"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5A746FAA" w14:textId="77777777" w:rsidTr="005655F5">
        <w:trPr>
          <w:trHeight w:hRule="exact" w:val="245"/>
        </w:trPr>
        <w:tc>
          <w:tcPr>
            <w:tcW w:w="3860" w:type="dxa"/>
            <w:gridSpan w:val="2"/>
            <w:tcBorders>
              <w:top w:val="nil"/>
              <w:left w:val="nil"/>
              <w:bottom w:val="nil"/>
              <w:right w:val="nil"/>
            </w:tcBorders>
            <w:shd w:val="clear" w:color="auto" w:fill="auto"/>
            <w:noWrap/>
            <w:vAlign w:val="bottom"/>
            <w:hideMark/>
          </w:tcPr>
          <w:p w14:paraId="18F9ADBF" w14:textId="1B8EE5BE"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Development --&gt; Per-capita income</w:t>
            </w:r>
          </w:p>
        </w:tc>
        <w:tc>
          <w:tcPr>
            <w:tcW w:w="960" w:type="dxa"/>
            <w:tcBorders>
              <w:top w:val="nil"/>
              <w:left w:val="nil"/>
              <w:bottom w:val="nil"/>
              <w:right w:val="nil"/>
            </w:tcBorders>
            <w:shd w:val="clear" w:color="auto" w:fill="auto"/>
            <w:noWrap/>
            <w:vAlign w:val="bottom"/>
            <w:hideMark/>
          </w:tcPr>
          <w:p w14:paraId="3D8B3754" w14:textId="77777777" w:rsidR="002C0956" w:rsidRPr="00802F1A" w:rsidRDefault="002C0956" w:rsidP="002C0956">
            <w:pPr>
              <w:spacing w:line="240" w:lineRule="auto"/>
              <w:rPr>
                <w:rFonts w:eastAsia="Times New Roman" w:cs="Times New Roman"/>
                <w:sz w:val="18"/>
                <w:szCs w:val="18"/>
                <w:lang w:eastAsia="en-AU"/>
              </w:rPr>
            </w:pPr>
          </w:p>
        </w:tc>
        <w:tc>
          <w:tcPr>
            <w:tcW w:w="440" w:type="dxa"/>
            <w:tcBorders>
              <w:top w:val="nil"/>
              <w:left w:val="nil"/>
              <w:bottom w:val="nil"/>
              <w:right w:val="nil"/>
            </w:tcBorders>
            <w:shd w:val="clear" w:color="auto" w:fill="auto"/>
            <w:noWrap/>
            <w:vAlign w:val="bottom"/>
            <w:hideMark/>
          </w:tcPr>
          <w:p w14:paraId="20D65B2C" w14:textId="77777777" w:rsidR="002C0956" w:rsidRPr="00802F1A" w:rsidRDefault="002C0956" w:rsidP="002C0956">
            <w:pPr>
              <w:spacing w:line="240" w:lineRule="auto"/>
              <w:rPr>
                <w:rFonts w:eastAsia="Times New Roman" w:cs="Times New Roman"/>
                <w:sz w:val="18"/>
                <w:szCs w:val="18"/>
                <w:lang w:eastAsia="en-AU"/>
              </w:rPr>
            </w:pPr>
          </w:p>
        </w:tc>
      </w:tr>
      <w:tr w:rsidR="00802F1A" w:rsidRPr="00802F1A" w14:paraId="08C532A5" w14:textId="77777777" w:rsidTr="00C24537">
        <w:trPr>
          <w:trHeight w:hRule="exact" w:val="245"/>
        </w:trPr>
        <w:tc>
          <w:tcPr>
            <w:tcW w:w="2520" w:type="dxa"/>
            <w:tcBorders>
              <w:top w:val="nil"/>
              <w:left w:val="nil"/>
              <w:bottom w:val="nil"/>
              <w:right w:val="nil"/>
            </w:tcBorders>
            <w:shd w:val="clear" w:color="auto" w:fill="auto"/>
            <w:noWrap/>
            <w:vAlign w:val="bottom"/>
            <w:hideMark/>
          </w:tcPr>
          <w:p w14:paraId="3FECADF1"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75D9C094" w14:textId="5470CF90"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Depth</w:t>
            </w:r>
          </w:p>
        </w:tc>
        <w:tc>
          <w:tcPr>
            <w:tcW w:w="960" w:type="dxa"/>
            <w:tcBorders>
              <w:top w:val="nil"/>
              <w:left w:val="nil"/>
              <w:bottom w:val="nil"/>
              <w:right w:val="nil"/>
            </w:tcBorders>
            <w:shd w:val="clear" w:color="auto" w:fill="auto"/>
            <w:noWrap/>
            <w:vAlign w:val="center"/>
            <w:hideMark/>
          </w:tcPr>
          <w:p w14:paraId="3DBDD94A" w14:textId="49BEF679"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37.71</w:t>
            </w:r>
          </w:p>
        </w:tc>
        <w:tc>
          <w:tcPr>
            <w:tcW w:w="440" w:type="dxa"/>
            <w:tcBorders>
              <w:top w:val="nil"/>
              <w:left w:val="nil"/>
              <w:bottom w:val="nil"/>
              <w:right w:val="nil"/>
            </w:tcBorders>
            <w:shd w:val="clear" w:color="auto" w:fill="auto"/>
            <w:noWrap/>
            <w:vAlign w:val="center"/>
            <w:hideMark/>
          </w:tcPr>
          <w:p w14:paraId="3745B889" w14:textId="7DC27BAE"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49228C21" w14:textId="77777777" w:rsidTr="00C24537">
        <w:trPr>
          <w:trHeight w:hRule="exact" w:val="245"/>
        </w:trPr>
        <w:tc>
          <w:tcPr>
            <w:tcW w:w="2520" w:type="dxa"/>
            <w:tcBorders>
              <w:top w:val="nil"/>
              <w:left w:val="nil"/>
              <w:bottom w:val="nil"/>
              <w:right w:val="nil"/>
            </w:tcBorders>
            <w:shd w:val="clear" w:color="auto" w:fill="auto"/>
            <w:noWrap/>
            <w:vAlign w:val="bottom"/>
            <w:hideMark/>
          </w:tcPr>
          <w:p w14:paraId="10349360"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4C067C87" w14:textId="11EF3B0E"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Access</w:t>
            </w:r>
          </w:p>
        </w:tc>
        <w:tc>
          <w:tcPr>
            <w:tcW w:w="960" w:type="dxa"/>
            <w:tcBorders>
              <w:top w:val="nil"/>
              <w:left w:val="nil"/>
              <w:bottom w:val="nil"/>
              <w:right w:val="nil"/>
            </w:tcBorders>
            <w:shd w:val="clear" w:color="auto" w:fill="auto"/>
            <w:noWrap/>
            <w:vAlign w:val="center"/>
            <w:hideMark/>
          </w:tcPr>
          <w:p w14:paraId="2FE418CB" w14:textId="5B96DA5B"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20.72</w:t>
            </w:r>
          </w:p>
        </w:tc>
        <w:tc>
          <w:tcPr>
            <w:tcW w:w="440" w:type="dxa"/>
            <w:tcBorders>
              <w:top w:val="nil"/>
              <w:left w:val="nil"/>
              <w:bottom w:val="nil"/>
              <w:right w:val="nil"/>
            </w:tcBorders>
            <w:shd w:val="clear" w:color="auto" w:fill="auto"/>
            <w:noWrap/>
            <w:vAlign w:val="center"/>
            <w:hideMark/>
          </w:tcPr>
          <w:p w14:paraId="5C97DDBD" w14:textId="52908898"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26356A11" w14:textId="77777777" w:rsidTr="00C24537">
        <w:trPr>
          <w:trHeight w:hRule="exact" w:val="245"/>
        </w:trPr>
        <w:tc>
          <w:tcPr>
            <w:tcW w:w="2520" w:type="dxa"/>
            <w:tcBorders>
              <w:top w:val="nil"/>
              <w:left w:val="nil"/>
              <w:bottom w:val="nil"/>
              <w:right w:val="nil"/>
            </w:tcBorders>
            <w:shd w:val="clear" w:color="auto" w:fill="auto"/>
            <w:noWrap/>
            <w:vAlign w:val="bottom"/>
            <w:hideMark/>
          </w:tcPr>
          <w:p w14:paraId="4D669A1D"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7433395A" w14:textId="1DB12139"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Efficiency</w:t>
            </w:r>
          </w:p>
        </w:tc>
        <w:tc>
          <w:tcPr>
            <w:tcW w:w="960" w:type="dxa"/>
            <w:tcBorders>
              <w:top w:val="nil"/>
              <w:left w:val="nil"/>
              <w:bottom w:val="nil"/>
              <w:right w:val="nil"/>
            </w:tcBorders>
            <w:shd w:val="clear" w:color="auto" w:fill="auto"/>
            <w:noWrap/>
            <w:vAlign w:val="center"/>
            <w:hideMark/>
          </w:tcPr>
          <w:p w14:paraId="6C2C2455" w14:textId="41E02994"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24.39</w:t>
            </w:r>
          </w:p>
        </w:tc>
        <w:tc>
          <w:tcPr>
            <w:tcW w:w="440" w:type="dxa"/>
            <w:tcBorders>
              <w:top w:val="nil"/>
              <w:left w:val="nil"/>
              <w:bottom w:val="nil"/>
              <w:right w:val="nil"/>
            </w:tcBorders>
            <w:shd w:val="clear" w:color="auto" w:fill="auto"/>
            <w:noWrap/>
            <w:vAlign w:val="center"/>
            <w:hideMark/>
          </w:tcPr>
          <w:p w14:paraId="747ACDC8" w14:textId="75B1848F"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591196C6" w14:textId="77777777" w:rsidTr="00C24537">
        <w:trPr>
          <w:trHeight w:hRule="exact" w:val="245"/>
        </w:trPr>
        <w:tc>
          <w:tcPr>
            <w:tcW w:w="2520" w:type="dxa"/>
            <w:tcBorders>
              <w:top w:val="nil"/>
              <w:left w:val="nil"/>
              <w:bottom w:val="nil"/>
              <w:right w:val="nil"/>
            </w:tcBorders>
            <w:shd w:val="clear" w:color="auto" w:fill="auto"/>
            <w:noWrap/>
            <w:vAlign w:val="bottom"/>
            <w:hideMark/>
          </w:tcPr>
          <w:p w14:paraId="6A32E41E"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3D6639DA" w14:textId="78A8612D"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Dev </w:t>
            </w:r>
          </w:p>
        </w:tc>
        <w:tc>
          <w:tcPr>
            <w:tcW w:w="960" w:type="dxa"/>
            <w:tcBorders>
              <w:top w:val="nil"/>
              <w:left w:val="nil"/>
              <w:bottom w:val="nil"/>
              <w:right w:val="nil"/>
            </w:tcBorders>
            <w:shd w:val="clear" w:color="auto" w:fill="auto"/>
            <w:noWrap/>
            <w:vAlign w:val="center"/>
            <w:hideMark/>
          </w:tcPr>
          <w:p w14:paraId="15C629B4" w14:textId="042DB5D2"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39.81</w:t>
            </w:r>
          </w:p>
        </w:tc>
        <w:tc>
          <w:tcPr>
            <w:tcW w:w="440" w:type="dxa"/>
            <w:tcBorders>
              <w:top w:val="nil"/>
              <w:left w:val="nil"/>
              <w:bottom w:val="nil"/>
              <w:right w:val="nil"/>
            </w:tcBorders>
            <w:shd w:val="clear" w:color="auto" w:fill="auto"/>
            <w:noWrap/>
            <w:vAlign w:val="center"/>
            <w:hideMark/>
          </w:tcPr>
          <w:p w14:paraId="6E3A9922" w14:textId="19A6122E"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5FE34D46" w14:textId="77777777" w:rsidTr="00C24537">
        <w:trPr>
          <w:trHeight w:hRule="exact" w:val="245"/>
        </w:trPr>
        <w:tc>
          <w:tcPr>
            <w:tcW w:w="2520" w:type="dxa"/>
            <w:tcBorders>
              <w:top w:val="nil"/>
              <w:left w:val="nil"/>
              <w:bottom w:val="nil"/>
              <w:right w:val="nil"/>
            </w:tcBorders>
            <w:shd w:val="clear" w:color="auto" w:fill="auto"/>
            <w:noWrap/>
            <w:vAlign w:val="bottom"/>
            <w:hideMark/>
          </w:tcPr>
          <w:p w14:paraId="12D219A7" w14:textId="77777777" w:rsidR="002C0956" w:rsidRPr="00802F1A" w:rsidRDefault="002C0956" w:rsidP="002C0956">
            <w:pPr>
              <w:spacing w:line="240" w:lineRule="auto"/>
              <w:rPr>
                <w:rFonts w:eastAsia="Times New Roman" w:cs="Times New Roman"/>
                <w:sz w:val="18"/>
                <w:szCs w:val="18"/>
                <w:lang w:eastAsia="en-AU"/>
              </w:rPr>
            </w:pPr>
          </w:p>
        </w:tc>
        <w:tc>
          <w:tcPr>
            <w:tcW w:w="1340" w:type="dxa"/>
            <w:tcBorders>
              <w:top w:val="nil"/>
              <w:left w:val="nil"/>
              <w:bottom w:val="nil"/>
              <w:right w:val="nil"/>
            </w:tcBorders>
            <w:shd w:val="clear" w:color="auto" w:fill="auto"/>
            <w:noWrap/>
            <w:vAlign w:val="bottom"/>
            <w:hideMark/>
          </w:tcPr>
          <w:p w14:paraId="212EC87A" w14:textId="63387C2E"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FM Dev</w:t>
            </w:r>
          </w:p>
        </w:tc>
        <w:tc>
          <w:tcPr>
            <w:tcW w:w="960" w:type="dxa"/>
            <w:tcBorders>
              <w:top w:val="nil"/>
              <w:left w:val="nil"/>
              <w:bottom w:val="nil"/>
              <w:right w:val="nil"/>
            </w:tcBorders>
            <w:shd w:val="clear" w:color="auto" w:fill="auto"/>
            <w:noWrap/>
            <w:vAlign w:val="center"/>
            <w:hideMark/>
          </w:tcPr>
          <w:p w14:paraId="1ACDBBA0" w14:textId="08B2231E"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12.40</w:t>
            </w:r>
          </w:p>
        </w:tc>
        <w:tc>
          <w:tcPr>
            <w:tcW w:w="440" w:type="dxa"/>
            <w:tcBorders>
              <w:top w:val="nil"/>
              <w:left w:val="nil"/>
              <w:bottom w:val="nil"/>
              <w:right w:val="nil"/>
            </w:tcBorders>
            <w:shd w:val="clear" w:color="auto" w:fill="auto"/>
            <w:noWrap/>
            <w:vAlign w:val="center"/>
            <w:hideMark/>
          </w:tcPr>
          <w:p w14:paraId="61A3B1A7" w14:textId="74C25F4A"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802F1A" w:rsidRPr="00802F1A" w14:paraId="51D35EB0" w14:textId="77777777" w:rsidTr="00C24537">
        <w:trPr>
          <w:trHeight w:hRule="exact" w:val="245"/>
        </w:trPr>
        <w:tc>
          <w:tcPr>
            <w:tcW w:w="2520" w:type="dxa"/>
            <w:tcBorders>
              <w:top w:val="nil"/>
              <w:left w:val="nil"/>
              <w:bottom w:val="single" w:sz="4" w:space="0" w:color="auto"/>
              <w:right w:val="nil"/>
            </w:tcBorders>
            <w:shd w:val="clear" w:color="auto" w:fill="auto"/>
            <w:noWrap/>
            <w:vAlign w:val="bottom"/>
            <w:hideMark/>
          </w:tcPr>
          <w:p w14:paraId="2E186F11" w14:textId="77777777" w:rsidR="002C0956" w:rsidRPr="00802F1A" w:rsidRDefault="002C0956" w:rsidP="002C0956">
            <w:pPr>
              <w:spacing w:line="240" w:lineRule="auto"/>
              <w:rPr>
                <w:rFonts w:eastAsia="Times New Roman" w:cs="Times New Roman"/>
                <w:sz w:val="18"/>
                <w:szCs w:val="18"/>
                <w:lang w:eastAsia="en-AU"/>
              </w:rPr>
            </w:pPr>
            <w:r w:rsidRPr="00802F1A">
              <w:rPr>
                <w:rFonts w:eastAsia="Times New Roman" w:cs="Times New Roman"/>
                <w:sz w:val="18"/>
                <w:szCs w:val="18"/>
                <w:lang w:eastAsia="en-AU"/>
              </w:rPr>
              <w:t> </w:t>
            </w:r>
          </w:p>
        </w:tc>
        <w:tc>
          <w:tcPr>
            <w:tcW w:w="1340" w:type="dxa"/>
            <w:tcBorders>
              <w:top w:val="nil"/>
              <w:left w:val="nil"/>
              <w:bottom w:val="single" w:sz="4" w:space="0" w:color="auto"/>
              <w:right w:val="nil"/>
            </w:tcBorders>
            <w:shd w:val="clear" w:color="auto" w:fill="auto"/>
            <w:noWrap/>
            <w:vAlign w:val="bottom"/>
            <w:hideMark/>
          </w:tcPr>
          <w:p w14:paraId="7A69A395" w14:textId="3D79D85B" w:rsidR="002C0956" w:rsidRPr="00802F1A" w:rsidRDefault="002C0956" w:rsidP="002C095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w:t>
            </w:r>
          </w:p>
        </w:tc>
        <w:tc>
          <w:tcPr>
            <w:tcW w:w="960" w:type="dxa"/>
            <w:tcBorders>
              <w:top w:val="nil"/>
              <w:left w:val="nil"/>
              <w:bottom w:val="single" w:sz="4" w:space="0" w:color="auto"/>
              <w:right w:val="nil"/>
            </w:tcBorders>
            <w:shd w:val="clear" w:color="auto" w:fill="auto"/>
            <w:noWrap/>
            <w:vAlign w:val="center"/>
            <w:hideMark/>
          </w:tcPr>
          <w:p w14:paraId="41B5851D" w14:textId="150563A4" w:rsidR="002C0956" w:rsidRPr="00802F1A" w:rsidRDefault="002C0956" w:rsidP="002C0956">
            <w:pPr>
              <w:spacing w:line="240" w:lineRule="auto"/>
              <w:jc w:val="right"/>
              <w:rPr>
                <w:rFonts w:eastAsia="Times New Roman" w:cs="Times New Roman"/>
                <w:sz w:val="18"/>
                <w:szCs w:val="18"/>
                <w:lang w:eastAsia="en-AU"/>
              </w:rPr>
            </w:pPr>
            <w:r w:rsidRPr="00802F1A">
              <w:rPr>
                <w:sz w:val="18"/>
                <w:szCs w:val="18"/>
              </w:rPr>
              <w:t>26.68</w:t>
            </w:r>
          </w:p>
        </w:tc>
        <w:tc>
          <w:tcPr>
            <w:tcW w:w="440" w:type="dxa"/>
            <w:tcBorders>
              <w:top w:val="nil"/>
              <w:left w:val="nil"/>
              <w:bottom w:val="single" w:sz="4" w:space="0" w:color="auto"/>
              <w:right w:val="nil"/>
            </w:tcBorders>
            <w:shd w:val="clear" w:color="auto" w:fill="auto"/>
            <w:noWrap/>
            <w:vAlign w:val="center"/>
            <w:hideMark/>
          </w:tcPr>
          <w:p w14:paraId="6BC07848" w14:textId="587290E3" w:rsidR="002C0956" w:rsidRPr="00802F1A" w:rsidRDefault="002C0956" w:rsidP="002C0956">
            <w:pPr>
              <w:spacing w:line="240" w:lineRule="auto"/>
              <w:rPr>
                <w:rFonts w:eastAsia="Times New Roman" w:cs="Times New Roman"/>
                <w:sz w:val="18"/>
                <w:szCs w:val="18"/>
                <w:lang w:eastAsia="en-AU"/>
              </w:rPr>
            </w:pPr>
            <w:r w:rsidRPr="00802F1A">
              <w:rPr>
                <w:sz w:val="18"/>
                <w:szCs w:val="18"/>
              </w:rPr>
              <w:t>***</w:t>
            </w:r>
          </w:p>
        </w:tc>
      </w:tr>
      <w:tr w:rsidR="00027B51" w:rsidRPr="00802F1A" w14:paraId="30EB813E" w14:textId="77777777" w:rsidTr="005655F5">
        <w:trPr>
          <w:trHeight w:hRule="exact" w:val="245"/>
        </w:trPr>
        <w:tc>
          <w:tcPr>
            <w:tcW w:w="4820" w:type="dxa"/>
            <w:gridSpan w:val="3"/>
            <w:tcBorders>
              <w:top w:val="nil"/>
              <w:left w:val="nil"/>
              <w:bottom w:val="nil"/>
              <w:right w:val="nil"/>
            </w:tcBorders>
            <w:shd w:val="clear" w:color="auto" w:fill="auto"/>
            <w:noWrap/>
            <w:vAlign w:val="bottom"/>
            <w:hideMark/>
          </w:tcPr>
          <w:p w14:paraId="34E45B95" w14:textId="016C6002" w:rsidR="006D7872" w:rsidRPr="00802F1A" w:rsidRDefault="006D7872" w:rsidP="006D7872">
            <w:pPr>
              <w:spacing w:line="240" w:lineRule="auto"/>
              <w:rPr>
                <w:rFonts w:eastAsia="Times New Roman" w:cs="Times New Roman"/>
                <w:sz w:val="18"/>
                <w:szCs w:val="18"/>
                <w:lang w:eastAsia="en-AU"/>
              </w:rPr>
            </w:pPr>
            <w:r w:rsidRPr="00802F1A">
              <w:rPr>
                <w:rFonts w:eastAsia="Times New Roman" w:cs="Times New Roman"/>
                <w:sz w:val="18"/>
                <w:szCs w:val="18"/>
                <w:lang w:eastAsia="en-AU"/>
              </w:rPr>
              <w:t>***: 1% level of significance, respectively</w:t>
            </w:r>
          </w:p>
        </w:tc>
        <w:tc>
          <w:tcPr>
            <w:tcW w:w="440" w:type="dxa"/>
            <w:tcBorders>
              <w:top w:val="nil"/>
              <w:left w:val="nil"/>
              <w:bottom w:val="nil"/>
              <w:right w:val="nil"/>
            </w:tcBorders>
            <w:shd w:val="clear" w:color="auto" w:fill="auto"/>
            <w:noWrap/>
            <w:vAlign w:val="bottom"/>
            <w:hideMark/>
          </w:tcPr>
          <w:p w14:paraId="379A2E35" w14:textId="77777777" w:rsidR="006D7872" w:rsidRPr="00802F1A" w:rsidRDefault="006D7872" w:rsidP="006D7872">
            <w:pPr>
              <w:spacing w:line="240" w:lineRule="auto"/>
              <w:rPr>
                <w:rFonts w:eastAsia="Times New Roman" w:cs="Times New Roman"/>
                <w:sz w:val="18"/>
                <w:szCs w:val="18"/>
                <w:lang w:eastAsia="en-AU"/>
              </w:rPr>
            </w:pPr>
          </w:p>
        </w:tc>
      </w:tr>
    </w:tbl>
    <w:p w14:paraId="6AACFA7D" w14:textId="09126C59" w:rsidR="00962CDC" w:rsidRPr="00802F1A" w:rsidRDefault="00962CDC" w:rsidP="002E0E83">
      <w:pPr>
        <w:rPr>
          <w:rFonts w:cs="Times New Roman"/>
          <w:szCs w:val="24"/>
          <w:lang w:val="vi-VN"/>
        </w:rPr>
      </w:pPr>
    </w:p>
    <w:p w14:paraId="3B07F911" w14:textId="7BC91B08" w:rsidR="00CC485E" w:rsidRPr="00802F1A" w:rsidRDefault="0030434A" w:rsidP="0053308A">
      <w:pPr>
        <w:pStyle w:val="Heading3"/>
        <w:rPr>
          <w:lang w:val="en-US"/>
        </w:rPr>
      </w:pPr>
      <w:r w:rsidRPr="00802F1A">
        <w:rPr>
          <w:lang w:val="en-US"/>
        </w:rPr>
        <w:t>Panel regression</w:t>
      </w:r>
    </w:p>
    <w:p w14:paraId="7258C7B0" w14:textId="77777777" w:rsidR="009B354E" w:rsidRPr="00802F1A" w:rsidRDefault="009B354E" w:rsidP="009B354E">
      <w:pPr>
        <w:jc w:val="both"/>
        <w:rPr>
          <w:rFonts w:cs="Times New Roman"/>
          <w:szCs w:val="24"/>
          <w:lang w:val="en-US"/>
        </w:rPr>
      </w:pPr>
      <w:proofErr w:type="gramStart"/>
      <w:r w:rsidRPr="00802F1A">
        <w:rPr>
          <w:rFonts w:cs="Times New Roman"/>
          <w:szCs w:val="24"/>
          <w:lang w:val="en-US"/>
        </w:rPr>
        <w:t>In order to</w:t>
      </w:r>
      <w:proofErr w:type="gramEnd"/>
      <w:r w:rsidRPr="00802F1A">
        <w:rPr>
          <w:rFonts w:cs="Times New Roman"/>
          <w:szCs w:val="24"/>
          <w:lang w:val="en-US"/>
        </w:rPr>
        <w:t xml:space="preserve"> examine the causal relationships between energy diversification, financial development, and economic growth while controlling for various factors (Eq. 6), we conducted a series of tests to determine the most appropriate estimator, and the results are presented in Table 7. The Breusch-Pagan test indicates that random effects are more suitable than pooled OLS, as it accepts the alternative hypothesis. The F-test suggests that both observed and unobserved fixed effects are non-zero, indicating that pooled OLS and random effects estimators may yield biased results. The Hausman test rejects the null hypothesis of no correlation between fixed effects and explanatory variables, suggesting that the fixed effects estimator is </w:t>
      </w:r>
      <w:proofErr w:type="gramStart"/>
      <w:r w:rsidRPr="00802F1A">
        <w:rPr>
          <w:rFonts w:cs="Times New Roman"/>
          <w:szCs w:val="24"/>
          <w:lang w:val="en-US"/>
        </w:rPr>
        <w:t>more preferable</w:t>
      </w:r>
      <w:proofErr w:type="gramEnd"/>
      <w:r w:rsidRPr="00802F1A">
        <w:rPr>
          <w:rFonts w:cs="Times New Roman"/>
          <w:szCs w:val="24"/>
          <w:lang w:val="en-US"/>
        </w:rPr>
        <w:t xml:space="preserve"> than the random effects estimator.</w:t>
      </w:r>
    </w:p>
    <w:p w14:paraId="52F1994E" w14:textId="77777777" w:rsidR="009B354E" w:rsidRPr="00802F1A" w:rsidRDefault="009B354E" w:rsidP="009B354E">
      <w:pPr>
        <w:jc w:val="both"/>
        <w:rPr>
          <w:rFonts w:cs="Times New Roman"/>
          <w:szCs w:val="24"/>
          <w:lang w:val="en-US"/>
        </w:rPr>
      </w:pPr>
    </w:p>
    <w:p w14:paraId="120C5B8B" w14:textId="43C09978" w:rsidR="009B354E" w:rsidRPr="00802F1A" w:rsidRDefault="009B354E" w:rsidP="009B354E">
      <w:pPr>
        <w:jc w:val="both"/>
        <w:rPr>
          <w:rFonts w:cs="Times New Roman"/>
          <w:szCs w:val="24"/>
          <w:lang w:val="en-US"/>
        </w:rPr>
      </w:pPr>
      <w:r w:rsidRPr="00802F1A">
        <w:rPr>
          <w:rFonts w:cs="Times New Roman"/>
          <w:szCs w:val="24"/>
          <w:lang w:val="en-US"/>
        </w:rPr>
        <w:t xml:space="preserve">In the second part of Table 7, the significance of the tests indicates the presence of heteroskedasticity, cross-sectional dependence, and autocorrelation in the residuals of the fixed effects models. Therefore, we employ the fixed effects estimator with </w:t>
      </w:r>
      <w:r w:rsidRPr="00802F1A">
        <w:rPr>
          <w:rFonts w:cs="Times New Roman"/>
          <w:szCs w:val="24"/>
          <w:lang w:val="vi-VN"/>
        </w:rPr>
        <w:fldChar w:fldCharType="begin"/>
      </w:r>
      <w:r w:rsidRPr="00802F1A">
        <w:rPr>
          <w:rFonts w:cs="Times New Roman"/>
          <w:szCs w:val="24"/>
          <w:lang w:val="vi-VN"/>
        </w:rPr>
        <w:instrText xml:space="preserve"> ADDIN EN.CITE &lt;EndNote&gt;&lt;Cite AuthorYear="1"&gt;&lt;Author&gt;Driscoll&lt;/Author&gt;&lt;Year&gt;1998&lt;/Year&gt;&lt;RecNum&gt;1735&lt;/RecNum&gt;&lt;DisplayText&gt;Driscoll and Kraay (1998)&lt;/DisplayText&gt;&lt;record&gt;&lt;rec-number&gt;1735&lt;/rec-number&gt;&lt;foreign-keys&gt;&lt;key app="EN" db-id="esvrve9x1d0a5gerpeuprwp0vtp2zxx2ssr9" timestamp="1655458276"&gt;1735&lt;/key&gt;&lt;/foreign-keys&gt;&lt;ref-type name="Journal Article"&gt;17&lt;/ref-type&gt;&lt;contributors&gt;&lt;authors&gt;&lt;author&gt;Driscoll, John C.&lt;/author&gt;&lt;author&gt;Kraay, Aart C.&lt;/author&gt;&lt;/authors&gt;&lt;/contributors&gt;&lt;titles&gt;&lt;title&gt;Consistent covariance matrix estimation with spatially dependent panel data&lt;/title&gt;&lt;secondary-title&gt;Review of economics and statistics&lt;/secondary-title&gt;&lt;/titles&gt;&lt;periodical&gt;&lt;full-title&gt;Review of economics and statistics&lt;/full-title&gt;&lt;/periodical&gt;&lt;pages&gt;549-560&lt;/pages&gt;&lt;volume&gt;80&lt;/volume&gt;&lt;number&gt;4&lt;/number&gt;&lt;dates&gt;&lt;year&gt;1998&lt;/year&gt;&lt;/dates&gt;&lt;publisher&gt;MIT Press 238 Main St., Suite 500, Cambridge, MA 02142-1046, USA journals …&lt;/publisher&gt;&lt;isbn&gt;0034-6535&lt;/isbn&gt;&lt;urls&gt;&lt;/urls&gt;&lt;/record&gt;&lt;/Cite&gt;&lt;/EndNote&gt;</w:instrText>
      </w:r>
      <w:r w:rsidRPr="00802F1A">
        <w:rPr>
          <w:rFonts w:cs="Times New Roman"/>
          <w:szCs w:val="24"/>
          <w:lang w:val="vi-VN"/>
        </w:rPr>
        <w:fldChar w:fldCharType="separate"/>
      </w:r>
      <w:r w:rsidRPr="00802F1A">
        <w:rPr>
          <w:rFonts w:cs="Times New Roman"/>
          <w:noProof/>
          <w:szCs w:val="24"/>
          <w:lang w:val="vi-VN"/>
        </w:rPr>
        <w:t>Driscoll and Kraay (1998)</w:t>
      </w:r>
      <w:r w:rsidRPr="00802F1A">
        <w:rPr>
          <w:rFonts w:cs="Times New Roman"/>
          <w:szCs w:val="24"/>
          <w:lang w:val="vi-VN"/>
        </w:rPr>
        <w:fldChar w:fldCharType="end"/>
      </w:r>
      <w:r w:rsidRPr="00802F1A">
        <w:rPr>
          <w:rFonts w:cs="Times New Roman"/>
          <w:szCs w:val="24"/>
          <w:lang w:val="en-US"/>
        </w:rPr>
        <w:t>’s standard errors, which correct for heteroskedasticity, cross-sectional dependence, and serial correlations. The results of Eq. 6 are reported in Table 8.</w:t>
      </w:r>
    </w:p>
    <w:p w14:paraId="22635F14" w14:textId="77777777" w:rsidR="009B354E" w:rsidRPr="00802F1A" w:rsidRDefault="009B354E" w:rsidP="002017CF">
      <w:pPr>
        <w:jc w:val="both"/>
        <w:rPr>
          <w:rFonts w:cs="Times New Roman"/>
          <w:szCs w:val="24"/>
          <w:lang w:val="en-US"/>
        </w:rPr>
      </w:pPr>
    </w:p>
    <w:p w14:paraId="3E02DBED" w14:textId="23D03CD6" w:rsidR="003F7DE2" w:rsidRPr="00802F1A" w:rsidRDefault="00FF41C5" w:rsidP="002E0E83">
      <w:pPr>
        <w:rPr>
          <w:rFonts w:cs="Times New Roman"/>
          <w:sz w:val="22"/>
          <w:lang w:val="en-US"/>
        </w:rPr>
      </w:pPr>
      <w:r w:rsidRPr="00802F1A">
        <w:rPr>
          <w:rFonts w:cs="Times New Roman"/>
          <w:sz w:val="22"/>
          <w:lang w:val="en-US"/>
        </w:rPr>
        <w:t xml:space="preserve">Table </w:t>
      </w:r>
      <w:r w:rsidR="00A141F5" w:rsidRPr="00802F1A">
        <w:rPr>
          <w:rFonts w:cs="Times New Roman"/>
          <w:sz w:val="22"/>
          <w:lang w:val="en-US"/>
        </w:rPr>
        <w:t>7</w:t>
      </w:r>
      <w:r w:rsidRPr="00802F1A">
        <w:rPr>
          <w:rFonts w:cs="Times New Roman"/>
          <w:sz w:val="22"/>
          <w:lang w:val="en-US"/>
        </w:rPr>
        <w:t xml:space="preserve">: </w:t>
      </w:r>
      <w:r w:rsidR="000001FC" w:rsidRPr="00802F1A">
        <w:rPr>
          <w:rFonts w:cs="Times New Roman"/>
          <w:sz w:val="22"/>
          <w:lang w:val="en-US"/>
        </w:rPr>
        <w:t>Diagnosis tests</w:t>
      </w:r>
      <w:r w:rsidRPr="00802F1A">
        <w:rPr>
          <w:rFonts w:cs="Times New Roman"/>
          <w:sz w:val="22"/>
          <w:lang w:val="en-US"/>
        </w:rPr>
        <w:t>.</w:t>
      </w:r>
    </w:p>
    <w:tbl>
      <w:tblPr>
        <w:tblW w:w="9338" w:type="dxa"/>
        <w:tblLayout w:type="fixed"/>
        <w:tblCellMar>
          <w:left w:w="0" w:type="dxa"/>
          <w:right w:w="0" w:type="dxa"/>
        </w:tblCellMar>
        <w:tblLook w:val="04A0" w:firstRow="1" w:lastRow="0" w:firstColumn="1" w:lastColumn="0" w:noHBand="0" w:noVBand="1"/>
      </w:tblPr>
      <w:tblGrid>
        <w:gridCol w:w="1172"/>
        <w:gridCol w:w="598"/>
        <w:gridCol w:w="315"/>
        <w:gridCol w:w="631"/>
        <w:gridCol w:w="397"/>
        <w:gridCol w:w="703"/>
        <w:gridCol w:w="318"/>
        <w:gridCol w:w="306"/>
        <w:gridCol w:w="424"/>
        <w:gridCol w:w="515"/>
        <w:gridCol w:w="516"/>
        <w:gridCol w:w="436"/>
        <w:gridCol w:w="412"/>
        <w:gridCol w:w="298"/>
        <w:gridCol w:w="421"/>
        <w:gridCol w:w="515"/>
        <w:gridCol w:w="516"/>
        <w:gridCol w:w="423"/>
        <w:gridCol w:w="409"/>
        <w:gridCol w:w="13"/>
      </w:tblGrid>
      <w:tr w:rsidR="00802F1A" w:rsidRPr="00802F1A" w14:paraId="289D432C" w14:textId="77777777" w:rsidTr="00A02C91">
        <w:trPr>
          <w:trHeight w:hRule="exact" w:val="442"/>
        </w:trPr>
        <w:tc>
          <w:tcPr>
            <w:tcW w:w="1174" w:type="dxa"/>
            <w:tcBorders>
              <w:top w:val="single" w:sz="4" w:space="0" w:color="auto"/>
              <w:left w:val="nil"/>
              <w:bottom w:val="nil"/>
              <w:right w:val="nil"/>
            </w:tcBorders>
            <w:shd w:val="clear" w:color="auto" w:fill="auto"/>
            <w:noWrap/>
            <w:vAlign w:val="bottom"/>
            <w:hideMark/>
          </w:tcPr>
          <w:p w14:paraId="402F960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Tests</w:t>
            </w:r>
          </w:p>
        </w:tc>
        <w:tc>
          <w:tcPr>
            <w:tcW w:w="2969" w:type="dxa"/>
            <w:gridSpan w:val="6"/>
            <w:tcBorders>
              <w:top w:val="single" w:sz="4" w:space="0" w:color="auto"/>
              <w:left w:val="nil"/>
              <w:bottom w:val="nil"/>
              <w:right w:val="single" w:sz="4" w:space="0" w:color="000000"/>
            </w:tcBorders>
            <w:shd w:val="clear" w:color="auto" w:fill="auto"/>
            <w:hideMark/>
          </w:tcPr>
          <w:p w14:paraId="7C9ABF89"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Breusch and Pagan test for random effects</w:t>
            </w:r>
          </w:p>
        </w:tc>
        <w:tc>
          <w:tcPr>
            <w:tcW w:w="2609" w:type="dxa"/>
            <w:gridSpan w:val="6"/>
            <w:tcBorders>
              <w:top w:val="single" w:sz="4" w:space="0" w:color="auto"/>
              <w:left w:val="nil"/>
              <w:bottom w:val="nil"/>
              <w:right w:val="single" w:sz="4" w:space="0" w:color="000000"/>
            </w:tcBorders>
            <w:shd w:val="clear" w:color="auto" w:fill="auto"/>
            <w:hideMark/>
          </w:tcPr>
          <w:p w14:paraId="57B2F1CA"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F-test for fixed effects</w:t>
            </w:r>
          </w:p>
        </w:tc>
        <w:tc>
          <w:tcPr>
            <w:tcW w:w="2584" w:type="dxa"/>
            <w:gridSpan w:val="7"/>
            <w:tcBorders>
              <w:top w:val="single" w:sz="4" w:space="0" w:color="auto"/>
              <w:left w:val="nil"/>
              <w:bottom w:val="nil"/>
              <w:right w:val="nil"/>
            </w:tcBorders>
            <w:shd w:val="clear" w:color="auto" w:fill="auto"/>
            <w:hideMark/>
          </w:tcPr>
          <w:p w14:paraId="06F2B884"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 xml:space="preserve">Hausman test for random effects versus fixed effects </w:t>
            </w:r>
          </w:p>
        </w:tc>
      </w:tr>
      <w:tr w:rsidR="00802F1A" w:rsidRPr="00802F1A" w14:paraId="0B8AAB34" w14:textId="77777777" w:rsidTr="00A02C91">
        <w:trPr>
          <w:trHeight w:hRule="exact" w:val="451"/>
        </w:trPr>
        <w:tc>
          <w:tcPr>
            <w:tcW w:w="1174" w:type="dxa"/>
            <w:tcBorders>
              <w:top w:val="nil"/>
              <w:left w:val="nil"/>
              <w:bottom w:val="single" w:sz="4" w:space="0" w:color="auto"/>
              <w:right w:val="nil"/>
            </w:tcBorders>
            <w:shd w:val="clear" w:color="auto" w:fill="auto"/>
            <w:noWrap/>
            <w:vAlign w:val="bottom"/>
            <w:hideMark/>
          </w:tcPr>
          <w:p w14:paraId="3426B0B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Models</w:t>
            </w:r>
          </w:p>
        </w:tc>
        <w:tc>
          <w:tcPr>
            <w:tcW w:w="916" w:type="dxa"/>
            <w:gridSpan w:val="2"/>
            <w:tcBorders>
              <w:top w:val="single" w:sz="4" w:space="0" w:color="auto"/>
              <w:left w:val="nil"/>
              <w:bottom w:val="single" w:sz="4" w:space="0" w:color="auto"/>
              <w:right w:val="nil"/>
            </w:tcBorders>
            <w:shd w:val="clear" w:color="auto" w:fill="auto"/>
            <w:noWrap/>
            <w:hideMark/>
          </w:tcPr>
          <w:p w14:paraId="4B5581F7"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HHI Energy</w:t>
            </w:r>
          </w:p>
        </w:tc>
        <w:tc>
          <w:tcPr>
            <w:tcW w:w="1031" w:type="dxa"/>
            <w:gridSpan w:val="2"/>
            <w:tcBorders>
              <w:top w:val="single" w:sz="4" w:space="0" w:color="auto"/>
              <w:left w:val="nil"/>
              <w:bottom w:val="single" w:sz="4" w:space="0" w:color="auto"/>
              <w:right w:val="nil"/>
            </w:tcBorders>
            <w:shd w:val="clear" w:color="auto" w:fill="auto"/>
            <w:noWrap/>
            <w:hideMark/>
          </w:tcPr>
          <w:p w14:paraId="2A67D0C0"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Income per capita</w:t>
            </w:r>
          </w:p>
        </w:tc>
        <w:tc>
          <w:tcPr>
            <w:tcW w:w="1022" w:type="dxa"/>
            <w:gridSpan w:val="2"/>
            <w:tcBorders>
              <w:top w:val="single" w:sz="4" w:space="0" w:color="auto"/>
              <w:left w:val="nil"/>
              <w:bottom w:val="single" w:sz="4" w:space="0" w:color="auto"/>
              <w:right w:val="single" w:sz="4" w:space="0" w:color="000000"/>
            </w:tcBorders>
            <w:shd w:val="clear" w:color="auto" w:fill="auto"/>
            <w:noWrap/>
            <w:hideMark/>
          </w:tcPr>
          <w:p w14:paraId="6BC01E6E"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Financial Dev</w:t>
            </w:r>
          </w:p>
        </w:tc>
        <w:tc>
          <w:tcPr>
            <w:tcW w:w="730" w:type="dxa"/>
            <w:gridSpan w:val="2"/>
            <w:tcBorders>
              <w:top w:val="single" w:sz="4" w:space="0" w:color="auto"/>
              <w:left w:val="nil"/>
              <w:bottom w:val="single" w:sz="4" w:space="0" w:color="auto"/>
              <w:right w:val="nil"/>
            </w:tcBorders>
            <w:shd w:val="clear" w:color="auto" w:fill="auto"/>
            <w:noWrap/>
            <w:hideMark/>
          </w:tcPr>
          <w:p w14:paraId="445C4325"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HHI Energy</w:t>
            </w:r>
          </w:p>
        </w:tc>
        <w:tc>
          <w:tcPr>
            <w:tcW w:w="1031" w:type="dxa"/>
            <w:gridSpan w:val="2"/>
            <w:tcBorders>
              <w:top w:val="single" w:sz="4" w:space="0" w:color="auto"/>
              <w:left w:val="nil"/>
              <w:bottom w:val="single" w:sz="4" w:space="0" w:color="auto"/>
              <w:right w:val="nil"/>
            </w:tcBorders>
            <w:shd w:val="clear" w:color="auto" w:fill="auto"/>
            <w:noWrap/>
            <w:hideMark/>
          </w:tcPr>
          <w:p w14:paraId="2288AC8C"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Income per capita</w:t>
            </w:r>
          </w:p>
        </w:tc>
        <w:tc>
          <w:tcPr>
            <w:tcW w:w="847" w:type="dxa"/>
            <w:gridSpan w:val="2"/>
            <w:tcBorders>
              <w:top w:val="single" w:sz="4" w:space="0" w:color="auto"/>
              <w:left w:val="nil"/>
              <w:bottom w:val="single" w:sz="4" w:space="0" w:color="auto"/>
              <w:right w:val="single" w:sz="4" w:space="0" w:color="000000"/>
            </w:tcBorders>
            <w:shd w:val="clear" w:color="auto" w:fill="auto"/>
            <w:noWrap/>
            <w:hideMark/>
          </w:tcPr>
          <w:p w14:paraId="705042FC"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Financial Dev</w:t>
            </w:r>
          </w:p>
        </w:tc>
        <w:tc>
          <w:tcPr>
            <w:tcW w:w="719" w:type="dxa"/>
            <w:gridSpan w:val="2"/>
            <w:tcBorders>
              <w:top w:val="single" w:sz="4" w:space="0" w:color="auto"/>
              <w:left w:val="nil"/>
              <w:bottom w:val="single" w:sz="4" w:space="0" w:color="auto"/>
              <w:right w:val="nil"/>
            </w:tcBorders>
            <w:shd w:val="clear" w:color="auto" w:fill="auto"/>
            <w:noWrap/>
            <w:hideMark/>
          </w:tcPr>
          <w:p w14:paraId="5226AC5D"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HHI Energy</w:t>
            </w:r>
          </w:p>
        </w:tc>
        <w:tc>
          <w:tcPr>
            <w:tcW w:w="1031" w:type="dxa"/>
            <w:gridSpan w:val="2"/>
            <w:tcBorders>
              <w:top w:val="single" w:sz="4" w:space="0" w:color="auto"/>
              <w:left w:val="nil"/>
              <w:bottom w:val="single" w:sz="4" w:space="0" w:color="auto"/>
              <w:right w:val="nil"/>
            </w:tcBorders>
            <w:shd w:val="clear" w:color="auto" w:fill="auto"/>
            <w:noWrap/>
            <w:hideMark/>
          </w:tcPr>
          <w:p w14:paraId="30AF5E80"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Income per capita</w:t>
            </w:r>
          </w:p>
        </w:tc>
        <w:tc>
          <w:tcPr>
            <w:tcW w:w="833" w:type="dxa"/>
            <w:gridSpan w:val="3"/>
            <w:tcBorders>
              <w:top w:val="single" w:sz="4" w:space="0" w:color="auto"/>
              <w:left w:val="nil"/>
              <w:bottom w:val="single" w:sz="4" w:space="0" w:color="auto"/>
              <w:right w:val="nil"/>
            </w:tcBorders>
            <w:shd w:val="clear" w:color="auto" w:fill="auto"/>
            <w:noWrap/>
            <w:hideMark/>
          </w:tcPr>
          <w:p w14:paraId="52C931DC"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Financial Dev</w:t>
            </w:r>
          </w:p>
        </w:tc>
      </w:tr>
      <w:tr w:rsidR="00802F1A" w:rsidRPr="00802F1A" w14:paraId="3AF60CE4"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61D69B0B"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Depth </w:t>
            </w:r>
          </w:p>
        </w:tc>
        <w:tc>
          <w:tcPr>
            <w:tcW w:w="600" w:type="dxa"/>
            <w:tcBorders>
              <w:top w:val="nil"/>
              <w:left w:val="nil"/>
              <w:bottom w:val="nil"/>
              <w:right w:val="nil"/>
            </w:tcBorders>
            <w:shd w:val="clear" w:color="auto" w:fill="auto"/>
            <w:noWrap/>
            <w:vAlign w:val="center"/>
            <w:hideMark/>
          </w:tcPr>
          <w:p w14:paraId="0106D4D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18621</w:t>
            </w:r>
          </w:p>
        </w:tc>
        <w:tc>
          <w:tcPr>
            <w:tcW w:w="315" w:type="dxa"/>
            <w:tcBorders>
              <w:top w:val="nil"/>
              <w:left w:val="nil"/>
              <w:bottom w:val="nil"/>
              <w:right w:val="nil"/>
            </w:tcBorders>
            <w:shd w:val="clear" w:color="auto" w:fill="auto"/>
            <w:noWrap/>
            <w:vAlign w:val="center"/>
            <w:hideMark/>
          </w:tcPr>
          <w:p w14:paraId="7E1FAF11"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208C082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26679</w:t>
            </w:r>
          </w:p>
        </w:tc>
        <w:tc>
          <w:tcPr>
            <w:tcW w:w="397" w:type="dxa"/>
            <w:tcBorders>
              <w:top w:val="nil"/>
              <w:left w:val="nil"/>
              <w:bottom w:val="nil"/>
              <w:right w:val="nil"/>
            </w:tcBorders>
            <w:shd w:val="clear" w:color="auto" w:fill="auto"/>
            <w:noWrap/>
            <w:vAlign w:val="center"/>
            <w:hideMark/>
          </w:tcPr>
          <w:p w14:paraId="3721919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1DDC1EE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26645</w:t>
            </w:r>
          </w:p>
        </w:tc>
        <w:tc>
          <w:tcPr>
            <w:tcW w:w="317" w:type="dxa"/>
            <w:tcBorders>
              <w:top w:val="nil"/>
              <w:left w:val="nil"/>
              <w:bottom w:val="nil"/>
              <w:right w:val="single" w:sz="4" w:space="0" w:color="auto"/>
            </w:tcBorders>
            <w:shd w:val="clear" w:color="auto" w:fill="auto"/>
            <w:noWrap/>
            <w:vAlign w:val="center"/>
            <w:hideMark/>
          </w:tcPr>
          <w:p w14:paraId="20999EB1"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4069B6EE"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w:t>
            </w:r>
          </w:p>
        </w:tc>
        <w:tc>
          <w:tcPr>
            <w:tcW w:w="423" w:type="dxa"/>
            <w:tcBorders>
              <w:top w:val="nil"/>
              <w:left w:val="nil"/>
              <w:bottom w:val="nil"/>
              <w:right w:val="nil"/>
            </w:tcBorders>
            <w:shd w:val="clear" w:color="auto" w:fill="auto"/>
            <w:noWrap/>
            <w:vAlign w:val="center"/>
            <w:hideMark/>
          </w:tcPr>
          <w:p w14:paraId="329B9F01"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172FBB56"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204</w:t>
            </w:r>
          </w:p>
        </w:tc>
        <w:tc>
          <w:tcPr>
            <w:tcW w:w="515" w:type="dxa"/>
            <w:tcBorders>
              <w:top w:val="nil"/>
              <w:left w:val="nil"/>
              <w:bottom w:val="nil"/>
              <w:right w:val="nil"/>
            </w:tcBorders>
            <w:shd w:val="clear" w:color="auto" w:fill="auto"/>
            <w:noWrap/>
            <w:vAlign w:val="center"/>
            <w:hideMark/>
          </w:tcPr>
          <w:p w14:paraId="1D32A125"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3A5CC62F"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181</w:t>
            </w:r>
          </w:p>
        </w:tc>
        <w:tc>
          <w:tcPr>
            <w:tcW w:w="410" w:type="dxa"/>
            <w:tcBorders>
              <w:top w:val="nil"/>
              <w:left w:val="nil"/>
              <w:bottom w:val="nil"/>
              <w:right w:val="single" w:sz="4" w:space="0" w:color="auto"/>
            </w:tcBorders>
            <w:shd w:val="clear" w:color="auto" w:fill="auto"/>
            <w:noWrap/>
            <w:vAlign w:val="center"/>
            <w:hideMark/>
          </w:tcPr>
          <w:p w14:paraId="142BC65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6E64426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15</w:t>
            </w:r>
          </w:p>
        </w:tc>
        <w:tc>
          <w:tcPr>
            <w:tcW w:w="420" w:type="dxa"/>
            <w:tcBorders>
              <w:top w:val="nil"/>
              <w:left w:val="nil"/>
              <w:bottom w:val="nil"/>
              <w:right w:val="nil"/>
            </w:tcBorders>
            <w:shd w:val="clear" w:color="auto" w:fill="auto"/>
            <w:noWrap/>
            <w:vAlign w:val="center"/>
            <w:hideMark/>
          </w:tcPr>
          <w:p w14:paraId="17546AF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1C98882F"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202</w:t>
            </w:r>
          </w:p>
        </w:tc>
        <w:tc>
          <w:tcPr>
            <w:tcW w:w="515" w:type="dxa"/>
            <w:tcBorders>
              <w:top w:val="nil"/>
              <w:left w:val="nil"/>
              <w:bottom w:val="nil"/>
              <w:right w:val="nil"/>
            </w:tcBorders>
            <w:shd w:val="clear" w:color="auto" w:fill="auto"/>
            <w:noWrap/>
            <w:vAlign w:val="center"/>
            <w:hideMark/>
          </w:tcPr>
          <w:p w14:paraId="22AD2F9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6908913E"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w:t>
            </w:r>
          </w:p>
        </w:tc>
        <w:tc>
          <w:tcPr>
            <w:tcW w:w="409" w:type="dxa"/>
            <w:tcBorders>
              <w:top w:val="nil"/>
              <w:left w:val="nil"/>
              <w:bottom w:val="nil"/>
              <w:right w:val="nil"/>
            </w:tcBorders>
            <w:shd w:val="clear" w:color="auto" w:fill="auto"/>
            <w:noWrap/>
            <w:vAlign w:val="center"/>
            <w:hideMark/>
          </w:tcPr>
          <w:p w14:paraId="08B8F75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721FFAE6"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0C594E77"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Access </w:t>
            </w:r>
          </w:p>
        </w:tc>
        <w:tc>
          <w:tcPr>
            <w:tcW w:w="600" w:type="dxa"/>
            <w:tcBorders>
              <w:top w:val="nil"/>
              <w:left w:val="nil"/>
              <w:bottom w:val="nil"/>
              <w:right w:val="nil"/>
            </w:tcBorders>
            <w:shd w:val="clear" w:color="auto" w:fill="auto"/>
            <w:noWrap/>
            <w:vAlign w:val="center"/>
            <w:hideMark/>
          </w:tcPr>
          <w:p w14:paraId="5923D138"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18627</w:t>
            </w:r>
          </w:p>
        </w:tc>
        <w:tc>
          <w:tcPr>
            <w:tcW w:w="315" w:type="dxa"/>
            <w:tcBorders>
              <w:top w:val="nil"/>
              <w:left w:val="nil"/>
              <w:bottom w:val="nil"/>
              <w:right w:val="nil"/>
            </w:tcBorders>
            <w:shd w:val="clear" w:color="auto" w:fill="auto"/>
            <w:noWrap/>
            <w:vAlign w:val="center"/>
            <w:hideMark/>
          </w:tcPr>
          <w:p w14:paraId="4E1E2EB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76F295A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27074</w:t>
            </w:r>
          </w:p>
        </w:tc>
        <w:tc>
          <w:tcPr>
            <w:tcW w:w="397" w:type="dxa"/>
            <w:tcBorders>
              <w:top w:val="nil"/>
              <w:left w:val="nil"/>
              <w:bottom w:val="nil"/>
              <w:right w:val="nil"/>
            </w:tcBorders>
            <w:shd w:val="clear" w:color="auto" w:fill="auto"/>
            <w:noWrap/>
            <w:vAlign w:val="center"/>
            <w:hideMark/>
          </w:tcPr>
          <w:p w14:paraId="536498A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5540850C"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17488</w:t>
            </w:r>
          </w:p>
        </w:tc>
        <w:tc>
          <w:tcPr>
            <w:tcW w:w="317" w:type="dxa"/>
            <w:tcBorders>
              <w:top w:val="nil"/>
              <w:left w:val="nil"/>
              <w:bottom w:val="nil"/>
              <w:right w:val="single" w:sz="4" w:space="0" w:color="auto"/>
            </w:tcBorders>
            <w:shd w:val="clear" w:color="auto" w:fill="auto"/>
            <w:noWrap/>
            <w:vAlign w:val="center"/>
            <w:hideMark/>
          </w:tcPr>
          <w:p w14:paraId="273D036A"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6AB8BC1E"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w:t>
            </w:r>
          </w:p>
        </w:tc>
        <w:tc>
          <w:tcPr>
            <w:tcW w:w="423" w:type="dxa"/>
            <w:tcBorders>
              <w:top w:val="nil"/>
              <w:left w:val="nil"/>
              <w:bottom w:val="nil"/>
              <w:right w:val="nil"/>
            </w:tcBorders>
            <w:shd w:val="clear" w:color="auto" w:fill="auto"/>
            <w:noWrap/>
            <w:vAlign w:val="center"/>
            <w:hideMark/>
          </w:tcPr>
          <w:p w14:paraId="4C15B718"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781DF8A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204</w:t>
            </w:r>
          </w:p>
        </w:tc>
        <w:tc>
          <w:tcPr>
            <w:tcW w:w="515" w:type="dxa"/>
            <w:tcBorders>
              <w:top w:val="nil"/>
              <w:left w:val="nil"/>
              <w:bottom w:val="nil"/>
              <w:right w:val="nil"/>
            </w:tcBorders>
            <w:shd w:val="clear" w:color="auto" w:fill="auto"/>
            <w:noWrap/>
            <w:vAlign w:val="center"/>
            <w:hideMark/>
          </w:tcPr>
          <w:p w14:paraId="30D8C57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071CDD1F"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79</w:t>
            </w:r>
          </w:p>
        </w:tc>
        <w:tc>
          <w:tcPr>
            <w:tcW w:w="410" w:type="dxa"/>
            <w:tcBorders>
              <w:top w:val="nil"/>
              <w:left w:val="nil"/>
              <w:bottom w:val="nil"/>
              <w:right w:val="single" w:sz="4" w:space="0" w:color="auto"/>
            </w:tcBorders>
            <w:shd w:val="clear" w:color="auto" w:fill="auto"/>
            <w:noWrap/>
            <w:vAlign w:val="center"/>
            <w:hideMark/>
          </w:tcPr>
          <w:p w14:paraId="795BB52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4E411FD6"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12</w:t>
            </w:r>
          </w:p>
        </w:tc>
        <w:tc>
          <w:tcPr>
            <w:tcW w:w="420" w:type="dxa"/>
            <w:tcBorders>
              <w:top w:val="nil"/>
              <w:left w:val="nil"/>
              <w:bottom w:val="nil"/>
              <w:right w:val="nil"/>
            </w:tcBorders>
            <w:shd w:val="clear" w:color="auto" w:fill="auto"/>
            <w:noWrap/>
            <w:vAlign w:val="center"/>
            <w:hideMark/>
          </w:tcPr>
          <w:p w14:paraId="336F3507"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4C5210AE"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185</w:t>
            </w:r>
          </w:p>
        </w:tc>
        <w:tc>
          <w:tcPr>
            <w:tcW w:w="515" w:type="dxa"/>
            <w:tcBorders>
              <w:top w:val="nil"/>
              <w:left w:val="nil"/>
              <w:bottom w:val="nil"/>
              <w:right w:val="nil"/>
            </w:tcBorders>
            <w:shd w:val="clear" w:color="auto" w:fill="auto"/>
            <w:noWrap/>
            <w:vAlign w:val="center"/>
            <w:hideMark/>
          </w:tcPr>
          <w:p w14:paraId="0356B377"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302F7DF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64</w:t>
            </w:r>
          </w:p>
        </w:tc>
        <w:tc>
          <w:tcPr>
            <w:tcW w:w="409" w:type="dxa"/>
            <w:tcBorders>
              <w:top w:val="nil"/>
              <w:left w:val="nil"/>
              <w:bottom w:val="nil"/>
              <w:right w:val="nil"/>
            </w:tcBorders>
            <w:shd w:val="clear" w:color="auto" w:fill="auto"/>
            <w:noWrap/>
            <w:vAlign w:val="center"/>
            <w:hideMark/>
          </w:tcPr>
          <w:p w14:paraId="28FFA31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50E4A9EC"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4FE93214"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Efficiency </w:t>
            </w:r>
          </w:p>
        </w:tc>
        <w:tc>
          <w:tcPr>
            <w:tcW w:w="600" w:type="dxa"/>
            <w:tcBorders>
              <w:top w:val="nil"/>
              <w:left w:val="nil"/>
              <w:bottom w:val="nil"/>
              <w:right w:val="nil"/>
            </w:tcBorders>
            <w:shd w:val="clear" w:color="auto" w:fill="auto"/>
            <w:noWrap/>
            <w:vAlign w:val="center"/>
            <w:hideMark/>
          </w:tcPr>
          <w:p w14:paraId="4033121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18692</w:t>
            </w:r>
          </w:p>
        </w:tc>
        <w:tc>
          <w:tcPr>
            <w:tcW w:w="315" w:type="dxa"/>
            <w:tcBorders>
              <w:top w:val="nil"/>
              <w:left w:val="nil"/>
              <w:bottom w:val="nil"/>
              <w:right w:val="nil"/>
            </w:tcBorders>
            <w:shd w:val="clear" w:color="auto" w:fill="auto"/>
            <w:noWrap/>
            <w:vAlign w:val="center"/>
            <w:hideMark/>
          </w:tcPr>
          <w:p w14:paraId="0249DA9F"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6654A634"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26197</w:t>
            </w:r>
          </w:p>
        </w:tc>
        <w:tc>
          <w:tcPr>
            <w:tcW w:w="397" w:type="dxa"/>
            <w:tcBorders>
              <w:top w:val="nil"/>
              <w:left w:val="nil"/>
              <w:bottom w:val="nil"/>
              <w:right w:val="nil"/>
            </w:tcBorders>
            <w:shd w:val="clear" w:color="auto" w:fill="auto"/>
            <w:noWrap/>
            <w:vAlign w:val="center"/>
            <w:hideMark/>
          </w:tcPr>
          <w:p w14:paraId="58790BAF"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36C20D8B"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6512</w:t>
            </w:r>
          </w:p>
        </w:tc>
        <w:tc>
          <w:tcPr>
            <w:tcW w:w="317" w:type="dxa"/>
            <w:tcBorders>
              <w:top w:val="nil"/>
              <w:left w:val="nil"/>
              <w:bottom w:val="nil"/>
              <w:right w:val="single" w:sz="4" w:space="0" w:color="auto"/>
            </w:tcBorders>
            <w:shd w:val="clear" w:color="auto" w:fill="auto"/>
            <w:noWrap/>
            <w:vAlign w:val="center"/>
            <w:hideMark/>
          </w:tcPr>
          <w:p w14:paraId="4D8E6696"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6B026134"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w:t>
            </w:r>
          </w:p>
        </w:tc>
        <w:tc>
          <w:tcPr>
            <w:tcW w:w="423" w:type="dxa"/>
            <w:tcBorders>
              <w:top w:val="nil"/>
              <w:left w:val="nil"/>
              <w:bottom w:val="nil"/>
              <w:right w:val="nil"/>
            </w:tcBorders>
            <w:shd w:val="clear" w:color="auto" w:fill="auto"/>
            <w:noWrap/>
            <w:vAlign w:val="center"/>
            <w:hideMark/>
          </w:tcPr>
          <w:p w14:paraId="55580A7D"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2D974E54"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188</w:t>
            </w:r>
          </w:p>
        </w:tc>
        <w:tc>
          <w:tcPr>
            <w:tcW w:w="515" w:type="dxa"/>
            <w:tcBorders>
              <w:top w:val="nil"/>
              <w:left w:val="nil"/>
              <w:bottom w:val="nil"/>
              <w:right w:val="nil"/>
            </w:tcBorders>
            <w:shd w:val="clear" w:color="auto" w:fill="auto"/>
            <w:noWrap/>
            <w:vAlign w:val="center"/>
            <w:hideMark/>
          </w:tcPr>
          <w:p w14:paraId="20A4BC17"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6AD09472"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w:t>
            </w:r>
          </w:p>
        </w:tc>
        <w:tc>
          <w:tcPr>
            <w:tcW w:w="410" w:type="dxa"/>
            <w:tcBorders>
              <w:top w:val="nil"/>
              <w:left w:val="nil"/>
              <w:bottom w:val="nil"/>
              <w:right w:val="single" w:sz="4" w:space="0" w:color="auto"/>
            </w:tcBorders>
            <w:shd w:val="clear" w:color="auto" w:fill="auto"/>
            <w:noWrap/>
            <w:vAlign w:val="center"/>
            <w:hideMark/>
          </w:tcPr>
          <w:p w14:paraId="5EDBCE4D"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3186479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12</w:t>
            </w:r>
          </w:p>
        </w:tc>
        <w:tc>
          <w:tcPr>
            <w:tcW w:w="420" w:type="dxa"/>
            <w:tcBorders>
              <w:top w:val="nil"/>
              <w:left w:val="nil"/>
              <w:bottom w:val="nil"/>
              <w:right w:val="nil"/>
            </w:tcBorders>
            <w:shd w:val="clear" w:color="auto" w:fill="auto"/>
            <w:noWrap/>
            <w:vAlign w:val="center"/>
            <w:hideMark/>
          </w:tcPr>
          <w:p w14:paraId="07759A71"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45B29D11"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223</w:t>
            </w:r>
          </w:p>
        </w:tc>
        <w:tc>
          <w:tcPr>
            <w:tcW w:w="515" w:type="dxa"/>
            <w:tcBorders>
              <w:top w:val="nil"/>
              <w:left w:val="nil"/>
              <w:bottom w:val="nil"/>
              <w:right w:val="nil"/>
            </w:tcBorders>
            <w:shd w:val="clear" w:color="auto" w:fill="auto"/>
            <w:noWrap/>
            <w:vAlign w:val="center"/>
            <w:hideMark/>
          </w:tcPr>
          <w:p w14:paraId="704081F8"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75C6FD6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w:t>
            </w:r>
          </w:p>
        </w:tc>
        <w:tc>
          <w:tcPr>
            <w:tcW w:w="409" w:type="dxa"/>
            <w:tcBorders>
              <w:top w:val="nil"/>
              <w:left w:val="nil"/>
              <w:bottom w:val="nil"/>
              <w:right w:val="nil"/>
            </w:tcBorders>
            <w:shd w:val="clear" w:color="auto" w:fill="auto"/>
            <w:noWrap/>
            <w:vAlign w:val="center"/>
            <w:hideMark/>
          </w:tcPr>
          <w:p w14:paraId="6DF4516D" w14:textId="77777777" w:rsidR="00A02C91" w:rsidRPr="00802F1A" w:rsidRDefault="00A02C91" w:rsidP="00A02C91">
            <w:pPr>
              <w:spacing w:line="240" w:lineRule="auto"/>
              <w:jc w:val="right"/>
              <w:rPr>
                <w:rFonts w:eastAsia="Times New Roman" w:cs="Times New Roman"/>
                <w:sz w:val="18"/>
                <w:szCs w:val="18"/>
                <w:lang w:eastAsia="en-AU"/>
              </w:rPr>
            </w:pPr>
          </w:p>
        </w:tc>
      </w:tr>
      <w:tr w:rsidR="00802F1A" w:rsidRPr="00802F1A" w14:paraId="4128E6BA"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6F57AF27"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Dev </w:t>
            </w:r>
          </w:p>
        </w:tc>
        <w:tc>
          <w:tcPr>
            <w:tcW w:w="600" w:type="dxa"/>
            <w:tcBorders>
              <w:top w:val="nil"/>
              <w:left w:val="nil"/>
              <w:bottom w:val="nil"/>
              <w:right w:val="nil"/>
            </w:tcBorders>
            <w:shd w:val="clear" w:color="auto" w:fill="auto"/>
            <w:noWrap/>
            <w:vAlign w:val="center"/>
            <w:hideMark/>
          </w:tcPr>
          <w:p w14:paraId="11E76501"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18736</w:t>
            </w:r>
          </w:p>
        </w:tc>
        <w:tc>
          <w:tcPr>
            <w:tcW w:w="315" w:type="dxa"/>
            <w:tcBorders>
              <w:top w:val="nil"/>
              <w:left w:val="nil"/>
              <w:bottom w:val="nil"/>
              <w:right w:val="nil"/>
            </w:tcBorders>
            <w:shd w:val="clear" w:color="auto" w:fill="auto"/>
            <w:noWrap/>
            <w:vAlign w:val="center"/>
            <w:hideMark/>
          </w:tcPr>
          <w:p w14:paraId="751A985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18529480"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26847</w:t>
            </w:r>
          </w:p>
        </w:tc>
        <w:tc>
          <w:tcPr>
            <w:tcW w:w="397" w:type="dxa"/>
            <w:tcBorders>
              <w:top w:val="nil"/>
              <w:left w:val="nil"/>
              <w:bottom w:val="nil"/>
              <w:right w:val="nil"/>
            </w:tcBorders>
            <w:shd w:val="clear" w:color="auto" w:fill="auto"/>
            <w:noWrap/>
            <w:vAlign w:val="center"/>
            <w:hideMark/>
          </w:tcPr>
          <w:p w14:paraId="3317BF27"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310D0E0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20661</w:t>
            </w:r>
          </w:p>
        </w:tc>
        <w:tc>
          <w:tcPr>
            <w:tcW w:w="317" w:type="dxa"/>
            <w:tcBorders>
              <w:top w:val="nil"/>
              <w:left w:val="nil"/>
              <w:bottom w:val="nil"/>
              <w:right w:val="single" w:sz="4" w:space="0" w:color="auto"/>
            </w:tcBorders>
            <w:shd w:val="clear" w:color="auto" w:fill="auto"/>
            <w:noWrap/>
            <w:vAlign w:val="center"/>
            <w:hideMark/>
          </w:tcPr>
          <w:p w14:paraId="5CE06B6D"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28860D9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w:t>
            </w:r>
          </w:p>
        </w:tc>
        <w:tc>
          <w:tcPr>
            <w:tcW w:w="423" w:type="dxa"/>
            <w:tcBorders>
              <w:top w:val="nil"/>
              <w:left w:val="nil"/>
              <w:bottom w:val="nil"/>
              <w:right w:val="nil"/>
            </w:tcBorders>
            <w:shd w:val="clear" w:color="auto" w:fill="auto"/>
            <w:noWrap/>
            <w:vAlign w:val="center"/>
            <w:hideMark/>
          </w:tcPr>
          <w:p w14:paraId="39C511C8"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5848060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194</w:t>
            </w:r>
          </w:p>
        </w:tc>
        <w:tc>
          <w:tcPr>
            <w:tcW w:w="515" w:type="dxa"/>
            <w:tcBorders>
              <w:top w:val="nil"/>
              <w:left w:val="nil"/>
              <w:bottom w:val="nil"/>
              <w:right w:val="nil"/>
            </w:tcBorders>
            <w:shd w:val="clear" w:color="auto" w:fill="auto"/>
            <w:noWrap/>
            <w:vAlign w:val="center"/>
            <w:hideMark/>
          </w:tcPr>
          <w:p w14:paraId="5E1B918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62ABE71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90</w:t>
            </w:r>
          </w:p>
        </w:tc>
        <w:tc>
          <w:tcPr>
            <w:tcW w:w="410" w:type="dxa"/>
            <w:tcBorders>
              <w:top w:val="nil"/>
              <w:left w:val="nil"/>
              <w:bottom w:val="nil"/>
              <w:right w:val="single" w:sz="4" w:space="0" w:color="auto"/>
            </w:tcBorders>
            <w:shd w:val="clear" w:color="auto" w:fill="auto"/>
            <w:noWrap/>
            <w:vAlign w:val="center"/>
            <w:hideMark/>
          </w:tcPr>
          <w:p w14:paraId="77CCB2B8"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02F12F7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12</w:t>
            </w:r>
          </w:p>
        </w:tc>
        <w:tc>
          <w:tcPr>
            <w:tcW w:w="420" w:type="dxa"/>
            <w:tcBorders>
              <w:top w:val="nil"/>
              <w:left w:val="nil"/>
              <w:bottom w:val="nil"/>
              <w:right w:val="nil"/>
            </w:tcBorders>
            <w:shd w:val="clear" w:color="auto" w:fill="auto"/>
            <w:noWrap/>
            <w:vAlign w:val="center"/>
            <w:hideMark/>
          </w:tcPr>
          <w:p w14:paraId="79B77E96"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0F8038D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181</w:t>
            </w:r>
          </w:p>
        </w:tc>
        <w:tc>
          <w:tcPr>
            <w:tcW w:w="515" w:type="dxa"/>
            <w:tcBorders>
              <w:top w:val="nil"/>
              <w:left w:val="nil"/>
              <w:bottom w:val="nil"/>
              <w:right w:val="nil"/>
            </w:tcBorders>
            <w:shd w:val="clear" w:color="auto" w:fill="auto"/>
            <w:noWrap/>
            <w:vAlign w:val="center"/>
            <w:hideMark/>
          </w:tcPr>
          <w:p w14:paraId="451102F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38ACAC48"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w:t>
            </w:r>
          </w:p>
        </w:tc>
        <w:tc>
          <w:tcPr>
            <w:tcW w:w="409" w:type="dxa"/>
            <w:tcBorders>
              <w:top w:val="nil"/>
              <w:left w:val="nil"/>
              <w:bottom w:val="nil"/>
              <w:right w:val="nil"/>
            </w:tcBorders>
            <w:shd w:val="clear" w:color="auto" w:fill="auto"/>
            <w:noWrap/>
            <w:vAlign w:val="center"/>
            <w:hideMark/>
          </w:tcPr>
          <w:p w14:paraId="535A101C"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0B1A73F0"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59283E44"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FM Dev</w:t>
            </w:r>
          </w:p>
        </w:tc>
        <w:tc>
          <w:tcPr>
            <w:tcW w:w="600" w:type="dxa"/>
            <w:tcBorders>
              <w:top w:val="nil"/>
              <w:left w:val="nil"/>
              <w:bottom w:val="nil"/>
              <w:right w:val="nil"/>
            </w:tcBorders>
            <w:shd w:val="clear" w:color="auto" w:fill="auto"/>
            <w:noWrap/>
            <w:vAlign w:val="center"/>
            <w:hideMark/>
          </w:tcPr>
          <w:p w14:paraId="77E9A89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18734</w:t>
            </w:r>
          </w:p>
        </w:tc>
        <w:tc>
          <w:tcPr>
            <w:tcW w:w="315" w:type="dxa"/>
            <w:tcBorders>
              <w:top w:val="nil"/>
              <w:left w:val="nil"/>
              <w:bottom w:val="nil"/>
              <w:right w:val="nil"/>
            </w:tcBorders>
            <w:shd w:val="clear" w:color="auto" w:fill="auto"/>
            <w:noWrap/>
            <w:vAlign w:val="center"/>
            <w:hideMark/>
          </w:tcPr>
          <w:p w14:paraId="59F5ACA7"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40ED6FF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25780</w:t>
            </w:r>
          </w:p>
        </w:tc>
        <w:tc>
          <w:tcPr>
            <w:tcW w:w="397" w:type="dxa"/>
            <w:tcBorders>
              <w:top w:val="nil"/>
              <w:left w:val="nil"/>
              <w:bottom w:val="nil"/>
              <w:right w:val="nil"/>
            </w:tcBorders>
            <w:shd w:val="clear" w:color="auto" w:fill="auto"/>
            <w:noWrap/>
            <w:vAlign w:val="center"/>
            <w:hideMark/>
          </w:tcPr>
          <w:p w14:paraId="6FEE1745"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1BFFB48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13337</w:t>
            </w:r>
          </w:p>
        </w:tc>
        <w:tc>
          <w:tcPr>
            <w:tcW w:w="317" w:type="dxa"/>
            <w:tcBorders>
              <w:top w:val="nil"/>
              <w:left w:val="nil"/>
              <w:bottom w:val="nil"/>
              <w:right w:val="single" w:sz="4" w:space="0" w:color="auto"/>
            </w:tcBorders>
            <w:shd w:val="clear" w:color="auto" w:fill="auto"/>
            <w:noWrap/>
            <w:vAlign w:val="center"/>
            <w:hideMark/>
          </w:tcPr>
          <w:p w14:paraId="3BBD0EEF"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5EF2BEA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w:t>
            </w:r>
          </w:p>
        </w:tc>
        <w:tc>
          <w:tcPr>
            <w:tcW w:w="423" w:type="dxa"/>
            <w:tcBorders>
              <w:top w:val="nil"/>
              <w:left w:val="nil"/>
              <w:bottom w:val="nil"/>
              <w:right w:val="nil"/>
            </w:tcBorders>
            <w:shd w:val="clear" w:color="auto" w:fill="auto"/>
            <w:noWrap/>
            <w:vAlign w:val="center"/>
            <w:hideMark/>
          </w:tcPr>
          <w:p w14:paraId="21886EEC"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0A14294E"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185</w:t>
            </w:r>
          </w:p>
        </w:tc>
        <w:tc>
          <w:tcPr>
            <w:tcW w:w="515" w:type="dxa"/>
            <w:tcBorders>
              <w:top w:val="nil"/>
              <w:left w:val="nil"/>
              <w:bottom w:val="nil"/>
              <w:right w:val="nil"/>
            </w:tcBorders>
            <w:shd w:val="clear" w:color="auto" w:fill="auto"/>
            <w:noWrap/>
            <w:vAlign w:val="center"/>
            <w:hideMark/>
          </w:tcPr>
          <w:p w14:paraId="42815972"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7751488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52</w:t>
            </w:r>
          </w:p>
        </w:tc>
        <w:tc>
          <w:tcPr>
            <w:tcW w:w="410" w:type="dxa"/>
            <w:tcBorders>
              <w:top w:val="nil"/>
              <w:left w:val="nil"/>
              <w:bottom w:val="nil"/>
              <w:right w:val="single" w:sz="4" w:space="0" w:color="auto"/>
            </w:tcBorders>
            <w:shd w:val="clear" w:color="auto" w:fill="auto"/>
            <w:noWrap/>
            <w:vAlign w:val="center"/>
            <w:hideMark/>
          </w:tcPr>
          <w:p w14:paraId="04581BE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4333B4C0"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12</w:t>
            </w:r>
          </w:p>
        </w:tc>
        <w:tc>
          <w:tcPr>
            <w:tcW w:w="420" w:type="dxa"/>
            <w:tcBorders>
              <w:top w:val="nil"/>
              <w:left w:val="nil"/>
              <w:bottom w:val="nil"/>
              <w:right w:val="nil"/>
            </w:tcBorders>
            <w:shd w:val="clear" w:color="auto" w:fill="auto"/>
            <w:noWrap/>
            <w:vAlign w:val="center"/>
            <w:hideMark/>
          </w:tcPr>
          <w:p w14:paraId="31AA144D"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64D98CB0"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231</w:t>
            </w:r>
          </w:p>
        </w:tc>
        <w:tc>
          <w:tcPr>
            <w:tcW w:w="515" w:type="dxa"/>
            <w:tcBorders>
              <w:top w:val="nil"/>
              <w:left w:val="nil"/>
              <w:bottom w:val="nil"/>
              <w:right w:val="nil"/>
            </w:tcBorders>
            <w:shd w:val="clear" w:color="auto" w:fill="auto"/>
            <w:noWrap/>
            <w:vAlign w:val="center"/>
            <w:hideMark/>
          </w:tcPr>
          <w:p w14:paraId="08F7170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0A3C22C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53</w:t>
            </w:r>
          </w:p>
        </w:tc>
        <w:tc>
          <w:tcPr>
            <w:tcW w:w="409" w:type="dxa"/>
            <w:tcBorders>
              <w:top w:val="nil"/>
              <w:left w:val="nil"/>
              <w:bottom w:val="nil"/>
              <w:right w:val="nil"/>
            </w:tcBorders>
            <w:shd w:val="clear" w:color="auto" w:fill="auto"/>
            <w:noWrap/>
            <w:vAlign w:val="center"/>
            <w:hideMark/>
          </w:tcPr>
          <w:p w14:paraId="400E994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54A115DC" w14:textId="77777777" w:rsidTr="00A02C91">
        <w:trPr>
          <w:gridAfter w:val="1"/>
          <w:wAfter w:w="13" w:type="dxa"/>
          <w:trHeight w:hRule="exact" w:val="299"/>
        </w:trPr>
        <w:tc>
          <w:tcPr>
            <w:tcW w:w="1174" w:type="dxa"/>
            <w:tcBorders>
              <w:top w:val="nil"/>
              <w:left w:val="nil"/>
              <w:bottom w:val="single" w:sz="4" w:space="0" w:color="auto"/>
              <w:right w:val="nil"/>
            </w:tcBorders>
            <w:shd w:val="clear" w:color="auto" w:fill="auto"/>
            <w:noWrap/>
            <w:vAlign w:val="bottom"/>
            <w:hideMark/>
          </w:tcPr>
          <w:p w14:paraId="10DE7470"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w:t>
            </w:r>
          </w:p>
        </w:tc>
        <w:tc>
          <w:tcPr>
            <w:tcW w:w="600" w:type="dxa"/>
            <w:tcBorders>
              <w:top w:val="nil"/>
              <w:left w:val="nil"/>
              <w:bottom w:val="nil"/>
              <w:right w:val="nil"/>
            </w:tcBorders>
            <w:shd w:val="clear" w:color="auto" w:fill="auto"/>
            <w:noWrap/>
            <w:vAlign w:val="center"/>
            <w:hideMark/>
          </w:tcPr>
          <w:p w14:paraId="4125B3A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18379</w:t>
            </w:r>
          </w:p>
        </w:tc>
        <w:tc>
          <w:tcPr>
            <w:tcW w:w="315" w:type="dxa"/>
            <w:tcBorders>
              <w:top w:val="nil"/>
              <w:left w:val="nil"/>
              <w:bottom w:val="nil"/>
              <w:right w:val="nil"/>
            </w:tcBorders>
            <w:shd w:val="clear" w:color="auto" w:fill="auto"/>
            <w:noWrap/>
            <w:vAlign w:val="center"/>
            <w:hideMark/>
          </w:tcPr>
          <w:p w14:paraId="5E699B4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1477DB6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26128</w:t>
            </w:r>
          </w:p>
        </w:tc>
        <w:tc>
          <w:tcPr>
            <w:tcW w:w="397" w:type="dxa"/>
            <w:tcBorders>
              <w:top w:val="nil"/>
              <w:left w:val="nil"/>
              <w:bottom w:val="nil"/>
              <w:right w:val="nil"/>
            </w:tcBorders>
            <w:shd w:val="clear" w:color="auto" w:fill="auto"/>
            <w:noWrap/>
            <w:vAlign w:val="center"/>
            <w:hideMark/>
          </w:tcPr>
          <w:p w14:paraId="5529A12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3917B2E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24971</w:t>
            </w:r>
          </w:p>
        </w:tc>
        <w:tc>
          <w:tcPr>
            <w:tcW w:w="317" w:type="dxa"/>
            <w:tcBorders>
              <w:top w:val="nil"/>
              <w:left w:val="nil"/>
              <w:bottom w:val="nil"/>
              <w:right w:val="single" w:sz="4" w:space="0" w:color="auto"/>
            </w:tcBorders>
            <w:shd w:val="clear" w:color="auto" w:fill="auto"/>
            <w:noWrap/>
            <w:vAlign w:val="center"/>
            <w:hideMark/>
          </w:tcPr>
          <w:p w14:paraId="5D380790"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4986F481"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61</w:t>
            </w:r>
          </w:p>
        </w:tc>
        <w:tc>
          <w:tcPr>
            <w:tcW w:w="423" w:type="dxa"/>
            <w:tcBorders>
              <w:top w:val="nil"/>
              <w:left w:val="nil"/>
              <w:bottom w:val="nil"/>
              <w:right w:val="nil"/>
            </w:tcBorders>
            <w:shd w:val="clear" w:color="auto" w:fill="auto"/>
            <w:noWrap/>
            <w:vAlign w:val="center"/>
            <w:hideMark/>
          </w:tcPr>
          <w:p w14:paraId="595EE6D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28CB524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184</w:t>
            </w:r>
          </w:p>
        </w:tc>
        <w:tc>
          <w:tcPr>
            <w:tcW w:w="515" w:type="dxa"/>
            <w:tcBorders>
              <w:top w:val="nil"/>
              <w:left w:val="nil"/>
              <w:bottom w:val="nil"/>
              <w:right w:val="nil"/>
            </w:tcBorders>
            <w:shd w:val="clear" w:color="auto" w:fill="auto"/>
            <w:noWrap/>
            <w:vAlign w:val="center"/>
            <w:hideMark/>
          </w:tcPr>
          <w:p w14:paraId="1B2024C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3B303FA9"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178</w:t>
            </w:r>
          </w:p>
        </w:tc>
        <w:tc>
          <w:tcPr>
            <w:tcW w:w="410" w:type="dxa"/>
            <w:tcBorders>
              <w:top w:val="nil"/>
              <w:left w:val="nil"/>
              <w:bottom w:val="nil"/>
              <w:right w:val="single" w:sz="4" w:space="0" w:color="auto"/>
            </w:tcBorders>
            <w:shd w:val="clear" w:color="auto" w:fill="auto"/>
            <w:noWrap/>
            <w:vAlign w:val="center"/>
            <w:hideMark/>
          </w:tcPr>
          <w:p w14:paraId="45070DE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3AAD837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15</w:t>
            </w:r>
          </w:p>
        </w:tc>
        <w:tc>
          <w:tcPr>
            <w:tcW w:w="420" w:type="dxa"/>
            <w:tcBorders>
              <w:top w:val="nil"/>
              <w:left w:val="nil"/>
              <w:bottom w:val="nil"/>
              <w:right w:val="nil"/>
            </w:tcBorders>
            <w:shd w:val="clear" w:color="auto" w:fill="auto"/>
            <w:noWrap/>
            <w:vAlign w:val="center"/>
            <w:hideMark/>
          </w:tcPr>
          <w:p w14:paraId="2D99C560"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7F35B67C"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201</w:t>
            </w:r>
          </w:p>
        </w:tc>
        <w:tc>
          <w:tcPr>
            <w:tcW w:w="515" w:type="dxa"/>
            <w:tcBorders>
              <w:top w:val="nil"/>
              <w:left w:val="nil"/>
              <w:bottom w:val="nil"/>
              <w:right w:val="nil"/>
            </w:tcBorders>
            <w:shd w:val="clear" w:color="auto" w:fill="auto"/>
            <w:noWrap/>
            <w:vAlign w:val="center"/>
            <w:hideMark/>
          </w:tcPr>
          <w:p w14:paraId="4AA69F3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7537F27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61</w:t>
            </w:r>
          </w:p>
        </w:tc>
        <w:tc>
          <w:tcPr>
            <w:tcW w:w="409" w:type="dxa"/>
            <w:tcBorders>
              <w:top w:val="nil"/>
              <w:left w:val="nil"/>
              <w:bottom w:val="nil"/>
              <w:right w:val="nil"/>
            </w:tcBorders>
            <w:shd w:val="clear" w:color="auto" w:fill="auto"/>
            <w:noWrap/>
            <w:vAlign w:val="center"/>
            <w:hideMark/>
          </w:tcPr>
          <w:p w14:paraId="7E5D1950"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47E930D6" w14:textId="77777777" w:rsidTr="00A02C91">
        <w:trPr>
          <w:trHeight w:hRule="exact" w:val="451"/>
        </w:trPr>
        <w:tc>
          <w:tcPr>
            <w:tcW w:w="1174" w:type="dxa"/>
            <w:tcBorders>
              <w:top w:val="nil"/>
              <w:left w:val="nil"/>
              <w:bottom w:val="nil"/>
              <w:right w:val="nil"/>
            </w:tcBorders>
            <w:shd w:val="clear" w:color="auto" w:fill="auto"/>
            <w:noWrap/>
            <w:vAlign w:val="bottom"/>
            <w:hideMark/>
          </w:tcPr>
          <w:p w14:paraId="42D0863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Tests</w:t>
            </w:r>
          </w:p>
        </w:tc>
        <w:tc>
          <w:tcPr>
            <w:tcW w:w="2969" w:type="dxa"/>
            <w:gridSpan w:val="6"/>
            <w:tcBorders>
              <w:top w:val="single" w:sz="4" w:space="0" w:color="auto"/>
              <w:left w:val="nil"/>
              <w:bottom w:val="nil"/>
              <w:right w:val="single" w:sz="4" w:space="0" w:color="000000"/>
            </w:tcBorders>
            <w:shd w:val="clear" w:color="auto" w:fill="auto"/>
            <w:hideMark/>
          </w:tcPr>
          <w:p w14:paraId="54BAD2E3"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Modified Wald test for heteroskedasticity</w:t>
            </w:r>
          </w:p>
        </w:tc>
        <w:tc>
          <w:tcPr>
            <w:tcW w:w="2609" w:type="dxa"/>
            <w:gridSpan w:val="6"/>
            <w:tcBorders>
              <w:top w:val="single" w:sz="4" w:space="0" w:color="auto"/>
              <w:left w:val="nil"/>
              <w:bottom w:val="nil"/>
              <w:right w:val="single" w:sz="4" w:space="0" w:color="000000"/>
            </w:tcBorders>
            <w:shd w:val="clear" w:color="auto" w:fill="auto"/>
            <w:hideMark/>
          </w:tcPr>
          <w:p w14:paraId="1E392A8E" w14:textId="77777777" w:rsidR="00A02C91" w:rsidRPr="00802F1A" w:rsidRDefault="00A02C91" w:rsidP="00A02C91">
            <w:pPr>
              <w:spacing w:line="240" w:lineRule="auto"/>
              <w:jc w:val="center"/>
              <w:rPr>
                <w:rFonts w:eastAsia="Times New Roman" w:cs="Times New Roman"/>
                <w:sz w:val="18"/>
                <w:szCs w:val="18"/>
                <w:lang w:eastAsia="en-AU"/>
              </w:rPr>
            </w:pPr>
            <w:proofErr w:type="spellStart"/>
            <w:r w:rsidRPr="00802F1A">
              <w:rPr>
                <w:rFonts w:eastAsia="Times New Roman" w:cs="Times New Roman"/>
                <w:sz w:val="18"/>
                <w:szCs w:val="18"/>
                <w:lang w:eastAsia="en-AU"/>
              </w:rPr>
              <w:t>Pesaran</w:t>
            </w:r>
            <w:proofErr w:type="spellEnd"/>
            <w:r w:rsidRPr="00802F1A">
              <w:rPr>
                <w:rFonts w:eastAsia="Times New Roman" w:cs="Times New Roman"/>
                <w:sz w:val="18"/>
                <w:szCs w:val="18"/>
                <w:lang w:eastAsia="en-AU"/>
              </w:rPr>
              <w:t xml:space="preserve"> test for cross-sectional dependence</w:t>
            </w:r>
          </w:p>
        </w:tc>
        <w:tc>
          <w:tcPr>
            <w:tcW w:w="2584" w:type="dxa"/>
            <w:gridSpan w:val="7"/>
            <w:tcBorders>
              <w:top w:val="single" w:sz="4" w:space="0" w:color="auto"/>
              <w:left w:val="nil"/>
              <w:bottom w:val="nil"/>
              <w:right w:val="nil"/>
            </w:tcBorders>
            <w:shd w:val="clear" w:color="auto" w:fill="auto"/>
            <w:hideMark/>
          </w:tcPr>
          <w:p w14:paraId="12224622"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 xml:space="preserve">Wooldridge test for autocorrelation </w:t>
            </w:r>
          </w:p>
        </w:tc>
      </w:tr>
      <w:tr w:rsidR="00802F1A" w:rsidRPr="00802F1A" w14:paraId="3210D68F" w14:textId="77777777" w:rsidTr="00A02C91">
        <w:trPr>
          <w:trHeight w:hRule="exact" w:val="460"/>
        </w:trPr>
        <w:tc>
          <w:tcPr>
            <w:tcW w:w="1174" w:type="dxa"/>
            <w:tcBorders>
              <w:top w:val="nil"/>
              <w:left w:val="nil"/>
              <w:bottom w:val="single" w:sz="4" w:space="0" w:color="auto"/>
              <w:right w:val="nil"/>
            </w:tcBorders>
            <w:shd w:val="clear" w:color="auto" w:fill="auto"/>
            <w:noWrap/>
            <w:vAlign w:val="bottom"/>
            <w:hideMark/>
          </w:tcPr>
          <w:p w14:paraId="58035B35"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Models</w:t>
            </w:r>
          </w:p>
        </w:tc>
        <w:tc>
          <w:tcPr>
            <w:tcW w:w="916" w:type="dxa"/>
            <w:gridSpan w:val="2"/>
            <w:tcBorders>
              <w:top w:val="single" w:sz="4" w:space="0" w:color="auto"/>
              <w:left w:val="nil"/>
              <w:bottom w:val="single" w:sz="4" w:space="0" w:color="auto"/>
              <w:right w:val="nil"/>
            </w:tcBorders>
            <w:shd w:val="clear" w:color="auto" w:fill="auto"/>
            <w:noWrap/>
            <w:hideMark/>
          </w:tcPr>
          <w:p w14:paraId="13CED573"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HHI Energy</w:t>
            </w:r>
          </w:p>
        </w:tc>
        <w:tc>
          <w:tcPr>
            <w:tcW w:w="1031" w:type="dxa"/>
            <w:gridSpan w:val="2"/>
            <w:tcBorders>
              <w:top w:val="single" w:sz="4" w:space="0" w:color="auto"/>
              <w:left w:val="nil"/>
              <w:bottom w:val="single" w:sz="4" w:space="0" w:color="auto"/>
              <w:right w:val="nil"/>
            </w:tcBorders>
            <w:shd w:val="clear" w:color="auto" w:fill="auto"/>
            <w:noWrap/>
            <w:hideMark/>
          </w:tcPr>
          <w:p w14:paraId="00DF646A"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Income per capita</w:t>
            </w:r>
          </w:p>
        </w:tc>
        <w:tc>
          <w:tcPr>
            <w:tcW w:w="1022" w:type="dxa"/>
            <w:gridSpan w:val="2"/>
            <w:tcBorders>
              <w:top w:val="single" w:sz="4" w:space="0" w:color="auto"/>
              <w:left w:val="nil"/>
              <w:bottom w:val="single" w:sz="4" w:space="0" w:color="auto"/>
              <w:right w:val="single" w:sz="4" w:space="0" w:color="000000"/>
            </w:tcBorders>
            <w:shd w:val="clear" w:color="auto" w:fill="auto"/>
            <w:noWrap/>
            <w:hideMark/>
          </w:tcPr>
          <w:p w14:paraId="151BDC80"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Financial Dev</w:t>
            </w:r>
          </w:p>
        </w:tc>
        <w:tc>
          <w:tcPr>
            <w:tcW w:w="730" w:type="dxa"/>
            <w:gridSpan w:val="2"/>
            <w:tcBorders>
              <w:top w:val="single" w:sz="4" w:space="0" w:color="auto"/>
              <w:left w:val="nil"/>
              <w:bottom w:val="single" w:sz="4" w:space="0" w:color="auto"/>
              <w:right w:val="nil"/>
            </w:tcBorders>
            <w:shd w:val="clear" w:color="auto" w:fill="auto"/>
            <w:noWrap/>
            <w:hideMark/>
          </w:tcPr>
          <w:p w14:paraId="68E6D17F"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HHI Energy</w:t>
            </w:r>
          </w:p>
        </w:tc>
        <w:tc>
          <w:tcPr>
            <w:tcW w:w="1031" w:type="dxa"/>
            <w:gridSpan w:val="2"/>
            <w:tcBorders>
              <w:top w:val="single" w:sz="4" w:space="0" w:color="auto"/>
              <w:left w:val="nil"/>
              <w:bottom w:val="single" w:sz="4" w:space="0" w:color="auto"/>
              <w:right w:val="nil"/>
            </w:tcBorders>
            <w:shd w:val="clear" w:color="auto" w:fill="auto"/>
            <w:noWrap/>
            <w:hideMark/>
          </w:tcPr>
          <w:p w14:paraId="79FFE6EA"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Income per capita</w:t>
            </w:r>
          </w:p>
        </w:tc>
        <w:tc>
          <w:tcPr>
            <w:tcW w:w="847" w:type="dxa"/>
            <w:gridSpan w:val="2"/>
            <w:tcBorders>
              <w:top w:val="single" w:sz="4" w:space="0" w:color="auto"/>
              <w:left w:val="nil"/>
              <w:bottom w:val="single" w:sz="4" w:space="0" w:color="auto"/>
              <w:right w:val="single" w:sz="4" w:space="0" w:color="000000"/>
            </w:tcBorders>
            <w:shd w:val="clear" w:color="auto" w:fill="auto"/>
            <w:noWrap/>
            <w:hideMark/>
          </w:tcPr>
          <w:p w14:paraId="694A8535"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Financial Dev</w:t>
            </w:r>
          </w:p>
        </w:tc>
        <w:tc>
          <w:tcPr>
            <w:tcW w:w="719" w:type="dxa"/>
            <w:gridSpan w:val="2"/>
            <w:tcBorders>
              <w:top w:val="single" w:sz="4" w:space="0" w:color="auto"/>
              <w:left w:val="nil"/>
              <w:bottom w:val="single" w:sz="4" w:space="0" w:color="auto"/>
              <w:right w:val="nil"/>
            </w:tcBorders>
            <w:shd w:val="clear" w:color="auto" w:fill="auto"/>
            <w:noWrap/>
            <w:hideMark/>
          </w:tcPr>
          <w:p w14:paraId="6AE5392A"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HHI Energy</w:t>
            </w:r>
          </w:p>
        </w:tc>
        <w:tc>
          <w:tcPr>
            <w:tcW w:w="1031" w:type="dxa"/>
            <w:gridSpan w:val="2"/>
            <w:tcBorders>
              <w:top w:val="single" w:sz="4" w:space="0" w:color="auto"/>
              <w:left w:val="nil"/>
              <w:bottom w:val="single" w:sz="4" w:space="0" w:color="auto"/>
              <w:right w:val="nil"/>
            </w:tcBorders>
            <w:shd w:val="clear" w:color="auto" w:fill="auto"/>
            <w:noWrap/>
            <w:hideMark/>
          </w:tcPr>
          <w:p w14:paraId="76CEE436"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Income per capita</w:t>
            </w:r>
          </w:p>
        </w:tc>
        <w:tc>
          <w:tcPr>
            <w:tcW w:w="833" w:type="dxa"/>
            <w:gridSpan w:val="3"/>
            <w:tcBorders>
              <w:top w:val="single" w:sz="4" w:space="0" w:color="auto"/>
              <w:left w:val="nil"/>
              <w:bottom w:val="single" w:sz="4" w:space="0" w:color="auto"/>
              <w:right w:val="nil"/>
            </w:tcBorders>
            <w:shd w:val="clear" w:color="auto" w:fill="auto"/>
            <w:noWrap/>
            <w:hideMark/>
          </w:tcPr>
          <w:p w14:paraId="7A15D171" w14:textId="77777777" w:rsidR="00A02C91" w:rsidRPr="00802F1A" w:rsidRDefault="00A02C91" w:rsidP="00A02C91">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Financial Dev</w:t>
            </w:r>
          </w:p>
        </w:tc>
      </w:tr>
      <w:tr w:rsidR="00802F1A" w:rsidRPr="00802F1A" w14:paraId="2D90145E"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4B040530"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Depth </w:t>
            </w:r>
          </w:p>
        </w:tc>
        <w:tc>
          <w:tcPr>
            <w:tcW w:w="600" w:type="dxa"/>
            <w:tcBorders>
              <w:top w:val="nil"/>
              <w:left w:val="nil"/>
              <w:bottom w:val="nil"/>
              <w:right w:val="nil"/>
            </w:tcBorders>
            <w:shd w:val="clear" w:color="auto" w:fill="auto"/>
            <w:noWrap/>
            <w:vAlign w:val="center"/>
            <w:hideMark/>
          </w:tcPr>
          <w:p w14:paraId="7447E916"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190441</w:t>
            </w:r>
          </w:p>
        </w:tc>
        <w:tc>
          <w:tcPr>
            <w:tcW w:w="315" w:type="dxa"/>
            <w:tcBorders>
              <w:top w:val="nil"/>
              <w:left w:val="nil"/>
              <w:bottom w:val="nil"/>
              <w:right w:val="nil"/>
            </w:tcBorders>
            <w:shd w:val="clear" w:color="auto" w:fill="auto"/>
            <w:noWrap/>
            <w:vAlign w:val="center"/>
            <w:hideMark/>
          </w:tcPr>
          <w:p w14:paraId="05C5EB5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14E2A700"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2627</w:t>
            </w:r>
          </w:p>
        </w:tc>
        <w:tc>
          <w:tcPr>
            <w:tcW w:w="397" w:type="dxa"/>
            <w:tcBorders>
              <w:top w:val="nil"/>
              <w:left w:val="nil"/>
              <w:bottom w:val="nil"/>
              <w:right w:val="nil"/>
            </w:tcBorders>
            <w:shd w:val="clear" w:color="auto" w:fill="auto"/>
            <w:noWrap/>
            <w:vAlign w:val="center"/>
            <w:hideMark/>
          </w:tcPr>
          <w:p w14:paraId="562D7388"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28B5FBA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7329</w:t>
            </w:r>
          </w:p>
        </w:tc>
        <w:tc>
          <w:tcPr>
            <w:tcW w:w="317" w:type="dxa"/>
            <w:tcBorders>
              <w:top w:val="nil"/>
              <w:left w:val="nil"/>
              <w:bottom w:val="nil"/>
              <w:right w:val="single" w:sz="4" w:space="0" w:color="auto"/>
            </w:tcBorders>
            <w:shd w:val="clear" w:color="auto" w:fill="auto"/>
            <w:noWrap/>
            <w:vAlign w:val="center"/>
            <w:hideMark/>
          </w:tcPr>
          <w:p w14:paraId="688407F0"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2C316CF6"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w:t>
            </w:r>
          </w:p>
        </w:tc>
        <w:tc>
          <w:tcPr>
            <w:tcW w:w="423" w:type="dxa"/>
            <w:tcBorders>
              <w:top w:val="nil"/>
              <w:left w:val="nil"/>
              <w:bottom w:val="nil"/>
              <w:right w:val="nil"/>
            </w:tcBorders>
            <w:shd w:val="clear" w:color="auto" w:fill="auto"/>
            <w:noWrap/>
            <w:vAlign w:val="center"/>
            <w:hideMark/>
          </w:tcPr>
          <w:p w14:paraId="7F2DECFC"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1FE974A9"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17</w:t>
            </w:r>
          </w:p>
        </w:tc>
        <w:tc>
          <w:tcPr>
            <w:tcW w:w="515" w:type="dxa"/>
            <w:tcBorders>
              <w:top w:val="nil"/>
              <w:left w:val="nil"/>
              <w:bottom w:val="nil"/>
              <w:right w:val="nil"/>
            </w:tcBorders>
            <w:shd w:val="clear" w:color="auto" w:fill="auto"/>
            <w:noWrap/>
            <w:vAlign w:val="center"/>
            <w:hideMark/>
          </w:tcPr>
          <w:p w14:paraId="5A2D4DA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170842AE"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22</w:t>
            </w:r>
          </w:p>
        </w:tc>
        <w:tc>
          <w:tcPr>
            <w:tcW w:w="410" w:type="dxa"/>
            <w:tcBorders>
              <w:top w:val="nil"/>
              <w:left w:val="nil"/>
              <w:bottom w:val="nil"/>
              <w:right w:val="single" w:sz="4" w:space="0" w:color="auto"/>
            </w:tcBorders>
            <w:shd w:val="clear" w:color="auto" w:fill="auto"/>
            <w:noWrap/>
            <w:vAlign w:val="center"/>
            <w:hideMark/>
          </w:tcPr>
          <w:p w14:paraId="32F2C63C"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26ABA80B"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0" w:type="dxa"/>
            <w:tcBorders>
              <w:top w:val="nil"/>
              <w:left w:val="nil"/>
              <w:bottom w:val="nil"/>
              <w:right w:val="nil"/>
            </w:tcBorders>
            <w:shd w:val="clear" w:color="auto" w:fill="auto"/>
            <w:noWrap/>
            <w:vAlign w:val="center"/>
            <w:hideMark/>
          </w:tcPr>
          <w:p w14:paraId="225A62F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0093AE0C"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653</w:t>
            </w:r>
          </w:p>
        </w:tc>
        <w:tc>
          <w:tcPr>
            <w:tcW w:w="515" w:type="dxa"/>
            <w:tcBorders>
              <w:top w:val="nil"/>
              <w:left w:val="nil"/>
              <w:bottom w:val="nil"/>
              <w:right w:val="nil"/>
            </w:tcBorders>
            <w:shd w:val="clear" w:color="auto" w:fill="auto"/>
            <w:noWrap/>
            <w:vAlign w:val="center"/>
            <w:hideMark/>
          </w:tcPr>
          <w:p w14:paraId="3C88AFB1"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62C8EF0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234</w:t>
            </w:r>
          </w:p>
        </w:tc>
        <w:tc>
          <w:tcPr>
            <w:tcW w:w="409" w:type="dxa"/>
            <w:tcBorders>
              <w:top w:val="nil"/>
              <w:left w:val="nil"/>
              <w:bottom w:val="nil"/>
              <w:right w:val="nil"/>
            </w:tcBorders>
            <w:shd w:val="clear" w:color="auto" w:fill="auto"/>
            <w:noWrap/>
            <w:vAlign w:val="center"/>
            <w:hideMark/>
          </w:tcPr>
          <w:p w14:paraId="5186705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3A660D75"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0B6A296D"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Access </w:t>
            </w:r>
          </w:p>
        </w:tc>
        <w:tc>
          <w:tcPr>
            <w:tcW w:w="600" w:type="dxa"/>
            <w:tcBorders>
              <w:top w:val="nil"/>
              <w:left w:val="nil"/>
              <w:bottom w:val="nil"/>
              <w:right w:val="nil"/>
            </w:tcBorders>
            <w:shd w:val="clear" w:color="auto" w:fill="auto"/>
            <w:noWrap/>
            <w:vAlign w:val="center"/>
            <w:hideMark/>
          </w:tcPr>
          <w:p w14:paraId="02C3F4D2"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195811</w:t>
            </w:r>
          </w:p>
        </w:tc>
        <w:tc>
          <w:tcPr>
            <w:tcW w:w="315" w:type="dxa"/>
            <w:tcBorders>
              <w:top w:val="nil"/>
              <w:left w:val="nil"/>
              <w:bottom w:val="nil"/>
              <w:right w:val="nil"/>
            </w:tcBorders>
            <w:shd w:val="clear" w:color="auto" w:fill="auto"/>
            <w:noWrap/>
            <w:vAlign w:val="center"/>
            <w:hideMark/>
          </w:tcPr>
          <w:p w14:paraId="3293D4F0"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6C5CBAF4"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3500</w:t>
            </w:r>
          </w:p>
        </w:tc>
        <w:tc>
          <w:tcPr>
            <w:tcW w:w="397" w:type="dxa"/>
            <w:tcBorders>
              <w:top w:val="nil"/>
              <w:left w:val="nil"/>
              <w:bottom w:val="nil"/>
              <w:right w:val="nil"/>
            </w:tcBorders>
            <w:shd w:val="clear" w:color="auto" w:fill="auto"/>
            <w:noWrap/>
            <w:vAlign w:val="center"/>
            <w:hideMark/>
          </w:tcPr>
          <w:p w14:paraId="3C7D033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22F180CB"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8882</w:t>
            </w:r>
          </w:p>
        </w:tc>
        <w:tc>
          <w:tcPr>
            <w:tcW w:w="317" w:type="dxa"/>
            <w:tcBorders>
              <w:top w:val="nil"/>
              <w:left w:val="nil"/>
              <w:bottom w:val="nil"/>
              <w:right w:val="single" w:sz="4" w:space="0" w:color="auto"/>
            </w:tcBorders>
            <w:shd w:val="clear" w:color="auto" w:fill="auto"/>
            <w:noWrap/>
            <w:vAlign w:val="center"/>
            <w:hideMark/>
          </w:tcPr>
          <w:p w14:paraId="25E6B27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1E59DE2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3" w:type="dxa"/>
            <w:tcBorders>
              <w:top w:val="nil"/>
              <w:left w:val="nil"/>
              <w:bottom w:val="nil"/>
              <w:right w:val="nil"/>
            </w:tcBorders>
            <w:shd w:val="clear" w:color="auto" w:fill="auto"/>
            <w:noWrap/>
            <w:vAlign w:val="center"/>
            <w:hideMark/>
          </w:tcPr>
          <w:p w14:paraId="78ABF386"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77AA63D2"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46</w:t>
            </w:r>
          </w:p>
        </w:tc>
        <w:tc>
          <w:tcPr>
            <w:tcW w:w="515" w:type="dxa"/>
            <w:tcBorders>
              <w:top w:val="nil"/>
              <w:left w:val="nil"/>
              <w:bottom w:val="nil"/>
              <w:right w:val="nil"/>
            </w:tcBorders>
            <w:shd w:val="clear" w:color="auto" w:fill="auto"/>
            <w:noWrap/>
            <w:vAlign w:val="center"/>
            <w:hideMark/>
          </w:tcPr>
          <w:p w14:paraId="5EC4712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313543A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w:t>
            </w:r>
          </w:p>
        </w:tc>
        <w:tc>
          <w:tcPr>
            <w:tcW w:w="410" w:type="dxa"/>
            <w:tcBorders>
              <w:top w:val="nil"/>
              <w:left w:val="nil"/>
              <w:bottom w:val="nil"/>
              <w:right w:val="single" w:sz="4" w:space="0" w:color="auto"/>
            </w:tcBorders>
            <w:shd w:val="clear" w:color="auto" w:fill="auto"/>
            <w:noWrap/>
            <w:vAlign w:val="center"/>
            <w:hideMark/>
          </w:tcPr>
          <w:p w14:paraId="6372164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2ACD276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0" w:type="dxa"/>
            <w:tcBorders>
              <w:top w:val="nil"/>
              <w:left w:val="nil"/>
              <w:bottom w:val="nil"/>
              <w:right w:val="nil"/>
            </w:tcBorders>
            <w:shd w:val="clear" w:color="auto" w:fill="auto"/>
            <w:noWrap/>
            <w:vAlign w:val="center"/>
            <w:hideMark/>
          </w:tcPr>
          <w:p w14:paraId="1B6DD8E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60264BF6"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626</w:t>
            </w:r>
          </w:p>
        </w:tc>
        <w:tc>
          <w:tcPr>
            <w:tcW w:w="515" w:type="dxa"/>
            <w:tcBorders>
              <w:top w:val="nil"/>
              <w:left w:val="nil"/>
              <w:bottom w:val="nil"/>
              <w:right w:val="nil"/>
            </w:tcBorders>
            <w:shd w:val="clear" w:color="auto" w:fill="auto"/>
            <w:noWrap/>
            <w:vAlign w:val="center"/>
            <w:hideMark/>
          </w:tcPr>
          <w:p w14:paraId="383D11D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19E2D13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323</w:t>
            </w:r>
          </w:p>
        </w:tc>
        <w:tc>
          <w:tcPr>
            <w:tcW w:w="409" w:type="dxa"/>
            <w:tcBorders>
              <w:top w:val="nil"/>
              <w:left w:val="nil"/>
              <w:bottom w:val="nil"/>
              <w:right w:val="nil"/>
            </w:tcBorders>
            <w:shd w:val="clear" w:color="auto" w:fill="auto"/>
            <w:noWrap/>
            <w:vAlign w:val="center"/>
            <w:hideMark/>
          </w:tcPr>
          <w:p w14:paraId="2D809F25"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40062E9D"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781F1220"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Efficiency </w:t>
            </w:r>
          </w:p>
        </w:tc>
        <w:tc>
          <w:tcPr>
            <w:tcW w:w="600" w:type="dxa"/>
            <w:tcBorders>
              <w:top w:val="nil"/>
              <w:left w:val="nil"/>
              <w:bottom w:val="nil"/>
              <w:right w:val="nil"/>
            </w:tcBorders>
            <w:shd w:val="clear" w:color="auto" w:fill="auto"/>
            <w:noWrap/>
            <w:vAlign w:val="center"/>
            <w:hideMark/>
          </w:tcPr>
          <w:p w14:paraId="5B07408C"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195125</w:t>
            </w:r>
          </w:p>
        </w:tc>
        <w:tc>
          <w:tcPr>
            <w:tcW w:w="315" w:type="dxa"/>
            <w:tcBorders>
              <w:top w:val="nil"/>
              <w:left w:val="nil"/>
              <w:bottom w:val="nil"/>
              <w:right w:val="nil"/>
            </w:tcBorders>
            <w:shd w:val="clear" w:color="auto" w:fill="auto"/>
            <w:noWrap/>
            <w:vAlign w:val="center"/>
            <w:hideMark/>
          </w:tcPr>
          <w:p w14:paraId="40441C7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1005DB41"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2535</w:t>
            </w:r>
          </w:p>
        </w:tc>
        <w:tc>
          <w:tcPr>
            <w:tcW w:w="397" w:type="dxa"/>
            <w:tcBorders>
              <w:top w:val="nil"/>
              <w:left w:val="nil"/>
              <w:bottom w:val="nil"/>
              <w:right w:val="nil"/>
            </w:tcBorders>
            <w:shd w:val="clear" w:color="auto" w:fill="auto"/>
            <w:noWrap/>
            <w:vAlign w:val="center"/>
            <w:hideMark/>
          </w:tcPr>
          <w:p w14:paraId="4BB8F90C"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12371030"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69781</w:t>
            </w:r>
          </w:p>
        </w:tc>
        <w:tc>
          <w:tcPr>
            <w:tcW w:w="317" w:type="dxa"/>
            <w:tcBorders>
              <w:top w:val="nil"/>
              <w:left w:val="nil"/>
              <w:bottom w:val="nil"/>
              <w:right w:val="single" w:sz="4" w:space="0" w:color="auto"/>
            </w:tcBorders>
            <w:shd w:val="clear" w:color="auto" w:fill="auto"/>
            <w:noWrap/>
            <w:vAlign w:val="center"/>
            <w:hideMark/>
          </w:tcPr>
          <w:p w14:paraId="6574B835"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49CBC0F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w:t>
            </w:r>
          </w:p>
        </w:tc>
        <w:tc>
          <w:tcPr>
            <w:tcW w:w="423" w:type="dxa"/>
            <w:tcBorders>
              <w:top w:val="nil"/>
              <w:left w:val="nil"/>
              <w:bottom w:val="nil"/>
              <w:right w:val="nil"/>
            </w:tcBorders>
            <w:shd w:val="clear" w:color="auto" w:fill="auto"/>
            <w:noWrap/>
            <w:vAlign w:val="center"/>
            <w:hideMark/>
          </w:tcPr>
          <w:p w14:paraId="28B78DC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24C75D18"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14</w:t>
            </w:r>
          </w:p>
        </w:tc>
        <w:tc>
          <w:tcPr>
            <w:tcW w:w="515" w:type="dxa"/>
            <w:tcBorders>
              <w:top w:val="nil"/>
              <w:left w:val="nil"/>
              <w:bottom w:val="nil"/>
              <w:right w:val="nil"/>
            </w:tcBorders>
            <w:shd w:val="clear" w:color="auto" w:fill="auto"/>
            <w:noWrap/>
            <w:vAlign w:val="center"/>
            <w:hideMark/>
          </w:tcPr>
          <w:p w14:paraId="0F4B2BFA"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51E2C98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11</w:t>
            </w:r>
          </w:p>
        </w:tc>
        <w:tc>
          <w:tcPr>
            <w:tcW w:w="410" w:type="dxa"/>
            <w:tcBorders>
              <w:top w:val="nil"/>
              <w:left w:val="nil"/>
              <w:bottom w:val="nil"/>
              <w:right w:val="single" w:sz="4" w:space="0" w:color="auto"/>
            </w:tcBorders>
            <w:shd w:val="clear" w:color="auto" w:fill="auto"/>
            <w:noWrap/>
            <w:vAlign w:val="center"/>
            <w:hideMark/>
          </w:tcPr>
          <w:p w14:paraId="0459D9E6"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0608F339"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0" w:type="dxa"/>
            <w:tcBorders>
              <w:top w:val="nil"/>
              <w:left w:val="nil"/>
              <w:bottom w:val="nil"/>
              <w:right w:val="nil"/>
            </w:tcBorders>
            <w:shd w:val="clear" w:color="auto" w:fill="auto"/>
            <w:noWrap/>
            <w:vAlign w:val="center"/>
            <w:hideMark/>
          </w:tcPr>
          <w:p w14:paraId="20677AB2"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3CDABFD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634</w:t>
            </w:r>
          </w:p>
        </w:tc>
        <w:tc>
          <w:tcPr>
            <w:tcW w:w="515" w:type="dxa"/>
            <w:tcBorders>
              <w:top w:val="nil"/>
              <w:left w:val="nil"/>
              <w:bottom w:val="nil"/>
              <w:right w:val="nil"/>
            </w:tcBorders>
            <w:shd w:val="clear" w:color="auto" w:fill="auto"/>
            <w:noWrap/>
            <w:vAlign w:val="center"/>
            <w:hideMark/>
          </w:tcPr>
          <w:p w14:paraId="2EFEE916"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0440B12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66</w:t>
            </w:r>
          </w:p>
        </w:tc>
        <w:tc>
          <w:tcPr>
            <w:tcW w:w="409" w:type="dxa"/>
            <w:tcBorders>
              <w:top w:val="nil"/>
              <w:left w:val="nil"/>
              <w:bottom w:val="nil"/>
              <w:right w:val="nil"/>
            </w:tcBorders>
            <w:shd w:val="clear" w:color="auto" w:fill="auto"/>
            <w:noWrap/>
            <w:vAlign w:val="center"/>
            <w:hideMark/>
          </w:tcPr>
          <w:p w14:paraId="40D82B6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4DA88A5B"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48372436"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Dev </w:t>
            </w:r>
          </w:p>
        </w:tc>
        <w:tc>
          <w:tcPr>
            <w:tcW w:w="600" w:type="dxa"/>
            <w:tcBorders>
              <w:top w:val="nil"/>
              <w:left w:val="nil"/>
              <w:bottom w:val="nil"/>
              <w:right w:val="nil"/>
            </w:tcBorders>
            <w:shd w:val="clear" w:color="auto" w:fill="auto"/>
            <w:noWrap/>
            <w:vAlign w:val="center"/>
            <w:hideMark/>
          </w:tcPr>
          <w:p w14:paraId="06750A08"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191440</w:t>
            </w:r>
          </w:p>
        </w:tc>
        <w:tc>
          <w:tcPr>
            <w:tcW w:w="315" w:type="dxa"/>
            <w:tcBorders>
              <w:top w:val="nil"/>
              <w:left w:val="nil"/>
              <w:bottom w:val="nil"/>
              <w:right w:val="nil"/>
            </w:tcBorders>
            <w:shd w:val="clear" w:color="auto" w:fill="auto"/>
            <w:noWrap/>
            <w:vAlign w:val="center"/>
            <w:hideMark/>
          </w:tcPr>
          <w:p w14:paraId="530E834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6ECF7211"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2146</w:t>
            </w:r>
          </w:p>
        </w:tc>
        <w:tc>
          <w:tcPr>
            <w:tcW w:w="397" w:type="dxa"/>
            <w:tcBorders>
              <w:top w:val="nil"/>
              <w:left w:val="nil"/>
              <w:bottom w:val="nil"/>
              <w:right w:val="nil"/>
            </w:tcBorders>
            <w:shd w:val="clear" w:color="auto" w:fill="auto"/>
            <w:noWrap/>
            <w:vAlign w:val="center"/>
            <w:hideMark/>
          </w:tcPr>
          <w:p w14:paraId="2757DB42"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708327CC"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5015</w:t>
            </w:r>
          </w:p>
        </w:tc>
        <w:tc>
          <w:tcPr>
            <w:tcW w:w="317" w:type="dxa"/>
            <w:tcBorders>
              <w:top w:val="nil"/>
              <w:left w:val="nil"/>
              <w:bottom w:val="nil"/>
              <w:right w:val="single" w:sz="4" w:space="0" w:color="auto"/>
            </w:tcBorders>
            <w:shd w:val="clear" w:color="auto" w:fill="auto"/>
            <w:noWrap/>
            <w:vAlign w:val="center"/>
            <w:hideMark/>
          </w:tcPr>
          <w:p w14:paraId="729ABF7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35B0D3FC"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w:t>
            </w:r>
          </w:p>
        </w:tc>
        <w:tc>
          <w:tcPr>
            <w:tcW w:w="423" w:type="dxa"/>
            <w:tcBorders>
              <w:top w:val="nil"/>
              <w:left w:val="nil"/>
              <w:bottom w:val="nil"/>
              <w:right w:val="nil"/>
            </w:tcBorders>
            <w:shd w:val="clear" w:color="auto" w:fill="auto"/>
            <w:noWrap/>
            <w:vAlign w:val="center"/>
            <w:hideMark/>
          </w:tcPr>
          <w:p w14:paraId="5BC13F97"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1FB163E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23</w:t>
            </w:r>
          </w:p>
        </w:tc>
        <w:tc>
          <w:tcPr>
            <w:tcW w:w="515" w:type="dxa"/>
            <w:tcBorders>
              <w:top w:val="nil"/>
              <w:left w:val="nil"/>
              <w:bottom w:val="nil"/>
              <w:right w:val="nil"/>
            </w:tcBorders>
            <w:shd w:val="clear" w:color="auto" w:fill="auto"/>
            <w:noWrap/>
            <w:vAlign w:val="center"/>
            <w:hideMark/>
          </w:tcPr>
          <w:p w14:paraId="7352DC9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4CE5DC8E"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w:t>
            </w:r>
          </w:p>
        </w:tc>
        <w:tc>
          <w:tcPr>
            <w:tcW w:w="410" w:type="dxa"/>
            <w:tcBorders>
              <w:top w:val="nil"/>
              <w:left w:val="nil"/>
              <w:bottom w:val="nil"/>
              <w:right w:val="single" w:sz="4" w:space="0" w:color="auto"/>
            </w:tcBorders>
            <w:shd w:val="clear" w:color="auto" w:fill="auto"/>
            <w:noWrap/>
            <w:vAlign w:val="center"/>
            <w:hideMark/>
          </w:tcPr>
          <w:p w14:paraId="294B20E8"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423A3EA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0" w:type="dxa"/>
            <w:tcBorders>
              <w:top w:val="nil"/>
              <w:left w:val="nil"/>
              <w:bottom w:val="nil"/>
              <w:right w:val="nil"/>
            </w:tcBorders>
            <w:shd w:val="clear" w:color="auto" w:fill="auto"/>
            <w:noWrap/>
            <w:vAlign w:val="center"/>
            <w:hideMark/>
          </w:tcPr>
          <w:p w14:paraId="4F821C07"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4D7A1B73"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627</w:t>
            </w:r>
          </w:p>
        </w:tc>
        <w:tc>
          <w:tcPr>
            <w:tcW w:w="515" w:type="dxa"/>
            <w:tcBorders>
              <w:top w:val="nil"/>
              <w:left w:val="nil"/>
              <w:bottom w:val="nil"/>
              <w:right w:val="nil"/>
            </w:tcBorders>
            <w:shd w:val="clear" w:color="auto" w:fill="auto"/>
            <w:noWrap/>
            <w:vAlign w:val="center"/>
            <w:hideMark/>
          </w:tcPr>
          <w:p w14:paraId="607BDBA0"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0AA56298"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98</w:t>
            </w:r>
          </w:p>
        </w:tc>
        <w:tc>
          <w:tcPr>
            <w:tcW w:w="409" w:type="dxa"/>
            <w:tcBorders>
              <w:top w:val="nil"/>
              <w:left w:val="nil"/>
              <w:bottom w:val="nil"/>
              <w:right w:val="nil"/>
            </w:tcBorders>
            <w:shd w:val="clear" w:color="auto" w:fill="auto"/>
            <w:noWrap/>
            <w:vAlign w:val="center"/>
            <w:hideMark/>
          </w:tcPr>
          <w:p w14:paraId="05C4100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05F33E9D" w14:textId="77777777" w:rsidTr="00A02C91">
        <w:trPr>
          <w:gridAfter w:val="1"/>
          <w:wAfter w:w="13" w:type="dxa"/>
          <w:trHeight w:hRule="exact" w:val="299"/>
        </w:trPr>
        <w:tc>
          <w:tcPr>
            <w:tcW w:w="1174" w:type="dxa"/>
            <w:tcBorders>
              <w:top w:val="nil"/>
              <w:left w:val="nil"/>
              <w:bottom w:val="nil"/>
              <w:right w:val="nil"/>
            </w:tcBorders>
            <w:shd w:val="clear" w:color="auto" w:fill="auto"/>
            <w:noWrap/>
            <w:vAlign w:val="bottom"/>
            <w:hideMark/>
          </w:tcPr>
          <w:p w14:paraId="55D09169"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FM Dev</w:t>
            </w:r>
          </w:p>
        </w:tc>
        <w:tc>
          <w:tcPr>
            <w:tcW w:w="600" w:type="dxa"/>
            <w:tcBorders>
              <w:top w:val="nil"/>
              <w:left w:val="nil"/>
              <w:bottom w:val="nil"/>
              <w:right w:val="nil"/>
            </w:tcBorders>
            <w:shd w:val="clear" w:color="auto" w:fill="auto"/>
            <w:noWrap/>
            <w:vAlign w:val="center"/>
            <w:hideMark/>
          </w:tcPr>
          <w:p w14:paraId="3D674681"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195061</w:t>
            </w:r>
          </w:p>
        </w:tc>
        <w:tc>
          <w:tcPr>
            <w:tcW w:w="315" w:type="dxa"/>
            <w:tcBorders>
              <w:top w:val="nil"/>
              <w:left w:val="nil"/>
              <w:bottom w:val="nil"/>
              <w:right w:val="nil"/>
            </w:tcBorders>
            <w:shd w:val="clear" w:color="auto" w:fill="auto"/>
            <w:noWrap/>
            <w:vAlign w:val="center"/>
            <w:hideMark/>
          </w:tcPr>
          <w:p w14:paraId="3E08A92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nil"/>
              <w:right w:val="nil"/>
            </w:tcBorders>
            <w:shd w:val="clear" w:color="auto" w:fill="auto"/>
            <w:noWrap/>
            <w:vAlign w:val="center"/>
            <w:hideMark/>
          </w:tcPr>
          <w:p w14:paraId="6D4DA198"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2857</w:t>
            </w:r>
          </w:p>
        </w:tc>
        <w:tc>
          <w:tcPr>
            <w:tcW w:w="397" w:type="dxa"/>
            <w:tcBorders>
              <w:top w:val="nil"/>
              <w:left w:val="nil"/>
              <w:bottom w:val="nil"/>
              <w:right w:val="nil"/>
            </w:tcBorders>
            <w:shd w:val="clear" w:color="auto" w:fill="auto"/>
            <w:noWrap/>
            <w:vAlign w:val="center"/>
            <w:hideMark/>
          </w:tcPr>
          <w:p w14:paraId="563D240D"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nil"/>
              <w:right w:val="nil"/>
            </w:tcBorders>
            <w:shd w:val="clear" w:color="auto" w:fill="auto"/>
            <w:noWrap/>
            <w:vAlign w:val="center"/>
            <w:hideMark/>
          </w:tcPr>
          <w:p w14:paraId="029CECDB"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2086869</w:t>
            </w:r>
          </w:p>
        </w:tc>
        <w:tc>
          <w:tcPr>
            <w:tcW w:w="317" w:type="dxa"/>
            <w:tcBorders>
              <w:top w:val="nil"/>
              <w:left w:val="nil"/>
              <w:bottom w:val="nil"/>
              <w:right w:val="single" w:sz="4" w:space="0" w:color="auto"/>
            </w:tcBorders>
            <w:shd w:val="clear" w:color="auto" w:fill="auto"/>
            <w:noWrap/>
            <w:vAlign w:val="center"/>
            <w:hideMark/>
          </w:tcPr>
          <w:p w14:paraId="593730C6"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nil"/>
              <w:right w:val="nil"/>
            </w:tcBorders>
            <w:shd w:val="clear" w:color="auto" w:fill="auto"/>
            <w:noWrap/>
            <w:vAlign w:val="center"/>
            <w:hideMark/>
          </w:tcPr>
          <w:p w14:paraId="35570402"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3" w:type="dxa"/>
            <w:tcBorders>
              <w:top w:val="nil"/>
              <w:left w:val="nil"/>
              <w:bottom w:val="nil"/>
              <w:right w:val="nil"/>
            </w:tcBorders>
            <w:shd w:val="clear" w:color="auto" w:fill="auto"/>
            <w:noWrap/>
            <w:vAlign w:val="center"/>
            <w:hideMark/>
          </w:tcPr>
          <w:p w14:paraId="664196AB"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7D3E0512"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16</w:t>
            </w:r>
          </w:p>
        </w:tc>
        <w:tc>
          <w:tcPr>
            <w:tcW w:w="515" w:type="dxa"/>
            <w:tcBorders>
              <w:top w:val="nil"/>
              <w:left w:val="nil"/>
              <w:bottom w:val="nil"/>
              <w:right w:val="nil"/>
            </w:tcBorders>
            <w:shd w:val="clear" w:color="auto" w:fill="auto"/>
            <w:noWrap/>
            <w:vAlign w:val="center"/>
            <w:hideMark/>
          </w:tcPr>
          <w:p w14:paraId="4F557368"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nil"/>
              <w:right w:val="nil"/>
            </w:tcBorders>
            <w:shd w:val="clear" w:color="auto" w:fill="auto"/>
            <w:noWrap/>
            <w:vAlign w:val="center"/>
            <w:hideMark/>
          </w:tcPr>
          <w:p w14:paraId="1C393DF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30</w:t>
            </w:r>
          </w:p>
        </w:tc>
        <w:tc>
          <w:tcPr>
            <w:tcW w:w="410" w:type="dxa"/>
            <w:tcBorders>
              <w:top w:val="nil"/>
              <w:left w:val="nil"/>
              <w:bottom w:val="nil"/>
              <w:right w:val="single" w:sz="4" w:space="0" w:color="auto"/>
            </w:tcBorders>
            <w:shd w:val="clear" w:color="auto" w:fill="auto"/>
            <w:noWrap/>
            <w:vAlign w:val="center"/>
            <w:hideMark/>
          </w:tcPr>
          <w:p w14:paraId="5B0AF6C2"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4EA95C00"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0" w:type="dxa"/>
            <w:tcBorders>
              <w:top w:val="nil"/>
              <w:left w:val="nil"/>
              <w:bottom w:val="nil"/>
              <w:right w:val="nil"/>
            </w:tcBorders>
            <w:shd w:val="clear" w:color="auto" w:fill="auto"/>
            <w:noWrap/>
            <w:vAlign w:val="center"/>
            <w:hideMark/>
          </w:tcPr>
          <w:p w14:paraId="523B389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44F651AB"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636</w:t>
            </w:r>
          </w:p>
        </w:tc>
        <w:tc>
          <w:tcPr>
            <w:tcW w:w="515" w:type="dxa"/>
            <w:tcBorders>
              <w:top w:val="nil"/>
              <w:left w:val="nil"/>
              <w:bottom w:val="nil"/>
              <w:right w:val="nil"/>
            </w:tcBorders>
            <w:shd w:val="clear" w:color="auto" w:fill="auto"/>
            <w:noWrap/>
            <w:vAlign w:val="center"/>
            <w:hideMark/>
          </w:tcPr>
          <w:p w14:paraId="38A7E70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1C571CE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w:t>
            </w:r>
          </w:p>
        </w:tc>
        <w:tc>
          <w:tcPr>
            <w:tcW w:w="409" w:type="dxa"/>
            <w:tcBorders>
              <w:top w:val="nil"/>
              <w:left w:val="nil"/>
              <w:bottom w:val="nil"/>
              <w:right w:val="nil"/>
            </w:tcBorders>
            <w:shd w:val="clear" w:color="auto" w:fill="auto"/>
            <w:noWrap/>
            <w:vAlign w:val="center"/>
            <w:hideMark/>
          </w:tcPr>
          <w:p w14:paraId="54FCEBE9"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802F1A" w:rsidRPr="00802F1A" w14:paraId="312673A2" w14:textId="77777777" w:rsidTr="00A02C91">
        <w:trPr>
          <w:gridAfter w:val="1"/>
          <w:wAfter w:w="13" w:type="dxa"/>
          <w:trHeight w:hRule="exact" w:val="299"/>
        </w:trPr>
        <w:tc>
          <w:tcPr>
            <w:tcW w:w="1174" w:type="dxa"/>
            <w:tcBorders>
              <w:top w:val="nil"/>
              <w:left w:val="nil"/>
              <w:bottom w:val="single" w:sz="4" w:space="0" w:color="auto"/>
              <w:right w:val="nil"/>
            </w:tcBorders>
            <w:shd w:val="clear" w:color="auto" w:fill="auto"/>
            <w:noWrap/>
            <w:vAlign w:val="bottom"/>
            <w:hideMark/>
          </w:tcPr>
          <w:p w14:paraId="5FB5AEE7" w14:textId="77777777" w:rsidR="00A02C91" w:rsidRPr="00802F1A" w:rsidRDefault="00A02C91" w:rsidP="00A02C91">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w:t>
            </w:r>
          </w:p>
        </w:tc>
        <w:tc>
          <w:tcPr>
            <w:tcW w:w="600" w:type="dxa"/>
            <w:tcBorders>
              <w:top w:val="nil"/>
              <w:left w:val="nil"/>
              <w:bottom w:val="single" w:sz="4" w:space="0" w:color="auto"/>
              <w:right w:val="nil"/>
            </w:tcBorders>
            <w:shd w:val="clear" w:color="auto" w:fill="auto"/>
            <w:noWrap/>
            <w:vAlign w:val="center"/>
            <w:hideMark/>
          </w:tcPr>
          <w:p w14:paraId="5803B1A7"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192946</w:t>
            </w:r>
          </w:p>
        </w:tc>
        <w:tc>
          <w:tcPr>
            <w:tcW w:w="315" w:type="dxa"/>
            <w:tcBorders>
              <w:top w:val="nil"/>
              <w:left w:val="nil"/>
              <w:bottom w:val="single" w:sz="4" w:space="0" w:color="auto"/>
              <w:right w:val="nil"/>
            </w:tcBorders>
            <w:shd w:val="clear" w:color="auto" w:fill="auto"/>
            <w:noWrap/>
            <w:vAlign w:val="center"/>
            <w:hideMark/>
          </w:tcPr>
          <w:p w14:paraId="20C3366D"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633" w:type="dxa"/>
            <w:tcBorders>
              <w:top w:val="nil"/>
              <w:left w:val="nil"/>
              <w:bottom w:val="single" w:sz="4" w:space="0" w:color="auto"/>
              <w:right w:val="nil"/>
            </w:tcBorders>
            <w:shd w:val="clear" w:color="auto" w:fill="auto"/>
            <w:noWrap/>
            <w:vAlign w:val="center"/>
            <w:hideMark/>
          </w:tcPr>
          <w:p w14:paraId="7C0BB681"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2698</w:t>
            </w:r>
          </w:p>
        </w:tc>
        <w:tc>
          <w:tcPr>
            <w:tcW w:w="397" w:type="dxa"/>
            <w:tcBorders>
              <w:top w:val="nil"/>
              <w:left w:val="nil"/>
              <w:bottom w:val="single" w:sz="4" w:space="0" w:color="auto"/>
              <w:right w:val="nil"/>
            </w:tcBorders>
            <w:shd w:val="clear" w:color="auto" w:fill="auto"/>
            <w:noWrap/>
            <w:vAlign w:val="center"/>
            <w:hideMark/>
          </w:tcPr>
          <w:p w14:paraId="68657AE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704" w:type="dxa"/>
            <w:tcBorders>
              <w:top w:val="nil"/>
              <w:left w:val="nil"/>
              <w:bottom w:val="single" w:sz="4" w:space="0" w:color="auto"/>
              <w:right w:val="nil"/>
            </w:tcBorders>
            <w:shd w:val="clear" w:color="auto" w:fill="auto"/>
            <w:noWrap/>
            <w:vAlign w:val="center"/>
            <w:hideMark/>
          </w:tcPr>
          <w:p w14:paraId="1829F745"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3134</w:t>
            </w:r>
          </w:p>
        </w:tc>
        <w:tc>
          <w:tcPr>
            <w:tcW w:w="317" w:type="dxa"/>
            <w:tcBorders>
              <w:top w:val="nil"/>
              <w:left w:val="nil"/>
              <w:bottom w:val="single" w:sz="4" w:space="0" w:color="auto"/>
              <w:right w:val="single" w:sz="4" w:space="0" w:color="auto"/>
            </w:tcBorders>
            <w:shd w:val="clear" w:color="auto" w:fill="auto"/>
            <w:noWrap/>
            <w:vAlign w:val="center"/>
            <w:hideMark/>
          </w:tcPr>
          <w:p w14:paraId="1CFFE0B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306" w:type="dxa"/>
            <w:tcBorders>
              <w:top w:val="nil"/>
              <w:left w:val="nil"/>
              <w:bottom w:val="single" w:sz="4" w:space="0" w:color="auto"/>
              <w:right w:val="nil"/>
            </w:tcBorders>
            <w:shd w:val="clear" w:color="auto" w:fill="auto"/>
            <w:noWrap/>
            <w:vAlign w:val="center"/>
            <w:hideMark/>
          </w:tcPr>
          <w:p w14:paraId="1F5DA83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w:t>
            </w:r>
          </w:p>
        </w:tc>
        <w:tc>
          <w:tcPr>
            <w:tcW w:w="423" w:type="dxa"/>
            <w:tcBorders>
              <w:top w:val="nil"/>
              <w:left w:val="nil"/>
              <w:bottom w:val="single" w:sz="4" w:space="0" w:color="auto"/>
              <w:right w:val="nil"/>
            </w:tcBorders>
            <w:shd w:val="clear" w:color="auto" w:fill="auto"/>
            <w:noWrap/>
            <w:vAlign w:val="center"/>
            <w:hideMark/>
          </w:tcPr>
          <w:p w14:paraId="670B6C52"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single" w:sz="4" w:space="0" w:color="auto"/>
              <w:right w:val="nil"/>
            </w:tcBorders>
            <w:shd w:val="clear" w:color="auto" w:fill="auto"/>
            <w:noWrap/>
            <w:vAlign w:val="center"/>
            <w:hideMark/>
          </w:tcPr>
          <w:p w14:paraId="3C4768EB"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16</w:t>
            </w:r>
          </w:p>
        </w:tc>
        <w:tc>
          <w:tcPr>
            <w:tcW w:w="515" w:type="dxa"/>
            <w:tcBorders>
              <w:top w:val="nil"/>
              <w:left w:val="nil"/>
              <w:bottom w:val="single" w:sz="4" w:space="0" w:color="auto"/>
              <w:right w:val="nil"/>
            </w:tcBorders>
            <w:shd w:val="clear" w:color="auto" w:fill="auto"/>
            <w:noWrap/>
            <w:vAlign w:val="center"/>
            <w:hideMark/>
          </w:tcPr>
          <w:p w14:paraId="1A90E520"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36" w:type="dxa"/>
            <w:tcBorders>
              <w:top w:val="nil"/>
              <w:left w:val="nil"/>
              <w:bottom w:val="single" w:sz="4" w:space="0" w:color="auto"/>
              <w:right w:val="nil"/>
            </w:tcBorders>
            <w:shd w:val="clear" w:color="auto" w:fill="auto"/>
            <w:noWrap/>
            <w:vAlign w:val="center"/>
            <w:hideMark/>
          </w:tcPr>
          <w:p w14:paraId="43B2C9BA"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9</w:t>
            </w:r>
          </w:p>
        </w:tc>
        <w:tc>
          <w:tcPr>
            <w:tcW w:w="410" w:type="dxa"/>
            <w:tcBorders>
              <w:top w:val="nil"/>
              <w:left w:val="nil"/>
              <w:bottom w:val="single" w:sz="4" w:space="0" w:color="auto"/>
              <w:right w:val="single" w:sz="4" w:space="0" w:color="auto"/>
            </w:tcBorders>
            <w:shd w:val="clear" w:color="auto" w:fill="auto"/>
            <w:noWrap/>
            <w:vAlign w:val="center"/>
            <w:hideMark/>
          </w:tcPr>
          <w:p w14:paraId="3CF1BAE3"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298" w:type="dxa"/>
            <w:tcBorders>
              <w:top w:val="nil"/>
              <w:left w:val="nil"/>
              <w:bottom w:val="nil"/>
              <w:right w:val="nil"/>
            </w:tcBorders>
            <w:shd w:val="clear" w:color="auto" w:fill="auto"/>
            <w:noWrap/>
            <w:vAlign w:val="center"/>
            <w:hideMark/>
          </w:tcPr>
          <w:p w14:paraId="209B79E6"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10</w:t>
            </w:r>
          </w:p>
        </w:tc>
        <w:tc>
          <w:tcPr>
            <w:tcW w:w="420" w:type="dxa"/>
            <w:tcBorders>
              <w:top w:val="nil"/>
              <w:left w:val="nil"/>
              <w:bottom w:val="nil"/>
              <w:right w:val="nil"/>
            </w:tcBorders>
            <w:shd w:val="clear" w:color="auto" w:fill="auto"/>
            <w:noWrap/>
            <w:vAlign w:val="center"/>
            <w:hideMark/>
          </w:tcPr>
          <w:p w14:paraId="07A02175"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515" w:type="dxa"/>
            <w:tcBorders>
              <w:top w:val="nil"/>
              <w:left w:val="nil"/>
              <w:bottom w:val="nil"/>
              <w:right w:val="nil"/>
            </w:tcBorders>
            <w:shd w:val="clear" w:color="auto" w:fill="auto"/>
            <w:noWrap/>
            <w:vAlign w:val="center"/>
            <w:hideMark/>
          </w:tcPr>
          <w:p w14:paraId="2530421F"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617</w:t>
            </w:r>
          </w:p>
        </w:tc>
        <w:tc>
          <w:tcPr>
            <w:tcW w:w="515" w:type="dxa"/>
            <w:tcBorders>
              <w:top w:val="nil"/>
              <w:left w:val="nil"/>
              <w:bottom w:val="nil"/>
              <w:right w:val="nil"/>
            </w:tcBorders>
            <w:shd w:val="clear" w:color="auto" w:fill="auto"/>
            <w:noWrap/>
            <w:vAlign w:val="center"/>
            <w:hideMark/>
          </w:tcPr>
          <w:p w14:paraId="47657714"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c>
          <w:tcPr>
            <w:tcW w:w="423" w:type="dxa"/>
            <w:tcBorders>
              <w:top w:val="nil"/>
              <w:left w:val="nil"/>
              <w:bottom w:val="nil"/>
              <w:right w:val="nil"/>
            </w:tcBorders>
            <w:shd w:val="clear" w:color="auto" w:fill="auto"/>
            <w:noWrap/>
            <w:vAlign w:val="center"/>
            <w:hideMark/>
          </w:tcPr>
          <w:p w14:paraId="1A960F9D" w14:textId="77777777" w:rsidR="00A02C91" w:rsidRPr="00802F1A" w:rsidRDefault="00A02C91" w:rsidP="00A02C91">
            <w:pPr>
              <w:spacing w:line="240" w:lineRule="auto"/>
              <w:jc w:val="right"/>
              <w:rPr>
                <w:rFonts w:eastAsia="Times New Roman" w:cs="Times New Roman"/>
                <w:sz w:val="18"/>
                <w:szCs w:val="18"/>
                <w:lang w:eastAsia="en-AU"/>
              </w:rPr>
            </w:pPr>
            <w:r w:rsidRPr="00802F1A">
              <w:rPr>
                <w:rFonts w:eastAsia="Times New Roman" w:cs="Times New Roman"/>
                <w:sz w:val="18"/>
                <w:szCs w:val="18"/>
                <w:lang w:eastAsia="en-AU"/>
              </w:rPr>
              <w:t>144</w:t>
            </w:r>
          </w:p>
        </w:tc>
        <w:tc>
          <w:tcPr>
            <w:tcW w:w="409" w:type="dxa"/>
            <w:tcBorders>
              <w:top w:val="nil"/>
              <w:left w:val="nil"/>
              <w:bottom w:val="nil"/>
              <w:right w:val="nil"/>
            </w:tcBorders>
            <w:shd w:val="clear" w:color="auto" w:fill="auto"/>
            <w:noWrap/>
            <w:vAlign w:val="center"/>
            <w:hideMark/>
          </w:tcPr>
          <w:p w14:paraId="09E1A93E" w14:textId="77777777"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w:t>
            </w:r>
          </w:p>
        </w:tc>
      </w:tr>
      <w:tr w:rsidR="00A02C91" w:rsidRPr="00802F1A" w14:paraId="421F1B9A" w14:textId="77777777" w:rsidTr="00A02C91">
        <w:trPr>
          <w:trHeight w:hRule="exact" w:val="299"/>
        </w:trPr>
        <w:tc>
          <w:tcPr>
            <w:tcW w:w="9338" w:type="dxa"/>
            <w:gridSpan w:val="20"/>
            <w:tcBorders>
              <w:top w:val="single" w:sz="4" w:space="0" w:color="auto"/>
              <w:left w:val="nil"/>
              <w:bottom w:val="nil"/>
              <w:right w:val="nil"/>
            </w:tcBorders>
            <w:shd w:val="clear" w:color="auto" w:fill="auto"/>
            <w:noWrap/>
            <w:vAlign w:val="bottom"/>
            <w:hideMark/>
          </w:tcPr>
          <w:p w14:paraId="2B2EEBF7" w14:textId="7FB4D2A3" w:rsidR="00A02C91" w:rsidRPr="00802F1A" w:rsidRDefault="00A02C91" w:rsidP="00A02C91">
            <w:pPr>
              <w:spacing w:line="240" w:lineRule="auto"/>
              <w:rPr>
                <w:rFonts w:eastAsia="Times New Roman" w:cs="Times New Roman"/>
                <w:sz w:val="18"/>
                <w:szCs w:val="18"/>
                <w:lang w:eastAsia="en-AU"/>
              </w:rPr>
            </w:pPr>
            <w:r w:rsidRPr="00802F1A">
              <w:rPr>
                <w:rFonts w:eastAsia="Times New Roman" w:cs="Times New Roman"/>
                <w:sz w:val="18"/>
                <w:szCs w:val="18"/>
                <w:lang w:eastAsia="en-AU"/>
              </w:rPr>
              <w:t>Note: The table presents the test statistics; ***</w:t>
            </w:r>
            <w:r w:rsidR="000D62EF" w:rsidRPr="00802F1A">
              <w:rPr>
                <w:rFonts w:eastAsia="Times New Roman" w:cs="Times New Roman"/>
                <w:sz w:val="18"/>
                <w:szCs w:val="18"/>
                <w:lang w:eastAsia="en-AU"/>
              </w:rPr>
              <w:t xml:space="preserve"> and</w:t>
            </w:r>
            <w:r w:rsidRPr="00802F1A">
              <w:rPr>
                <w:rFonts w:eastAsia="Times New Roman" w:cs="Times New Roman"/>
                <w:sz w:val="18"/>
                <w:szCs w:val="18"/>
                <w:lang w:eastAsia="en-AU"/>
              </w:rPr>
              <w:t xml:space="preserve"> **: </w:t>
            </w:r>
            <w:r w:rsidR="00AC3E22" w:rsidRPr="00802F1A">
              <w:rPr>
                <w:rFonts w:eastAsia="Times New Roman" w:cs="Times New Roman"/>
                <w:sz w:val="18"/>
                <w:szCs w:val="18"/>
                <w:lang w:eastAsia="en-AU"/>
              </w:rPr>
              <w:t xml:space="preserve">1% and </w:t>
            </w:r>
            <w:r w:rsidRPr="00802F1A">
              <w:rPr>
                <w:rFonts w:eastAsia="Times New Roman" w:cs="Times New Roman"/>
                <w:sz w:val="18"/>
                <w:szCs w:val="18"/>
                <w:lang w:eastAsia="en-AU"/>
              </w:rPr>
              <w:t>5% levels of significance, respectively</w:t>
            </w:r>
          </w:p>
        </w:tc>
      </w:tr>
    </w:tbl>
    <w:p w14:paraId="06BA93C5" w14:textId="3EC39E9E" w:rsidR="0071581F" w:rsidRPr="00802F1A" w:rsidRDefault="0071581F" w:rsidP="002E0E83">
      <w:pPr>
        <w:rPr>
          <w:rFonts w:cs="Times New Roman"/>
          <w:sz w:val="22"/>
          <w:lang w:val="en-US"/>
        </w:rPr>
      </w:pPr>
    </w:p>
    <w:p w14:paraId="6A36DCB7" w14:textId="32A1FA72" w:rsidR="009B354E" w:rsidRPr="00802F1A" w:rsidRDefault="009B354E" w:rsidP="009B354E">
      <w:pPr>
        <w:jc w:val="both"/>
        <w:rPr>
          <w:rFonts w:cs="Times New Roman"/>
          <w:szCs w:val="24"/>
          <w:lang w:val="en-US"/>
        </w:rPr>
      </w:pPr>
      <w:r w:rsidRPr="00802F1A">
        <w:rPr>
          <w:rFonts w:cs="Times New Roman"/>
          <w:szCs w:val="24"/>
          <w:lang w:val="en-US"/>
        </w:rPr>
        <w:t xml:space="preserve">The findings presented in Table 8 demonstrate that when the overall financial development index </w:t>
      </w:r>
      <w:r w:rsidR="000B3160" w:rsidRPr="00802F1A">
        <w:rPr>
          <w:rFonts w:cs="Times New Roman"/>
          <w:szCs w:val="24"/>
          <w:lang w:val="en-US"/>
        </w:rPr>
        <w:t xml:space="preserve">(last column) </w:t>
      </w:r>
      <w:r w:rsidRPr="00802F1A">
        <w:rPr>
          <w:rFonts w:cs="Times New Roman"/>
          <w:szCs w:val="24"/>
          <w:lang w:val="en-US"/>
        </w:rPr>
        <w:t>is used to measure financial development over the period 1995-2019, energy diversification exhibits a slight improvement, although this improvement is not statistically significant. This contrasts with the data description provided in section 3.2, which may be due to the absence of controlling covariates in the growth rate estimation in the data description. However, when financial development is captured by financial institution development in terms of depth and access, the growth trend in energy diversification becomes statistically significant.</w:t>
      </w:r>
    </w:p>
    <w:p w14:paraId="55BE5276" w14:textId="77777777" w:rsidR="009B354E" w:rsidRPr="00802F1A" w:rsidRDefault="009B354E" w:rsidP="009B354E">
      <w:pPr>
        <w:jc w:val="both"/>
        <w:rPr>
          <w:rFonts w:cs="Times New Roman"/>
          <w:szCs w:val="24"/>
          <w:lang w:val="en-US"/>
        </w:rPr>
      </w:pPr>
    </w:p>
    <w:p w14:paraId="016E6DFC" w14:textId="77777777" w:rsidR="009B354E" w:rsidRPr="00802F1A" w:rsidRDefault="009B354E" w:rsidP="009B354E">
      <w:pPr>
        <w:jc w:val="both"/>
        <w:rPr>
          <w:rFonts w:cs="Times New Roman"/>
          <w:szCs w:val="24"/>
          <w:lang w:val="en-US"/>
        </w:rPr>
      </w:pPr>
      <w:r w:rsidRPr="00802F1A">
        <w:rPr>
          <w:rFonts w:cs="Times New Roman"/>
          <w:szCs w:val="24"/>
          <w:lang w:val="en-US"/>
        </w:rPr>
        <w:t xml:space="preserve">The financial development index and per-capita income experience growth rates of 0.4% per year and 1.3% per year, respectively, aligning with the data description. The results indicate </w:t>
      </w:r>
      <w:r w:rsidRPr="00802F1A">
        <w:rPr>
          <w:rFonts w:cs="Times New Roman"/>
          <w:szCs w:val="24"/>
          <w:lang w:val="en-US"/>
        </w:rPr>
        <w:lastRenderedPageBreak/>
        <w:t>positive two-way causal relationships between energy diversification and per-capita income, as well as between financial development and per-capita income. However, the causality between energy diversification and financial development is not statistically significant, providing support for Hypotheses 2, 3, and 4.</w:t>
      </w:r>
    </w:p>
    <w:p w14:paraId="047E0C5B" w14:textId="77777777" w:rsidR="009B354E" w:rsidRPr="00802F1A" w:rsidRDefault="009B354E" w:rsidP="009B354E">
      <w:pPr>
        <w:jc w:val="both"/>
        <w:rPr>
          <w:rFonts w:cs="Times New Roman"/>
          <w:szCs w:val="24"/>
          <w:lang w:val="en-US"/>
        </w:rPr>
      </w:pPr>
    </w:p>
    <w:p w14:paraId="4FE818B5" w14:textId="77777777" w:rsidR="000B3160" w:rsidRPr="00802F1A" w:rsidRDefault="009B354E" w:rsidP="009B354E">
      <w:pPr>
        <w:jc w:val="both"/>
        <w:rPr>
          <w:rFonts w:cs="Times New Roman"/>
          <w:szCs w:val="24"/>
          <w:lang w:val="en-US"/>
        </w:rPr>
      </w:pPr>
      <w:r w:rsidRPr="00802F1A">
        <w:rPr>
          <w:rFonts w:cs="Times New Roman"/>
          <w:szCs w:val="24"/>
          <w:lang w:val="en-US"/>
        </w:rPr>
        <w:t>Keeping other factors constant, based on the overall financial development index, a 1% increase in per-capita income leads to a 0.191% decrease in the concentration of energy consumption sources in the following year. Conversely, a 1% decrease in the concentration of energy consumption sources results in a 0.009% (0.009% * 0.191 = 0.0017%) increase in per-capita income one year later. These findings suggest that the impact of per-capita income on energy diversification is stronger than the reverse.</w:t>
      </w:r>
      <w:r w:rsidR="000B3160" w:rsidRPr="00802F1A">
        <w:rPr>
          <w:rFonts w:cs="Times New Roman"/>
          <w:szCs w:val="24"/>
          <w:lang w:val="en-US"/>
        </w:rPr>
        <w:t xml:space="preserve"> </w:t>
      </w:r>
    </w:p>
    <w:p w14:paraId="68AB6DB4" w14:textId="77777777" w:rsidR="000B3160" w:rsidRPr="00802F1A" w:rsidRDefault="000B3160" w:rsidP="009B354E">
      <w:pPr>
        <w:jc w:val="both"/>
        <w:rPr>
          <w:rFonts w:cs="Times New Roman"/>
          <w:szCs w:val="24"/>
          <w:lang w:val="en-US"/>
        </w:rPr>
      </w:pPr>
    </w:p>
    <w:p w14:paraId="0FE23698" w14:textId="1608BF9B" w:rsidR="009B354E" w:rsidRPr="00802F1A" w:rsidRDefault="009B354E" w:rsidP="009B354E">
      <w:pPr>
        <w:jc w:val="both"/>
        <w:rPr>
          <w:rFonts w:cs="Times New Roman"/>
          <w:szCs w:val="24"/>
          <w:lang w:val="en-US"/>
        </w:rPr>
      </w:pPr>
      <w:r w:rsidRPr="00802F1A">
        <w:rPr>
          <w:rFonts w:cs="Times New Roman"/>
          <w:szCs w:val="24"/>
          <w:lang w:val="en-US"/>
        </w:rPr>
        <w:t>Additionally, a 1% increase in per-capita income leads to a 0.242% increase in the financial development index in the following year. Similarly, a 1% increase in the financial development index stimulates a 0.207% (0.207% * 0.242 = 0.05%) growth in per-capita income one year later. These results indicate that the effect of per-capita income on financial development is stronger than the reverse.</w:t>
      </w:r>
    </w:p>
    <w:p w14:paraId="1FC32590" w14:textId="480E4608" w:rsidR="0011372C" w:rsidRPr="00802F1A" w:rsidRDefault="0011372C" w:rsidP="00BB089F">
      <w:pPr>
        <w:jc w:val="both"/>
        <w:rPr>
          <w:rFonts w:cs="Times New Roman"/>
          <w:szCs w:val="24"/>
          <w:lang w:val="vi-VN"/>
        </w:rPr>
      </w:pPr>
    </w:p>
    <w:p w14:paraId="667F4CD5" w14:textId="77777777" w:rsidR="00B56054" w:rsidRPr="00802F1A" w:rsidRDefault="00B56054" w:rsidP="00B56054">
      <w:pPr>
        <w:jc w:val="both"/>
        <w:rPr>
          <w:rFonts w:cs="Times New Roman"/>
          <w:szCs w:val="24"/>
          <w:lang w:val="vi-VN"/>
        </w:rPr>
      </w:pPr>
      <w:r w:rsidRPr="00802F1A">
        <w:rPr>
          <w:rFonts w:cs="Times New Roman"/>
          <w:szCs w:val="24"/>
          <w:lang w:val="vi-VN"/>
        </w:rPr>
        <w:t>As anticipated, our analysis reveals a U-shaped relationship between energy diversification and oil price. Specifically, energy diversification initially decreases and then improves as oil price increases. The turning point for this relationship occurs at a WTI oil price of $88.33 per barrel. Additionally, the human development index exhibits a positive and statistically significant association with energy diversification, indicating that countries with higher levels of human development tend to have greater energy diversification.</w:t>
      </w:r>
    </w:p>
    <w:p w14:paraId="3CB375D3" w14:textId="77777777" w:rsidR="00B56054" w:rsidRPr="00802F1A" w:rsidRDefault="00B56054" w:rsidP="00B56054">
      <w:pPr>
        <w:jc w:val="both"/>
        <w:rPr>
          <w:rFonts w:cs="Times New Roman"/>
          <w:szCs w:val="24"/>
          <w:lang w:val="vi-VN"/>
        </w:rPr>
      </w:pPr>
    </w:p>
    <w:p w14:paraId="0C94BAF2" w14:textId="77777777" w:rsidR="000B3160" w:rsidRPr="00802F1A" w:rsidRDefault="00B56054" w:rsidP="00B56054">
      <w:pPr>
        <w:jc w:val="both"/>
        <w:rPr>
          <w:rFonts w:cs="Times New Roman"/>
          <w:szCs w:val="24"/>
          <w:lang w:val="en-US"/>
        </w:rPr>
      </w:pPr>
      <w:r w:rsidRPr="00802F1A">
        <w:rPr>
          <w:rFonts w:cs="Times New Roman"/>
          <w:szCs w:val="24"/>
          <w:lang w:val="vi-VN"/>
        </w:rPr>
        <w:t>In terms of financial development, we find that international tourism receipt, international trade, and employment rate are all positively and significantly linked to the development of the financial system. These factors contribute to the growth and enhancement of financial services and infrastructure.</w:t>
      </w:r>
      <w:r w:rsidR="000B3160" w:rsidRPr="00802F1A">
        <w:rPr>
          <w:rFonts w:cs="Times New Roman"/>
          <w:szCs w:val="24"/>
          <w:lang w:val="en-US"/>
        </w:rPr>
        <w:t xml:space="preserve"> </w:t>
      </w:r>
      <w:r w:rsidRPr="00802F1A">
        <w:rPr>
          <w:rFonts w:cs="Times New Roman"/>
          <w:szCs w:val="24"/>
          <w:lang w:val="vi-VN"/>
        </w:rPr>
        <w:t>When examining economic development, we observe that all three production factors—labour participation, human development index, and capital stock—contribute positively to economic growth. Notably, the contribution of human capital is the highest, with an elasticity of 1.732. This suggests that government policies aimed at promoting factors such as life expectancy, health, knowledge, and living standards can have a significant positive impact on economic development.</w:t>
      </w:r>
      <w:r w:rsidR="000B3160" w:rsidRPr="00802F1A">
        <w:rPr>
          <w:rFonts w:cs="Times New Roman"/>
          <w:szCs w:val="24"/>
          <w:lang w:val="en-US"/>
        </w:rPr>
        <w:t xml:space="preserve"> </w:t>
      </w:r>
    </w:p>
    <w:p w14:paraId="5CBBF545" w14:textId="3D1C9534" w:rsidR="00B56054" w:rsidRPr="00802F1A" w:rsidRDefault="00B56054" w:rsidP="00B56054">
      <w:pPr>
        <w:jc w:val="both"/>
        <w:rPr>
          <w:rFonts w:cs="Times New Roman"/>
          <w:szCs w:val="24"/>
          <w:lang w:val="vi-VN"/>
        </w:rPr>
      </w:pPr>
      <w:r w:rsidRPr="00802F1A">
        <w:rPr>
          <w:rFonts w:cs="Times New Roman"/>
          <w:szCs w:val="24"/>
          <w:lang w:val="vi-VN"/>
        </w:rPr>
        <w:lastRenderedPageBreak/>
        <w:t xml:space="preserve">These findings are largely consistent when we break down the overall financial development index into its components: the overall financial institution index </w:t>
      </w:r>
      <w:r w:rsidRPr="00802F1A">
        <w:rPr>
          <w:rFonts w:cs="Times New Roman"/>
          <w:szCs w:val="24"/>
          <w:lang w:val="en-US"/>
        </w:rPr>
        <w:t>(column 4)</w:t>
      </w:r>
      <w:r w:rsidRPr="00802F1A">
        <w:rPr>
          <w:rFonts w:cs="Times New Roman"/>
          <w:szCs w:val="24"/>
          <w:lang w:val="vi-VN"/>
        </w:rPr>
        <w:t xml:space="preserve"> and the financial market index</w:t>
      </w:r>
      <w:r w:rsidRPr="00802F1A">
        <w:rPr>
          <w:rFonts w:cs="Times New Roman"/>
          <w:szCs w:val="24"/>
          <w:lang w:val="en-US"/>
        </w:rPr>
        <w:t xml:space="preserve"> </w:t>
      </w:r>
      <w:r w:rsidRPr="00802F1A">
        <w:rPr>
          <w:rFonts w:cs="Times New Roman"/>
          <w:szCs w:val="24"/>
          <w:lang w:val="vi-VN"/>
        </w:rPr>
        <w:t>(column 5). Furthermore, when we further analyze the financial institution index in terms of depth, access, and efficiency, we continue to observe similar patterns and associations</w:t>
      </w:r>
      <w:r w:rsidRPr="00802F1A">
        <w:rPr>
          <w:rFonts w:cs="Times New Roman"/>
          <w:szCs w:val="24"/>
          <w:lang w:val="en-US"/>
        </w:rPr>
        <w:t xml:space="preserve"> (columns 1-3)</w:t>
      </w:r>
      <w:r w:rsidRPr="00802F1A">
        <w:rPr>
          <w:rFonts w:cs="Times New Roman"/>
          <w:szCs w:val="24"/>
          <w:lang w:val="vi-VN"/>
        </w:rPr>
        <w:t>.</w:t>
      </w:r>
    </w:p>
    <w:p w14:paraId="31BD3102" w14:textId="77777777" w:rsidR="00B56054" w:rsidRPr="00802F1A" w:rsidRDefault="00B56054" w:rsidP="00B56054">
      <w:pPr>
        <w:jc w:val="both"/>
        <w:rPr>
          <w:rFonts w:cs="Times New Roman"/>
          <w:szCs w:val="24"/>
          <w:lang w:val="vi-VN"/>
        </w:rPr>
      </w:pPr>
    </w:p>
    <w:p w14:paraId="05640441" w14:textId="29317955" w:rsidR="000460FA" w:rsidRPr="00802F1A" w:rsidRDefault="004E024B" w:rsidP="002E0E83">
      <w:pPr>
        <w:rPr>
          <w:rFonts w:cs="Times New Roman"/>
          <w:sz w:val="22"/>
          <w:lang w:val="en-US"/>
        </w:rPr>
      </w:pPr>
      <w:r w:rsidRPr="00802F1A">
        <w:rPr>
          <w:rFonts w:cs="Times New Roman"/>
          <w:sz w:val="22"/>
          <w:lang w:val="en-US"/>
        </w:rPr>
        <w:t xml:space="preserve">Table </w:t>
      </w:r>
      <w:r w:rsidR="00052F36" w:rsidRPr="00802F1A">
        <w:rPr>
          <w:rFonts w:cs="Times New Roman"/>
          <w:sz w:val="22"/>
          <w:lang w:val="vi-VN"/>
        </w:rPr>
        <w:t>8</w:t>
      </w:r>
      <w:r w:rsidRPr="00802F1A">
        <w:rPr>
          <w:rFonts w:cs="Times New Roman"/>
          <w:sz w:val="22"/>
          <w:lang w:val="en-US"/>
        </w:rPr>
        <w:t xml:space="preserve">: </w:t>
      </w:r>
      <w:r w:rsidR="002827DF" w:rsidRPr="00802F1A">
        <w:rPr>
          <w:rFonts w:cs="Times New Roman"/>
          <w:sz w:val="22"/>
          <w:lang w:val="en-US"/>
        </w:rPr>
        <w:t>The interrelationship</w:t>
      </w:r>
      <w:r w:rsidR="009E6B0A" w:rsidRPr="00802F1A">
        <w:rPr>
          <w:rFonts w:cs="Times New Roman"/>
          <w:sz w:val="22"/>
          <w:lang w:val="en-US"/>
        </w:rPr>
        <w:t>s</w:t>
      </w:r>
      <w:r w:rsidR="002827DF" w:rsidRPr="00802F1A">
        <w:rPr>
          <w:rFonts w:cs="Times New Roman"/>
          <w:sz w:val="22"/>
          <w:lang w:val="en-US"/>
        </w:rPr>
        <w:t xml:space="preserve"> between energy diversification, </w:t>
      </w:r>
      <w:r w:rsidR="00702E66" w:rsidRPr="00802F1A">
        <w:rPr>
          <w:rFonts w:cs="Times New Roman"/>
          <w:sz w:val="22"/>
          <w:lang w:val="en-US"/>
        </w:rPr>
        <w:t xml:space="preserve">financial </w:t>
      </w:r>
      <w:r w:rsidR="00675801" w:rsidRPr="00802F1A">
        <w:rPr>
          <w:rFonts w:cs="Times New Roman"/>
          <w:sz w:val="22"/>
          <w:lang w:val="en-US"/>
        </w:rPr>
        <w:t>development,</w:t>
      </w:r>
      <w:r w:rsidR="00702E66" w:rsidRPr="00802F1A">
        <w:rPr>
          <w:rFonts w:cs="Times New Roman"/>
          <w:sz w:val="22"/>
          <w:lang w:val="en-US"/>
        </w:rPr>
        <w:t xml:space="preserve"> and </w:t>
      </w:r>
      <w:r w:rsidR="002827DF" w:rsidRPr="00802F1A">
        <w:rPr>
          <w:rFonts w:cs="Times New Roman"/>
          <w:sz w:val="22"/>
          <w:lang w:val="en-US"/>
        </w:rPr>
        <w:t>economic growth.</w:t>
      </w:r>
    </w:p>
    <w:tbl>
      <w:tblPr>
        <w:tblW w:w="8100" w:type="dxa"/>
        <w:tblLayout w:type="fixed"/>
        <w:tblCellMar>
          <w:left w:w="0" w:type="dxa"/>
          <w:right w:w="0" w:type="dxa"/>
        </w:tblCellMar>
        <w:tblLook w:val="04A0" w:firstRow="1" w:lastRow="0" w:firstColumn="1" w:lastColumn="0" w:noHBand="0" w:noVBand="1"/>
      </w:tblPr>
      <w:tblGrid>
        <w:gridCol w:w="1890"/>
        <w:gridCol w:w="990"/>
        <w:gridCol w:w="990"/>
        <w:gridCol w:w="990"/>
        <w:gridCol w:w="990"/>
        <w:gridCol w:w="990"/>
        <w:gridCol w:w="1260"/>
      </w:tblGrid>
      <w:tr w:rsidR="00802F1A" w:rsidRPr="00802F1A" w14:paraId="25080861" w14:textId="77777777" w:rsidTr="000B3160">
        <w:trPr>
          <w:trHeight w:hRule="exact" w:val="259"/>
        </w:trPr>
        <w:tc>
          <w:tcPr>
            <w:tcW w:w="1890" w:type="dxa"/>
            <w:tcBorders>
              <w:top w:val="single" w:sz="4" w:space="0" w:color="auto"/>
              <w:left w:val="nil"/>
              <w:bottom w:val="nil"/>
              <w:right w:val="nil"/>
            </w:tcBorders>
            <w:shd w:val="clear" w:color="auto" w:fill="auto"/>
            <w:noWrap/>
            <w:vAlign w:val="bottom"/>
            <w:hideMark/>
          </w:tcPr>
          <w:p w14:paraId="62D62D2C" w14:textId="77777777" w:rsidR="00145AE5" w:rsidRPr="00802F1A" w:rsidRDefault="00145AE5" w:rsidP="00145AE5">
            <w:pPr>
              <w:spacing w:line="240" w:lineRule="auto"/>
              <w:rPr>
                <w:rFonts w:eastAsia="Times New Roman" w:cs="Times New Roman"/>
                <w:sz w:val="18"/>
                <w:szCs w:val="18"/>
                <w:lang w:eastAsia="en-AU"/>
              </w:rPr>
            </w:pPr>
            <w:r w:rsidRPr="00802F1A">
              <w:rPr>
                <w:rFonts w:eastAsia="Times New Roman" w:cs="Times New Roman"/>
                <w:sz w:val="18"/>
                <w:szCs w:val="18"/>
                <w:lang w:eastAsia="en-AU"/>
              </w:rPr>
              <w:t> </w:t>
            </w:r>
          </w:p>
        </w:tc>
        <w:tc>
          <w:tcPr>
            <w:tcW w:w="6210" w:type="dxa"/>
            <w:gridSpan w:val="6"/>
            <w:tcBorders>
              <w:top w:val="single" w:sz="4" w:space="0" w:color="auto"/>
              <w:left w:val="nil"/>
              <w:bottom w:val="nil"/>
              <w:right w:val="nil"/>
            </w:tcBorders>
            <w:shd w:val="clear" w:color="auto" w:fill="auto"/>
            <w:noWrap/>
            <w:vAlign w:val="bottom"/>
            <w:hideMark/>
          </w:tcPr>
          <w:p w14:paraId="4D8FE9C5" w14:textId="77777777" w:rsidR="00145AE5" w:rsidRPr="00802F1A" w:rsidRDefault="00145AE5" w:rsidP="00145AE5">
            <w:pPr>
              <w:spacing w:line="240" w:lineRule="auto"/>
              <w:jc w:val="center"/>
              <w:rPr>
                <w:rFonts w:eastAsia="Times New Roman" w:cs="Times New Roman"/>
                <w:sz w:val="18"/>
                <w:szCs w:val="18"/>
                <w:lang w:eastAsia="en-AU"/>
              </w:rPr>
            </w:pPr>
            <w:r w:rsidRPr="00802F1A">
              <w:rPr>
                <w:rFonts w:eastAsia="Times New Roman" w:cs="Times New Roman"/>
                <w:sz w:val="18"/>
                <w:szCs w:val="18"/>
                <w:lang w:eastAsia="en-AU"/>
              </w:rPr>
              <w:t>Financial Development</w:t>
            </w:r>
          </w:p>
        </w:tc>
      </w:tr>
      <w:tr w:rsidR="00802F1A" w:rsidRPr="00802F1A" w14:paraId="5A8BFAAE" w14:textId="77777777" w:rsidTr="000B3160">
        <w:trPr>
          <w:trHeight w:hRule="exact" w:val="259"/>
        </w:trPr>
        <w:tc>
          <w:tcPr>
            <w:tcW w:w="1890" w:type="dxa"/>
            <w:tcBorders>
              <w:top w:val="nil"/>
              <w:left w:val="nil"/>
              <w:right w:val="nil"/>
            </w:tcBorders>
            <w:shd w:val="clear" w:color="000000" w:fill="FFFFFF"/>
            <w:vAlign w:val="center"/>
            <w:hideMark/>
          </w:tcPr>
          <w:p w14:paraId="40363499" w14:textId="77777777" w:rsidR="00145AE5" w:rsidRPr="00802F1A" w:rsidRDefault="00145AE5" w:rsidP="00145AE5">
            <w:pPr>
              <w:spacing w:line="240" w:lineRule="auto"/>
              <w:rPr>
                <w:rFonts w:eastAsia="Times New Roman" w:cs="Times New Roman"/>
                <w:sz w:val="18"/>
                <w:szCs w:val="18"/>
                <w:lang w:eastAsia="en-AU"/>
              </w:rPr>
            </w:pPr>
            <w:r w:rsidRPr="00802F1A">
              <w:rPr>
                <w:rFonts w:eastAsia="Times New Roman" w:cs="Times New Roman"/>
                <w:sz w:val="18"/>
                <w:szCs w:val="18"/>
                <w:lang w:eastAsia="en-AU"/>
              </w:rPr>
              <w:t>Models</w:t>
            </w:r>
          </w:p>
        </w:tc>
        <w:tc>
          <w:tcPr>
            <w:tcW w:w="990" w:type="dxa"/>
            <w:tcBorders>
              <w:top w:val="single" w:sz="4" w:space="0" w:color="auto"/>
              <w:left w:val="nil"/>
              <w:right w:val="nil"/>
            </w:tcBorders>
            <w:shd w:val="clear" w:color="000000" w:fill="FFFFFF"/>
            <w:noWrap/>
            <w:vAlign w:val="center"/>
            <w:hideMark/>
          </w:tcPr>
          <w:p w14:paraId="7A8CB6BB" w14:textId="5D5CF3DB" w:rsidR="00145AE5" w:rsidRPr="00802F1A" w:rsidRDefault="00145AE5" w:rsidP="00145AE5">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FI Depth </w:t>
            </w:r>
          </w:p>
        </w:tc>
        <w:tc>
          <w:tcPr>
            <w:tcW w:w="990" w:type="dxa"/>
            <w:tcBorders>
              <w:top w:val="single" w:sz="4" w:space="0" w:color="auto"/>
              <w:left w:val="nil"/>
              <w:right w:val="nil"/>
            </w:tcBorders>
            <w:shd w:val="clear" w:color="000000" w:fill="FFFFFF"/>
            <w:noWrap/>
            <w:vAlign w:val="center"/>
            <w:hideMark/>
          </w:tcPr>
          <w:p w14:paraId="034B2C62" w14:textId="4457FD11" w:rsidR="00145AE5" w:rsidRPr="00802F1A" w:rsidRDefault="00145AE5" w:rsidP="00145AE5">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Access</w:t>
            </w:r>
          </w:p>
        </w:tc>
        <w:tc>
          <w:tcPr>
            <w:tcW w:w="990" w:type="dxa"/>
            <w:tcBorders>
              <w:top w:val="single" w:sz="4" w:space="0" w:color="auto"/>
              <w:left w:val="nil"/>
              <w:right w:val="nil"/>
            </w:tcBorders>
            <w:shd w:val="clear" w:color="000000" w:fill="FFFFFF"/>
            <w:noWrap/>
            <w:vAlign w:val="center"/>
            <w:hideMark/>
          </w:tcPr>
          <w:p w14:paraId="75F2563C" w14:textId="178388C6" w:rsidR="00145AE5" w:rsidRPr="00802F1A" w:rsidRDefault="00145AE5" w:rsidP="00145AE5">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Efficiency</w:t>
            </w:r>
          </w:p>
        </w:tc>
        <w:tc>
          <w:tcPr>
            <w:tcW w:w="990" w:type="dxa"/>
            <w:tcBorders>
              <w:top w:val="single" w:sz="4" w:space="0" w:color="auto"/>
              <w:left w:val="nil"/>
              <w:right w:val="nil"/>
            </w:tcBorders>
            <w:shd w:val="clear" w:color="000000" w:fill="FFFFFF"/>
            <w:noWrap/>
            <w:vAlign w:val="center"/>
            <w:hideMark/>
          </w:tcPr>
          <w:p w14:paraId="6CE32333" w14:textId="06DC5400" w:rsidR="00145AE5" w:rsidRPr="00802F1A" w:rsidRDefault="00145AE5" w:rsidP="00145AE5">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 Dev</w:t>
            </w:r>
          </w:p>
        </w:tc>
        <w:tc>
          <w:tcPr>
            <w:tcW w:w="990" w:type="dxa"/>
            <w:tcBorders>
              <w:top w:val="single" w:sz="4" w:space="0" w:color="auto"/>
              <w:left w:val="nil"/>
              <w:right w:val="nil"/>
            </w:tcBorders>
            <w:shd w:val="clear" w:color="000000" w:fill="FFFFFF"/>
            <w:noWrap/>
            <w:vAlign w:val="center"/>
            <w:hideMark/>
          </w:tcPr>
          <w:p w14:paraId="60CA3F8E" w14:textId="5D8B6EEE" w:rsidR="00145AE5" w:rsidRPr="00802F1A" w:rsidRDefault="00145AE5" w:rsidP="00145AE5">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 xml:space="preserve">FM </w:t>
            </w:r>
            <w:r w:rsidR="00A74BF1" w:rsidRPr="00802F1A">
              <w:rPr>
                <w:rFonts w:eastAsia="Times New Roman" w:cs="Times New Roman"/>
                <w:i/>
                <w:iCs/>
                <w:sz w:val="18"/>
                <w:szCs w:val="18"/>
                <w:lang w:eastAsia="en-AU"/>
              </w:rPr>
              <w:t>Dev</w:t>
            </w:r>
          </w:p>
        </w:tc>
        <w:tc>
          <w:tcPr>
            <w:tcW w:w="1260" w:type="dxa"/>
            <w:tcBorders>
              <w:top w:val="single" w:sz="4" w:space="0" w:color="auto"/>
              <w:left w:val="nil"/>
              <w:right w:val="nil"/>
            </w:tcBorders>
            <w:shd w:val="clear" w:color="000000" w:fill="FFFFFF"/>
            <w:noWrap/>
            <w:vAlign w:val="center"/>
            <w:hideMark/>
          </w:tcPr>
          <w:p w14:paraId="49F5174E" w14:textId="1B309B24" w:rsidR="00145AE5" w:rsidRPr="00802F1A" w:rsidRDefault="00145AE5" w:rsidP="00145AE5">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Financial Dev</w:t>
            </w:r>
          </w:p>
        </w:tc>
      </w:tr>
      <w:tr w:rsidR="00802F1A" w:rsidRPr="00802F1A" w14:paraId="00D69044" w14:textId="77777777" w:rsidTr="000B3160">
        <w:trPr>
          <w:trHeight w:hRule="exact" w:val="259"/>
        </w:trPr>
        <w:tc>
          <w:tcPr>
            <w:tcW w:w="1890" w:type="dxa"/>
            <w:tcBorders>
              <w:left w:val="nil"/>
              <w:bottom w:val="single" w:sz="4" w:space="0" w:color="auto"/>
              <w:right w:val="nil"/>
            </w:tcBorders>
            <w:shd w:val="clear" w:color="000000" w:fill="FFFFFF"/>
            <w:vAlign w:val="center"/>
          </w:tcPr>
          <w:p w14:paraId="3363E85E" w14:textId="77777777" w:rsidR="009A66E8" w:rsidRPr="00802F1A" w:rsidRDefault="009A66E8" w:rsidP="00507F80">
            <w:pPr>
              <w:spacing w:line="240" w:lineRule="auto"/>
              <w:rPr>
                <w:rFonts w:eastAsia="Times New Roman" w:cs="Times New Roman"/>
                <w:sz w:val="18"/>
                <w:szCs w:val="18"/>
                <w:lang w:eastAsia="en-AU"/>
              </w:rPr>
            </w:pPr>
          </w:p>
        </w:tc>
        <w:tc>
          <w:tcPr>
            <w:tcW w:w="990" w:type="dxa"/>
            <w:tcBorders>
              <w:left w:val="nil"/>
              <w:bottom w:val="single" w:sz="4" w:space="0" w:color="auto"/>
              <w:right w:val="nil"/>
            </w:tcBorders>
            <w:shd w:val="clear" w:color="000000" w:fill="FFFFFF"/>
            <w:noWrap/>
            <w:vAlign w:val="center"/>
          </w:tcPr>
          <w:p w14:paraId="1AD63824" w14:textId="5AB6BB67" w:rsidR="009A66E8" w:rsidRPr="00802F1A" w:rsidRDefault="009A66E8" w:rsidP="00507F80">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(1)</w:t>
            </w:r>
          </w:p>
        </w:tc>
        <w:tc>
          <w:tcPr>
            <w:tcW w:w="990" w:type="dxa"/>
            <w:tcBorders>
              <w:left w:val="nil"/>
              <w:bottom w:val="single" w:sz="4" w:space="0" w:color="auto"/>
              <w:right w:val="nil"/>
            </w:tcBorders>
            <w:shd w:val="clear" w:color="000000" w:fill="FFFFFF"/>
            <w:noWrap/>
            <w:vAlign w:val="center"/>
          </w:tcPr>
          <w:p w14:paraId="27347653" w14:textId="23A302F4" w:rsidR="009A66E8" w:rsidRPr="00802F1A" w:rsidRDefault="009A66E8" w:rsidP="00507F80">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(2)</w:t>
            </w:r>
          </w:p>
        </w:tc>
        <w:tc>
          <w:tcPr>
            <w:tcW w:w="990" w:type="dxa"/>
            <w:tcBorders>
              <w:left w:val="nil"/>
              <w:bottom w:val="single" w:sz="4" w:space="0" w:color="auto"/>
              <w:right w:val="nil"/>
            </w:tcBorders>
            <w:shd w:val="clear" w:color="000000" w:fill="FFFFFF"/>
            <w:noWrap/>
            <w:vAlign w:val="center"/>
          </w:tcPr>
          <w:p w14:paraId="22AC1F4D" w14:textId="7D8224A1" w:rsidR="009A66E8" w:rsidRPr="00802F1A" w:rsidRDefault="009A66E8" w:rsidP="00507F80">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(3)</w:t>
            </w:r>
          </w:p>
        </w:tc>
        <w:tc>
          <w:tcPr>
            <w:tcW w:w="990" w:type="dxa"/>
            <w:tcBorders>
              <w:left w:val="nil"/>
              <w:bottom w:val="single" w:sz="4" w:space="0" w:color="auto"/>
              <w:right w:val="nil"/>
            </w:tcBorders>
            <w:shd w:val="clear" w:color="000000" w:fill="FFFFFF"/>
            <w:noWrap/>
            <w:vAlign w:val="center"/>
          </w:tcPr>
          <w:p w14:paraId="40399BF3" w14:textId="161BF8B1" w:rsidR="009A66E8" w:rsidRPr="00802F1A" w:rsidRDefault="009A66E8" w:rsidP="00507F80">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(4)</w:t>
            </w:r>
          </w:p>
        </w:tc>
        <w:tc>
          <w:tcPr>
            <w:tcW w:w="990" w:type="dxa"/>
            <w:tcBorders>
              <w:left w:val="nil"/>
              <w:bottom w:val="single" w:sz="4" w:space="0" w:color="auto"/>
              <w:right w:val="nil"/>
            </w:tcBorders>
            <w:shd w:val="clear" w:color="000000" w:fill="FFFFFF"/>
            <w:noWrap/>
            <w:vAlign w:val="center"/>
          </w:tcPr>
          <w:p w14:paraId="7D207DFC" w14:textId="41924FF2" w:rsidR="009A66E8" w:rsidRPr="00802F1A" w:rsidRDefault="009A66E8" w:rsidP="00507F80">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(5)</w:t>
            </w:r>
          </w:p>
        </w:tc>
        <w:tc>
          <w:tcPr>
            <w:tcW w:w="1260" w:type="dxa"/>
            <w:tcBorders>
              <w:left w:val="nil"/>
              <w:bottom w:val="single" w:sz="4" w:space="0" w:color="auto"/>
              <w:right w:val="nil"/>
            </w:tcBorders>
            <w:shd w:val="clear" w:color="000000" w:fill="FFFFFF"/>
            <w:noWrap/>
            <w:vAlign w:val="center"/>
          </w:tcPr>
          <w:p w14:paraId="628E1C0A" w14:textId="7D68AA6C" w:rsidR="009A66E8" w:rsidRPr="00802F1A" w:rsidRDefault="009A66E8" w:rsidP="00507F80">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(6)</w:t>
            </w:r>
          </w:p>
        </w:tc>
      </w:tr>
      <w:tr w:rsidR="00802F1A" w:rsidRPr="00802F1A" w14:paraId="34616CD4" w14:textId="77777777" w:rsidTr="000B3160">
        <w:trPr>
          <w:trHeight w:hRule="exact" w:val="259"/>
        </w:trPr>
        <w:tc>
          <w:tcPr>
            <w:tcW w:w="8100" w:type="dxa"/>
            <w:gridSpan w:val="7"/>
            <w:tcBorders>
              <w:top w:val="single" w:sz="4" w:space="0" w:color="auto"/>
              <w:left w:val="nil"/>
              <w:bottom w:val="nil"/>
              <w:right w:val="nil"/>
            </w:tcBorders>
            <w:shd w:val="clear" w:color="000000" w:fill="FFFFFF"/>
            <w:noWrap/>
            <w:vAlign w:val="bottom"/>
            <w:hideMark/>
          </w:tcPr>
          <w:p w14:paraId="471CBBE7" w14:textId="37B47F30" w:rsidR="00145AE5" w:rsidRPr="00802F1A" w:rsidRDefault="00145AE5" w:rsidP="00145AE5">
            <w:pPr>
              <w:spacing w:line="240" w:lineRule="auto"/>
              <w:rPr>
                <w:rFonts w:eastAsia="Times New Roman" w:cs="Times New Roman"/>
                <w:b/>
                <w:bCs/>
                <w:i/>
                <w:iCs/>
                <w:sz w:val="18"/>
                <w:szCs w:val="18"/>
                <w:lang w:eastAsia="en-AU"/>
              </w:rPr>
            </w:pPr>
            <w:r w:rsidRPr="00802F1A">
              <w:rPr>
                <w:rFonts w:eastAsia="Times New Roman" w:cs="Times New Roman"/>
                <w:b/>
                <w:bCs/>
                <w:i/>
                <w:iCs/>
                <w:sz w:val="18"/>
                <w:szCs w:val="18"/>
                <w:lang w:eastAsia="en-AU"/>
              </w:rPr>
              <w:t xml:space="preserve">Model: </w:t>
            </w:r>
            <w:r w:rsidR="00B62476" w:rsidRPr="00802F1A">
              <w:rPr>
                <w:rFonts w:eastAsia="Times New Roman" w:cs="Times New Roman"/>
                <w:b/>
                <w:bCs/>
                <w:i/>
                <w:iCs/>
                <w:sz w:val="18"/>
                <w:szCs w:val="18"/>
                <w:lang w:eastAsia="en-AU"/>
              </w:rPr>
              <w:t xml:space="preserve">Energy </w:t>
            </w:r>
            <w:r w:rsidRPr="00802F1A">
              <w:rPr>
                <w:rFonts w:eastAsia="Times New Roman" w:cs="Times New Roman"/>
                <w:b/>
                <w:bCs/>
                <w:i/>
                <w:iCs/>
                <w:sz w:val="18"/>
                <w:szCs w:val="18"/>
                <w:lang w:eastAsia="en-AU"/>
              </w:rPr>
              <w:t xml:space="preserve">HHI </w:t>
            </w:r>
          </w:p>
        </w:tc>
      </w:tr>
      <w:tr w:rsidR="00802F1A" w:rsidRPr="00802F1A" w14:paraId="7AD6CA0E" w14:textId="77777777" w:rsidTr="000B3160">
        <w:trPr>
          <w:trHeight w:hRule="exact" w:val="259"/>
        </w:trPr>
        <w:tc>
          <w:tcPr>
            <w:tcW w:w="1890" w:type="dxa"/>
            <w:tcBorders>
              <w:top w:val="nil"/>
              <w:left w:val="nil"/>
              <w:bottom w:val="nil"/>
              <w:right w:val="nil"/>
            </w:tcBorders>
            <w:shd w:val="clear" w:color="auto" w:fill="auto"/>
            <w:vAlign w:val="center"/>
            <w:hideMark/>
          </w:tcPr>
          <w:p w14:paraId="1898C7AD" w14:textId="77777777" w:rsidR="00AC0F06" w:rsidRPr="00802F1A" w:rsidRDefault="00AC0F06" w:rsidP="00AC0F06">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Trend</w:t>
            </w:r>
          </w:p>
        </w:tc>
        <w:tc>
          <w:tcPr>
            <w:tcW w:w="990" w:type="dxa"/>
            <w:tcBorders>
              <w:top w:val="nil"/>
              <w:left w:val="nil"/>
              <w:bottom w:val="nil"/>
              <w:right w:val="nil"/>
            </w:tcBorders>
            <w:shd w:val="clear" w:color="auto" w:fill="auto"/>
            <w:noWrap/>
            <w:vAlign w:val="center"/>
            <w:hideMark/>
          </w:tcPr>
          <w:p w14:paraId="3830F657" w14:textId="526D4C5F" w:rsidR="00AC0F06" w:rsidRPr="00802F1A" w:rsidRDefault="00AC0F06" w:rsidP="00AC0F06">
            <w:pPr>
              <w:spacing w:line="240" w:lineRule="auto"/>
              <w:rPr>
                <w:rFonts w:eastAsia="Times New Roman" w:cs="Times New Roman"/>
                <w:sz w:val="18"/>
                <w:szCs w:val="18"/>
                <w:lang w:eastAsia="en-AU"/>
              </w:rPr>
            </w:pPr>
            <w:r w:rsidRPr="00802F1A">
              <w:rPr>
                <w:sz w:val="18"/>
                <w:szCs w:val="18"/>
              </w:rPr>
              <w:t>-0.005***</w:t>
            </w:r>
          </w:p>
        </w:tc>
        <w:tc>
          <w:tcPr>
            <w:tcW w:w="990" w:type="dxa"/>
            <w:tcBorders>
              <w:top w:val="nil"/>
              <w:left w:val="nil"/>
              <w:bottom w:val="nil"/>
              <w:right w:val="nil"/>
            </w:tcBorders>
            <w:shd w:val="clear" w:color="auto" w:fill="auto"/>
            <w:noWrap/>
            <w:vAlign w:val="center"/>
            <w:hideMark/>
          </w:tcPr>
          <w:p w14:paraId="49672DD0" w14:textId="156A00A6" w:rsidR="00AC0F06" w:rsidRPr="00802F1A" w:rsidRDefault="00AC0F06" w:rsidP="00AC0F06">
            <w:pPr>
              <w:spacing w:line="240" w:lineRule="auto"/>
              <w:rPr>
                <w:rFonts w:eastAsia="Times New Roman" w:cs="Times New Roman"/>
                <w:sz w:val="18"/>
                <w:szCs w:val="18"/>
                <w:lang w:eastAsia="en-AU"/>
              </w:rPr>
            </w:pPr>
            <w:r w:rsidRPr="00802F1A">
              <w:rPr>
                <w:sz w:val="18"/>
                <w:szCs w:val="18"/>
              </w:rPr>
              <w:t>-0.005*</w:t>
            </w:r>
          </w:p>
        </w:tc>
        <w:tc>
          <w:tcPr>
            <w:tcW w:w="990" w:type="dxa"/>
            <w:tcBorders>
              <w:top w:val="nil"/>
              <w:left w:val="nil"/>
              <w:bottom w:val="nil"/>
              <w:right w:val="nil"/>
            </w:tcBorders>
            <w:shd w:val="clear" w:color="auto" w:fill="auto"/>
            <w:noWrap/>
            <w:vAlign w:val="center"/>
            <w:hideMark/>
          </w:tcPr>
          <w:p w14:paraId="165565F9" w14:textId="1D13FA62" w:rsidR="00AC0F06" w:rsidRPr="00802F1A" w:rsidRDefault="00AC0F06" w:rsidP="00AC0F06">
            <w:pPr>
              <w:spacing w:line="240" w:lineRule="auto"/>
              <w:rPr>
                <w:rFonts w:eastAsia="Times New Roman" w:cs="Times New Roman"/>
                <w:sz w:val="18"/>
                <w:szCs w:val="18"/>
                <w:lang w:eastAsia="en-AU"/>
              </w:rPr>
            </w:pPr>
            <w:r w:rsidRPr="00802F1A">
              <w:rPr>
                <w:sz w:val="18"/>
                <w:szCs w:val="18"/>
              </w:rPr>
              <w:t>-0.004</w:t>
            </w:r>
          </w:p>
        </w:tc>
        <w:tc>
          <w:tcPr>
            <w:tcW w:w="990" w:type="dxa"/>
            <w:tcBorders>
              <w:top w:val="nil"/>
              <w:left w:val="nil"/>
              <w:bottom w:val="nil"/>
              <w:right w:val="nil"/>
            </w:tcBorders>
            <w:shd w:val="clear" w:color="auto" w:fill="auto"/>
            <w:noWrap/>
            <w:vAlign w:val="center"/>
            <w:hideMark/>
          </w:tcPr>
          <w:p w14:paraId="6535BA07" w14:textId="21E17051" w:rsidR="00AC0F06" w:rsidRPr="00802F1A" w:rsidRDefault="00AC0F06" w:rsidP="00AC0F06">
            <w:pPr>
              <w:spacing w:line="240" w:lineRule="auto"/>
              <w:rPr>
                <w:rFonts w:eastAsia="Times New Roman" w:cs="Times New Roman"/>
                <w:sz w:val="18"/>
                <w:szCs w:val="18"/>
                <w:lang w:eastAsia="en-AU"/>
              </w:rPr>
            </w:pPr>
            <w:r w:rsidRPr="00802F1A">
              <w:rPr>
                <w:sz w:val="18"/>
                <w:szCs w:val="18"/>
              </w:rPr>
              <w:t>-0.003</w:t>
            </w:r>
          </w:p>
        </w:tc>
        <w:tc>
          <w:tcPr>
            <w:tcW w:w="990" w:type="dxa"/>
            <w:tcBorders>
              <w:top w:val="nil"/>
              <w:left w:val="nil"/>
              <w:bottom w:val="nil"/>
              <w:right w:val="nil"/>
            </w:tcBorders>
            <w:shd w:val="clear" w:color="auto" w:fill="auto"/>
            <w:noWrap/>
            <w:vAlign w:val="center"/>
            <w:hideMark/>
          </w:tcPr>
          <w:p w14:paraId="592E7DB3" w14:textId="3D0059B6" w:rsidR="00AC0F06" w:rsidRPr="00802F1A" w:rsidRDefault="00AC0F06" w:rsidP="00AC0F06">
            <w:pPr>
              <w:spacing w:line="240" w:lineRule="auto"/>
              <w:rPr>
                <w:rFonts w:eastAsia="Times New Roman" w:cs="Times New Roman"/>
                <w:sz w:val="18"/>
                <w:szCs w:val="18"/>
                <w:lang w:eastAsia="en-AU"/>
              </w:rPr>
            </w:pPr>
            <w:r w:rsidRPr="00802F1A">
              <w:rPr>
                <w:sz w:val="18"/>
                <w:szCs w:val="18"/>
              </w:rPr>
              <w:t>-0.004</w:t>
            </w:r>
          </w:p>
        </w:tc>
        <w:tc>
          <w:tcPr>
            <w:tcW w:w="1260" w:type="dxa"/>
            <w:tcBorders>
              <w:top w:val="nil"/>
              <w:left w:val="nil"/>
              <w:bottom w:val="nil"/>
              <w:right w:val="nil"/>
            </w:tcBorders>
            <w:shd w:val="clear" w:color="auto" w:fill="auto"/>
            <w:noWrap/>
            <w:vAlign w:val="center"/>
            <w:hideMark/>
          </w:tcPr>
          <w:p w14:paraId="67993017" w14:textId="7A00BC31" w:rsidR="00AC0F06" w:rsidRPr="00802F1A" w:rsidRDefault="00AC0F06" w:rsidP="00AC0F06">
            <w:pPr>
              <w:spacing w:line="240" w:lineRule="auto"/>
              <w:rPr>
                <w:rFonts w:eastAsia="Times New Roman" w:cs="Times New Roman"/>
                <w:sz w:val="18"/>
                <w:szCs w:val="18"/>
                <w:lang w:eastAsia="en-AU"/>
              </w:rPr>
            </w:pPr>
            <w:r w:rsidRPr="00802F1A">
              <w:rPr>
                <w:sz w:val="18"/>
                <w:szCs w:val="18"/>
              </w:rPr>
              <w:t>-0.004</w:t>
            </w:r>
          </w:p>
        </w:tc>
      </w:tr>
      <w:tr w:rsidR="00802F1A" w:rsidRPr="00802F1A" w14:paraId="6F7A209F" w14:textId="77777777" w:rsidTr="000B3160">
        <w:trPr>
          <w:trHeight w:hRule="exact" w:val="259"/>
        </w:trPr>
        <w:tc>
          <w:tcPr>
            <w:tcW w:w="1890" w:type="dxa"/>
            <w:tcBorders>
              <w:top w:val="nil"/>
              <w:left w:val="nil"/>
              <w:bottom w:val="nil"/>
              <w:right w:val="nil"/>
            </w:tcBorders>
            <w:shd w:val="clear" w:color="000000" w:fill="FFFFFF"/>
            <w:vAlign w:val="center"/>
            <w:hideMark/>
          </w:tcPr>
          <w:p w14:paraId="1D1263EA" w14:textId="77777777" w:rsidR="00AC0F06" w:rsidRPr="00802F1A" w:rsidRDefault="00AC0F06" w:rsidP="00AC0F06">
            <w:pPr>
              <w:spacing w:line="240" w:lineRule="auto"/>
              <w:rPr>
                <w:rFonts w:eastAsia="Times New Roman" w:cs="Times New Roman"/>
                <w:sz w:val="18"/>
                <w:szCs w:val="18"/>
                <w:lang w:eastAsia="en-AU"/>
              </w:rPr>
            </w:pPr>
            <w:r w:rsidRPr="00802F1A">
              <w:rPr>
                <w:rFonts w:eastAsia="Times New Roman" w:cs="Times New Roman"/>
                <w:sz w:val="18"/>
                <w:szCs w:val="18"/>
                <w:lang w:eastAsia="en-AU"/>
              </w:rPr>
              <w:t>L</w:t>
            </w:r>
            <w:proofErr w:type="gramStart"/>
            <w:r w:rsidRPr="00802F1A">
              <w:rPr>
                <w:rFonts w:eastAsia="Times New Roman" w:cs="Times New Roman"/>
                <w:sz w:val="18"/>
                <w:szCs w:val="18"/>
                <w:lang w:eastAsia="en-AU"/>
              </w:rPr>
              <w:t>1.Log</w:t>
            </w:r>
            <w:proofErr w:type="gramEnd"/>
            <w:r w:rsidRPr="00802F1A">
              <w:rPr>
                <w:rFonts w:eastAsia="Times New Roman" w:cs="Times New Roman"/>
                <w:sz w:val="18"/>
                <w:szCs w:val="18"/>
                <w:lang w:eastAsia="en-AU"/>
              </w:rPr>
              <w:t>(</w:t>
            </w:r>
            <w:r w:rsidRPr="00802F1A">
              <w:rPr>
                <w:rFonts w:eastAsia="Times New Roman" w:cs="Times New Roman"/>
                <w:i/>
                <w:iCs/>
                <w:sz w:val="18"/>
                <w:szCs w:val="18"/>
                <w:lang w:eastAsia="en-AU"/>
              </w:rPr>
              <w:t>Financial Dev</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658FBFFA" w14:textId="0F2E5422" w:rsidR="00AC0F06" w:rsidRPr="00802F1A" w:rsidRDefault="00AC0F06" w:rsidP="00AC0F06">
            <w:pPr>
              <w:spacing w:line="240" w:lineRule="auto"/>
              <w:rPr>
                <w:rFonts w:eastAsia="Times New Roman" w:cs="Times New Roman"/>
                <w:sz w:val="18"/>
                <w:szCs w:val="18"/>
                <w:lang w:eastAsia="en-AU"/>
              </w:rPr>
            </w:pPr>
            <w:r w:rsidRPr="00802F1A">
              <w:rPr>
                <w:sz w:val="18"/>
                <w:szCs w:val="18"/>
              </w:rPr>
              <w:t>0.085</w:t>
            </w:r>
          </w:p>
        </w:tc>
        <w:tc>
          <w:tcPr>
            <w:tcW w:w="990" w:type="dxa"/>
            <w:tcBorders>
              <w:top w:val="nil"/>
              <w:left w:val="nil"/>
              <w:bottom w:val="nil"/>
              <w:right w:val="nil"/>
            </w:tcBorders>
            <w:shd w:val="clear" w:color="auto" w:fill="auto"/>
            <w:noWrap/>
            <w:vAlign w:val="center"/>
            <w:hideMark/>
          </w:tcPr>
          <w:p w14:paraId="56C4CDF5" w14:textId="5F2F34F0" w:rsidR="00AC0F06" w:rsidRPr="00802F1A" w:rsidRDefault="00AC0F06" w:rsidP="00AC0F06">
            <w:pPr>
              <w:spacing w:line="240" w:lineRule="auto"/>
              <w:rPr>
                <w:rFonts w:eastAsia="Times New Roman" w:cs="Times New Roman"/>
                <w:sz w:val="18"/>
                <w:szCs w:val="18"/>
                <w:lang w:eastAsia="en-AU"/>
              </w:rPr>
            </w:pPr>
            <w:r w:rsidRPr="00802F1A">
              <w:rPr>
                <w:sz w:val="18"/>
                <w:szCs w:val="18"/>
              </w:rPr>
              <w:t>0.032</w:t>
            </w:r>
          </w:p>
        </w:tc>
        <w:tc>
          <w:tcPr>
            <w:tcW w:w="990" w:type="dxa"/>
            <w:tcBorders>
              <w:top w:val="nil"/>
              <w:left w:val="nil"/>
              <w:bottom w:val="nil"/>
              <w:right w:val="nil"/>
            </w:tcBorders>
            <w:shd w:val="clear" w:color="auto" w:fill="auto"/>
            <w:noWrap/>
            <w:vAlign w:val="center"/>
            <w:hideMark/>
          </w:tcPr>
          <w:p w14:paraId="571E1EAC" w14:textId="1E3208F9" w:rsidR="00AC0F06" w:rsidRPr="00802F1A" w:rsidRDefault="00AC0F06" w:rsidP="00AC0F06">
            <w:pPr>
              <w:spacing w:line="240" w:lineRule="auto"/>
              <w:rPr>
                <w:rFonts w:eastAsia="Times New Roman" w:cs="Times New Roman"/>
                <w:sz w:val="18"/>
                <w:szCs w:val="18"/>
                <w:lang w:eastAsia="en-AU"/>
              </w:rPr>
            </w:pPr>
            <w:r w:rsidRPr="00802F1A">
              <w:rPr>
                <w:sz w:val="18"/>
                <w:szCs w:val="18"/>
              </w:rPr>
              <w:t>0.025</w:t>
            </w:r>
          </w:p>
        </w:tc>
        <w:tc>
          <w:tcPr>
            <w:tcW w:w="990" w:type="dxa"/>
            <w:tcBorders>
              <w:top w:val="nil"/>
              <w:left w:val="nil"/>
              <w:bottom w:val="nil"/>
              <w:right w:val="nil"/>
            </w:tcBorders>
            <w:shd w:val="clear" w:color="auto" w:fill="auto"/>
            <w:noWrap/>
            <w:vAlign w:val="center"/>
            <w:hideMark/>
          </w:tcPr>
          <w:p w14:paraId="398B9130" w14:textId="08EF1F9E" w:rsidR="00AC0F06" w:rsidRPr="00802F1A" w:rsidRDefault="00AC0F06" w:rsidP="00AC0F06">
            <w:pPr>
              <w:spacing w:line="240" w:lineRule="auto"/>
              <w:rPr>
                <w:rFonts w:eastAsia="Times New Roman" w:cs="Times New Roman"/>
                <w:sz w:val="18"/>
                <w:szCs w:val="18"/>
                <w:lang w:eastAsia="en-AU"/>
              </w:rPr>
            </w:pPr>
            <w:r w:rsidRPr="00802F1A">
              <w:rPr>
                <w:sz w:val="18"/>
                <w:szCs w:val="18"/>
              </w:rPr>
              <w:t>-0.102</w:t>
            </w:r>
          </w:p>
        </w:tc>
        <w:tc>
          <w:tcPr>
            <w:tcW w:w="990" w:type="dxa"/>
            <w:tcBorders>
              <w:top w:val="nil"/>
              <w:left w:val="nil"/>
              <w:bottom w:val="nil"/>
              <w:right w:val="nil"/>
            </w:tcBorders>
            <w:shd w:val="clear" w:color="auto" w:fill="auto"/>
            <w:noWrap/>
            <w:vAlign w:val="center"/>
            <w:hideMark/>
          </w:tcPr>
          <w:p w14:paraId="3A4DBD13" w14:textId="0B61AFE6" w:rsidR="00AC0F06" w:rsidRPr="00802F1A" w:rsidRDefault="00AC0F06" w:rsidP="00AC0F06">
            <w:pPr>
              <w:spacing w:line="240" w:lineRule="auto"/>
              <w:rPr>
                <w:rFonts w:eastAsia="Times New Roman" w:cs="Times New Roman"/>
                <w:sz w:val="18"/>
                <w:szCs w:val="18"/>
                <w:lang w:eastAsia="en-AU"/>
              </w:rPr>
            </w:pPr>
            <w:r w:rsidRPr="00802F1A">
              <w:rPr>
                <w:sz w:val="18"/>
                <w:szCs w:val="18"/>
              </w:rPr>
              <w:t>-0.013</w:t>
            </w:r>
          </w:p>
        </w:tc>
        <w:tc>
          <w:tcPr>
            <w:tcW w:w="1260" w:type="dxa"/>
            <w:tcBorders>
              <w:top w:val="nil"/>
              <w:left w:val="nil"/>
              <w:bottom w:val="nil"/>
              <w:right w:val="nil"/>
            </w:tcBorders>
            <w:shd w:val="clear" w:color="auto" w:fill="auto"/>
            <w:noWrap/>
            <w:vAlign w:val="center"/>
            <w:hideMark/>
          </w:tcPr>
          <w:p w14:paraId="535B4530" w14:textId="1A416D0A" w:rsidR="00AC0F06" w:rsidRPr="00802F1A" w:rsidRDefault="00AC0F06" w:rsidP="00AC0F06">
            <w:pPr>
              <w:spacing w:line="240" w:lineRule="auto"/>
              <w:rPr>
                <w:rFonts w:eastAsia="Times New Roman" w:cs="Times New Roman"/>
                <w:sz w:val="18"/>
                <w:szCs w:val="18"/>
                <w:lang w:eastAsia="en-AU"/>
              </w:rPr>
            </w:pPr>
            <w:r w:rsidRPr="00802F1A">
              <w:rPr>
                <w:sz w:val="18"/>
                <w:szCs w:val="18"/>
              </w:rPr>
              <w:t>0.002</w:t>
            </w:r>
          </w:p>
        </w:tc>
      </w:tr>
      <w:tr w:rsidR="00802F1A" w:rsidRPr="00802F1A" w14:paraId="11AF3418" w14:textId="77777777" w:rsidTr="000B3160">
        <w:trPr>
          <w:trHeight w:hRule="exact" w:val="259"/>
        </w:trPr>
        <w:tc>
          <w:tcPr>
            <w:tcW w:w="1890" w:type="dxa"/>
            <w:tcBorders>
              <w:top w:val="nil"/>
              <w:left w:val="nil"/>
              <w:bottom w:val="nil"/>
              <w:right w:val="nil"/>
            </w:tcBorders>
            <w:shd w:val="clear" w:color="000000" w:fill="FFFFFF"/>
            <w:vAlign w:val="center"/>
            <w:hideMark/>
          </w:tcPr>
          <w:p w14:paraId="3B4259F7" w14:textId="07E4030F" w:rsidR="00AC0F06" w:rsidRPr="00802F1A" w:rsidRDefault="00AC0F06" w:rsidP="00AC0F06">
            <w:pPr>
              <w:spacing w:line="240" w:lineRule="auto"/>
              <w:rPr>
                <w:rFonts w:eastAsia="Times New Roman" w:cs="Times New Roman"/>
                <w:sz w:val="18"/>
                <w:szCs w:val="18"/>
                <w:lang w:eastAsia="en-AU"/>
              </w:rPr>
            </w:pPr>
            <w:r w:rsidRPr="00802F1A">
              <w:rPr>
                <w:rFonts w:eastAsia="Times New Roman" w:cs="Times New Roman"/>
                <w:sz w:val="18"/>
                <w:szCs w:val="18"/>
                <w:lang w:eastAsia="en-AU"/>
              </w:rPr>
              <w:t>L</w:t>
            </w:r>
            <w:proofErr w:type="gramStart"/>
            <w:r w:rsidRPr="00802F1A">
              <w:rPr>
                <w:rFonts w:eastAsia="Times New Roman" w:cs="Times New Roman"/>
                <w:sz w:val="18"/>
                <w:szCs w:val="18"/>
                <w:lang w:eastAsia="en-AU"/>
              </w:rPr>
              <w:t>1.Log</w:t>
            </w:r>
            <w:proofErr w:type="gramEnd"/>
            <w:r w:rsidRPr="00802F1A">
              <w:rPr>
                <w:rFonts w:eastAsia="Times New Roman" w:cs="Times New Roman"/>
                <w:sz w:val="18"/>
                <w:szCs w:val="18"/>
                <w:lang w:eastAsia="en-AU"/>
              </w:rPr>
              <w:t>(</w:t>
            </w:r>
            <w:r w:rsidRPr="00802F1A">
              <w:rPr>
                <w:rFonts w:eastAsia="Times New Roman" w:cs="Times New Roman"/>
                <w:i/>
                <w:iCs/>
                <w:sz w:val="18"/>
                <w:szCs w:val="18"/>
                <w:lang w:eastAsia="en-AU"/>
              </w:rPr>
              <w:t>Per-capita income</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7B822946" w14:textId="48CE3DE7" w:rsidR="00AC0F06" w:rsidRPr="00802F1A" w:rsidRDefault="00AC0F06" w:rsidP="00AC0F06">
            <w:pPr>
              <w:spacing w:line="240" w:lineRule="auto"/>
              <w:rPr>
                <w:rFonts w:eastAsia="Times New Roman" w:cs="Times New Roman"/>
                <w:sz w:val="18"/>
                <w:szCs w:val="18"/>
                <w:lang w:eastAsia="en-AU"/>
              </w:rPr>
            </w:pPr>
            <w:r w:rsidRPr="00802F1A">
              <w:rPr>
                <w:sz w:val="18"/>
                <w:szCs w:val="18"/>
              </w:rPr>
              <w:t>-0.235***</w:t>
            </w:r>
          </w:p>
        </w:tc>
        <w:tc>
          <w:tcPr>
            <w:tcW w:w="990" w:type="dxa"/>
            <w:tcBorders>
              <w:top w:val="nil"/>
              <w:left w:val="nil"/>
              <w:bottom w:val="nil"/>
              <w:right w:val="nil"/>
            </w:tcBorders>
            <w:shd w:val="clear" w:color="auto" w:fill="auto"/>
            <w:noWrap/>
            <w:vAlign w:val="center"/>
            <w:hideMark/>
          </w:tcPr>
          <w:p w14:paraId="4B766CBF" w14:textId="7933CB2F" w:rsidR="00AC0F06" w:rsidRPr="00802F1A" w:rsidRDefault="00AC0F06" w:rsidP="00AC0F06">
            <w:pPr>
              <w:spacing w:line="240" w:lineRule="auto"/>
              <w:rPr>
                <w:rFonts w:eastAsia="Times New Roman" w:cs="Times New Roman"/>
                <w:sz w:val="18"/>
                <w:szCs w:val="18"/>
                <w:lang w:eastAsia="en-AU"/>
              </w:rPr>
            </w:pPr>
            <w:r w:rsidRPr="00802F1A">
              <w:rPr>
                <w:sz w:val="18"/>
                <w:szCs w:val="18"/>
              </w:rPr>
              <w:t>-0.217***</w:t>
            </w:r>
          </w:p>
        </w:tc>
        <w:tc>
          <w:tcPr>
            <w:tcW w:w="990" w:type="dxa"/>
            <w:tcBorders>
              <w:top w:val="nil"/>
              <w:left w:val="nil"/>
              <w:bottom w:val="nil"/>
              <w:right w:val="nil"/>
            </w:tcBorders>
            <w:shd w:val="clear" w:color="auto" w:fill="auto"/>
            <w:noWrap/>
            <w:vAlign w:val="center"/>
            <w:hideMark/>
          </w:tcPr>
          <w:p w14:paraId="1936C138" w14:textId="480366AC" w:rsidR="00AC0F06" w:rsidRPr="00802F1A" w:rsidRDefault="00AC0F06" w:rsidP="00AC0F06">
            <w:pPr>
              <w:spacing w:line="240" w:lineRule="auto"/>
              <w:rPr>
                <w:rFonts w:eastAsia="Times New Roman" w:cs="Times New Roman"/>
                <w:sz w:val="18"/>
                <w:szCs w:val="18"/>
                <w:lang w:eastAsia="en-AU"/>
              </w:rPr>
            </w:pPr>
            <w:r w:rsidRPr="00802F1A">
              <w:rPr>
                <w:sz w:val="18"/>
                <w:szCs w:val="18"/>
              </w:rPr>
              <w:t>-0.193***</w:t>
            </w:r>
          </w:p>
        </w:tc>
        <w:tc>
          <w:tcPr>
            <w:tcW w:w="990" w:type="dxa"/>
            <w:tcBorders>
              <w:top w:val="nil"/>
              <w:left w:val="nil"/>
              <w:bottom w:val="nil"/>
              <w:right w:val="nil"/>
            </w:tcBorders>
            <w:shd w:val="clear" w:color="auto" w:fill="auto"/>
            <w:noWrap/>
            <w:vAlign w:val="center"/>
            <w:hideMark/>
          </w:tcPr>
          <w:p w14:paraId="649F2F0C" w14:textId="5C758554" w:rsidR="00AC0F06" w:rsidRPr="00802F1A" w:rsidRDefault="00AC0F06" w:rsidP="00AC0F06">
            <w:pPr>
              <w:spacing w:line="240" w:lineRule="auto"/>
              <w:rPr>
                <w:rFonts w:eastAsia="Times New Roman" w:cs="Times New Roman"/>
                <w:sz w:val="18"/>
                <w:szCs w:val="18"/>
                <w:lang w:eastAsia="en-AU"/>
              </w:rPr>
            </w:pPr>
            <w:r w:rsidRPr="00802F1A">
              <w:rPr>
                <w:sz w:val="18"/>
                <w:szCs w:val="18"/>
              </w:rPr>
              <w:t>-0.157*</w:t>
            </w:r>
          </w:p>
        </w:tc>
        <w:tc>
          <w:tcPr>
            <w:tcW w:w="990" w:type="dxa"/>
            <w:tcBorders>
              <w:top w:val="nil"/>
              <w:left w:val="nil"/>
              <w:bottom w:val="nil"/>
              <w:right w:val="nil"/>
            </w:tcBorders>
            <w:shd w:val="clear" w:color="auto" w:fill="auto"/>
            <w:noWrap/>
            <w:vAlign w:val="center"/>
            <w:hideMark/>
          </w:tcPr>
          <w:p w14:paraId="49DCD7EB" w14:textId="54094837" w:rsidR="00AC0F06" w:rsidRPr="00802F1A" w:rsidRDefault="00AC0F06" w:rsidP="00AC0F06">
            <w:pPr>
              <w:spacing w:line="240" w:lineRule="auto"/>
              <w:rPr>
                <w:rFonts w:eastAsia="Times New Roman" w:cs="Times New Roman"/>
                <w:sz w:val="18"/>
                <w:szCs w:val="18"/>
                <w:lang w:eastAsia="en-AU"/>
              </w:rPr>
            </w:pPr>
            <w:r w:rsidRPr="00802F1A">
              <w:rPr>
                <w:sz w:val="18"/>
                <w:szCs w:val="18"/>
              </w:rPr>
              <w:t>-0.183***</w:t>
            </w:r>
          </w:p>
        </w:tc>
        <w:tc>
          <w:tcPr>
            <w:tcW w:w="1260" w:type="dxa"/>
            <w:tcBorders>
              <w:top w:val="nil"/>
              <w:left w:val="nil"/>
              <w:bottom w:val="nil"/>
              <w:right w:val="nil"/>
            </w:tcBorders>
            <w:shd w:val="clear" w:color="auto" w:fill="auto"/>
            <w:noWrap/>
            <w:vAlign w:val="center"/>
            <w:hideMark/>
          </w:tcPr>
          <w:p w14:paraId="3854362D" w14:textId="2399AB78" w:rsidR="00AC0F06" w:rsidRPr="00802F1A" w:rsidRDefault="00AC0F06" w:rsidP="00AC0F06">
            <w:pPr>
              <w:spacing w:line="240" w:lineRule="auto"/>
              <w:rPr>
                <w:rFonts w:eastAsia="Times New Roman" w:cs="Times New Roman"/>
                <w:sz w:val="18"/>
                <w:szCs w:val="18"/>
                <w:lang w:eastAsia="en-AU"/>
              </w:rPr>
            </w:pPr>
            <w:r w:rsidRPr="00802F1A">
              <w:rPr>
                <w:sz w:val="18"/>
                <w:szCs w:val="18"/>
              </w:rPr>
              <w:t>-0.191***</w:t>
            </w:r>
          </w:p>
        </w:tc>
      </w:tr>
      <w:tr w:rsidR="00802F1A" w:rsidRPr="00802F1A" w14:paraId="5F7B4D46" w14:textId="77777777" w:rsidTr="000B3160">
        <w:trPr>
          <w:trHeight w:hRule="exact" w:val="259"/>
        </w:trPr>
        <w:tc>
          <w:tcPr>
            <w:tcW w:w="1890" w:type="dxa"/>
            <w:tcBorders>
              <w:top w:val="nil"/>
              <w:left w:val="nil"/>
              <w:bottom w:val="nil"/>
              <w:right w:val="nil"/>
            </w:tcBorders>
            <w:shd w:val="clear" w:color="000000" w:fill="FFFFFF"/>
            <w:vAlign w:val="center"/>
            <w:hideMark/>
          </w:tcPr>
          <w:p w14:paraId="096E24BC" w14:textId="77777777" w:rsidR="00AC0F06" w:rsidRPr="00802F1A" w:rsidRDefault="00AC0F06" w:rsidP="00AC0F06">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Oil Price</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6183F39F" w14:textId="0009C63A" w:rsidR="00AC0F06" w:rsidRPr="00802F1A" w:rsidRDefault="00AC0F06" w:rsidP="00AC0F06">
            <w:pPr>
              <w:spacing w:line="240" w:lineRule="auto"/>
              <w:rPr>
                <w:rFonts w:eastAsia="Times New Roman" w:cs="Times New Roman"/>
                <w:sz w:val="18"/>
                <w:szCs w:val="18"/>
                <w:lang w:eastAsia="en-AU"/>
              </w:rPr>
            </w:pPr>
            <w:r w:rsidRPr="00802F1A">
              <w:rPr>
                <w:sz w:val="18"/>
                <w:szCs w:val="18"/>
              </w:rPr>
              <w:t>0.468**</w:t>
            </w:r>
          </w:p>
        </w:tc>
        <w:tc>
          <w:tcPr>
            <w:tcW w:w="990" w:type="dxa"/>
            <w:tcBorders>
              <w:top w:val="nil"/>
              <w:left w:val="nil"/>
              <w:bottom w:val="nil"/>
              <w:right w:val="nil"/>
            </w:tcBorders>
            <w:shd w:val="clear" w:color="auto" w:fill="auto"/>
            <w:noWrap/>
            <w:vAlign w:val="center"/>
            <w:hideMark/>
          </w:tcPr>
          <w:p w14:paraId="1E2604DD" w14:textId="156BEFA0" w:rsidR="00AC0F06" w:rsidRPr="00802F1A" w:rsidRDefault="00AC0F06" w:rsidP="00AC0F06">
            <w:pPr>
              <w:spacing w:line="240" w:lineRule="auto"/>
              <w:rPr>
                <w:rFonts w:eastAsia="Times New Roman" w:cs="Times New Roman"/>
                <w:sz w:val="18"/>
                <w:szCs w:val="18"/>
                <w:lang w:eastAsia="en-AU"/>
              </w:rPr>
            </w:pPr>
            <w:r w:rsidRPr="00802F1A">
              <w:rPr>
                <w:sz w:val="18"/>
                <w:szCs w:val="18"/>
              </w:rPr>
              <w:t>0.510***</w:t>
            </w:r>
          </w:p>
        </w:tc>
        <w:tc>
          <w:tcPr>
            <w:tcW w:w="990" w:type="dxa"/>
            <w:tcBorders>
              <w:top w:val="nil"/>
              <w:left w:val="nil"/>
              <w:bottom w:val="nil"/>
              <w:right w:val="nil"/>
            </w:tcBorders>
            <w:shd w:val="clear" w:color="auto" w:fill="auto"/>
            <w:noWrap/>
            <w:vAlign w:val="center"/>
            <w:hideMark/>
          </w:tcPr>
          <w:p w14:paraId="33954D8E" w14:textId="3C65516E" w:rsidR="00AC0F06" w:rsidRPr="00802F1A" w:rsidRDefault="00AC0F06" w:rsidP="00AC0F06">
            <w:pPr>
              <w:spacing w:line="240" w:lineRule="auto"/>
              <w:rPr>
                <w:rFonts w:eastAsia="Times New Roman" w:cs="Times New Roman"/>
                <w:sz w:val="18"/>
                <w:szCs w:val="18"/>
                <w:lang w:eastAsia="en-AU"/>
              </w:rPr>
            </w:pPr>
            <w:r w:rsidRPr="00802F1A">
              <w:rPr>
                <w:sz w:val="18"/>
                <w:szCs w:val="18"/>
              </w:rPr>
              <w:t>0.478***</w:t>
            </w:r>
          </w:p>
        </w:tc>
        <w:tc>
          <w:tcPr>
            <w:tcW w:w="990" w:type="dxa"/>
            <w:tcBorders>
              <w:top w:val="nil"/>
              <w:left w:val="nil"/>
              <w:bottom w:val="nil"/>
              <w:right w:val="nil"/>
            </w:tcBorders>
            <w:shd w:val="clear" w:color="auto" w:fill="auto"/>
            <w:noWrap/>
            <w:vAlign w:val="center"/>
            <w:hideMark/>
          </w:tcPr>
          <w:p w14:paraId="01CD0E11" w14:textId="7491DDC0" w:rsidR="00AC0F06" w:rsidRPr="00802F1A" w:rsidRDefault="00AC0F06" w:rsidP="00AC0F06">
            <w:pPr>
              <w:spacing w:line="240" w:lineRule="auto"/>
              <w:rPr>
                <w:rFonts w:eastAsia="Times New Roman" w:cs="Times New Roman"/>
                <w:sz w:val="18"/>
                <w:szCs w:val="18"/>
                <w:lang w:eastAsia="en-AU"/>
              </w:rPr>
            </w:pPr>
            <w:r w:rsidRPr="00802F1A">
              <w:rPr>
                <w:sz w:val="18"/>
                <w:szCs w:val="18"/>
              </w:rPr>
              <w:t>0.434***</w:t>
            </w:r>
          </w:p>
        </w:tc>
        <w:tc>
          <w:tcPr>
            <w:tcW w:w="990" w:type="dxa"/>
            <w:tcBorders>
              <w:top w:val="nil"/>
              <w:left w:val="nil"/>
              <w:bottom w:val="nil"/>
              <w:right w:val="nil"/>
            </w:tcBorders>
            <w:shd w:val="clear" w:color="auto" w:fill="auto"/>
            <w:noWrap/>
            <w:vAlign w:val="center"/>
            <w:hideMark/>
          </w:tcPr>
          <w:p w14:paraId="32A14E9C" w14:textId="42072988" w:rsidR="00AC0F06" w:rsidRPr="00802F1A" w:rsidRDefault="00AC0F06" w:rsidP="00AC0F06">
            <w:pPr>
              <w:spacing w:line="240" w:lineRule="auto"/>
              <w:rPr>
                <w:rFonts w:eastAsia="Times New Roman" w:cs="Times New Roman"/>
                <w:sz w:val="18"/>
                <w:szCs w:val="18"/>
                <w:lang w:eastAsia="en-AU"/>
              </w:rPr>
            </w:pPr>
            <w:r w:rsidRPr="00802F1A">
              <w:rPr>
                <w:sz w:val="18"/>
                <w:szCs w:val="18"/>
              </w:rPr>
              <w:t>0.480***</w:t>
            </w:r>
          </w:p>
        </w:tc>
        <w:tc>
          <w:tcPr>
            <w:tcW w:w="1260" w:type="dxa"/>
            <w:tcBorders>
              <w:top w:val="nil"/>
              <w:left w:val="nil"/>
              <w:bottom w:val="nil"/>
              <w:right w:val="nil"/>
            </w:tcBorders>
            <w:shd w:val="clear" w:color="auto" w:fill="auto"/>
            <w:noWrap/>
            <w:vAlign w:val="center"/>
            <w:hideMark/>
          </w:tcPr>
          <w:p w14:paraId="7151857F" w14:textId="1CC08335" w:rsidR="00AC0F06" w:rsidRPr="00802F1A" w:rsidRDefault="00AC0F06" w:rsidP="00AC0F06">
            <w:pPr>
              <w:spacing w:line="240" w:lineRule="auto"/>
              <w:rPr>
                <w:rFonts w:eastAsia="Times New Roman" w:cs="Times New Roman"/>
                <w:sz w:val="18"/>
                <w:szCs w:val="18"/>
                <w:lang w:eastAsia="en-AU"/>
              </w:rPr>
            </w:pPr>
            <w:r w:rsidRPr="00802F1A">
              <w:rPr>
                <w:sz w:val="18"/>
                <w:szCs w:val="18"/>
              </w:rPr>
              <w:t>0.475***</w:t>
            </w:r>
          </w:p>
        </w:tc>
      </w:tr>
      <w:tr w:rsidR="00802F1A" w:rsidRPr="00802F1A" w14:paraId="69F13088" w14:textId="77777777" w:rsidTr="000B3160">
        <w:trPr>
          <w:trHeight w:hRule="exact" w:val="259"/>
        </w:trPr>
        <w:tc>
          <w:tcPr>
            <w:tcW w:w="1890" w:type="dxa"/>
            <w:tcBorders>
              <w:top w:val="nil"/>
              <w:left w:val="nil"/>
              <w:bottom w:val="nil"/>
              <w:right w:val="nil"/>
            </w:tcBorders>
            <w:shd w:val="clear" w:color="000000" w:fill="FFFFFF"/>
            <w:vAlign w:val="center"/>
            <w:hideMark/>
          </w:tcPr>
          <w:p w14:paraId="18506540" w14:textId="77777777" w:rsidR="00AC0F06" w:rsidRPr="00802F1A" w:rsidRDefault="00AC0F06" w:rsidP="00AC0F06">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Oil Price</w:t>
            </w:r>
            <w:r w:rsidRPr="00802F1A">
              <w:rPr>
                <w:rFonts w:eastAsia="Times New Roman" w:cs="Times New Roman"/>
                <w:sz w:val="18"/>
                <w:szCs w:val="18"/>
                <w:lang w:eastAsia="en-AU"/>
              </w:rPr>
              <w:t>)^2</w:t>
            </w:r>
          </w:p>
        </w:tc>
        <w:tc>
          <w:tcPr>
            <w:tcW w:w="990" w:type="dxa"/>
            <w:tcBorders>
              <w:top w:val="nil"/>
              <w:left w:val="nil"/>
              <w:bottom w:val="nil"/>
              <w:right w:val="nil"/>
            </w:tcBorders>
            <w:shd w:val="clear" w:color="auto" w:fill="auto"/>
            <w:noWrap/>
            <w:vAlign w:val="center"/>
            <w:hideMark/>
          </w:tcPr>
          <w:p w14:paraId="5F491487" w14:textId="75E383D0" w:rsidR="00AC0F06" w:rsidRPr="00802F1A" w:rsidRDefault="00AC0F06" w:rsidP="00AC0F06">
            <w:pPr>
              <w:spacing w:line="240" w:lineRule="auto"/>
              <w:rPr>
                <w:rFonts w:eastAsia="Times New Roman" w:cs="Times New Roman"/>
                <w:sz w:val="18"/>
                <w:szCs w:val="18"/>
                <w:lang w:eastAsia="en-AU"/>
              </w:rPr>
            </w:pPr>
            <w:r w:rsidRPr="00802F1A">
              <w:rPr>
                <w:sz w:val="18"/>
                <w:szCs w:val="18"/>
              </w:rPr>
              <w:t>-0.052**</w:t>
            </w:r>
          </w:p>
        </w:tc>
        <w:tc>
          <w:tcPr>
            <w:tcW w:w="990" w:type="dxa"/>
            <w:tcBorders>
              <w:top w:val="nil"/>
              <w:left w:val="nil"/>
              <w:bottom w:val="nil"/>
              <w:right w:val="nil"/>
            </w:tcBorders>
            <w:shd w:val="clear" w:color="auto" w:fill="auto"/>
            <w:noWrap/>
            <w:vAlign w:val="center"/>
            <w:hideMark/>
          </w:tcPr>
          <w:p w14:paraId="11A55570" w14:textId="4D77C4F2" w:rsidR="00AC0F06" w:rsidRPr="00802F1A" w:rsidRDefault="00AC0F06" w:rsidP="00AC0F06">
            <w:pPr>
              <w:spacing w:line="240" w:lineRule="auto"/>
              <w:rPr>
                <w:rFonts w:eastAsia="Times New Roman" w:cs="Times New Roman"/>
                <w:sz w:val="18"/>
                <w:szCs w:val="18"/>
                <w:lang w:eastAsia="en-AU"/>
              </w:rPr>
            </w:pPr>
            <w:r w:rsidRPr="00802F1A">
              <w:rPr>
                <w:sz w:val="18"/>
                <w:szCs w:val="18"/>
              </w:rPr>
              <w:t>-0.057**</w:t>
            </w:r>
          </w:p>
        </w:tc>
        <w:tc>
          <w:tcPr>
            <w:tcW w:w="990" w:type="dxa"/>
            <w:tcBorders>
              <w:top w:val="nil"/>
              <w:left w:val="nil"/>
              <w:bottom w:val="nil"/>
              <w:right w:val="nil"/>
            </w:tcBorders>
            <w:shd w:val="clear" w:color="auto" w:fill="auto"/>
            <w:noWrap/>
            <w:vAlign w:val="center"/>
            <w:hideMark/>
          </w:tcPr>
          <w:p w14:paraId="0ECB6DBA" w14:textId="42C9B6BD" w:rsidR="00AC0F06" w:rsidRPr="00802F1A" w:rsidRDefault="00AC0F06" w:rsidP="00AC0F06">
            <w:pPr>
              <w:spacing w:line="240" w:lineRule="auto"/>
              <w:rPr>
                <w:rFonts w:eastAsia="Times New Roman" w:cs="Times New Roman"/>
                <w:sz w:val="18"/>
                <w:szCs w:val="18"/>
                <w:lang w:eastAsia="en-AU"/>
              </w:rPr>
            </w:pPr>
            <w:r w:rsidRPr="00802F1A">
              <w:rPr>
                <w:sz w:val="18"/>
                <w:szCs w:val="18"/>
              </w:rPr>
              <w:t>-0.053**</w:t>
            </w:r>
          </w:p>
        </w:tc>
        <w:tc>
          <w:tcPr>
            <w:tcW w:w="990" w:type="dxa"/>
            <w:tcBorders>
              <w:top w:val="nil"/>
              <w:left w:val="nil"/>
              <w:bottom w:val="nil"/>
              <w:right w:val="nil"/>
            </w:tcBorders>
            <w:shd w:val="clear" w:color="auto" w:fill="auto"/>
            <w:noWrap/>
            <w:vAlign w:val="center"/>
            <w:hideMark/>
          </w:tcPr>
          <w:p w14:paraId="2D3D295A" w14:textId="3D4C2BCD" w:rsidR="00AC0F06" w:rsidRPr="00802F1A" w:rsidRDefault="00AC0F06" w:rsidP="00AC0F06">
            <w:pPr>
              <w:spacing w:line="240" w:lineRule="auto"/>
              <w:rPr>
                <w:rFonts w:eastAsia="Times New Roman" w:cs="Times New Roman"/>
                <w:sz w:val="18"/>
                <w:szCs w:val="18"/>
                <w:lang w:eastAsia="en-AU"/>
              </w:rPr>
            </w:pPr>
            <w:r w:rsidRPr="00802F1A">
              <w:rPr>
                <w:sz w:val="18"/>
                <w:szCs w:val="18"/>
              </w:rPr>
              <w:t>-0.048**</w:t>
            </w:r>
          </w:p>
        </w:tc>
        <w:tc>
          <w:tcPr>
            <w:tcW w:w="990" w:type="dxa"/>
            <w:tcBorders>
              <w:top w:val="nil"/>
              <w:left w:val="nil"/>
              <w:bottom w:val="nil"/>
              <w:right w:val="nil"/>
            </w:tcBorders>
            <w:shd w:val="clear" w:color="auto" w:fill="auto"/>
            <w:noWrap/>
            <w:vAlign w:val="center"/>
            <w:hideMark/>
          </w:tcPr>
          <w:p w14:paraId="1E681EB0" w14:textId="5FB8E32D" w:rsidR="00AC0F06" w:rsidRPr="00802F1A" w:rsidRDefault="00AC0F06" w:rsidP="00AC0F06">
            <w:pPr>
              <w:spacing w:line="240" w:lineRule="auto"/>
              <w:rPr>
                <w:rFonts w:eastAsia="Times New Roman" w:cs="Times New Roman"/>
                <w:sz w:val="18"/>
                <w:szCs w:val="18"/>
                <w:lang w:eastAsia="en-AU"/>
              </w:rPr>
            </w:pPr>
            <w:r w:rsidRPr="00802F1A">
              <w:rPr>
                <w:sz w:val="18"/>
                <w:szCs w:val="18"/>
              </w:rPr>
              <w:t>-0.053**</w:t>
            </w:r>
          </w:p>
        </w:tc>
        <w:tc>
          <w:tcPr>
            <w:tcW w:w="1260" w:type="dxa"/>
            <w:tcBorders>
              <w:top w:val="nil"/>
              <w:left w:val="nil"/>
              <w:bottom w:val="nil"/>
              <w:right w:val="nil"/>
            </w:tcBorders>
            <w:shd w:val="clear" w:color="auto" w:fill="auto"/>
            <w:noWrap/>
            <w:vAlign w:val="center"/>
            <w:hideMark/>
          </w:tcPr>
          <w:p w14:paraId="1B6E1A3C" w14:textId="62D62451" w:rsidR="00AC0F06" w:rsidRPr="00802F1A" w:rsidRDefault="00AC0F06" w:rsidP="00AC0F06">
            <w:pPr>
              <w:spacing w:line="240" w:lineRule="auto"/>
              <w:rPr>
                <w:rFonts w:eastAsia="Times New Roman" w:cs="Times New Roman"/>
                <w:sz w:val="18"/>
                <w:szCs w:val="18"/>
                <w:lang w:eastAsia="en-AU"/>
              </w:rPr>
            </w:pPr>
            <w:r w:rsidRPr="00802F1A">
              <w:rPr>
                <w:sz w:val="18"/>
                <w:szCs w:val="18"/>
              </w:rPr>
              <w:t>-0.053**</w:t>
            </w:r>
          </w:p>
        </w:tc>
      </w:tr>
      <w:tr w:rsidR="00802F1A" w:rsidRPr="00802F1A" w14:paraId="23F30D3D" w14:textId="77777777" w:rsidTr="000B3160">
        <w:trPr>
          <w:trHeight w:hRule="exact" w:val="259"/>
        </w:trPr>
        <w:tc>
          <w:tcPr>
            <w:tcW w:w="1890" w:type="dxa"/>
            <w:tcBorders>
              <w:top w:val="nil"/>
              <w:left w:val="nil"/>
              <w:bottom w:val="nil"/>
              <w:right w:val="nil"/>
            </w:tcBorders>
            <w:shd w:val="clear" w:color="000000" w:fill="FFFFFF"/>
            <w:vAlign w:val="center"/>
            <w:hideMark/>
          </w:tcPr>
          <w:p w14:paraId="64DFCF35" w14:textId="77777777" w:rsidR="00AC0F06" w:rsidRPr="00802F1A" w:rsidRDefault="00AC0F06" w:rsidP="00AC0F06">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HDI</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791D237B" w14:textId="3B0FA59A" w:rsidR="00AC0F06" w:rsidRPr="00802F1A" w:rsidRDefault="00AC0F06" w:rsidP="00AC0F06">
            <w:pPr>
              <w:spacing w:line="240" w:lineRule="auto"/>
              <w:rPr>
                <w:rFonts w:eastAsia="Times New Roman" w:cs="Times New Roman"/>
                <w:sz w:val="18"/>
                <w:szCs w:val="18"/>
                <w:lang w:eastAsia="en-AU"/>
              </w:rPr>
            </w:pPr>
            <w:r w:rsidRPr="00802F1A">
              <w:rPr>
                <w:sz w:val="18"/>
                <w:szCs w:val="18"/>
              </w:rPr>
              <w:t>-5.532***</w:t>
            </w:r>
          </w:p>
        </w:tc>
        <w:tc>
          <w:tcPr>
            <w:tcW w:w="990" w:type="dxa"/>
            <w:tcBorders>
              <w:top w:val="nil"/>
              <w:left w:val="nil"/>
              <w:bottom w:val="nil"/>
              <w:right w:val="nil"/>
            </w:tcBorders>
            <w:shd w:val="clear" w:color="auto" w:fill="auto"/>
            <w:noWrap/>
            <w:vAlign w:val="center"/>
            <w:hideMark/>
          </w:tcPr>
          <w:p w14:paraId="6DE70FDB" w14:textId="552BE36C" w:rsidR="00AC0F06" w:rsidRPr="00802F1A" w:rsidRDefault="00AC0F06" w:rsidP="00AC0F06">
            <w:pPr>
              <w:spacing w:line="240" w:lineRule="auto"/>
              <w:rPr>
                <w:rFonts w:eastAsia="Times New Roman" w:cs="Times New Roman"/>
                <w:sz w:val="18"/>
                <w:szCs w:val="18"/>
                <w:lang w:eastAsia="en-AU"/>
              </w:rPr>
            </w:pPr>
            <w:r w:rsidRPr="00802F1A">
              <w:rPr>
                <w:sz w:val="18"/>
                <w:szCs w:val="18"/>
              </w:rPr>
              <w:t>-5.439***</w:t>
            </w:r>
          </w:p>
        </w:tc>
        <w:tc>
          <w:tcPr>
            <w:tcW w:w="990" w:type="dxa"/>
            <w:tcBorders>
              <w:top w:val="nil"/>
              <w:left w:val="nil"/>
              <w:bottom w:val="nil"/>
              <w:right w:val="nil"/>
            </w:tcBorders>
            <w:shd w:val="clear" w:color="auto" w:fill="auto"/>
            <w:noWrap/>
            <w:vAlign w:val="center"/>
            <w:hideMark/>
          </w:tcPr>
          <w:p w14:paraId="54582D3C" w14:textId="66E44BBC" w:rsidR="00AC0F06" w:rsidRPr="00802F1A" w:rsidRDefault="00AC0F06" w:rsidP="00AC0F06">
            <w:pPr>
              <w:spacing w:line="240" w:lineRule="auto"/>
              <w:rPr>
                <w:rFonts w:eastAsia="Times New Roman" w:cs="Times New Roman"/>
                <w:sz w:val="18"/>
                <w:szCs w:val="18"/>
                <w:lang w:eastAsia="en-AU"/>
              </w:rPr>
            </w:pPr>
            <w:r w:rsidRPr="00802F1A">
              <w:rPr>
                <w:sz w:val="18"/>
                <w:szCs w:val="18"/>
              </w:rPr>
              <w:t>-5.673***</w:t>
            </w:r>
          </w:p>
        </w:tc>
        <w:tc>
          <w:tcPr>
            <w:tcW w:w="990" w:type="dxa"/>
            <w:tcBorders>
              <w:top w:val="nil"/>
              <w:left w:val="nil"/>
              <w:bottom w:val="nil"/>
              <w:right w:val="nil"/>
            </w:tcBorders>
            <w:shd w:val="clear" w:color="auto" w:fill="auto"/>
            <w:noWrap/>
            <w:vAlign w:val="center"/>
            <w:hideMark/>
          </w:tcPr>
          <w:p w14:paraId="55CC2732" w14:textId="5EF8C225" w:rsidR="00AC0F06" w:rsidRPr="00802F1A" w:rsidRDefault="00AC0F06" w:rsidP="00AC0F06">
            <w:pPr>
              <w:spacing w:line="240" w:lineRule="auto"/>
              <w:rPr>
                <w:rFonts w:eastAsia="Times New Roman" w:cs="Times New Roman"/>
                <w:sz w:val="18"/>
                <w:szCs w:val="18"/>
                <w:lang w:eastAsia="en-AU"/>
              </w:rPr>
            </w:pPr>
            <w:r w:rsidRPr="00802F1A">
              <w:rPr>
                <w:sz w:val="18"/>
                <w:szCs w:val="18"/>
              </w:rPr>
              <w:t>-5.841***</w:t>
            </w:r>
          </w:p>
        </w:tc>
        <w:tc>
          <w:tcPr>
            <w:tcW w:w="990" w:type="dxa"/>
            <w:tcBorders>
              <w:top w:val="nil"/>
              <w:left w:val="nil"/>
              <w:bottom w:val="nil"/>
              <w:right w:val="nil"/>
            </w:tcBorders>
            <w:shd w:val="clear" w:color="auto" w:fill="auto"/>
            <w:noWrap/>
            <w:vAlign w:val="center"/>
            <w:hideMark/>
          </w:tcPr>
          <w:p w14:paraId="14087F2F" w14:textId="24F22070" w:rsidR="00AC0F06" w:rsidRPr="00802F1A" w:rsidRDefault="00AC0F06" w:rsidP="00AC0F06">
            <w:pPr>
              <w:spacing w:line="240" w:lineRule="auto"/>
              <w:rPr>
                <w:rFonts w:eastAsia="Times New Roman" w:cs="Times New Roman"/>
                <w:sz w:val="18"/>
                <w:szCs w:val="18"/>
                <w:lang w:eastAsia="en-AU"/>
              </w:rPr>
            </w:pPr>
            <w:r w:rsidRPr="00802F1A">
              <w:rPr>
                <w:sz w:val="18"/>
                <w:szCs w:val="18"/>
              </w:rPr>
              <w:t>-5.664***</w:t>
            </w:r>
          </w:p>
        </w:tc>
        <w:tc>
          <w:tcPr>
            <w:tcW w:w="1260" w:type="dxa"/>
            <w:tcBorders>
              <w:top w:val="nil"/>
              <w:left w:val="nil"/>
              <w:bottom w:val="nil"/>
              <w:right w:val="nil"/>
            </w:tcBorders>
            <w:shd w:val="clear" w:color="auto" w:fill="auto"/>
            <w:noWrap/>
            <w:vAlign w:val="center"/>
            <w:hideMark/>
          </w:tcPr>
          <w:p w14:paraId="2503F5A2" w14:textId="7D3377A7" w:rsidR="00AC0F06" w:rsidRPr="00802F1A" w:rsidRDefault="00AC0F06" w:rsidP="00AC0F06">
            <w:pPr>
              <w:spacing w:line="240" w:lineRule="auto"/>
              <w:rPr>
                <w:rFonts w:eastAsia="Times New Roman" w:cs="Times New Roman"/>
                <w:sz w:val="18"/>
                <w:szCs w:val="18"/>
                <w:lang w:eastAsia="en-AU"/>
              </w:rPr>
            </w:pPr>
            <w:r w:rsidRPr="00802F1A">
              <w:rPr>
                <w:sz w:val="18"/>
                <w:szCs w:val="18"/>
              </w:rPr>
              <w:t>-5.679***</w:t>
            </w:r>
          </w:p>
        </w:tc>
      </w:tr>
      <w:tr w:rsidR="00802F1A" w:rsidRPr="00802F1A" w14:paraId="58D83DEF" w14:textId="77777777" w:rsidTr="000B3160">
        <w:trPr>
          <w:trHeight w:hRule="exact" w:val="259"/>
        </w:trPr>
        <w:tc>
          <w:tcPr>
            <w:tcW w:w="1890" w:type="dxa"/>
            <w:tcBorders>
              <w:top w:val="nil"/>
              <w:left w:val="nil"/>
              <w:bottom w:val="nil"/>
              <w:right w:val="nil"/>
            </w:tcBorders>
            <w:shd w:val="clear" w:color="auto" w:fill="auto"/>
            <w:vAlign w:val="center"/>
            <w:hideMark/>
          </w:tcPr>
          <w:p w14:paraId="3E4F9847" w14:textId="77777777" w:rsidR="00AC0F06" w:rsidRPr="00802F1A" w:rsidRDefault="00AC0F06" w:rsidP="00AC0F06">
            <w:pPr>
              <w:spacing w:line="240" w:lineRule="auto"/>
              <w:rPr>
                <w:rFonts w:eastAsia="Times New Roman" w:cs="Times New Roman"/>
                <w:sz w:val="18"/>
                <w:szCs w:val="18"/>
                <w:lang w:eastAsia="en-AU"/>
              </w:rPr>
            </w:pPr>
            <w:r w:rsidRPr="00802F1A">
              <w:rPr>
                <w:rFonts w:eastAsia="Times New Roman" w:cs="Times New Roman"/>
                <w:sz w:val="18"/>
                <w:szCs w:val="18"/>
                <w:lang w:eastAsia="en-AU"/>
              </w:rPr>
              <w:t>Constant</w:t>
            </w:r>
          </w:p>
        </w:tc>
        <w:tc>
          <w:tcPr>
            <w:tcW w:w="990" w:type="dxa"/>
            <w:tcBorders>
              <w:top w:val="nil"/>
              <w:left w:val="nil"/>
              <w:bottom w:val="nil"/>
              <w:right w:val="nil"/>
            </w:tcBorders>
            <w:shd w:val="clear" w:color="auto" w:fill="auto"/>
            <w:noWrap/>
            <w:vAlign w:val="center"/>
            <w:hideMark/>
          </w:tcPr>
          <w:p w14:paraId="0E91C1B3" w14:textId="3281D59F" w:rsidR="00AC0F06" w:rsidRPr="00802F1A" w:rsidRDefault="00AC0F06" w:rsidP="00AC0F06">
            <w:pPr>
              <w:spacing w:line="240" w:lineRule="auto"/>
              <w:rPr>
                <w:rFonts w:eastAsia="Times New Roman" w:cs="Times New Roman"/>
                <w:sz w:val="18"/>
                <w:szCs w:val="18"/>
                <w:lang w:eastAsia="en-AU"/>
              </w:rPr>
            </w:pPr>
            <w:r w:rsidRPr="00802F1A">
              <w:rPr>
                <w:sz w:val="18"/>
                <w:szCs w:val="18"/>
              </w:rPr>
              <w:t>-3.452***</w:t>
            </w:r>
          </w:p>
        </w:tc>
        <w:tc>
          <w:tcPr>
            <w:tcW w:w="990" w:type="dxa"/>
            <w:tcBorders>
              <w:top w:val="nil"/>
              <w:left w:val="nil"/>
              <w:bottom w:val="nil"/>
              <w:right w:val="nil"/>
            </w:tcBorders>
            <w:shd w:val="clear" w:color="auto" w:fill="auto"/>
            <w:noWrap/>
            <w:vAlign w:val="center"/>
            <w:hideMark/>
          </w:tcPr>
          <w:p w14:paraId="08C0A4B5" w14:textId="54CC2D55" w:rsidR="00AC0F06" w:rsidRPr="00802F1A" w:rsidRDefault="00AC0F06" w:rsidP="00AC0F06">
            <w:pPr>
              <w:spacing w:line="240" w:lineRule="auto"/>
              <w:rPr>
                <w:rFonts w:eastAsia="Times New Roman" w:cs="Times New Roman"/>
                <w:sz w:val="18"/>
                <w:szCs w:val="18"/>
                <w:lang w:eastAsia="en-AU"/>
              </w:rPr>
            </w:pPr>
            <w:r w:rsidRPr="00802F1A">
              <w:rPr>
                <w:sz w:val="18"/>
                <w:szCs w:val="18"/>
              </w:rPr>
              <w:t>-3.657***</w:t>
            </w:r>
          </w:p>
        </w:tc>
        <w:tc>
          <w:tcPr>
            <w:tcW w:w="990" w:type="dxa"/>
            <w:tcBorders>
              <w:top w:val="nil"/>
              <w:left w:val="nil"/>
              <w:bottom w:val="nil"/>
              <w:right w:val="nil"/>
            </w:tcBorders>
            <w:shd w:val="clear" w:color="auto" w:fill="auto"/>
            <w:noWrap/>
            <w:vAlign w:val="center"/>
            <w:hideMark/>
          </w:tcPr>
          <w:p w14:paraId="617B5B77" w14:textId="284DE8D5" w:rsidR="00AC0F06" w:rsidRPr="00802F1A" w:rsidRDefault="00AC0F06" w:rsidP="00AC0F06">
            <w:pPr>
              <w:spacing w:line="240" w:lineRule="auto"/>
              <w:rPr>
                <w:rFonts w:eastAsia="Times New Roman" w:cs="Times New Roman"/>
                <w:sz w:val="18"/>
                <w:szCs w:val="18"/>
                <w:lang w:eastAsia="en-AU"/>
              </w:rPr>
            </w:pPr>
            <w:r w:rsidRPr="00802F1A">
              <w:rPr>
                <w:sz w:val="18"/>
                <w:szCs w:val="18"/>
              </w:rPr>
              <w:t>-3.776***</w:t>
            </w:r>
          </w:p>
        </w:tc>
        <w:tc>
          <w:tcPr>
            <w:tcW w:w="990" w:type="dxa"/>
            <w:tcBorders>
              <w:top w:val="nil"/>
              <w:left w:val="nil"/>
              <w:bottom w:val="nil"/>
              <w:right w:val="nil"/>
            </w:tcBorders>
            <w:shd w:val="clear" w:color="auto" w:fill="auto"/>
            <w:noWrap/>
            <w:vAlign w:val="center"/>
            <w:hideMark/>
          </w:tcPr>
          <w:p w14:paraId="5470C869" w14:textId="5C7DC364" w:rsidR="00AC0F06" w:rsidRPr="00802F1A" w:rsidRDefault="00AC0F06" w:rsidP="00AC0F06">
            <w:pPr>
              <w:spacing w:line="240" w:lineRule="auto"/>
              <w:rPr>
                <w:rFonts w:eastAsia="Times New Roman" w:cs="Times New Roman"/>
                <w:sz w:val="18"/>
                <w:szCs w:val="18"/>
                <w:lang w:eastAsia="en-AU"/>
              </w:rPr>
            </w:pPr>
            <w:r w:rsidRPr="00802F1A">
              <w:rPr>
                <w:sz w:val="18"/>
                <w:szCs w:val="18"/>
              </w:rPr>
              <w:t>-3.975***</w:t>
            </w:r>
          </w:p>
        </w:tc>
        <w:tc>
          <w:tcPr>
            <w:tcW w:w="990" w:type="dxa"/>
            <w:tcBorders>
              <w:top w:val="nil"/>
              <w:left w:val="nil"/>
              <w:bottom w:val="nil"/>
              <w:right w:val="nil"/>
            </w:tcBorders>
            <w:shd w:val="clear" w:color="auto" w:fill="auto"/>
            <w:noWrap/>
            <w:vAlign w:val="center"/>
            <w:hideMark/>
          </w:tcPr>
          <w:p w14:paraId="05C5385E" w14:textId="0D805B94" w:rsidR="00AC0F06" w:rsidRPr="00802F1A" w:rsidRDefault="00AC0F06" w:rsidP="00AC0F06">
            <w:pPr>
              <w:spacing w:line="240" w:lineRule="auto"/>
              <w:rPr>
                <w:rFonts w:eastAsia="Times New Roman" w:cs="Times New Roman"/>
                <w:sz w:val="18"/>
                <w:szCs w:val="18"/>
                <w:lang w:eastAsia="en-AU"/>
              </w:rPr>
            </w:pPr>
            <w:r w:rsidRPr="00802F1A">
              <w:rPr>
                <w:sz w:val="18"/>
                <w:szCs w:val="18"/>
              </w:rPr>
              <w:t>-3.853***</w:t>
            </w:r>
          </w:p>
        </w:tc>
        <w:tc>
          <w:tcPr>
            <w:tcW w:w="1260" w:type="dxa"/>
            <w:tcBorders>
              <w:top w:val="nil"/>
              <w:left w:val="nil"/>
              <w:bottom w:val="nil"/>
              <w:right w:val="nil"/>
            </w:tcBorders>
            <w:shd w:val="clear" w:color="auto" w:fill="auto"/>
            <w:noWrap/>
            <w:vAlign w:val="center"/>
            <w:hideMark/>
          </w:tcPr>
          <w:p w14:paraId="7A1027EA" w14:textId="650778BD" w:rsidR="00AC0F06" w:rsidRPr="00802F1A" w:rsidRDefault="00AC0F06" w:rsidP="00AC0F06">
            <w:pPr>
              <w:spacing w:line="240" w:lineRule="auto"/>
              <w:rPr>
                <w:rFonts w:eastAsia="Times New Roman" w:cs="Times New Roman"/>
                <w:sz w:val="18"/>
                <w:szCs w:val="18"/>
                <w:lang w:eastAsia="en-AU"/>
              </w:rPr>
            </w:pPr>
            <w:r w:rsidRPr="00802F1A">
              <w:rPr>
                <w:sz w:val="18"/>
                <w:szCs w:val="18"/>
              </w:rPr>
              <w:t>-3.790***</w:t>
            </w:r>
          </w:p>
        </w:tc>
      </w:tr>
      <w:tr w:rsidR="00802F1A" w:rsidRPr="00802F1A" w14:paraId="7F2A0127" w14:textId="77777777" w:rsidTr="000B3160">
        <w:trPr>
          <w:trHeight w:hRule="exact" w:val="259"/>
        </w:trPr>
        <w:tc>
          <w:tcPr>
            <w:tcW w:w="1890" w:type="dxa"/>
            <w:tcBorders>
              <w:top w:val="nil"/>
              <w:left w:val="nil"/>
              <w:bottom w:val="single" w:sz="4" w:space="0" w:color="auto"/>
              <w:right w:val="nil"/>
            </w:tcBorders>
            <w:shd w:val="clear" w:color="000000" w:fill="FFFFFF"/>
            <w:vAlign w:val="center"/>
            <w:hideMark/>
          </w:tcPr>
          <w:p w14:paraId="7ACCD276" w14:textId="77777777" w:rsidR="00AC0F06" w:rsidRPr="00802F1A" w:rsidRDefault="00AC0F06" w:rsidP="00AC0F06">
            <w:pPr>
              <w:spacing w:line="240" w:lineRule="auto"/>
              <w:rPr>
                <w:rFonts w:eastAsia="Times New Roman" w:cs="Times New Roman"/>
                <w:sz w:val="18"/>
                <w:szCs w:val="18"/>
                <w:lang w:eastAsia="en-AU"/>
              </w:rPr>
            </w:pPr>
            <w:r w:rsidRPr="00802F1A">
              <w:rPr>
                <w:rFonts w:eastAsia="Times New Roman" w:cs="Times New Roman"/>
                <w:sz w:val="18"/>
                <w:szCs w:val="18"/>
                <w:lang w:eastAsia="en-AU"/>
              </w:rPr>
              <w:t>Observations</w:t>
            </w:r>
          </w:p>
        </w:tc>
        <w:tc>
          <w:tcPr>
            <w:tcW w:w="990" w:type="dxa"/>
            <w:tcBorders>
              <w:top w:val="nil"/>
              <w:left w:val="nil"/>
              <w:bottom w:val="single" w:sz="4" w:space="0" w:color="auto"/>
              <w:right w:val="nil"/>
            </w:tcBorders>
            <w:shd w:val="clear" w:color="auto" w:fill="auto"/>
            <w:noWrap/>
            <w:vAlign w:val="center"/>
            <w:hideMark/>
          </w:tcPr>
          <w:p w14:paraId="1EB2F480" w14:textId="766AF924" w:rsidR="00AC0F06" w:rsidRPr="00802F1A" w:rsidRDefault="00AC0F06" w:rsidP="00AC0F06">
            <w:pPr>
              <w:spacing w:line="240" w:lineRule="auto"/>
              <w:rPr>
                <w:rFonts w:eastAsia="Times New Roman" w:cs="Times New Roman"/>
                <w:sz w:val="18"/>
                <w:szCs w:val="18"/>
                <w:lang w:eastAsia="en-AU"/>
              </w:rPr>
            </w:pPr>
            <w:r w:rsidRPr="00802F1A">
              <w:rPr>
                <w:sz w:val="18"/>
                <w:szCs w:val="18"/>
              </w:rPr>
              <w:t>3,192</w:t>
            </w:r>
          </w:p>
        </w:tc>
        <w:tc>
          <w:tcPr>
            <w:tcW w:w="990" w:type="dxa"/>
            <w:tcBorders>
              <w:top w:val="nil"/>
              <w:left w:val="nil"/>
              <w:bottom w:val="single" w:sz="4" w:space="0" w:color="auto"/>
              <w:right w:val="nil"/>
            </w:tcBorders>
            <w:shd w:val="clear" w:color="auto" w:fill="auto"/>
            <w:noWrap/>
            <w:vAlign w:val="center"/>
            <w:hideMark/>
          </w:tcPr>
          <w:p w14:paraId="525AA140" w14:textId="63ED8CA0" w:rsidR="00AC0F06" w:rsidRPr="00802F1A" w:rsidRDefault="00AC0F06" w:rsidP="00AC0F06">
            <w:pPr>
              <w:spacing w:line="240" w:lineRule="auto"/>
              <w:rPr>
                <w:rFonts w:eastAsia="Times New Roman" w:cs="Times New Roman"/>
                <w:sz w:val="18"/>
                <w:szCs w:val="18"/>
                <w:lang w:eastAsia="en-AU"/>
              </w:rPr>
            </w:pPr>
            <w:r w:rsidRPr="00802F1A">
              <w:rPr>
                <w:sz w:val="18"/>
                <w:szCs w:val="18"/>
              </w:rPr>
              <w:t>3,192</w:t>
            </w:r>
          </w:p>
        </w:tc>
        <w:tc>
          <w:tcPr>
            <w:tcW w:w="990" w:type="dxa"/>
            <w:tcBorders>
              <w:top w:val="nil"/>
              <w:left w:val="nil"/>
              <w:bottom w:val="single" w:sz="4" w:space="0" w:color="auto"/>
              <w:right w:val="nil"/>
            </w:tcBorders>
            <w:shd w:val="clear" w:color="auto" w:fill="auto"/>
            <w:noWrap/>
            <w:vAlign w:val="center"/>
            <w:hideMark/>
          </w:tcPr>
          <w:p w14:paraId="79E8EA6A" w14:textId="3D6C5E32" w:rsidR="00AC0F06" w:rsidRPr="00802F1A" w:rsidRDefault="00AC0F06" w:rsidP="00AC0F06">
            <w:pPr>
              <w:spacing w:line="240" w:lineRule="auto"/>
              <w:rPr>
                <w:rFonts w:eastAsia="Times New Roman" w:cs="Times New Roman"/>
                <w:sz w:val="18"/>
                <w:szCs w:val="18"/>
                <w:lang w:eastAsia="en-AU"/>
              </w:rPr>
            </w:pPr>
            <w:r w:rsidRPr="00802F1A">
              <w:rPr>
                <w:sz w:val="18"/>
                <w:szCs w:val="18"/>
              </w:rPr>
              <w:t>3,192</w:t>
            </w:r>
          </w:p>
        </w:tc>
        <w:tc>
          <w:tcPr>
            <w:tcW w:w="990" w:type="dxa"/>
            <w:tcBorders>
              <w:top w:val="nil"/>
              <w:left w:val="nil"/>
              <w:bottom w:val="single" w:sz="4" w:space="0" w:color="auto"/>
              <w:right w:val="nil"/>
            </w:tcBorders>
            <w:shd w:val="clear" w:color="auto" w:fill="auto"/>
            <w:noWrap/>
            <w:vAlign w:val="center"/>
            <w:hideMark/>
          </w:tcPr>
          <w:p w14:paraId="7775E05C" w14:textId="5521F0D8" w:rsidR="00AC0F06" w:rsidRPr="00802F1A" w:rsidRDefault="00AC0F06" w:rsidP="00AC0F06">
            <w:pPr>
              <w:spacing w:line="240" w:lineRule="auto"/>
              <w:rPr>
                <w:rFonts w:eastAsia="Times New Roman" w:cs="Times New Roman"/>
                <w:sz w:val="18"/>
                <w:szCs w:val="18"/>
                <w:lang w:eastAsia="en-AU"/>
              </w:rPr>
            </w:pPr>
            <w:r w:rsidRPr="00802F1A">
              <w:rPr>
                <w:sz w:val="18"/>
                <w:szCs w:val="18"/>
              </w:rPr>
              <w:t>3,192</w:t>
            </w:r>
          </w:p>
        </w:tc>
        <w:tc>
          <w:tcPr>
            <w:tcW w:w="990" w:type="dxa"/>
            <w:tcBorders>
              <w:top w:val="nil"/>
              <w:left w:val="nil"/>
              <w:bottom w:val="single" w:sz="4" w:space="0" w:color="auto"/>
              <w:right w:val="nil"/>
            </w:tcBorders>
            <w:shd w:val="clear" w:color="auto" w:fill="auto"/>
            <w:noWrap/>
            <w:vAlign w:val="center"/>
            <w:hideMark/>
          </w:tcPr>
          <w:p w14:paraId="002D335E" w14:textId="26D979C5" w:rsidR="00AC0F06" w:rsidRPr="00802F1A" w:rsidRDefault="00AC0F06" w:rsidP="00AC0F06">
            <w:pPr>
              <w:spacing w:line="240" w:lineRule="auto"/>
              <w:rPr>
                <w:rFonts w:eastAsia="Times New Roman" w:cs="Times New Roman"/>
                <w:sz w:val="18"/>
                <w:szCs w:val="18"/>
                <w:lang w:eastAsia="en-AU"/>
              </w:rPr>
            </w:pPr>
            <w:r w:rsidRPr="00802F1A">
              <w:rPr>
                <w:sz w:val="18"/>
                <w:szCs w:val="18"/>
              </w:rPr>
              <w:t>3,192</w:t>
            </w:r>
          </w:p>
        </w:tc>
        <w:tc>
          <w:tcPr>
            <w:tcW w:w="1260" w:type="dxa"/>
            <w:tcBorders>
              <w:top w:val="nil"/>
              <w:left w:val="nil"/>
              <w:bottom w:val="single" w:sz="4" w:space="0" w:color="auto"/>
              <w:right w:val="nil"/>
            </w:tcBorders>
            <w:shd w:val="clear" w:color="auto" w:fill="auto"/>
            <w:noWrap/>
            <w:vAlign w:val="center"/>
            <w:hideMark/>
          </w:tcPr>
          <w:p w14:paraId="6118600F" w14:textId="144949A9" w:rsidR="00AC0F06" w:rsidRPr="00802F1A" w:rsidRDefault="00AC0F06" w:rsidP="00AC0F06">
            <w:pPr>
              <w:spacing w:line="240" w:lineRule="auto"/>
              <w:rPr>
                <w:rFonts w:eastAsia="Times New Roman" w:cs="Times New Roman"/>
                <w:sz w:val="18"/>
                <w:szCs w:val="18"/>
                <w:lang w:eastAsia="en-AU"/>
              </w:rPr>
            </w:pPr>
            <w:r w:rsidRPr="00802F1A">
              <w:rPr>
                <w:sz w:val="18"/>
                <w:szCs w:val="18"/>
              </w:rPr>
              <w:t>3,192</w:t>
            </w:r>
          </w:p>
        </w:tc>
      </w:tr>
      <w:tr w:rsidR="00802F1A" w:rsidRPr="00802F1A" w14:paraId="58143FBD" w14:textId="77777777" w:rsidTr="000B3160">
        <w:trPr>
          <w:trHeight w:hRule="exact" w:val="259"/>
        </w:trPr>
        <w:tc>
          <w:tcPr>
            <w:tcW w:w="8100" w:type="dxa"/>
            <w:gridSpan w:val="7"/>
            <w:tcBorders>
              <w:top w:val="nil"/>
              <w:left w:val="nil"/>
              <w:bottom w:val="nil"/>
              <w:right w:val="nil"/>
            </w:tcBorders>
            <w:shd w:val="clear" w:color="000000" w:fill="FFFFFF"/>
            <w:vAlign w:val="center"/>
            <w:hideMark/>
          </w:tcPr>
          <w:p w14:paraId="097B3E5E" w14:textId="77777777" w:rsidR="00145AE5" w:rsidRPr="00802F1A" w:rsidRDefault="00145AE5" w:rsidP="00145AE5">
            <w:pPr>
              <w:spacing w:line="240" w:lineRule="auto"/>
              <w:rPr>
                <w:rFonts w:eastAsia="Times New Roman" w:cs="Times New Roman"/>
                <w:b/>
                <w:bCs/>
                <w:i/>
                <w:iCs/>
                <w:sz w:val="18"/>
                <w:szCs w:val="18"/>
                <w:lang w:eastAsia="en-AU"/>
              </w:rPr>
            </w:pPr>
            <w:r w:rsidRPr="00802F1A">
              <w:rPr>
                <w:rFonts w:eastAsia="Times New Roman" w:cs="Times New Roman"/>
                <w:b/>
                <w:bCs/>
                <w:i/>
                <w:iCs/>
                <w:sz w:val="18"/>
                <w:szCs w:val="18"/>
                <w:lang w:eastAsia="en-AU"/>
              </w:rPr>
              <w:t>Model: Financial Development</w:t>
            </w:r>
          </w:p>
        </w:tc>
      </w:tr>
      <w:tr w:rsidR="00802F1A" w:rsidRPr="00802F1A" w14:paraId="343E5EB1" w14:textId="77777777" w:rsidTr="000B3160">
        <w:trPr>
          <w:trHeight w:hRule="exact" w:val="259"/>
        </w:trPr>
        <w:tc>
          <w:tcPr>
            <w:tcW w:w="1890" w:type="dxa"/>
            <w:tcBorders>
              <w:top w:val="nil"/>
              <w:left w:val="nil"/>
              <w:bottom w:val="nil"/>
              <w:right w:val="nil"/>
            </w:tcBorders>
            <w:shd w:val="clear" w:color="auto" w:fill="auto"/>
            <w:vAlign w:val="center"/>
            <w:hideMark/>
          </w:tcPr>
          <w:p w14:paraId="1BDE1A37" w14:textId="77777777" w:rsidR="0025384E" w:rsidRPr="00802F1A" w:rsidRDefault="0025384E" w:rsidP="0025384E">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Trend</w:t>
            </w:r>
          </w:p>
        </w:tc>
        <w:tc>
          <w:tcPr>
            <w:tcW w:w="990" w:type="dxa"/>
            <w:tcBorders>
              <w:top w:val="nil"/>
              <w:left w:val="nil"/>
              <w:bottom w:val="nil"/>
              <w:right w:val="nil"/>
            </w:tcBorders>
            <w:shd w:val="clear" w:color="auto" w:fill="auto"/>
            <w:noWrap/>
            <w:vAlign w:val="center"/>
            <w:hideMark/>
          </w:tcPr>
          <w:p w14:paraId="32A080AE" w14:textId="1164C378" w:rsidR="0025384E" w:rsidRPr="00802F1A" w:rsidRDefault="0025384E" w:rsidP="0025384E">
            <w:pPr>
              <w:spacing w:line="240" w:lineRule="auto"/>
              <w:rPr>
                <w:rFonts w:eastAsia="Times New Roman" w:cs="Times New Roman"/>
                <w:sz w:val="18"/>
                <w:szCs w:val="18"/>
                <w:lang w:eastAsia="en-AU"/>
              </w:rPr>
            </w:pPr>
            <w:r w:rsidRPr="00802F1A">
              <w:rPr>
                <w:sz w:val="18"/>
                <w:szCs w:val="18"/>
              </w:rPr>
              <w:t>0.006**</w:t>
            </w:r>
          </w:p>
        </w:tc>
        <w:tc>
          <w:tcPr>
            <w:tcW w:w="990" w:type="dxa"/>
            <w:tcBorders>
              <w:top w:val="nil"/>
              <w:left w:val="nil"/>
              <w:bottom w:val="nil"/>
              <w:right w:val="nil"/>
            </w:tcBorders>
            <w:shd w:val="clear" w:color="auto" w:fill="auto"/>
            <w:noWrap/>
            <w:vAlign w:val="center"/>
            <w:hideMark/>
          </w:tcPr>
          <w:p w14:paraId="52755EBD" w14:textId="0F794D3A" w:rsidR="0025384E" w:rsidRPr="00802F1A" w:rsidRDefault="0025384E" w:rsidP="0025384E">
            <w:pPr>
              <w:spacing w:line="240" w:lineRule="auto"/>
              <w:rPr>
                <w:rFonts w:eastAsia="Times New Roman" w:cs="Times New Roman"/>
                <w:sz w:val="18"/>
                <w:szCs w:val="18"/>
                <w:lang w:eastAsia="en-AU"/>
              </w:rPr>
            </w:pPr>
            <w:r w:rsidRPr="00802F1A">
              <w:rPr>
                <w:sz w:val="18"/>
                <w:szCs w:val="18"/>
              </w:rPr>
              <w:t>0.013***</w:t>
            </w:r>
          </w:p>
        </w:tc>
        <w:tc>
          <w:tcPr>
            <w:tcW w:w="990" w:type="dxa"/>
            <w:tcBorders>
              <w:top w:val="nil"/>
              <w:left w:val="nil"/>
              <w:bottom w:val="nil"/>
              <w:right w:val="nil"/>
            </w:tcBorders>
            <w:shd w:val="clear" w:color="auto" w:fill="auto"/>
            <w:noWrap/>
            <w:vAlign w:val="center"/>
            <w:hideMark/>
          </w:tcPr>
          <w:p w14:paraId="7BC05618" w14:textId="475C83F1" w:rsidR="0025384E" w:rsidRPr="00802F1A" w:rsidRDefault="0025384E" w:rsidP="0025384E">
            <w:pPr>
              <w:spacing w:line="240" w:lineRule="auto"/>
              <w:rPr>
                <w:rFonts w:eastAsia="Times New Roman" w:cs="Times New Roman"/>
                <w:sz w:val="18"/>
                <w:szCs w:val="18"/>
                <w:lang w:eastAsia="en-AU"/>
              </w:rPr>
            </w:pPr>
            <w:r w:rsidRPr="00802F1A">
              <w:rPr>
                <w:sz w:val="18"/>
                <w:szCs w:val="18"/>
              </w:rPr>
              <w:t>0.001</w:t>
            </w:r>
          </w:p>
        </w:tc>
        <w:tc>
          <w:tcPr>
            <w:tcW w:w="990" w:type="dxa"/>
            <w:tcBorders>
              <w:top w:val="nil"/>
              <w:left w:val="nil"/>
              <w:bottom w:val="nil"/>
              <w:right w:val="nil"/>
            </w:tcBorders>
            <w:shd w:val="clear" w:color="auto" w:fill="auto"/>
            <w:noWrap/>
            <w:vAlign w:val="center"/>
            <w:hideMark/>
          </w:tcPr>
          <w:p w14:paraId="1CB3C3F7" w14:textId="54170AE9" w:rsidR="0025384E" w:rsidRPr="00802F1A" w:rsidRDefault="0025384E" w:rsidP="0025384E">
            <w:pPr>
              <w:spacing w:line="240" w:lineRule="auto"/>
              <w:rPr>
                <w:rFonts w:eastAsia="Times New Roman" w:cs="Times New Roman"/>
                <w:sz w:val="18"/>
                <w:szCs w:val="18"/>
                <w:lang w:eastAsia="en-AU"/>
              </w:rPr>
            </w:pPr>
            <w:r w:rsidRPr="00802F1A">
              <w:rPr>
                <w:sz w:val="18"/>
                <w:szCs w:val="18"/>
              </w:rPr>
              <w:t>0.005***</w:t>
            </w:r>
          </w:p>
        </w:tc>
        <w:tc>
          <w:tcPr>
            <w:tcW w:w="990" w:type="dxa"/>
            <w:tcBorders>
              <w:top w:val="nil"/>
              <w:left w:val="nil"/>
              <w:bottom w:val="nil"/>
              <w:right w:val="nil"/>
            </w:tcBorders>
            <w:shd w:val="clear" w:color="auto" w:fill="auto"/>
            <w:noWrap/>
            <w:vAlign w:val="center"/>
            <w:hideMark/>
          </w:tcPr>
          <w:p w14:paraId="3771AE47" w14:textId="11E4EAE5" w:rsidR="0025384E" w:rsidRPr="00802F1A" w:rsidRDefault="0025384E" w:rsidP="0025384E">
            <w:pPr>
              <w:spacing w:line="240" w:lineRule="auto"/>
              <w:rPr>
                <w:rFonts w:eastAsia="Times New Roman" w:cs="Times New Roman"/>
                <w:sz w:val="18"/>
                <w:szCs w:val="18"/>
                <w:lang w:eastAsia="en-AU"/>
              </w:rPr>
            </w:pPr>
            <w:r w:rsidRPr="00802F1A">
              <w:rPr>
                <w:sz w:val="18"/>
                <w:szCs w:val="18"/>
              </w:rPr>
              <w:t>-0.012**</w:t>
            </w:r>
          </w:p>
        </w:tc>
        <w:tc>
          <w:tcPr>
            <w:tcW w:w="1260" w:type="dxa"/>
            <w:tcBorders>
              <w:top w:val="nil"/>
              <w:left w:val="nil"/>
              <w:bottom w:val="nil"/>
              <w:right w:val="nil"/>
            </w:tcBorders>
            <w:shd w:val="clear" w:color="auto" w:fill="auto"/>
            <w:noWrap/>
            <w:vAlign w:val="center"/>
            <w:hideMark/>
          </w:tcPr>
          <w:p w14:paraId="1F37A194" w14:textId="184DEB6F" w:rsidR="0025384E" w:rsidRPr="00802F1A" w:rsidRDefault="0025384E" w:rsidP="0025384E">
            <w:pPr>
              <w:spacing w:line="240" w:lineRule="auto"/>
              <w:rPr>
                <w:rFonts w:eastAsia="Times New Roman" w:cs="Times New Roman"/>
                <w:sz w:val="18"/>
                <w:szCs w:val="18"/>
                <w:lang w:eastAsia="en-AU"/>
              </w:rPr>
            </w:pPr>
            <w:r w:rsidRPr="00802F1A">
              <w:rPr>
                <w:sz w:val="18"/>
                <w:szCs w:val="18"/>
              </w:rPr>
              <w:t>0.004***</w:t>
            </w:r>
          </w:p>
        </w:tc>
      </w:tr>
      <w:tr w:rsidR="00802F1A" w:rsidRPr="00802F1A" w14:paraId="3507EA74" w14:textId="77777777" w:rsidTr="000B3160">
        <w:trPr>
          <w:trHeight w:hRule="exact" w:val="259"/>
        </w:trPr>
        <w:tc>
          <w:tcPr>
            <w:tcW w:w="1890" w:type="dxa"/>
            <w:tcBorders>
              <w:top w:val="nil"/>
              <w:left w:val="nil"/>
              <w:bottom w:val="nil"/>
              <w:right w:val="nil"/>
            </w:tcBorders>
            <w:shd w:val="clear" w:color="000000" w:fill="FFFFFF"/>
            <w:vAlign w:val="center"/>
            <w:hideMark/>
          </w:tcPr>
          <w:p w14:paraId="57C3816B" w14:textId="63FA914F" w:rsidR="0025384E" w:rsidRPr="00802F1A" w:rsidRDefault="0025384E" w:rsidP="0025384E">
            <w:pPr>
              <w:spacing w:line="240" w:lineRule="auto"/>
              <w:rPr>
                <w:rFonts w:eastAsia="Times New Roman" w:cs="Times New Roman"/>
                <w:sz w:val="18"/>
                <w:szCs w:val="18"/>
                <w:lang w:eastAsia="en-AU"/>
              </w:rPr>
            </w:pPr>
            <w:r w:rsidRPr="00802F1A">
              <w:rPr>
                <w:rFonts w:eastAsia="Times New Roman" w:cs="Times New Roman"/>
                <w:sz w:val="18"/>
                <w:szCs w:val="18"/>
                <w:lang w:eastAsia="en-AU"/>
              </w:rPr>
              <w:t>L</w:t>
            </w:r>
            <w:proofErr w:type="gramStart"/>
            <w:r w:rsidRPr="00802F1A">
              <w:rPr>
                <w:rFonts w:eastAsia="Times New Roman" w:cs="Times New Roman"/>
                <w:sz w:val="18"/>
                <w:szCs w:val="18"/>
                <w:lang w:eastAsia="en-AU"/>
              </w:rPr>
              <w:t>1.Log</w:t>
            </w:r>
            <w:proofErr w:type="gramEnd"/>
            <w:r w:rsidRPr="00802F1A">
              <w:rPr>
                <w:rFonts w:eastAsia="Times New Roman" w:cs="Times New Roman"/>
                <w:sz w:val="18"/>
                <w:szCs w:val="18"/>
                <w:lang w:eastAsia="en-AU"/>
              </w:rPr>
              <w:t>(</w:t>
            </w:r>
            <w:r w:rsidRPr="00802F1A">
              <w:rPr>
                <w:rFonts w:eastAsia="Times New Roman" w:cs="Times New Roman"/>
                <w:i/>
                <w:iCs/>
                <w:sz w:val="18"/>
                <w:szCs w:val="18"/>
                <w:lang w:eastAsia="en-AU"/>
              </w:rPr>
              <w:t>Per-capita income</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0248CCE7" w14:textId="43E3C2B1" w:rsidR="0025384E" w:rsidRPr="00802F1A" w:rsidRDefault="0025384E" w:rsidP="0025384E">
            <w:pPr>
              <w:spacing w:line="240" w:lineRule="auto"/>
              <w:rPr>
                <w:rFonts w:eastAsia="Times New Roman" w:cs="Times New Roman"/>
                <w:sz w:val="18"/>
                <w:szCs w:val="18"/>
                <w:lang w:eastAsia="en-AU"/>
              </w:rPr>
            </w:pPr>
            <w:r w:rsidRPr="00802F1A">
              <w:rPr>
                <w:sz w:val="18"/>
                <w:szCs w:val="18"/>
              </w:rPr>
              <w:t>0.401***</w:t>
            </w:r>
          </w:p>
        </w:tc>
        <w:tc>
          <w:tcPr>
            <w:tcW w:w="990" w:type="dxa"/>
            <w:tcBorders>
              <w:top w:val="nil"/>
              <w:left w:val="nil"/>
              <w:bottom w:val="nil"/>
              <w:right w:val="nil"/>
            </w:tcBorders>
            <w:shd w:val="clear" w:color="auto" w:fill="auto"/>
            <w:noWrap/>
            <w:vAlign w:val="center"/>
            <w:hideMark/>
          </w:tcPr>
          <w:p w14:paraId="3DE96407" w14:textId="02123E20" w:rsidR="0025384E" w:rsidRPr="00802F1A" w:rsidRDefault="0025384E" w:rsidP="0025384E">
            <w:pPr>
              <w:spacing w:line="240" w:lineRule="auto"/>
              <w:rPr>
                <w:rFonts w:eastAsia="Times New Roman" w:cs="Times New Roman"/>
                <w:sz w:val="18"/>
                <w:szCs w:val="18"/>
                <w:lang w:eastAsia="en-AU"/>
              </w:rPr>
            </w:pPr>
            <w:r w:rsidRPr="00802F1A">
              <w:rPr>
                <w:sz w:val="18"/>
                <w:szCs w:val="18"/>
              </w:rPr>
              <w:t>0.710***</w:t>
            </w:r>
          </w:p>
        </w:tc>
        <w:tc>
          <w:tcPr>
            <w:tcW w:w="990" w:type="dxa"/>
            <w:tcBorders>
              <w:top w:val="nil"/>
              <w:left w:val="nil"/>
              <w:bottom w:val="nil"/>
              <w:right w:val="nil"/>
            </w:tcBorders>
            <w:shd w:val="clear" w:color="auto" w:fill="auto"/>
            <w:noWrap/>
            <w:vAlign w:val="center"/>
            <w:hideMark/>
          </w:tcPr>
          <w:p w14:paraId="3DAF3D88" w14:textId="61701E5D" w:rsidR="0025384E" w:rsidRPr="00802F1A" w:rsidRDefault="0025384E" w:rsidP="0025384E">
            <w:pPr>
              <w:spacing w:line="240" w:lineRule="auto"/>
              <w:rPr>
                <w:rFonts w:eastAsia="Times New Roman" w:cs="Times New Roman"/>
                <w:sz w:val="18"/>
                <w:szCs w:val="18"/>
                <w:lang w:eastAsia="en-AU"/>
              </w:rPr>
            </w:pPr>
            <w:r w:rsidRPr="00802F1A">
              <w:rPr>
                <w:sz w:val="18"/>
                <w:szCs w:val="18"/>
              </w:rPr>
              <w:t>0.083***</w:t>
            </w:r>
          </w:p>
        </w:tc>
        <w:tc>
          <w:tcPr>
            <w:tcW w:w="990" w:type="dxa"/>
            <w:tcBorders>
              <w:top w:val="nil"/>
              <w:left w:val="nil"/>
              <w:bottom w:val="nil"/>
              <w:right w:val="nil"/>
            </w:tcBorders>
            <w:shd w:val="clear" w:color="auto" w:fill="auto"/>
            <w:noWrap/>
            <w:vAlign w:val="center"/>
            <w:hideMark/>
          </w:tcPr>
          <w:p w14:paraId="06D864D9" w14:textId="17423A88" w:rsidR="0025384E" w:rsidRPr="00802F1A" w:rsidRDefault="0025384E" w:rsidP="0025384E">
            <w:pPr>
              <w:spacing w:line="240" w:lineRule="auto"/>
              <w:rPr>
                <w:rFonts w:eastAsia="Times New Roman" w:cs="Times New Roman"/>
                <w:sz w:val="18"/>
                <w:szCs w:val="18"/>
                <w:lang w:eastAsia="en-AU"/>
              </w:rPr>
            </w:pPr>
            <w:r w:rsidRPr="00802F1A">
              <w:rPr>
                <w:sz w:val="18"/>
                <w:szCs w:val="18"/>
              </w:rPr>
              <w:t>0.299***</w:t>
            </w:r>
          </w:p>
        </w:tc>
        <w:tc>
          <w:tcPr>
            <w:tcW w:w="990" w:type="dxa"/>
            <w:tcBorders>
              <w:top w:val="nil"/>
              <w:left w:val="nil"/>
              <w:bottom w:val="nil"/>
              <w:right w:val="nil"/>
            </w:tcBorders>
            <w:shd w:val="clear" w:color="auto" w:fill="auto"/>
            <w:noWrap/>
            <w:vAlign w:val="center"/>
            <w:hideMark/>
          </w:tcPr>
          <w:p w14:paraId="36A19586" w14:textId="4F89006A" w:rsidR="0025384E" w:rsidRPr="00802F1A" w:rsidRDefault="0025384E" w:rsidP="0025384E">
            <w:pPr>
              <w:spacing w:line="240" w:lineRule="auto"/>
              <w:rPr>
                <w:rFonts w:eastAsia="Times New Roman" w:cs="Times New Roman"/>
                <w:sz w:val="18"/>
                <w:szCs w:val="18"/>
                <w:lang w:eastAsia="en-AU"/>
              </w:rPr>
            </w:pPr>
            <w:r w:rsidRPr="00802F1A">
              <w:rPr>
                <w:sz w:val="18"/>
                <w:szCs w:val="18"/>
              </w:rPr>
              <w:t>0.225**</w:t>
            </w:r>
          </w:p>
        </w:tc>
        <w:tc>
          <w:tcPr>
            <w:tcW w:w="1260" w:type="dxa"/>
            <w:tcBorders>
              <w:top w:val="nil"/>
              <w:left w:val="nil"/>
              <w:bottom w:val="nil"/>
              <w:right w:val="nil"/>
            </w:tcBorders>
            <w:shd w:val="clear" w:color="auto" w:fill="auto"/>
            <w:noWrap/>
            <w:vAlign w:val="center"/>
            <w:hideMark/>
          </w:tcPr>
          <w:p w14:paraId="6FF21476" w14:textId="537BAC0B" w:rsidR="0025384E" w:rsidRPr="00802F1A" w:rsidRDefault="0025384E" w:rsidP="0025384E">
            <w:pPr>
              <w:spacing w:line="240" w:lineRule="auto"/>
              <w:rPr>
                <w:rFonts w:eastAsia="Times New Roman" w:cs="Times New Roman"/>
                <w:sz w:val="18"/>
                <w:szCs w:val="18"/>
                <w:lang w:eastAsia="en-AU"/>
              </w:rPr>
            </w:pPr>
            <w:r w:rsidRPr="00802F1A">
              <w:rPr>
                <w:sz w:val="18"/>
                <w:szCs w:val="18"/>
              </w:rPr>
              <w:t>0.242***</w:t>
            </w:r>
          </w:p>
        </w:tc>
      </w:tr>
      <w:tr w:rsidR="00802F1A" w:rsidRPr="00802F1A" w14:paraId="2F2CC63F" w14:textId="77777777" w:rsidTr="000B3160">
        <w:trPr>
          <w:trHeight w:hRule="exact" w:val="259"/>
        </w:trPr>
        <w:tc>
          <w:tcPr>
            <w:tcW w:w="1890" w:type="dxa"/>
            <w:tcBorders>
              <w:top w:val="nil"/>
              <w:left w:val="nil"/>
              <w:bottom w:val="nil"/>
              <w:right w:val="nil"/>
            </w:tcBorders>
            <w:shd w:val="clear" w:color="000000" w:fill="FFFFFF"/>
            <w:vAlign w:val="center"/>
            <w:hideMark/>
          </w:tcPr>
          <w:p w14:paraId="0BBA3A16" w14:textId="15443568" w:rsidR="0025384E" w:rsidRPr="00802F1A" w:rsidRDefault="0025384E" w:rsidP="0025384E">
            <w:pPr>
              <w:spacing w:line="240" w:lineRule="auto"/>
              <w:rPr>
                <w:rFonts w:eastAsia="Times New Roman" w:cs="Times New Roman"/>
                <w:sz w:val="18"/>
                <w:szCs w:val="18"/>
                <w:lang w:eastAsia="en-AU"/>
              </w:rPr>
            </w:pPr>
            <w:r w:rsidRPr="00802F1A">
              <w:rPr>
                <w:rFonts w:eastAsia="Times New Roman" w:cs="Times New Roman"/>
                <w:sz w:val="18"/>
                <w:szCs w:val="18"/>
                <w:lang w:eastAsia="en-AU"/>
              </w:rPr>
              <w:t>L</w:t>
            </w:r>
            <w:proofErr w:type="gramStart"/>
            <w:r w:rsidRPr="00802F1A">
              <w:rPr>
                <w:rFonts w:eastAsia="Times New Roman" w:cs="Times New Roman"/>
                <w:sz w:val="18"/>
                <w:szCs w:val="18"/>
                <w:lang w:eastAsia="en-AU"/>
              </w:rPr>
              <w:t>1.Log</w:t>
            </w:r>
            <w:proofErr w:type="gramEnd"/>
            <w:r w:rsidRPr="00802F1A">
              <w:rPr>
                <w:rFonts w:eastAsia="Times New Roman" w:cs="Times New Roman"/>
                <w:sz w:val="18"/>
                <w:szCs w:val="18"/>
                <w:lang w:eastAsia="en-AU"/>
              </w:rPr>
              <w:t>(</w:t>
            </w:r>
            <w:r w:rsidRPr="00802F1A">
              <w:rPr>
                <w:rFonts w:eastAsia="Times New Roman" w:cs="Times New Roman"/>
                <w:i/>
                <w:iCs/>
                <w:sz w:val="18"/>
                <w:szCs w:val="18"/>
                <w:lang w:eastAsia="en-AU"/>
              </w:rPr>
              <w:t>Energy HHI</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02531E96" w14:textId="43333FFE" w:rsidR="0025384E" w:rsidRPr="00802F1A" w:rsidRDefault="0025384E" w:rsidP="0025384E">
            <w:pPr>
              <w:spacing w:line="240" w:lineRule="auto"/>
              <w:rPr>
                <w:rFonts w:eastAsia="Times New Roman" w:cs="Times New Roman"/>
                <w:sz w:val="18"/>
                <w:szCs w:val="18"/>
                <w:lang w:eastAsia="en-AU"/>
              </w:rPr>
            </w:pPr>
            <w:r w:rsidRPr="00802F1A">
              <w:rPr>
                <w:sz w:val="18"/>
                <w:szCs w:val="18"/>
              </w:rPr>
              <w:t>0.007</w:t>
            </w:r>
          </w:p>
        </w:tc>
        <w:tc>
          <w:tcPr>
            <w:tcW w:w="990" w:type="dxa"/>
            <w:tcBorders>
              <w:top w:val="nil"/>
              <w:left w:val="nil"/>
              <w:bottom w:val="nil"/>
              <w:right w:val="nil"/>
            </w:tcBorders>
            <w:shd w:val="clear" w:color="auto" w:fill="auto"/>
            <w:noWrap/>
            <w:vAlign w:val="center"/>
            <w:hideMark/>
          </w:tcPr>
          <w:p w14:paraId="49C903A2" w14:textId="2695717E" w:rsidR="0025384E" w:rsidRPr="00802F1A" w:rsidRDefault="0025384E" w:rsidP="0025384E">
            <w:pPr>
              <w:spacing w:line="240" w:lineRule="auto"/>
              <w:rPr>
                <w:rFonts w:eastAsia="Times New Roman" w:cs="Times New Roman"/>
                <w:sz w:val="18"/>
                <w:szCs w:val="18"/>
                <w:lang w:eastAsia="en-AU"/>
              </w:rPr>
            </w:pPr>
            <w:r w:rsidRPr="00802F1A">
              <w:rPr>
                <w:sz w:val="18"/>
                <w:szCs w:val="18"/>
              </w:rPr>
              <w:t>0.041***</w:t>
            </w:r>
          </w:p>
        </w:tc>
        <w:tc>
          <w:tcPr>
            <w:tcW w:w="990" w:type="dxa"/>
            <w:tcBorders>
              <w:top w:val="nil"/>
              <w:left w:val="nil"/>
              <w:bottom w:val="nil"/>
              <w:right w:val="nil"/>
            </w:tcBorders>
            <w:shd w:val="clear" w:color="auto" w:fill="auto"/>
            <w:noWrap/>
            <w:vAlign w:val="center"/>
            <w:hideMark/>
          </w:tcPr>
          <w:p w14:paraId="3F9D3EF6" w14:textId="15FFD0F3" w:rsidR="0025384E" w:rsidRPr="00802F1A" w:rsidRDefault="0025384E" w:rsidP="0025384E">
            <w:pPr>
              <w:spacing w:line="240" w:lineRule="auto"/>
              <w:rPr>
                <w:rFonts w:eastAsia="Times New Roman" w:cs="Times New Roman"/>
                <w:sz w:val="18"/>
                <w:szCs w:val="18"/>
                <w:lang w:eastAsia="en-AU"/>
              </w:rPr>
            </w:pPr>
            <w:r w:rsidRPr="00802F1A">
              <w:rPr>
                <w:sz w:val="18"/>
                <w:szCs w:val="18"/>
              </w:rPr>
              <w:t>0.005</w:t>
            </w:r>
          </w:p>
        </w:tc>
        <w:tc>
          <w:tcPr>
            <w:tcW w:w="990" w:type="dxa"/>
            <w:tcBorders>
              <w:top w:val="nil"/>
              <w:left w:val="nil"/>
              <w:bottom w:val="nil"/>
              <w:right w:val="nil"/>
            </w:tcBorders>
            <w:shd w:val="clear" w:color="auto" w:fill="auto"/>
            <w:noWrap/>
            <w:vAlign w:val="center"/>
            <w:hideMark/>
          </w:tcPr>
          <w:p w14:paraId="0E853D6F" w14:textId="190CF30A" w:rsidR="0025384E" w:rsidRPr="00802F1A" w:rsidRDefault="0025384E" w:rsidP="0025384E">
            <w:pPr>
              <w:spacing w:line="240" w:lineRule="auto"/>
              <w:rPr>
                <w:rFonts w:eastAsia="Times New Roman" w:cs="Times New Roman"/>
                <w:sz w:val="18"/>
                <w:szCs w:val="18"/>
                <w:lang w:eastAsia="en-AU"/>
              </w:rPr>
            </w:pPr>
            <w:r w:rsidRPr="00802F1A">
              <w:rPr>
                <w:sz w:val="18"/>
                <w:szCs w:val="18"/>
              </w:rPr>
              <w:t>-0.005</w:t>
            </w:r>
          </w:p>
        </w:tc>
        <w:tc>
          <w:tcPr>
            <w:tcW w:w="990" w:type="dxa"/>
            <w:tcBorders>
              <w:top w:val="nil"/>
              <w:left w:val="nil"/>
              <w:bottom w:val="nil"/>
              <w:right w:val="nil"/>
            </w:tcBorders>
            <w:shd w:val="clear" w:color="auto" w:fill="auto"/>
            <w:noWrap/>
            <w:vAlign w:val="center"/>
            <w:hideMark/>
          </w:tcPr>
          <w:p w14:paraId="28928B8A" w14:textId="11A27E41" w:rsidR="0025384E" w:rsidRPr="00802F1A" w:rsidRDefault="0025384E" w:rsidP="0025384E">
            <w:pPr>
              <w:spacing w:line="240" w:lineRule="auto"/>
              <w:rPr>
                <w:rFonts w:eastAsia="Times New Roman" w:cs="Times New Roman"/>
                <w:sz w:val="18"/>
                <w:szCs w:val="18"/>
                <w:lang w:eastAsia="en-AU"/>
              </w:rPr>
            </w:pPr>
            <w:r w:rsidRPr="00802F1A">
              <w:rPr>
                <w:sz w:val="18"/>
                <w:szCs w:val="18"/>
              </w:rPr>
              <w:t>0.131***</w:t>
            </w:r>
          </w:p>
        </w:tc>
        <w:tc>
          <w:tcPr>
            <w:tcW w:w="1260" w:type="dxa"/>
            <w:tcBorders>
              <w:top w:val="nil"/>
              <w:left w:val="nil"/>
              <w:bottom w:val="nil"/>
              <w:right w:val="nil"/>
            </w:tcBorders>
            <w:shd w:val="clear" w:color="auto" w:fill="auto"/>
            <w:noWrap/>
            <w:vAlign w:val="center"/>
            <w:hideMark/>
          </w:tcPr>
          <w:p w14:paraId="18FFFA29" w14:textId="186D20F8" w:rsidR="0025384E" w:rsidRPr="00802F1A" w:rsidRDefault="0025384E" w:rsidP="0025384E">
            <w:pPr>
              <w:spacing w:line="240" w:lineRule="auto"/>
              <w:rPr>
                <w:rFonts w:eastAsia="Times New Roman" w:cs="Times New Roman"/>
                <w:sz w:val="18"/>
                <w:szCs w:val="18"/>
                <w:lang w:eastAsia="en-AU"/>
              </w:rPr>
            </w:pPr>
            <w:r w:rsidRPr="00802F1A">
              <w:rPr>
                <w:sz w:val="18"/>
                <w:szCs w:val="18"/>
              </w:rPr>
              <w:t>0.007</w:t>
            </w:r>
          </w:p>
        </w:tc>
      </w:tr>
      <w:tr w:rsidR="00802F1A" w:rsidRPr="00802F1A" w14:paraId="6BE9DED5" w14:textId="77777777" w:rsidTr="000B3160">
        <w:trPr>
          <w:trHeight w:hRule="exact" w:val="259"/>
        </w:trPr>
        <w:tc>
          <w:tcPr>
            <w:tcW w:w="1890" w:type="dxa"/>
            <w:tcBorders>
              <w:top w:val="nil"/>
              <w:left w:val="nil"/>
              <w:bottom w:val="nil"/>
              <w:right w:val="nil"/>
            </w:tcBorders>
            <w:shd w:val="clear" w:color="000000" w:fill="FFFFFF"/>
            <w:vAlign w:val="center"/>
            <w:hideMark/>
          </w:tcPr>
          <w:p w14:paraId="63BE2013" w14:textId="77777777" w:rsidR="0025384E" w:rsidRPr="00802F1A" w:rsidRDefault="0025384E" w:rsidP="0025384E">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Tourism Receipt</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0FE153CB" w14:textId="04CE9403" w:rsidR="0025384E" w:rsidRPr="00802F1A" w:rsidRDefault="0025384E" w:rsidP="0025384E">
            <w:pPr>
              <w:spacing w:line="240" w:lineRule="auto"/>
              <w:rPr>
                <w:rFonts w:eastAsia="Times New Roman" w:cs="Times New Roman"/>
                <w:sz w:val="18"/>
                <w:szCs w:val="18"/>
                <w:lang w:eastAsia="en-AU"/>
              </w:rPr>
            </w:pPr>
            <w:r w:rsidRPr="00802F1A">
              <w:rPr>
                <w:sz w:val="18"/>
                <w:szCs w:val="18"/>
              </w:rPr>
              <w:t>0.117***</w:t>
            </w:r>
          </w:p>
        </w:tc>
        <w:tc>
          <w:tcPr>
            <w:tcW w:w="990" w:type="dxa"/>
            <w:tcBorders>
              <w:top w:val="nil"/>
              <w:left w:val="nil"/>
              <w:bottom w:val="nil"/>
              <w:right w:val="nil"/>
            </w:tcBorders>
            <w:shd w:val="clear" w:color="auto" w:fill="auto"/>
            <w:noWrap/>
            <w:vAlign w:val="center"/>
            <w:hideMark/>
          </w:tcPr>
          <w:p w14:paraId="525852E2" w14:textId="1811EDB4" w:rsidR="0025384E" w:rsidRPr="00802F1A" w:rsidRDefault="0025384E" w:rsidP="0025384E">
            <w:pPr>
              <w:spacing w:line="240" w:lineRule="auto"/>
              <w:rPr>
                <w:rFonts w:eastAsia="Times New Roman" w:cs="Times New Roman"/>
                <w:sz w:val="18"/>
                <w:szCs w:val="18"/>
                <w:lang w:eastAsia="en-AU"/>
              </w:rPr>
            </w:pPr>
            <w:r w:rsidRPr="00802F1A">
              <w:rPr>
                <w:sz w:val="18"/>
                <w:szCs w:val="18"/>
              </w:rPr>
              <w:t>0.033*</w:t>
            </w:r>
          </w:p>
        </w:tc>
        <w:tc>
          <w:tcPr>
            <w:tcW w:w="990" w:type="dxa"/>
            <w:tcBorders>
              <w:top w:val="nil"/>
              <w:left w:val="nil"/>
              <w:bottom w:val="nil"/>
              <w:right w:val="nil"/>
            </w:tcBorders>
            <w:shd w:val="clear" w:color="auto" w:fill="auto"/>
            <w:noWrap/>
            <w:vAlign w:val="center"/>
            <w:hideMark/>
          </w:tcPr>
          <w:p w14:paraId="21709486" w14:textId="53C3A972" w:rsidR="0025384E" w:rsidRPr="00802F1A" w:rsidRDefault="0025384E" w:rsidP="0025384E">
            <w:pPr>
              <w:spacing w:line="240" w:lineRule="auto"/>
              <w:rPr>
                <w:rFonts w:eastAsia="Times New Roman" w:cs="Times New Roman"/>
                <w:sz w:val="18"/>
                <w:szCs w:val="18"/>
                <w:lang w:eastAsia="en-AU"/>
              </w:rPr>
            </w:pPr>
            <w:r w:rsidRPr="00802F1A">
              <w:rPr>
                <w:sz w:val="18"/>
                <w:szCs w:val="18"/>
              </w:rPr>
              <w:t>0.034***</w:t>
            </w:r>
          </w:p>
        </w:tc>
        <w:tc>
          <w:tcPr>
            <w:tcW w:w="990" w:type="dxa"/>
            <w:tcBorders>
              <w:top w:val="nil"/>
              <w:left w:val="nil"/>
              <w:bottom w:val="nil"/>
              <w:right w:val="nil"/>
            </w:tcBorders>
            <w:shd w:val="clear" w:color="auto" w:fill="auto"/>
            <w:noWrap/>
            <w:vAlign w:val="center"/>
            <w:hideMark/>
          </w:tcPr>
          <w:p w14:paraId="76FEAC26" w14:textId="36D4FEC7" w:rsidR="0025384E" w:rsidRPr="00802F1A" w:rsidRDefault="0025384E" w:rsidP="0025384E">
            <w:pPr>
              <w:spacing w:line="240" w:lineRule="auto"/>
              <w:rPr>
                <w:rFonts w:eastAsia="Times New Roman" w:cs="Times New Roman"/>
                <w:sz w:val="18"/>
                <w:szCs w:val="18"/>
                <w:lang w:eastAsia="en-AU"/>
              </w:rPr>
            </w:pPr>
            <w:r w:rsidRPr="00802F1A">
              <w:rPr>
                <w:sz w:val="18"/>
                <w:szCs w:val="18"/>
              </w:rPr>
              <w:t>0.034***</w:t>
            </w:r>
          </w:p>
        </w:tc>
        <w:tc>
          <w:tcPr>
            <w:tcW w:w="990" w:type="dxa"/>
            <w:tcBorders>
              <w:top w:val="nil"/>
              <w:left w:val="nil"/>
              <w:bottom w:val="nil"/>
              <w:right w:val="nil"/>
            </w:tcBorders>
            <w:shd w:val="clear" w:color="auto" w:fill="auto"/>
            <w:noWrap/>
            <w:vAlign w:val="center"/>
            <w:hideMark/>
          </w:tcPr>
          <w:p w14:paraId="231F14FC" w14:textId="1EF5875A" w:rsidR="0025384E" w:rsidRPr="00802F1A" w:rsidRDefault="0025384E" w:rsidP="0025384E">
            <w:pPr>
              <w:spacing w:line="240" w:lineRule="auto"/>
              <w:rPr>
                <w:rFonts w:eastAsia="Times New Roman" w:cs="Times New Roman"/>
                <w:sz w:val="18"/>
                <w:szCs w:val="18"/>
                <w:lang w:eastAsia="en-AU"/>
              </w:rPr>
            </w:pPr>
            <w:r w:rsidRPr="00802F1A">
              <w:rPr>
                <w:sz w:val="18"/>
                <w:szCs w:val="18"/>
              </w:rPr>
              <w:t>0.045</w:t>
            </w:r>
          </w:p>
        </w:tc>
        <w:tc>
          <w:tcPr>
            <w:tcW w:w="1260" w:type="dxa"/>
            <w:tcBorders>
              <w:top w:val="nil"/>
              <w:left w:val="nil"/>
              <w:bottom w:val="nil"/>
              <w:right w:val="nil"/>
            </w:tcBorders>
            <w:shd w:val="clear" w:color="auto" w:fill="auto"/>
            <w:noWrap/>
            <w:vAlign w:val="center"/>
            <w:hideMark/>
          </w:tcPr>
          <w:p w14:paraId="7A74BFAA" w14:textId="25CF3A23" w:rsidR="0025384E" w:rsidRPr="00802F1A" w:rsidRDefault="0025384E" w:rsidP="0025384E">
            <w:pPr>
              <w:spacing w:line="240" w:lineRule="auto"/>
              <w:rPr>
                <w:rFonts w:eastAsia="Times New Roman" w:cs="Times New Roman"/>
                <w:sz w:val="18"/>
                <w:szCs w:val="18"/>
                <w:lang w:eastAsia="en-AU"/>
              </w:rPr>
            </w:pPr>
            <w:r w:rsidRPr="00802F1A">
              <w:rPr>
                <w:sz w:val="18"/>
                <w:szCs w:val="18"/>
              </w:rPr>
              <w:t>0.030***</w:t>
            </w:r>
          </w:p>
        </w:tc>
      </w:tr>
      <w:tr w:rsidR="00802F1A" w:rsidRPr="00802F1A" w14:paraId="163B7C3D" w14:textId="77777777" w:rsidTr="000B3160">
        <w:trPr>
          <w:trHeight w:hRule="exact" w:val="259"/>
        </w:trPr>
        <w:tc>
          <w:tcPr>
            <w:tcW w:w="1890" w:type="dxa"/>
            <w:tcBorders>
              <w:top w:val="nil"/>
              <w:left w:val="nil"/>
              <w:bottom w:val="nil"/>
              <w:right w:val="nil"/>
            </w:tcBorders>
            <w:shd w:val="clear" w:color="000000" w:fill="FFFFFF"/>
            <w:vAlign w:val="center"/>
            <w:hideMark/>
          </w:tcPr>
          <w:p w14:paraId="061677CF" w14:textId="77777777" w:rsidR="0025384E" w:rsidRPr="00802F1A" w:rsidRDefault="0025384E" w:rsidP="0025384E">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Intl Trade</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26FEFF5E" w14:textId="11B4B351" w:rsidR="0025384E" w:rsidRPr="00802F1A" w:rsidRDefault="0025384E" w:rsidP="0025384E">
            <w:pPr>
              <w:spacing w:line="240" w:lineRule="auto"/>
              <w:rPr>
                <w:rFonts w:eastAsia="Times New Roman" w:cs="Times New Roman"/>
                <w:sz w:val="18"/>
                <w:szCs w:val="18"/>
                <w:lang w:eastAsia="en-AU"/>
              </w:rPr>
            </w:pPr>
            <w:r w:rsidRPr="00802F1A">
              <w:rPr>
                <w:sz w:val="18"/>
                <w:szCs w:val="18"/>
              </w:rPr>
              <w:t>0.254***</w:t>
            </w:r>
          </w:p>
        </w:tc>
        <w:tc>
          <w:tcPr>
            <w:tcW w:w="990" w:type="dxa"/>
            <w:tcBorders>
              <w:top w:val="nil"/>
              <w:left w:val="nil"/>
              <w:bottom w:val="nil"/>
              <w:right w:val="nil"/>
            </w:tcBorders>
            <w:shd w:val="clear" w:color="auto" w:fill="auto"/>
            <w:noWrap/>
            <w:vAlign w:val="center"/>
            <w:hideMark/>
          </w:tcPr>
          <w:p w14:paraId="1F977159" w14:textId="7ED2BAA8" w:rsidR="0025384E" w:rsidRPr="00802F1A" w:rsidRDefault="0025384E" w:rsidP="0025384E">
            <w:pPr>
              <w:spacing w:line="240" w:lineRule="auto"/>
              <w:rPr>
                <w:rFonts w:eastAsia="Times New Roman" w:cs="Times New Roman"/>
                <w:sz w:val="18"/>
                <w:szCs w:val="18"/>
                <w:lang w:eastAsia="en-AU"/>
              </w:rPr>
            </w:pPr>
            <w:r w:rsidRPr="00802F1A">
              <w:rPr>
                <w:sz w:val="18"/>
                <w:szCs w:val="18"/>
              </w:rPr>
              <w:t>0.260***</w:t>
            </w:r>
          </w:p>
        </w:tc>
        <w:tc>
          <w:tcPr>
            <w:tcW w:w="990" w:type="dxa"/>
            <w:tcBorders>
              <w:top w:val="nil"/>
              <w:left w:val="nil"/>
              <w:bottom w:val="nil"/>
              <w:right w:val="nil"/>
            </w:tcBorders>
            <w:shd w:val="clear" w:color="auto" w:fill="auto"/>
            <w:noWrap/>
            <w:vAlign w:val="center"/>
            <w:hideMark/>
          </w:tcPr>
          <w:p w14:paraId="0FE41FA7" w14:textId="0DB905F2" w:rsidR="0025384E" w:rsidRPr="00802F1A" w:rsidRDefault="0025384E" w:rsidP="0025384E">
            <w:pPr>
              <w:spacing w:line="240" w:lineRule="auto"/>
              <w:rPr>
                <w:rFonts w:eastAsia="Times New Roman" w:cs="Times New Roman"/>
                <w:sz w:val="18"/>
                <w:szCs w:val="18"/>
                <w:lang w:eastAsia="en-AU"/>
              </w:rPr>
            </w:pPr>
            <w:r w:rsidRPr="00802F1A">
              <w:rPr>
                <w:sz w:val="18"/>
                <w:szCs w:val="18"/>
              </w:rPr>
              <w:t>0.071***</w:t>
            </w:r>
          </w:p>
        </w:tc>
        <w:tc>
          <w:tcPr>
            <w:tcW w:w="990" w:type="dxa"/>
            <w:tcBorders>
              <w:top w:val="nil"/>
              <w:left w:val="nil"/>
              <w:bottom w:val="nil"/>
              <w:right w:val="nil"/>
            </w:tcBorders>
            <w:shd w:val="clear" w:color="auto" w:fill="auto"/>
            <w:noWrap/>
            <w:vAlign w:val="center"/>
            <w:hideMark/>
          </w:tcPr>
          <w:p w14:paraId="3D9F059C" w14:textId="5C29231E" w:rsidR="0025384E" w:rsidRPr="00802F1A" w:rsidRDefault="0025384E" w:rsidP="0025384E">
            <w:pPr>
              <w:spacing w:line="240" w:lineRule="auto"/>
              <w:rPr>
                <w:rFonts w:eastAsia="Times New Roman" w:cs="Times New Roman"/>
                <w:sz w:val="18"/>
                <w:szCs w:val="18"/>
                <w:lang w:eastAsia="en-AU"/>
              </w:rPr>
            </w:pPr>
            <w:r w:rsidRPr="00802F1A">
              <w:rPr>
                <w:sz w:val="18"/>
                <w:szCs w:val="18"/>
              </w:rPr>
              <w:t>0.131***</w:t>
            </w:r>
          </w:p>
        </w:tc>
        <w:tc>
          <w:tcPr>
            <w:tcW w:w="990" w:type="dxa"/>
            <w:tcBorders>
              <w:top w:val="nil"/>
              <w:left w:val="nil"/>
              <w:bottom w:val="nil"/>
              <w:right w:val="nil"/>
            </w:tcBorders>
            <w:shd w:val="clear" w:color="auto" w:fill="auto"/>
            <w:noWrap/>
            <w:vAlign w:val="center"/>
            <w:hideMark/>
          </w:tcPr>
          <w:p w14:paraId="18A71781" w14:textId="5D6A0328" w:rsidR="0025384E" w:rsidRPr="00802F1A" w:rsidRDefault="0025384E" w:rsidP="0025384E">
            <w:pPr>
              <w:spacing w:line="240" w:lineRule="auto"/>
              <w:rPr>
                <w:rFonts w:eastAsia="Times New Roman" w:cs="Times New Roman"/>
                <w:sz w:val="18"/>
                <w:szCs w:val="18"/>
                <w:lang w:eastAsia="en-AU"/>
              </w:rPr>
            </w:pPr>
            <w:r w:rsidRPr="00802F1A">
              <w:rPr>
                <w:sz w:val="18"/>
                <w:szCs w:val="18"/>
              </w:rPr>
              <w:t>0.296***</w:t>
            </w:r>
          </w:p>
        </w:tc>
        <w:tc>
          <w:tcPr>
            <w:tcW w:w="1260" w:type="dxa"/>
            <w:tcBorders>
              <w:top w:val="nil"/>
              <w:left w:val="nil"/>
              <w:bottom w:val="nil"/>
              <w:right w:val="nil"/>
            </w:tcBorders>
            <w:shd w:val="clear" w:color="auto" w:fill="auto"/>
            <w:noWrap/>
            <w:vAlign w:val="center"/>
            <w:hideMark/>
          </w:tcPr>
          <w:p w14:paraId="5D3D5D91" w14:textId="17CA11ED" w:rsidR="0025384E" w:rsidRPr="00802F1A" w:rsidRDefault="0025384E" w:rsidP="0025384E">
            <w:pPr>
              <w:spacing w:line="240" w:lineRule="auto"/>
              <w:rPr>
                <w:rFonts w:eastAsia="Times New Roman" w:cs="Times New Roman"/>
                <w:sz w:val="18"/>
                <w:szCs w:val="18"/>
                <w:lang w:eastAsia="en-AU"/>
              </w:rPr>
            </w:pPr>
            <w:r w:rsidRPr="00802F1A">
              <w:rPr>
                <w:sz w:val="18"/>
                <w:szCs w:val="18"/>
              </w:rPr>
              <w:t>0.145***</w:t>
            </w:r>
          </w:p>
        </w:tc>
      </w:tr>
      <w:tr w:rsidR="00802F1A" w:rsidRPr="00802F1A" w14:paraId="76D643D4" w14:textId="77777777" w:rsidTr="000B3160">
        <w:trPr>
          <w:trHeight w:hRule="exact" w:val="259"/>
        </w:trPr>
        <w:tc>
          <w:tcPr>
            <w:tcW w:w="1890" w:type="dxa"/>
            <w:tcBorders>
              <w:top w:val="nil"/>
              <w:left w:val="nil"/>
              <w:bottom w:val="nil"/>
              <w:right w:val="nil"/>
            </w:tcBorders>
            <w:shd w:val="clear" w:color="000000" w:fill="FFFFFF"/>
            <w:vAlign w:val="center"/>
            <w:hideMark/>
          </w:tcPr>
          <w:p w14:paraId="0319ED9B" w14:textId="77777777" w:rsidR="0025384E" w:rsidRPr="00802F1A" w:rsidRDefault="0025384E" w:rsidP="0025384E">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Unemployment</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14BD04B0" w14:textId="30D11862" w:rsidR="0025384E" w:rsidRPr="00802F1A" w:rsidRDefault="0025384E" w:rsidP="0025384E">
            <w:pPr>
              <w:spacing w:line="240" w:lineRule="auto"/>
              <w:rPr>
                <w:rFonts w:eastAsia="Times New Roman" w:cs="Times New Roman"/>
                <w:sz w:val="18"/>
                <w:szCs w:val="18"/>
                <w:lang w:eastAsia="en-AU"/>
              </w:rPr>
            </w:pPr>
            <w:r w:rsidRPr="00802F1A">
              <w:rPr>
                <w:sz w:val="18"/>
                <w:szCs w:val="18"/>
              </w:rPr>
              <w:t>-0.086***</w:t>
            </w:r>
          </w:p>
        </w:tc>
        <w:tc>
          <w:tcPr>
            <w:tcW w:w="990" w:type="dxa"/>
            <w:tcBorders>
              <w:top w:val="nil"/>
              <w:left w:val="nil"/>
              <w:bottom w:val="nil"/>
              <w:right w:val="nil"/>
            </w:tcBorders>
            <w:shd w:val="clear" w:color="auto" w:fill="auto"/>
            <w:noWrap/>
            <w:vAlign w:val="center"/>
            <w:hideMark/>
          </w:tcPr>
          <w:p w14:paraId="3269A251" w14:textId="24332AEA" w:rsidR="0025384E" w:rsidRPr="00802F1A" w:rsidRDefault="0025384E" w:rsidP="0025384E">
            <w:pPr>
              <w:spacing w:line="240" w:lineRule="auto"/>
              <w:rPr>
                <w:rFonts w:eastAsia="Times New Roman" w:cs="Times New Roman"/>
                <w:sz w:val="18"/>
                <w:szCs w:val="18"/>
                <w:lang w:eastAsia="en-AU"/>
              </w:rPr>
            </w:pPr>
            <w:r w:rsidRPr="00802F1A">
              <w:rPr>
                <w:sz w:val="18"/>
                <w:szCs w:val="18"/>
              </w:rPr>
              <w:t>-0.074**</w:t>
            </w:r>
          </w:p>
        </w:tc>
        <w:tc>
          <w:tcPr>
            <w:tcW w:w="990" w:type="dxa"/>
            <w:tcBorders>
              <w:top w:val="nil"/>
              <w:left w:val="nil"/>
              <w:bottom w:val="nil"/>
              <w:right w:val="nil"/>
            </w:tcBorders>
            <w:shd w:val="clear" w:color="auto" w:fill="auto"/>
            <w:noWrap/>
            <w:vAlign w:val="center"/>
            <w:hideMark/>
          </w:tcPr>
          <w:p w14:paraId="1984C7C2" w14:textId="202ED621" w:rsidR="0025384E" w:rsidRPr="00802F1A" w:rsidRDefault="0025384E" w:rsidP="0025384E">
            <w:pPr>
              <w:spacing w:line="240" w:lineRule="auto"/>
              <w:rPr>
                <w:rFonts w:eastAsia="Times New Roman" w:cs="Times New Roman"/>
                <w:sz w:val="18"/>
                <w:szCs w:val="18"/>
                <w:lang w:eastAsia="en-AU"/>
              </w:rPr>
            </w:pPr>
            <w:r w:rsidRPr="00802F1A">
              <w:rPr>
                <w:sz w:val="18"/>
                <w:szCs w:val="18"/>
              </w:rPr>
              <w:t>-0.082***</w:t>
            </w:r>
          </w:p>
        </w:tc>
        <w:tc>
          <w:tcPr>
            <w:tcW w:w="990" w:type="dxa"/>
            <w:tcBorders>
              <w:top w:val="nil"/>
              <w:left w:val="nil"/>
              <w:bottom w:val="nil"/>
              <w:right w:val="nil"/>
            </w:tcBorders>
            <w:shd w:val="clear" w:color="auto" w:fill="auto"/>
            <w:noWrap/>
            <w:vAlign w:val="center"/>
            <w:hideMark/>
          </w:tcPr>
          <w:p w14:paraId="15F01826" w14:textId="11C3DE2A" w:rsidR="0025384E" w:rsidRPr="00802F1A" w:rsidRDefault="0025384E" w:rsidP="0025384E">
            <w:pPr>
              <w:spacing w:line="240" w:lineRule="auto"/>
              <w:rPr>
                <w:rFonts w:eastAsia="Times New Roman" w:cs="Times New Roman"/>
                <w:sz w:val="18"/>
                <w:szCs w:val="18"/>
                <w:lang w:eastAsia="en-AU"/>
              </w:rPr>
            </w:pPr>
            <w:r w:rsidRPr="00802F1A">
              <w:rPr>
                <w:sz w:val="18"/>
                <w:szCs w:val="18"/>
              </w:rPr>
              <w:t>-0.062***</w:t>
            </w:r>
          </w:p>
        </w:tc>
        <w:tc>
          <w:tcPr>
            <w:tcW w:w="990" w:type="dxa"/>
            <w:tcBorders>
              <w:top w:val="nil"/>
              <w:left w:val="nil"/>
              <w:bottom w:val="nil"/>
              <w:right w:val="nil"/>
            </w:tcBorders>
            <w:shd w:val="clear" w:color="auto" w:fill="auto"/>
            <w:noWrap/>
            <w:vAlign w:val="center"/>
            <w:hideMark/>
          </w:tcPr>
          <w:p w14:paraId="36DB25E6" w14:textId="739D8484" w:rsidR="0025384E" w:rsidRPr="00802F1A" w:rsidRDefault="0025384E" w:rsidP="0025384E">
            <w:pPr>
              <w:spacing w:line="240" w:lineRule="auto"/>
              <w:rPr>
                <w:rFonts w:eastAsia="Times New Roman" w:cs="Times New Roman"/>
                <w:sz w:val="18"/>
                <w:szCs w:val="18"/>
                <w:lang w:eastAsia="en-AU"/>
              </w:rPr>
            </w:pPr>
            <w:r w:rsidRPr="00802F1A">
              <w:rPr>
                <w:sz w:val="18"/>
                <w:szCs w:val="18"/>
              </w:rPr>
              <w:t>-0.239**</w:t>
            </w:r>
          </w:p>
        </w:tc>
        <w:tc>
          <w:tcPr>
            <w:tcW w:w="1260" w:type="dxa"/>
            <w:tcBorders>
              <w:top w:val="nil"/>
              <w:left w:val="nil"/>
              <w:bottom w:val="nil"/>
              <w:right w:val="nil"/>
            </w:tcBorders>
            <w:shd w:val="clear" w:color="auto" w:fill="auto"/>
            <w:noWrap/>
            <w:vAlign w:val="center"/>
            <w:hideMark/>
          </w:tcPr>
          <w:p w14:paraId="1049B5F5" w14:textId="5FBDE86F" w:rsidR="0025384E" w:rsidRPr="00802F1A" w:rsidRDefault="0025384E" w:rsidP="0025384E">
            <w:pPr>
              <w:spacing w:line="240" w:lineRule="auto"/>
              <w:rPr>
                <w:rFonts w:eastAsia="Times New Roman" w:cs="Times New Roman"/>
                <w:sz w:val="18"/>
                <w:szCs w:val="18"/>
                <w:lang w:eastAsia="en-AU"/>
              </w:rPr>
            </w:pPr>
            <w:r w:rsidRPr="00802F1A">
              <w:rPr>
                <w:sz w:val="18"/>
                <w:szCs w:val="18"/>
              </w:rPr>
              <w:t>-0.066***</w:t>
            </w:r>
          </w:p>
        </w:tc>
      </w:tr>
      <w:tr w:rsidR="00802F1A" w:rsidRPr="00802F1A" w14:paraId="4B33613A" w14:textId="77777777" w:rsidTr="000B3160">
        <w:trPr>
          <w:trHeight w:hRule="exact" w:val="259"/>
        </w:trPr>
        <w:tc>
          <w:tcPr>
            <w:tcW w:w="1890" w:type="dxa"/>
            <w:tcBorders>
              <w:top w:val="nil"/>
              <w:left w:val="nil"/>
              <w:bottom w:val="nil"/>
              <w:right w:val="nil"/>
            </w:tcBorders>
            <w:shd w:val="clear" w:color="auto" w:fill="auto"/>
            <w:vAlign w:val="center"/>
            <w:hideMark/>
          </w:tcPr>
          <w:p w14:paraId="14F51554" w14:textId="77777777" w:rsidR="0025384E" w:rsidRPr="00802F1A" w:rsidRDefault="0025384E" w:rsidP="0025384E">
            <w:pPr>
              <w:spacing w:line="240" w:lineRule="auto"/>
              <w:rPr>
                <w:rFonts w:eastAsia="Times New Roman" w:cs="Times New Roman"/>
                <w:sz w:val="18"/>
                <w:szCs w:val="18"/>
                <w:lang w:eastAsia="en-AU"/>
              </w:rPr>
            </w:pPr>
            <w:r w:rsidRPr="00802F1A">
              <w:rPr>
                <w:rFonts w:eastAsia="Times New Roman" w:cs="Times New Roman"/>
                <w:sz w:val="18"/>
                <w:szCs w:val="18"/>
                <w:lang w:eastAsia="en-AU"/>
              </w:rPr>
              <w:t>Constant</w:t>
            </w:r>
          </w:p>
        </w:tc>
        <w:tc>
          <w:tcPr>
            <w:tcW w:w="990" w:type="dxa"/>
            <w:tcBorders>
              <w:top w:val="nil"/>
              <w:left w:val="nil"/>
              <w:bottom w:val="nil"/>
              <w:right w:val="nil"/>
            </w:tcBorders>
            <w:shd w:val="clear" w:color="auto" w:fill="auto"/>
            <w:noWrap/>
            <w:vAlign w:val="center"/>
            <w:hideMark/>
          </w:tcPr>
          <w:p w14:paraId="193FEDFE" w14:textId="4F20FF15" w:rsidR="0025384E" w:rsidRPr="00802F1A" w:rsidRDefault="0025384E" w:rsidP="0025384E">
            <w:pPr>
              <w:spacing w:line="240" w:lineRule="auto"/>
              <w:rPr>
                <w:rFonts w:eastAsia="Times New Roman" w:cs="Times New Roman"/>
                <w:sz w:val="18"/>
                <w:szCs w:val="18"/>
                <w:lang w:eastAsia="en-AU"/>
              </w:rPr>
            </w:pPr>
            <w:r w:rsidRPr="00802F1A">
              <w:rPr>
                <w:sz w:val="18"/>
                <w:szCs w:val="18"/>
              </w:rPr>
              <w:t>-3.786***</w:t>
            </w:r>
          </w:p>
        </w:tc>
        <w:tc>
          <w:tcPr>
            <w:tcW w:w="990" w:type="dxa"/>
            <w:tcBorders>
              <w:top w:val="nil"/>
              <w:left w:val="nil"/>
              <w:bottom w:val="nil"/>
              <w:right w:val="nil"/>
            </w:tcBorders>
            <w:shd w:val="clear" w:color="auto" w:fill="auto"/>
            <w:noWrap/>
            <w:vAlign w:val="center"/>
            <w:hideMark/>
          </w:tcPr>
          <w:p w14:paraId="4499DEC6" w14:textId="0EE51C68" w:rsidR="0025384E" w:rsidRPr="00802F1A" w:rsidRDefault="0025384E" w:rsidP="0025384E">
            <w:pPr>
              <w:spacing w:line="240" w:lineRule="auto"/>
              <w:rPr>
                <w:rFonts w:eastAsia="Times New Roman" w:cs="Times New Roman"/>
                <w:sz w:val="18"/>
                <w:szCs w:val="18"/>
                <w:lang w:eastAsia="en-AU"/>
              </w:rPr>
            </w:pPr>
            <w:r w:rsidRPr="00802F1A">
              <w:rPr>
                <w:sz w:val="18"/>
                <w:szCs w:val="18"/>
              </w:rPr>
              <w:t>-4.265***</w:t>
            </w:r>
          </w:p>
        </w:tc>
        <w:tc>
          <w:tcPr>
            <w:tcW w:w="990" w:type="dxa"/>
            <w:tcBorders>
              <w:top w:val="nil"/>
              <w:left w:val="nil"/>
              <w:bottom w:val="nil"/>
              <w:right w:val="nil"/>
            </w:tcBorders>
            <w:shd w:val="clear" w:color="auto" w:fill="auto"/>
            <w:noWrap/>
            <w:vAlign w:val="center"/>
            <w:hideMark/>
          </w:tcPr>
          <w:p w14:paraId="5E041FEE" w14:textId="628E78F9" w:rsidR="0025384E" w:rsidRPr="00802F1A" w:rsidRDefault="0025384E" w:rsidP="0025384E">
            <w:pPr>
              <w:spacing w:line="240" w:lineRule="auto"/>
              <w:rPr>
                <w:rFonts w:eastAsia="Times New Roman" w:cs="Times New Roman"/>
                <w:sz w:val="18"/>
                <w:szCs w:val="18"/>
                <w:lang w:eastAsia="en-AU"/>
              </w:rPr>
            </w:pPr>
            <w:r w:rsidRPr="00802F1A">
              <w:rPr>
                <w:sz w:val="18"/>
                <w:szCs w:val="18"/>
              </w:rPr>
              <w:t>-0.930***</w:t>
            </w:r>
          </w:p>
        </w:tc>
        <w:tc>
          <w:tcPr>
            <w:tcW w:w="990" w:type="dxa"/>
            <w:tcBorders>
              <w:top w:val="nil"/>
              <w:left w:val="nil"/>
              <w:bottom w:val="nil"/>
              <w:right w:val="nil"/>
            </w:tcBorders>
            <w:shd w:val="clear" w:color="auto" w:fill="auto"/>
            <w:noWrap/>
            <w:vAlign w:val="center"/>
            <w:hideMark/>
          </w:tcPr>
          <w:p w14:paraId="5F49CAAC" w14:textId="0C4E723E" w:rsidR="0025384E" w:rsidRPr="00802F1A" w:rsidRDefault="0025384E" w:rsidP="0025384E">
            <w:pPr>
              <w:spacing w:line="240" w:lineRule="auto"/>
              <w:rPr>
                <w:rFonts w:eastAsia="Times New Roman" w:cs="Times New Roman"/>
                <w:sz w:val="18"/>
                <w:szCs w:val="18"/>
                <w:lang w:eastAsia="en-AU"/>
              </w:rPr>
            </w:pPr>
            <w:r w:rsidRPr="00802F1A">
              <w:rPr>
                <w:sz w:val="18"/>
                <w:szCs w:val="18"/>
              </w:rPr>
              <w:t>-2.240***</w:t>
            </w:r>
          </w:p>
        </w:tc>
        <w:tc>
          <w:tcPr>
            <w:tcW w:w="990" w:type="dxa"/>
            <w:tcBorders>
              <w:top w:val="nil"/>
              <w:left w:val="nil"/>
              <w:bottom w:val="nil"/>
              <w:right w:val="nil"/>
            </w:tcBorders>
            <w:shd w:val="clear" w:color="auto" w:fill="auto"/>
            <w:noWrap/>
            <w:vAlign w:val="center"/>
            <w:hideMark/>
          </w:tcPr>
          <w:p w14:paraId="2CF100D4" w14:textId="592346CA" w:rsidR="0025384E" w:rsidRPr="00802F1A" w:rsidRDefault="0025384E" w:rsidP="0025384E">
            <w:pPr>
              <w:spacing w:line="240" w:lineRule="auto"/>
              <w:rPr>
                <w:rFonts w:eastAsia="Times New Roman" w:cs="Times New Roman"/>
                <w:sz w:val="18"/>
                <w:szCs w:val="18"/>
                <w:lang w:eastAsia="en-AU"/>
              </w:rPr>
            </w:pPr>
            <w:r w:rsidRPr="00802F1A">
              <w:rPr>
                <w:sz w:val="18"/>
                <w:szCs w:val="18"/>
              </w:rPr>
              <w:t>-3.617***</w:t>
            </w:r>
          </w:p>
        </w:tc>
        <w:tc>
          <w:tcPr>
            <w:tcW w:w="1260" w:type="dxa"/>
            <w:tcBorders>
              <w:top w:val="nil"/>
              <w:left w:val="nil"/>
              <w:bottom w:val="nil"/>
              <w:right w:val="nil"/>
            </w:tcBorders>
            <w:shd w:val="clear" w:color="auto" w:fill="auto"/>
            <w:noWrap/>
            <w:vAlign w:val="center"/>
            <w:hideMark/>
          </w:tcPr>
          <w:p w14:paraId="34B97E69" w14:textId="237A0135" w:rsidR="0025384E" w:rsidRPr="00802F1A" w:rsidRDefault="0025384E" w:rsidP="0025384E">
            <w:pPr>
              <w:spacing w:line="240" w:lineRule="auto"/>
              <w:rPr>
                <w:rFonts w:eastAsia="Times New Roman" w:cs="Times New Roman"/>
                <w:sz w:val="18"/>
                <w:szCs w:val="18"/>
                <w:lang w:eastAsia="en-AU"/>
              </w:rPr>
            </w:pPr>
            <w:r w:rsidRPr="00802F1A">
              <w:rPr>
                <w:sz w:val="18"/>
                <w:szCs w:val="18"/>
              </w:rPr>
              <w:t>-2.426***</w:t>
            </w:r>
          </w:p>
        </w:tc>
      </w:tr>
      <w:tr w:rsidR="00802F1A" w:rsidRPr="00802F1A" w14:paraId="337F9664" w14:textId="77777777" w:rsidTr="000B3160">
        <w:trPr>
          <w:trHeight w:hRule="exact" w:val="259"/>
        </w:trPr>
        <w:tc>
          <w:tcPr>
            <w:tcW w:w="1890" w:type="dxa"/>
            <w:tcBorders>
              <w:top w:val="nil"/>
              <w:left w:val="nil"/>
              <w:bottom w:val="single" w:sz="4" w:space="0" w:color="auto"/>
              <w:right w:val="nil"/>
            </w:tcBorders>
            <w:shd w:val="clear" w:color="000000" w:fill="FFFFFF"/>
            <w:vAlign w:val="center"/>
            <w:hideMark/>
          </w:tcPr>
          <w:p w14:paraId="0D25DB2B" w14:textId="77777777" w:rsidR="0025384E" w:rsidRPr="00802F1A" w:rsidRDefault="0025384E" w:rsidP="0025384E">
            <w:pPr>
              <w:spacing w:line="240" w:lineRule="auto"/>
              <w:rPr>
                <w:rFonts w:eastAsia="Times New Roman" w:cs="Times New Roman"/>
                <w:sz w:val="18"/>
                <w:szCs w:val="18"/>
                <w:lang w:eastAsia="en-AU"/>
              </w:rPr>
            </w:pPr>
            <w:r w:rsidRPr="00802F1A">
              <w:rPr>
                <w:rFonts w:eastAsia="Times New Roman" w:cs="Times New Roman"/>
                <w:sz w:val="18"/>
                <w:szCs w:val="18"/>
                <w:lang w:eastAsia="en-AU"/>
              </w:rPr>
              <w:t>Observations</w:t>
            </w:r>
          </w:p>
        </w:tc>
        <w:tc>
          <w:tcPr>
            <w:tcW w:w="990" w:type="dxa"/>
            <w:tcBorders>
              <w:top w:val="nil"/>
              <w:left w:val="nil"/>
              <w:bottom w:val="single" w:sz="4" w:space="0" w:color="auto"/>
              <w:right w:val="nil"/>
            </w:tcBorders>
            <w:shd w:val="clear" w:color="auto" w:fill="auto"/>
            <w:noWrap/>
            <w:vAlign w:val="center"/>
            <w:hideMark/>
          </w:tcPr>
          <w:p w14:paraId="0055C615" w14:textId="2FDB6559" w:rsidR="0025384E" w:rsidRPr="00802F1A" w:rsidRDefault="0025384E" w:rsidP="0025384E">
            <w:pPr>
              <w:spacing w:line="240" w:lineRule="auto"/>
              <w:rPr>
                <w:rFonts w:eastAsia="Times New Roman" w:cs="Times New Roman"/>
                <w:sz w:val="18"/>
                <w:szCs w:val="18"/>
                <w:lang w:eastAsia="en-AU"/>
              </w:rPr>
            </w:pPr>
            <w:r w:rsidRPr="00802F1A">
              <w:rPr>
                <w:sz w:val="18"/>
                <w:szCs w:val="18"/>
              </w:rPr>
              <w:t>3,078</w:t>
            </w:r>
          </w:p>
        </w:tc>
        <w:tc>
          <w:tcPr>
            <w:tcW w:w="990" w:type="dxa"/>
            <w:tcBorders>
              <w:top w:val="nil"/>
              <w:left w:val="nil"/>
              <w:bottom w:val="single" w:sz="4" w:space="0" w:color="auto"/>
              <w:right w:val="nil"/>
            </w:tcBorders>
            <w:shd w:val="clear" w:color="auto" w:fill="auto"/>
            <w:noWrap/>
            <w:vAlign w:val="center"/>
            <w:hideMark/>
          </w:tcPr>
          <w:p w14:paraId="759CD5B6" w14:textId="3A96542E" w:rsidR="0025384E" w:rsidRPr="00802F1A" w:rsidRDefault="0025384E" w:rsidP="0025384E">
            <w:pPr>
              <w:spacing w:line="240" w:lineRule="auto"/>
              <w:rPr>
                <w:rFonts w:eastAsia="Times New Roman" w:cs="Times New Roman"/>
                <w:sz w:val="18"/>
                <w:szCs w:val="18"/>
                <w:lang w:eastAsia="en-AU"/>
              </w:rPr>
            </w:pPr>
            <w:r w:rsidRPr="00802F1A">
              <w:rPr>
                <w:sz w:val="18"/>
                <w:szCs w:val="18"/>
              </w:rPr>
              <w:t>3,078</w:t>
            </w:r>
          </w:p>
        </w:tc>
        <w:tc>
          <w:tcPr>
            <w:tcW w:w="990" w:type="dxa"/>
            <w:tcBorders>
              <w:top w:val="nil"/>
              <w:left w:val="nil"/>
              <w:bottom w:val="single" w:sz="4" w:space="0" w:color="auto"/>
              <w:right w:val="nil"/>
            </w:tcBorders>
            <w:shd w:val="clear" w:color="auto" w:fill="auto"/>
            <w:noWrap/>
            <w:vAlign w:val="center"/>
            <w:hideMark/>
          </w:tcPr>
          <w:p w14:paraId="1CBFAF44" w14:textId="0668BA17" w:rsidR="0025384E" w:rsidRPr="00802F1A" w:rsidRDefault="0025384E" w:rsidP="0025384E">
            <w:pPr>
              <w:spacing w:line="240" w:lineRule="auto"/>
              <w:rPr>
                <w:rFonts w:eastAsia="Times New Roman" w:cs="Times New Roman"/>
                <w:sz w:val="18"/>
                <w:szCs w:val="18"/>
                <w:lang w:eastAsia="en-AU"/>
              </w:rPr>
            </w:pPr>
            <w:r w:rsidRPr="00802F1A">
              <w:rPr>
                <w:sz w:val="18"/>
                <w:szCs w:val="18"/>
              </w:rPr>
              <w:t>3,078</w:t>
            </w:r>
          </w:p>
        </w:tc>
        <w:tc>
          <w:tcPr>
            <w:tcW w:w="990" w:type="dxa"/>
            <w:tcBorders>
              <w:top w:val="nil"/>
              <w:left w:val="nil"/>
              <w:bottom w:val="single" w:sz="4" w:space="0" w:color="auto"/>
              <w:right w:val="nil"/>
            </w:tcBorders>
            <w:shd w:val="clear" w:color="auto" w:fill="auto"/>
            <w:noWrap/>
            <w:vAlign w:val="center"/>
            <w:hideMark/>
          </w:tcPr>
          <w:p w14:paraId="00B38738" w14:textId="74C3BBAB" w:rsidR="0025384E" w:rsidRPr="00802F1A" w:rsidRDefault="0025384E" w:rsidP="0025384E">
            <w:pPr>
              <w:spacing w:line="240" w:lineRule="auto"/>
              <w:rPr>
                <w:rFonts w:eastAsia="Times New Roman" w:cs="Times New Roman"/>
                <w:sz w:val="18"/>
                <w:szCs w:val="18"/>
                <w:lang w:eastAsia="en-AU"/>
              </w:rPr>
            </w:pPr>
            <w:r w:rsidRPr="00802F1A">
              <w:rPr>
                <w:sz w:val="18"/>
                <w:szCs w:val="18"/>
              </w:rPr>
              <w:t>3,078</w:t>
            </w:r>
          </w:p>
        </w:tc>
        <w:tc>
          <w:tcPr>
            <w:tcW w:w="990" w:type="dxa"/>
            <w:tcBorders>
              <w:top w:val="nil"/>
              <w:left w:val="nil"/>
              <w:bottom w:val="single" w:sz="4" w:space="0" w:color="auto"/>
              <w:right w:val="nil"/>
            </w:tcBorders>
            <w:shd w:val="clear" w:color="auto" w:fill="auto"/>
            <w:noWrap/>
            <w:vAlign w:val="center"/>
            <w:hideMark/>
          </w:tcPr>
          <w:p w14:paraId="025715B6" w14:textId="679E34E6" w:rsidR="0025384E" w:rsidRPr="00802F1A" w:rsidRDefault="0025384E" w:rsidP="0025384E">
            <w:pPr>
              <w:spacing w:line="240" w:lineRule="auto"/>
              <w:rPr>
                <w:rFonts w:eastAsia="Times New Roman" w:cs="Times New Roman"/>
                <w:sz w:val="18"/>
                <w:szCs w:val="18"/>
                <w:lang w:eastAsia="en-AU"/>
              </w:rPr>
            </w:pPr>
            <w:r w:rsidRPr="00802F1A">
              <w:rPr>
                <w:sz w:val="18"/>
                <w:szCs w:val="18"/>
              </w:rPr>
              <w:t>3,078</w:t>
            </w:r>
          </w:p>
        </w:tc>
        <w:tc>
          <w:tcPr>
            <w:tcW w:w="1260" w:type="dxa"/>
            <w:tcBorders>
              <w:top w:val="nil"/>
              <w:left w:val="nil"/>
              <w:bottom w:val="single" w:sz="4" w:space="0" w:color="auto"/>
              <w:right w:val="nil"/>
            </w:tcBorders>
            <w:shd w:val="clear" w:color="auto" w:fill="auto"/>
            <w:noWrap/>
            <w:vAlign w:val="center"/>
            <w:hideMark/>
          </w:tcPr>
          <w:p w14:paraId="61E89A98" w14:textId="75E74A1C" w:rsidR="0025384E" w:rsidRPr="00802F1A" w:rsidRDefault="0025384E" w:rsidP="0025384E">
            <w:pPr>
              <w:spacing w:line="240" w:lineRule="auto"/>
              <w:rPr>
                <w:rFonts w:eastAsia="Times New Roman" w:cs="Times New Roman"/>
                <w:sz w:val="18"/>
                <w:szCs w:val="18"/>
                <w:lang w:eastAsia="en-AU"/>
              </w:rPr>
            </w:pPr>
            <w:r w:rsidRPr="00802F1A">
              <w:rPr>
                <w:sz w:val="18"/>
                <w:szCs w:val="18"/>
              </w:rPr>
              <w:t>3,078</w:t>
            </w:r>
          </w:p>
        </w:tc>
      </w:tr>
      <w:tr w:rsidR="00802F1A" w:rsidRPr="00802F1A" w14:paraId="1F8E766D" w14:textId="77777777" w:rsidTr="000B3160">
        <w:trPr>
          <w:trHeight w:hRule="exact" w:val="259"/>
        </w:trPr>
        <w:tc>
          <w:tcPr>
            <w:tcW w:w="8100" w:type="dxa"/>
            <w:gridSpan w:val="7"/>
            <w:tcBorders>
              <w:top w:val="nil"/>
              <w:left w:val="nil"/>
              <w:bottom w:val="nil"/>
              <w:right w:val="nil"/>
            </w:tcBorders>
            <w:shd w:val="clear" w:color="000000" w:fill="FFFFFF"/>
            <w:noWrap/>
            <w:vAlign w:val="bottom"/>
            <w:hideMark/>
          </w:tcPr>
          <w:p w14:paraId="40B94B67" w14:textId="5B93A5C6" w:rsidR="00145AE5" w:rsidRPr="00802F1A" w:rsidRDefault="00145AE5" w:rsidP="00145AE5">
            <w:pPr>
              <w:spacing w:line="240" w:lineRule="auto"/>
              <w:rPr>
                <w:rFonts w:eastAsia="Times New Roman" w:cs="Times New Roman"/>
                <w:b/>
                <w:bCs/>
                <w:i/>
                <w:iCs/>
                <w:sz w:val="18"/>
                <w:szCs w:val="18"/>
                <w:lang w:eastAsia="en-AU"/>
              </w:rPr>
            </w:pPr>
            <w:r w:rsidRPr="00802F1A">
              <w:rPr>
                <w:rFonts w:eastAsia="Times New Roman" w:cs="Times New Roman"/>
                <w:b/>
                <w:bCs/>
                <w:i/>
                <w:iCs/>
                <w:sz w:val="18"/>
                <w:szCs w:val="18"/>
                <w:lang w:eastAsia="en-AU"/>
              </w:rPr>
              <w:t xml:space="preserve">Model: </w:t>
            </w:r>
            <w:r w:rsidR="00D1025E" w:rsidRPr="00802F1A">
              <w:rPr>
                <w:rFonts w:eastAsia="Times New Roman" w:cs="Times New Roman"/>
                <w:b/>
                <w:bCs/>
                <w:i/>
                <w:iCs/>
                <w:sz w:val="18"/>
                <w:szCs w:val="18"/>
                <w:lang w:eastAsia="en-AU"/>
              </w:rPr>
              <w:t xml:space="preserve">Per-capita </w:t>
            </w:r>
            <w:r w:rsidR="00CB5808" w:rsidRPr="00802F1A">
              <w:rPr>
                <w:rFonts w:eastAsia="Times New Roman" w:cs="Times New Roman"/>
                <w:b/>
                <w:bCs/>
                <w:i/>
                <w:iCs/>
                <w:sz w:val="18"/>
                <w:szCs w:val="18"/>
                <w:lang w:eastAsia="en-AU"/>
              </w:rPr>
              <w:t>I</w:t>
            </w:r>
            <w:r w:rsidRPr="00802F1A">
              <w:rPr>
                <w:rFonts w:eastAsia="Times New Roman" w:cs="Times New Roman"/>
                <w:b/>
                <w:bCs/>
                <w:i/>
                <w:iCs/>
                <w:sz w:val="18"/>
                <w:szCs w:val="18"/>
                <w:lang w:eastAsia="en-AU"/>
              </w:rPr>
              <w:t>ncome</w:t>
            </w:r>
          </w:p>
        </w:tc>
      </w:tr>
      <w:tr w:rsidR="00802F1A" w:rsidRPr="00802F1A" w14:paraId="403A820D" w14:textId="77777777" w:rsidTr="000B3160">
        <w:trPr>
          <w:trHeight w:hRule="exact" w:val="259"/>
        </w:trPr>
        <w:tc>
          <w:tcPr>
            <w:tcW w:w="1890" w:type="dxa"/>
            <w:tcBorders>
              <w:top w:val="nil"/>
              <w:left w:val="nil"/>
              <w:bottom w:val="nil"/>
              <w:right w:val="nil"/>
            </w:tcBorders>
            <w:shd w:val="clear" w:color="auto" w:fill="auto"/>
            <w:vAlign w:val="center"/>
            <w:hideMark/>
          </w:tcPr>
          <w:p w14:paraId="3761FC6E" w14:textId="77777777" w:rsidR="0078364B" w:rsidRPr="00802F1A" w:rsidRDefault="0078364B" w:rsidP="0078364B">
            <w:pPr>
              <w:spacing w:line="240" w:lineRule="auto"/>
              <w:rPr>
                <w:rFonts w:eastAsia="Times New Roman" w:cs="Times New Roman"/>
                <w:i/>
                <w:iCs/>
                <w:sz w:val="18"/>
                <w:szCs w:val="18"/>
                <w:lang w:eastAsia="en-AU"/>
              </w:rPr>
            </w:pPr>
            <w:r w:rsidRPr="00802F1A">
              <w:rPr>
                <w:rFonts w:eastAsia="Times New Roman" w:cs="Times New Roman"/>
                <w:i/>
                <w:iCs/>
                <w:sz w:val="18"/>
                <w:szCs w:val="18"/>
                <w:lang w:eastAsia="en-AU"/>
              </w:rPr>
              <w:t>Trend</w:t>
            </w:r>
          </w:p>
        </w:tc>
        <w:tc>
          <w:tcPr>
            <w:tcW w:w="990" w:type="dxa"/>
            <w:tcBorders>
              <w:top w:val="nil"/>
              <w:left w:val="nil"/>
              <w:bottom w:val="nil"/>
              <w:right w:val="nil"/>
            </w:tcBorders>
            <w:shd w:val="clear" w:color="auto" w:fill="auto"/>
            <w:noWrap/>
            <w:vAlign w:val="center"/>
            <w:hideMark/>
          </w:tcPr>
          <w:p w14:paraId="451DD0B7" w14:textId="31200614" w:rsidR="0078364B" w:rsidRPr="00802F1A" w:rsidRDefault="0078364B" w:rsidP="0078364B">
            <w:pPr>
              <w:spacing w:line="240" w:lineRule="auto"/>
              <w:rPr>
                <w:rFonts w:eastAsia="Times New Roman" w:cs="Times New Roman"/>
                <w:sz w:val="18"/>
                <w:szCs w:val="18"/>
                <w:lang w:eastAsia="en-AU"/>
              </w:rPr>
            </w:pPr>
            <w:r w:rsidRPr="00802F1A">
              <w:rPr>
                <w:sz w:val="18"/>
                <w:szCs w:val="18"/>
              </w:rPr>
              <w:t>0.012***</w:t>
            </w:r>
          </w:p>
        </w:tc>
        <w:tc>
          <w:tcPr>
            <w:tcW w:w="990" w:type="dxa"/>
            <w:tcBorders>
              <w:top w:val="nil"/>
              <w:left w:val="nil"/>
              <w:bottom w:val="nil"/>
              <w:right w:val="nil"/>
            </w:tcBorders>
            <w:shd w:val="clear" w:color="auto" w:fill="auto"/>
            <w:noWrap/>
            <w:vAlign w:val="center"/>
            <w:hideMark/>
          </w:tcPr>
          <w:p w14:paraId="23DCE4A2" w14:textId="7ABDE6ED" w:rsidR="0078364B" w:rsidRPr="00802F1A" w:rsidRDefault="0078364B" w:rsidP="0078364B">
            <w:pPr>
              <w:spacing w:line="240" w:lineRule="auto"/>
              <w:rPr>
                <w:rFonts w:eastAsia="Times New Roman" w:cs="Times New Roman"/>
                <w:sz w:val="18"/>
                <w:szCs w:val="18"/>
                <w:lang w:eastAsia="en-AU"/>
              </w:rPr>
            </w:pPr>
            <w:r w:rsidRPr="00802F1A">
              <w:rPr>
                <w:sz w:val="18"/>
                <w:szCs w:val="18"/>
              </w:rPr>
              <w:t>0.010***</w:t>
            </w:r>
          </w:p>
        </w:tc>
        <w:tc>
          <w:tcPr>
            <w:tcW w:w="990" w:type="dxa"/>
            <w:tcBorders>
              <w:top w:val="nil"/>
              <w:left w:val="nil"/>
              <w:bottom w:val="nil"/>
              <w:right w:val="nil"/>
            </w:tcBorders>
            <w:shd w:val="clear" w:color="auto" w:fill="auto"/>
            <w:noWrap/>
            <w:vAlign w:val="center"/>
            <w:hideMark/>
          </w:tcPr>
          <w:p w14:paraId="6C3BE0C2" w14:textId="597D39A2" w:rsidR="0078364B" w:rsidRPr="00802F1A" w:rsidRDefault="0078364B" w:rsidP="0078364B">
            <w:pPr>
              <w:spacing w:line="240" w:lineRule="auto"/>
              <w:rPr>
                <w:rFonts w:eastAsia="Times New Roman" w:cs="Times New Roman"/>
                <w:sz w:val="18"/>
                <w:szCs w:val="18"/>
                <w:lang w:eastAsia="en-AU"/>
              </w:rPr>
            </w:pPr>
            <w:r w:rsidRPr="00802F1A">
              <w:rPr>
                <w:sz w:val="18"/>
                <w:szCs w:val="18"/>
              </w:rPr>
              <w:t>0.016***</w:t>
            </w:r>
          </w:p>
        </w:tc>
        <w:tc>
          <w:tcPr>
            <w:tcW w:w="990" w:type="dxa"/>
            <w:tcBorders>
              <w:top w:val="nil"/>
              <w:left w:val="nil"/>
              <w:bottom w:val="nil"/>
              <w:right w:val="nil"/>
            </w:tcBorders>
            <w:shd w:val="clear" w:color="auto" w:fill="auto"/>
            <w:noWrap/>
            <w:vAlign w:val="center"/>
            <w:hideMark/>
          </w:tcPr>
          <w:p w14:paraId="502A5E5F" w14:textId="3BE3E9C5" w:rsidR="0078364B" w:rsidRPr="00802F1A" w:rsidRDefault="0078364B" w:rsidP="0078364B">
            <w:pPr>
              <w:spacing w:line="240" w:lineRule="auto"/>
              <w:rPr>
                <w:rFonts w:eastAsia="Times New Roman" w:cs="Times New Roman"/>
                <w:sz w:val="18"/>
                <w:szCs w:val="18"/>
                <w:lang w:eastAsia="en-AU"/>
              </w:rPr>
            </w:pPr>
            <w:r w:rsidRPr="00802F1A">
              <w:rPr>
                <w:sz w:val="18"/>
                <w:szCs w:val="18"/>
              </w:rPr>
              <w:t>0.013***</w:t>
            </w:r>
          </w:p>
        </w:tc>
        <w:tc>
          <w:tcPr>
            <w:tcW w:w="990" w:type="dxa"/>
            <w:tcBorders>
              <w:top w:val="nil"/>
              <w:left w:val="nil"/>
              <w:bottom w:val="nil"/>
              <w:right w:val="nil"/>
            </w:tcBorders>
            <w:shd w:val="clear" w:color="auto" w:fill="auto"/>
            <w:noWrap/>
            <w:vAlign w:val="center"/>
            <w:hideMark/>
          </w:tcPr>
          <w:p w14:paraId="047351EF" w14:textId="624D0A11" w:rsidR="0078364B" w:rsidRPr="00802F1A" w:rsidRDefault="0078364B" w:rsidP="0078364B">
            <w:pPr>
              <w:spacing w:line="240" w:lineRule="auto"/>
              <w:rPr>
                <w:rFonts w:eastAsia="Times New Roman" w:cs="Times New Roman"/>
                <w:sz w:val="18"/>
                <w:szCs w:val="18"/>
                <w:lang w:eastAsia="en-AU"/>
              </w:rPr>
            </w:pPr>
            <w:r w:rsidRPr="00802F1A">
              <w:rPr>
                <w:sz w:val="18"/>
                <w:szCs w:val="18"/>
              </w:rPr>
              <w:t>0.016***</w:t>
            </w:r>
          </w:p>
        </w:tc>
        <w:tc>
          <w:tcPr>
            <w:tcW w:w="1260" w:type="dxa"/>
            <w:tcBorders>
              <w:top w:val="nil"/>
              <w:left w:val="nil"/>
              <w:bottom w:val="nil"/>
              <w:right w:val="nil"/>
            </w:tcBorders>
            <w:shd w:val="clear" w:color="auto" w:fill="auto"/>
            <w:noWrap/>
            <w:vAlign w:val="center"/>
            <w:hideMark/>
          </w:tcPr>
          <w:p w14:paraId="571AF51F" w14:textId="3E632AB8" w:rsidR="0078364B" w:rsidRPr="00802F1A" w:rsidRDefault="0078364B" w:rsidP="0078364B">
            <w:pPr>
              <w:spacing w:line="240" w:lineRule="auto"/>
              <w:rPr>
                <w:rFonts w:eastAsia="Times New Roman" w:cs="Times New Roman"/>
                <w:sz w:val="18"/>
                <w:szCs w:val="18"/>
                <w:lang w:eastAsia="en-AU"/>
              </w:rPr>
            </w:pPr>
            <w:r w:rsidRPr="00802F1A">
              <w:rPr>
                <w:sz w:val="18"/>
                <w:szCs w:val="18"/>
              </w:rPr>
              <w:t>0.013***</w:t>
            </w:r>
          </w:p>
        </w:tc>
      </w:tr>
      <w:tr w:rsidR="00802F1A" w:rsidRPr="00802F1A" w14:paraId="5AB0EBB9" w14:textId="77777777" w:rsidTr="000B3160">
        <w:trPr>
          <w:trHeight w:hRule="exact" w:val="259"/>
        </w:trPr>
        <w:tc>
          <w:tcPr>
            <w:tcW w:w="1890" w:type="dxa"/>
            <w:tcBorders>
              <w:top w:val="nil"/>
              <w:left w:val="nil"/>
              <w:bottom w:val="nil"/>
              <w:right w:val="nil"/>
            </w:tcBorders>
            <w:shd w:val="clear" w:color="000000" w:fill="FFFFFF"/>
            <w:vAlign w:val="center"/>
            <w:hideMark/>
          </w:tcPr>
          <w:p w14:paraId="1F9BF3C2" w14:textId="5C52F3F3" w:rsidR="0078364B" w:rsidRPr="00802F1A" w:rsidRDefault="0078364B" w:rsidP="0078364B">
            <w:pPr>
              <w:spacing w:line="240" w:lineRule="auto"/>
              <w:rPr>
                <w:rFonts w:eastAsia="Times New Roman" w:cs="Times New Roman"/>
                <w:sz w:val="18"/>
                <w:szCs w:val="18"/>
                <w:lang w:eastAsia="en-AU"/>
              </w:rPr>
            </w:pPr>
            <w:r w:rsidRPr="00802F1A">
              <w:rPr>
                <w:rFonts w:eastAsia="Times New Roman" w:cs="Times New Roman"/>
                <w:sz w:val="18"/>
                <w:szCs w:val="18"/>
                <w:lang w:eastAsia="en-AU"/>
              </w:rPr>
              <w:t>L</w:t>
            </w:r>
            <w:proofErr w:type="gramStart"/>
            <w:r w:rsidRPr="00802F1A">
              <w:rPr>
                <w:rFonts w:eastAsia="Times New Roman" w:cs="Times New Roman"/>
                <w:sz w:val="18"/>
                <w:szCs w:val="18"/>
                <w:lang w:eastAsia="en-AU"/>
              </w:rPr>
              <w:t>1.Log</w:t>
            </w:r>
            <w:proofErr w:type="gramEnd"/>
            <w:r w:rsidRPr="00802F1A">
              <w:rPr>
                <w:rFonts w:eastAsia="Times New Roman" w:cs="Times New Roman"/>
                <w:sz w:val="18"/>
                <w:szCs w:val="18"/>
                <w:lang w:eastAsia="en-AU"/>
              </w:rPr>
              <w:t>(</w:t>
            </w:r>
            <w:r w:rsidRPr="00802F1A">
              <w:rPr>
                <w:rFonts w:eastAsia="Times New Roman" w:cs="Times New Roman"/>
                <w:i/>
                <w:iCs/>
                <w:sz w:val="18"/>
                <w:szCs w:val="18"/>
                <w:lang w:eastAsia="en-AU"/>
              </w:rPr>
              <w:t>Energy HHI</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3CE31472" w14:textId="00C4E0DD" w:rsidR="0078364B" w:rsidRPr="00802F1A" w:rsidRDefault="0078364B" w:rsidP="0078364B">
            <w:pPr>
              <w:spacing w:line="240" w:lineRule="auto"/>
              <w:rPr>
                <w:rFonts w:eastAsia="Times New Roman" w:cs="Times New Roman"/>
                <w:sz w:val="18"/>
                <w:szCs w:val="18"/>
                <w:lang w:eastAsia="en-AU"/>
              </w:rPr>
            </w:pPr>
            <w:r w:rsidRPr="00802F1A">
              <w:rPr>
                <w:sz w:val="18"/>
                <w:szCs w:val="18"/>
              </w:rPr>
              <w:t>-0.014**</w:t>
            </w:r>
          </w:p>
        </w:tc>
        <w:tc>
          <w:tcPr>
            <w:tcW w:w="990" w:type="dxa"/>
            <w:tcBorders>
              <w:top w:val="nil"/>
              <w:left w:val="nil"/>
              <w:bottom w:val="nil"/>
              <w:right w:val="nil"/>
            </w:tcBorders>
            <w:shd w:val="clear" w:color="auto" w:fill="auto"/>
            <w:noWrap/>
            <w:vAlign w:val="center"/>
            <w:hideMark/>
          </w:tcPr>
          <w:p w14:paraId="6E943161" w14:textId="59E02D7F" w:rsidR="0078364B" w:rsidRPr="00802F1A" w:rsidRDefault="0078364B" w:rsidP="0078364B">
            <w:pPr>
              <w:spacing w:line="240" w:lineRule="auto"/>
              <w:rPr>
                <w:rFonts w:eastAsia="Times New Roman" w:cs="Times New Roman"/>
                <w:sz w:val="18"/>
                <w:szCs w:val="18"/>
                <w:lang w:eastAsia="en-AU"/>
              </w:rPr>
            </w:pPr>
            <w:r w:rsidRPr="00802F1A">
              <w:rPr>
                <w:sz w:val="18"/>
                <w:szCs w:val="18"/>
              </w:rPr>
              <w:t>-0.008**</w:t>
            </w:r>
          </w:p>
        </w:tc>
        <w:tc>
          <w:tcPr>
            <w:tcW w:w="990" w:type="dxa"/>
            <w:tcBorders>
              <w:top w:val="nil"/>
              <w:left w:val="nil"/>
              <w:bottom w:val="nil"/>
              <w:right w:val="nil"/>
            </w:tcBorders>
            <w:shd w:val="clear" w:color="auto" w:fill="auto"/>
            <w:noWrap/>
            <w:vAlign w:val="center"/>
            <w:hideMark/>
          </w:tcPr>
          <w:p w14:paraId="46373985" w14:textId="59928620" w:rsidR="0078364B" w:rsidRPr="00802F1A" w:rsidRDefault="0078364B" w:rsidP="0078364B">
            <w:pPr>
              <w:spacing w:line="240" w:lineRule="auto"/>
              <w:rPr>
                <w:rFonts w:eastAsia="Times New Roman" w:cs="Times New Roman"/>
                <w:sz w:val="18"/>
                <w:szCs w:val="18"/>
                <w:lang w:eastAsia="en-AU"/>
              </w:rPr>
            </w:pPr>
            <w:r w:rsidRPr="00802F1A">
              <w:rPr>
                <w:sz w:val="18"/>
                <w:szCs w:val="18"/>
              </w:rPr>
              <w:t>-0.008*</w:t>
            </w:r>
          </w:p>
        </w:tc>
        <w:tc>
          <w:tcPr>
            <w:tcW w:w="990" w:type="dxa"/>
            <w:tcBorders>
              <w:top w:val="nil"/>
              <w:left w:val="nil"/>
              <w:bottom w:val="nil"/>
              <w:right w:val="nil"/>
            </w:tcBorders>
            <w:shd w:val="clear" w:color="auto" w:fill="auto"/>
            <w:noWrap/>
            <w:vAlign w:val="center"/>
            <w:hideMark/>
          </w:tcPr>
          <w:p w14:paraId="4FA670B7" w14:textId="09131883" w:rsidR="0078364B" w:rsidRPr="00802F1A" w:rsidRDefault="0078364B" w:rsidP="0078364B">
            <w:pPr>
              <w:spacing w:line="240" w:lineRule="auto"/>
              <w:rPr>
                <w:rFonts w:eastAsia="Times New Roman" w:cs="Times New Roman"/>
                <w:sz w:val="18"/>
                <w:szCs w:val="18"/>
                <w:lang w:eastAsia="en-AU"/>
              </w:rPr>
            </w:pPr>
            <w:r w:rsidRPr="00802F1A">
              <w:rPr>
                <w:sz w:val="18"/>
                <w:szCs w:val="18"/>
              </w:rPr>
              <w:t>-0.006</w:t>
            </w:r>
          </w:p>
        </w:tc>
        <w:tc>
          <w:tcPr>
            <w:tcW w:w="990" w:type="dxa"/>
            <w:tcBorders>
              <w:top w:val="nil"/>
              <w:left w:val="nil"/>
              <w:bottom w:val="nil"/>
              <w:right w:val="nil"/>
            </w:tcBorders>
            <w:shd w:val="clear" w:color="auto" w:fill="auto"/>
            <w:noWrap/>
            <w:vAlign w:val="center"/>
            <w:hideMark/>
          </w:tcPr>
          <w:p w14:paraId="3F3F0EAC" w14:textId="61F7244C" w:rsidR="0078364B" w:rsidRPr="00802F1A" w:rsidRDefault="0078364B" w:rsidP="0078364B">
            <w:pPr>
              <w:spacing w:line="240" w:lineRule="auto"/>
              <w:rPr>
                <w:rFonts w:eastAsia="Times New Roman" w:cs="Times New Roman"/>
                <w:sz w:val="18"/>
                <w:szCs w:val="18"/>
                <w:lang w:eastAsia="en-AU"/>
              </w:rPr>
            </w:pPr>
            <w:r w:rsidRPr="00802F1A">
              <w:rPr>
                <w:sz w:val="18"/>
                <w:szCs w:val="18"/>
              </w:rPr>
              <w:t>-0.007</w:t>
            </w:r>
          </w:p>
        </w:tc>
        <w:tc>
          <w:tcPr>
            <w:tcW w:w="1260" w:type="dxa"/>
            <w:tcBorders>
              <w:top w:val="nil"/>
              <w:left w:val="nil"/>
              <w:bottom w:val="nil"/>
              <w:right w:val="nil"/>
            </w:tcBorders>
            <w:shd w:val="clear" w:color="auto" w:fill="auto"/>
            <w:noWrap/>
            <w:vAlign w:val="center"/>
            <w:hideMark/>
          </w:tcPr>
          <w:p w14:paraId="7122AF6D" w14:textId="49852FD8" w:rsidR="0078364B" w:rsidRPr="00802F1A" w:rsidRDefault="0078364B" w:rsidP="0078364B">
            <w:pPr>
              <w:spacing w:line="240" w:lineRule="auto"/>
              <w:rPr>
                <w:rFonts w:eastAsia="Times New Roman" w:cs="Times New Roman"/>
                <w:sz w:val="18"/>
                <w:szCs w:val="18"/>
                <w:lang w:eastAsia="en-AU"/>
              </w:rPr>
            </w:pPr>
            <w:r w:rsidRPr="00802F1A">
              <w:rPr>
                <w:sz w:val="18"/>
                <w:szCs w:val="18"/>
              </w:rPr>
              <w:t>-0.009*</w:t>
            </w:r>
          </w:p>
        </w:tc>
      </w:tr>
      <w:tr w:rsidR="00802F1A" w:rsidRPr="00802F1A" w14:paraId="4A458150" w14:textId="77777777" w:rsidTr="000B3160">
        <w:trPr>
          <w:trHeight w:hRule="exact" w:val="259"/>
        </w:trPr>
        <w:tc>
          <w:tcPr>
            <w:tcW w:w="1890" w:type="dxa"/>
            <w:tcBorders>
              <w:top w:val="nil"/>
              <w:left w:val="nil"/>
              <w:bottom w:val="nil"/>
              <w:right w:val="nil"/>
            </w:tcBorders>
            <w:shd w:val="clear" w:color="000000" w:fill="FFFFFF"/>
            <w:vAlign w:val="center"/>
            <w:hideMark/>
          </w:tcPr>
          <w:p w14:paraId="504FED40" w14:textId="77777777" w:rsidR="0078364B" w:rsidRPr="00802F1A" w:rsidRDefault="0078364B" w:rsidP="0078364B">
            <w:pPr>
              <w:spacing w:line="240" w:lineRule="auto"/>
              <w:rPr>
                <w:rFonts w:eastAsia="Times New Roman" w:cs="Times New Roman"/>
                <w:sz w:val="18"/>
                <w:szCs w:val="18"/>
                <w:lang w:eastAsia="en-AU"/>
              </w:rPr>
            </w:pPr>
            <w:r w:rsidRPr="00802F1A">
              <w:rPr>
                <w:rFonts w:eastAsia="Times New Roman" w:cs="Times New Roman"/>
                <w:sz w:val="18"/>
                <w:szCs w:val="18"/>
                <w:lang w:eastAsia="en-AU"/>
              </w:rPr>
              <w:t>L</w:t>
            </w:r>
            <w:proofErr w:type="gramStart"/>
            <w:r w:rsidRPr="00802F1A">
              <w:rPr>
                <w:rFonts w:eastAsia="Times New Roman" w:cs="Times New Roman"/>
                <w:sz w:val="18"/>
                <w:szCs w:val="18"/>
                <w:lang w:eastAsia="en-AU"/>
              </w:rPr>
              <w:t>1.Log</w:t>
            </w:r>
            <w:proofErr w:type="gramEnd"/>
            <w:r w:rsidRPr="00802F1A">
              <w:rPr>
                <w:rFonts w:eastAsia="Times New Roman" w:cs="Times New Roman"/>
                <w:sz w:val="18"/>
                <w:szCs w:val="18"/>
                <w:lang w:eastAsia="en-AU"/>
              </w:rPr>
              <w:t>(</w:t>
            </w:r>
            <w:r w:rsidRPr="00802F1A">
              <w:rPr>
                <w:rFonts w:eastAsia="Times New Roman" w:cs="Times New Roman"/>
                <w:i/>
                <w:iCs/>
                <w:sz w:val="18"/>
                <w:szCs w:val="18"/>
                <w:lang w:eastAsia="en-AU"/>
              </w:rPr>
              <w:t>Financial Dev</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254D904F" w14:textId="50235B79" w:rsidR="0078364B" w:rsidRPr="00802F1A" w:rsidRDefault="0078364B" w:rsidP="0078364B">
            <w:pPr>
              <w:spacing w:line="240" w:lineRule="auto"/>
              <w:rPr>
                <w:rFonts w:eastAsia="Times New Roman" w:cs="Times New Roman"/>
                <w:sz w:val="18"/>
                <w:szCs w:val="18"/>
                <w:lang w:eastAsia="en-AU"/>
              </w:rPr>
            </w:pPr>
            <w:r w:rsidRPr="00802F1A">
              <w:rPr>
                <w:sz w:val="18"/>
                <w:szCs w:val="18"/>
              </w:rPr>
              <w:t>0.147***</w:t>
            </w:r>
          </w:p>
        </w:tc>
        <w:tc>
          <w:tcPr>
            <w:tcW w:w="990" w:type="dxa"/>
            <w:tcBorders>
              <w:top w:val="nil"/>
              <w:left w:val="nil"/>
              <w:bottom w:val="nil"/>
              <w:right w:val="nil"/>
            </w:tcBorders>
            <w:shd w:val="clear" w:color="auto" w:fill="auto"/>
            <w:noWrap/>
            <w:vAlign w:val="center"/>
            <w:hideMark/>
          </w:tcPr>
          <w:p w14:paraId="2BA5FB4B" w14:textId="7A3B3ECB" w:rsidR="0078364B" w:rsidRPr="00802F1A" w:rsidRDefault="0078364B" w:rsidP="0078364B">
            <w:pPr>
              <w:spacing w:line="240" w:lineRule="auto"/>
              <w:rPr>
                <w:rFonts w:eastAsia="Times New Roman" w:cs="Times New Roman"/>
                <w:sz w:val="18"/>
                <w:szCs w:val="18"/>
                <w:lang w:eastAsia="en-AU"/>
              </w:rPr>
            </w:pPr>
            <w:r w:rsidRPr="00802F1A">
              <w:rPr>
                <w:sz w:val="18"/>
                <w:szCs w:val="18"/>
              </w:rPr>
              <w:t>0.163***</w:t>
            </w:r>
          </w:p>
        </w:tc>
        <w:tc>
          <w:tcPr>
            <w:tcW w:w="990" w:type="dxa"/>
            <w:tcBorders>
              <w:top w:val="nil"/>
              <w:left w:val="nil"/>
              <w:bottom w:val="nil"/>
              <w:right w:val="nil"/>
            </w:tcBorders>
            <w:shd w:val="clear" w:color="auto" w:fill="auto"/>
            <w:noWrap/>
            <w:vAlign w:val="center"/>
            <w:hideMark/>
          </w:tcPr>
          <w:p w14:paraId="19A648DC" w14:textId="6436BC9B" w:rsidR="0078364B" w:rsidRPr="00802F1A" w:rsidRDefault="0078364B" w:rsidP="0078364B">
            <w:pPr>
              <w:spacing w:line="240" w:lineRule="auto"/>
              <w:rPr>
                <w:rFonts w:eastAsia="Times New Roman" w:cs="Times New Roman"/>
                <w:sz w:val="18"/>
                <w:szCs w:val="18"/>
                <w:lang w:eastAsia="en-AU"/>
              </w:rPr>
            </w:pPr>
            <w:r w:rsidRPr="00802F1A">
              <w:rPr>
                <w:sz w:val="18"/>
                <w:szCs w:val="18"/>
              </w:rPr>
              <w:t>0.052***</w:t>
            </w:r>
          </w:p>
        </w:tc>
        <w:tc>
          <w:tcPr>
            <w:tcW w:w="990" w:type="dxa"/>
            <w:tcBorders>
              <w:top w:val="nil"/>
              <w:left w:val="nil"/>
              <w:bottom w:val="nil"/>
              <w:right w:val="nil"/>
            </w:tcBorders>
            <w:shd w:val="clear" w:color="auto" w:fill="auto"/>
            <w:noWrap/>
            <w:vAlign w:val="center"/>
            <w:hideMark/>
          </w:tcPr>
          <w:p w14:paraId="1B45E6E2" w14:textId="32D94AB4" w:rsidR="0078364B" w:rsidRPr="00802F1A" w:rsidRDefault="0078364B" w:rsidP="0078364B">
            <w:pPr>
              <w:spacing w:line="240" w:lineRule="auto"/>
              <w:rPr>
                <w:rFonts w:eastAsia="Times New Roman" w:cs="Times New Roman"/>
                <w:sz w:val="18"/>
                <w:szCs w:val="18"/>
                <w:lang w:eastAsia="en-AU"/>
              </w:rPr>
            </w:pPr>
            <w:r w:rsidRPr="00802F1A">
              <w:rPr>
                <w:sz w:val="18"/>
                <w:szCs w:val="18"/>
              </w:rPr>
              <w:t>0.239***</w:t>
            </w:r>
          </w:p>
        </w:tc>
        <w:tc>
          <w:tcPr>
            <w:tcW w:w="990" w:type="dxa"/>
            <w:tcBorders>
              <w:top w:val="nil"/>
              <w:left w:val="nil"/>
              <w:bottom w:val="nil"/>
              <w:right w:val="nil"/>
            </w:tcBorders>
            <w:shd w:val="clear" w:color="auto" w:fill="auto"/>
            <w:noWrap/>
            <w:vAlign w:val="center"/>
            <w:hideMark/>
          </w:tcPr>
          <w:p w14:paraId="63B7201A" w14:textId="6F22555B" w:rsidR="0078364B" w:rsidRPr="00802F1A" w:rsidRDefault="0078364B" w:rsidP="0078364B">
            <w:pPr>
              <w:spacing w:line="240" w:lineRule="auto"/>
              <w:rPr>
                <w:rFonts w:eastAsia="Times New Roman" w:cs="Times New Roman"/>
                <w:sz w:val="18"/>
                <w:szCs w:val="18"/>
                <w:lang w:eastAsia="en-AU"/>
              </w:rPr>
            </w:pPr>
            <w:r w:rsidRPr="00802F1A">
              <w:rPr>
                <w:sz w:val="18"/>
                <w:szCs w:val="18"/>
              </w:rPr>
              <w:t>0.005**</w:t>
            </w:r>
          </w:p>
        </w:tc>
        <w:tc>
          <w:tcPr>
            <w:tcW w:w="1260" w:type="dxa"/>
            <w:tcBorders>
              <w:top w:val="nil"/>
              <w:left w:val="nil"/>
              <w:bottom w:val="nil"/>
              <w:right w:val="nil"/>
            </w:tcBorders>
            <w:shd w:val="clear" w:color="auto" w:fill="auto"/>
            <w:noWrap/>
            <w:vAlign w:val="center"/>
            <w:hideMark/>
          </w:tcPr>
          <w:p w14:paraId="03576189" w14:textId="69D79C42" w:rsidR="0078364B" w:rsidRPr="00802F1A" w:rsidRDefault="0078364B" w:rsidP="0078364B">
            <w:pPr>
              <w:spacing w:line="240" w:lineRule="auto"/>
              <w:rPr>
                <w:rFonts w:eastAsia="Times New Roman" w:cs="Times New Roman"/>
                <w:sz w:val="18"/>
                <w:szCs w:val="18"/>
                <w:lang w:eastAsia="en-AU"/>
              </w:rPr>
            </w:pPr>
            <w:r w:rsidRPr="00802F1A">
              <w:rPr>
                <w:sz w:val="18"/>
                <w:szCs w:val="18"/>
              </w:rPr>
              <w:t>0.207***</w:t>
            </w:r>
          </w:p>
        </w:tc>
      </w:tr>
      <w:tr w:rsidR="00802F1A" w:rsidRPr="00802F1A" w14:paraId="256575A8" w14:textId="77777777" w:rsidTr="000B3160">
        <w:trPr>
          <w:trHeight w:hRule="exact" w:val="259"/>
        </w:trPr>
        <w:tc>
          <w:tcPr>
            <w:tcW w:w="1890" w:type="dxa"/>
            <w:tcBorders>
              <w:top w:val="nil"/>
              <w:left w:val="nil"/>
              <w:bottom w:val="nil"/>
              <w:right w:val="nil"/>
            </w:tcBorders>
            <w:shd w:val="clear" w:color="000000" w:fill="FFFFFF"/>
            <w:vAlign w:val="center"/>
            <w:hideMark/>
          </w:tcPr>
          <w:p w14:paraId="677EAAE8" w14:textId="77777777" w:rsidR="0078364B" w:rsidRPr="00802F1A" w:rsidRDefault="0078364B" w:rsidP="0078364B">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Unemployment</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016F861D" w14:textId="0498278D" w:rsidR="0078364B" w:rsidRPr="00802F1A" w:rsidRDefault="0078364B" w:rsidP="0078364B">
            <w:pPr>
              <w:spacing w:line="240" w:lineRule="auto"/>
              <w:rPr>
                <w:rFonts w:eastAsia="Times New Roman" w:cs="Times New Roman"/>
                <w:sz w:val="18"/>
                <w:szCs w:val="18"/>
                <w:lang w:eastAsia="en-AU"/>
              </w:rPr>
            </w:pPr>
            <w:r w:rsidRPr="00802F1A">
              <w:rPr>
                <w:sz w:val="18"/>
                <w:szCs w:val="18"/>
              </w:rPr>
              <w:t>-0.043***</w:t>
            </w:r>
          </w:p>
        </w:tc>
        <w:tc>
          <w:tcPr>
            <w:tcW w:w="990" w:type="dxa"/>
            <w:tcBorders>
              <w:top w:val="nil"/>
              <w:left w:val="nil"/>
              <w:bottom w:val="nil"/>
              <w:right w:val="nil"/>
            </w:tcBorders>
            <w:shd w:val="clear" w:color="auto" w:fill="auto"/>
            <w:noWrap/>
            <w:vAlign w:val="center"/>
            <w:hideMark/>
          </w:tcPr>
          <w:p w14:paraId="2E78B55E" w14:textId="04E92AAD" w:rsidR="0078364B" w:rsidRPr="00802F1A" w:rsidRDefault="0078364B" w:rsidP="0078364B">
            <w:pPr>
              <w:spacing w:line="240" w:lineRule="auto"/>
              <w:rPr>
                <w:rFonts w:eastAsia="Times New Roman" w:cs="Times New Roman"/>
                <w:sz w:val="18"/>
                <w:szCs w:val="18"/>
                <w:lang w:eastAsia="en-AU"/>
              </w:rPr>
            </w:pPr>
            <w:r w:rsidRPr="00802F1A">
              <w:rPr>
                <w:sz w:val="18"/>
                <w:szCs w:val="18"/>
              </w:rPr>
              <w:t>-0.044***</w:t>
            </w:r>
          </w:p>
        </w:tc>
        <w:tc>
          <w:tcPr>
            <w:tcW w:w="990" w:type="dxa"/>
            <w:tcBorders>
              <w:top w:val="nil"/>
              <w:left w:val="nil"/>
              <w:bottom w:val="nil"/>
              <w:right w:val="nil"/>
            </w:tcBorders>
            <w:shd w:val="clear" w:color="auto" w:fill="auto"/>
            <w:noWrap/>
            <w:vAlign w:val="center"/>
            <w:hideMark/>
          </w:tcPr>
          <w:p w14:paraId="67D29EC7" w14:textId="0B98DD70" w:rsidR="0078364B" w:rsidRPr="00802F1A" w:rsidRDefault="0078364B" w:rsidP="0078364B">
            <w:pPr>
              <w:spacing w:line="240" w:lineRule="auto"/>
              <w:rPr>
                <w:rFonts w:eastAsia="Times New Roman" w:cs="Times New Roman"/>
                <w:sz w:val="18"/>
                <w:szCs w:val="18"/>
                <w:lang w:eastAsia="en-AU"/>
              </w:rPr>
            </w:pPr>
            <w:r w:rsidRPr="00802F1A">
              <w:rPr>
                <w:sz w:val="18"/>
                <w:szCs w:val="18"/>
              </w:rPr>
              <w:t>-0.054***</w:t>
            </w:r>
          </w:p>
        </w:tc>
        <w:tc>
          <w:tcPr>
            <w:tcW w:w="990" w:type="dxa"/>
            <w:tcBorders>
              <w:top w:val="nil"/>
              <w:left w:val="nil"/>
              <w:bottom w:val="nil"/>
              <w:right w:val="nil"/>
            </w:tcBorders>
            <w:shd w:val="clear" w:color="auto" w:fill="auto"/>
            <w:noWrap/>
            <w:vAlign w:val="center"/>
            <w:hideMark/>
          </w:tcPr>
          <w:p w14:paraId="16223683" w14:textId="2CE72C87" w:rsidR="0078364B" w:rsidRPr="00802F1A" w:rsidRDefault="0078364B" w:rsidP="0078364B">
            <w:pPr>
              <w:spacing w:line="240" w:lineRule="auto"/>
              <w:rPr>
                <w:rFonts w:eastAsia="Times New Roman" w:cs="Times New Roman"/>
                <w:sz w:val="18"/>
                <w:szCs w:val="18"/>
                <w:lang w:eastAsia="en-AU"/>
              </w:rPr>
            </w:pPr>
            <w:r w:rsidRPr="00802F1A">
              <w:rPr>
                <w:sz w:val="18"/>
                <w:szCs w:val="18"/>
              </w:rPr>
              <w:t>-0.036***</w:t>
            </w:r>
          </w:p>
        </w:tc>
        <w:tc>
          <w:tcPr>
            <w:tcW w:w="990" w:type="dxa"/>
            <w:tcBorders>
              <w:top w:val="nil"/>
              <w:left w:val="nil"/>
              <w:bottom w:val="nil"/>
              <w:right w:val="nil"/>
            </w:tcBorders>
            <w:shd w:val="clear" w:color="auto" w:fill="auto"/>
            <w:noWrap/>
            <w:vAlign w:val="center"/>
            <w:hideMark/>
          </w:tcPr>
          <w:p w14:paraId="39920546" w14:textId="1FAAD46B" w:rsidR="0078364B" w:rsidRPr="00802F1A" w:rsidRDefault="0078364B" w:rsidP="0078364B">
            <w:pPr>
              <w:spacing w:line="240" w:lineRule="auto"/>
              <w:rPr>
                <w:rFonts w:eastAsia="Times New Roman" w:cs="Times New Roman"/>
                <w:sz w:val="18"/>
                <w:szCs w:val="18"/>
                <w:lang w:eastAsia="en-AU"/>
              </w:rPr>
            </w:pPr>
            <w:r w:rsidRPr="00802F1A">
              <w:rPr>
                <w:sz w:val="18"/>
                <w:szCs w:val="18"/>
              </w:rPr>
              <w:t>-0.058***</w:t>
            </w:r>
          </w:p>
        </w:tc>
        <w:tc>
          <w:tcPr>
            <w:tcW w:w="1260" w:type="dxa"/>
            <w:tcBorders>
              <w:top w:val="nil"/>
              <w:left w:val="nil"/>
              <w:bottom w:val="nil"/>
              <w:right w:val="nil"/>
            </w:tcBorders>
            <w:shd w:val="clear" w:color="auto" w:fill="auto"/>
            <w:noWrap/>
            <w:vAlign w:val="center"/>
            <w:hideMark/>
          </w:tcPr>
          <w:p w14:paraId="31E1256C" w14:textId="626CCD1A" w:rsidR="0078364B" w:rsidRPr="00802F1A" w:rsidRDefault="0078364B" w:rsidP="0078364B">
            <w:pPr>
              <w:spacing w:line="240" w:lineRule="auto"/>
              <w:rPr>
                <w:rFonts w:eastAsia="Times New Roman" w:cs="Times New Roman"/>
                <w:sz w:val="18"/>
                <w:szCs w:val="18"/>
                <w:lang w:eastAsia="en-AU"/>
              </w:rPr>
            </w:pPr>
            <w:r w:rsidRPr="00802F1A">
              <w:rPr>
                <w:sz w:val="18"/>
                <w:szCs w:val="18"/>
              </w:rPr>
              <w:t>-0.039***</w:t>
            </w:r>
          </w:p>
        </w:tc>
      </w:tr>
      <w:tr w:rsidR="00802F1A" w:rsidRPr="00802F1A" w14:paraId="320E9C61" w14:textId="77777777" w:rsidTr="000B3160">
        <w:trPr>
          <w:trHeight w:hRule="exact" w:val="259"/>
        </w:trPr>
        <w:tc>
          <w:tcPr>
            <w:tcW w:w="1890" w:type="dxa"/>
            <w:tcBorders>
              <w:top w:val="nil"/>
              <w:left w:val="nil"/>
              <w:bottom w:val="nil"/>
              <w:right w:val="nil"/>
            </w:tcBorders>
            <w:shd w:val="clear" w:color="000000" w:fill="FFFFFF"/>
            <w:vAlign w:val="center"/>
            <w:hideMark/>
          </w:tcPr>
          <w:p w14:paraId="405F6434" w14:textId="77777777" w:rsidR="0078364B" w:rsidRPr="00802F1A" w:rsidRDefault="0078364B" w:rsidP="0078364B">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HDI</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2694053F" w14:textId="7E076F40" w:rsidR="0078364B" w:rsidRPr="00802F1A" w:rsidRDefault="0078364B" w:rsidP="0078364B">
            <w:pPr>
              <w:spacing w:line="240" w:lineRule="auto"/>
              <w:rPr>
                <w:rFonts w:eastAsia="Times New Roman" w:cs="Times New Roman"/>
                <w:sz w:val="18"/>
                <w:szCs w:val="18"/>
                <w:lang w:eastAsia="en-AU"/>
              </w:rPr>
            </w:pPr>
            <w:r w:rsidRPr="00802F1A">
              <w:rPr>
                <w:sz w:val="18"/>
                <w:szCs w:val="18"/>
              </w:rPr>
              <w:t>1.732***</w:t>
            </w:r>
          </w:p>
        </w:tc>
        <w:tc>
          <w:tcPr>
            <w:tcW w:w="990" w:type="dxa"/>
            <w:tcBorders>
              <w:top w:val="nil"/>
              <w:left w:val="nil"/>
              <w:bottom w:val="nil"/>
              <w:right w:val="nil"/>
            </w:tcBorders>
            <w:shd w:val="clear" w:color="auto" w:fill="auto"/>
            <w:noWrap/>
            <w:vAlign w:val="center"/>
            <w:hideMark/>
          </w:tcPr>
          <w:p w14:paraId="1799FA03" w14:textId="1063775A" w:rsidR="0078364B" w:rsidRPr="00802F1A" w:rsidRDefault="0078364B" w:rsidP="0078364B">
            <w:pPr>
              <w:spacing w:line="240" w:lineRule="auto"/>
              <w:rPr>
                <w:rFonts w:eastAsia="Times New Roman" w:cs="Times New Roman"/>
                <w:sz w:val="18"/>
                <w:szCs w:val="18"/>
                <w:lang w:eastAsia="en-AU"/>
              </w:rPr>
            </w:pPr>
            <w:r w:rsidRPr="00802F1A">
              <w:rPr>
                <w:sz w:val="18"/>
                <w:szCs w:val="18"/>
              </w:rPr>
              <w:t>2.673***</w:t>
            </w:r>
          </w:p>
        </w:tc>
        <w:tc>
          <w:tcPr>
            <w:tcW w:w="990" w:type="dxa"/>
            <w:tcBorders>
              <w:top w:val="nil"/>
              <w:left w:val="nil"/>
              <w:bottom w:val="nil"/>
              <w:right w:val="nil"/>
            </w:tcBorders>
            <w:shd w:val="clear" w:color="auto" w:fill="auto"/>
            <w:noWrap/>
            <w:vAlign w:val="center"/>
            <w:hideMark/>
          </w:tcPr>
          <w:p w14:paraId="0918FA71" w14:textId="6C374DD4" w:rsidR="0078364B" w:rsidRPr="00802F1A" w:rsidRDefault="0078364B" w:rsidP="0078364B">
            <w:pPr>
              <w:spacing w:line="240" w:lineRule="auto"/>
              <w:rPr>
                <w:rFonts w:eastAsia="Times New Roman" w:cs="Times New Roman"/>
                <w:sz w:val="18"/>
                <w:szCs w:val="18"/>
                <w:lang w:eastAsia="en-AU"/>
              </w:rPr>
            </w:pPr>
            <w:r w:rsidRPr="00802F1A">
              <w:rPr>
                <w:sz w:val="18"/>
                <w:szCs w:val="18"/>
              </w:rPr>
              <w:t>1.656***</w:t>
            </w:r>
          </w:p>
        </w:tc>
        <w:tc>
          <w:tcPr>
            <w:tcW w:w="990" w:type="dxa"/>
            <w:tcBorders>
              <w:top w:val="nil"/>
              <w:left w:val="nil"/>
              <w:bottom w:val="nil"/>
              <w:right w:val="nil"/>
            </w:tcBorders>
            <w:shd w:val="clear" w:color="auto" w:fill="auto"/>
            <w:noWrap/>
            <w:vAlign w:val="center"/>
            <w:hideMark/>
          </w:tcPr>
          <w:p w14:paraId="1E4C811E" w14:textId="59BF2B6C" w:rsidR="0078364B" w:rsidRPr="00802F1A" w:rsidRDefault="0078364B" w:rsidP="0078364B">
            <w:pPr>
              <w:spacing w:line="240" w:lineRule="auto"/>
              <w:rPr>
                <w:rFonts w:eastAsia="Times New Roman" w:cs="Times New Roman"/>
                <w:sz w:val="18"/>
                <w:szCs w:val="18"/>
                <w:lang w:eastAsia="en-AU"/>
              </w:rPr>
            </w:pPr>
            <w:r w:rsidRPr="00802F1A">
              <w:rPr>
                <w:sz w:val="18"/>
                <w:szCs w:val="18"/>
              </w:rPr>
              <w:t>1.901***</w:t>
            </w:r>
          </w:p>
        </w:tc>
        <w:tc>
          <w:tcPr>
            <w:tcW w:w="990" w:type="dxa"/>
            <w:tcBorders>
              <w:top w:val="nil"/>
              <w:left w:val="nil"/>
              <w:bottom w:val="nil"/>
              <w:right w:val="nil"/>
            </w:tcBorders>
            <w:shd w:val="clear" w:color="auto" w:fill="auto"/>
            <w:noWrap/>
            <w:vAlign w:val="center"/>
            <w:hideMark/>
          </w:tcPr>
          <w:p w14:paraId="78021AFC" w14:textId="7595725E" w:rsidR="0078364B" w:rsidRPr="00802F1A" w:rsidRDefault="0078364B" w:rsidP="0078364B">
            <w:pPr>
              <w:spacing w:line="240" w:lineRule="auto"/>
              <w:rPr>
                <w:rFonts w:eastAsia="Times New Roman" w:cs="Times New Roman"/>
                <w:sz w:val="18"/>
                <w:szCs w:val="18"/>
                <w:lang w:eastAsia="en-AU"/>
              </w:rPr>
            </w:pPr>
            <w:r w:rsidRPr="00802F1A">
              <w:rPr>
                <w:sz w:val="18"/>
                <w:szCs w:val="18"/>
              </w:rPr>
              <w:t>1.649***</w:t>
            </w:r>
          </w:p>
        </w:tc>
        <w:tc>
          <w:tcPr>
            <w:tcW w:w="1260" w:type="dxa"/>
            <w:tcBorders>
              <w:top w:val="nil"/>
              <w:left w:val="nil"/>
              <w:bottom w:val="nil"/>
              <w:right w:val="nil"/>
            </w:tcBorders>
            <w:shd w:val="clear" w:color="auto" w:fill="auto"/>
            <w:noWrap/>
            <w:vAlign w:val="center"/>
            <w:hideMark/>
          </w:tcPr>
          <w:p w14:paraId="03D23381" w14:textId="30175E9C" w:rsidR="0078364B" w:rsidRPr="00802F1A" w:rsidRDefault="0078364B" w:rsidP="0078364B">
            <w:pPr>
              <w:spacing w:line="240" w:lineRule="auto"/>
              <w:rPr>
                <w:rFonts w:eastAsia="Times New Roman" w:cs="Times New Roman"/>
                <w:sz w:val="18"/>
                <w:szCs w:val="18"/>
                <w:lang w:eastAsia="en-AU"/>
              </w:rPr>
            </w:pPr>
            <w:r w:rsidRPr="00802F1A">
              <w:rPr>
                <w:sz w:val="18"/>
                <w:szCs w:val="18"/>
              </w:rPr>
              <w:t>1.687***</w:t>
            </w:r>
          </w:p>
        </w:tc>
      </w:tr>
      <w:tr w:rsidR="00802F1A" w:rsidRPr="00802F1A" w14:paraId="6E8E9D3C" w14:textId="77777777" w:rsidTr="000B3160">
        <w:trPr>
          <w:trHeight w:hRule="exact" w:val="259"/>
        </w:trPr>
        <w:tc>
          <w:tcPr>
            <w:tcW w:w="1890" w:type="dxa"/>
            <w:tcBorders>
              <w:top w:val="nil"/>
              <w:left w:val="nil"/>
              <w:bottom w:val="nil"/>
              <w:right w:val="nil"/>
            </w:tcBorders>
            <w:shd w:val="clear" w:color="000000" w:fill="FFFFFF"/>
            <w:vAlign w:val="center"/>
            <w:hideMark/>
          </w:tcPr>
          <w:p w14:paraId="7591F7C6" w14:textId="77777777" w:rsidR="0078364B" w:rsidRPr="00802F1A" w:rsidRDefault="0078364B" w:rsidP="0078364B">
            <w:pPr>
              <w:spacing w:line="240" w:lineRule="auto"/>
              <w:rPr>
                <w:rFonts w:eastAsia="Times New Roman" w:cs="Times New Roman"/>
                <w:sz w:val="18"/>
                <w:szCs w:val="18"/>
                <w:lang w:eastAsia="en-AU"/>
              </w:rPr>
            </w:pPr>
            <w:proofErr w:type="gramStart"/>
            <w:r w:rsidRPr="00802F1A">
              <w:rPr>
                <w:rFonts w:eastAsia="Times New Roman" w:cs="Times New Roman"/>
                <w:sz w:val="18"/>
                <w:szCs w:val="18"/>
                <w:lang w:eastAsia="en-AU"/>
              </w:rPr>
              <w:t>Log(</w:t>
            </w:r>
            <w:proofErr w:type="gramEnd"/>
            <w:r w:rsidRPr="00802F1A">
              <w:rPr>
                <w:rFonts w:eastAsia="Times New Roman" w:cs="Times New Roman"/>
                <w:i/>
                <w:iCs/>
                <w:sz w:val="18"/>
                <w:szCs w:val="18"/>
                <w:lang w:eastAsia="en-AU"/>
              </w:rPr>
              <w:t>Capital Stock</w:t>
            </w:r>
            <w:r w:rsidRPr="00802F1A">
              <w:rPr>
                <w:rFonts w:eastAsia="Times New Roman" w:cs="Times New Roman"/>
                <w:sz w:val="18"/>
                <w:szCs w:val="18"/>
                <w:lang w:eastAsia="en-AU"/>
              </w:rPr>
              <w:t>)</w:t>
            </w:r>
          </w:p>
        </w:tc>
        <w:tc>
          <w:tcPr>
            <w:tcW w:w="990" w:type="dxa"/>
            <w:tcBorders>
              <w:top w:val="nil"/>
              <w:left w:val="nil"/>
              <w:bottom w:val="nil"/>
              <w:right w:val="nil"/>
            </w:tcBorders>
            <w:shd w:val="clear" w:color="auto" w:fill="auto"/>
            <w:noWrap/>
            <w:vAlign w:val="center"/>
            <w:hideMark/>
          </w:tcPr>
          <w:p w14:paraId="7BDB4C28" w14:textId="7D707594" w:rsidR="0078364B" w:rsidRPr="00802F1A" w:rsidRDefault="0078364B" w:rsidP="0078364B">
            <w:pPr>
              <w:spacing w:line="240" w:lineRule="auto"/>
              <w:rPr>
                <w:rFonts w:eastAsia="Times New Roman" w:cs="Times New Roman"/>
                <w:sz w:val="18"/>
                <w:szCs w:val="18"/>
                <w:lang w:eastAsia="en-AU"/>
              </w:rPr>
            </w:pPr>
            <w:r w:rsidRPr="00802F1A">
              <w:rPr>
                <w:sz w:val="18"/>
                <w:szCs w:val="18"/>
              </w:rPr>
              <w:t>0.189***</w:t>
            </w:r>
          </w:p>
        </w:tc>
        <w:tc>
          <w:tcPr>
            <w:tcW w:w="990" w:type="dxa"/>
            <w:tcBorders>
              <w:top w:val="nil"/>
              <w:left w:val="nil"/>
              <w:bottom w:val="nil"/>
              <w:right w:val="nil"/>
            </w:tcBorders>
            <w:shd w:val="clear" w:color="auto" w:fill="auto"/>
            <w:noWrap/>
            <w:vAlign w:val="center"/>
            <w:hideMark/>
          </w:tcPr>
          <w:p w14:paraId="270583A8" w14:textId="7CDA32CE" w:rsidR="0078364B" w:rsidRPr="00802F1A" w:rsidRDefault="0078364B" w:rsidP="0078364B">
            <w:pPr>
              <w:spacing w:line="240" w:lineRule="auto"/>
              <w:rPr>
                <w:rFonts w:eastAsia="Times New Roman" w:cs="Times New Roman"/>
                <w:sz w:val="18"/>
                <w:szCs w:val="18"/>
                <w:lang w:eastAsia="en-AU"/>
              </w:rPr>
            </w:pPr>
            <w:r w:rsidRPr="00802F1A">
              <w:rPr>
                <w:sz w:val="18"/>
                <w:szCs w:val="18"/>
              </w:rPr>
              <w:t>0.169***</w:t>
            </w:r>
          </w:p>
        </w:tc>
        <w:tc>
          <w:tcPr>
            <w:tcW w:w="990" w:type="dxa"/>
            <w:tcBorders>
              <w:top w:val="nil"/>
              <w:left w:val="nil"/>
              <w:bottom w:val="nil"/>
              <w:right w:val="nil"/>
            </w:tcBorders>
            <w:shd w:val="clear" w:color="auto" w:fill="auto"/>
            <w:noWrap/>
            <w:vAlign w:val="center"/>
            <w:hideMark/>
          </w:tcPr>
          <w:p w14:paraId="199897E1" w14:textId="6A8168B9" w:rsidR="0078364B" w:rsidRPr="00802F1A" w:rsidRDefault="0078364B" w:rsidP="0078364B">
            <w:pPr>
              <w:spacing w:line="240" w:lineRule="auto"/>
              <w:rPr>
                <w:rFonts w:eastAsia="Times New Roman" w:cs="Times New Roman"/>
                <w:sz w:val="18"/>
                <w:szCs w:val="18"/>
                <w:lang w:eastAsia="en-AU"/>
              </w:rPr>
            </w:pPr>
            <w:r w:rsidRPr="00802F1A">
              <w:rPr>
                <w:sz w:val="18"/>
                <w:szCs w:val="18"/>
              </w:rPr>
              <w:t>0.190***</w:t>
            </w:r>
          </w:p>
        </w:tc>
        <w:tc>
          <w:tcPr>
            <w:tcW w:w="990" w:type="dxa"/>
            <w:tcBorders>
              <w:top w:val="nil"/>
              <w:left w:val="nil"/>
              <w:bottom w:val="nil"/>
              <w:right w:val="nil"/>
            </w:tcBorders>
            <w:shd w:val="clear" w:color="auto" w:fill="auto"/>
            <w:noWrap/>
            <w:vAlign w:val="center"/>
            <w:hideMark/>
          </w:tcPr>
          <w:p w14:paraId="0E075008" w14:textId="44141E16" w:rsidR="0078364B" w:rsidRPr="00802F1A" w:rsidRDefault="0078364B" w:rsidP="0078364B">
            <w:pPr>
              <w:spacing w:line="240" w:lineRule="auto"/>
              <w:rPr>
                <w:rFonts w:eastAsia="Times New Roman" w:cs="Times New Roman"/>
                <w:sz w:val="18"/>
                <w:szCs w:val="18"/>
                <w:lang w:eastAsia="en-AU"/>
              </w:rPr>
            </w:pPr>
            <w:r w:rsidRPr="00802F1A">
              <w:rPr>
                <w:sz w:val="18"/>
                <w:szCs w:val="18"/>
              </w:rPr>
              <w:t>0.173***</w:t>
            </w:r>
          </w:p>
        </w:tc>
        <w:tc>
          <w:tcPr>
            <w:tcW w:w="990" w:type="dxa"/>
            <w:tcBorders>
              <w:top w:val="nil"/>
              <w:left w:val="nil"/>
              <w:bottom w:val="nil"/>
              <w:right w:val="nil"/>
            </w:tcBorders>
            <w:shd w:val="clear" w:color="auto" w:fill="auto"/>
            <w:noWrap/>
            <w:vAlign w:val="center"/>
            <w:hideMark/>
          </w:tcPr>
          <w:p w14:paraId="49960CB6" w14:textId="057127E8" w:rsidR="0078364B" w:rsidRPr="00802F1A" w:rsidRDefault="0078364B" w:rsidP="0078364B">
            <w:pPr>
              <w:spacing w:line="240" w:lineRule="auto"/>
              <w:rPr>
                <w:rFonts w:eastAsia="Times New Roman" w:cs="Times New Roman"/>
                <w:sz w:val="18"/>
                <w:szCs w:val="18"/>
                <w:lang w:eastAsia="en-AU"/>
              </w:rPr>
            </w:pPr>
            <w:r w:rsidRPr="00802F1A">
              <w:rPr>
                <w:sz w:val="18"/>
                <w:szCs w:val="18"/>
              </w:rPr>
              <w:t>0.192***</w:t>
            </w:r>
          </w:p>
        </w:tc>
        <w:tc>
          <w:tcPr>
            <w:tcW w:w="1260" w:type="dxa"/>
            <w:tcBorders>
              <w:top w:val="nil"/>
              <w:left w:val="nil"/>
              <w:bottom w:val="nil"/>
              <w:right w:val="nil"/>
            </w:tcBorders>
            <w:shd w:val="clear" w:color="auto" w:fill="auto"/>
            <w:noWrap/>
            <w:vAlign w:val="center"/>
            <w:hideMark/>
          </w:tcPr>
          <w:p w14:paraId="1C7278BD" w14:textId="704A376C" w:rsidR="0078364B" w:rsidRPr="00802F1A" w:rsidRDefault="0078364B" w:rsidP="0078364B">
            <w:pPr>
              <w:spacing w:line="240" w:lineRule="auto"/>
              <w:rPr>
                <w:rFonts w:eastAsia="Times New Roman" w:cs="Times New Roman"/>
                <w:sz w:val="18"/>
                <w:szCs w:val="18"/>
                <w:lang w:eastAsia="en-AU"/>
              </w:rPr>
            </w:pPr>
            <w:r w:rsidRPr="00802F1A">
              <w:rPr>
                <w:sz w:val="18"/>
                <w:szCs w:val="18"/>
              </w:rPr>
              <w:t>0.185***</w:t>
            </w:r>
          </w:p>
        </w:tc>
      </w:tr>
      <w:tr w:rsidR="00802F1A" w:rsidRPr="00802F1A" w14:paraId="7FB76939" w14:textId="77777777" w:rsidTr="000B3160">
        <w:trPr>
          <w:trHeight w:hRule="exact" w:val="259"/>
        </w:trPr>
        <w:tc>
          <w:tcPr>
            <w:tcW w:w="1890" w:type="dxa"/>
            <w:tcBorders>
              <w:top w:val="nil"/>
              <w:left w:val="nil"/>
              <w:bottom w:val="nil"/>
              <w:right w:val="nil"/>
            </w:tcBorders>
            <w:shd w:val="clear" w:color="auto" w:fill="auto"/>
            <w:vAlign w:val="center"/>
            <w:hideMark/>
          </w:tcPr>
          <w:p w14:paraId="7032F7F0" w14:textId="77777777" w:rsidR="0078364B" w:rsidRPr="00802F1A" w:rsidRDefault="0078364B" w:rsidP="0078364B">
            <w:pPr>
              <w:spacing w:line="240" w:lineRule="auto"/>
              <w:rPr>
                <w:rFonts w:eastAsia="Times New Roman" w:cs="Times New Roman"/>
                <w:sz w:val="18"/>
                <w:szCs w:val="18"/>
                <w:lang w:eastAsia="en-AU"/>
              </w:rPr>
            </w:pPr>
            <w:r w:rsidRPr="00802F1A">
              <w:rPr>
                <w:rFonts w:eastAsia="Times New Roman" w:cs="Times New Roman"/>
                <w:sz w:val="18"/>
                <w:szCs w:val="18"/>
                <w:lang w:eastAsia="en-AU"/>
              </w:rPr>
              <w:t>Constant</w:t>
            </w:r>
          </w:p>
        </w:tc>
        <w:tc>
          <w:tcPr>
            <w:tcW w:w="990" w:type="dxa"/>
            <w:tcBorders>
              <w:top w:val="nil"/>
              <w:left w:val="nil"/>
              <w:bottom w:val="nil"/>
              <w:right w:val="nil"/>
            </w:tcBorders>
            <w:shd w:val="clear" w:color="auto" w:fill="auto"/>
            <w:noWrap/>
            <w:vAlign w:val="center"/>
            <w:hideMark/>
          </w:tcPr>
          <w:p w14:paraId="6E5E96D0" w14:textId="44224402" w:rsidR="0078364B" w:rsidRPr="00802F1A" w:rsidRDefault="0078364B" w:rsidP="0078364B">
            <w:pPr>
              <w:spacing w:line="240" w:lineRule="auto"/>
              <w:rPr>
                <w:rFonts w:eastAsia="Times New Roman" w:cs="Times New Roman"/>
                <w:sz w:val="18"/>
                <w:szCs w:val="18"/>
                <w:lang w:eastAsia="en-AU"/>
              </w:rPr>
            </w:pPr>
            <w:r w:rsidRPr="00802F1A">
              <w:rPr>
                <w:sz w:val="18"/>
                <w:szCs w:val="18"/>
              </w:rPr>
              <w:t>1.509***</w:t>
            </w:r>
          </w:p>
        </w:tc>
        <w:tc>
          <w:tcPr>
            <w:tcW w:w="990" w:type="dxa"/>
            <w:tcBorders>
              <w:top w:val="nil"/>
              <w:left w:val="nil"/>
              <w:bottom w:val="nil"/>
              <w:right w:val="nil"/>
            </w:tcBorders>
            <w:shd w:val="clear" w:color="auto" w:fill="auto"/>
            <w:noWrap/>
            <w:vAlign w:val="center"/>
            <w:hideMark/>
          </w:tcPr>
          <w:p w14:paraId="3DCCA7AB" w14:textId="69E51BA1" w:rsidR="0078364B" w:rsidRPr="00802F1A" w:rsidRDefault="0078364B" w:rsidP="0078364B">
            <w:pPr>
              <w:spacing w:line="240" w:lineRule="auto"/>
              <w:rPr>
                <w:rFonts w:eastAsia="Times New Roman" w:cs="Times New Roman"/>
                <w:sz w:val="18"/>
                <w:szCs w:val="18"/>
                <w:lang w:eastAsia="en-AU"/>
              </w:rPr>
            </w:pPr>
            <w:r w:rsidRPr="00802F1A">
              <w:rPr>
                <w:sz w:val="18"/>
                <w:szCs w:val="18"/>
              </w:rPr>
              <w:t>2.018***</w:t>
            </w:r>
          </w:p>
        </w:tc>
        <w:tc>
          <w:tcPr>
            <w:tcW w:w="990" w:type="dxa"/>
            <w:tcBorders>
              <w:top w:val="nil"/>
              <w:left w:val="nil"/>
              <w:bottom w:val="nil"/>
              <w:right w:val="nil"/>
            </w:tcBorders>
            <w:shd w:val="clear" w:color="auto" w:fill="auto"/>
            <w:noWrap/>
            <w:vAlign w:val="center"/>
            <w:hideMark/>
          </w:tcPr>
          <w:p w14:paraId="6F491992" w14:textId="67AE3C8F" w:rsidR="0078364B" w:rsidRPr="00802F1A" w:rsidRDefault="0078364B" w:rsidP="0078364B">
            <w:pPr>
              <w:spacing w:line="240" w:lineRule="auto"/>
              <w:rPr>
                <w:rFonts w:eastAsia="Times New Roman" w:cs="Times New Roman"/>
                <w:sz w:val="18"/>
                <w:szCs w:val="18"/>
                <w:lang w:eastAsia="en-AU"/>
              </w:rPr>
            </w:pPr>
            <w:r w:rsidRPr="00802F1A">
              <w:rPr>
                <w:sz w:val="18"/>
                <w:szCs w:val="18"/>
              </w:rPr>
              <w:t>1.206***</w:t>
            </w:r>
          </w:p>
        </w:tc>
        <w:tc>
          <w:tcPr>
            <w:tcW w:w="990" w:type="dxa"/>
            <w:tcBorders>
              <w:top w:val="nil"/>
              <w:left w:val="nil"/>
              <w:bottom w:val="nil"/>
              <w:right w:val="nil"/>
            </w:tcBorders>
            <w:shd w:val="clear" w:color="auto" w:fill="auto"/>
            <w:noWrap/>
            <w:vAlign w:val="center"/>
            <w:hideMark/>
          </w:tcPr>
          <w:p w14:paraId="6266D6B2" w14:textId="5EB1967B" w:rsidR="0078364B" w:rsidRPr="00802F1A" w:rsidRDefault="0078364B" w:rsidP="0078364B">
            <w:pPr>
              <w:spacing w:line="240" w:lineRule="auto"/>
              <w:rPr>
                <w:rFonts w:eastAsia="Times New Roman" w:cs="Times New Roman"/>
                <w:sz w:val="18"/>
                <w:szCs w:val="18"/>
                <w:lang w:eastAsia="en-AU"/>
              </w:rPr>
            </w:pPr>
            <w:r w:rsidRPr="00802F1A">
              <w:rPr>
                <w:sz w:val="18"/>
                <w:szCs w:val="18"/>
              </w:rPr>
              <w:t>1.666***</w:t>
            </w:r>
          </w:p>
        </w:tc>
        <w:tc>
          <w:tcPr>
            <w:tcW w:w="990" w:type="dxa"/>
            <w:tcBorders>
              <w:top w:val="nil"/>
              <w:left w:val="nil"/>
              <w:bottom w:val="nil"/>
              <w:right w:val="nil"/>
            </w:tcBorders>
            <w:shd w:val="clear" w:color="auto" w:fill="auto"/>
            <w:noWrap/>
            <w:vAlign w:val="center"/>
            <w:hideMark/>
          </w:tcPr>
          <w:p w14:paraId="1E4750CB" w14:textId="7A074C97" w:rsidR="0078364B" w:rsidRPr="00802F1A" w:rsidRDefault="0078364B" w:rsidP="0078364B">
            <w:pPr>
              <w:spacing w:line="240" w:lineRule="auto"/>
              <w:rPr>
                <w:rFonts w:eastAsia="Times New Roman" w:cs="Times New Roman"/>
                <w:sz w:val="18"/>
                <w:szCs w:val="18"/>
                <w:lang w:eastAsia="en-AU"/>
              </w:rPr>
            </w:pPr>
            <w:r w:rsidRPr="00802F1A">
              <w:rPr>
                <w:sz w:val="18"/>
                <w:szCs w:val="18"/>
              </w:rPr>
              <w:t>1.175***</w:t>
            </w:r>
          </w:p>
        </w:tc>
        <w:tc>
          <w:tcPr>
            <w:tcW w:w="1260" w:type="dxa"/>
            <w:tcBorders>
              <w:top w:val="nil"/>
              <w:left w:val="nil"/>
              <w:bottom w:val="nil"/>
              <w:right w:val="nil"/>
            </w:tcBorders>
            <w:shd w:val="clear" w:color="auto" w:fill="auto"/>
            <w:noWrap/>
            <w:vAlign w:val="center"/>
            <w:hideMark/>
          </w:tcPr>
          <w:p w14:paraId="30F34554" w14:textId="251C9876" w:rsidR="0078364B" w:rsidRPr="00802F1A" w:rsidRDefault="0078364B" w:rsidP="0078364B">
            <w:pPr>
              <w:spacing w:line="240" w:lineRule="auto"/>
              <w:rPr>
                <w:rFonts w:eastAsia="Times New Roman" w:cs="Times New Roman"/>
                <w:sz w:val="18"/>
                <w:szCs w:val="18"/>
                <w:lang w:eastAsia="en-AU"/>
              </w:rPr>
            </w:pPr>
            <w:r w:rsidRPr="00802F1A">
              <w:rPr>
                <w:sz w:val="18"/>
                <w:szCs w:val="18"/>
              </w:rPr>
              <w:t>1.532***</w:t>
            </w:r>
          </w:p>
        </w:tc>
      </w:tr>
      <w:tr w:rsidR="00802F1A" w:rsidRPr="00802F1A" w14:paraId="71AE2BF4" w14:textId="77777777" w:rsidTr="000B3160">
        <w:trPr>
          <w:trHeight w:hRule="exact" w:val="259"/>
        </w:trPr>
        <w:tc>
          <w:tcPr>
            <w:tcW w:w="1890" w:type="dxa"/>
            <w:tcBorders>
              <w:top w:val="nil"/>
              <w:left w:val="nil"/>
              <w:bottom w:val="single" w:sz="4" w:space="0" w:color="auto"/>
              <w:right w:val="nil"/>
            </w:tcBorders>
            <w:shd w:val="clear" w:color="000000" w:fill="FFFFFF"/>
            <w:vAlign w:val="center"/>
            <w:hideMark/>
          </w:tcPr>
          <w:p w14:paraId="3A4CBB60" w14:textId="77777777" w:rsidR="0078364B" w:rsidRPr="00802F1A" w:rsidRDefault="0078364B" w:rsidP="0078364B">
            <w:pPr>
              <w:spacing w:line="240" w:lineRule="auto"/>
              <w:rPr>
                <w:rFonts w:eastAsia="Times New Roman" w:cs="Times New Roman"/>
                <w:sz w:val="18"/>
                <w:szCs w:val="18"/>
                <w:lang w:eastAsia="en-AU"/>
              </w:rPr>
            </w:pPr>
            <w:r w:rsidRPr="00802F1A">
              <w:rPr>
                <w:rFonts w:eastAsia="Times New Roman" w:cs="Times New Roman"/>
                <w:sz w:val="18"/>
                <w:szCs w:val="18"/>
                <w:lang w:eastAsia="en-AU"/>
              </w:rPr>
              <w:t>Observations</w:t>
            </w:r>
          </w:p>
        </w:tc>
        <w:tc>
          <w:tcPr>
            <w:tcW w:w="990" w:type="dxa"/>
            <w:tcBorders>
              <w:top w:val="nil"/>
              <w:left w:val="nil"/>
              <w:bottom w:val="single" w:sz="4" w:space="0" w:color="auto"/>
              <w:right w:val="nil"/>
            </w:tcBorders>
            <w:shd w:val="clear" w:color="auto" w:fill="auto"/>
            <w:noWrap/>
            <w:vAlign w:val="center"/>
            <w:hideMark/>
          </w:tcPr>
          <w:p w14:paraId="2CBD1B88" w14:textId="211E3F57" w:rsidR="0078364B" w:rsidRPr="00802F1A" w:rsidRDefault="0078364B" w:rsidP="0078364B">
            <w:pPr>
              <w:spacing w:line="240" w:lineRule="auto"/>
              <w:rPr>
                <w:rFonts w:eastAsia="Times New Roman" w:cs="Times New Roman"/>
                <w:sz w:val="18"/>
                <w:szCs w:val="18"/>
                <w:lang w:eastAsia="en-AU"/>
              </w:rPr>
            </w:pPr>
            <w:r w:rsidRPr="00802F1A">
              <w:rPr>
                <w:sz w:val="18"/>
                <w:szCs w:val="18"/>
              </w:rPr>
              <w:t>3,144</w:t>
            </w:r>
          </w:p>
        </w:tc>
        <w:tc>
          <w:tcPr>
            <w:tcW w:w="990" w:type="dxa"/>
            <w:tcBorders>
              <w:top w:val="nil"/>
              <w:left w:val="nil"/>
              <w:bottom w:val="single" w:sz="4" w:space="0" w:color="auto"/>
              <w:right w:val="nil"/>
            </w:tcBorders>
            <w:shd w:val="clear" w:color="auto" w:fill="auto"/>
            <w:noWrap/>
            <w:vAlign w:val="center"/>
            <w:hideMark/>
          </w:tcPr>
          <w:p w14:paraId="6DD5F916" w14:textId="1C6F2F28" w:rsidR="0078364B" w:rsidRPr="00802F1A" w:rsidRDefault="0078364B" w:rsidP="0078364B">
            <w:pPr>
              <w:spacing w:line="240" w:lineRule="auto"/>
              <w:rPr>
                <w:rFonts w:eastAsia="Times New Roman" w:cs="Times New Roman"/>
                <w:sz w:val="18"/>
                <w:szCs w:val="18"/>
                <w:lang w:eastAsia="en-AU"/>
              </w:rPr>
            </w:pPr>
            <w:r w:rsidRPr="00802F1A">
              <w:rPr>
                <w:sz w:val="18"/>
                <w:szCs w:val="18"/>
              </w:rPr>
              <w:t>3,144</w:t>
            </w:r>
          </w:p>
        </w:tc>
        <w:tc>
          <w:tcPr>
            <w:tcW w:w="990" w:type="dxa"/>
            <w:tcBorders>
              <w:top w:val="nil"/>
              <w:left w:val="nil"/>
              <w:bottom w:val="single" w:sz="4" w:space="0" w:color="auto"/>
              <w:right w:val="nil"/>
            </w:tcBorders>
            <w:shd w:val="clear" w:color="auto" w:fill="auto"/>
            <w:noWrap/>
            <w:vAlign w:val="center"/>
            <w:hideMark/>
          </w:tcPr>
          <w:p w14:paraId="44C1A22D" w14:textId="328780C9" w:rsidR="0078364B" w:rsidRPr="00802F1A" w:rsidRDefault="0078364B" w:rsidP="0078364B">
            <w:pPr>
              <w:spacing w:line="240" w:lineRule="auto"/>
              <w:rPr>
                <w:rFonts w:eastAsia="Times New Roman" w:cs="Times New Roman"/>
                <w:sz w:val="18"/>
                <w:szCs w:val="18"/>
                <w:lang w:eastAsia="en-AU"/>
              </w:rPr>
            </w:pPr>
            <w:r w:rsidRPr="00802F1A">
              <w:rPr>
                <w:sz w:val="18"/>
                <w:szCs w:val="18"/>
              </w:rPr>
              <w:t>3,144</w:t>
            </w:r>
          </w:p>
        </w:tc>
        <w:tc>
          <w:tcPr>
            <w:tcW w:w="990" w:type="dxa"/>
            <w:tcBorders>
              <w:top w:val="nil"/>
              <w:left w:val="nil"/>
              <w:bottom w:val="single" w:sz="4" w:space="0" w:color="auto"/>
              <w:right w:val="nil"/>
            </w:tcBorders>
            <w:shd w:val="clear" w:color="auto" w:fill="auto"/>
            <w:noWrap/>
            <w:vAlign w:val="center"/>
            <w:hideMark/>
          </w:tcPr>
          <w:p w14:paraId="53776273" w14:textId="0FA2EB6D" w:rsidR="0078364B" w:rsidRPr="00802F1A" w:rsidRDefault="0078364B" w:rsidP="0078364B">
            <w:pPr>
              <w:spacing w:line="240" w:lineRule="auto"/>
              <w:rPr>
                <w:rFonts w:eastAsia="Times New Roman" w:cs="Times New Roman"/>
                <w:sz w:val="18"/>
                <w:szCs w:val="18"/>
                <w:lang w:eastAsia="en-AU"/>
              </w:rPr>
            </w:pPr>
            <w:r w:rsidRPr="00802F1A">
              <w:rPr>
                <w:sz w:val="18"/>
                <w:szCs w:val="18"/>
              </w:rPr>
              <w:t>3,144</w:t>
            </w:r>
          </w:p>
        </w:tc>
        <w:tc>
          <w:tcPr>
            <w:tcW w:w="990" w:type="dxa"/>
            <w:tcBorders>
              <w:top w:val="nil"/>
              <w:left w:val="nil"/>
              <w:bottom w:val="single" w:sz="4" w:space="0" w:color="auto"/>
              <w:right w:val="nil"/>
            </w:tcBorders>
            <w:shd w:val="clear" w:color="auto" w:fill="auto"/>
            <w:noWrap/>
            <w:vAlign w:val="center"/>
            <w:hideMark/>
          </w:tcPr>
          <w:p w14:paraId="2608C845" w14:textId="283BA87D" w:rsidR="0078364B" w:rsidRPr="00802F1A" w:rsidRDefault="0078364B" w:rsidP="0078364B">
            <w:pPr>
              <w:spacing w:line="240" w:lineRule="auto"/>
              <w:rPr>
                <w:rFonts w:eastAsia="Times New Roman" w:cs="Times New Roman"/>
                <w:sz w:val="18"/>
                <w:szCs w:val="18"/>
                <w:lang w:eastAsia="en-AU"/>
              </w:rPr>
            </w:pPr>
            <w:r w:rsidRPr="00802F1A">
              <w:rPr>
                <w:sz w:val="18"/>
                <w:szCs w:val="18"/>
              </w:rPr>
              <w:t>3,144</w:t>
            </w:r>
          </w:p>
        </w:tc>
        <w:tc>
          <w:tcPr>
            <w:tcW w:w="1260" w:type="dxa"/>
            <w:tcBorders>
              <w:top w:val="nil"/>
              <w:left w:val="nil"/>
              <w:bottom w:val="single" w:sz="4" w:space="0" w:color="auto"/>
              <w:right w:val="nil"/>
            </w:tcBorders>
            <w:shd w:val="clear" w:color="auto" w:fill="auto"/>
            <w:noWrap/>
            <w:vAlign w:val="center"/>
            <w:hideMark/>
          </w:tcPr>
          <w:p w14:paraId="39F7C786" w14:textId="1D4D8BCA" w:rsidR="0078364B" w:rsidRPr="00802F1A" w:rsidRDefault="0078364B" w:rsidP="0078364B">
            <w:pPr>
              <w:spacing w:line="240" w:lineRule="auto"/>
              <w:rPr>
                <w:rFonts w:eastAsia="Times New Roman" w:cs="Times New Roman"/>
                <w:sz w:val="18"/>
                <w:szCs w:val="18"/>
                <w:lang w:eastAsia="en-AU"/>
              </w:rPr>
            </w:pPr>
            <w:r w:rsidRPr="00802F1A">
              <w:rPr>
                <w:sz w:val="18"/>
                <w:szCs w:val="18"/>
              </w:rPr>
              <w:t>3,144</w:t>
            </w:r>
          </w:p>
        </w:tc>
      </w:tr>
      <w:tr w:rsidR="00802F1A" w:rsidRPr="00802F1A" w14:paraId="7492E5A3" w14:textId="77777777" w:rsidTr="000B3160">
        <w:trPr>
          <w:trHeight w:hRule="exact" w:val="259"/>
        </w:trPr>
        <w:tc>
          <w:tcPr>
            <w:tcW w:w="8100" w:type="dxa"/>
            <w:gridSpan w:val="7"/>
            <w:tcBorders>
              <w:top w:val="single" w:sz="4" w:space="0" w:color="auto"/>
              <w:left w:val="nil"/>
              <w:right w:val="nil"/>
            </w:tcBorders>
            <w:shd w:val="clear" w:color="000000" w:fill="FFFFFF"/>
            <w:vAlign w:val="center"/>
          </w:tcPr>
          <w:p w14:paraId="374F3437" w14:textId="0B73F0D3" w:rsidR="00145AE5" w:rsidRPr="00802F1A" w:rsidRDefault="00145AE5" w:rsidP="00145AE5">
            <w:pPr>
              <w:spacing w:line="240" w:lineRule="auto"/>
              <w:rPr>
                <w:rFonts w:eastAsia="Times New Roman" w:cs="Times New Roman"/>
                <w:sz w:val="18"/>
                <w:szCs w:val="18"/>
                <w:lang w:eastAsia="en-AU"/>
              </w:rPr>
            </w:pPr>
            <w:r w:rsidRPr="00802F1A">
              <w:rPr>
                <w:rFonts w:eastAsia="Times New Roman" w:cs="Times New Roman"/>
                <w:sz w:val="18"/>
                <w:szCs w:val="18"/>
                <w:lang w:eastAsia="en-AU"/>
              </w:rPr>
              <w:t>***, ** and *: 1%, 5% and 10% levels of significance, respectively</w:t>
            </w:r>
          </w:p>
        </w:tc>
      </w:tr>
    </w:tbl>
    <w:p w14:paraId="7AC27F6D" w14:textId="129F6A31" w:rsidR="00145AE5" w:rsidRPr="00802F1A" w:rsidRDefault="00145AE5" w:rsidP="002E0E83">
      <w:pPr>
        <w:rPr>
          <w:rFonts w:cs="Times New Roman"/>
          <w:sz w:val="20"/>
          <w:szCs w:val="20"/>
          <w:lang w:val="en-US"/>
        </w:rPr>
      </w:pPr>
    </w:p>
    <w:p w14:paraId="2D1B0D93" w14:textId="4042F3CA" w:rsidR="00477727" w:rsidRPr="00802F1A" w:rsidRDefault="0095751E" w:rsidP="00410011">
      <w:pPr>
        <w:pStyle w:val="Heading1"/>
        <w:rPr>
          <w:lang w:val="en-US"/>
        </w:rPr>
      </w:pPr>
      <w:r w:rsidRPr="00802F1A">
        <w:rPr>
          <w:lang w:val="en-US"/>
        </w:rPr>
        <w:t>Conclusions and policy implications</w:t>
      </w:r>
    </w:p>
    <w:p w14:paraId="3210993C" w14:textId="77777777" w:rsidR="000B3160" w:rsidRPr="00802F1A" w:rsidRDefault="000B3160" w:rsidP="000B3160">
      <w:pPr>
        <w:jc w:val="both"/>
        <w:rPr>
          <w:rFonts w:cs="Times New Roman"/>
          <w:szCs w:val="24"/>
          <w:lang w:val="en-US"/>
        </w:rPr>
      </w:pPr>
      <w:r w:rsidRPr="00802F1A">
        <w:rPr>
          <w:rFonts w:cs="Times New Roman"/>
          <w:szCs w:val="24"/>
          <w:lang w:val="en-US"/>
        </w:rPr>
        <w:t xml:space="preserve">This study has examined the convergence patterns in energy diversification, financial development, and economic growth, as well as the interdependent relationships between these factors. The analysis utilized annual data from 134 countries spanning the period from 1995 to 2019. The findings indicate that while there was no overall convergence in these factors for the </w:t>
      </w:r>
      <w:r w:rsidRPr="00802F1A">
        <w:rPr>
          <w:rFonts w:cs="Times New Roman"/>
          <w:szCs w:val="24"/>
          <w:lang w:val="en-US"/>
        </w:rPr>
        <w:lastRenderedPageBreak/>
        <w:t>entire sample, countries did converge within their respective convergence clubs. Notably, convergence in energy diversification and per-capita income was observed among low- and lower-middle-income countries.</w:t>
      </w:r>
    </w:p>
    <w:p w14:paraId="41D37315" w14:textId="77777777" w:rsidR="000B3160" w:rsidRPr="00802F1A" w:rsidRDefault="000B3160" w:rsidP="000B3160">
      <w:pPr>
        <w:jc w:val="both"/>
        <w:rPr>
          <w:rFonts w:cs="Times New Roman"/>
          <w:szCs w:val="24"/>
          <w:lang w:val="en-US"/>
        </w:rPr>
      </w:pPr>
    </w:p>
    <w:p w14:paraId="67F2C6C4" w14:textId="77777777" w:rsidR="000B3160" w:rsidRPr="00802F1A" w:rsidRDefault="000B3160" w:rsidP="000B3160">
      <w:pPr>
        <w:jc w:val="both"/>
        <w:rPr>
          <w:rFonts w:cs="Times New Roman"/>
          <w:szCs w:val="24"/>
          <w:lang w:val="en-US"/>
        </w:rPr>
      </w:pPr>
      <w:r w:rsidRPr="00802F1A">
        <w:rPr>
          <w:rFonts w:cs="Times New Roman"/>
          <w:szCs w:val="24"/>
          <w:lang w:val="en-US"/>
        </w:rPr>
        <w:t>Both the raw data analysis and regression results affirmed the positive contribution of technological progress, represented by the linear trend, to energy diversification, financial system development, and economic growth. The Granger causality test and regression analysis revealed bi-directional positive causal relationships between energy diversification and per-capita income, as well as between financial development and per-capita income. However, there was no significant causality detected between energy diversification and financial development. Furthermore, the impacts of per-capita income on energy diversification and financial development were found to be stronger than the reverse.</w:t>
      </w:r>
    </w:p>
    <w:p w14:paraId="67C03ABF" w14:textId="77777777" w:rsidR="000B3160" w:rsidRPr="00802F1A" w:rsidRDefault="000B3160" w:rsidP="000B3160">
      <w:pPr>
        <w:jc w:val="both"/>
        <w:rPr>
          <w:rFonts w:cs="Times New Roman"/>
          <w:szCs w:val="24"/>
          <w:lang w:val="en-US"/>
        </w:rPr>
      </w:pPr>
    </w:p>
    <w:p w14:paraId="549AA0A8" w14:textId="77777777" w:rsidR="000B3160" w:rsidRPr="00802F1A" w:rsidRDefault="000B3160" w:rsidP="000B3160">
      <w:pPr>
        <w:jc w:val="both"/>
        <w:rPr>
          <w:rFonts w:cs="Times New Roman"/>
          <w:szCs w:val="24"/>
          <w:lang w:val="en-US"/>
        </w:rPr>
      </w:pPr>
      <w:r w:rsidRPr="00802F1A">
        <w:rPr>
          <w:rFonts w:cs="Times New Roman"/>
          <w:szCs w:val="24"/>
          <w:lang w:val="en-US"/>
        </w:rPr>
        <w:t>Additionally, a U-shaped relationship between oil price and energy diversification was identified, with the turning point occurring at a WTI oil price of $88.33 per barrel. The human development index demonstrated a positive influence on energy diversification, while international tourism receipt, international trade, and employment rate were positively associated with financial development. Labor participation, human development index, and capital stock were found to be crucial drivers of economic growth.</w:t>
      </w:r>
    </w:p>
    <w:p w14:paraId="4B121CC1" w14:textId="77777777" w:rsidR="000B3160" w:rsidRPr="00802F1A" w:rsidRDefault="000B3160" w:rsidP="000B3160">
      <w:pPr>
        <w:jc w:val="both"/>
        <w:rPr>
          <w:rFonts w:cs="Times New Roman"/>
          <w:szCs w:val="24"/>
          <w:lang w:val="en-US"/>
        </w:rPr>
      </w:pPr>
    </w:p>
    <w:p w14:paraId="7DCEACDD" w14:textId="10E5FC25" w:rsidR="000B3160" w:rsidRPr="00802F1A" w:rsidRDefault="000B3160" w:rsidP="000B3160">
      <w:pPr>
        <w:jc w:val="both"/>
        <w:rPr>
          <w:rFonts w:cs="Times New Roman"/>
          <w:szCs w:val="24"/>
          <w:lang w:val="en-US"/>
        </w:rPr>
      </w:pPr>
      <w:r w:rsidRPr="00802F1A">
        <w:rPr>
          <w:rFonts w:cs="Times New Roman"/>
          <w:szCs w:val="24"/>
          <w:lang w:val="en-US"/>
        </w:rPr>
        <w:t xml:space="preserve">The findings on convergence clubs and the positive linkages between energy diversification and per-capita income, as well as per-capita income and financial development, suggest that attaining a common steady-state equilibrium in energy diversification, economic prosperity, and financial robustness is achievable across countries through technological progress and diffusion. Thus, investments in human capital and technology to facilitate innovation and the adoption of cutting-edge technologies are vital prerequisites for sustainable economic and financial development. Forward-thinking policies, upfront investments, collaboration among stakeholders (government, financial institutions, large businesses, end-users, and development organizations), and government subsidies for innovation loans can encourage such investments in human and technological capital. Moreover, providing technical, managerial, and financial support from advanced countries or international organizations (such as the UN and the World Bank) to less developed countries can expedite their catch-up process. Particularly, given the significant rise in fossil fuel prices in 2022 due to the Russia-Ukraine war, promoting energy diversification through increased adoption of renewable energy sources can reduce the demand </w:t>
      </w:r>
      <w:r w:rsidRPr="00802F1A">
        <w:rPr>
          <w:rFonts w:cs="Times New Roman"/>
          <w:szCs w:val="24"/>
          <w:lang w:val="en-US"/>
        </w:rPr>
        <w:lastRenderedPageBreak/>
        <w:t>for fossil fuels, thereby driving down fossil fuel prices, mitigating the adverse impact of the global energy crisis on economic growth, and curbing greenhouse gas emissions. Making renewable energy technologies accessible to all countries emerges as a critical pathway to accelerate the energy diversification process. Future studies could focus on individual countries using time-series techniques or specific regional groupings, considering the global dataset utilized in this study.</w:t>
      </w:r>
    </w:p>
    <w:p w14:paraId="2E1A6C01" w14:textId="77777777" w:rsidR="002B6363" w:rsidRPr="00802F1A" w:rsidRDefault="002B6363" w:rsidP="00E3409E">
      <w:pPr>
        <w:spacing w:line="300" w:lineRule="auto"/>
        <w:jc w:val="both"/>
        <w:rPr>
          <w:b/>
          <w:bCs/>
          <w:sz w:val="22"/>
        </w:rPr>
      </w:pPr>
    </w:p>
    <w:p w14:paraId="056C348A" w14:textId="46CE6170" w:rsidR="00E3409E" w:rsidRPr="00802F1A" w:rsidRDefault="00E3409E" w:rsidP="00E3409E">
      <w:pPr>
        <w:spacing w:line="300" w:lineRule="auto"/>
        <w:jc w:val="both"/>
        <w:rPr>
          <w:b/>
          <w:bCs/>
          <w:sz w:val="22"/>
        </w:rPr>
      </w:pPr>
      <w:r w:rsidRPr="00802F1A">
        <w:rPr>
          <w:b/>
          <w:bCs/>
          <w:sz w:val="22"/>
        </w:rPr>
        <w:t>Declaration of Competing Interest</w:t>
      </w:r>
    </w:p>
    <w:p w14:paraId="2328538C" w14:textId="0CFD468F" w:rsidR="00E3409E" w:rsidRPr="00802F1A" w:rsidRDefault="00E3409E" w:rsidP="00E3409E">
      <w:pPr>
        <w:spacing w:line="300" w:lineRule="auto"/>
        <w:jc w:val="both"/>
        <w:rPr>
          <w:sz w:val="22"/>
        </w:rPr>
      </w:pPr>
      <w:r w:rsidRPr="00802F1A">
        <w:rPr>
          <w:sz w:val="22"/>
        </w:rPr>
        <w:t>None</w:t>
      </w:r>
    </w:p>
    <w:p w14:paraId="6B8891F8" w14:textId="77777777" w:rsidR="002E0BE8" w:rsidRPr="00802F1A" w:rsidRDefault="002E0BE8" w:rsidP="00E3409E">
      <w:pPr>
        <w:spacing w:line="300" w:lineRule="auto"/>
        <w:jc w:val="both"/>
        <w:rPr>
          <w:sz w:val="22"/>
        </w:rPr>
      </w:pPr>
    </w:p>
    <w:p w14:paraId="07BFAD05" w14:textId="77777777" w:rsidR="002E0BE8" w:rsidRPr="002E0BE8" w:rsidRDefault="002E0BE8" w:rsidP="002E0BE8">
      <w:pPr>
        <w:keepNext/>
        <w:keepLines/>
        <w:spacing w:line="300" w:lineRule="auto"/>
        <w:jc w:val="both"/>
        <w:outlineLvl w:val="0"/>
        <w:rPr>
          <w:rFonts w:eastAsiaTheme="majorEastAsia" w:cstheme="majorBidi"/>
          <w:b/>
          <w:sz w:val="22"/>
          <w:szCs w:val="32"/>
        </w:rPr>
      </w:pPr>
      <w:r w:rsidRPr="002E0BE8">
        <w:rPr>
          <w:rFonts w:eastAsiaTheme="majorEastAsia" w:cstheme="majorBidi"/>
          <w:b/>
          <w:sz w:val="22"/>
          <w:szCs w:val="32"/>
        </w:rPr>
        <w:t>Data availability</w:t>
      </w:r>
      <w:r w:rsidRPr="002E0BE8">
        <w:rPr>
          <w:rFonts w:eastAsiaTheme="majorEastAsia" w:cstheme="majorBidi"/>
          <w:bCs/>
          <w:sz w:val="22"/>
          <w:szCs w:val="32"/>
        </w:rPr>
        <w:t>:</w:t>
      </w:r>
      <w:r w:rsidRPr="002E0BE8">
        <w:rPr>
          <w:rFonts w:eastAsiaTheme="majorEastAsia" w:cstheme="majorBidi"/>
          <w:b/>
          <w:sz w:val="22"/>
          <w:szCs w:val="32"/>
        </w:rPr>
        <w:t xml:space="preserve"> </w:t>
      </w:r>
      <w:r w:rsidRPr="002E0BE8">
        <w:rPr>
          <w:rFonts w:eastAsiaTheme="majorEastAsia" w:cstheme="majorBidi"/>
          <w:bCs/>
          <w:sz w:val="22"/>
          <w:szCs w:val="32"/>
        </w:rPr>
        <w:t>Data in support of findings of this study is available from the corresponding author upon reasonable request</w:t>
      </w:r>
      <w:r w:rsidRPr="002E0BE8">
        <w:rPr>
          <w:rFonts w:eastAsiaTheme="majorEastAsia" w:cstheme="majorBidi"/>
          <w:b/>
          <w:sz w:val="22"/>
          <w:szCs w:val="32"/>
        </w:rPr>
        <w:t>.</w:t>
      </w:r>
    </w:p>
    <w:p w14:paraId="7FA40557" w14:textId="526DD3FD" w:rsidR="000C2331" w:rsidRPr="00802F1A" w:rsidRDefault="000C2331" w:rsidP="00E3409E">
      <w:pPr>
        <w:spacing w:line="300" w:lineRule="auto"/>
        <w:jc w:val="both"/>
        <w:rPr>
          <w:sz w:val="22"/>
        </w:rPr>
      </w:pPr>
    </w:p>
    <w:p w14:paraId="4CBFD9A8" w14:textId="26858ABA" w:rsidR="00EB59D3" w:rsidRPr="00802F1A" w:rsidRDefault="00EB59D3" w:rsidP="00076B54">
      <w:pPr>
        <w:pStyle w:val="Heading1"/>
        <w:numPr>
          <w:ilvl w:val="0"/>
          <w:numId w:val="0"/>
        </w:numPr>
        <w:spacing w:before="120" w:after="120"/>
        <w:ind w:left="360" w:hanging="360"/>
        <w:rPr>
          <w:lang w:val="en-US"/>
        </w:rPr>
      </w:pPr>
      <w:r w:rsidRPr="00802F1A">
        <w:rPr>
          <w:lang w:val="en-US"/>
        </w:rPr>
        <w:t>Reference</w:t>
      </w:r>
      <w:r w:rsidR="00D038D3" w:rsidRPr="00802F1A">
        <w:rPr>
          <w:lang w:val="en-US"/>
        </w:rPr>
        <w:t>s</w:t>
      </w:r>
    </w:p>
    <w:p w14:paraId="03E70222" w14:textId="77777777" w:rsidR="009B354E" w:rsidRPr="00802F1A" w:rsidRDefault="00AD58AE" w:rsidP="009B354E">
      <w:pPr>
        <w:pStyle w:val="EndNoteBibliography"/>
        <w:ind w:left="720" w:hanging="720"/>
      </w:pPr>
      <w:r w:rsidRPr="00802F1A">
        <w:rPr>
          <w:sz w:val="22"/>
        </w:rPr>
        <w:fldChar w:fldCharType="begin"/>
      </w:r>
      <w:r w:rsidRPr="00802F1A">
        <w:rPr>
          <w:sz w:val="22"/>
        </w:rPr>
        <w:instrText xml:space="preserve"> ADDIN EN.REFLIST </w:instrText>
      </w:r>
      <w:r w:rsidRPr="00802F1A">
        <w:rPr>
          <w:sz w:val="22"/>
        </w:rPr>
        <w:fldChar w:fldCharType="separate"/>
      </w:r>
      <w:r w:rsidR="009B354E" w:rsidRPr="00802F1A">
        <w:t xml:space="preserve">Abanda, F.H., Ng’ombe, A., Keivani, R. &amp; Tah, J.H.M., 2012. The link between renewable energy production and gross domestic product in Africa: A comparative study between 1980 and 2008. </w:t>
      </w:r>
      <w:r w:rsidR="009B354E" w:rsidRPr="00802F1A">
        <w:rPr>
          <w:i/>
        </w:rPr>
        <w:t xml:space="preserve">Renewable and Sustainable Energy Reviews, </w:t>
      </w:r>
      <w:r w:rsidR="009B354E" w:rsidRPr="00802F1A">
        <w:t>16</w:t>
      </w:r>
      <w:r w:rsidR="009B354E" w:rsidRPr="00802F1A">
        <w:rPr>
          <w:b/>
        </w:rPr>
        <w:t>,</w:t>
      </w:r>
      <w:r w:rsidR="009B354E" w:rsidRPr="00802F1A">
        <w:t xml:space="preserve"> 2147-2153.</w:t>
      </w:r>
    </w:p>
    <w:p w14:paraId="3A6CD9E3" w14:textId="77777777" w:rsidR="009B354E" w:rsidRPr="00802F1A" w:rsidRDefault="009B354E" w:rsidP="009B354E">
      <w:pPr>
        <w:pStyle w:val="EndNoteBibliography"/>
        <w:ind w:left="720" w:hanging="720"/>
      </w:pPr>
      <w:r w:rsidRPr="00802F1A">
        <w:t xml:space="preserve">Abiad, A., Leigh, D. &amp; Mody, A., 2009. Financial integration, capital mobility, and income convergence. </w:t>
      </w:r>
      <w:r w:rsidRPr="00802F1A">
        <w:rPr>
          <w:i/>
        </w:rPr>
        <w:t xml:space="preserve">Economic policy, </w:t>
      </w:r>
      <w:r w:rsidRPr="00802F1A">
        <w:t>24</w:t>
      </w:r>
      <w:r w:rsidRPr="00802F1A">
        <w:rPr>
          <w:b/>
        </w:rPr>
        <w:t>,</w:t>
      </w:r>
      <w:r w:rsidRPr="00802F1A">
        <w:t xml:space="preserve"> 241-305.</w:t>
      </w:r>
    </w:p>
    <w:p w14:paraId="0FCA8B06" w14:textId="77777777" w:rsidR="009B354E" w:rsidRPr="00802F1A" w:rsidRDefault="009B354E" w:rsidP="009B354E">
      <w:pPr>
        <w:pStyle w:val="EndNoteBibliography"/>
        <w:ind w:left="720" w:hanging="720"/>
      </w:pPr>
      <w:r w:rsidRPr="00802F1A">
        <w:t xml:space="preserve">Barro, R.J. &amp; Sala-I-Martin, X., 1992. Convergence. </w:t>
      </w:r>
      <w:r w:rsidRPr="00802F1A">
        <w:rPr>
          <w:i/>
        </w:rPr>
        <w:t xml:space="preserve">Journal of political Economy, </w:t>
      </w:r>
      <w:r w:rsidRPr="00802F1A">
        <w:t>100</w:t>
      </w:r>
      <w:r w:rsidRPr="00802F1A">
        <w:rPr>
          <w:b/>
        </w:rPr>
        <w:t>,</w:t>
      </w:r>
      <w:r w:rsidRPr="00802F1A">
        <w:t xml:space="preserve"> 223-251.</w:t>
      </w:r>
    </w:p>
    <w:p w14:paraId="10F33B3A" w14:textId="77777777" w:rsidR="009B354E" w:rsidRPr="00802F1A" w:rsidRDefault="009B354E" w:rsidP="009B354E">
      <w:pPr>
        <w:pStyle w:val="EndNoteBibliography"/>
        <w:ind w:left="720" w:hanging="720"/>
      </w:pPr>
      <w:r w:rsidRPr="00802F1A">
        <w:t xml:space="preserve">Barro, R.J. &amp; Sala-I-Martin, X., 1997. Technological Diffusion, Convergence, and Growth. </w:t>
      </w:r>
      <w:r w:rsidRPr="00802F1A">
        <w:rPr>
          <w:i/>
        </w:rPr>
        <w:t xml:space="preserve">Journal of economic growth (Boston, Mass.), </w:t>
      </w:r>
      <w:r w:rsidRPr="00802F1A">
        <w:t>2</w:t>
      </w:r>
      <w:r w:rsidRPr="00802F1A">
        <w:rPr>
          <w:b/>
        </w:rPr>
        <w:t>,</w:t>
      </w:r>
      <w:r w:rsidRPr="00802F1A">
        <w:t xml:space="preserve"> 1-26.</w:t>
      </w:r>
    </w:p>
    <w:p w14:paraId="623A90EF" w14:textId="77777777" w:rsidR="009B354E" w:rsidRPr="00802F1A" w:rsidRDefault="009B354E" w:rsidP="009B354E">
      <w:pPr>
        <w:pStyle w:val="EndNoteBibliography"/>
        <w:ind w:left="720" w:hanging="720"/>
      </w:pPr>
      <w:r w:rsidRPr="00802F1A">
        <w:t xml:space="preserve">Barro, R.J., Sala-I-Martin, X., Blanchard, O.J. &amp; Hall, R.E., 1991. Convergence Across States and Regions. </w:t>
      </w:r>
      <w:r w:rsidRPr="00802F1A">
        <w:rPr>
          <w:i/>
        </w:rPr>
        <w:t xml:space="preserve">Brookings papers on economic activity, </w:t>
      </w:r>
      <w:r w:rsidRPr="00802F1A">
        <w:t>1991</w:t>
      </w:r>
      <w:r w:rsidRPr="00802F1A">
        <w:rPr>
          <w:b/>
        </w:rPr>
        <w:t>,</w:t>
      </w:r>
      <w:r w:rsidRPr="00802F1A">
        <w:t xml:space="preserve"> 107-182.</w:t>
      </w:r>
    </w:p>
    <w:p w14:paraId="02B9CDA8" w14:textId="77777777" w:rsidR="009B354E" w:rsidRPr="00802F1A" w:rsidRDefault="009B354E" w:rsidP="009B354E">
      <w:pPr>
        <w:pStyle w:val="EndNoteBibliography"/>
        <w:ind w:left="720" w:hanging="720"/>
      </w:pPr>
      <w:r w:rsidRPr="00802F1A">
        <w:t xml:space="preserve">Baumol, W.J., 1986. Productivity growth, convergence, and welfare: what the long-run data show. </w:t>
      </w:r>
      <w:r w:rsidRPr="00802F1A">
        <w:rPr>
          <w:i/>
        </w:rPr>
        <w:t>The american economic review</w:t>
      </w:r>
      <w:r w:rsidRPr="00802F1A">
        <w:rPr>
          <w:b/>
        </w:rPr>
        <w:t>,</w:t>
      </w:r>
      <w:r w:rsidRPr="00802F1A">
        <w:t xml:space="preserve"> 1072-1085.</w:t>
      </w:r>
    </w:p>
    <w:p w14:paraId="7C981381" w14:textId="77777777" w:rsidR="009B354E" w:rsidRPr="00802F1A" w:rsidRDefault="009B354E" w:rsidP="009B354E">
      <w:pPr>
        <w:pStyle w:val="EndNoteBibliography"/>
        <w:ind w:left="720" w:hanging="720"/>
      </w:pPr>
      <w:r w:rsidRPr="00802F1A">
        <w:t xml:space="preserve">Bellemare, M.F., 2015. Rising food prices, food price volatility, and social unrest. </w:t>
      </w:r>
      <w:r w:rsidRPr="00802F1A">
        <w:rPr>
          <w:i/>
        </w:rPr>
        <w:t xml:space="preserve">American Journal of agricultural economics, </w:t>
      </w:r>
      <w:r w:rsidRPr="00802F1A">
        <w:t>97</w:t>
      </w:r>
      <w:r w:rsidRPr="00802F1A">
        <w:rPr>
          <w:b/>
        </w:rPr>
        <w:t>,</w:t>
      </w:r>
      <w:r w:rsidRPr="00802F1A">
        <w:t xml:space="preserve"> 1-21.</w:t>
      </w:r>
    </w:p>
    <w:p w14:paraId="08223234" w14:textId="77777777" w:rsidR="009B354E" w:rsidRPr="00802F1A" w:rsidRDefault="009B354E" w:rsidP="009B354E">
      <w:pPr>
        <w:pStyle w:val="EndNoteBibliography"/>
        <w:ind w:left="720" w:hanging="720"/>
      </w:pPr>
      <w:r w:rsidRPr="00802F1A">
        <w:t xml:space="preserve">Ben-David, D. &amp; Kimhi, A., 2004. Trade and the rate of income convergence. </w:t>
      </w:r>
      <w:r w:rsidRPr="00802F1A">
        <w:rPr>
          <w:i/>
        </w:rPr>
        <w:t xml:space="preserve">The journal of international trade &amp; economic development, </w:t>
      </w:r>
      <w:r w:rsidRPr="00802F1A">
        <w:t>13</w:t>
      </w:r>
      <w:r w:rsidRPr="00802F1A">
        <w:rPr>
          <w:b/>
        </w:rPr>
        <w:t>,</w:t>
      </w:r>
      <w:r w:rsidRPr="00802F1A">
        <w:t xml:space="preserve"> 419-441.</w:t>
      </w:r>
    </w:p>
    <w:p w14:paraId="44AE120E" w14:textId="77777777" w:rsidR="009B354E" w:rsidRPr="00802F1A" w:rsidRDefault="009B354E" w:rsidP="009B354E">
      <w:pPr>
        <w:pStyle w:val="EndNoteBibliography"/>
        <w:ind w:left="720" w:hanging="720"/>
      </w:pPr>
      <w:r w:rsidRPr="00802F1A">
        <w:t xml:space="preserve">Best, R., 2017. Switching towards coal or renewable energy? The effects of financial capital on energy transitions. </w:t>
      </w:r>
      <w:r w:rsidRPr="00802F1A">
        <w:rPr>
          <w:i/>
        </w:rPr>
        <w:t xml:space="preserve">Energy Economics, </w:t>
      </w:r>
      <w:r w:rsidRPr="00802F1A">
        <w:t>63</w:t>
      </w:r>
      <w:r w:rsidRPr="00802F1A">
        <w:rPr>
          <w:b/>
        </w:rPr>
        <w:t>,</w:t>
      </w:r>
      <w:r w:rsidRPr="00802F1A">
        <w:t xml:space="preserve"> 75-83.</w:t>
      </w:r>
    </w:p>
    <w:p w14:paraId="03D98BAD" w14:textId="77777777" w:rsidR="009B354E" w:rsidRPr="00802F1A" w:rsidRDefault="009B354E" w:rsidP="009B354E">
      <w:pPr>
        <w:pStyle w:val="EndNoteBibliography"/>
        <w:ind w:left="720" w:hanging="720"/>
      </w:pPr>
      <w:r w:rsidRPr="00802F1A">
        <w:t xml:space="preserve">Bilan, Y., Streimikiene, D., Vasylieva, T., Lyulyov, O., Pimonenko, T. &amp; Pavlyk, A., 2019. Linking between Renewable Energy, CO2 Emissions, and Economic Growth: Challenges for Candidates and Potential Candidates for the EU Membership. </w:t>
      </w:r>
      <w:r w:rsidRPr="00802F1A">
        <w:rPr>
          <w:i/>
        </w:rPr>
        <w:t xml:space="preserve">Sustainability, </w:t>
      </w:r>
      <w:r w:rsidRPr="00802F1A">
        <w:t>11.</w:t>
      </w:r>
    </w:p>
    <w:p w14:paraId="0C680CA5" w14:textId="77777777" w:rsidR="009B354E" w:rsidRPr="00802F1A" w:rsidRDefault="009B354E" w:rsidP="009B354E">
      <w:pPr>
        <w:pStyle w:val="EndNoteBibliography"/>
        <w:ind w:left="720" w:hanging="720"/>
      </w:pPr>
      <w:r w:rsidRPr="00802F1A">
        <w:t xml:space="preserve">Breitung, J., 2001. The local power of some unit root tests for panel data. </w:t>
      </w:r>
      <w:r w:rsidRPr="00802F1A">
        <w:rPr>
          <w:i/>
        </w:rPr>
        <w:t>Nonstationary panels, panel cointegration, and dynamic panels.</w:t>
      </w:r>
      <w:r w:rsidRPr="00802F1A">
        <w:t xml:space="preserve"> Emerald Group Publishing Limited.</w:t>
      </w:r>
    </w:p>
    <w:p w14:paraId="75359875" w14:textId="77777777" w:rsidR="009B354E" w:rsidRPr="00802F1A" w:rsidRDefault="009B354E" w:rsidP="009B354E">
      <w:pPr>
        <w:pStyle w:val="EndNoteBibliography"/>
        <w:ind w:left="720" w:hanging="720"/>
      </w:pPr>
      <w:r w:rsidRPr="00802F1A">
        <w:t xml:space="preserve">Cabral, R. &amp; Castellanos-Sosa, F.A., 2019. Europe's income convergence and the latest global financial crisis. </w:t>
      </w:r>
      <w:r w:rsidRPr="00802F1A">
        <w:rPr>
          <w:i/>
        </w:rPr>
        <w:t xml:space="preserve">Research in economics, </w:t>
      </w:r>
      <w:r w:rsidRPr="00802F1A">
        <w:t>73</w:t>
      </w:r>
      <w:r w:rsidRPr="00802F1A">
        <w:rPr>
          <w:b/>
        </w:rPr>
        <w:t>,</w:t>
      </w:r>
      <w:r w:rsidRPr="00802F1A">
        <w:t xml:space="preserve"> 23-34.</w:t>
      </w:r>
    </w:p>
    <w:p w14:paraId="14A38CB5" w14:textId="77777777" w:rsidR="009B354E" w:rsidRPr="00802F1A" w:rsidRDefault="009B354E" w:rsidP="009B354E">
      <w:pPr>
        <w:pStyle w:val="EndNoteBibliography"/>
        <w:ind w:left="720" w:hanging="720"/>
      </w:pPr>
      <w:r w:rsidRPr="00802F1A">
        <w:t xml:space="preserve">Callaghan, C.W., 2021. Lessons and insights from the global productivity slowdown: A research management agenda. </w:t>
      </w:r>
      <w:r w:rsidRPr="00802F1A">
        <w:rPr>
          <w:i/>
        </w:rPr>
        <w:t>African journal of science, technology, innovation and development</w:t>
      </w:r>
      <w:r w:rsidRPr="00802F1A">
        <w:rPr>
          <w:b/>
        </w:rPr>
        <w:t>,</w:t>
      </w:r>
      <w:r w:rsidRPr="00802F1A">
        <w:t xml:space="preserve"> 1-9.</w:t>
      </w:r>
    </w:p>
    <w:p w14:paraId="1A26C866" w14:textId="77777777" w:rsidR="009B354E" w:rsidRPr="00802F1A" w:rsidRDefault="009B354E" w:rsidP="009B354E">
      <w:pPr>
        <w:pStyle w:val="EndNoteBibliography"/>
        <w:ind w:left="720" w:hanging="720"/>
      </w:pPr>
      <w:r w:rsidRPr="00802F1A">
        <w:t xml:space="preserve">Cetin, M.A. &amp; Bakirtas, I., 2020. The long-run environmental impacts of economic growth, financial development, and energy consumption: Evidence from emerging markets. </w:t>
      </w:r>
      <w:r w:rsidRPr="00802F1A">
        <w:rPr>
          <w:i/>
        </w:rPr>
        <w:t xml:space="preserve">Energy &amp; environment (Essex, England), </w:t>
      </w:r>
      <w:r w:rsidRPr="00802F1A">
        <w:t>31</w:t>
      </w:r>
      <w:r w:rsidRPr="00802F1A">
        <w:rPr>
          <w:b/>
        </w:rPr>
        <w:t>,</w:t>
      </w:r>
      <w:r w:rsidRPr="00802F1A">
        <w:t xml:space="preserve"> 634-655.</w:t>
      </w:r>
    </w:p>
    <w:p w14:paraId="01697D92" w14:textId="77777777" w:rsidR="009B354E" w:rsidRPr="00802F1A" w:rsidRDefault="009B354E" w:rsidP="009B354E">
      <w:pPr>
        <w:pStyle w:val="EndNoteBibliography"/>
        <w:ind w:left="720" w:hanging="720"/>
      </w:pPr>
      <w:r w:rsidRPr="00802F1A">
        <w:t xml:space="preserve">Chiara, C., Dan, A. &amp; Peter, N.G., 2016. The global productivity slowdown, technology divergence, and public policy: A firm level perspective. </w:t>
      </w:r>
      <w:r w:rsidRPr="00802F1A">
        <w:rPr>
          <w:i/>
        </w:rPr>
        <w:t>Hutchins Center Working Papers</w:t>
      </w:r>
      <w:r w:rsidRPr="00802F1A">
        <w:t>.</w:t>
      </w:r>
    </w:p>
    <w:p w14:paraId="0A3D72A5" w14:textId="77777777" w:rsidR="009B354E" w:rsidRPr="00802F1A" w:rsidRDefault="009B354E" w:rsidP="009B354E">
      <w:pPr>
        <w:pStyle w:val="EndNoteBibliography"/>
        <w:ind w:left="720" w:hanging="720"/>
      </w:pPr>
      <w:r w:rsidRPr="00802F1A">
        <w:t xml:space="preserve">Christiano, L.J. &amp; Fitzgerald, T.J., 2003. The band pass filter. </w:t>
      </w:r>
      <w:r w:rsidRPr="00802F1A">
        <w:rPr>
          <w:i/>
        </w:rPr>
        <w:t xml:space="preserve">international economic review, </w:t>
      </w:r>
      <w:r w:rsidRPr="00802F1A">
        <w:t>44</w:t>
      </w:r>
      <w:r w:rsidRPr="00802F1A">
        <w:rPr>
          <w:b/>
        </w:rPr>
        <w:t>,</w:t>
      </w:r>
      <w:r w:rsidRPr="00802F1A">
        <w:t xml:space="preserve"> 435-465.</w:t>
      </w:r>
    </w:p>
    <w:p w14:paraId="7B65D460" w14:textId="77777777" w:rsidR="009B354E" w:rsidRPr="00802F1A" w:rsidRDefault="009B354E" w:rsidP="009B354E">
      <w:pPr>
        <w:pStyle w:val="EndNoteBibliography"/>
        <w:ind w:left="720" w:hanging="720"/>
      </w:pPr>
      <w:r w:rsidRPr="00802F1A">
        <w:t xml:space="preserve">Chuang, M.C. &amp; Ma, H.W., 2013. Energy security and improvements in the function of diversity indices—Taiwan energy supply structure case study. </w:t>
      </w:r>
      <w:r w:rsidRPr="00802F1A">
        <w:rPr>
          <w:i/>
        </w:rPr>
        <w:t xml:space="preserve">Renewable and Sustainable Energy Reviews, </w:t>
      </w:r>
      <w:r w:rsidRPr="00802F1A">
        <w:t>24</w:t>
      </w:r>
      <w:r w:rsidRPr="00802F1A">
        <w:rPr>
          <w:b/>
        </w:rPr>
        <w:t>,</w:t>
      </w:r>
      <w:r w:rsidRPr="00802F1A">
        <w:t xml:space="preserve"> 9-20.</w:t>
      </w:r>
    </w:p>
    <w:p w14:paraId="04541624" w14:textId="77777777" w:rsidR="009B354E" w:rsidRPr="00802F1A" w:rsidRDefault="009B354E" w:rsidP="009B354E">
      <w:pPr>
        <w:pStyle w:val="EndNoteBibliography"/>
        <w:ind w:left="720" w:hanging="720"/>
      </w:pPr>
      <w:r w:rsidRPr="00802F1A">
        <w:t>Corrado, L., Stengos, T., Weeks, M. &amp; Yazgan, M.E., 2018. Robust Tests for Convergence Clubs.</w:t>
      </w:r>
    </w:p>
    <w:p w14:paraId="56AF0CC4" w14:textId="77777777" w:rsidR="009B354E" w:rsidRPr="00802F1A" w:rsidRDefault="009B354E" w:rsidP="009B354E">
      <w:pPr>
        <w:pStyle w:val="EndNoteBibliography"/>
        <w:ind w:left="720" w:hanging="720"/>
      </w:pPr>
      <w:r w:rsidRPr="00802F1A">
        <w:lastRenderedPageBreak/>
        <w:t xml:space="preserve">De Rosa, M., Gainsford, K., Pallonetto, F. &amp; Finn, D.P., 2022. Diversification, concentration and renewability of the energy supply in the European Union. </w:t>
      </w:r>
      <w:r w:rsidRPr="00802F1A">
        <w:rPr>
          <w:i/>
        </w:rPr>
        <w:t xml:space="preserve">Energy, </w:t>
      </w:r>
      <w:r w:rsidRPr="00802F1A">
        <w:t>253</w:t>
      </w:r>
      <w:r w:rsidRPr="00802F1A">
        <w:rPr>
          <w:b/>
        </w:rPr>
        <w:t>,</w:t>
      </w:r>
      <w:r w:rsidRPr="00802F1A">
        <w:t xml:space="preserve"> 124097.</w:t>
      </w:r>
    </w:p>
    <w:p w14:paraId="7E7DC047" w14:textId="77777777" w:rsidR="009B354E" w:rsidRPr="00802F1A" w:rsidRDefault="009B354E" w:rsidP="009B354E">
      <w:pPr>
        <w:pStyle w:val="EndNoteBibliography"/>
        <w:ind w:left="720" w:hanging="720"/>
      </w:pPr>
      <w:r w:rsidRPr="00802F1A">
        <w:t xml:space="preserve">Destek, M.A., 2018. Financial development and energy consumption nexus in emerging economies. </w:t>
      </w:r>
      <w:r w:rsidRPr="00802F1A">
        <w:rPr>
          <w:i/>
        </w:rPr>
        <w:t xml:space="preserve">Energy sources. Part B, Economics, planning and policy, </w:t>
      </w:r>
      <w:r w:rsidRPr="00802F1A">
        <w:t>13</w:t>
      </w:r>
      <w:r w:rsidRPr="00802F1A">
        <w:rPr>
          <w:b/>
        </w:rPr>
        <w:t>,</w:t>
      </w:r>
      <w:r w:rsidRPr="00802F1A">
        <w:t xml:space="preserve"> 76-81.</w:t>
      </w:r>
    </w:p>
    <w:p w14:paraId="77C994B5" w14:textId="77777777" w:rsidR="009B354E" w:rsidRPr="00802F1A" w:rsidRDefault="009B354E" w:rsidP="009B354E">
      <w:pPr>
        <w:pStyle w:val="EndNoteBibliography"/>
        <w:ind w:left="720" w:hanging="720"/>
      </w:pPr>
      <w:r w:rsidRPr="00802F1A">
        <w:t xml:space="preserve">Dickey, D.A. &amp; Fuller, W.A., 1979. Distribution of the estimators for autoregressive time series with a unit root. </w:t>
      </w:r>
      <w:r w:rsidRPr="00802F1A">
        <w:rPr>
          <w:i/>
        </w:rPr>
        <w:t xml:space="preserve">Journal of the American statistical association, </w:t>
      </w:r>
      <w:r w:rsidRPr="00802F1A">
        <w:t>74</w:t>
      </w:r>
      <w:r w:rsidRPr="00802F1A">
        <w:rPr>
          <w:b/>
        </w:rPr>
        <w:t>,</w:t>
      </w:r>
      <w:r w:rsidRPr="00802F1A">
        <w:t xml:space="preserve"> 427-431.</w:t>
      </w:r>
    </w:p>
    <w:p w14:paraId="4B8754D1" w14:textId="77777777" w:rsidR="009B354E" w:rsidRPr="00802F1A" w:rsidRDefault="009B354E" w:rsidP="009B354E">
      <w:pPr>
        <w:pStyle w:val="EndNoteBibliography"/>
        <w:ind w:left="720" w:hanging="720"/>
      </w:pPr>
      <w:r w:rsidRPr="00802F1A">
        <w:t xml:space="preserve">Driscoll, J.C. &amp; Kraay, A.C., 1998. Consistent covariance matrix estimation with spatially dependent panel data. </w:t>
      </w:r>
      <w:r w:rsidRPr="00802F1A">
        <w:rPr>
          <w:i/>
        </w:rPr>
        <w:t xml:space="preserve">Review of economics and statistics, </w:t>
      </w:r>
      <w:r w:rsidRPr="00802F1A">
        <w:t>80</w:t>
      </w:r>
      <w:r w:rsidRPr="00802F1A">
        <w:rPr>
          <w:b/>
        </w:rPr>
        <w:t>,</w:t>
      </w:r>
      <w:r w:rsidRPr="00802F1A">
        <w:t xml:space="preserve"> 549-560.</w:t>
      </w:r>
    </w:p>
    <w:p w14:paraId="697853E9" w14:textId="77777777" w:rsidR="009B354E" w:rsidRPr="00802F1A" w:rsidRDefault="009B354E" w:rsidP="009B354E">
      <w:pPr>
        <w:pStyle w:val="EndNoteBibliography"/>
        <w:ind w:left="720" w:hanging="720"/>
      </w:pPr>
      <w:r w:rsidRPr="00802F1A">
        <w:t xml:space="preserve">Dumitrescu, E.-I. &amp; Hurlin, C., 2012. Testing for Granger non-causality in heterogeneous panels. </w:t>
      </w:r>
      <w:r w:rsidRPr="00802F1A">
        <w:rPr>
          <w:i/>
        </w:rPr>
        <w:t xml:space="preserve">Economic Modelling, </w:t>
      </w:r>
      <w:r w:rsidRPr="00802F1A">
        <w:t>29</w:t>
      </w:r>
      <w:r w:rsidRPr="00802F1A">
        <w:rPr>
          <w:b/>
        </w:rPr>
        <w:t>,</w:t>
      </w:r>
      <w:r w:rsidRPr="00802F1A">
        <w:t xml:space="preserve"> 1450-1460.</w:t>
      </w:r>
    </w:p>
    <w:p w14:paraId="7F9057F4" w14:textId="77777777" w:rsidR="009B354E" w:rsidRPr="00802F1A" w:rsidRDefault="009B354E" w:rsidP="009B354E">
      <w:pPr>
        <w:pStyle w:val="EndNoteBibliography"/>
        <w:ind w:left="720" w:hanging="720"/>
      </w:pPr>
      <w:r w:rsidRPr="00802F1A">
        <w:t xml:space="preserve">Durusu-Ciftci, D., Soytas, U. &amp; Nazlioglu, S., 2020. Financial development and energy consumption in emerging markets: Smooth structural shifts and causal linkages. </w:t>
      </w:r>
      <w:r w:rsidRPr="00802F1A">
        <w:rPr>
          <w:i/>
        </w:rPr>
        <w:t xml:space="preserve">Energy economics, </w:t>
      </w:r>
      <w:r w:rsidRPr="00802F1A">
        <w:t>87</w:t>
      </w:r>
      <w:r w:rsidRPr="00802F1A">
        <w:rPr>
          <w:b/>
        </w:rPr>
        <w:t>,</w:t>
      </w:r>
      <w:r w:rsidRPr="00802F1A">
        <w:t xml:space="preserve"> 104729.</w:t>
      </w:r>
    </w:p>
    <w:p w14:paraId="7A7F5F61" w14:textId="77777777" w:rsidR="009B354E" w:rsidRPr="00802F1A" w:rsidRDefault="009B354E" w:rsidP="009B354E">
      <w:pPr>
        <w:pStyle w:val="EndNoteBibliography"/>
        <w:ind w:left="720" w:hanging="720"/>
      </w:pPr>
      <w:r w:rsidRPr="00802F1A">
        <w:t xml:space="preserve">Ghatak, S. &amp; De, P., 2021. Income Convergence Across Asian Economies: An Empirical Exploration. </w:t>
      </w:r>
      <w:r w:rsidRPr="00802F1A">
        <w:rPr>
          <w:i/>
        </w:rPr>
        <w:t xml:space="preserve">Journal of Asia-Pacific business, </w:t>
      </w:r>
      <w:r w:rsidRPr="00802F1A">
        <w:t>22</w:t>
      </w:r>
      <w:r w:rsidRPr="00802F1A">
        <w:rPr>
          <w:b/>
        </w:rPr>
        <w:t>,</w:t>
      </w:r>
      <w:r w:rsidRPr="00802F1A">
        <w:t xml:space="preserve"> 182-200.</w:t>
      </w:r>
    </w:p>
    <w:p w14:paraId="7C7CDC92" w14:textId="77777777" w:rsidR="009B354E" w:rsidRPr="00802F1A" w:rsidRDefault="009B354E" w:rsidP="009B354E">
      <w:pPr>
        <w:pStyle w:val="EndNoteBibliography"/>
        <w:ind w:left="720" w:hanging="720"/>
      </w:pPr>
      <w:r w:rsidRPr="00802F1A">
        <w:t xml:space="preserve">Hamilton, J.D., 2018. Why You Should Never Use the Hodrick-Prescott Filter. </w:t>
      </w:r>
      <w:r w:rsidRPr="00802F1A">
        <w:rPr>
          <w:i/>
        </w:rPr>
        <w:t xml:space="preserve">The Review of Economics and Statistics, </w:t>
      </w:r>
      <w:r w:rsidRPr="00802F1A">
        <w:t>100</w:t>
      </w:r>
      <w:r w:rsidRPr="00802F1A">
        <w:rPr>
          <w:b/>
        </w:rPr>
        <w:t>,</w:t>
      </w:r>
      <w:r w:rsidRPr="00802F1A">
        <w:t xml:space="preserve"> 831-843.</w:t>
      </w:r>
    </w:p>
    <w:p w14:paraId="359F49A2" w14:textId="77777777" w:rsidR="009B354E" w:rsidRPr="00802F1A" w:rsidRDefault="009B354E" w:rsidP="009B354E">
      <w:pPr>
        <w:pStyle w:val="EndNoteBibliography"/>
        <w:ind w:left="720" w:hanging="720"/>
      </w:pPr>
      <w:r w:rsidRPr="00802F1A">
        <w:t xml:space="preserve">Harger, K., Young, A.T. &amp; Hall, J., 2017. Globalization, Institutions, and Income Convergence. </w:t>
      </w:r>
      <w:r w:rsidRPr="00802F1A">
        <w:rPr>
          <w:i/>
        </w:rPr>
        <w:t xml:space="preserve">The journal of regional analysis &amp; policy, </w:t>
      </w:r>
      <w:r w:rsidRPr="00802F1A">
        <w:t>47</w:t>
      </w:r>
      <w:r w:rsidRPr="00802F1A">
        <w:rPr>
          <w:b/>
        </w:rPr>
        <w:t>,</w:t>
      </w:r>
      <w:r w:rsidRPr="00802F1A">
        <w:t xml:space="preserve"> 110-125.</w:t>
      </w:r>
    </w:p>
    <w:p w14:paraId="382DD7BA" w14:textId="77777777" w:rsidR="009B354E" w:rsidRPr="00802F1A" w:rsidRDefault="009B354E" w:rsidP="009B354E">
      <w:pPr>
        <w:pStyle w:val="EndNoteBibliography"/>
        <w:ind w:left="720" w:hanging="720"/>
      </w:pPr>
      <w:r w:rsidRPr="00802F1A">
        <w:t xml:space="preserve">Hodrick, R.J. &amp; Prescott, E.C., 1997. Postwar US business cycles: an empirical investigation. </w:t>
      </w:r>
      <w:r w:rsidRPr="00802F1A">
        <w:rPr>
          <w:i/>
        </w:rPr>
        <w:t>Journal of Money, credit, and Banking</w:t>
      </w:r>
      <w:r w:rsidRPr="00802F1A">
        <w:rPr>
          <w:b/>
        </w:rPr>
        <w:t>,</w:t>
      </w:r>
      <w:r w:rsidRPr="00802F1A">
        <w:t xml:space="preserve"> 1-16.</w:t>
      </w:r>
    </w:p>
    <w:p w14:paraId="630CB0B9" w14:textId="77777777" w:rsidR="009B354E" w:rsidRPr="00802F1A" w:rsidRDefault="009B354E" w:rsidP="009B354E">
      <w:pPr>
        <w:pStyle w:val="EndNoteBibliography"/>
        <w:ind w:left="720" w:hanging="720"/>
      </w:pPr>
      <w:r w:rsidRPr="00802F1A">
        <w:t xml:space="preserve">Hosier, R.H. &amp; Dowd, J., 1987. Household fuel choice in Zimbabwe: An empirical test of the energy ladder hypothesis. </w:t>
      </w:r>
      <w:r w:rsidRPr="00802F1A">
        <w:rPr>
          <w:i/>
        </w:rPr>
        <w:t xml:space="preserve">Resources and Energy, </w:t>
      </w:r>
      <w:r w:rsidRPr="00802F1A">
        <w:t>9</w:t>
      </w:r>
      <w:r w:rsidRPr="00802F1A">
        <w:rPr>
          <w:b/>
        </w:rPr>
        <w:t>,</w:t>
      </w:r>
      <w:r w:rsidRPr="00802F1A">
        <w:t xml:space="preserve"> 347-361.</w:t>
      </w:r>
    </w:p>
    <w:p w14:paraId="75BA2488" w14:textId="77777777" w:rsidR="009B354E" w:rsidRPr="00802F1A" w:rsidRDefault="009B354E" w:rsidP="009B354E">
      <w:pPr>
        <w:pStyle w:val="EndNoteBibliography"/>
        <w:ind w:left="720" w:hanging="720"/>
      </w:pPr>
      <w:r w:rsidRPr="00802F1A">
        <w:t xml:space="preserve">Im, K.S., Pesaran, M.H. &amp; Shin, Y., 2003. Testing for unit roots in heterogeneous panels. </w:t>
      </w:r>
      <w:r w:rsidRPr="00802F1A">
        <w:rPr>
          <w:i/>
        </w:rPr>
        <w:t xml:space="preserve">Journal of econometrics, </w:t>
      </w:r>
      <w:r w:rsidRPr="00802F1A">
        <w:t>115</w:t>
      </w:r>
      <w:r w:rsidRPr="00802F1A">
        <w:rPr>
          <w:b/>
        </w:rPr>
        <w:t>,</w:t>
      </w:r>
      <w:r w:rsidRPr="00802F1A">
        <w:t xml:space="preserve"> 53-74.</w:t>
      </w:r>
    </w:p>
    <w:p w14:paraId="6F01E4A1" w14:textId="77777777" w:rsidR="009B354E" w:rsidRPr="00802F1A" w:rsidRDefault="009B354E" w:rsidP="009B354E">
      <w:pPr>
        <w:pStyle w:val="EndNoteBibliography"/>
        <w:ind w:left="720" w:hanging="720"/>
      </w:pPr>
      <w:r w:rsidRPr="00802F1A">
        <w:t xml:space="preserve">Isaeva, A., Salahodjaev, R., Khachaturov, A. &amp; Tosheva, S., 2021. The Impact of Tourism and Financial Development on Energy Consumption and Carbon Dioxide Emission: Evidence from Post-communist Countries. </w:t>
      </w:r>
      <w:r w:rsidRPr="00802F1A">
        <w:rPr>
          <w:i/>
        </w:rPr>
        <w:t>Journal of the knowledge economy</w:t>
      </w:r>
      <w:r w:rsidRPr="00802F1A">
        <w:t>.</w:t>
      </w:r>
    </w:p>
    <w:p w14:paraId="1D59D7DB" w14:textId="77777777" w:rsidR="009B354E" w:rsidRPr="00802F1A" w:rsidRDefault="009B354E" w:rsidP="009B354E">
      <w:pPr>
        <w:pStyle w:val="EndNoteBibliography"/>
        <w:ind w:left="720" w:hanging="720"/>
      </w:pPr>
      <w:r w:rsidRPr="00802F1A">
        <w:t xml:space="preserve">Ji, Q. &amp; Zhang, D., 2019. How much does financial development contribute to renewable energy growth and upgrading of energy structure in China? </w:t>
      </w:r>
      <w:r w:rsidRPr="00802F1A">
        <w:rPr>
          <w:i/>
        </w:rPr>
        <w:t xml:space="preserve">Energy Policy, </w:t>
      </w:r>
      <w:r w:rsidRPr="00802F1A">
        <w:t>128</w:t>
      </w:r>
      <w:r w:rsidRPr="00802F1A">
        <w:rPr>
          <w:b/>
        </w:rPr>
        <w:t>,</w:t>
      </w:r>
      <w:r w:rsidRPr="00802F1A">
        <w:t xml:space="preserve"> 114-124.</w:t>
      </w:r>
    </w:p>
    <w:p w14:paraId="05860057" w14:textId="77777777" w:rsidR="009B354E" w:rsidRPr="00802F1A" w:rsidRDefault="009B354E" w:rsidP="009B354E">
      <w:pPr>
        <w:pStyle w:val="EndNoteBibliography"/>
        <w:ind w:left="720" w:hanging="720"/>
      </w:pPr>
      <w:r w:rsidRPr="00802F1A">
        <w:t xml:space="preserve">Jones, E. &amp; Knaack, P., 2019. Global financial regulation: Shortcomings and reform options. </w:t>
      </w:r>
      <w:r w:rsidRPr="00802F1A">
        <w:rPr>
          <w:i/>
        </w:rPr>
        <w:t xml:space="preserve">Global Policy, </w:t>
      </w:r>
      <w:r w:rsidRPr="00802F1A">
        <w:t>10</w:t>
      </w:r>
      <w:r w:rsidRPr="00802F1A">
        <w:rPr>
          <w:b/>
        </w:rPr>
        <w:t>,</w:t>
      </w:r>
      <w:r w:rsidRPr="00802F1A">
        <w:t xml:space="preserve"> 193-206.</w:t>
      </w:r>
    </w:p>
    <w:p w14:paraId="0639914F" w14:textId="77777777" w:rsidR="009B354E" w:rsidRPr="00802F1A" w:rsidRDefault="009B354E" w:rsidP="009B354E">
      <w:pPr>
        <w:pStyle w:val="EndNoteBibliography"/>
        <w:ind w:left="720" w:hanging="720"/>
      </w:pPr>
      <w:r w:rsidRPr="00802F1A">
        <w:t xml:space="preserve">Khan, M.T.I., Yaseen, M.R. &amp; Ali, Q., 2019. Nexus between financial development, tourism, renewable energy, and greenhouse gas emission in high-income countries: a continent-wise analysis. </w:t>
      </w:r>
      <w:r w:rsidRPr="00802F1A">
        <w:rPr>
          <w:i/>
        </w:rPr>
        <w:t xml:space="preserve">Energy Economics, </w:t>
      </w:r>
      <w:r w:rsidRPr="00802F1A">
        <w:t>83</w:t>
      </w:r>
      <w:r w:rsidRPr="00802F1A">
        <w:rPr>
          <w:b/>
        </w:rPr>
        <w:t>,</w:t>
      </w:r>
      <w:r w:rsidRPr="00802F1A">
        <w:t xml:space="preserve"> 293-310.</w:t>
      </w:r>
    </w:p>
    <w:p w14:paraId="425FF718" w14:textId="77777777" w:rsidR="009B354E" w:rsidRPr="00802F1A" w:rsidRDefault="009B354E" w:rsidP="009B354E">
      <w:pPr>
        <w:pStyle w:val="EndNoteBibliography"/>
        <w:ind w:left="720" w:hanging="720"/>
      </w:pPr>
      <w:r w:rsidRPr="00802F1A">
        <w:t xml:space="preserve">Kirikkaleli, D., Alola, A.A. &amp; Bekun, F.V., 2021. New insights into economic expansion in the United Kingdom: Does energy mix specificity matter? </w:t>
      </w:r>
      <w:r w:rsidRPr="00802F1A">
        <w:rPr>
          <w:i/>
        </w:rPr>
        <w:t xml:space="preserve">International Journal of Energy Research, </w:t>
      </w:r>
      <w:r w:rsidRPr="00802F1A">
        <w:t>45</w:t>
      </w:r>
      <w:r w:rsidRPr="00802F1A">
        <w:rPr>
          <w:b/>
        </w:rPr>
        <w:t>,</w:t>
      </w:r>
      <w:r w:rsidRPr="00802F1A">
        <w:t xml:space="preserve"> 18577-18589.</w:t>
      </w:r>
    </w:p>
    <w:p w14:paraId="1F62A824" w14:textId="77777777" w:rsidR="009B354E" w:rsidRPr="00802F1A" w:rsidRDefault="009B354E" w:rsidP="009B354E">
      <w:pPr>
        <w:pStyle w:val="EndNoteBibliography"/>
        <w:ind w:left="720" w:hanging="720"/>
      </w:pPr>
      <w:r w:rsidRPr="00802F1A">
        <w:t xml:space="preserve">Le, T.-H. &amp; Nguyen, C.P., 2019. Is energy security a driver for economic growth? Evidence from a global sample. </w:t>
      </w:r>
      <w:r w:rsidRPr="00802F1A">
        <w:rPr>
          <w:i/>
        </w:rPr>
        <w:t xml:space="preserve">Energy Policy, </w:t>
      </w:r>
      <w:r w:rsidRPr="00802F1A">
        <w:t>129</w:t>
      </w:r>
      <w:r w:rsidRPr="00802F1A">
        <w:rPr>
          <w:b/>
        </w:rPr>
        <w:t>,</w:t>
      </w:r>
      <w:r w:rsidRPr="00802F1A">
        <w:t xml:space="preserve"> 436-451.</w:t>
      </w:r>
    </w:p>
    <w:p w14:paraId="679CE8F2" w14:textId="77777777" w:rsidR="009B354E" w:rsidRPr="00802F1A" w:rsidRDefault="009B354E" w:rsidP="009B354E">
      <w:pPr>
        <w:pStyle w:val="EndNoteBibliography"/>
        <w:ind w:left="720" w:hanging="720"/>
      </w:pPr>
      <w:r w:rsidRPr="00802F1A">
        <w:t xml:space="preserve">Levin, A., Lin, C.-F. &amp; Chu, C.-S.J., 2002. Unit root tests in panel data: asymptotic and finite-sample properties. </w:t>
      </w:r>
      <w:r w:rsidRPr="00802F1A">
        <w:rPr>
          <w:i/>
        </w:rPr>
        <w:t xml:space="preserve">Journal of econometrics, </w:t>
      </w:r>
      <w:r w:rsidRPr="00802F1A">
        <w:t>108</w:t>
      </w:r>
      <w:r w:rsidRPr="00802F1A">
        <w:rPr>
          <w:b/>
        </w:rPr>
        <w:t>,</w:t>
      </w:r>
      <w:r w:rsidRPr="00802F1A">
        <w:t xml:space="preserve"> 1-24.</w:t>
      </w:r>
    </w:p>
    <w:p w14:paraId="1070274A" w14:textId="77777777" w:rsidR="009B354E" w:rsidRPr="00802F1A" w:rsidRDefault="009B354E" w:rsidP="009B354E">
      <w:pPr>
        <w:pStyle w:val="EndNoteBibliography"/>
        <w:ind w:left="720" w:hanging="720"/>
      </w:pPr>
      <w:r w:rsidRPr="00802F1A">
        <w:t xml:space="preserve">Liu, T.-Y. &amp; Lee, C.-C., 2020. Convergence of the world’s energy use. </w:t>
      </w:r>
      <w:r w:rsidRPr="00802F1A">
        <w:rPr>
          <w:i/>
        </w:rPr>
        <w:t xml:space="preserve">Resource and Energy Economics, </w:t>
      </w:r>
      <w:r w:rsidRPr="00802F1A">
        <w:t>62</w:t>
      </w:r>
      <w:r w:rsidRPr="00802F1A">
        <w:rPr>
          <w:b/>
        </w:rPr>
        <w:t>,</w:t>
      </w:r>
      <w:r w:rsidRPr="00802F1A">
        <w:t xml:space="preserve"> 101199.</w:t>
      </w:r>
    </w:p>
    <w:p w14:paraId="1E19D3AB" w14:textId="77777777" w:rsidR="009B354E" w:rsidRPr="00802F1A" w:rsidRDefault="009B354E" w:rsidP="009B354E">
      <w:pPr>
        <w:pStyle w:val="EndNoteBibliography"/>
        <w:ind w:left="720" w:hanging="720"/>
      </w:pPr>
      <w:r w:rsidRPr="00802F1A">
        <w:t xml:space="preserve">Mahmood, N., Wang, Z. &amp; Hassan, S.T., 2019. Renewable energy, economic growth, human capital, and CO2 emission: an empirical analysis. </w:t>
      </w:r>
      <w:r w:rsidRPr="00802F1A">
        <w:rPr>
          <w:i/>
        </w:rPr>
        <w:t xml:space="preserve">Environmental Science and Pollution Research, </w:t>
      </w:r>
      <w:r w:rsidRPr="00802F1A">
        <w:t>26</w:t>
      </w:r>
      <w:r w:rsidRPr="00802F1A">
        <w:rPr>
          <w:b/>
        </w:rPr>
        <w:t>,</w:t>
      </w:r>
      <w:r w:rsidRPr="00802F1A">
        <w:t xml:space="preserve"> 20619-20630.</w:t>
      </w:r>
    </w:p>
    <w:p w14:paraId="3DA142C7" w14:textId="77777777" w:rsidR="009B354E" w:rsidRPr="00802F1A" w:rsidRDefault="009B354E" w:rsidP="009B354E">
      <w:pPr>
        <w:pStyle w:val="EndNoteBibliography"/>
        <w:ind w:left="720" w:hanging="720"/>
      </w:pPr>
      <w:r w:rsidRPr="00802F1A">
        <w:t xml:space="preserve">Markandya, A., Pedroso-Galinato, S. &amp; Streimikiene, D., 2006. Energy intensity in transition economies: is there convergence towards the EU average? </w:t>
      </w:r>
      <w:r w:rsidRPr="00802F1A">
        <w:rPr>
          <w:i/>
        </w:rPr>
        <w:t xml:space="preserve">Energy Economics, </w:t>
      </w:r>
      <w:r w:rsidRPr="00802F1A">
        <w:t>28</w:t>
      </w:r>
      <w:r w:rsidRPr="00802F1A">
        <w:rPr>
          <w:b/>
        </w:rPr>
        <w:t>,</w:t>
      </w:r>
      <w:r w:rsidRPr="00802F1A">
        <w:t xml:space="preserve"> 121-145.</w:t>
      </w:r>
    </w:p>
    <w:p w14:paraId="46A6645A" w14:textId="77777777" w:rsidR="009B354E" w:rsidRPr="00802F1A" w:rsidRDefault="009B354E" w:rsidP="009B354E">
      <w:pPr>
        <w:pStyle w:val="EndNoteBibliography"/>
        <w:ind w:left="720" w:hanging="720"/>
      </w:pPr>
      <w:r w:rsidRPr="00802F1A">
        <w:t xml:space="preserve">Masera, O.R., Saatkamp, B.D. &amp; Kammen, D.M., 2000. From Linear Fuel Switching to Multiple Cooking Strategies: A Critique and Alternative to the Energy Ladder Model. </w:t>
      </w:r>
      <w:r w:rsidRPr="00802F1A">
        <w:rPr>
          <w:i/>
        </w:rPr>
        <w:t xml:space="preserve">World Development, </w:t>
      </w:r>
      <w:r w:rsidRPr="00802F1A">
        <w:t>28</w:t>
      </w:r>
      <w:r w:rsidRPr="00802F1A">
        <w:rPr>
          <w:b/>
        </w:rPr>
        <w:t>,</w:t>
      </w:r>
      <w:r w:rsidRPr="00802F1A">
        <w:t xml:space="preserve"> 2083-2103.</w:t>
      </w:r>
    </w:p>
    <w:p w14:paraId="4AE904AE" w14:textId="77777777" w:rsidR="009B354E" w:rsidRPr="00802F1A" w:rsidRDefault="009B354E" w:rsidP="009B354E">
      <w:pPr>
        <w:pStyle w:val="EndNoteBibliography"/>
        <w:ind w:left="720" w:hanging="720"/>
      </w:pPr>
      <w:r w:rsidRPr="00802F1A">
        <w:t xml:space="preserve">Michelis, L. &amp; Neaime, S., 2004. Income Convergence in the Asia-Pacific Region. </w:t>
      </w:r>
      <w:r w:rsidRPr="00802F1A">
        <w:rPr>
          <w:i/>
        </w:rPr>
        <w:t xml:space="preserve">Journal of economic integration, </w:t>
      </w:r>
      <w:r w:rsidRPr="00802F1A">
        <w:t>19</w:t>
      </w:r>
      <w:r w:rsidRPr="00802F1A">
        <w:rPr>
          <w:b/>
        </w:rPr>
        <w:t>,</w:t>
      </w:r>
      <w:r w:rsidRPr="00802F1A">
        <w:t xml:space="preserve"> 470-498.</w:t>
      </w:r>
    </w:p>
    <w:p w14:paraId="43E18C45" w14:textId="77777777" w:rsidR="009B354E" w:rsidRPr="00802F1A" w:rsidRDefault="009B354E" w:rsidP="009B354E">
      <w:pPr>
        <w:pStyle w:val="EndNoteBibliography"/>
        <w:ind w:left="720" w:hanging="720"/>
      </w:pPr>
      <w:r w:rsidRPr="00802F1A">
        <w:t xml:space="preserve">Mickovic, A. &amp; Wouters, M., 2020. Energy costs information in manufacturing companies: A systematic literature review. </w:t>
      </w:r>
      <w:r w:rsidRPr="00802F1A">
        <w:rPr>
          <w:i/>
        </w:rPr>
        <w:t xml:space="preserve">Journal of cleaner production, </w:t>
      </w:r>
      <w:r w:rsidRPr="00802F1A">
        <w:t>254</w:t>
      </w:r>
      <w:r w:rsidRPr="00802F1A">
        <w:rPr>
          <w:b/>
        </w:rPr>
        <w:t>,</w:t>
      </w:r>
      <w:r w:rsidRPr="00802F1A">
        <w:t xml:space="preserve"> 119927.</w:t>
      </w:r>
    </w:p>
    <w:p w14:paraId="28E9C98C" w14:textId="77777777" w:rsidR="009B354E" w:rsidRPr="00802F1A" w:rsidRDefault="009B354E" w:rsidP="009B354E">
      <w:pPr>
        <w:pStyle w:val="EndNoteBibliography"/>
        <w:ind w:left="720" w:hanging="720"/>
      </w:pPr>
      <w:r w:rsidRPr="00802F1A">
        <w:t xml:space="preserve">Mishkin, F.S., 2009. Why We Shouldn't Turn Our Backs on Financial Globalization. </w:t>
      </w:r>
      <w:r w:rsidRPr="00802F1A">
        <w:rPr>
          <w:i/>
        </w:rPr>
        <w:t xml:space="preserve">IMF staff papers, </w:t>
      </w:r>
      <w:r w:rsidRPr="00802F1A">
        <w:t>56</w:t>
      </w:r>
      <w:r w:rsidRPr="00802F1A">
        <w:rPr>
          <w:b/>
        </w:rPr>
        <w:t>,</w:t>
      </w:r>
      <w:r w:rsidRPr="00802F1A">
        <w:t xml:space="preserve"> 139-170.</w:t>
      </w:r>
    </w:p>
    <w:p w14:paraId="3565DF17" w14:textId="77777777" w:rsidR="009B354E" w:rsidRPr="00802F1A" w:rsidRDefault="009B354E" w:rsidP="009B354E">
      <w:pPr>
        <w:pStyle w:val="EndNoteBibliography"/>
        <w:ind w:left="720" w:hanging="720"/>
      </w:pPr>
      <w:r w:rsidRPr="00802F1A">
        <w:t xml:space="preserve">Mohammadi, H. &amp; Ram, R., 2012. Cross-country convergence in energy and electricity consumption, 1971–2007. </w:t>
      </w:r>
      <w:r w:rsidRPr="00802F1A">
        <w:rPr>
          <w:i/>
        </w:rPr>
        <w:t xml:space="preserve">Energy economics, </w:t>
      </w:r>
      <w:r w:rsidRPr="00802F1A">
        <w:t>34</w:t>
      </w:r>
      <w:r w:rsidRPr="00802F1A">
        <w:rPr>
          <w:b/>
        </w:rPr>
        <w:t>,</w:t>
      </w:r>
      <w:r w:rsidRPr="00802F1A">
        <w:t xml:space="preserve"> 1882-1887.</w:t>
      </w:r>
    </w:p>
    <w:p w14:paraId="10E2BC71" w14:textId="77777777" w:rsidR="009B354E" w:rsidRPr="00802F1A" w:rsidRDefault="009B354E" w:rsidP="009B354E">
      <w:pPr>
        <w:pStyle w:val="EndNoteBibliography"/>
        <w:ind w:left="720" w:hanging="720"/>
      </w:pPr>
      <w:r w:rsidRPr="00802F1A">
        <w:t xml:space="preserve">Nguyen, V.C., 2022. Financial Development and Renewable Energy Consumption-Empirical Evidence in Southeast and East Asian Countries. </w:t>
      </w:r>
      <w:r w:rsidRPr="00802F1A">
        <w:rPr>
          <w:i/>
        </w:rPr>
        <w:t xml:space="preserve">VNU JOURNAL OF ECONOMIC AND BUSINESS, </w:t>
      </w:r>
      <w:r w:rsidRPr="00802F1A">
        <w:t>38.</w:t>
      </w:r>
    </w:p>
    <w:p w14:paraId="47A84CDC" w14:textId="77777777" w:rsidR="009B354E" w:rsidRPr="00802F1A" w:rsidRDefault="009B354E" w:rsidP="009B354E">
      <w:pPr>
        <w:pStyle w:val="EndNoteBibliography"/>
        <w:ind w:left="720" w:hanging="720"/>
      </w:pPr>
      <w:r w:rsidRPr="00802F1A">
        <w:lastRenderedPageBreak/>
        <w:t xml:space="preserve">Olson, D. &amp; Zoubi, T., 2017. Convergence in bank performance for commercial and Islamic banks during and after the Global Financial Crisis. </w:t>
      </w:r>
      <w:r w:rsidRPr="00802F1A">
        <w:rPr>
          <w:i/>
        </w:rPr>
        <w:t xml:space="preserve">The Quarterly Review of Economics and Finance, </w:t>
      </w:r>
      <w:r w:rsidRPr="00802F1A">
        <w:t>65</w:t>
      </w:r>
      <w:r w:rsidRPr="00802F1A">
        <w:rPr>
          <w:b/>
        </w:rPr>
        <w:t>,</w:t>
      </w:r>
      <w:r w:rsidRPr="00802F1A">
        <w:t xml:space="preserve"> 71-87.</w:t>
      </w:r>
    </w:p>
    <w:p w14:paraId="38708946" w14:textId="77777777" w:rsidR="009B354E" w:rsidRPr="00802F1A" w:rsidRDefault="009B354E" w:rsidP="009B354E">
      <w:pPr>
        <w:pStyle w:val="EndNoteBibliography"/>
        <w:ind w:left="720" w:hanging="720"/>
      </w:pPr>
      <w:r w:rsidRPr="00802F1A">
        <w:t xml:space="preserve">Parker, S. &amp; Liddle, B., 2017. Economy-wide and manufacturing energy productivity transition paths and club convergence for OECD and non-OECD countries. </w:t>
      </w:r>
      <w:r w:rsidRPr="00802F1A">
        <w:rPr>
          <w:i/>
        </w:rPr>
        <w:t xml:space="preserve">Energy Economics, </w:t>
      </w:r>
      <w:r w:rsidRPr="00802F1A">
        <w:t>62</w:t>
      </w:r>
      <w:r w:rsidRPr="00802F1A">
        <w:rPr>
          <w:b/>
        </w:rPr>
        <w:t>,</w:t>
      </w:r>
      <w:r w:rsidRPr="00802F1A">
        <w:t xml:space="preserve"> 338-346.</w:t>
      </w:r>
    </w:p>
    <w:p w14:paraId="71978F7B" w14:textId="77777777" w:rsidR="009B354E" w:rsidRPr="00802F1A" w:rsidRDefault="009B354E" w:rsidP="009B354E">
      <w:pPr>
        <w:pStyle w:val="EndNoteBibliography"/>
        <w:ind w:left="720" w:hanging="720"/>
      </w:pPr>
      <w:r w:rsidRPr="00802F1A">
        <w:t xml:space="preserve">Pata, U.K., 2018. Renewable energy consumption, urbanization, financial development, income and CO2 emissions in Turkey: Testing EKC hypothesis with structural breaks. </w:t>
      </w:r>
      <w:r w:rsidRPr="00802F1A">
        <w:rPr>
          <w:i/>
        </w:rPr>
        <w:t xml:space="preserve">Journal of Cleaner Production, </w:t>
      </w:r>
      <w:r w:rsidRPr="00802F1A">
        <w:t>187</w:t>
      </w:r>
      <w:r w:rsidRPr="00802F1A">
        <w:rPr>
          <w:b/>
        </w:rPr>
        <w:t>,</w:t>
      </w:r>
      <w:r w:rsidRPr="00802F1A">
        <w:t xml:space="preserve"> 770-779.</w:t>
      </w:r>
    </w:p>
    <w:p w14:paraId="65B0F0F0" w14:textId="77777777" w:rsidR="009B354E" w:rsidRPr="00802F1A" w:rsidRDefault="009B354E" w:rsidP="009B354E">
      <w:pPr>
        <w:pStyle w:val="EndNoteBibliography"/>
        <w:ind w:left="720" w:hanging="720"/>
      </w:pPr>
      <w:r w:rsidRPr="00802F1A">
        <w:t xml:space="preserve">Peimani, H., 2018. </w:t>
      </w:r>
      <w:r w:rsidRPr="00802F1A">
        <w:rPr>
          <w:i/>
        </w:rPr>
        <w:t>Financial barriers to development of renewable and green energy projects in Asia</w:t>
      </w:r>
      <w:r w:rsidRPr="00802F1A">
        <w:t>.</w:t>
      </w:r>
    </w:p>
    <w:p w14:paraId="197CDB4C" w14:textId="77777777" w:rsidR="009B354E" w:rsidRPr="00802F1A" w:rsidRDefault="009B354E" w:rsidP="009B354E">
      <w:pPr>
        <w:pStyle w:val="EndNoteBibliography"/>
        <w:ind w:left="720" w:hanging="720"/>
      </w:pPr>
      <w:r w:rsidRPr="00802F1A">
        <w:t xml:space="preserve">Perilla Jimenez, J.R., 2020. Testing the impact of technology diffusion and innovation on long-run growth using cointegration techniques. </w:t>
      </w:r>
      <w:r w:rsidRPr="00802F1A">
        <w:rPr>
          <w:i/>
        </w:rPr>
        <w:t xml:space="preserve">The journal of international trade &amp; economic development, </w:t>
      </w:r>
      <w:r w:rsidRPr="00802F1A">
        <w:t>29</w:t>
      </w:r>
      <w:r w:rsidRPr="00802F1A">
        <w:rPr>
          <w:b/>
        </w:rPr>
        <w:t>,</w:t>
      </w:r>
      <w:r w:rsidRPr="00802F1A">
        <w:t xml:space="preserve"> 748-773.</w:t>
      </w:r>
    </w:p>
    <w:p w14:paraId="173FBDB9" w14:textId="77777777" w:rsidR="009B354E" w:rsidRPr="00802F1A" w:rsidRDefault="009B354E" w:rsidP="009B354E">
      <w:pPr>
        <w:pStyle w:val="EndNoteBibliography"/>
        <w:ind w:left="720" w:hanging="720"/>
      </w:pPr>
      <w:r w:rsidRPr="00802F1A">
        <w:t xml:space="preserve">Phillips, P.C.B. &amp; Perron, P., 1988. Testing for a unit root in time series regression. </w:t>
      </w:r>
      <w:r w:rsidRPr="00802F1A">
        <w:rPr>
          <w:i/>
        </w:rPr>
        <w:t xml:space="preserve">Biometrika, </w:t>
      </w:r>
      <w:r w:rsidRPr="00802F1A">
        <w:t>75</w:t>
      </w:r>
      <w:r w:rsidRPr="00802F1A">
        <w:rPr>
          <w:b/>
        </w:rPr>
        <w:t>,</w:t>
      </w:r>
      <w:r w:rsidRPr="00802F1A">
        <w:t xml:space="preserve"> 335-346.</w:t>
      </w:r>
    </w:p>
    <w:p w14:paraId="4CCE7C99" w14:textId="77777777" w:rsidR="009B354E" w:rsidRPr="00802F1A" w:rsidRDefault="009B354E" w:rsidP="009B354E">
      <w:pPr>
        <w:pStyle w:val="EndNoteBibliography"/>
        <w:ind w:left="720" w:hanging="720"/>
      </w:pPr>
      <w:r w:rsidRPr="00802F1A">
        <w:t xml:space="preserve">Phillips, P.C.B. &amp; Sul, D., 2007. Transition modeling and econometric convergence tests. </w:t>
      </w:r>
      <w:r w:rsidRPr="00802F1A">
        <w:rPr>
          <w:i/>
        </w:rPr>
        <w:t xml:space="preserve">Econometrica, </w:t>
      </w:r>
      <w:r w:rsidRPr="00802F1A">
        <w:t>75</w:t>
      </w:r>
      <w:r w:rsidRPr="00802F1A">
        <w:rPr>
          <w:b/>
        </w:rPr>
        <w:t>,</w:t>
      </w:r>
      <w:r w:rsidRPr="00802F1A">
        <w:t xml:space="preserve"> 1771-1855.</w:t>
      </w:r>
    </w:p>
    <w:p w14:paraId="0A43488E" w14:textId="77777777" w:rsidR="009B354E" w:rsidRPr="00802F1A" w:rsidRDefault="009B354E" w:rsidP="009B354E">
      <w:pPr>
        <w:pStyle w:val="EndNoteBibliography"/>
        <w:ind w:left="720" w:hanging="720"/>
      </w:pPr>
      <w:r w:rsidRPr="00802F1A">
        <w:t xml:space="preserve">Phillips, P.C.B. &amp; Sul, D., 2009. Economic transition and growth. </w:t>
      </w:r>
      <w:r w:rsidRPr="00802F1A">
        <w:rPr>
          <w:i/>
        </w:rPr>
        <w:t xml:space="preserve">Journal of applied econometrics, </w:t>
      </w:r>
      <w:r w:rsidRPr="00802F1A">
        <w:t>24</w:t>
      </w:r>
      <w:r w:rsidRPr="00802F1A">
        <w:rPr>
          <w:b/>
        </w:rPr>
        <w:t>,</w:t>
      </w:r>
      <w:r w:rsidRPr="00802F1A">
        <w:t xml:space="preserve"> 1153-1185.</w:t>
      </w:r>
    </w:p>
    <w:p w14:paraId="565B2906" w14:textId="77777777" w:rsidR="009B354E" w:rsidRPr="00802F1A" w:rsidRDefault="009B354E" w:rsidP="009B354E">
      <w:pPr>
        <w:pStyle w:val="EndNoteBibliography"/>
        <w:ind w:left="720" w:hanging="720"/>
      </w:pPr>
      <w:r w:rsidRPr="00802F1A">
        <w:t xml:space="preserve">Rafindadi, A.A. &amp; Ozturk, I., 2016. Effects of financial development, economic growth and trade on electricity consumption: Evidence from post-Fukushima Japan. </w:t>
      </w:r>
      <w:r w:rsidRPr="00802F1A">
        <w:rPr>
          <w:i/>
        </w:rPr>
        <w:t xml:space="preserve">Renewable and Sustainable Energy Reviews, </w:t>
      </w:r>
      <w:r w:rsidRPr="00802F1A">
        <w:t>54</w:t>
      </w:r>
      <w:r w:rsidRPr="00802F1A">
        <w:rPr>
          <w:b/>
        </w:rPr>
        <w:t>,</w:t>
      </w:r>
      <w:r w:rsidRPr="00802F1A">
        <w:t xml:space="preserve"> 1073-1084.</w:t>
      </w:r>
    </w:p>
    <w:p w14:paraId="28244C6F" w14:textId="77777777" w:rsidR="009B354E" w:rsidRPr="00802F1A" w:rsidRDefault="009B354E" w:rsidP="009B354E">
      <w:pPr>
        <w:pStyle w:val="EndNoteBibliography"/>
        <w:ind w:left="720" w:hanging="720"/>
      </w:pPr>
      <w:r w:rsidRPr="00802F1A">
        <w:t xml:space="preserve">Raghutla, C. &amp; Chittedi, K.R., 2021. Financial development, energy consumption, technology, urbanization, economic output and carbon emissions nexus in BRICS countries: an empirical analysis. </w:t>
      </w:r>
      <w:r w:rsidRPr="00802F1A">
        <w:rPr>
          <w:i/>
        </w:rPr>
        <w:t xml:space="preserve">Management of environmental quality, </w:t>
      </w:r>
      <w:r w:rsidRPr="00802F1A">
        <w:t>32</w:t>
      </w:r>
      <w:r w:rsidRPr="00802F1A">
        <w:rPr>
          <w:b/>
        </w:rPr>
        <w:t>,</w:t>
      </w:r>
      <w:r w:rsidRPr="00802F1A">
        <w:t xml:space="preserve"> 290-307.</w:t>
      </w:r>
    </w:p>
    <w:p w14:paraId="59444B59" w14:textId="77777777" w:rsidR="009B354E" w:rsidRPr="00802F1A" w:rsidRDefault="009B354E" w:rsidP="009B354E">
      <w:pPr>
        <w:pStyle w:val="EndNoteBibliography"/>
        <w:ind w:left="720" w:hanging="720"/>
      </w:pPr>
      <w:r w:rsidRPr="00802F1A">
        <w:t xml:space="preserve">Rubio, M.M. &amp; Folchi, M., 2012. Will small energy consumers be faster in transition? Evidence from the early shift from coal to oil in Latin America. </w:t>
      </w:r>
      <w:r w:rsidRPr="00802F1A">
        <w:rPr>
          <w:i/>
        </w:rPr>
        <w:t xml:space="preserve">Energy Policy, </w:t>
      </w:r>
      <w:r w:rsidRPr="00802F1A">
        <w:t>50</w:t>
      </w:r>
      <w:r w:rsidRPr="00802F1A">
        <w:rPr>
          <w:b/>
        </w:rPr>
        <w:t>,</w:t>
      </w:r>
      <w:r w:rsidRPr="00802F1A">
        <w:t xml:space="preserve"> 50-61.</w:t>
      </w:r>
    </w:p>
    <w:p w14:paraId="05E5CEE3" w14:textId="77777777" w:rsidR="009B354E" w:rsidRPr="00802F1A" w:rsidRDefault="009B354E" w:rsidP="009B354E">
      <w:pPr>
        <w:pStyle w:val="EndNoteBibliography"/>
        <w:ind w:left="720" w:hanging="720"/>
      </w:pPr>
      <w:r w:rsidRPr="00802F1A">
        <w:t xml:space="preserve">Saygin, O. &amp; Iskenderoglu, O., 2021. The nexus between financial development and renewable energy consumption: a review for emerging countries. </w:t>
      </w:r>
      <w:r w:rsidRPr="00802F1A">
        <w:rPr>
          <w:i/>
        </w:rPr>
        <w:t>Environmental Science and Pollution Research</w:t>
      </w:r>
      <w:r w:rsidRPr="00802F1A">
        <w:rPr>
          <w:b/>
        </w:rPr>
        <w:t>,</w:t>
      </w:r>
      <w:r w:rsidRPr="00802F1A">
        <w:t xml:space="preserve"> 1-12.</w:t>
      </w:r>
    </w:p>
    <w:p w14:paraId="64AA814F" w14:textId="77777777" w:rsidR="009B354E" w:rsidRPr="00802F1A" w:rsidRDefault="009B354E" w:rsidP="009B354E">
      <w:pPr>
        <w:pStyle w:val="EndNoteBibliography"/>
        <w:ind w:left="720" w:hanging="720"/>
      </w:pPr>
      <w:r w:rsidRPr="00802F1A">
        <w:t xml:space="preserve">Selvarajan, S.K., Ab-Rahim, R. &amp; Md-Nor, N.-G., 2018. Trade and investment convergence clubs in East Asia Pacific. </w:t>
      </w:r>
      <w:r w:rsidRPr="00802F1A">
        <w:rPr>
          <w:i/>
        </w:rPr>
        <w:t xml:space="preserve">Institutions and Economies, </w:t>
      </w:r>
      <w:r w:rsidRPr="00802F1A">
        <w:t>10.</w:t>
      </w:r>
    </w:p>
    <w:p w14:paraId="633EF204" w14:textId="77777777" w:rsidR="009B354E" w:rsidRPr="00802F1A" w:rsidRDefault="009B354E" w:rsidP="009B354E">
      <w:pPr>
        <w:pStyle w:val="EndNoteBibliography"/>
        <w:ind w:left="720" w:hanging="720"/>
      </w:pPr>
      <w:r w:rsidRPr="00802F1A">
        <w:t xml:space="preserve">Shahbaz, M. &amp; Lean, H.H., 2012. Does financial development increase energy consumption? The role of industrialization and urbanization in Tunisia. </w:t>
      </w:r>
      <w:r w:rsidRPr="00802F1A">
        <w:rPr>
          <w:i/>
        </w:rPr>
        <w:t xml:space="preserve">Energy Policy, </w:t>
      </w:r>
      <w:r w:rsidRPr="00802F1A">
        <w:t>40</w:t>
      </w:r>
      <w:r w:rsidRPr="00802F1A">
        <w:rPr>
          <w:b/>
        </w:rPr>
        <w:t>,</w:t>
      </w:r>
      <w:r w:rsidRPr="00802F1A">
        <w:t xml:space="preserve"> 473-479.</w:t>
      </w:r>
    </w:p>
    <w:p w14:paraId="624AEA98" w14:textId="77777777" w:rsidR="009B354E" w:rsidRPr="00802F1A" w:rsidRDefault="009B354E" w:rsidP="009B354E">
      <w:pPr>
        <w:pStyle w:val="EndNoteBibliography"/>
        <w:ind w:left="720" w:hanging="720"/>
      </w:pPr>
      <w:r w:rsidRPr="00802F1A">
        <w:t xml:space="preserve">Svirydzenka, K., 2016. </w:t>
      </w:r>
      <w:r w:rsidRPr="00802F1A">
        <w:rPr>
          <w:i/>
        </w:rPr>
        <w:t>Introducing a new broad-based index of financial development</w:t>
      </w:r>
      <w:r w:rsidRPr="00802F1A">
        <w:t>: International Monetary Fund.</w:t>
      </w:r>
    </w:p>
    <w:p w14:paraId="79FF1925" w14:textId="77777777" w:rsidR="009B354E" w:rsidRPr="00802F1A" w:rsidRDefault="009B354E" w:rsidP="009B354E">
      <w:pPr>
        <w:pStyle w:val="EndNoteBibliography"/>
        <w:ind w:left="720" w:hanging="720"/>
      </w:pPr>
      <w:r w:rsidRPr="00802F1A">
        <w:t xml:space="preserve">Tung, L.T. &amp; Bentzen, J., 2019. Regional income convergence in Indochina 1970-2015? </w:t>
      </w:r>
      <w:r w:rsidRPr="00802F1A">
        <w:rPr>
          <w:i/>
        </w:rPr>
        <w:t xml:space="preserve">Applied economics letters, </w:t>
      </w:r>
      <w:r w:rsidRPr="00802F1A">
        <w:t>26</w:t>
      </w:r>
      <w:r w:rsidRPr="00802F1A">
        <w:rPr>
          <w:b/>
        </w:rPr>
        <w:t>,</w:t>
      </w:r>
      <w:r w:rsidRPr="00802F1A">
        <w:t xml:space="preserve"> 168-173.</w:t>
      </w:r>
    </w:p>
    <w:p w14:paraId="335A03D6" w14:textId="77777777" w:rsidR="009B354E" w:rsidRPr="00802F1A" w:rsidRDefault="009B354E" w:rsidP="009B354E">
      <w:pPr>
        <w:pStyle w:val="EndNoteBibliography"/>
        <w:ind w:left="720" w:hanging="720"/>
      </w:pPr>
      <w:r w:rsidRPr="00802F1A">
        <w:t xml:space="preserve">Usman, M., Yaseen, M.R., Kousar, R. &amp; Makhdum, M.S.A., 2021. Modeling financial development, tourism, energy consumption, and environmental quality: Is there any discrepancy between developing and developed countries? </w:t>
      </w:r>
      <w:r w:rsidRPr="00802F1A">
        <w:rPr>
          <w:i/>
        </w:rPr>
        <w:t xml:space="preserve">Environmental science and pollution research international, </w:t>
      </w:r>
      <w:r w:rsidRPr="00802F1A">
        <w:t>28</w:t>
      </w:r>
      <w:r w:rsidRPr="00802F1A">
        <w:rPr>
          <w:b/>
        </w:rPr>
        <w:t>,</w:t>
      </w:r>
      <w:r w:rsidRPr="00802F1A">
        <w:t xml:space="preserve"> 58480-58501.</w:t>
      </w:r>
    </w:p>
    <w:p w14:paraId="2FE46AFC" w14:textId="77777777" w:rsidR="009B354E" w:rsidRPr="00802F1A" w:rsidRDefault="009B354E" w:rsidP="009B354E">
      <w:pPr>
        <w:pStyle w:val="EndNoteBibliography"/>
        <w:ind w:left="720" w:hanging="720"/>
      </w:pPr>
      <w:r w:rsidRPr="00802F1A">
        <w:t xml:space="preserve">Wesseh, P.K. &amp; Lin, B., 2018. Energy consumption, fuel substitution, technical change, and economic growth: Implications for CO2 mitigation in Egypt. </w:t>
      </w:r>
      <w:r w:rsidRPr="00802F1A">
        <w:rPr>
          <w:i/>
        </w:rPr>
        <w:t xml:space="preserve">Energy Policy, </w:t>
      </w:r>
      <w:r w:rsidRPr="00802F1A">
        <w:t>117</w:t>
      </w:r>
      <w:r w:rsidRPr="00802F1A">
        <w:rPr>
          <w:b/>
        </w:rPr>
        <w:t>,</w:t>
      </w:r>
      <w:r w:rsidRPr="00802F1A">
        <w:t xml:space="preserve"> 340-347.</w:t>
      </w:r>
    </w:p>
    <w:p w14:paraId="534340AE" w14:textId="77777777" w:rsidR="009B354E" w:rsidRPr="00802F1A" w:rsidRDefault="009B354E" w:rsidP="009B354E">
      <w:pPr>
        <w:pStyle w:val="EndNoteBibliography"/>
        <w:ind w:left="720" w:hanging="720"/>
      </w:pPr>
      <w:r w:rsidRPr="00802F1A">
        <w:t xml:space="preserve">Yao, S., Zhang, S. &amp; Zhang, X., 2019. Renewable energy, carbon emission and economic growth: A revised environmental Kuznets Curve perspective. </w:t>
      </w:r>
      <w:r w:rsidRPr="00802F1A">
        <w:rPr>
          <w:i/>
        </w:rPr>
        <w:t xml:space="preserve">Journal of Cleaner Production, </w:t>
      </w:r>
      <w:r w:rsidRPr="00802F1A">
        <w:t>235</w:t>
      </w:r>
      <w:r w:rsidRPr="00802F1A">
        <w:rPr>
          <w:b/>
        </w:rPr>
        <w:t>,</w:t>
      </w:r>
      <w:r w:rsidRPr="00802F1A">
        <w:t xml:space="preserve"> 1338-1352.</w:t>
      </w:r>
    </w:p>
    <w:p w14:paraId="76888AEF" w14:textId="77777777" w:rsidR="009B354E" w:rsidRPr="00802F1A" w:rsidRDefault="009B354E" w:rsidP="009B354E">
      <w:pPr>
        <w:pStyle w:val="EndNoteBibliography"/>
        <w:ind w:left="720" w:hanging="720"/>
      </w:pPr>
      <w:r w:rsidRPr="00802F1A">
        <w:t xml:space="preserve">Zhao, J. &amp; Serieux, J., 2019. Globalization, regionalization and convergence in East Asia. </w:t>
      </w:r>
      <w:r w:rsidRPr="00802F1A">
        <w:rPr>
          <w:i/>
        </w:rPr>
        <w:t xml:space="preserve">The journal of international trade &amp; economic development, </w:t>
      </w:r>
      <w:r w:rsidRPr="00802F1A">
        <w:t>28</w:t>
      </w:r>
      <w:r w:rsidRPr="00802F1A">
        <w:rPr>
          <w:b/>
        </w:rPr>
        <w:t>,</w:t>
      </w:r>
      <w:r w:rsidRPr="00802F1A">
        <w:t xml:space="preserve"> 486-507.</w:t>
      </w:r>
    </w:p>
    <w:p w14:paraId="1B292220" w14:textId="03CD5027" w:rsidR="00477727" w:rsidRPr="00802F1A" w:rsidRDefault="00AD58AE" w:rsidP="00076B54">
      <w:pPr>
        <w:spacing w:before="120" w:after="120"/>
        <w:jc w:val="both"/>
        <w:rPr>
          <w:rFonts w:cs="Times New Roman"/>
          <w:sz w:val="22"/>
          <w:lang w:val="en-US"/>
        </w:rPr>
      </w:pPr>
      <w:r w:rsidRPr="00802F1A">
        <w:rPr>
          <w:rFonts w:cs="Times New Roman"/>
          <w:sz w:val="22"/>
          <w:lang w:val="en-US"/>
        </w:rPr>
        <w:fldChar w:fldCharType="end"/>
      </w:r>
      <w:r w:rsidR="00E31F79" w:rsidRPr="00802F1A">
        <w:rPr>
          <w:rFonts w:cs="Times New Roman"/>
          <w:sz w:val="22"/>
          <w:lang w:val="en-US"/>
        </w:rPr>
        <w:fldChar w:fldCharType="begin"/>
      </w:r>
      <w:r w:rsidR="00E31F79" w:rsidRPr="00802F1A">
        <w:rPr>
          <w:rFonts w:cs="Times New Roman"/>
          <w:sz w:val="22"/>
          <w:lang w:val="en-US"/>
        </w:rPr>
        <w:instrText xml:space="preserve"> ADDIN </w:instrText>
      </w:r>
      <w:r w:rsidR="00E31F79" w:rsidRPr="00802F1A">
        <w:rPr>
          <w:rFonts w:cs="Times New Roman"/>
          <w:sz w:val="22"/>
          <w:lang w:val="en-US"/>
        </w:rPr>
        <w:fldChar w:fldCharType="end"/>
      </w:r>
    </w:p>
    <w:sectPr w:rsidR="00477727" w:rsidRPr="00802F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76BD" w14:textId="77777777" w:rsidR="001716BE" w:rsidRDefault="001716BE" w:rsidP="00B01F36">
      <w:pPr>
        <w:spacing w:line="240" w:lineRule="auto"/>
      </w:pPr>
      <w:r>
        <w:separator/>
      </w:r>
    </w:p>
  </w:endnote>
  <w:endnote w:type="continuationSeparator" w:id="0">
    <w:p w14:paraId="24CA22A2" w14:textId="77777777" w:rsidR="001716BE" w:rsidRDefault="001716BE" w:rsidP="00B01F36">
      <w:pPr>
        <w:spacing w:line="240" w:lineRule="auto"/>
      </w:pPr>
      <w:r>
        <w:continuationSeparator/>
      </w:r>
    </w:p>
  </w:endnote>
  <w:endnote w:type="continuationNotice" w:id="1">
    <w:p w14:paraId="75EACD34" w14:textId="77777777" w:rsidR="001716BE" w:rsidRDefault="001716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492427"/>
      <w:docPartObj>
        <w:docPartGallery w:val="Page Numbers (Bottom of Page)"/>
        <w:docPartUnique/>
      </w:docPartObj>
    </w:sdtPr>
    <w:sdtEndPr>
      <w:rPr>
        <w:noProof/>
      </w:rPr>
    </w:sdtEndPr>
    <w:sdtContent>
      <w:p w14:paraId="42ABD77F" w14:textId="52916072" w:rsidR="00BB172E" w:rsidRDefault="00BB17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3D778" w14:textId="77777777" w:rsidR="00BB172E" w:rsidRDefault="00BB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40E8" w14:textId="77777777" w:rsidR="001716BE" w:rsidRDefault="001716BE" w:rsidP="00B01F36">
      <w:pPr>
        <w:spacing w:line="240" w:lineRule="auto"/>
      </w:pPr>
      <w:r>
        <w:separator/>
      </w:r>
    </w:p>
  </w:footnote>
  <w:footnote w:type="continuationSeparator" w:id="0">
    <w:p w14:paraId="46BF6672" w14:textId="77777777" w:rsidR="001716BE" w:rsidRDefault="001716BE" w:rsidP="00B01F36">
      <w:pPr>
        <w:spacing w:line="240" w:lineRule="auto"/>
      </w:pPr>
      <w:r>
        <w:continuationSeparator/>
      </w:r>
    </w:p>
  </w:footnote>
  <w:footnote w:type="continuationNotice" w:id="1">
    <w:p w14:paraId="5DBA391E" w14:textId="77777777" w:rsidR="001716BE" w:rsidRDefault="001716BE">
      <w:pPr>
        <w:spacing w:line="240" w:lineRule="auto"/>
      </w:pPr>
    </w:p>
  </w:footnote>
  <w:footnote w:id="2">
    <w:p w14:paraId="3C595A19" w14:textId="77777777" w:rsidR="00A67F24" w:rsidRPr="002D6CAD" w:rsidRDefault="00A67F24" w:rsidP="00A67F24">
      <w:pPr>
        <w:pStyle w:val="FootnoteText"/>
        <w:rPr>
          <w:lang w:val="en-US"/>
        </w:rPr>
      </w:pPr>
      <w:r>
        <w:rPr>
          <w:rStyle w:val="FootnoteReference"/>
        </w:rPr>
        <w:footnoteRef/>
      </w:r>
      <w:r>
        <w:t xml:space="preserve"> 2020 data (</w:t>
      </w:r>
      <w:r w:rsidRPr="002D6CAD">
        <w:rPr>
          <w:noProof/>
        </w:rPr>
        <w:t>https://yearbook.enerdata.net/total-energy/world-consumption-statistics.html</w:t>
      </w:r>
      <w:r>
        <w:rPr>
          <w:noProof/>
        </w:rPr>
        <w:t>)</w:t>
      </w:r>
    </w:p>
  </w:footnote>
  <w:footnote w:id="3">
    <w:p w14:paraId="6FC7AC6A" w14:textId="77777777" w:rsidR="00305375" w:rsidRPr="004C2628" w:rsidRDefault="00305375" w:rsidP="00305375">
      <w:pPr>
        <w:pStyle w:val="FootnoteText"/>
        <w:rPr>
          <w:lang w:val="en-US"/>
        </w:rPr>
      </w:pPr>
      <w:r>
        <w:rPr>
          <w:rStyle w:val="FootnoteReference"/>
        </w:rPr>
        <w:footnoteRef/>
      </w:r>
      <w:r>
        <w:t xml:space="preserve"> </w:t>
      </w:r>
      <w:r w:rsidRPr="004C2628">
        <w:t>https://yearbook.enerdata.net/total-energy/world-consumption-statistics.html</w:t>
      </w:r>
    </w:p>
  </w:footnote>
  <w:footnote w:id="4">
    <w:p w14:paraId="23E132A5" w14:textId="77777777" w:rsidR="00A67F24" w:rsidRPr="00A66CDF" w:rsidRDefault="00A67F24" w:rsidP="00A67F24">
      <w:pPr>
        <w:pStyle w:val="FootnoteText"/>
        <w:rPr>
          <w:lang w:val="en-US"/>
        </w:rPr>
      </w:pPr>
      <w:r>
        <w:rPr>
          <w:rStyle w:val="FootnoteReference"/>
        </w:rPr>
        <w:footnoteRef/>
      </w:r>
      <w:r>
        <w:t xml:space="preserve"> </w:t>
      </w:r>
      <w:r w:rsidRPr="00BA743C">
        <w:t>https://www.vox.com/ad/17587752/energy-industry-mix-green-environment-diversification</w:t>
      </w:r>
    </w:p>
  </w:footnote>
  <w:footnote w:id="5">
    <w:p w14:paraId="7EF6BC39" w14:textId="77777777" w:rsidR="00CF2BCA" w:rsidRPr="008E2CFC" w:rsidRDefault="00CF2BCA" w:rsidP="00CF2BCA">
      <w:pPr>
        <w:pStyle w:val="FootnoteText"/>
        <w:rPr>
          <w:lang w:val="en-US"/>
        </w:rPr>
      </w:pPr>
      <w:r>
        <w:rPr>
          <w:rStyle w:val="FootnoteReference"/>
        </w:rPr>
        <w:footnoteRef/>
      </w:r>
      <w:r>
        <w:t xml:space="preserve"> </w:t>
      </w:r>
      <w:r>
        <w:rPr>
          <w:lang w:val="en-US"/>
        </w:rPr>
        <w:t>The wholesale price surge in 2022 is entirely due to soaring costs for energy.</w:t>
      </w:r>
    </w:p>
  </w:footnote>
  <w:footnote w:id="6">
    <w:p w14:paraId="55B10EBD" w14:textId="77777777" w:rsidR="002F5526" w:rsidRPr="00A60DEE" w:rsidRDefault="002F5526" w:rsidP="002F5526">
      <w:pPr>
        <w:pStyle w:val="FootnoteText"/>
        <w:rPr>
          <w:lang w:val="en-US"/>
        </w:rPr>
      </w:pPr>
      <w:r>
        <w:rPr>
          <w:rStyle w:val="FootnoteReference"/>
        </w:rPr>
        <w:footnoteRef/>
      </w:r>
      <w:r>
        <w:t xml:space="preserve"> The share of r</w:t>
      </w:r>
      <w:r w:rsidRPr="00A60DEE">
        <w:t xml:space="preserve">enewable energy consumption </w:t>
      </w:r>
      <w:r>
        <w:t>in</w:t>
      </w:r>
      <w:r w:rsidRPr="00A60DEE">
        <w:t xml:space="preserve"> total final energy consumption</w:t>
      </w:r>
      <w:r>
        <w:t xml:space="preserve"> is in the range of 16.76% and 18.13% over the 1990-2018 period (</w:t>
      </w:r>
      <w:r w:rsidRPr="00AE088C">
        <w:t>https://data.worldbank.org/indicator/EG.FEC.RNEW.ZS</w:t>
      </w:r>
      <w:r>
        <w:t xml:space="preserve">) </w:t>
      </w:r>
    </w:p>
  </w:footnote>
  <w:footnote w:id="7">
    <w:p w14:paraId="06072541" w14:textId="77777777" w:rsidR="003335EE" w:rsidRPr="00536EBC" w:rsidRDefault="003335EE" w:rsidP="003335EE">
      <w:pPr>
        <w:pStyle w:val="FootnoteText"/>
        <w:rPr>
          <w:lang w:val="en-US"/>
        </w:rPr>
      </w:pPr>
      <w:r>
        <w:rPr>
          <w:rStyle w:val="FootnoteReference"/>
        </w:rPr>
        <w:footnoteRef/>
      </w:r>
      <w:r>
        <w:t xml:space="preserve"> </w:t>
      </w:r>
      <w:r w:rsidRPr="00536EBC">
        <w:t>https://wits.worldbank.org/trade_outcomes.html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198"/>
    <w:multiLevelType w:val="multilevel"/>
    <w:tmpl w:val="BE1CC7E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285233F"/>
    <w:multiLevelType w:val="multilevel"/>
    <w:tmpl w:val="E6BA161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36944913">
    <w:abstractNumId w:val="0"/>
  </w:num>
  <w:num w:numId="2" w16cid:durableId="632101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MTc1tzSyNLa0NDZT0lEKTi0uzszPAykwrAUAn6DLKywAAAA="/>
    <w:docVar w:name="EN.InstantFormat" w:val="&lt;ENInstantFormat&gt;&lt;Enabled&gt;1&lt;/Enabled&gt;&lt;ScanUnformatted&gt;1&lt;/ScanUnformatted&gt;&lt;ScanChanges&gt;1&lt;/ScanChanges&gt;&lt;Suspended&gt;0&lt;/Suspended&gt;&lt;/ENInstantFormat&gt;"/>
    <w:docVar w:name="EN.Layout" w:val="&lt;ENLayout&gt;&lt;Style&gt;Accounting Business Res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0022p9x5xtlep5rz5rpxd9d0spafr5tx2&quot;&gt;My EndNote Library 7-backup&lt;record-ids&gt;&lt;item&gt;1120&lt;/item&gt;&lt;item&gt;1121&lt;/item&gt;&lt;item&gt;1123&lt;/item&gt;&lt;item&gt;1513&lt;/item&gt;&lt;item&gt;1514&lt;/item&gt;&lt;item&gt;1515&lt;/item&gt;&lt;/record-ids&gt;&lt;/item&gt;&lt;/Libraries&gt;"/>
  </w:docVars>
  <w:rsids>
    <w:rsidRoot w:val="002F527A"/>
    <w:rsid w:val="000001FC"/>
    <w:rsid w:val="00000C19"/>
    <w:rsid w:val="00000D63"/>
    <w:rsid w:val="000018AC"/>
    <w:rsid w:val="00001C40"/>
    <w:rsid w:val="000031A0"/>
    <w:rsid w:val="00003522"/>
    <w:rsid w:val="00004540"/>
    <w:rsid w:val="00004891"/>
    <w:rsid w:val="000048D9"/>
    <w:rsid w:val="00004D8F"/>
    <w:rsid w:val="0000650A"/>
    <w:rsid w:val="000074DD"/>
    <w:rsid w:val="000078B5"/>
    <w:rsid w:val="0001052C"/>
    <w:rsid w:val="0001064B"/>
    <w:rsid w:val="0001071D"/>
    <w:rsid w:val="00010737"/>
    <w:rsid w:val="00010A41"/>
    <w:rsid w:val="00010D29"/>
    <w:rsid w:val="0001159B"/>
    <w:rsid w:val="00011776"/>
    <w:rsid w:val="00011D60"/>
    <w:rsid w:val="00012AE5"/>
    <w:rsid w:val="0001398D"/>
    <w:rsid w:val="00013DD3"/>
    <w:rsid w:val="0001408F"/>
    <w:rsid w:val="000147DE"/>
    <w:rsid w:val="0001532B"/>
    <w:rsid w:val="00015405"/>
    <w:rsid w:val="0001552D"/>
    <w:rsid w:val="00015887"/>
    <w:rsid w:val="000158E3"/>
    <w:rsid w:val="000158E7"/>
    <w:rsid w:val="00015AB1"/>
    <w:rsid w:val="00016B4A"/>
    <w:rsid w:val="00016D2E"/>
    <w:rsid w:val="00016E37"/>
    <w:rsid w:val="00017092"/>
    <w:rsid w:val="00017919"/>
    <w:rsid w:val="00017D95"/>
    <w:rsid w:val="00017E90"/>
    <w:rsid w:val="00017FCB"/>
    <w:rsid w:val="00020850"/>
    <w:rsid w:val="0002095D"/>
    <w:rsid w:val="00020A03"/>
    <w:rsid w:val="00020F91"/>
    <w:rsid w:val="000213E6"/>
    <w:rsid w:val="0002233B"/>
    <w:rsid w:val="000223A8"/>
    <w:rsid w:val="00022885"/>
    <w:rsid w:val="00022902"/>
    <w:rsid w:val="00022A1B"/>
    <w:rsid w:val="00022D9F"/>
    <w:rsid w:val="00022EFE"/>
    <w:rsid w:val="000232CF"/>
    <w:rsid w:val="000234CF"/>
    <w:rsid w:val="00023657"/>
    <w:rsid w:val="00023778"/>
    <w:rsid w:val="00023940"/>
    <w:rsid w:val="000241F5"/>
    <w:rsid w:val="00024751"/>
    <w:rsid w:val="0002484B"/>
    <w:rsid w:val="00024D14"/>
    <w:rsid w:val="00025FE9"/>
    <w:rsid w:val="0002671F"/>
    <w:rsid w:val="00026884"/>
    <w:rsid w:val="00027030"/>
    <w:rsid w:val="0002703F"/>
    <w:rsid w:val="00027B51"/>
    <w:rsid w:val="00027C56"/>
    <w:rsid w:val="00030426"/>
    <w:rsid w:val="000305AD"/>
    <w:rsid w:val="0003072C"/>
    <w:rsid w:val="0003093E"/>
    <w:rsid w:val="000313CA"/>
    <w:rsid w:val="00031B77"/>
    <w:rsid w:val="00031EE5"/>
    <w:rsid w:val="000322BF"/>
    <w:rsid w:val="0003242E"/>
    <w:rsid w:val="000325C6"/>
    <w:rsid w:val="000326D4"/>
    <w:rsid w:val="000327A0"/>
    <w:rsid w:val="000327D6"/>
    <w:rsid w:val="00032CEB"/>
    <w:rsid w:val="00033149"/>
    <w:rsid w:val="0003314F"/>
    <w:rsid w:val="000331E6"/>
    <w:rsid w:val="0003349F"/>
    <w:rsid w:val="000334EA"/>
    <w:rsid w:val="00033740"/>
    <w:rsid w:val="00033D79"/>
    <w:rsid w:val="00034DCC"/>
    <w:rsid w:val="00034FD0"/>
    <w:rsid w:val="00035026"/>
    <w:rsid w:val="0003507E"/>
    <w:rsid w:val="00035176"/>
    <w:rsid w:val="00035903"/>
    <w:rsid w:val="000359EB"/>
    <w:rsid w:val="00035A85"/>
    <w:rsid w:val="00035DCD"/>
    <w:rsid w:val="00036321"/>
    <w:rsid w:val="0003691B"/>
    <w:rsid w:val="00036A01"/>
    <w:rsid w:val="00036D97"/>
    <w:rsid w:val="000371AD"/>
    <w:rsid w:val="0003775E"/>
    <w:rsid w:val="00037BDA"/>
    <w:rsid w:val="00037EBE"/>
    <w:rsid w:val="00040BC4"/>
    <w:rsid w:val="00040DE2"/>
    <w:rsid w:val="000411EC"/>
    <w:rsid w:val="0004180C"/>
    <w:rsid w:val="000419B1"/>
    <w:rsid w:val="00041CCD"/>
    <w:rsid w:val="0004236D"/>
    <w:rsid w:val="00042645"/>
    <w:rsid w:val="00042AB1"/>
    <w:rsid w:val="00042DBC"/>
    <w:rsid w:val="00042FEC"/>
    <w:rsid w:val="000431E7"/>
    <w:rsid w:val="00043685"/>
    <w:rsid w:val="00044345"/>
    <w:rsid w:val="00044930"/>
    <w:rsid w:val="00045346"/>
    <w:rsid w:val="000460FA"/>
    <w:rsid w:val="00046A56"/>
    <w:rsid w:val="00046CAE"/>
    <w:rsid w:val="00046FA0"/>
    <w:rsid w:val="000470D8"/>
    <w:rsid w:val="0005009B"/>
    <w:rsid w:val="0005061D"/>
    <w:rsid w:val="000507C0"/>
    <w:rsid w:val="00050DE7"/>
    <w:rsid w:val="00050E4D"/>
    <w:rsid w:val="00051E34"/>
    <w:rsid w:val="00051ED1"/>
    <w:rsid w:val="00051F33"/>
    <w:rsid w:val="000522D5"/>
    <w:rsid w:val="0005238B"/>
    <w:rsid w:val="00052A6B"/>
    <w:rsid w:val="00052F36"/>
    <w:rsid w:val="000531E2"/>
    <w:rsid w:val="00053251"/>
    <w:rsid w:val="00053686"/>
    <w:rsid w:val="00053B79"/>
    <w:rsid w:val="00054232"/>
    <w:rsid w:val="00054C0B"/>
    <w:rsid w:val="00054D72"/>
    <w:rsid w:val="00054EEE"/>
    <w:rsid w:val="00055583"/>
    <w:rsid w:val="00055F91"/>
    <w:rsid w:val="00055FF2"/>
    <w:rsid w:val="0005640A"/>
    <w:rsid w:val="00056824"/>
    <w:rsid w:val="00056F9A"/>
    <w:rsid w:val="000574F2"/>
    <w:rsid w:val="000576D6"/>
    <w:rsid w:val="000600A6"/>
    <w:rsid w:val="00060CA9"/>
    <w:rsid w:val="00060F25"/>
    <w:rsid w:val="0006112F"/>
    <w:rsid w:val="00061595"/>
    <w:rsid w:val="0006199C"/>
    <w:rsid w:val="000619A6"/>
    <w:rsid w:val="00062169"/>
    <w:rsid w:val="00062278"/>
    <w:rsid w:val="00062402"/>
    <w:rsid w:val="00062EE0"/>
    <w:rsid w:val="000630B6"/>
    <w:rsid w:val="00063208"/>
    <w:rsid w:val="00063468"/>
    <w:rsid w:val="000636EA"/>
    <w:rsid w:val="0006398F"/>
    <w:rsid w:val="00063E47"/>
    <w:rsid w:val="00063E83"/>
    <w:rsid w:val="0006408B"/>
    <w:rsid w:val="0006465E"/>
    <w:rsid w:val="000646FF"/>
    <w:rsid w:val="00064E16"/>
    <w:rsid w:val="00064EAD"/>
    <w:rsid w:val="000652CE"/>
    <w:rsid w:val="00065426"/>
    <w:rsid w:val="00065532"/>
    <w:rsid w:val="00065692"/>
    <w:rsid w:val="00065A95"/>
    <w:rsid w:val="00065E24"/>
    <w:rsid w:val="00066101"/>
    <w:rsid w:val="000661FA"/>
    <w:rsid w:val="00066825"/>
    <w:rsid w:val="0006699D"/>
    <w:rsid w:val="00070454"/>
    <w:rsid w:val="00070581"/>
    <w:rsid w:val="00070E69"/>
    <w:rsid w:val="000712F9"/>
    <w:rsid w:val="00071571"/>
    <w:rsid w:val="000717F2"/>
    <w:rsid w:val="000719A4"/>
    <w:rsid w:val="000720C1"/>
    <w:rsid w:val="00072430"/>
    <w:rsid w:val="00072D85"/>
    <w:rsid w:val="00072D9A"/>
    <w:rsid w:val="00074158"/>
    <w:rsid w:val="000748A7"/>
    <w:rsid w:val="00074BCF"/>
    <w:rsid w:val="00074FAB"/>
    <w:rsid w:val="00075DC1"/>
    <w:rsid w:val="00076858"/>
    <w:rsid w:val="00076B1E"/>
    <w:rsid w:val="00076B54"/>
    <w:rsid w:val="00076CE4"/>
    <w:rsid w:val="0007711C"/>
    <w:rsid w:val="000773FC"/>
    <w:rsid w:val="0007746A"/>
    <w:rsid w:val="000774BD"/>
    <w:rsid w:val="000778B8"/>
    <w:rsid w:val="000778E2"/>
    <w:rsid w:val="000779E4"/>
    <w:rsid w:val="00077C98"/>
    <w:rsid w:val="00077CA3"/>
    <w:rsid w:val="000801E2"/>
    <w:rsid w:val="00080372"/>
    <w:rsid w:val="00080CE1"/>
    <w:rsid w:val="00080E9D"/>
    <w:rsid w:val="000817CC"/>
    <w:rsid w:val="00081A81"/>
    <w:rsid w:val="00081FD8"/>
    <w:rsid w:val="00082BD0"/>
    <w:rsid w:val="00083029"/>
    <w:rsid w:val="000831EF"/>
    <w:rsid w:val="00083429"/>
    <w:rsid w:val="000835A0"/>
    <w:rsid w:val="000835D5"/>
    <w:rsid w:val="00083627"/>
    <w:rsid w:val="00083BA6"/>
    <w:rsid w:val="00083C53"/>
    <w:rsid w:val="00083F2C"/>
    <w:rsid w:val="000841EE"/>
    <w:rsid w:val="00084DEB"/>
    <w:rsid w:val="00084EC5"/>
    <w:rsid w:val="000853A9"/>
    <w:rsid w:val="000853B7"/>
    <w:rsid w:val="0008572B"/>
    <w:rsid w:val="00085F64"/>
    <w:rsid w:val="000860BA"/>
    <w:rsid w:val="00086651"/>
    <w:rsid w:val="000867DA"/>
    <w:rsid w:val="00086C4F"/>
    <w:rsid w:val="00087382"/>
    <w:rsid w:val="0008784C"/>
    <w:rsid w:val="00087B24"/>
    <w:rsid w:val="00087E92"/>
    <w:rsid w:val="000903D3"/>
    <w:rsid w:val="0009072F"/>
    <w:rsid w:val="00090A67"/>
    <w:rsid w:val="00091544"/>
    <w:rsid w:val="000917A4"/>
    <w:rsid w:val="00091FA3"/>
    <w:rsid w:val="00092FDE"/>
    <w:rsid w:val="00093054"/>
    <w:rsid w:val="0009342D"/>
    <w:rsid w:val="00093611"/>
    <w:rsid w:val="000941CE"/>
    <w:rsid w:val="000942D8"/>
    <w:rsid w:val="0009435A"/>
    <w:rsid w:val="00094AF1"/>
    <w:rsid w:val="0009527C"/>
    <w:rsid w:val="000952C3"/>
    <w:rsid w:val="000954FD"/>
    <w:rsid w:val="00095542"/>
    <w:rsid w:val="00095CC3"/>
    <w:rsid w:val="0009615B"/>
    <w:rsid w:val="00096399"/>
    <w:rsid w:val="000967EC"/>
    <w:rsid w:val="00097176"/>
    <w:rsid w:val="00097321"/>
    <w:rsid w:val="0009793A"/>
    <w:rsid w:val="00097964"/>
    <w:rsid w:val="000979D6"/>
    <w:rsid w:val="00097DD4"/>
    <w:rsid w:val="00097F4F"/>
    <w:rsid w:val="000A0501"/>
    <w:rsid w:val="000A12D1"/>
    <w:rsid w:val="000A1EE8"/>
    <w:rsid w:val="000A2078"/>
    <w:rsid w:val="000A2246"/>
    <w:rsid w:val="000A2539"/>
    <w:rsid w:val="000A2734"/>
    <w:rsid w:val="000A2BAB"/>
    <w:rsid w:val="000A371B"/>
    <w:rsid w:val="000A37E1"/>
    <w:rsid w:val="000A3B1D"/>
    <w:rsid w:val="000A4253"/>
    <w:rsid w:val="000A43DF"/>
    <w:rsid w:val="000A4A93"/>
    <w:rsid w:val="000A4D1B"/>
    <w:rsid w:val="000A5068"/>
    <w:rsid w:val="000A526E"/>
    <w:rsid w:val="000A5416"/>
    <w:rsid w:val="000A5860"/>
    <w:rsid w:val="000A5963"/>
    <w:rsid w:val="000A5E1C"/>
    <w:rsid w:val="000A6254"/>
    <w:rsid w:val="000A6BB2"/>
    <w:rsid w:val="000A76EB"/>
    <w:rsid w:val="000A78FE"/>
    <w:rsid w:val="000A7979"/>
    <w:rsid w:val="000A7EE6"/>
    <w:rsid w:val="000B05EF"/>
    <w:rsid w:val="000B074C"/>
    <w:rsid w:val="000B081C"/>
    <w:rsid w:val="000B0BED"/>
    <w:rsid w:val="000B0E2D"/>
    <w:rsid w:val="000B1081"/>
    <w:rsid w:val="000B1940"/>
    <w:rsid w:val="000B2011"/>
    <w:rsid w:val="000B202C"/>
    <w:rsid w:val="000B2671"/>
    <w:rsid w:val="000B288A"/>
    <w:rsid w:val="000B2C39"/>
    <w:rsid w:val="000B2E55"/>
    <w:rsid w:val="000B2FD3"/>
    <w:rsid w:val="000B3160"/>
    <w:rsid w:val="000B316B"/>
    <w:rsid w:val="000B327C"/>
    <w:rsid w:val="000B460D"/>
    <w:rsid w:val="000B4612"/>
    <w:rsid w:val="000B68EB"/>
    <w:rsid w:val="000B6A61"/>
    <w:rsid w:val="000B726C"/>
    <w:rsid w:val="000B7526"/>
    <w:rsid w:val="000B775A"/>
    <w:rsid w:val="000B7D04"/>
    <w:rsid w:val="000C073B"/>
    <w:rsid w:val="000C095A"/>
    <w:rsid w:val="000C0FAC"/>
    <w:rsid w:val="000C1123"/>
    <w:rsid w:val="000C1A42"/>
    <w:rsid w:val="000C1C3C"/>
    <w:rsid w:val="000C1C7A"/>
    <w:rsid w:val="000C1D9A"/>
    <w:rsid w:val="000C2191"/>
    <w:rsid w:val="000C2331"/>
    <w:rsid w:val="000C2AA2"/>
    <w:rsid w:val="000C304E"/>
    <w:rsid w:val="000C347C"/>
    <w:rsid w:val="000C3702"/>
    <w:rsid w:val="000C38DA"/>
    <w:rsid w:val="000C3BAC"/>
    <w:rsid w:val="000C3CF1"/>
    <w:rsid w:val="000C4CDA"/>
    <w:rsid w:val="000C5073"/>
    <w:rsid w:val="000C5799"/>
    <w:rsid w:val="000C61D6"/>
    <w:rsid w:val="000C6544"/>
    <w:rsid w:val="000C67F0"/>
    <w:rsid w:val="000C7658"/>
    <w:rsid w:val="000C7A76"/>
    <w:rsid w:val="000C7C4A"/>
    <w:rsid w:val="000D013C"/>
    <w:rsid w:val="000D0624"/>
    <w:rsid w:val="000D0D8C"/>
    <w:rsid w:val="000D183C"/>
    <w:rsid w:val="000D2496"/>
    <w:rsid w:val="000D2CE1"/>
    <w:rsid w:val="000D2FFB"/>
    <w:rsid w:val="000D313D"/>
    <w:rsid w:val="000D3527"/>
    <w:rsid w:val="000D3F42"/>
    <w:rsid w:val="000D412F"/>
    <w:rsid w:val="000D5019"/>
    <w:rsid w:val="000D61C5"/>
    <w:rsid w:val="000D62EF"/>
    <w:rsid w:val="000D6533"/>
    <w:rsid w:val="000D7080"/>
    <w:rsid w:val="000D78B9"/>
    <w:rsid w:val="000D7944"/>
    <w:rsid w:val="000D7A63"/>
    <w:rsid w:val="000D7BB0"/>
    <w:rsid w:val="000D7D24"/>
    <w:rsid w:val="000D7EA6"/>
    <w:rsid w:val="000D7ECE"/>
    <w:rsid w:val="000E00DD"/>
    <w:rsid w:val="000E036A"/>
    <w:rsid w:val="000E0572"/>
    <w:rsid w:val="000E1B29"/>
    <w:rsid w:val="000E1FFD"/>
    <w:rsid w:val="000E210D"/>
    <w:rsid w:val="000E236A"/>
    <w:rsid w:val="000E2463"/>
    <w:rsid w:val="000E29BB"/>
    <w:rsid w:val="000E29F5"/>
    <w:rsid w:val="000E3450"/>
    <w:rsid w:val="000E3E68"/>
    <w:rsid w:val="000E3FA0"/>
    <w:rsid w:val="000E4B2B"/>
    <w:rsid w:val="000E4C79"/>
    <w:rsid w:val="000E4DAD"/>
    <w:rsid w:val="000E4F95"/>
    <w:rsid w:val="000E51AF"/>
    <w:rsid w:val="000E5529"/>
    <w:rsid w:val="000E57AC"/>
    <w:rsid w:val="000E5F78"/>
    <w:rsid w:val="000E65C6"/>
    <w:rsid w:val="000E6E37"/>
    <w:rsid w:val="000E7896"/>
    <w:rsid w:val="000F0AE6"/>
    <w:rsid w:val="000F0F76"/>
    <w:rsid w:val="000F1C80"/>
    <w:rsid w:val="000F28AB"/>
    <w:rsid w:val="000F2922"/>
    <w:rsid w:val="000F2B17"/>
    <w:rsid w:val="000F2DA0"/>
    <w:rsid w:val="000F35BA"/>
    <w:rsid w:val="000F3807"/>
    <w:rsid w:val="000F3A31"/>
    <w:rsid w:val="000F4684"/>
    <w:rsid w:val="000F4892"/>
    <w:rsid w:val="000F5942"/>
    <w:rsid w:val="000F5D65"/>
    <w:rsid w:val="000F6722"/>
    <w:rsid w:val="000F6C37"/>
    <w:rsid w:val="000F7AEC"/>
    <w:rsid w:val="000F7FD1"/>
    <w:rsid w:val="001000D9"/>
    <w:rsid w:val="0010043B"/>
    <w:rsid w:val="001004FD"/>
    <w:rsid w:val="0010057B"/>
    <w:rsid w:val="00100DA8"/>
    <w:rsid w:val="001012C1"/>
    <w:rsid w:val="00101545"/>
    <w:rsid w:val="00101863"/>
    <w:rsid w:val="00101A6C"/>
    <w:rsid w:val="00102409"/>
    <w:rsid w:val="0010260D"/>
    <w:rsid w:val="001026A2"/>
    <w:rsid w:val="00102A8B"/>
    <w:rsid w:val="00102DA3"/>
    <w:rsid w:val="00102F09"/>
    <w:rsid w:val="0010329D"/>
    <w:rsid w:val="001033D4"/>
    <w:rsid w:val="0010385C"/>
    <w:rsid w:val="00103D48"/>
    <w:rsid w:val="00103E7F"/>
    <w:rsid w:val="001046BB"/>
    <w:rsid w:val="0010478E"/>
    <w:rsid w:val="00104896"/>
    <w:rsid w:val="001048D4"/>
    <w:rsid w:val="00104AD3"/>
    <w:rsid w:val="00104C6B"/>
    <w:rsid w:val="00104F62"/>
    <w:rsid w:val="00104FC2"/>
    <w:rsid w:val="0010522E"/>
    <w:rsid w:val="00105997"/>
    <w:rsid w:val="001059D1"/>
    <w:rsid w:val="0010752D"/>
    <w:rsid w:val="00107B98"/>
    <w:rsid w:val="00107D4C"/>
    <w:rsid w:val="00107D6C"/>
    <w:rsid w:val="00107E28"/>
    <w:rsid w:val="001110FA"/>
    <w:rsid w:val="00111227"/>
    <w:rsid w:val="00111251"/>
    <w:rsid w:val="00111C46"/>
    <w:rsid w:val="00113147"/>
    <w:rsid w:val="001131E9"/>
    <w:rsid w:val="0011372C"/>
    <w:rsid w:val="001137A6"/>
    <w:rsid w:val="00113957"/>
    <w:rsid w:val="00114948"/>
    <w:rsid w:val="00114A76"/>
    <w:rsid w:val="00114F25"/>
    <w:rsid w:val="00115898"/>
    <w:rsid w:val="001158B1"/>
    <w:rsid w:val="00115C3E"/>
    <w:rsid w:val="00115FE5"/>
    <w:rsid w:val="00116008"/>
    <w:rsid w:val="00116281"/>
    <w:rsid w:val="00116696"/>
    <w:rsid w:val="001166E4"/>
    <w:rsid w:val="001168AD"/>
    <w:rsid w:val="00116C90"/>
    <w:rsid w:val="001171AB"/>
    <w:rsid w:val="00117296"/>
    <w:rsid w:val="00117B72"/>
    <w:rsid w:val="00120FB0"/>
    <w:rsid w:val="001214DF"/>
    <w:rsid w:val="00121E0E"/>
    <w:rsid w:val="00121F34"/>
    <w:rsid w:val="00121FA2"/>
    <w:rsid w:val="0012339A"/>
    <w:rsid w:val="00123B16"/>
    <w:rsid w:val="00123B68"/>
    <w:rsid w:val="00123E65"/>
    <w:rsid w:val="00123F04"/>
    <w:rsid w:val="001242F0"/>
    <w:rsid w:val="001243CD"/>
    <w:rsid w:val="001245DA"/>
    <w:rsid w:val="00124A4E"/>
    <w:rsid w:val="00124C4C"/>
    <w:rsid w:val="00124DD2"/>
    <w:rsid w:val="0012534B"/>
    <w:rsid w:val="001255A3"/>
    <w:rsid w:val="0012576D"/>
    <w:rsid w:val="001257D5"/>
    <w:rsid w:val="00125BD2"/>
    <w:rsid w:val="00125FA5"/>
    <w:rsid w:val="0012605E"/>
    <w:rsid w:val="00126A92"/>
    <w:rsid w:val="00126E5F"/>
    <w:rsid w:val="001270E6"/>
    <w:rsid w:val="001278AE"/>
    <w:rsid w:val="00127958"/>
    <w:rsid w:val="00130360"/>
    <w:rsid w:val="0013042B"/>
    <w:rsid w:val="00130699"/>
    <w:rsid w:val="00130991"/>
    <w:rsid w:val="00131802"/>
    <w:rsid w:val="00131E3B"/>
    <w:rsid w:val="001320C4"/>
    <w:rsid w:val="00132139"/>
    <w:rsid w:val="001323C0"/>
    <w:rsid w:val="00132D9C"/>
    <w:rsid w:val="00133317"/>
    <w:rsid w:val="00133390"/>
    <w:rsid w:val="00133679"/>
    <w:rsid w:val="00133E82"/>
    <w:rsid w:val="00134347"/>
    <w:rsid w:val="00134635"/>
    <w:rsid w:val="00134F4A"/>
    <w:rsid w:val="00135549"/>
    <w:rsid w:val="001355C2"/>
    <w:rsid w:val="0013564F"/>
    <w:rsid w:val="00135EB2"/>
    <w:rsid w:val="0013686E"/>
    <w:rsid w:val="001369E2"/>
    <w:rsid w:val="001373B4"/>
    <w:rsid w:val="0013773C"/>
    <w:rsid w:val="00137AA5"/>
    <w:rsid w:val="00140052"/>
    <w:rsid w:val="00140364"/>
    <w:rsid w:val="00140386"/>
    <w:rsid w:val="00141305"/>
    <w:rsid w:val="0014185B"/>
    <w:rsid w:val="00141ABF"/>
    <w:rsid w:val="00141F67"/>
    <w:rsid w:val="00143728"/>
    <w:rsid w:val="001447E5"/>
    <w:rsid w:val="00144F0F"/>
    <w:rsid w:val="00145156"/>
    <w:rsid w:val="00145607"/>
    <w:rsid w:val="00145940"/>
    <w:rsid w:val="00145976"/>
    <w:rsid w:val="00145AE5"/>
    <w:rsid w:val="001469AD"/>
    <w:rsid w:val="00146EF4"/>
    <w:rsid w:val="0014776D"/>
    <w:rsid w:val="0014797B"/>
    <w:rsid w:val="001479EE"/>
    <w:rsid w:val="00147D66"/>
    <w:rsid w:val="00147DC6"/>
    <w:rsid w:val="00150101"/>
    <w:rsid w:val="00150AE9"/>
    <w:rsid w:val="00150AF1"/>
    <w:rsid w:val="0015145F"/>
    <w:rsid w:val="00151469"/>
    <w:rsid w:val="001518A3"/>
    <w:rsid w:val="0015241F"/>
    <w:rsid w:val="001526FB"/>
    <w:rsid w:val="00152760"/>
    <w:rsid w:val="00152B62"/>
    <w:rsid w:val="00152EBE"/>
    <w:rsid w:val="00153DF7"/>
    <w:rsid w:val="00154594"/>
    <w:rsid w:val="001547B5"/>
    <w:rsid w:val="00154C07"/>
    <w:rsid w:val="00154F12"/>
    <w:rsid w:val="00154FD2"/>
    <w:rsid w:val="001550C2"/>
    <w:rsid w:val="00155A9C"/>
    <w:rsid w:val="00155B10"/>
    <w:rsid w:val="00155F34"/>
    <w:rsid w:val="00156568"/>
    <w:rsid w:val="00156BF0"/>
    <w:rsid w:val="0016032F"/>
    <w:rsid w:val="00160774"/>
    <w:rsid w:val="00160B62"/>
    <w:rsid w:val="00160EC3"/>
    <w:rsid w:val="00160F50"/>
    <w:rsid w:val="00161277"/>
    <w:rsid w:val="0016149A"/>
    <w:rsid w:val="001614BE"/>
    <w:rsid w:val="001616DA"/>
    <w:rsid w:val="00161F3E"/>
    <w:rsid w:val="001621FD"/>
    <w:rsid w:val="00162210"/>
    <w:rsid w:val="0016223A"/>
    <w:rsid w:val="00162347"/>
    <w:rsid w:val="001623FC"/>
    <w:rsid w:val="00162484"/>
    <w:rsid w:val="00163610"/>
    <w:rsid w:val="00163EF0"/>
    <w:rsid w:val="00163F95"/>
    <w:rsid w:val="001644A2"/>
    <w:rsid w:val="001650C1"/>
    <w:rsid w:val="0016544E"/>
    <w:rsid w:val="00165858"/>
    <w:rsid w:val="00165AF8"/>
    <w:rsid w:val="00165FA5"/>
    <w:rsid w:val="0016614B"/>
    <w:rsid w:val="00166563"/>
    <w:rsid w:val="00166B74"/>
    <w:rsid w:val="00167139"/>
    <w:rsid w:val="0016784B"/>
    <w:rsid w:val="001702A7"/>
    <w:rsid w:val="00170447"/>
    <w:rsid w:val="001704AA"/>
    <w:rsid w:val="0017052A"/>
    <w:rsid w:val="001707D7"/>
    <w:rsid w:val="00170D9A"/>
    <w:rsid w:val="00170E9B"/>
    <w:rsid w:val="001716BE"/>
    <w:rsid w:val="00171959"/>
    <w:rsid w:val="00171C38"/>
    <w:rsid w:val="00171FE4"/>
    <w:rsid w:val="00172A6B"/>
    <w:rsid w:val="00172E92"/>
    <w:rsid w:val="00172F38"/>
    <w:rsid w:val="0017306C"/>
    <w:rsid w:val="00173212"/>
    <w:rsid w:val="00173DE9"/>
    <w:rsid w:val="00173F72"/>
    <w:rsid w:val="00173FBB"/>
    <w:rsid w:val="0017400F"/>
    <w:rsid w:val="00174044"/>
    <w:rsid w:val="00174C90"/>
    <w:rsid w:val="0017655C"/>
    <w:rsid w:val="00176A6A"/>
    <w:rsid w:val="00176B70"/>
    <w:rsid w:val="00176E95"/>
    <w:rsid w:val="00177742"/>
    <w:rsid w:val="00177B07"/>
    <w:rsid w:val="00177CB3"/>
    <w:rsid w:val="00177EE0"/>
    <w:rsid w:val="00180180"/>
    <w:rsid w:val="00180388"/>
    <w:rsid w:val="001806C3"/>
    <w:rsid w:val="001823BB"/>
    <w:rsid w:val="001823D5"/>
    <w:rsid w:val="0018240C"/>
    <w:rsid w:val="0018358A"/>
    <w:rsid w:val="0018373D"/>
    <w:rsid w:val="00183FA8"/>
    <w:rsid w:val="00184275"/>
    <w:rsid w:val="0018428D"/>
    <w:rsid w:val="00184FEB"/>
    <w:rsid w:val="001855DA"/>
    <w:rsid w:val="00185CCF"/>
    <w:rsid w:val="001860BE"/>
    <w:rsid w:val="001861F8"/>
    <w:rsid w:val="00186207"/>
    <w:rsid w:val="00186B1B"/>
    <w:rsid w:val="001877DB"/>
    <w:rsid w:val="00187ABB"/>
    <w:rsid w:val="00187CE3"/>
    <w:rsid w:val="0019015F"/>
    <w:rsid w:val="001902AA"/>
    <w:rsid w:val="0019063A"/>
    <w:rsid w:val="0019074D"/>
    <w:rsid w:val="00190D0B"/>
    <w:rsid w:val="00190DBF"/>
    <w:rsid w:val="00190DFA"/>
    <w:rsid w:val="00190F2E"/>
    <w:rsid w:val="00191193"/>
    <w:rsid w:val="001915D9"/>
    <w:rsid w:val="00191B48"/>
    <w:rsid w:val="00191CD6"/>
    <w:rsid w:val="00191FB4"/>
    <w:rsid w:val="001921B2"/>
    <w:rsid w:val="00192843"/>
    <w:rsid w:val="00192C33"/>
    <w:rsid w:val="00192F7E"/>
    <w:rsid w:val="001931C4"/>
    <w:rsid w:val="001932DC"/>
    <w:rsid w:val="00193BBC"/>
    <w:rsid w:val="00193DDE"/>
    <w:rsid w:val="00194259"/>
    <w:rsid w:val="00194A22"/>
    <w:rsid w:val="00194C3F"/>
    <w:rsid w:val="00194E43"/>
    <w:rsid w:val="0019510D"/>
    <w:rsid w:val="00195D60"/>
    <w:rsid w:val="00195DB0"/>
    <w:rsid w:val="00195FBE"/>
    <w:rsid w:val="00196517"/>
    <w:rsid w:val="0019654C"/>
    <w:rsid w:val="00196653"/>
    <w:rsid w:val="00197022"/>
    <w:rsid w:val="001979C0"/>
    <w:rsid w:val="001A0F33"/>
    <w:rsid w:val="001A1021"/>
    <w:rsid w:val="001A1F37"/>
    <w:rsid w:val="001A22FA"/>
    <w:rsid w:val="001A243E"/>
    <w:rsid w:val="001A2F9E"/>
    <w:rsid w:val="001A34CE"/>
    <w:rsid w:val="001A3E68"/>
    <w:rsid w:val="001A427B"/>
    <w:rsid w:val="001A47EB"/>
    <w:rsid w:val="001A4918"/>
    <w:rsid w:val="001A4DEC"/>
    <w:rsid w:val="001A4FE2"/>
    <w:rsid w:val="001A574C"/>
    <w:rsid w:val="001A5A7B"/>
    <w:rsid w:val="001A5C25"/>
    <w:rsid w:val="001A6587"/>
    <w:rsid w:val="001A66D4"/>
    <w:rsid w:val="001A6871"/>
    <w:rsid w:val="001A6AEF"/>
    <w:rsid w:val="001A6E50"/>
    <w:rsid w:val="001A6F13"/>
    <w:rsid w:val="001A730B"/>
    <w:rsid w:val="001A7A71"/>
    <w:rsid w:val="001A7DA5"/>
    <w:rsid w:val="001B0B15"/>
    <w:rsid w:val="001B1193"/>
    <w:rsid w:val="001B1CBE"/>
    <w:rsid w:val="001B20FB"/>
    <w:rsid w:val="001B2285"/>
    <w:rsid w:val="001B3A8A"/>
    <w:rsid w:val="001B412F"/>
    <w:rsid w:val="001B4189"/>
    <w:rsid w:val="001B44B5"/>
    <w:rsid w:val="001B4871"/>
    <w:rsid w:val="001B4C4E"/>
    <w:rsid w:val="001B4D38"/>
    <w:rsid w:val="001B4EAB"/>
    <w:rsid w:val="001B4FD4"/>
    <w:rsid w:val="001B509C"/>
    <w:rsid w:val="001B5283"/>
    <w:rsid w:val="001B530C"/>
    <w:rsid w:val="001B57B1"/>
    <w:rsid w:val="001B5CB5"/>
    <w:rsid w:val="001B6106"/>
    <w:rsid w:val="001B6418"/>
    <w:rsid w:val="001B6530"/>
    <w:rsid w:val="001B6868"/>
    <w:rsid w:val="001B7201"/>
    <w:rsid w:val="001B7BD3"/>
    <w:rsid w:val="001C029D"/>
    <w:rsid w:val="001C04E8"/>
    <w:rsid w:val="001C0C5A"/>
    <w:rsid w:val="001C0E64"/>
    <w:rsid w:val="001C197A"/>
    <w:rsid w:val="001C1F72"/>
    <w:rsid w:val="001C21F7"/>
    <w:rsid w:val="001C24CC"/>
    <w:rsid w:val="001C2AF2"/>
    <w:rsid w:val="001C2F53"/>
    <w:rsid w:val="001C32C4"/>
    <w:rsid w:val="001C34EE"/>
    <w:rsid w:val="001C377C"/>
    <w:rsid w:val="001C3848"/>
    <w:rsid w:val="001C3A4D"/>
    <w:rsid w:val="001C4F2F"/>
    <w:rsid w:val="001C50A9"/>
    <w:rsid w:val="001C57E2"/>
    <w:rsid w:val="001C58BA"/>
    <w:rsid w:val="001C58EA"/>
    <w:rsid w:val="001C6191"/>
    <w:rsid w:val="001C61AB"/>
    <w:rsid w:val="001C6C0C"/>
    <w:rsid w:val="001C710F"/>
    <w:rsid w:val="001C7416"/>
    <w:rsid w:val="001C7627"/>
    <w:rsid w:val="001C7A08"/>
    <w:rsid w:val="001C7B36"/>
    <w:rsid w:val="001C7F69"/>
    <w:rsid w:val="001D012C"/>
    <w:rsid w:val="001D0264"/>
    <w:rsid w:val="001D0C77"/>
    <w:rsid w:val="001D14BA"/>
    <w:rsid w:val="001D153D"/>
    <w:rsid w:val="001D1620"/>
    <w:rsid w:val="001D162F"/>
    <w:rsid w:val="001D1D41"/>
    <w:rsid w:val="001D2644"/>
    <w:rsid w:val="001D281F"/>
    <w:rsid w:val="001D2874"/>
    <w:rsid w:val="001D2EC1"/>
    <w:rsid w:val="001D32F7"/>
    <w:rsid w:val="001D32FB"/>
    <w:rsid w:val="001D3305"/>
    <w:rsid w:val="001D3492"/>
    <w:rsid w:val="001D3D20"/>
    <w:rsid w:val="001D404D"/>
    <w:rsid w:val="001D4313"/>
    <w:rsid w:val="001D433F"/>
    <w:rsid w:val="001D579D"/>
    <w:rsid w:val="001D6718"/>
    <w:rsid w:val="001D6D55"/>
    <w:rsid w:val="001D7AD1"/>
    <w:rsid w:val="001D7B4D"/>
    <w:rsid w:val="001D7C6A"/>
    <w:rsid w:val="001E06A5"/>
    <w:rsid w:val="001E0D20"/>
    <w:rsid w:val="001E0E38"/>
    <w:rsid w:val="001E1141"/>
    <w:rsid w:val="001E19D1"/>
    <w:rsid w:val="001E1A81"/>
    <w:rsid w:val="001E1BC5"/>
    <w:rsid w:val="001E1CBC"/>
    <w:rsid w:val="001E2EE1"/>
    <w:rsid w:val="001E2F28"/>
    <w:rsid w:val="001E3079"/>
    <w:rsid w:val="001E3135"/>
    <w:rsid w:val="001E3218"/>
    <w:rsid w:val="001E381C"/>
    <w:rsid w:val="001E3B2D"/>
    <w:rsid w:val="001E4281"/>
    <w:rsid w:val="001E4431"/>
    <w:rsid w:val="001E4435"/>
    <w:rsid w:val="001E46F9"/>
    <w:rsid w:val="001E4B30"/>
    <w:rsid w:val="001E51BC"/>
    <w:rsid w:val="001E5717"/>
    <w:rsid w:val="001E5926"/>
    <w:rsid w:val="001E614C"/>
    <w:rsid w:val="001E67E0"/>
    <w:rsid w:val="001E6817"/>
    <w:rsid w:val="001E6A1C"/>
    <w:rsid w:val="001E6E61"/>
    <w:rsid w:val="001E728D"/>
    <w:rsid w:val="001F02C1"/>
    <w:rsid w:val="001F04C9"/>
    <w:rsid w:val="001F0741"/>
    <w:rsid w:val="001F07F7"/>
    <w:rsid w:val="001F0A66"/>
    <w:rsid w:val="001F1079"/>
    <w:rsid w:val="001F115B"/>
    <w:rsid w:val="001F1281"/>
    <w:rsid w:val="001F12C7"/>
    <w:rsid w:val="001F16C2"/>
    <w:rsid w:val="001F1746"/>
    <w:rsid w:val="001F1F7B"/>
    <w:rsid w:val="001F21B1"/>
    <w:rsid w:val="001F26EB"/>
    <w:rsid w:val="001F27E3"/>
    <w:rsid w:val="001F30BD"/>
    <w:rsid w:val="001F3269"/>
    <w:rsid w:val="001F3667"/>
    <w:rsid w:val="001F371E"/>
    <w:rsid w:val="001F40A9"/>
    <w:rsid w:val="001F4160"/>
    <w:rsid w:val="001F4AE5"/>
    <w:rsid w:val="001F512B"/>
    <w:rsid w:val="001F541D"/>
    <w:rsid w:val="001F561A"/>
    <w:rsid w:val="001F5802"/>
    <w:rsid w:val="001F587E"/>
    <w:rsid w:val="001F647E"/>
    <w:rsid w:val="001F6D3F"/>
    <w:rsid w:val="001F6D7C"/>
    <w:rsid w:val="001F6EE5"/>
    <w:rsid w:val="001F7058"/>
    <w:rsid w:val="001F7248"/>
    <w:rsid w:val="001F73CC"/>
    <w:rsid w:val="001F7B37"/>
    <w:rsid w:val="001F7B4A"/>
    <w:rsid w:val="001F7D0B"/>
    <w:rsid w:val="0020022D"/>
    <w:rsid w:val="0020077E"/>
    <w:rsid w:val="00200D19"/>
    <w:rsid w:val="00200EC5"/>
    <w:rsid w:val="00201178"/>
    <w:rsid w:val="002011AF"/>
    <w:rsid w:val="002017CF"/>
    <w:rsid w:val="00201AD6"/>
    <w:rsid w:val="00201B02"/>
    <w:rsid w:val="00202323"/>
    <w:rsid w:val="00202499"/>
    <w:rsid w:val="00202E02"/>
    <w:rsid w:val="002038B3"/>
    <w:rsid w:val="00203DF5"/>
    <w:rsid w:val="0020453F"/>
    <w:rsid w:val="00204BF5"/>
    <w:rsid w:val="00204FD0"/>
    <w:rsid w:val="00205543"/>
    <w:rsid w:val="0020661E"/>
    <w:rsid w:val="00206794"/>
    <w:rsid w:val="00206D8A"/>
    <w:rsid w:val="00206D9A"/>
    <w:rsid w:val="0020702F"/>
    <w:rsid w:val="00207243"/>
    <w:rsid w:val="0021047E"/>
    <w:rsid w:val="0021134F"/>
    <w:rsid w:val="0021167F"/>
    <w:rsid w:val="00211699"/>
    <w:rsid w:val="002117A1"/>
    <w:rsid w:val="00211E57"/>
    <w:rsid w:val="00211F7A"/>
    <w:rsid w:val="00211FB8"/>
    <w:rsid w:val="002126D4"/>
    <w:rsid w:val="00212B7D"/>
    <w:rsid w:val="0021305F"/>
    <w:rsid w:val="002131DB"/>
    <w:rsid w:val="002138C6"/>
    <w:rsid w:val="0021390A"/>
    <w:rsid w:val="00213BE8"/>
    <w:rsid w:val="00213DC7"/>
    <w:rsid w:val="00213F85"/>
    <w:rsid w:val="0021401B"/>
    <w:rsid w:val="0021444B"/>
    <w:rsid w:val="002144EE"/>
    <w:rsid w:val="00214851"/>
    <w:rsid w:val="002154FA"/>
    <w:rsid w:val="002162F2"/>
    <w:rsid w:val="002168D4"/>
    <w:rsid w:val="00217342"/>
    <w:rsid w:val="002176A0"/>
    <w:rsid w:val="002179FB"/>
    <w:rsid w:val="00217B78"/>
    <w:rsid w:val="00220399"/>
    <w:rsid w:val="002206CA"/>
    <w:rsid w:val="002207DE"/>
    <w:rsid w:val="00221A5D"/>
    <w:rsid w:val="00221B7F"/>
    <w:rsid w:val="00221D4F"/>
    <w:rsid w:val="002223F2"/>
    <w:rsid w:val="002229C4"/>
    <w:rsid w:val="00222C5C"/>
    <w:rsid w:val="00222D59"/>
    <w:rsid w:val="00222EE8"/>
    <w:rsid w:val="00222EF4"/>
    <w:rsid w:val="00223698"/>
    <w:rsid w:val="0022382C"/>
    <w:rsid w:val="00223FD4"/>
    <w:rsid w:val="00224368"/>
    <w:rsid w:val="00224DAA"/>
    <w:rsid w:val="00224FE2"/>
    <w:rsid w:val="0022532D"/>
    <w:rsid w:val="00225353"/>
    <w:rsid w:val="002255F2"/>
    <w:rsid w:val="0022583B"/>
    <w:rsid w:val="00225A99"/>
    <w:rsid w:val="002260A0"/>
    <w:rsid w:val="00226812"/>
    <w:rsid w:val="0022689E"/>
    <w:rsid w:val="002271FD"/>
    <w:rsid w:val="00227594"/>
    <w:rsid w:val="002275BB"/>
    <w:rsid w:val="00227762"/>
    <w:rsid w:val="00230322"/>
    <w:rsid w:val="0023039B"/>
    <w:rsid w:val="00230A21"/>
    <w:rsid w:val="00230C5E"/>
    <w:rsid w:val="00230C6F"/>
    <w:rsid w:val="002323D3"/>
    <w:rsid w:val="00232D34"/>
    <w:rsid w:val="00233128"/>
    <w:rsid w:val="00233906"/>
    <w:rsid w:val="00233C87"/>
    <w:rsid w:val="00233EA7"/>
    <w:rsid w:val="002341E1"/>
    <w:rsid w:val="002342D4"/>
    <w:rsid w:val="00234A69"/>
    <w:rsid w:val="00234DD8"/>
    <w:rsid w:val="00235280"/>
    <w:rsid w:val="002352D0"/>
    <w:rsid w:val="00235631"/>
    <w:rsid w:val="00235D68"/>
    <w:rsid w:val="002360E4"/>
    <w:rsid w:val="00236CA2"/>
    <w:rsid w:val="00237223"/>
    <w:rsid w:val="00237286"/>
    <w:rsid w:val="002400E9"/>
    <w:rsid w:val="002404D8"/>
    <w:rsid w:val="0024146C"/>
    <w:rsid w:val="0024149C"/>
    <w:rsid w:val="002416F4"/>
    <w:rsid w:val="00241FEA"/>
    <w:rsid w:val="002420CD"/>
    <w:rsid w:val="00242B0C"/>
    <w:rsid w:val="0024303A"/>
    <w:rsid w:val="0024321D"/>
    <w:rsid w:val="0024380E"/>
    <w:rsid w:val="00243AB0"/>
    <w:rsid w:val="00243B9A"/>
    <w:rsid w:val="002450A7"/>
    <w:rsid w:val="0024532C"/>
    <w:rsid w:val="0024572B"/>
    <w:rsid w:val="00245E58"/>
    <w:rsid w:val="00246B23"/>
    <w:rsid w:val="00246F44"/>
    <w:rsid w:val="00246FC1"/>
    <w:rsid w:val="0024743A"/>
    <w:rsid w:val="002479AB"/>
    <w:rsid w:val="00247C57"/>
    <w:rsid w:val="0025041A"/>
    <w:rsid w:val="00250B71"/>
    <w:rsid w:val="00251955"/>
    <w:rsid w:val="002524A3"/>
    <w:rsid w:val="00252829"/>
    <w:rsid w:val="00252994"/>
    <w:rsid w:val="00252D30"/>
    <w:rsid w:val="002534A3"/>
    <w:rsid w:val="0025384E"/>
    <w:rsid w:val="0025404D"/>
    <w:rsid w:val="00254084"/>
    <w:rsid w:val="0025457C"/>
    <w:rsid w:val="0025458E"/>
    <w:rsid w:val="00254717"/>
    <w:rsid w:val="002547F0"/>
    <w:rsid w:val="00254D3B"/>
    <w:rsid w:val="00255F60"/>
    <w:rsid w:val="00256398"/>
    <w:rsid w:val="00256856"/>
    <w:rsid w:val="00256EB3"/>
    <w:rsid w:val="00257193"/>
    <w:rsid w:val="002603A7"/>
    <w:rsid w:val="002605B0"/>
    <w:rsid w:val="00260C0D"/>
    <w:rsid w:val="00260CD8"/>
    <w:rsid w:val="0026153B"/>
    <w:rsid w:val="00261DC1"/>
    <w:rsid w:val="00261E8C"/>
    <w:rsid w:val="00262048"/>
    <w:rsid w:val="00262428"/>
    <w:rsid w:val="00262C74"/>
    <w:rsid w:val="00262E0B"/>
    <w:rsid w:val="0026358C"/>
    <w:rsid w:val="002637AA"/>
    <w:rsid w:val="00263AE8"/>
    <w:rsid w:val="00263AEA"/>
    <w:rsid w:val="00263C96"/>
    <w:rsid w:val="0026455E"/>
    <w:rsid w:val="00264ED6"/>
    <w:rsid w:val="00265CB5"/>
    <w:rsid w:val="00265D1F"/>
    <w:rsid w:val="00265E95"/>
    <w:rsid w:val="00265F81"/>
    <w:rsid w:val="00266920"/>
    <w:rsid w:val="00266AA6"/>
    <w:rsid w:val="002671BB"/>
    <w:rsid w:val="0026745B"/>
    <w:rsid w:val="0026757E"/>
    <w:rsid w:val="00267634"/>
    <w:rsid w:val="002705E0"/>
    <w:rsid w:val="002706F2"/>
    <w:rsid w:val="00270983"/>
    <w:rsid w:val="00270DC6"/>
    <w:rsid w:val="0027188A"/>
    <w:rsid w:val="00271911"/>
    <w:rsid w:val="00271B31"/>
    <w:rsid w:val="00272198"/>
    <w:rsid w:val="00272D99"/>
    <w:rsid w:val="00273548"/>
    <w:rsid w:val="00273844"/>
    <w:rsid w:val="00273FDB"/>
    <w:rsid w:val="00274473"/>
    <w:rsid w:val="00274AF9"/>
    <w:rsid w:val="00274B85"/>
    <w:rsid w:val="00275146"/>
    <w:rsid w:val="00275819"/>
    <w:rsid w:val="002758FF"/>
    <w:rsid w:val="002759B5"/>
    <w:rsid w:val="00275C62"/>
    <w:rsid w:val="00276DCE"/>
    <w:rsid w:val="00277062"/>
    <w:rsid w:val="00277B48"/>
    <w:rsid w:val="002800EC"/>
    <w:rsid w:val="002802AF"/>
    <w:rsid w:val="00280595"/>
    <w:rsid w:val="002809D7"/>
    <w:rsid w:val="00280F65"/>
    <w:rsid w:val="002815CB"/>
    <w:rsid w:val="002816F0"/>
    <w:rsid w:val="00281D3E"/>
    <w:rsid w:val="00282390"/>
    <w:rsid w:val="00282614"/>
    <w:rsid w:val="002827DF"/>
    <w:rsid w:val="00283526"/>
    <w:rsid w:val="002837B4"/>
    <w:rsid w:val="0028391D"/>
    <w:rsid w:val="00283F3D"/>
    <w:rsid w:val="0028459B"/>
    <w:rsid w:val="00284B4C"/>
    <w:rsid w:val="00285182"/>
    <w:rsid w:val="002858AB"/>
    <w:rsid w:val="00286B62"/>
    <w:rsid w:val="00286EC4"/>
    <w:rsid w:val="00287565"/>
    <w:rsid w:val="002877FB"/>
    <w:rsid w:val="00287801"/>
    <w:rsid w:val="00290498"/>
    <w:rsid w:val="002910E1"/>
    <w:rsid w:val="002912F0"/>
    <w:rsid w:val="00291884"/>
    <w:rsid w:val="002919ED"/>
    <w:rsid w:val="00291E43"/>
    <w:rsid w:val="00292522"/>
    <w:rsid w:val="00292CB5"/>
    <w:rsid w:val="0029308B"/>
    <w:rsid w:val="00293389"/>
    <w:rsid w:val="00293BED"/>
    <w:rsid w:val="00293CD9"/>
    <w:rsid w:val="002940ED"/>
    <w:rsid w:val="00294805"/>
    <w:rsid w:val="002948AB"/>
    <w:rsid w:val="00294DEB"/>
    <w:rsid w:val="002950ED"/>
    <w:rsid w:val="00295C77"/>
    <w:rsid w:val="002961C9"/>
    <w:rsid w:val="002962CE"/>
    <w:rsid w:val="002966D5"/>
    <w:rsid w:val="002967AD"/>
    <w:rsid w:val="002967E1"/>
    <w:rsid w:val="002970B7"/>
    <w:rsid w:val="002971ED"/>
    <w:rsid w:val="002977DE"/>
    <w:rsid w:val="00297BE9"/>
    <w:rsid w:val="00297EB7"/>
    <w:rsid w:val="00297EC1"/>
    <w:rsid w:val="002A0760"/>
    <w:rsid w:val="002A0832"/>
    <w:rsid w:val="002A0C2B"/>
    <w:rsid w:val="002A124F"/>
    <w:rsid w:val="002A2210"/>
    <w:rsid w:val="002A2928"/>
    <w:rsid w:val="002A2C7A"/>
    <w:rsid w:val="002A34F2"/>
    <w:rsid w:val="002A370E"/>
    <w:rsid w:val="002A3F97"/>
    <w:rsid w:val="002A436C"/>
    <w:rsid w:val="002A47AB"/>
    <w:rsid w:val="002A4D3E"/>
    <w:rsid w:val="002A4E02"/>
    <w:rsid w:val="002A56E7"/>
    <w:rsid w:val="002A63F2"/>
    <w:rsid w:val="002A68D2"/>
    <w:rsid w:val="002A6FEB"/>
    <w:rsid w:val="002A73D1"/>
    <w:rsid w:val="002A7A1C"/>
    <w:rsid w:val="002A7D86"/>
    <w:rsid w:val="002B0489"/>
    <w:rsid w:val="002B0531"/>
    <w:rsid w:val="002B08E2"/>
    <w:rsid w:val="002B0A9D"/>
    <w:rsid w:val="002B0D48"/>
    <w:rsid w:val="002B19C3"/>
    <w:rsid w:val="002B1E9A"/>
    <w:rsid w:val="002B2001"/>
    <w:rsid w:val="002B2041"/>
    <w:rsid w:val="002B205A"/>
    <w:rsid w:val="002B24A3"/>
    <w:rsid w:val="002B26B8"/>
    <w:rsid w:val="002B26E6"/>
    <w:rsid w:val="002B2A84"/>
    <w:rsid w:val="002B38FD"/>
    <w:rsid w:val="002B3C3C"/>
    <w:rsid w:val="002B4BD0"/>
    <w:rsid w:val="002B4D33"/>
    <w:rsid w:val="002B5014"/>
    <w:rsid w:val="002B5EE0"/>
    <w:rsid w:val="002B60A0"/>
    <w:rsid w:val="002B6363"/>
    <w:rsid w:val="002B6D4D"/>
    <w:rsid w:val="002B6F6F"/>
    <w:rsid w:val="002B7B96"/>
    <w:rsid w:val="002C0129"/>
    <w:rsid w:val="002C02BF"/>
    <w:rsid w:val="002C0669"/>
    <w:rsid w:val="002C0956"/>
    <w:rsid w:val="002C0AE3"/>
    <w:rsid w:val="002C0B97"/>
    <w:rsid w:val="002C1062"/>
    <w:rsid w:val="002C112C"/>
    <w:rsid w:val="002C1A9F"/>
    <w:rsid w:val="002C1D61"/>
    <w:rsid w:val="002C1DF6"/>
    <w:rsid w:val="002C20B6"/>
    <w:rsid w:val="002C25DD"/>
    <w:rsid w:val="002C26C3"/>
    <w:rsid w:val="002C2BFE"/>
    <w:rsid w:val="002C2E08"/>
    <w:rsid w:val="002C2FD6"/>
    <w:rsid w:val="002C324E"/>
    <w:rsid w:val="002C3A4D"/>
    <w:rsid w:val="002C3B17"/>
    <w:rsid w:val="002C5413"/>
    <w:rsid w:val="002C6B3A"/>
    <w:rsid w:val="002C6C0A"/>
    <w:rsid w:val="002C6DA0"/>
    <w:rsid w:val="002C716D"/>
    <w:rsid w:val="002C749F"/>
    <w:rsid w:val="002C76FB"/>
    <w:rsid w:val="002C7C79"/>
    <w:rsid w:val="002C7CDE"/>
    <w:rsid w:val="002C7DF5"/>
    <w:rsid w:val="002D07BD"/>
    <w:rsid w:val="002D0D54"/>
    <w:rsid w:val="002D1099"/>
    <w:rsid w:val="002D1D0E"/>
    <w:rsid w:val="002D1EFB"/>
    <w:rsid w:val="002D1FB4"/>
    <w:rsid w:val="002D3853"/>
    <w:rsid w:val="002D395B"/>
    <w:rsid w:val="002D4396"/>
    <w:rsid w:val="002D487C"/>
    <w:rsid w:val="002D520B"/>
    <w:rsid w:val="002D5766"/>
    <w:rsid w:val="002D57E5"/>
    <w:rsid w:val="002D59A8"/>
    <w:rsid w:val="002D5A00"/>
    <w:rsid w:val="002D5EDA"/>
    <w:rsid w:val="002D60FE"/>
    <w:rsid w:val="002D652B"/>
    <w:rsid w:val="002D65C6"/>
    <w:rsid w:val="002D65D8"/>
    <w:rsid w:val="002D6843"/>
    <w:rsid w:val="002D6CAD"/>
    <w:rsid w:val="002D72BE"/>
    <w:rsid w:val="002D756F"/>
    <w:rsid w:val="002D7675"/>
    <w:rsid w:val="002D779A"/>
    <w:rsid w:val="002D7B5E"/>
    <w:rsid w:val="002D7C03"/>
    <w:rsid w:val="002D7E4F"/>
    <w:rsid w:val="002D7E97"/>
    <w:rsid w:val="002E0BE8"/>
    <w:rsid w:val="002E0E30"/>
    <w:rsid w:val="002E0E83"/>
    <w:rsid w:val="002E14E6"/>
    <w:rsid w:val="002E17CC"/>
    <w:rsid w:val="002E2598"/>
    <w:rsid w:val="002E2A1D"/>
    <w:rsid w:val="002E2E9D"/>
    <w:rsid w:val="002E2F72"/>
    <w:rsid w:val="002E3155"/>
    <w:rsid w:val="002E31DB"/>
    <w:rsid w:val="002E3C74"/>
    <w:rsid w:val="002E3D3F"/>
    <w:rsid w:val="002E3E24"/>
    <w:rsid w:val="002E40F8"/>
    <w:rsid w:val="002E48B1"/>
    <w:rsid w:val="002E4DBA"/>
    <w:rsid w:val="002E4DF5"/>
    <w:rsid w:val="002E5D07"/>
    <w:rsid w:val="002E5D49"/>
    <w:rsid w:val="002E65F9"/>
    <w:rsid w:val="002E7400"/>
    <w:rsid w:val="002E7972"/>
    <w:rsid w:val="002E7BD0"/>
    <w:rsid w:val="002F0C49"/>
    <w:rsid w:val="002F1077"/>
    <w:rsid w:val="002F1520"/>
    <w:rsid w:val="002F1B4E"/>
    <w:rsid w:val="002F1E94"/>
    <w:rsid w:val="002F250E"/>
    <w:rsid w:val="002F2561"/>
    <w:rsid w:val="002F258C"/>
    <w:rsid w:val="002F2786"/>
    <w:rsid w:val="002F2A49"/>
    <w:rsid w:val="002F31F3"/>
    <w:rsid w:val="002F34A3"/>
    <w:rsid w:val="002F38BB"/>
    <w:rsid w:val="002F3BD4"/>
    <w:rsid w:val="002F409A"/>
    <w:rsid w:val="002F4E15"/>
    <w:rsid w:val="002F527A"/>
    <w:rsid w:val="002F53A2"/>
    <w:rsid w:val="002F5526"/>
    <w:rsid w:val="002F5607"/>
    <w:rsid w:val="002F5925"/>
    <w:rsid w:val="002F59AB"/>
    <w:rsid w:val="002F62C8"/>
    <w:rsid w:val="002F6707"/>
    <w:rsid w:val="002F734C"/>
    <w:rsid w:val="002F7C53"/>
    <w:rsid w:val="002F7C85"/>
    <w:rsid w:val="00300198"/>
    <w:rsid w:val="0030087E"/>
    <w:rsid w:val="00300C05"/>
    <w:rsid w:val="0030163B"/>
    <w:rsid w:val="0030216B"/>
    <w:rsid w:val="00302360"/>
    <w:rsid w:val="00302725"/>
    <w:rsid w:val="00302982"/>
    <w:rsid w:val="00302D3D"/>
    <w:rsid w:val="003033A5"/>
    <w:rsid w:val="00303AC4"/>
    <w:rsid w:val="00303B04"/>
    <w:rsid w:val="0030434A"/>
    <w:rsid w:val="00304D10"/>
    <w:rsid w:val="00304EEA"/>
    <w:rsid w:val="00305375"/>
    <w:rsid w:val="00305479"/>
    <w:rsid w:val="00305717"/>
    <w:rsid w:val="00305864"/>
    <w:rsid w:val="00305D35"/>
    <w:rsid w:val="00305DC5"/>
    <w:rsid w:val="003060DB"/>
    <w:rsid w:val="003071AE"/>
    <w:rsid w:val="00307287"/>
    <w:rsid w:val="00307C05"/>
    <w:rsid w:val="003109C0"/>
    <w:rsid w:val="00310F09"/>
    <w:rsid w:val="00311BC8"/>
    <w:rsid w:val="003127F3"/>
    <w:rsid w:val="00312D7C"/>
    <w:rsid w:val="00312F43"/>
    <w:rsid w:val="00313341"/>
    <w:rsid w:val="00313367"/>
    <w:rsid w:val="00313475"/>
    <w:rsid w:val="003137EC"/>
    <w:rsid w:val="00314403"/>
    <w:rsid w:val="00314411"/>
    <w:rsid w:val="0031466D"/>
    <w:rsid w:val="00315238"/>
    <w:rsid w:val="003153DB"/>
    <w:rsid w:val="0031548E"/>
    <w:rsid w:val="00315787"/>
    <w:rsid w:val="00315B60"/>
    <w:rsid w:val="00315C7C"/>
    <w:rsid w:val="003161E4"/>
    <w:rsid w:val="00316319"/>
    <w:rsid w:val="0031653B"/>
    <w:rsid w:val="0031666E"/>
    <w:rsid w:val="003166A0"/>
    <w:rsid w:val="00316F0D"/>
    <w:rsid w:val="00316FC0"/>
    <w:rsid w:val="0031705D"/>
    <w:rsid w:val="003206BD"/>
    <w:rsid w:val="00320843"/>
    <w:rsid w:val="00320C9E"/>
    <w:rsid w:val="00320D00"/>
    <w:rsid w:val="003214E9"/>
    <w:rsid w:val="003215FF"/>
    <w:rsid w:val="00322649"/>
    <w:rsid w:val="003227D6"/>
    <w:rsid w:val="003229EA"/>
    <w:rsid w:val="00322F48"/>
    <w:rsid w:val="00323080"/>
    <w:rsid w:val="00323A0A"/>
    <w:rsid w:val="003243B2"/>
    <w:rsid w:val="003249E6"/>
    <w:rsid w:val="00324BD9"/>
    <w:rsid w:val="00324CB0"/>
    <w:rsid w:val="00325085"/>
    <w:rsid w:val="003250FF"/>
    <w:rsid w:val="003252A3"/>
    <w:rsid w:val="003252CD"/>
    <w:rsid w:val="0032569D"/>
    <w:rsid w:val="0032577A"/>
    <w:rsid w:val="0032674B"/>
    <w:rsid w:val="00326A8F"/>
    <w:rsid w:val="00326DDE"/>
    <w:rsid w:val="00326FD2"/>
    <w:rsid w:val="00327916"/>
    <w:rsid w:val="00327A43"/>
    <w:rsid w:val="00330018"/>
    <w:rsid w:val="0033045E"/>
    <w:rsid w:val="00331601"/>
    <w:rsid w:val="00332540"/>
    <w:rsid w:val="00332841"/>
    <w:rsid w:val="00333551"/>
    <w:rsid w:val="003335EE"/>
    <w:rsid w:val="003337A2"/>
    <w:rsid w:val="00333975"/>
    <w:rsid w:val="00333C6A"/>
    <w:rsid w:val="00334A61"/>
    <w:rsid w:val="00334BDA"/>
    <w:rsid w:val="00334DB0"/>
    <w:rsid w:val="00335030"/>
    <w:rsid w:val="00335399"/>
    <w:rsid w:val="00335772"/>
    <w:rsid w:val="00335857"/>
    <w:rsid w:val="003358AE"/>
    <w:rsid w:val="00335E1A"/>
    <w:rsid w:val="00335F84"/>
    <w:rsid w:val="0033609A"/>
    <w:rsid w:val="0033693A"/>
    <w:rsid w:val="00336BAB"/>
    <w:rsid w:val="00336D0A"/>
    <w:rsid w:val="00336D88"/>
    <w:rsid w:val="00337672"/>
    <w:rsid w:val="003378DB"/>
    <w:rsid w:val="00337B9F"/>
    <w:rsid w:val="003400F9"/>
    <w:rsid w:val="00340793"/>
    <w:rsid w:val="003410E5"/>
    <w:rsid w:val="00341409"/>
    <w:rsid w:val="00342446"/>
    <w:rsid w:val="00342569"/>
    <w:rsid w:val="003428FE"/>
    <w:rsid w:val="00343328"/>
    <w:rsid w:val="0034400D"/>
    <w:rsid w:val="00344A18"/>
    <w:rsid w:val="00344D10"/>
    <w:rsid w:val="00344FB9"/>
    <w:rsid w:val="003452EB"/>
    <w:rsid w:val="00345B0C"/>
    <w:rsid w:val="00346125"/>
    <w:rsid w:val="003462B5"/>
    <w:rsid w:val="0034710C"/>
    <w:rsid w:val="00347652"/>
    <w:rsid w:val="003476D8"/>
    <w:rsid w:val="003505C1"/>
    <w:rsid w:val="003507F3"/>
    <w:rsid w:val="0035087D"/>
    <w:rsid w:val="00350DAA"/>
    <w:rsid w:val="00350E69"/>
    <w:rsid w:val="00350EAC"/>
    <w:rsid w:val="00351337"/>
    <w:rsid w:val="00351417"/>
    <w:rsid w:val="003516ED"/>
    <w:rsid w:val="00351CAF"/>
    <w:rsid w:val="00352048"/>
    <w:rsid w:val="003523C2"/>
    <w:rsid w:val="00352912"/>
    <w:rsid w:val="00352B0B"/>
    <w:rsid w:val="00353F77"/>
    <w:rsid w:val="00354A20"/>
    <w:rsid w:val="00354C8E"/>
    <w:rsid w:val="00354E1C"/>
    <w:rsid w:val="00354EDC"/>
    <w:rsid w:val="00355135"/>
    <w:rsid w:val="00355787"/>
    <w:rsid w:val="003557F3"/>
    <w:rsid w:val="00355B33"/>
    <w:rsid w:val="00356737"/>
    <w:rsid w:val="00356814"/>
    <w:rsid w:val="00356AD5"/>
    <w:rsid w:val="003577FA"/>
    <w:rsid w:val="0035790F"/>
    <w:rsid w:val="00360206"/>
    <w:rsid w:val="00360739"/>
    <w:rsid w:val="00360AB0"/>
    <w:rsid w:val="00361230"/>
    <w:rsid w:val="0036139C"/>
    <w:rsid w:val="00361632"/>
    <w:rsid w:val="00361783"/>
    <w:rsid w:val="003619F7"/>
    <w:rsid w:val="00361D78"/>
    <w:rsid w:val="00362321"/>
    <w:rsid w:val="00362420"/>
    <w:rsid w:val="00362459"/>
    <w:rsid w:val="00362BAE"/>
    <w:rsid w:val="003633ED"/>
    <w:rsid w:val="003636B5"/>
    <w:rsid w:val="003636D0"/>
    <w:rsid w:val="003638F3"/>
    <w:rsid w:val="00363F90"/>
    <w:rsid w:val="00364A78"/>
    <w:rsid w:val="00366B1C"/>
    <w:rsid w:val="00366EDA"/>
    <w:rsid w:val="0036764B"/>
    <w:rsid w:val="00367E1F"/>
    <w:rsid w:val="00367FE8"/>
    <w:rsid w:val="00370035"/>
    <w:rsid w:val="00370434"/>
    <w:rsid w:val="003704A0"/>
    <w:rsid w:val="003710C7"/>
    <w:rsid w:val="003711E3"/>
    <w:rsid w:val="00371227"/>
    <w:rsid w:val="00371433"/>
    <w:rsid w:val="0037189A"/>
    <w:rsid w:val="003718E4"/>
    <w:rsid w:val="003719C2"/>
    <w:rsid w:val="00372548"/>
    <w:rsid w:val="00372719"/>
    <w:rsid w:val="0037294F"/>
    <w:rsid w:val="00372AE4"/>
    <w:rsid w:val="0037319D"/>
    <w:rsid w:val="003734E0"/>
    <w:rsid w:val="00373772"/>
    <w:rsid w:val="00373C54"/>
    <w:rsid w:val="003744B6"/>
    <w:rsid w:val="003745EF"/>
    <w:rsid w:val="00374CA4"/>
    <w:rsid w:val="00374CDC"/>
    <w:rsid w:val="003750AD"/>
    <w:rsid w:val="00375C34"/>
    <w:rsid w:val="00375DB1"/>
    <w:rsid w:val="00375F9B"/>
    <w:rsid w:val="003766D3"/>
    <w:rsid w:val="00376C35"/>
    <w:rsid w:val="00377070"/>
    <w:rsid w:val="003772F0"/>
    <w:rsid w:val="00377703"/>
    <w:rsid w:val="00377AA3"/>
    <w:rsid w:val="003802FC"/>
    <w:rsid w:val="0038046D"/>
    <w:rsid w:val="003813C2"/>
    <w:rsid w:val="0038153F"/>
    <w:rsid w:val="00381989"/>
    <w:rsid w:val="00381A08"/>
    <w:rsid w:val="00382268"/>
    <w:rsid w:val="00382340"/>
    <w:rsid w:val="003826C5"/>
    <w:rsid w:val="00382946"/>
    <w:rsid w:val="00382BE3"/>
    <w:rsid w:val="00382C12"/>
    <w:rsid w:val="00382DBC"/>
    <w:rsid w:val="0038335E"/>
    <w:rsid w:val="0038364B"/>
    <w:rsid w:val="003838A1"/>
    <w:rsid w:val="00384021"/>
    <w:rsid w:val="00384A26"/>
    <w:rsid w:val="00384F39"/>
    <w:rsid w:val="0038519E"/>
    <w:rsid w:val="003854FE"/>
    <w:rsid w:val="00385DDF"/>
    <w:rsid w:val="00385F05"/>
    <w:rsid w:val="0038677A"/>
    <w:rsid w:val="00386D41"/>
    <w:rsid w:val="003873CD"/>
    <w:rsid w:val="00387E01"/>
    <w:rsid w:val="003916E8"/>
    <w:rsid w:val="003919F0"/>
    <w:rsid w:val="00391AF2"/>
    <w:rsid w:val="00391C88"/>
    <w:rsid w:val="003920C0"/>
    <w:rsid w:val="00392464"/>
    <w:rsid w:val="00392C7D"/>
    <w:rsid w:val="00392CDA"/>
    <w:rsid w:val="003931B7"/>
    <w:rsid w:val="00394430"/>
    <w:rsid w:val="00394594"/>
    <w:rsid w:val="0039538A"/>
    <w:rsid w:val="00395410"/>
    <w:rsid w:val="0039542F"/>
    <w:rsid w:val="00395545"/>
    <w:rsid w:val="003956F1"/>
    <w:rsid w:val="00395D1D"/>
    <w:rsid w:val="0039670F"/>
    <w:rsid w:val="00396749"/>
    <w:rsid w:val="00396C28"/>
    <w:rsid w:val="00396CFD"/>
    <w:rsid w:val="003970ED"/>
    <w:rsid w:val="00397238"/>
    <w:rsid w:val="00397602"/>
    <w:rsid w:val="00397680"/>
    <w:rsid w:val="003978C4"/>
    <w:rsid w:val="00397AB0"/>
    <w:rsid w:val="003A020E"/>
    <w:rsid w:val="003A030C"/>
    <w:rsid w:val="003A0709"/>
    <w:rsid w:val="003A0CD6"/>
    <w:rsid w:val="003A1812"/>
    <w:rsid w:val="003A1AF5"/>
    <w:rsid w:val="003A1F44"/>
    <w:rsid w:val="003A2549"/>
    <w:rsid w:val="003A272B"/>
    <w:rsid w:val="003A28D6"/>
    <w:rsid w:val="003A2A27"/>
    <w:rsid w:val="003A3471"/>
    <w:rsid w:val="003A34A8"/>
    <w:rsid w:val="003A37FC"/>
    <w:rsid w:val="003A3918"/>
    <w:rsid w:val="003A4BFA"/>
    <w:rsid w:val="003A669B"/>
    <w:rsid w:val="003A6EB7"/>
    <w:rsid w:val="003A6FC5"/>
    <w:rsid w:val="003A70BD"/>
    <w:rsid w:val="003A71A7"/>
    <w:rsid w:val="003A7C96"/>
    <w:rsid w:val="003A7F67"/>
    <w:rsid w:val="003B03D3"/>
    <w:rsid w:val="003B04EE"/>
    <w:rsid w:val="003B0513"/>
    <w:rsid w:val="003B057F"/>
    <w:rsid w:val="003B058D"/>
    <w:rsid w:val="003B1060"/>
    <w:rsid w:val="003B10DE"/>
    <w:rsid w:val="003B1821"/>
    <w:rsid w:val="003B2112"/>
    <w:rsid w:val="003B2120"/>
    <w:rsid w:val="003B264B"/>
    <w:rsid w:val="003B2C09"/>
    <w:rsid w:val="003B2E8A"/>
    <w:rsid w:val="003B38C4"/>
    <w:rsid w:val="003B3E25"/>
    <w:rsid w:val="003B4183"/>
    <w:rsid w:val="003B450C"/>
    <w:rsid w:val="003B4951"/>
    <w:rsid w:val="003B4980"/>
    <w:rsid w:val="003B4C83"/>
    <w:rsid w:val="003B52DD"/>
    <w:rsid w:val="003B5510"/>
    <w:rsid w:val="003B598E"/>
    <w:rsid w:val="003B5B10"/>
    <w:rsid w:val="003B5D9C"/>
    <w:rsid w:val="003B5E47"/>
    <w:rsid w:val="003B6BC1"/>
    <w:rsid w:val="003B7103"/>
    <w:rsid w:val="003B7326"/>
    <w:rsid w:val="003B753E"/>
    <w:rsid w:val="003B7956"/>
    <w:rsid w:val="003B7959"/>
    <w:rsid w:val="003B7AEF"/>
    <w:rsid w:val="003B7E42"/>
    <w:rsid w:val="003C007E"/>
    <w:rsid w:val="003C01FE"/>
    <w:rsid w:val="003C0D83"/>
    <w:rsid w:val="003C118D"/>
    <w:rsid w:val="003C150F"/>
    <w:rsid w:val="003C1AA2"/>
    <w:rsid w:val="003C1B67"/>
    <w:rsid w:val="003C22FC"/>
    <w:rsid w:val="003C29BB"/>
    <w:rsid w:val="003C2A41"/>
    <w:rsid w:val="003C39E9"/>
    <w:rsid w:val="003C47D4"/>
    <w:rsid w:val="003C4BA2"/>
    <w:rsid w:val="003C5CFD"/>
    <w:rsid w:val="003C5F74"/>
    <w:rsid w:val="003C64F8"/>
    <w:rsid w:val="003C657F"/>
    <w:rsid w:val="003C70D2"/>
    <w:rsid w:val="003C77C4"/>
    <w:rsid w:val="003C7B63"/>
    <w:rsid w:val="003C7EB2"/>
    <w:rsid w:val="003D0227"/>
    <w:rsid w:val="003D06AF"/>
    <w:rsid w:val="003D0E22"/>
    <w:rsid w:val="003D120D"/>
    <w:rsid w:val="003D1789"/>
    <w:rsid w:val="003D1F47"/>
    <w:rsid w:val="003D2004"/>
    <w:rsid w:val="003D237D"/>
    <w:rsid w:val="003D27F2"/>
    <w:rsid w:val="003D283B"/>
    <w:rsid w:val="003D28BF"/>
    <w:rsid w:val="003D4197"/>
    <w:rsid w:val="003D41F3"/>
    <w:rsid w:val="003D4B25"/>
    <w:rsid w:val="003D4DEB"/>
    <w:rsid w:val="003D549F"/>
    <w:rsid w:val="003D55EB"/>
    <w:rsid w:val="003D5D19"/>
    <w:rsid w:val="003D6025"/>
    <w:rsid w:val="003D6185"/>
    <w:rsid w:val="003D6828"/>
    <w:rsid w:val="003D68E9"/>
    <w:rsid w:val="003D6B3D"/>
    <w:rsid w:val="003D6E0F"/>
    <w:rsid w:val="003D6E33"/>
    <w:rsid w:val="003D718B"/>
    <w:rsid w:val="003D7279"/>
    <w:rsid w:val="003D738F"/>
    <w:rsid w:val="003D7589"/>
    <w:rsid w:val="003E0201"/>
    <w:rsid w:val="003E03AA"/>
    <w:rsid w:val="003E0566"/>
    <w:rsid w:val="003E107C"/>
    <w:rsid w:val="003E1433"/>
    <w:rsid w:val="003E14AD"/>
    <w:rsid w:val="003E187F"/>
    <w:rsid w:val="003E20B6"/>
    <w:rsid w:val="003E20C4"/>
    <w:rsid w:val="003E2610"/>
    <w:rsid w:val="003E2E11"/>
    <w:rsid w:val="003E328C"/>
    <w:rsid w:val="003E394A"/>
    <w:rsid w:val="003E46E8"/>
    <w:rsid w:val="003E4AD0"/>
    <w:rsid w:val="003E4EE1"/>
    <w:rsid w:val="003E52ED"/>
    <w:rsid w:val="003E57FB"/>
    <w:rsid w:val="003E600B"/>
    <w:rsid w:val="003E68B4"/>
    <w:rsid w:val="003E6986"/>
    <w:rsid w:val="003E6DEB"/>
    <w:rsid w:val="003E7243"/>
    <w:rsid w:val="003E79B1"/>
    <w:rsid w:val="003E7A8D"/>
    <w:rsid w:val="003F06E4"/>
    <w:rsid w:val="003F087B"/>
    <w:rsid w:val="003F0885"/>
    <w:rsid w:val="003F2120"/>
    <w:rsid w:val="003F25FB"/>
    <w:rsid w:val="003F2B74"/>
    <w:rsid w:val="003F2E39"/>
    <w:rsid w:val="003F2F46"/>
    <w:rsid w:val="003F2F4E"/>
    <w:rsid w:val="003F371A"/>
    <w:rsid w:val="003F4C20"/>
    <w:rsid w:val="003F4D22"/>
    <w:rsid w:val="003F576B"/>
    <w:rsid w:val="003F5CBA"/>
    <w:rsid w:val="003F5F91"/>
    <w:rsid w:val="003F6044"/>
    <w:rsid w:val="003F66E5"/>
    <w:rsid w:val="003F79E1"/>
    <w:rsid w:val="003F7DE2"/>
    <w:rsid w:val="0040095B"/>
    <w:rsid w:val="00400A10"/>
    <w:rsid w:val="00400B05"/>
    <w:rsid w:val="00400B88"/>
    <w:rsid w:val="0040134A"/>
    <w:rsid w:val="00401628"/>
    <w:rsid w:val="004016E6"/>
    <w:rsid w:val="0040186C"/>
    <w:rsid w:val="00401906"/>
    <w:rsid w:val="00401D7D"/>
    <w:rsid w:val="00401E5B"/>
    <w:rsid w:val="00402C35"/>
    <w:rsid w:val="00402D5E"/>
    <w:rsid w:val="00402EF4"/>
    <w:rsid w:val="00403464"/>
    <w:rsid w:val="00403E21"/>
    <w:rsid w:val="00404406"/>
    <w:rsid w:val="0040446A"/>
    <w:rsid w:val="004048CB"/>
    <w:rsid w:val="00405452"/>
    <w:rsid w:val="00405736"/>
    <w:rsid w:val="00405B1B"/>
    <w:rsid w:val="004065AA"/>
    <w:rsid w:val="00406EF5"/>
    <w:rsid w:val="00407875"/>
    <w:rsid w:val="00407F18"/>
    <w:rsid w:val="00407F69"/>
    <w:rsid w:val="00410011"/>
    <w:rsid w:val="00410AE9"/>
    <w:rsid w:val="004124FF"/>
    <w:rsid w:val="00412633"/>
    <w:rsid w:val="00412AF6"/>
    <w:rsid w:val="00412B24"/>
    <w:rsid w:val="00413747"/>
    <w:rsid w:val="00413865"/>
    <w:rsid w:val="004139CE"/>
    <w:rsid w:val="00413ACD"/>
    <w:rsid w:val="00413C40"/>
    <w:rsid w:val="00413CDB"/>
    <w:rsid w:val="00414D1C"/>
    <w:rsid w:val="00414F52"/>
    <w:rsid w:val="00414F78"/>
    <w:rsid w:val="004154FA"/>
    <w:rsid w:val="0041554C"/>
    <w:rsid w:val="00416620"/>
    <w:rsid w:val="0041689E"/>
    <w:rsid w:val="004168AC"/>
    <w:rsid w:val="00416D41"/>
    <w:rsid w:val="00416E4D"/>
    <w:rsid w:val="004172D1"/>
    <w:rsid w:val="0041793C"/>
    <w:rsid w:val="00417F6E"/>
    <w:rsid w:val="00417FB6"/>
    <w:rsid w:val="00420CE5"/>
    <w:rsid w:val="00420E0C"/>
    <w:rsid w:val="004216F0"/>
    <w:rsid w:val="00421772"/>
    <w:rsid w:val="004227CA"/>
    <w:rsid w:val="00422CEF"/>
    <w:rsid w:val="0042320A"/>
    <w:rsid w:val="004234AB"/>
    <w:rsid w:val="00423DBC"/>
    <w:rsid w:val="00423F8D"/>
    <w:rsid w:val="00424183"/>
    <w:rsid w:val="00424C3E"/>
    <w:rsid w:val="00424FB7"/>
    <w:rsid w:val="00425128"/>
    <w:rsid w:val="00425577"/>
    <w:rsid w:val="0042589D"/>
    <w:rsid w:val="00426232"/>
    <w:rsid w:val="004263FA"/>
    <w:rsid w:val="00427027"/>
    <w:rsid w:val="00427130"/>
    <w:rsid w:val="00430255"/>
    <w:rsid w:val="00430263"/>
    <w:rsid w:val="00430E8D"/>
    <w:rsid w:val="004313A9"/>
    <w:rsid w:val="004317BC"/>
    <w:rsid w:val="00431D9D"/>
    <w:rsid w:val="00431F56"/>
    <w:rsid w:val="0043208B"/>
    <w:rsid w:val="004331BF"/>
    <w:rsid w:val="00433BBE"/>
    <w:rsid w:val="00433BFF"/>
    <w:rsid w:val="00434A67"/>
    <w:rsid w:val="00434BCD"/>
    <w:rsid w:val="00435550"/>
    <w:rsid w:val="004355FF"/>
    <w:rsid w:val="004356CE"/>
    <w:rsid w:val="0043572E"/>
    <w:rsid w:val="00436029"/>
    <w:rsid w:val="004360F8"/>
    <w:rsid w:val="00436129"/>
    <w:rsid w:val="00436650"/>
    <w:rsid w:val="00436F39"/>
    <w:rsid w:val="00437A0B"/>
    <w:rsid w:val="0044099A"/>
    <w:rsid w:val="00440C25"/>
    <w:rsid w:val="004413BD"/>
    <w:rsid w:val="00441553"/>
    <w:rsid w:val="00441D0A"/>
    <w:rsid w:val="00442121"/>
    <w:rsid w:val="004421FD"/>
    <w:rsid w:val="004425F1"/>
    <w:rsid w:val="00443B96"/>
    <w:rsid w:val="00444246"/>
    <w:rsid w:val="00444266"/>
    <w:rsid w:val="004448F7"/>
    <w:rsid w:val="00444AED"/>
    <w:rsid w:val="00444DA4"/>
    <w:rsid w:val="00444EEB"/>
    <w:rsid w:val="00444F89"/>
    <w:rsid w:val="00445078"/>
    <w:rsid w:val="004452A6"/>
    <w:rsid w:val="0044576D"/>
    <w:rsid w:val="00445BA7"/>
    <w:rsid w:val="00446EC2"/>
    <w:rsid w:val="00446FE0"/>
    <w:rsid w:val="00447183"/>
    <w:rsid w:val="00447960"/>
    <w:rsid w:val="004479BD"/>
    <w:rsid w:val="00447A73"/>
    <w:rsid w:val="004500E4"/>
    <w:rsid w:val="00450264"/>
    <w:rsid w:val="00450ED3"/>
    <w:rsid w:val="004513FA"/>
    <w:rsid w:val="00451585"/>
    <w:rsid w:val="004516C6"/>
    <w:rsid w:val="0045216D"/>
    <w:rsid w:val="00453304"/>
    <w:rsid w:val="00453539"/>
    <w:rsid w:val="00453BD4"/>
    <w:rsid w:val="00454106"/>
    <w:rsid w:val="0045414C"/>
    <w:rsid w:val="00454FD0"/>
    <w:rsid w:val="00454FFD"/>
    <w:rsid w:val="00455065"/>
    <w:rsid w:val="004550AD"/>
    <w:rsid w:val="00455A85"/>
    <w:rsid w:val="00455BC5"/>
    <w:rsid w:val="00456F2D"/>
    <w:rsid w:val="00457E9E"/>
    <w:rsid w:val="00460453"/>
    <w:rsid w:val="0046050A"/>
    <w:rsid w:val="004606CC"/>
    <w:rsid w:val="00460ACB"/>
    <w:rsid w:val="0046125E"/>
    <w:rsid w:val="0046135A"/>
    <w:rsid w:val="00461417"/>
    <w:rsid w:val="0046168C"/>
    <w:rsid w:val="00461C74"/>
    <w:rsid w:val="00461D7E"/>
    <w:rsid w:val="00461F96"/>
    <w:rsid w:val="004625F8"/>
    <w:rsid w:val="004629F4"/>
    <w:rsid w:val="00462C6F"/>
    <w:rsid w:val="00462D8F"/>
    <w:rsid w:val="00462E7E"/>
    <w:rsid w:val="0046328E"/>
    <w:rsid w:val="004632DD"/>
    <w:rsid w:val="0046340F"/>
    <w:rsid w:val="00464429"/>
    <w:rsid w:val="00464448"/>
    <w:rsid w:val="0046448E"/>
    <w:rsid w:val="00464848"/>
    <w:rsid w:val="00464AC4"/>
    <w:rsid w:val="00465DF7"/>
    <w:rsid w:val="00466691"/>
    <w:rsid w:val="00466DF0"/>
    <w:rsid w:val="004670FB"/>
    <w:rsid w:val="00467170"/>
    <w:rsid w:val="00467465"/>
    <w:rsid w:val="00467630"/>
    <w:rsid w:val="00467C5A"/>
    <w:rsid w:val="00470097"/>
    <w:rsid w:val="0047019D"/>
    <w:rsid w:val="00470B43"/>
    <w:rsid w:val="00470C12"/>
    <w:rsid w:val="00471364"/>
    <w:rsid w:val="00471500"/>
    <w:rsid w:val="004722DD"/>
    <w:rsid w:val="0047286A"/>
    <w:rsid w:val="00472C01"/>
    <w:rsid w:val="004746F3"/>
    <w:rsid w:val="0047473A"/>
    <w:rsid w:val="004751C7"/>
    <w:rsid w:val="004754D4"/>
    <w:rsid w:val="004754F8"/>
    <w:rsid w:val="00475961"/>
    <w:rsid w:val="004760CA"/>
    <w:rsid w:val="00476AA5"/>
    <w:rsid w:val="00476CA5"/>
    <w:rsid w:val="0047727F"/>
    <w:rsid w:val="00477727"/>
    <w:rsid w:val="00477A9A"/>
    <w:rsid w:val="00480239"/>
    <w:rsid w:val="004802AC"/>
    <w:rsid w:val="004802F5"/>
    <w:rsid w:val="00481687"/>
    <w:rsid w:val="00482639"/>
    <w:rsid w:val="004832A2"/>
    <w:rsid w:val="0048334F"/>
    <w:rsid w:val="00483979"/>
    <w:rsid w:val="00483D9C"/>
    <w:rsid w:val="00483ED7"/>
    <w:rsid w:val="00484C70"/>
    <w:rsid w:val="00484CD3"/>
    <w:rsid w:val="00484FA7"/>
    <w:rsid w:val="00485072"/>
    <w:rsid w:val="004852AC"/>
    <w:rsid w:val="004852FA"/>
    <w:rsid w:val="00485552"/>
    <w:rsid w:val="00485FB7"/>
    <w:rsid w:val="00486007"/>
    <w:rsid w:val="004860E6"/>
    <w:rsid w:val="004864D8"/>
    <w:rsid w:val="0048781E"/>
    <w:rsid w:val="00487B47"/>
    <w:rsid w:val="00487CFD"/>
    <w:rsid w:val="00491630"/>
    <w:rsid w:val="00491816"/>
    <w:rsid w:val="00491B93"/>
    <w:rsid w:val="00491C98"/>
    <w:rsid w:val="00491EFA"/>
    <w:rsid w:val="00491F05"/>
    <w:rsid w:val="00492961"/>
    <w:rsid w:val="00493181"/>
    <w:rsid w:val="00493B76"/>
    <w:rsid w:val="00494916"/>
    <w:rsid w:val="004951D2"/>
    <w:rsid w:val="00496591"/>
    <w:rsid w:val="00496B8B"/>
    <w:rsid w:val="00496C1B"/>
    <w:rsid w:val="004A004F"/>
    <w:rsid w:val="004A025E"/>
    <w:rsid w:val="004A076E"/>
    <w:rsid w:val="004A0919"/>
    <w:rsid w:val="004A0EB4"/>
    <w:rsid w:val="004A1291"/>
    <w:rsid w:val="004A141E"/>
    <w:rsid w:val="004A18D2"/>
    <w:rsid w:val="004A1A3F"/>
    <w:rsid w:val="004A305B"/>
    <w:rsid w:val="004A367F"/>
    <w:rsid w:val="004A37EE"/>
    <w:rsid w:val="004A440C"/>
    <w:rsid w:val="004A478B"/>
    <w:rsid w:val="004A4E87"/>
    <w:rsid w:val="004A5312"/>
    <w:rsid w:val="004A632B"/>
    <w:rsid w:val="004A6508"/>
    <w:rsid w:val="004A65A1"/>
    <w:rsid w:val="004A68F4"/>
    <w:rsid w:val="004A73F6"/>
    <w:rsid w:val="004A74A1"/>
    <w:rsid w:val="004A7918"/>
    <w:rsid w:val="004A7999"/>
    <w:rsid w:val="004A79F2"/>
    <w:rsid w:val="004A7F64"/>
    <w:rsid w:val="004B0011"/>
    <w:rsid w:val="004B0966"/>
    <w:rsid w:val="004B0FA2"/>
    <w:rsid w:val="004B0FEA"/>
    <w:rsid w:val="004B1138"/>
    <w:rsid w:val="004B1733"/>
    <w:rsid w:val="004B1A34"/>
    <w:rsid w:val="004B1B2C"/>
    <w:rsid w:val="004B21A0"/>
    <w:rsid w:val="004B2558"/>
    <w:rsid w:val="004B291D"/>
    <w:rsid w:val="004B2A11"/>
    <w:rsid w:val="004B2B66"/>
    <w:rsid w:val="004B3559"/>
    <w:rsid w:val="004B3B81"/>
    <w:rsid w:val="004B49AE"/>
    <w:rsid w:val="004B58A4"/>
    <w:rsid w:val="004B5D98"/>
    <w:rsid w:val="004B5DAA"/>
    <w:rsid w:val="004B62D8"/>
    <w:rsid w:val="004B63F4"/>
    <w:rsid w:val="004B71F4"/>
    <w:rsid w:val="004B73D2"/>
    <w:rsid w:val="004C07A4"/>
    <w:rsid w:val="004C08FB"/>
    <w:rsid w:val="004C13D7"/>
    <w:rsid w:val="004C1FA5"/>
    <w:rsid w:val="004C2628"/>
    <w:rsid w:val="004C26D3"/>
    <w:rsid w:val="004C309D"/>
    <w:rsid w:val="004C31D9"/>
    <w:rsid w:val="004C36E8"/>
    <w:rsid w:val="004C38BC"/>
    <w:rsid w:val="004C3DF8"/>
    <w:rsid w:val="004C4401"/>
    <w:rsid w:val="004C4689"/>
    <w:rsid w:val="004C4A13"/>
    <w:rsid w:val="004C4F02"/>
    <w:rsid w:val="004C5099"/>
    <w:rsid w:val="004C56D8"/>
    <w:rsid w:val="004C61DE"/>
    <w:rsid w:val="004C6503"/>
    <w:rsid w:val="004C6CEC"/>
    <w:rsid w:val="004C70E6"/>
    <w:rsid w:val="004C773E"/>
    <w:rsid w:val="004C77F2"/>
    <w:rsid w:val="004C7951"/>
    <w:rsid w:val="004D12B1"/>
    <w:rsid w:val="004D17A9"/>
    <w:rsid w:val="004D1D02"/>
    <w:rsid w:val="004D2387"/>
    <w:rsid w:val="004D2419"/>
    <w:rsid w:val="004D249F"/>
    <w:rsid w:val="004D2688"/>
    <w:rsid w:val="004D29D1"/>
    <w:rsid w:val="004D3175"/>
    <w:rsid w:val="004D334B"/>
    <w:rsid w:val="004D3857"/>
    <w:rsid w:val="004D4146"/>
    <w:rsid w:val="004D41DF"/>
    <w:rsid w:val="004D4716"/>
    <w:rsid w:val="004D4973"/>
    <w:rsid w:val="004D4F94"/>
    <w:rsid w:val="004D57F7"/>
    <w:rsid w:val="004D5AD8"/>
    <w:rsid w:val="004D5C9A"/>
    <w:rsid w:val="004D610D"/>
    <w:rsid w:val="004D6174"/>
    <w:rsid w:val="004D6423"/>
    <w:rsid w:val="004D65BE"/>
    <w:rsid w:val="004D65FA"/>
    <w:rsid w:val="004D6616"/>
    <w:rsid w:val="004D6716"/>
    <w:rsid w:val="004D67E2"/>
    <w:rsid w:val="004D6EBC"/>
    <w:rsid w:val="004D6FB5"/>
    <w:rsid w:val="004D6FCF"/>
    <w:rsid w:val="004D70D3"/>
    <w:rsid w:val="004D72AA"/>
    <w:rsid w:val="004D7EF4"/>
    <w:rsid w:val="004D7F02"/>
    <w:rsid w:val="004E024B"/>
    <w:rsid w:val="004E02A1"/>
    <w:rsid w:val="004E09A9"/>
    <w:rsid w:val="004E0A15"/>
    <w:rsid w:val="004E23E9"/>
    <w:rsid w:val="004E2911"/>
    <w:rsid w:val="004E29D6"/>
    <w:rsid w:val="004E2A52"/>
    <w:rsid w:val="004E2FC5"/>
    <w:rsid w:val="004E322C"/>
    <w:rsid w:val="004E32FF"/>
    <w:rsid w:val="004E34AC"/>
    <w:rsid w:val="004E34D4"/>
    <w:rsid w:val="004E37F9"/>
    <w:rsid w:val="004E3EE2"/>
    <w:rsid w:val="004E40CD"/>
    <w:rsid w:val="004E4202"/>
    <w:rsid w:val="004E4390"/>
    <w:rsid w:val="004E4868"/>
    <w:rsid w:val="004E640B"/>
    <w:rsid w:val="004E6F62"/>
    <w:rsid w:val="004E7044"/>
    <w:rsid w:val="004E73FE"/>
    <w:rsid w:val="004E7533"/>
    <w:rsid w:val="004E7D61"/>
    <w:rsid w:val="004F05B0"/>
    <w:rsid w:val="004F0924"/>
    <w:rsid w:val="004F0AF0"/>
    <w:rsid w:val="004F0F64"/>
    <w:rsid w:val="004F119C"/>
    <w:rsid w:val="004F19B1"/>
    <w:rsid w:val="004F2486"/>
    <w:rsid w:val="004F25DC"/>
    <w:rsid w:val="004F2900"/>
    <w:rsid w:val="004F2BDF"/>
    <w:rsid w:val="004F33E9"/>
    <w:rsid w:val="004F3CA4"/>
    <w:rsid w:val="004F3EB7"/>
    <w:rsid w:val="004F4281"/>
    <w:rsid w:val="004F4401"/>
    <w:rsid w:val="004F443A"/>
    <w:rsid w:val="004F4B16"/>
    <w:rsid w:val="004F4D59"/>
    <w:rsid w:val="004F5172"/>
    <w:rsid w:val="004F5C7E"/>
    <w:rsid w:val="004F6216"/>
    <w:rsid w:val="004F64FC"/>
    <w:rsid w:val="004F69E1"/>
    <w:rsid w:val="004F6AE8"/>
    <w:rsid w:val="004F6CDB"/>
    <w:rsid w:val="004F6E57"/>
    <w:rsid w:val="004F718D"/>
    <w:rsid w:val="004F7F41"/>
    <w:rsid w:val="004F7F61"/>
    <w:rsid w:val="0050075D"/>
    <w:rsid w:val="005009B7"/>
    <w:rsid w:val="00500CE5"/>
    <w:rsid w:val="00500EE4"/>
    <w:rsid w:val="00500F49"/>
    <w:rsid w:val="005013C0"/>
    <w:rsid w:val="005018AF"/>
    <w:rsid w:val="00501A63"/>
    <w:rsid w:val="00502AC6"/>
    <w:rsid w:val="00502EBD"/>
    <w:rsid w:val="0050358D"/>
    <w:rsid w:val="005036C3"/>
    <w:rsid w:val="00503A82"/>
    <w:rsid w:val="00504AE6"/>
    <w:rsid w:val="0050547C"/>
    <w:rsid w:val="00505B4B"/>
    <w:rsid w:val="00505D9F"/>
    <w:rsid w:val="00505E2C"/>
    <w:rsid w:val="005061E1"/>
    <w:rsid w:val="00506DFF"/>
    <w:rsid w:val="00506EDF"/>
    <w:rsid w:val="0050703B"/>
    <w:rsid w:val="00507484"/>
    <w:rsid w:val="00507F80"/>
    <w:rsid w:val="00510AF7"/>
    <w:rsid w:val="00510D9D"/>
    <w:rsid w:val="0051147E"/>
    <w:rsid w:val="00511698"/>
    <w:rsid w:val="0051181D"/>
    <w:rsid w:val="00511F32"/>
    <w:rsid w:val="0051283C"/>
    <w:rsid w:val="00512CD4"/>
    <w:rsid w:val="00512F27"/>
    <w:rsid w:val="005136F3"/>
    <w:rsid w:val="00513EA0"/>
    <w:rsid w:val="00514743"/>
    <w:rsid w:val="00514FF1"/>
    <w:rsid w:val="00515F80"/>
    <w:rsid w:val="005160E2"/>
    <w:rsid w:val="00516621"/>
    <w:rsid w:val="00516AE5"/>
    <w:rsid w:val="00516D0B"/>
    <w:rsid w:val="00516F86"/>
    <w:rsid w:val="005170CE"/>
    <w:rsid w:val="005178BE"/>
    <w:rsid w:val="00517A50"/>
    <w:rsid w:val="00517BF0"/>
    <w:rsid w:val="0052096D"/>
    <w:rsid w:val="00521378"/>
    <w:rsid w:val="0052192E"/>
    <w:rsid w:val="00522B44"/>
    <w:rsid w:val="005231E0"/>
    <w:rsid w:val="0052377A"/>
    <w:rsid w:val="00523E18"/>
    <w:rsid w:val="00525996"/>
    <w:rsid w:val="00525AA8"/>
    <w:rsid w:val="005260BF"/>
    <w:rsid w:val="005263F3"/>
    <w:rsid w:val="00526945"/>
    <w:rsid w:val="00526DB0"/>
    <w:rsid w:val="00527A5C"/>
    <w:rsid w:val="00527F29"/>
    <w:rsid w:val="00530316"/>
    <w:rsid w:val="005303A6"/>
    <w:rsid w:val="005305B7"/>
    <w:rsid w:val="00530D04"/>
    <w:rsid w:val="00531440"/>
    <w:rsid w:val="005318B9"/>
    <w:rsid w:val="00531E31"/>
    <w:rsid w:val="005327BC"/>
    <w:rsid w:val="0053297C"/>
    <w:rsid w:val="00532AFF"/>
    <w:rsid w:val="00532FE9"/>
    <w:rsid w:val="0053308A"/>
    <w:rsid w:val="0053308F"/>
    <w:rsid w:val="005330AE"/>
    <w:rsid w:val="005332FB"/>
    <w:rsid w:val="00533D1E"/>
    <w:rsid w:val="005340AA"/>
    <w:rsid w:val="00534880"/>
    <w:rsid w:val="00534C00"/>
    <w:rsid w:val="00534C7C"/>
    <w:rsid w:val="00534CD8"/>
    <w:rsid w:val="005357CC"/>
    <w:rsid w:val="00535B40"/>
    <w:rsid w:val="00535DA6"/>
    <w:rsid w:val="0053682E"/>
    <w:rsid w:val="00536EBC"/>
    <w:rsid w:val="005370B5"/>
    <w:rsid w:val="00537763"/>
    <w:rsid w:val="005377CB"/>
    <w:rsid w:val="00537AB4"/>
    <w:rsid w:val="00540051"/>
    <w:rsid w:val="005403DF"/>
    <w:rsid w:val="005404D2"/>
    <w:rsid w:val="0054102D"/>
    <w:rsid w:val="00541692"/>
    <w:rsid w:val="005416CB"/>
    <w:rsid w:val="00542A91"/>
    <w:rsid w:val="00543353"/>
    <w:rsid w:val="00543845"/>
    <w:rsid w:val="00543BCF"/>
    <w:rsid w:val="00543FCA"/>
    <w:rsid w:val="005441D1"/>
    <w:rsid w:val="00544DEB"/>
    <w:rsid w:val="005466A1"/>
    <w:rsid w:val="00546A6B"/>
    <w:rsid w:val="00547601"/>
    <w:rsid w:val="0054766C"/>
    <w:rsid w:val="00547A56"/>
    <w:rsid w:val="00547BB3"/>
    <w:rsid w:val="00551032"/>
    <w:rsid w:val="00551081"/>
    <w:rsid w:val="005510E2"/>
    <w:rsid w:val="00551216"/>
    <w:rsid w:val="0055137C"/>
    <w:rsid w:val="005518EE"/>
    <w:rsid w:val="0055198F"/>
    <w:rsid w:val="0055259C"/>
    <w:rsid w:val="00552AAA"/>
    <w:rsid w:val="00552B5C"/>
    <w:rsid w:val="00552B66"/>
    <w:rsid w:val="00552BD3"/>
    <w:rsid w:val="00552CC6"/>
    <w:rsid w:val="00552ED9"/>
    <w:rsid w:val="0055304A"/>
    <w:rsid w:val="005535A8"/>
    <w:rsid w:val="00553619"/>
    <w:rsid w:val="00553A90"/>
    <w:rsid w:val="00553DCF"/>
    <w:rsid w:val="00553E88"/>
    <w:rsid w:val="00553EFA"/>
    <w:rsid w:val="005540A4"/>
    <w:rsid w:val="005547E2"/>
    <w:rsid w:val="005549B2"/>
    <w:rsid w:val="00555A4C"/>
    <w:rsid w:val="0055665C"/>
    <w:rsid w:val="00556FDD"/>
    <w:rsid w:val="005572C6"/>
    <w:rsid w:val="005574DD"/>
    <w:rsid w:val="0055750D"/>
    <w:rsid w:val="00557E23"/>
    <w:rsid w:val="00557F16"/>
    <w:rsid w:val="00557F89"/>
    <w:rsid w:val="00560455"/>
    <w:rsid w:val="005605E7"/>
    <w:rsid w:val="005606DA"/>
    <w:rsid w:val="00560BCA"/>
    <w:rsid w:val="00561040"/>
    <w:rsid w:val="00561415"/>
    <w:rsid w:val="00561918"/>
    <w:rsid w:val="00561944"/>
    <w:rsid w:val="00561BBE"/>
    <w:rsid w:val="00561C5D"/>
    <w:rsid w:val="00561F99"/>
    <w:rsid w:val="005625B8"/>
    <w:rsid w:val="005625DC"/>
    <w:rsid w:val="00563849"/>
    <w:rsid w:val="00563B7B"/>
    <w:rsid w:val="00564405"/>
    <w:rsid w:val="0056468E"/>
    <w:rsid w:val="00564707"/>
    <w:rsid w:val="005650E6"/>
    <w:rsid w:val="005652E6"/>
    <w:rsid w:val="005655F5"/>
    <w:rsid w:val="00565840"/>
    <w:rsid w:val="00565938"/>
    <w:rsid w:val="005662D4"/>
    <w:rsid w:val="0056688C"/>
    <w:rsid w:val="00566A60"/>
    <w:rsid w:val="00566D84"/>
    <w:rsid w:val="005675C5"/>
    <w:rsid w:val="00567702"/>
    <w:rsid w:val="00567CB6"/>
    <w:rsid w:val="0057078C"/>
    <w:rsid w:val="00570A1A"/>
    <w:rsid w:val="00570D77"/>
    <w:rsid w:val="005713FD"/>
    <w:rsid w:val="005721CF"/>
    <w:rsid w:val="00572339"/>
    <w:rsid w:val="00572388"/>
    <w:rsid w:val="00572586"/>
    <w:rsid w:val="0057259F"/>
    <w:rsid w:val="00572603"/>
    <w:rsid w:val="0057288C"/>
    <w:rsid w:val="00572D38"/>
    <w:rsid w:val="0057383E"/>
    <w:rsid w:val="005738D1"/>
    <w:rsid w:val="00573B6C"/>
    <w:rsid w:val="00574190"/>
    <w:rsid w:val="005745B6"/>
    <w:rsid w:val="00574790"/>
    <w:rsid w:val="00575522"/>
    <w:rsid w:val="0057572A"/>
    <w:rsid w:val="00575D77"/>
    <w:rsid w:val="005767A4"/>
    <w:rsid w:val="0057734B"/>
    <w:rsid w:val="005801FA"/>
    <w:rsid w:val="00580A3A"/>
    <w:rsid w:val="005812B9"/>
    <w:rsid w:val="00581FBD"/>
    <w:rsid w:val="00582184"/>
    <w:rsid w:val="00583696"/>
    <w:rsid w:val="00583E5D"/>
    <w:rsid w:val="00583F14"/>
    <w:rsid w:val="00584220"/>
    <w:rsid w:val="00584614"/>
    <w:rsid w:val="00584752"/>
    <w:rsid w:val="0058479A"/>
    <w:rsid w:val="00584DC8"/>
    <w:rsid w:val="00584F83"/>
    <w:rsid w:val="005852B3"/>
    <w:rsid w:val="005852FC"/>
    <w:rsid w:val="00585693"/>
    <w:rsid w:val="00585C9F"/>
    <w:rsid w:val="0058648B"/>
    <w:rsid w:val="00586D3D"/>
    <w:rsid w:val="00586EAA"/>
    <w:rsid w:val="00587003"/>
    <w:rsid w:val="00587163"/>
    <w:rsid w:val="00590088"/>
    <w:rsid w:val="0059027E"/>
    <w:rsid w:val="005904BA"/>
    <w:rsid w:val="00590642"/>
    <w:rsid w:val="0059083B"/>
    <w:rsid w:val="00590AA2"/>
    <w:rsid w:val="0059145A"/>
    <w:rsid w:val="00591FF9"/>
    <w:rsid w:val="0059284F"/>
    <w:rsid w:val="00592CC8"/>
    <w:rsid w:val="00593336"/>
    <w:rsid w:val="005934DF"/>
    <w:rsid w:val="00593F97"/>
    <w:rsid w:val="005940AA"/>
    <w:rsid w:val="005942A5"/>
    <w:rsid w:val="005948D3"/>
    <w:rsid w:val="00594C64"/>
    <w:rsid w:val="00594DB5"/>
    <w:rsid w:val="00595974"/>
    <w:rsid w:val="00595D82"/>
    <w:rsid w:val="005961A6"/>
    <w:rsid w:val="005961D3"/>
    <w:rsid w:val="0059654C"/>
    <w:rsid w:val="005969AB"/>
    <w:rsid w:val="005973E5"/>
    <w:rsid w:val="00597F8D"/>
    <w:rsid w:val="005A0789"/>
    <w:rsid w:val="005A09CB"/>
    <w:rsid w:val="005A1059"/>
    <w:rsid w:val="005A175F"/>
    <w:rsid w:val="005A1B6D"/>
    <w:rsid w:val="005A2889"/>
    <w:rsid w:val="005A2E83"/>
    <w:rsid w:val="005A3AF1"/>
    <w:rsid w:val="005A3C46"/>
    <w:rsid w:val="005A3CDB"/>
    <w:rsid w:val="005A3E04"/>
    <w:rsid w:val="005A3EE3"/>
    <w:rsid w:val="005A5217"/>
    <w:rsid w:val="005A5404"/>
    <w:rsid w:val="005A56DE"/>
    <w:rsid w:val="005A5A2A"/>
    <w:rsid w:val="005A5F03"/>
    <w:rsid w:val="005A5F2C"/>
    <w:rsid w:val="005A67DF"/>
    <w:rsid w:val="005A6F8B"/>
    <w:rsid w:val="005A72E7"/>
    <w:rsid w:val="005A7AD5"/>
    <w:rsid w:val="005A7CB4"/>
    <w:rsid w:val="005B04B9"/>
    <w:rsid w:val="005B08B8"/>
    <w:rsid w:val="005B092F"/>
    <w:rsid w:val="005B0CA9"/>
    <w:rsid w:val="005B0CE4"/>
    <w:rsid w:val="005B0F8A"/>
    <w:rsid w:val="005B1006"/>
    <w:rsid w:val="005B1503"/>
    <w:rsid w:val="005B1D75"/>
    <w:rsid w:val="005B2B77"/>
    <w:rsid w:val="005B2F1F"/>
    <w:rsid w:val="005B3244"/>
    <w:rsid w:val="005B3698"/>
    <w:rsid w:val="005B4A06"/>
    <w:rsid w:val="005B4B3E"/>
    <w:rsid w:val="005B622F"/>
    <w:rsid w:val="005B68EA"/>
    <w:rsid w:val="005B6D2C"/>
    <w:rsid w:val="005B6F8F"/>
    <w:rsid w:val="005B7223"/>
    <w:rsid w:val="005B7381"/>
    <w:rsid w:val="005B7D57"/>
    <w:rsid w:val="005C02DF"/>
    <w:rsid w:val="005C0917"/>
    <w:rsid w:val="005C0D3F"/>
    <w:rsid w:val="005C0DE5"/>
    <w:rsid w:val="005C1271"/>
    <w:rsid w:val="005C162A"/>
    <w:rsid w:val="005C1C57"/>
    <w:rsid w:val="005C30C1"/>
    <w:rsid w:val="005C3317"/>
    <w:rsid w:val="005C3641"/>
    <w:rsid w:val="005C412E"/>
    <w:rsid w:val="005C4166"/>
    <w:rsid w:val="005C44F3"/>
    <w:rsid w:val="005C4671"/>
    <w:rsid w:val="005C46A7"/>
    <w:rsid w:val="005C4E28"/>
    <w:rsid w:val="005C5423"/>
    <w:rsid w:val="005C544A"/>
    <w:rsid w:val="005C5468"/>
    <w:rsid w:val="005C5751"/>
    <w:rsid w:val="005C5884"/>
    <w:rsid w:val="005C6605"/>
    <w:rsid w:val="005C6664"/>
    <w:rsid w:val="005C6B0B"/>
    <w:rsid w:val="005C6B9D"/>
    <w:rsid w:val="005C6D81"/>
    <w:rsid w:val="005C71CB"/>
    <w:rsid w:val="005C7246"/>
    <w:rsid w:val="005D0270"/>
    <w:rsid w:val="005D0F34"/>
    <w:rsid w:val="005D10DB"/>
    <w:rsid w:val="005D267A"/>
    <w:rsid w:val="005D4599"/>
    <w:rsid w:val="005D4AEA"/>
    <w:rsid w:val="005D5600"/>
    <w:rsid w:val="005D5C18"/>
    <w:rsid w:val="005D5EC4"/>
    <w:rsid w:val="005D5FFB"/>
    <w:rsid w:val="005D6004"/>
    <w:rsid w:val="005D6036"/>
    <w:rsid w:val="005D623E"/>
    <w:rsid w:val="005D68E9"/>
    <w:rsid w:val="005D690F"/>
    <w:rsid w:val="005D7145"/>
    <w:rsid w:val="005D71A9"/>
    <w:rsid w:val="005D79B0"/>
    <w:rsid w:val="005D7F73"/>
    <w:rsid w:val="005E06D7"/>
    <w:rsid w:val="005E0815"/>
    <w:rsid w:val="005E16FE"/>
    <w:rsid w:val="005E17E5"/>
    <w:rsid w:val="005E1C51"/>
    <w:rsid w:val="005E2484"/>
    <w:rsid w:val="005E2D5A"/>
    <w:rsid w:val="005E31FE"/>
    <w:rsid w:val="005E388D"/>
    <w:rsid w:val="005E3A3B"/>
    <w:rsid w:val="005E3E74"/>
    <w:rsid w:val="005E3E91"/>
    <w:rsid w:val="005E4808"/>
    <w:rsid w:val="005E4879"/>
    <w:rsid w:val="005E4B17"/>
    <w:rsid w:val="005E5D38"/>
    <w:rsid w:val="005E5EEC"/>
    <w:rsid w:val="005E6015"/>
    <w:rsid w:val="005E699E"/>
    <w:rsid w:val="005E78BE"/>
    <w:rsid w:val="005F0473"/>
    <w:rsid w:val="005F06B6"/>
    <w:rsid w:val="005F1255"/>
    <w:rsid w:val="005F1FB5"/>
    <w:rsid w:val="005F2085"/>
    <w:rsid w:val="005F2403"/>
    <w:rsid w:val="005F2DA4"/>
    <w:rsid w:val="005F36A9"/>
    <w:rsid w:val="005F3ADA"/>
    <w:rsid w:val="005F4001"/>
    <w:rsid w:val="005F44BB"/>
    <w:rsid w:val="005F450A"/>
    <w:rsid w:val="005F48C1"/>
    <w:rsid w:val="005F4E19"/>
    <w:rsid w:val="005F4F99"/>
    <w:rsid w:val="005F514E"/>
    <w:rsid w:val="005F51C6"/>
    <w:rsid w:val="005F560D"/>
    <w:rsid w:val="005F6228"/>
    <w:rsid w:val="005F6241"/>
    <w:rsid w:val="005F7321"/>
    <w:rsid w:val="005F76A7"/>
    <w:rsid w:val="006014DC"/>
    <w:rsid w:val="00601CA2"/>
    <w:rsid w:val="006039E9"/>
    <w:rsid w:val="006039FD"/>
    <w:rsid w:val="00603B07"/>
    <w:rsid w:val="00604C2E"/>
    <w:rsid w:val="00604C38"/>
    <w:rsid w:val="00604C60"/>
    <w:rsid w:val="00604F73"/>
    <w:rsid w:val="006052AC"/>
    <w:rsid w:val="006056E6"/>
    <w:rsid w:val="00605D03"/>
    <w:rsid w:val="00605ED3"/>
    <w:rsid w:val="00606317"/>
    <w:rsid w:val="006066C2"/>
    <w:rsid w:val="0060691C"/>
    <w:rsid w:val="00607088"/>
    <w:rsid w:val="0060754A"/>
    <w:rsid w:val="0060764E"/>
    <w:rsid w:val="00607736"/>
    <w:rsid w:val="00607FB1"/>
    <w:rsid w:val="006102D8"/>
    <w:rsid w:val="00610477"/>
    <w:rsid w:val="0061048E"/>
    <w:rsid w:val="00610928"/>
    <w:rsid w:val="00611277"/>
    <w:rsid w:val="00611FEF"/>
    <w:rsid w:val="00612013"/>
    <w:rsid w:val="006125D6"/>
    <w:rsid w:val="00613114"/>
    <w:rsid w:val="006133BB"/>
    <w:rsid w:val="00613AF7"/>
    <w:rsid w:val="00613FDF"/>
    <w:rsid w:val="00614206"/>
    <w:rsid w:val="006148FA"/>
    <w:rsid w:val="0061498C"/>
    <w:rsid w:val="00615C03"/>
    <w:rsid w:val="00616091"/>
    <w:rsid w:val="006162F6"/>
    <w:rsid w:val="00616862"/>
    <w:rsid w:val="00616B7B"/>
    <w:rsid w:val="00617148"/>
    <w:rsid w:val="00617421"/>
    <w:rsid w:val="006176A1"/>
    <w:rsid w:val="00617D79"/>
    <w:rsid w:val="006201A8"/>
    <w:rsid w:val="006202BD"/>
    <w:rsid w:val="00620989"/>
    <w:rsid w:val="00620E76"/>
    <w:rsid w:val="00620F27"/>
    <w:rsid w:val="00621268"/>
    <w:rsid w:val="00621475"/>
    <w:rsid w:val="0062162D"/>
    <w:rsid w:val="00621C45"/>
    <w:rsid w:val="00622153"/>
    <w:rsid w:val="006225E1"/>
    <w:rsid w:val="006228AB"/>
    <w:rsid w:val="006238D9"/>
    <w:rsid w:val="006238F6"/>
    <w:rsid w:val="00623D04"/>
    <w:rsid w:val="00625B98"/>
    <w:rsid w:val="00625BFE"/>
    <w:rsid w:val="00625D53"/>
    <w:rsid w:val="00626695"/>
    <w:rsid w:val="00626A77"/>
    <w:rsid w:val="00627F70"/>
    <w:rsid w:val="00630159"/>
    <w:rsid w:val="00630161"/>
    <w:rsid w:val="00630817"/>
    <w:rsid w:val="00631158"/>
    <w:rsid w:val="00631862"/>
    <w:rsid w:val="00631CDE"/>
    <w:rsid w:val="00631E76"/>
    <w:rsid w:val="006321F3"/>
    <w:rsid w:val="00632A00"/>
    <w:rsid w:val="00632AEB"/>
    <w:rsid w:val="00632DF1"/>
    <w:rsid w:val="00632E2A"/>
    <w:rsid w:val="00632FA4"/>
    <w:rsid w:val="00633AF3"/>
    <w:rsid w:val="00633DF1"/>
    <w:rsid w:val="00634D5A"/>
    <w:rsid w:val="00634E4F"/>
    <w:rsid w:val="00635441"/>
    <w:rsid w:val="00636416"/>
    <w:rsid w:val="006375E2"/>
    <w:rsid w:val="00637B94"/>
    <w:rsid w:val="006402CB"/>
    <w:rsid w:val="006405F9"/>
    <w:rsid w:val="006406DF"/>
    <w:rsid w:val="006409F9"/>
    <w:rsid w:val="0064100B"/>
    <w:rsid w:val="00641C00"/>
    <w:rsid w:val="00642388"/>
    <w:rsid w:val="00642D90"/>
    <w:rsid w:val="00644EA4"/>
    <w:rsid w:val="006450F0"/>
    <w:rsid w:val="006457F9"/>
    <w:rsid w:val="00645F4F"/>
    <w:rsid w:val="006460B6"/>
    <w:rsid w:val="006462AB"/>
    <w:rsid w:val="006463FF"/>
    <w:rsid w:val="00646B07"/>
    <w:rsid w:val="00646D77"/>
    <w:rsid w:val="00646FD4"/>
    <w:rsid w:val="00647155"/>
    <w:rsid w:val="00647772"/>
    <w:rsid w:val="00647E96"/>
    <w:rsid w:val="00650726"/>
    <w:rsid w:val="00650B30"/>
    <w:rsid w:val="00650B4F"/>
    <w:rsid w:val="00650D54"/>
    <w:rsid w:val="00650F65"/>
    <w:rsid w:val="00651530"/>
    <w:rsid w:val="006515CA"/>
    <w:rsid w:val="00651E99"/>
    <w:rsid w:val="0065221B"/>
    <w:rsid w:val="00653FD1"/>
    <w:rsid w:val="006548A9"/>
    <w:rsid w:val="00654A88"/>
    <w:rsid w:val="00654E6B"/>
    <w:rsid w:val="00654F3E"/>
    <w:rsid w:val="006553C0"/>
    <w:rsid w:val="00655563"/>
    <w:rsid w:val="00655EEC"/>
    <w:rsid w:val="00655F1F"/>
    <w:rsid w:val="006565CF"/>
    <w:rsid w:val="006567D1"/>
    <w:rsid w:val="00657315"/>
    <w:rsid w:val="006578EF"/>
    <w:rsid w:val="00657E47"/>
    <w:rsid w:val="0066016B"/>
    <w:rsid w:val="00660947"/>
    <w:rsid w:val="00660A78"/>
    <w:rsid w:val="00660BBB"/>
    <w:rsid w:val="00661686"/>
    <w:rsid w:val="00661889"/>
    <w:rsid w:val="00662129"/>
    <w:rsid w:val="0066237D"/>
    <w:rsid w:val="00662A8E"/>
    <w:rsid w:val="00662C3E"/>
    <w:rsid w:val="006638FE"/>
    <w:rsid w:val="006647CD"/>
    <w:rsid w:val="00664BEC"/>
    <w:rsid w:val="00664ED0"/>
    <w:rsid w:val="00665111"/>
    <w:rsid w:val="00665351"/>
    <w:rsid w:val="006655BD"/>
    <w:rsid w:val="00665918"/>
    <w:rsid w:val="006659DF"/>
    <w:rsid w:val="00665C1C"/>
    <w:rsid w:val="006660B8"/>
    <w:rsid w:val="006662A0"/>
    <w:rsid w:val="0066648B"/>
    <w:rsid w:val="00666AC2"/>
    <w:rsid w:val="006671E8"/>
    <w:rsid w:val="00667229"/>
    <w:rsid w:val="006674A7"/>
    <w:rsid w:val="006701B7"/>
    <w:rsid w:val="00670378"/>
    <w:rsid w:val="0067118F"/>
    <w:rsid w:val="006711DD"/>
    <w:rsid w:val="00671541"/>
    <w:rsid w:val="00671B8A"/>
    <w:rsid w:val="00672081"/>
    <w:rsid w:val="0067210A"/>
    <w:rsid w:val="00672432"/>
    <w:rsid w:val="00672971"/>
    <w:rsid w:val="00672ACD"/>
    <w:rsid w:val="00672E10"/>
    <w:rsid w:val="006734E0"/>
    <w:rsid w:val="006735C5"/>
    <w:rsid w:val="00673C0F"/>
    <w:rsid w:val="00673D40"/>
    <w:rsid w:val="006748EC"/>
    <w:rsid w:val="00675801"/>
    <w:rsid w:val="00675827"/>
    <w:rsid w:val="00675863"/>
    <w:rsid w:val="0067625E"/>
    <w:rsid w:val="00676683"/>
    <w:rsid w:val="00676837"/>
    <w:rsid w:val="006768BD"/>
    <w:rsid w:val="00676977"/>
    <w:rsid w:val="006769FB"/>
    <w:rsid w:val="006771D1"/>
    <w:rsid w:val="00677ECF"/>
    <w:rsid w:val="006806B4"/>
    <w:rsid w:val="0068101B"/>
    <w:rsid w:val="00681084"/>
    <w:rsid w:val="006816FA"/>
    <w:rsid w:val="00681B4A"/>
    <w:rsid w:val="006837A8"/>
    <w:rsid w:val="00683C4B"/>
    <w:rsid w:val="00683E12"/>
    <w:rsid w:val="00684539"/>
    <w:rsid w:val="006845D0"/>
    <w:rsid w:val="00684AA2"/>
    <w:rsid w:val="00684C5E"/>
    <w:rsid w:val="0068517F"/>
    <w:rsid w:val="00686CCA"/>
    <w:rsid w:val="00686E98"/>
    <w:rsid w:val="00686F02"/>
    <w:rsid w:val="00687EF4"/>
    <w:rsid w:val="00690704"/>
    <w:rsid w:val="006907FE"/>
    <w:rsid w:val="00690BC3"/>
    <w:rsid w:val="00691008"/>
    <w:rsid w:val="006912A7"/>
    <w:rsid w:val="006912B4"/>
    <w:rsid w:val="006917D1"/>
    <w:rsid w:val="00691B44"/>
    <w:rsid w:val="006922FD"/>
    <w:rsid w:val="006923D7"/>
    <w:rsid w:val="0069255B"/>
    <w:rsid w:val="006925A3"/>
    <w:rsid w:val="00692B3E"/>
    <w:rsid w:val="006930C2"/>
    <w:rsid w:val="00693770"/>
    <w:rsid w:val="0069389F"/>
    <w:rsid w:val="0069403C"/>
    <w:rsid w:val="00694543"/>
    <w:rsid w:val="006946A2"/>
    <w:rsid w:val="00694A98"/>
    <w:rsid w:val="006951A6"/>
    <w:rsid w:val="0069543D"/>
    <w:rsid w:val="006957D0"/>
    <w:rsid w:val="00696003"/>
    <w:rsid w:val="00696070"/>
    <w:rsid w:val="0069655F"/>
    <w:rsid w:val="006977B7"/>
    <w:rsid w:val="006979AF"/>
    <w:rsid w:val="006A005E"/>
    <w:rsid w:val="006A0154"/>
    <w:rsid w:val="006A05A8"/>
    <w:rsid w:val="006A0709"/>
    <w:rsid w:val="006A08D1"/>
    <w:rsid w:val="006A096E"/>
    <w:rsid w:val="006A099B"/>
    <w:rsid w:val="006A0EF9"/>
    <w:rsid w:val="006A15C0"/>
    <w:rsid w:val="006A16D0"/>
    <w:rsid w:val="006A16E7"/>
    <w:rsid w:val="006A1BA1"/>
    <w:rsid w:val="006A29F7"/>
    <w:rsid w:val="006A2BD6"/>
    <w:rsid w:val="006A357A"/>
    <w:rsid w:val="006A37DD"/>
    <w:rsid w:val="006A3C73"/>
    <w:rsid w:val="006A4040"/>
    <w:rsid w:val="006A4595"/>
    <w:rsid w:val="006A496A"/>
    <w:rsid w:val="006A59D5"/>
    <w:rsid w:val="006A5C20"/>
    <w:rsid w:val="006A5E7D"/>
    <w:rsid w:val="006A61E2"/>
    <w:rsid w:val="006A6395"/>
    <w:rsid w:val="006A6CFE"/>
    <w:rsid w:val="006A6E04"/>
    <w:rsid w:val="006A7238"/>
    <w:rsid w:val="006B100C"/>
    <w:rsid w:val="006B14FE"/>
    <w:rsid w:val="006B15E3"/>
    <w:rsid w:val="006B160D"/>
    <w:rsid w:val="006B2401"/>
    <w:rsid w:val="006B25B4"/>
    <w:rsid w:val="006B2963"/>
    <w:rsid w:val="006B29B2"/>
    <w:rsid w:val="006B2C89"/>
    <w:rsid w:val="006B2EB3"/>
    <w:rsid w:val="006B375D"/>
    <w:rsid w:val="006B3871"/>
    <w:rsid w:val="006B3F06"/>
    <w:rsid w:val="006B41A3"/>
    <w:rsid w:val="006B45ED"/>
    <w:rsid w:val="006B51C5"/>
    <w:rsid w:val="006B5CBC"/>
    <w:rsid w:val="006B5FB6"/>
    <w:rsid w:val="006B630C"/>
    <w:rsid w:val="006B6B72"/>
    <w:rsid w:val="006B7083"/>
    <w:rsid w:val="006B7137"/>
    <w:rsid w:val="006B725A"/>
    <w:rsid w:val="006B7B57"/>
    <w:rsid w:val="006C037E"/>
    <w:rsid w:val="006C04E6"/>
    <w:rsid w:val="006C06F6"/>
    <w:rsid w:val="006C0E31"/>
    <w:rsid w:val="006C133F"/>
    <w:rsid w:val="006C1861"/>
    <w:rsid w:val="006C1EC8"/>
    <w:rsid w:val="006C249D"/>
    <w:rsid w:val="006C2D8D"/>
    <w:rsid w:val="006C314B"/>
    <w:rsid w:val="006C3270"/>
    <w:rsid w:val="006C327F"/>
    <w:rsid w:val="006C3FB6"/>
    <w:rsid w:val="006C4062"/>
    <w:rsid w:val="006C4796"/>
    <w:rsid w:val="006C4BEA"/>
    <w:rsid w:val="006C5A7B"/>
    <w:rsid w:val="006C5ADE"/>
    <w:rsid w:val="006C5FC9"/>
    <w:rsid w:val="006C619A"/>
    <w:rsid w:val="006C7BBC"/>
    <w:rsid w:val="006C7BE7"/>
    <w:rsid w:val="006D0258"/>
    <w:rsid w:val="006D04BF"/>
    <w:rsid w:val="006D0965"/>
    <w:rsid w:val="006D0E90"/>
    <w:rsid w:val="006D1142"/>
    <w:rsid w:val="006D1ADE"/>
    <w:rsid w:val="006D2203"/>
    <w:rsid w:val="006D2548"/>
    <w:rsid w:val="006D2880"/>
    <w:rsid w:val="006D2DD1"/>
    <w:rsid w:val="006D2E40"/>
    <w:rsid w:val="006D377D"/>
    <w:rsid w:val="006D3EED"/>
    <w:rsid w:val="006D42E7"/>
    <w:rsid w:val="006D4CAF"/>
    <w:rsid w:val="006D4F81"/>
    <w:rsid w:val="006D5188"/>
    <w:rsid w:val="006D583A"/>
    <w:rsid w:val="006D67FE"/>
    <w:rsid w:val="006D693C"/>
    <w:rsid w:val="006D6D05"/>
    <w:rsid w:val="006D6DA5"/>
    <w:rsid w:val="006D717E"/>
    <w:rsid w:val="006D7872"/>
    <w:rsid w:val="006D7B09"/>
    <w:rsid w:val="006E0190"/>
    <w:rsid w:val="006E073C"/>
    <w:rsid w:val="006E0E3C"/>
    <w:rsid w:val="006E166E"/>
    <w:rsid w:val="006E18E3"/>
    <w:rsid w:val="006E1F0D"/>
    <w:rsid w:val="006E23D0"/>
    <w:rsid w:val="006E24F7"/>
    <w:rsid w:val="006E310C"/>
    <w:rsid w:val="006E3290"/>
    <w:rsid w:val="006E32EA"/>
    <w:rsid w:val="006E3454"/>
    <w:rsid w:val="006E3C33"/>
    <w:rsid w:val="006E425A"/>
    <w:rsid w:val="006E4671"/>
    <w:rsid w:val="006E4CD6"/>
    <w:rsid w:val="006E4EAC"/>
    <w:rsid w:val="006E4F07"/>
    <w:rsid w:val="006E6C88"/>
    <w:rsid w:val="006E7917"/>
    <w:rsid w:val="006E7A9D"/>
    <w:rsid w:val="006F027C"/>
    <w:rsid w:val="006F0D12"/>
    <w:rsid w:val="006F0FE7"/>
    <w:rsid w:val="006F1003"/>
    <w:rsid w:val="006F1572"/>
    <w:rsid w:val="006F1787"/>
    <w:rsid w:val="006F1A21"/>
    <w:rsid w:val="006F1E9D"/>
    <w:rsid w:val="006F2465"/>
    <w:rsid w:val="006F2827"/>
    <w:rsid w:val="006F308F"/>
    <w:rsid w:val="006F3321"/>
    <w:rsid w:val="006F442A"/>
    <w:rsid w:val="006F559F"/>
    <w:rsid w:val="006F5E7B"/>
    <w:rsid w:val="006F60A6"/>
    <w:rsid w:val="006F60AB"/>
    <w:rsid w:val="006F6AAC"/>
    <w:rsid w:val="006F6AAF"/>
    <w:rsid w:val="006F7044"/>
    <w:rsid w:val="006F72FF"/>
    <w:rsid w:val="006F743B"/>
    <w:rsid w:val="0070038B"/>
    <w:rsid w:val="0070041A"/>
    <w:rsid w:val="00700611"/>
    <w:rsid w:val="0070070F"/>
    <w:rsid w:val="00700837"/>
    <w:rsid w:val="00701B08"/>
    <w:rsid w:val="00701E50"/>
    <w:rsid w:val="00701EF0"/>
    <w:rsid w:val="00701F15"/>
    <w:rsid w:val="00702E66"/>
    <w:rsid w:val="00702F1B"/>
    <w:rsid w:val="00703115"/>
    <w:rsid w:val="007031FE"/>
    <w:rsid w:val="00703775"/>
    <w:rsid w:val="00703BB4"/>
    <w:rsid w:val="00703F5E"/>
    <w:rsid w:val="00703FD3"/>
    <w:rsid w:val="00703FF7"/>
    <w:rsid w:val="007041AD"/>
    <w:rsid w:val="007042EB"/>
    <w:rsid w:val="0070489E"/>
    <w:rsid w:val="00704AB9"/>
    <w:rsid w:val="00705258"/>
    <w:rsid w:val="00705430"/>
    <w:rsid w:val="0070574C"/>
    <w:rsid w:val="00705D69"/>
    <w:rsid w:val="00705F13"/>
    <w:rsid w:val="00705FF7"/>
    <w:rsid w:val="007061FC"/>
    <w:rsid w:val="00706776"/>
    <w:rsid w:val="00706AA4"/>
    <w:rsid w:val="00706DAC"/>
    <w:rsid w:val="00706E04"/>
    <w:rsid w:val="00706FCB"/>
    <w:rsid w:val="00707278"/>
    <w:rsid w:val="00707334"/>
    <w:rsid w:val="00707391"/>
    <w:rsid w:val="00707511"/>
    <w:rsid w:val="00707708"/>
    <w:rsid w:val="0070785D"/>
    <w:rsid w:val="00710016"/>
    <w:rsid w:val="00710441"/>
    <w:rsid w:val="007108A5"/>
    <w:rsid w:val="00712557"/>
    <w:rsid w:val="007125F9"/>
    <w:rsid w:val="00712D69"/>
    <w:rsid w:val="007134A6"/>
    <w:rsid w:val="00713B5B"/>
    <w:rsid w:val="00713C67"/>
    <w:rsid w:val="00713E22"/>
    <w:rsid w:val="0071581F"/>
    <w:rsid w:val="00715E91"/>
    <w:rsid w:val="00715FB8"/>
    <w:rsid w:val="007161FF"/>
    <w:rsid w:val="00716593"/>
    <w:rsid w:val="007201E4"/>
    <w:rsid w:val="00720849"/>
    <w:rsid w:val="007209EC"/>
    <w:rsid w:val="007211C6"/>
    <w:rsid w:val="0072123E"/>
    <w:rsid w:val="007213C0"/>
    <w:rsid w:val="0072142F"/>
    <w:rsid w:val="00721647"/>
    <w:rsid w:val="00721BCD"/>
    <w:rsid w:val="00722198"/>
    <w:rsid w:val="00722742"/>
    <w:rsid w:val="00722C3F"/>
    <w:rsid w:val="00723178"/>
    <w:rsid w:val="0072367B"/>
    <w:rsid w:val="007238BF"/>
    <w:rsid w:val="00723F7D"/>
    <w:rsid w:val="007241CE"/>
    <w:rsid w:val="007242F6"/>
    <w:rsid w:val="00724437"/>
    <w:rsid w:val="00724792"/>
    <w:rsid w:val="0072539F"/>
    <w:rsid w:val="00725920"/>
    <w:rsid w:val="00725E95"/>
    <w:rsid w:val="00726282"/>
    <w:rsid w:val="00726FB9"/>
    <w:rsid w:val="007276AC"/>
    <w:rsid w:val="00727870"/>
    <w:rsid w:val="0073023D"/>
    <w:rsid w:val="007303B1"/>
    <w:rsid w:val="007303C8"/>
    <w:rsid w:val="0073068F"/>
    <w:rsid w:val="00730874"/>
    <w:rsid w:val="00730A1E"/>
    <w:rsid w:val="00730B2C"/>
    <w:rsid w:val="00730C13"/>
    <w:rsid w:val="00731A12"/>
    <w:rsid w:val="00731CC9"/>
    <w:rsid w:val="00731D05"/>
    <w:rsid w:val="00732395"/>
    <w:rsid w:val="00733515"/>
    <w:rsid w:val="00733575"/>
    <w:rsid w:val="00733CAE"/>
    <w:rsid w:val="00733FA4"/>
    <w:rsid w:val="0073418A"/>
    <w:rsid w:val="0073443D"/>
    <w:rsid w:val="00734C8F"/>
    <w:rsid w:val="00734CC6"/>
    <w:rsid w:val="00734D1B"/>
    <w:rsid w:val="0073501A"/>
    <w:rsid w:val="00735928"/>
    <w:rsid w:val="00735D34"/>
    <w:rsid w:val="00735EF3"/>
    <w:rsid w:val="00735F34"/>
    <w:rsid w:val="0073751E"/>
    <w:rsid w:val="007377D3"/>
    <w:rsid w:val="00737AA4"/>
    <w:rsid w:val="00740B9D"/>
    <w:rsid w:val="00741348"/>
    <w:rsid w:val="00741AEF"/>
    <w:rsid w:val="0074203D"/>
    <w:rsid w:val="00742816"/>
    <w:rsid w:val="00742A1D"/>
    <w:rsid w:val="00742AAD"/>
    <w:rsid w:val="00742DFA"/>
    <w:rsid w:val="0074364B"/>
    <w:rsid w:val="00743A8F"/>
    <w:rsid w:val="00743B72"/>
    <w:rsid w:val="00743C14"/>
    <w:rsid w:val="00743C24"/>
    <w:rsid w:val="00744013"/>
    <w:rsid w:val="0074500B"/>
    <w:rsid w:val="0074511A"/>
    <w:rsid w:val="00745205"/>
    <w:rsid w:val="00745F96"/>
    <w:rsid w:val="007460D3"/>
    <w:rsid w:val="007463F9"/>
    <w:rsid w:val="007468A8"/>
    <w:rsid w:val="00747525"/>
    <w:rsid w:val="007475F4"/>
    <w:rsid w:val="0075010D"/>
    <w:rsid w:val="007501F2"/>
    <w:rsid w:val="00750219"/>
    <w:rsid w:val="007506D6"/>
    <w:rsid w:val="00750860"/>
    <w:rsid w:val="0075090F"/>
    <w:rsid w:val="007509CE"/>
    <w:rsid w:val="00751634"/>
    <w:rsid w:val="007518AE"/>
    <w:rsid w:val="00751AC8"/>
    <w:rsid w:val="007521C1"/>
    <w:rsid w:val="0075256A"/>
    <w:rsid w:val="007527E8"/>
    <w:rsid w:val="00752E16"/>
    <w:rsid w:val="007531A6"/>
    <w:rsid w:val="00753A66"/>
    <w:rsid w:val="00753CC4"/>
    <w:rsid w:val="007540BF"/>
    <w:rsid w:val="00754C51"/>
    <w:rsid w:val="00754D98"/>
    <w:rsid w:val="00755D7C"/>
    <w:rsid w:val="007562BF"/>
    <w:rsid w:val="0075631A"/>
    <w:rsid w:val="007563BE"/>
    <w:rsid w:val="00756481"/>
    <w:rsid w:val="00756E28"/>
    <w:rsid w:val="0075729A"/>
    <w:rsid w:val="00757A0F"/>
    <w:rsid w:val="00757F3F"/>
    <w:rsid w:val="0076072C"/>
    <w:rsid w:val="00760CC4"/>
    <w:rsid w:val="00761DCB"/>
    <w:rsid w:val="00762107"/>
    <w:rsid w:val="007624B2"/>
    <w:rsid w:val="007624D7"/>
    <w:rsid w:val="00762FA5"/>
    <w:rsid w:val="00763041"/>
    <w:rsid w:val="0076343D"/>
    <w:rsid w:val="00763C45"/>
    <w:rsid w:val="007643A3"/>
    <w:rsid w:val="00765301"/>
    <w:rsid w:val="00765416"/>
    <w:rsid w:val="00765953"/>
    <w:rsid w:val="00765C82"/>
    <w:rsid w:val="00765C9E"/>
    <w:rsid w:val="00765CA4"/>
    <w:rsid w:val="007666E3"/>
    <w:rsid w:val="00767210"/>
    <w:rsid w:val="007674B0"/>
    <w:rsid w:val="00770945"/>
    <w:rsid w:val="00771356"/>
    <w:rsid w:val="00771A57"/>
    <w:rsid w:val="00771FFF"/>
    <w:rsid w:val="00772360"/>
    <w:rsid w:val="00773109"/>
    <w:rsid w:val="00774100"/>
    <w:rsid w:val="00774468"/>
    <w:rsid w:val="00774644"/>
    <w:rsid w:val="007747C6"/>
    <w:rsid w:val="00776AB4"/>
    <w:rsid w:val="0077741A"/>
    <w:rsid w:val="0077748A"/>
    <w:rsid w:val="007774FA"/>
    <w:rsid w:val="00780177"/>
    <w:rsid w:val="007805BA"/>
    <w:rsid w:val="00780F7A"/>
    <w:rsid w:val="007810FF"/>
    <w:rsid w:val="007819BD"/>
    <w:rsid w:val="0078293E"/>
    <w:rsid w:val="0078294D"/>
    <w:rsid w:val="00782E21"/>
    <w:rsid w:val="007833EF"/>
    <w:rsid w:val="00783598"/>
    <w:rsid w:val="0078364B"/>
    <w:rsid w:val="00783657"/>
    <w:rsid w:val="00783B26"/>
    <w:rsid w:val="00784017"/>
    <w:rsid w:val="007841A1"/>
    <w:rsid w:val="007842A1"/>
    <w:rsid w:val="007842AE"/>
    <w:rsid w:val="00784879"/>
    <w:rsid w:val="00785A46"/>
    <w:rsid w:val="00785EDA"/>
    <w:rsid w:val="00785FF5"/>
    <w:rsid w:val="007872D0"/>
    <w:rsid w:val="00787CD6"/>
    <w:rsid w:val="00787CDF"/>
    <w:rsid w:val="00790494"/>
    <w:rsid w:val="00790C5D"/>
    <w:rsid w:val="007912AF"/>
    <w:rsid w:val="0079246E"/>
    <w:rsid w:val="00792D10"/>
    <w:rsid w:val="00792D71"/>
    <w:rsid w:val="00792F2F"/>
    <w:rsid w:val="00793158"/>
    <w:rsid w:val="007931A5"/>
    <w:rsid w:val="00793F02"/>
    <w:rsid w:val="0079401B"/>
    <w:rsid w:val="00794530"/>
    <w:rsid w:val="00794727"/>
    <w:rsid w:val="00794ABF"/>
    <w:rsid w:val="00794F36"/>
    <w:rsid w:val="0079667E"/>
    <w:rsid w:val="0079686C"/>
    <w:rsid w:val="00796FF0"/>
    <w:rsid w:val="00797009"/>
    <w:rsid w:val="00797057"/>
    <w:rsid w:val="00797148"/>
    <w:rsid w:val="00797563"/>
    <w:rsid w:val="00797624"/>
    <w:rsid w:val="00797BEB"/>
    <w:rsid w:val="00797C3B"/>
    <w:rsid w:val="00797D17"/>
    <w:rsid w:val="00797D48"/>
    <w:rsid w:val="007A0452"/>
    <w:rsid w:val="007A08E9"/>
    <w:rsid w:val="007A118E"/>
    <w:rsid w:val="007A1428"/>
    <w:rsid w:val="007A14ED"/>
    <w:rsid w:val="007A1C5D"/>
    <w:rsid w:val="007A2273"/>
    <w:rsid w:val="007A2439"/>
    <w:rsid w:val="007A2625"/>
    <w:rsid w:val="007A28B9"/>
    <w:rsid w:val="007A2952"/>
    <w:rsid w:val="007A2977"/>
    <w:rsid w:val="007A2BD8"/>
    <w:rsid w:val="007A2C9C"/>
    <w:rsid w:val="007A3042"/>
    <w:rsid w:val="007A3388"/>
    <w:rsid w:val="007A3446"/>
    <w:rsid w:val="007A36E6"/>
    <w:rsid w:val="007A3720"/>
    <w:rsid w:val="007A3AF3"/>
    <w:rsid w:val="007A436A"/>
    <w:rsid w:val="007A4933"/>
    <w:rsid w:val="007A5043"/>
    <w:rsid w:val="007A51BA"/>
    <w:rsid w:val="007A58D5"/>
    <w:rsid w:val="007A5EBF"/>
    <w:rsid w:val="007A6237"/>
    <w:rsid w:val="007A6ABD"/>
    <w:rsid w:val="007A6DF4"/>
    <w:rsid w:val="007A6EC8"/>
    <w:rsid w:val="007A6FE5"/>
    <w:rsid w:val="007A7EF1"/>
    <w:rsid w:val="007B0168"/>
    <w:rsid w:val="007B0E3D"/>
    <w:rsid w:val="007B0FBF"/>
    <w:rsid w:val="007B1064"/>
    <w:rsid w:val="007B1D2C"/>
    <w:rsid w:val="007B244B"/>
    <w:rsid w:val="007B30DA"/>
    <w:rsid w:val="007B3260"/>
    <w:rsid w:val="007B328D"/>
    <w:rsid w:val="007B3A60"/>
    <w:rsid w:val="007B3F28"/>
    <w:rsid w:val="007B4AF3"/>
    <w:rsid w:val="007B4B4F"/>
    <w:rsid w:val="007B5076"/>
    <w:rsid w:val="007B5467"/>
    <w:rsid w:val="007B5F37"/>
    <w:rsid w:val="007B6660"/>
    <w:rsid w:val="007B6A99"/>
    <w:rsid w:val="007B6AAF"/>
    <w:rsid w:val="007B6C12"/>
    <w:rsid w:val="007B6E3D"/>
    <w:rsid w:val="007B6ED1"/>
    <w:rsid w:val="007B725F"/>
    <w:rsid w:val="007B732C"/>
    <w:rsid w:val="007B771B"/>
    <w:rsid w:val="007B7F3F"/>
    <w:rsid w:val="007C0758"/>
    <w:rsid w:val="007C0AD1"/>
    <w:rsid w:val="007C0C26"/>
    <w:rsid w:val="007C0F91"/>
    <w:rsid w:val="007C1081"/>
    <w:rsid w:val="007C11F9"/>
    <w:rsid w:val="007C1221"/>
    <w:rsid w:val="007C157F"/>
    <w:rsid w:val="007C1DE4"/>
    <w:rsid w:val="007C2F37"/>
    <w:rsid w:val="007C2FF6"/>
    <w:rsid w:val="007C33FB"/>
    <w:rsid w:val="007C3878"/>
    <w:rsid w:val="007C3890"/>
    <w:rsid w:val="007C3CA4"/>
    <w:rsid w:val="007C3DD1"/>
    <w:rsid w:val="007C4341"/>
    <w:rsid w:val="007C43C4"/>
    <w:rsid w:val="007C4606"/>
    <w:rsid w:val="007C5748"/>
    <w:rsid w:val="007C595A"/>
    <w:rsid w:val="007C5F6F"/>
    <w:rsid w:val="007C5FBA"/>
    <w:rsid w:val="007C62DE"/>
    <w:rsid w:val="007C63F9"/>
    <w:rsid w:val="007C6926"/>
    <w:rsid w:val="007C6997"/>
    <w:rsid w:val="007C6C49"/>
    <w:rsid w:val="007C6D77"/>
    <w:rsid w:val="007C6FEC"/>
    <w:rsid w:val="007C753E"/>
    <w:rsid w:val="007C774E"/>
    <w:rsid w:val="007C79E4"/>
    <w:rsid w:val="007C7C3D"/>
    <w:rsid w:val="007D05C4"/>
    <w:rsid w:val="007D06B3"/>
    <w:rsid w:val="007D0FFB"/>
    <w:rsid w:val="007D141F"/>
    <w:rsid w:val="007D1757"/>
    <w:rsid w:val="007D2F49"/>
    <w:rsid w:val="007D3193"/>
    <w:rsid w:val="007D336A"/>
    <w:rsid w:val="007D36A6"/>
    <w:rsid w:val="007D3866"/>
    <w:rsid w:val="007D3D67"/>
    <w:rsid w:val="007D3E0E"/>
    <w:rsid w:val="007D3EE2"/>
    <w:rsid w:val="007D3EF8"/>
    <w:rsid w:val="007D422B"/>
    <w:rsid w:val="007D4841"/>
    <w:rsid w:val="007D4AC7"/>
    <w:rsid w:val="007D4B21"/>
    <w:rsid w:val="007D4F25"/>
    <w:rsid w:val="007D530F"/>
    <w:rsid w:val="007D5F1A"/>
    <w:rsid w:val="007D6642"/>
    <w:rsid w:val="007D6761"/>
    <w:rsid w:val="007D6959"/>
    <w:rsid w:val="007D6FE7"/>
    <w:rsid w:val="007D721C"/>
    <w:rsid w:val="007D77EF"/>
    <w:rsid w:val="007D7BAF"/>
    <w:rsid w:val="007E030D"/>
    <w:rsid w:val="007E0BA8"/>
    <w:rsid w:val="007E0C48"/>
    <w:rsid w:val="007E1178"/>
    <w:rsid w:val="007E181E"/>
    <w:rsid w:val="007E1DD0"/>
    <w:rsid w:val="007E20A9"/>
    <w:rsid w:val="007E2C10"/>
    <w:rsid w:val="007E2F03"/>
    <w:rsid w:val="007E347D"/>
    <w:rsid w:val="007E37DA"/>
    <w:rsid w:val="007E4737"/>
    <w:rsid w:val="007E4BA1"/>
    <w:rsid w:val="007E4C6D"/>
    <w:rsid w:val="007E51C4"/>
    <w:rsid w:val="007E52E4"/>
    <w:rsid w:val="007E58D3"/>
    <w:rsid w:val="007E5E7D"/>
    <w:rsid w:val="007E7055"/>
    <w:rsid w:val="007E76C8"/>
    <w:rsid w:val="007E7BAF"/>
    <w:rsid w:val="007F0EFA"/>
    <w:rsid w:val="007F1877"/>
    <w:rsid w:val="007F1967"/>
    <w:rsid w:val="007F1A6D"/>
    <w:rsid w:val="007F1E0F"/>
    <w:rsid w:val="007F276A"/>
    <w:rsid w:val="007F2A9B"/>
    <w:rsid w:val="007F2D76"/>
    <w:rsid w:val="007F2E43"/>
    <w:rsid w:val="007F3282"/>
    <w:rsid w:val="007F39E4"/>
    <w:rsid w:val="007F3C7F"/>
    <w:rsid w:val="007F4375"/>
    <w:rsid w:val="007F46E0"/>
    <w:rsid w:val="007F49DF"/>
    <w:rsid w:val="007F4A7B"/>
    <w:rsid w:val="007F4ACF"/>
    <w:rsid w:val="007F4BBF"/>
    <w:rsid w:val="007F4E88"/>
    <w:rsid w:val="007F50D7"/>
    <w:rsid w:val="007F5188"/>
    <w:rsid w:val="007F51C6"/>
    <w:rsid w:val="007F5911"/>
    <w:rsid w:val="007F61C7"/>
    <w:rsid w:val="007F6675"/>
    <w:rsid w:val="007F67CF"/>
    <w:rsid w:val="007F6B18"/>
    <w:rsid w:val="007F6E4E"/>
    <w:rsid w:val="007F73BA"/>
    <w:rsid w:val="007F74CB"/>
    <w:rsid w:val="007F7911"/>
    <w:rsid w:val="007F7ACE"/>
    <w:rsid w:val="0080083D"/>
    <w:rsid w:val="00800B11"/>
    <w:rsid w:val="00800B15"/>
    <w:rsid w:val="00800E74"/>
    <w:rsid w:val="008020FA"/>
    <w:rsid w:val="0080287D"/>
    <w:rsid w:val="00802E4C"/>
    <w:rsid w:val="00802F1A"/>
    <w:rsid w:val="008037BC"/>
    <w:rsid w:val="00803A2B"/>
    <w:rsid w:val="00804ADF"/>
    <w:rsid w:val="008051CC"/>
    <w:rsid w:val="00805984"/>
    <w:rsid w:val="00805B8F"/>
    <w:rsid w:val="00805BEF"/>
    <w:rsid w:val="00805FA0"/>
    <w:rsid w:val="00806123"/>
    <w:rsid w:val="0080614E"/>
    <w:rsid w:val="00806293"/>
    <w:rsid w:val="00806881"/>
    <w:rsid w:val="00806918"/>
    <w:rsid w:val="00806C4F"/>
    <w:rsid w:val="008072D2"/>
    <w:rsid w:val="008072ED"/>
    <w:rsid w:val="0080738A"/>
    <w:rsid w:val="00807687"/>
    <w:rsid w:val="00807A5E"/>
    <w:rsid w:val="00807BF8"/>
    <w:rsid w:val="00807CAE"/>
    <w:rsid w:val="0081025F"/>
    <w:rsid w:val="0081115B"/>
    <w:rsid w:val="00811332"/>
    <w:rsid w:val="008113D3"/>
    <w:rsid w:val="0081156D"/>
    <w:rsid w:val="008119F2"/>
    <w:rsid w:val="00811F31"/>
    <w:rsid w:val="00812A39"/>
    <w:rsid w:val="00812F6C"/>
    <w:rsid w:val="0081311E"/>
    <w:rsid w:val="00813127"/>
    <w:rsid w:val="00813696"/>
    <w:rsid w:val="00814DDB"/>
    <w:rsid w:val="00815190"/>
    <w:rsid w:val="008152FE"/>
    <w:rsid w:val="00815467"/>
    <w:rsid w:val="0081566C"/>
    <w:rsid w:val="008156DA"/>
    <w:rsid w:val="008158F3"/>
    <w:rsid w:val="008160E8"/>
    <w:rsid w:val="0081635C"/>
    <w:rsid w:val="00817289"/>
    <w:rsid w:val="00817547"/>
    <w:rsid w:val="00817A54"/>
    <w:rsid w:val="00817E9E"/>
    <w:rsid w:val="00820B19"/>
    <w:rsid w:val="00821452"/>
    <w:rsid w:val="0082173B"/>
    <w:rsid w:val="00821B21"/>
    <w:rsid w:val="00821D85"/>
    <w:rsid w:val="008225FA"/>
    <w:rsid w:val="00822789"/>
    <w:rsid w:val="0082280C"/>
    <w:rsid w:val="00822815"/>
    <w:rsid w:val="0082349D"/>
    <w:rsid w:val="00823879"/>
    <w:rsid w:val="00823DCB"/>
    <w:rsid w:val="00823F90"/>
    <w:rsid w:val="00824507"/>
    <w:rsid w:val="008249FE"/>
    <w:rsid w:val="00824A92"/>
    <w:rsid w:val="0082516E"/>
    <w:rsid w:val="00825B06"/>
    <w:rsid w:val="00825CFA"/>
    <w:rsid w:val="0082601A"/>
    <w:rsid w:val="0082609A"/>
    <w:rsid w:val="0082702E"/>
    <w:rsid w:val="008271F1"/>
    <w:rsid w:val="008275C4"/>
    <w:rsid w:val="00827693"/>
    <w:rsid w:val="00827BAC"/>
    <w:rsid w:val="00830863"/>
    <w:rsid w:val="00830D2B"/>
    <w:rsid w:val="00830F9F"/>
    <w:rsid w:val="00831016"/>
    <w:rsid w:val="00831A10"/>
    <w:rsid w:val="00831B88"/>
    <w:rsid w:val="00831D38"/>
    <w:rsid w:val="0083232F"/>
    <w:rsid w:val="00832AAD"/>
    <w:rsid w:val="00832C44"/>
    <w:rsid w:val="00832D1D"/>
    <w:rsid w:val="00832EE7"/>
    <w:rsid w:val="00833073"/>
    <w:rsid w:val="008333AC"/>
    <w:rsid w:val="00833CBF"/>
    <w:rsid w:val="008350B5"/>
    <w:rsid w:val="0083568D"/>
    <w:rsid w:val="00835B48"/>
    <w:rsid w:val="00835C6E"/>
    <w:rsid w:val="008364D1"/>
    <w:rsid w:val="008368FE"/>
    <w:rsid w:val="0083701A"/>
    <w:rsid w:val="00837CFC"/>
    <w:rsid w:val="00837E4F"/>
    <w:rsid w:val="00840745"/>
    <w:rsid w:val="008408FF"/>
    <w:rsid w:val="00840CBE"/>
    <w:rsid w:val="008414FF"/>
    <w:rsid w:val="00841B70"/>
    <w:rsid w:val="00841D34"/>
    <w:rsid w:val="00842344"/>
    <w:rsid w:val="0084257D"/>
    <w:rsid w:val="00843240"/>
    <w:rsid w:val="0084387C"/>
    <w:rsid w:val="00843EA3"/>
    <w:rsid w:val="00843FDA"/>
    <w:rsid w:val="008444B1"/>
    <w:rsid w:val="008448AE"/>
    <w:rsid w:val="00844FB9"/>
    <w:rsid w:val="00844FE0"/>
    <w:rsid w:val="008451FE"/>
    <w:rsid w:val="00845687"/>
    <w:rsid w:val="008457B5"/>
    <w:rsid w:val="00845C16"/>
    <w:rsid w:val="00845F27"/>
    <w:rsid w:val="00847085"/>
    <w:rsid w:val="0084766C"/>
    <w:rsid w:val="0084783C"/>
    <w:rsid w:val="0084783E"/>
    <w:rsid w:val="008478AC"/>
    <w:rsid w:val="00847A9E"/>
    <w:rsid w:val="00847D08"/>
    <w:rsid w:val="00847DE8"/>
    <w:rsid w:val="008502FA"/>
    <w:rsid w:val="0085076B"/>
    <w:rsid w:val="008509FF"/>
    <w:rsid w:val="00850BE3"/>
    <w:rsid w:val="00850C81"/>
    <w:rsid w:val="00851542"/>
    <w:rsid w:val="00851896"/>
    <w:rsid w:val="008518F5"/>
    <w:rsid w:val="00851F55"/>
    <w:rsid w:val="008520B8"/>
    <w:rsid w:val="0085212B"/>
    <w:rsid w:val="00852A62"/>
    <w:rsid w:val="00852A91"/>
    <w:rsid w:val="008531B9"/>
    <w:rsid w:val="008531BA"/>
    <w:rsid w:val="0085342C"/>
    <w:rsid w:val="008534FA"/>
    <w:rsid w:val="0085374E"/>
    <w:rsid w:val="00853E03"/>
    <w:rsid w:val="00854105"/>
    <w:rsid w:val="0085462A"/>
    <w:rsid w:val="0085473D"/>
    <w:rsid w:val="00854BB3"/>
    <w:rsid w:val="00854C11"/>
    <w:rsid w:val="00854CE2"/>
    <w:rsid w:val="008551D9"/>
    <w:rsid w:val="0085553E"/>
    <w:rsid w:val="00855A79"/>
    <w:rsid w:val="008563A6"/>
    <w:rsid w:val="0085663F"/>
    <w:rsid w:val="00857917"/>
    <w:rsid w:val="00857C35"/>
    <w:rsid w:val="00857EFD"/>
    <w:rsid w:val="00857FA0"/>
    <w:rsid w:val="0086017A"/>
    <w:rsid w:val="008601B2"/>
    <w:rsid w:val="00860420"/>
    <w:rsid w:val="00860D36"/>
    <w:rsid w:val="00860E97"/>
    <w:rsid w:val="00860EE0"/>
    <w:rsid w:val="00860FA6"/>
    <w:rsid w:val="008612FF"/>
    <w:rsid w:val="008618CF"/>
    <w:rsid w:val="00861974"/>
    <w:rsid w:val="00861CEA"/>
    <w:rsid w:val="00862168"/>
    <w:rsid w:val="008625A7"/>
    <w:rsid w:val="00862E3D"/>
    <w:rsid w:val="00863160"/>
    <w:rsid w:val="00863361"/>
    <w:rsid w:val="008638EC"/>
    <w:rsid w:val="00864202"/>
    <w:rsid w:val="008642EA"/>
    <w:rsid w:val="00864CF8"/>
    <w:rsid w:val="00865355"/>
    <w:rsid w:val="008655D5"/>
    <w:rsid w:val="00865A95"/>
    <w:rsid w:val="00866B05"/>
    <w:rsid w:val="00866CCE"/>
    <w:rsid w:val="00866D00"/>
    <w:rsid w:val="00866E54"/>
    <w:rsid w:val="008673D0"/>
    <w:rsid w:val="00867602"/>
    <w:rsid w:val="00867B40"/>
    <w:rsid w:val="00867B46"/>
    <w:rsid w:val="00867B81"/>
    <w:rsid w:val="00867BBC"/>
    <w:rsid w:val="0087067F"/>
    <w:rsid w:val="0087070F"/>
    <w:rsid w:val="00870ECE"/>
    <w:rsid w:val="00871D22"/>
    <w:rsid w:val="008725C2"/>
    <w:rsid w:val="008735A3"/>
    <w:rsid w:val="008736FD"/>
    <w:rsid w:val="00873A83"/>
    <w:rsid w:val="00873E20"/>
    <w:rsid w:val="00873E93"/>
    <w:rsid w:val="00875003"/>
    <w:rsid w:val="00875063"/>
    <w:rsid w:val="00875B28"/>
    <w:rsid w:val="0087615D"/>
    <w:rsid w:val="008761F1"/>
    <w:rsid w:val="00876473"/>
    <w:rsid w:val="00876557"/>
    <w:rsid w:val="00876B61"/>
    <w:rsid w:val="008770D5"/>
    <w:rsid w:val="008770F3"/>
    <w:rsid w:val="008775BF"/>
    <w:rsid w:val="0087760E"/>
    <w:rsid w:val="008779C5"/>
    <w:rsid w:val="00877C39"/>
    <w:rsid w:val="00877C5D"/>
    <w:rsid w:val="00877CE2"/>
    <w:rsid w:val="00880183"/>
    <w:rsid w:val="00880B33"/>
    <w:rsid w:val="00880FDD"/>
    <w:rsid w:val="00881694"/>
    <w:rsid w:val="008817C9"/>
    <w:rsid w:val="00882393"/>
    <w:rsid w:val="00882491"/>
    <w:rsid w:val="0088256C"/>
    <w:rsid w:val="008828BB"/>
    <w:rsid w:val="00882925"/>
    <w:rsid w:val="00882AB5"/>
    <w:rsid w:val="00882E4E"/>
    <w:rsid w:val="00883088"/>
    <w:rsid w:val="008836A2"/>
    <w:rsid w:val="00883EF4"/>
    <w:rsid w:val="0088426B"/>
    <w:rsid w:val="008842B7"/>
    <w:rsid w:val="00884433"/>
    <w:rsid w:val="00884447"/>
    <w:rsid w:val="008849D1"/>
    <w:rsid w:val="008851C4"/>
    <w:rsid w:val="008854DE"/>
    <w:rsid w:val="00885699"/>
    <w:rsid w:val="00885A29"/>
    <w:rsid w:val="00885CC8"/>
    <w:rsid w:val="00885D3D"/>
    <w:rsid w:val="00885F6B"/>
    <w:rsid w:val="00887640"/>
    <w:rsid w:val="00887A99"/>
    <w:rsid w:val="00887ACB"/>
    <w:rsid w:val="00887CF2"/>
    <w:rsid w:val="00890045"/>
    <w:rsid w:val="008903A4"/>
    <w:rsid w:val="00890460"/>
    <w:rsid w:val="00890A23"/>
    <w:rsid w:val="00890DD9"/>
    <w:rsid w:val="00890F09"/>
    <w:rsid w:val="008914EB"/>
    <w:rsid w:val="00891EF8"/>
    <w:rsid w:val="00891F17"/>
    <w:rsid w:val="00892221"/>
    <w:rsid w:val="00892CE0"/>
    <w:rsid w:val="00892ED6"/>
    <w:rsid w:val="00893359"/>
    <w:rsid w:val="00894397"/>
    <w:rsid w:val="00894471"/>
    <w:rsid w:val="008945E5"/>
    <w:rsid w:val="00894D3E"/>
    <w:rsid w:val="00894D90"/>
    <w:rsid w:val="00894F72"/>
    <w:rsid w:val="008950D3"/>
    <w:rsid w:val="00895542"/>
    <w:rsid w:val="008957B0"/>
    <w:rsid w:val="008958E6"/>
    <w:rsid w:val="00895B79"/>
    <w:rsid w:val="008961E9"/>
    <w:rsid w:val="008965D1"/>
    <w:rsid w:val="008973D1"/>
    <w:rsid w:val="0089760B"/>
    <w:rsid w:val="00897955"/>
    <w:rsid w:val="00897A79"/>
    <w:rsid w:val="00897BDB"/>
    <w:rsid w:val="008A0101"/>
    <w:rsid w:val="008A0CBB"/>
    <w:rsid w:val="008A1428"/>
    <w:rsid w:val="008A17F3"/>
    <w:rsid w:val="008A1829"/>
    <w:rsid w:val="008A2992"/>
    <w:rsid w:val="008A2B96"/>
    <w:rsid w:val="008A2CA9"/>
    <w:rsid w:val="008A3EC0"/>
    <w:rsid w:val="008A42A6"/>
    <w:rsid w:val="008A45C8"/>
    <w:rsid w:val="008A48CE"/>
    <w:rsid w:val="008A4BDD"/>
    <w:rsid w:val="008A4DB8"/>
    <w:rsid w:val="008A4FF0"/>
    <w:rsid w:val="008A5211"/>
    <w:rsid w:val="008A531A"/>
    <w:rsid w:val="008A67C2"/>
    <w:rsid w:val="008A74DE"/>
    <w:rsid w:val="008A7F64"/>
    <w:rsid w:val="008B0121"/>
    <w:rsid w:val="008B054F"/>
    <w:rsid w:val="008B090F"/>
    <w:rsid w:val="008B12E7"/>
    <w:rsid w:val="008B1326"/>
    <w:rsid w:val="008B15F9"/>
    <w:rsid w:val="008B199F"/>
    <w:rsid w:val="008B19C7"/>
    <w:rsid w:val="008B1C11"/>
    <w:rsid w:val="008B1C82"/>
    <w:rsid w:val="008B2311"/>
    <w:rsid w:val="008B2513"/>
    <w:rsid w:val="008B2617"/>
    <w:rsid w:val="008B263E"/>
    <w:rsid w:val="008B3F3B"/>
    <w:rsid w:val="008B432E"/>
    <w:rsid w:val="008B43D6"/>
    <w:rsid w:val="008B4447"/>
    <w:rsid w:val="008B4A44"/>
    <w:rsid w:val="008B4C3B"/>
    <w:rsid w:val="008B5122"/>
    <w:rsid w:val="008B5446"/>
    <w:rsid w:val="008B5AFF"/>
    <w:rsid w:val="008B5FA6"/>
    <w:rsid w:val="008B63E6"/>
    <w:rsid w:val="008B659A"/>
    <w:rsid w:val="008B6607"/>
    <w:rsid w:val="008B688F"/>
    <w:rsid w:val="008B7836"/>
    <w:rsid w:val="008B7B9B"/>
    <w:rsid w:val="008B7C1E"/>
    <w:rsid w:val="008C014A"/>
    <w:rsid w:val="008C0717"/>
    <w:rsid w:val="008C07A1"/>
    <w:rsid w:val="008C10C2"/>
    <w:rsid w:val="008C128B"/>
    <w:rsid w:val="008C12AE"/>
    <w:rsid w:val="008C13E8"/>
    <w:rsid w:val="008C1474"/>
    <w:rsid w:val="008C161E"/>
    <w:rsid w:val="008C187F"/>
    <w:rsid w:val="008C1CDD"/>
    <w:rsid w:val="008C1F5B"/>
    <w:rsid w:val="008C22F1"/>
    <w:rsid w:val="008C2336"/>
    <w:rsid w:val="008C2482"/>
    <w:rsid w:val="008C3034"/>
    <w:rsid w:val="008C3439"/>
    <w:rsid w:val="008C35D4"/>
    <w:rsid w:val="008C37C6"/>
    <w:rsid w:val="008C3872"/>
    <w:rsid w:val="008C4698"/>
    <w:rsid w:val="008C4813"/>
    <w:rsid w:val="008C4DC6"/>
    <w:rsid w:val="008C5835"/>
    <w:rsid w:val="008C5A1A"/>
    <w:rsid w:val="008C5FE6"/>
    <w:rsid w:val="008C624A"/>
    <w:rsid w:val="008C6440"/>
    <w:rsid w:val="008C68F9"/>
    <w:rsid w:val="008C6CD3"/>
    <w:rsid w:val="008C6D5D"/>
    <w:rsid w:val="008D0461"/>
    <w:rsid w:val="008D04B9"/>
    <w:rsid w:val="008D06C7"/>
    <w:rsid w:val="008D0CCB"/>
    <w:rsid w:val="008D103D"/>
    <w:rsid w:val="008D1207"/>
    <w:rsid w:val="008D2712"/>
    <w:rsid w:val="008D2FCA"/>
    <w:rsid w:val="008D3ECD"/>
    <w:rsid w:val="008D4517"/>
    <w:rsid w:val="008D4717"/>
    <w:rsid w:val="008D4753"/>
    <w:rsid w:val="008D51D9"/>
    <w:rsid w:val="008D5FE1"/>
    <w:rsid w:val="008D7387"/>
    <w:rsid w:val="008D7416"/>
    <w:rsid w:val="008D75B8"/>
    <w:rsid w:val="008D7FDB"/>
    <w:rsid w:val="008E06CD"/>
    <w:rsid w:val="008E075B"/>
    <w:rsid w:val="008E13E3"/>
    <w:rsid w:val="008E1BE2"/>
    <w:rsid w:val="008E28D9"/>
    <w:rsid w:val="008E2CFC"/>
    <w:rsid w:val="008E2E5A"/>
    <w:rsid w:val="008E3896"/>
    <w:rsid w:val="008E3BCB"/>
    <w:rsid w:val="008E3EA6"/>
    <w:rsid w:val="008E41D2"/>
    <w:rsid w:val="008E42C2"/>
    <w:rsid w:val="008E4B01"/>
    <w:rsid w:val="008E515B"/>
    <w:rsid w:val="008E55FC"/>
    <w:rsid w:val="008E5CAA"/>
    <w:rsid w:val="008E5D06"/>
    <w:rsid w:val="008E5EC8"/>
    <w:rsid w:val="008E6BDF"/>
    <w:rsid w:val="008E6F9E"/>
    <w:rsid w:val="008E70D6"/>
    <w:rsid w:val="008E7191"/>
    <w:rsid w:val="008F00DA"/>
    <w:rsid w:val="008F0407"/>
    <w:rsid w:val="008F1EA7"/>
    <w:rsid w:val="008F2DF0"/>
    <w:rsid w:val="008F35D1"/>
    <w:rsid w:val="008F3F73"/>
    <w:rsid w:val="008F4127"/>
    <w:rsid w:val="008F4815"/>
    <w:rsid w:val="008F4855"/>
    <w:rsid w:val="008F4997"/>
    <w:rsid w:val="008F4C5F"/>
    <w:rsid w:val="008F4E73"/>
    <w:rsid w:val="008F4ED0"/>
    <w:rsid w:val="008F4FA7"/>
    <w:rsid w:val="008F5172"/>
    <w:rsid w:val="008F5290"/>
    <w:rsid w:val="008F54E8"/>
    <w:rsid w:val="008F5793"/>
    <w:rsid w:val="008F5AC0"/>
    <w:rsid w:val="008F5AE9"/>
    <w:rsid w:val="008F5F79"/>
    <w:rsid w:val="008F6276"/>
    <w:rsid w:val="008F65A6"/>
    <w:rsid w:val="008F6B8F"/>
    <w:rsid w:val="008F6DF5"/>
    <w:rsid w:val="008F6E0B"/>
    <w:rsid w:val="008F73CF"/>
    <w:rsid w:val="008F7BB9"/>
    <w:rsid w:val="0090046E"/>
    <w:rsid w:val="00900882"/>
    <w:rsid w:val="00900FCB"/>
    <w:rsid w:val="0090258C"/>
    <w:rsid w:val="00902D7F"/>
    <w:rsid w:val="0090396D"/>
    <w:rsid w:val="00904151"/>
    <w:rsid w:val="009048B1"/>
    <w:rsid w:val="00905152"/>
    <w:rsid w:val="00905776"/>
    <w:rsid w:val="0090599C"/>
    <w:rsid w:val="00905E2C"/>
    <w:rsid w:val="00906296"/>
    <w:rsid w:val="009062A6"/>
    <w:rsid w:val="00907F8E"/>
    <w:rsid w:val="009101A3"/>
    <w:rsid w:val="00910714"/>
    <w:rsid w:val="00910ADF"/>
    <w:rsid w:val="00910D3A"/>
    <w:rsid w:val="00910EDC"/>
    <w:rsid w:val="0091119D"/>
    <w:rsid w:val="00911A78"/>
    <w:rsid w:val="00911BA6"/>
    <w:rsid w:val="00911D9C"/>
    <w:rsid w:val="00911F45"/>
    <w:rsid w:val="00912416"/>
    <w:rsid w:val="009125BA"/>
    <w:rsid w:val="00912911"/>
    <w:rsid w:val="00912F51"/>
    <w:rsid w:val="00913254"/>
    <w:rsid w:val="00913424"/>
    <w:rsid w:val="0091344B"/>
    <w:rsid w:val="00913A1C"/>
    <w:rsid w:val="00913FAA"/>
    <w:rsid w:val="00914097"/>
    <w:rsid w:val="00914567"/>
    <w:rsid w:val="00915224"/>
    <w:rsid w:val="00915243"/>
    <w:rsid w:val="009156FC"/>
    <w:rsid w:val="009157F6"/>
    <w:rsid w:val="00915CFF"/>
    <w:rsid w:val="00915EFC"/>
    <w:rsid w:val="00916618"/>
    <w:rsid w:val="00917185"/>
    <w:rsid w:val="00917C73"/>
    <w:rsid w:val="00917F23"/>
    <w:rsid w:val="009201E5"/>
    <w:rsid w:val="00920CD3"/>
    <w:rsid w:val="00920F2C"/>
    <w:rsid w:val="009212B8"/>
    <w:rsid w:val="009213F8"/>
    <w:rsid w:val="009215BF"/>
    <w:rsid w:val="009216F7"/>
    <w:rsid w:val="00921A11"/>
    <w:rsid w:val="00921FBA"/>
    <w:rsid w:val="00922EE9"/>
    <w:rsid w:val="00923143"/>
    <w:rsid w:val="0092344F"/>
    <w:rsid w:val="0092347B"/>
    <w:rsid w:val="00923515"/>
    <w:rsid w:val="00923968"/>
    <w:rsid w:val="00923D92"/>
    <w:rsid w:val="009242AD"/>
    <w:rsid w:val="00924349"/>
    <w:rsid w:val="00924D37"/>
    <w:rsid w:val="00924DB9"/>
    <w:rsid w:val="00925444"/>
    <w:rsid w:val="00925A2D"/>
    <w:rsid w:val="00926701"/>
    <w:rsid w:val="00926D21"/>
    <w:rsid w:val="009277FA"/>
    <w:rsid w:val="009303AF"/>
    <w:rsid w:val="0093046C"/>
    <w:rsid w:val="009304D2"/>
    <w:rsid w:val="0093066C"/>
    <w:rsid w:val="0093103F"/>
    <w:rsid w:val="00931762"/>
    <w:rsid w:val="00931DA7"/>
    <w:rsid w:val="00932143"/>
    <w:rsid w:val="00932D66"/>
    <w:rsid w:val="009334EF"/>
    <w:rsid w:val="00933E16"/>
    <w:rsid w:val="0093449C"/>
    <w:rsid w:val="009347B4"/>
    <w:rsid w:val="0093494A"/>
    <w:rsid w:val="009349F0"/>
    <w:rsid w:val="009350C1"/>
    <w:rsid w:val="009355AD"/>
    <w:rsid w:val="00935758"/>
    <w:rsid w:val="00935882"/>
    <w:rsid w:val="00935AB8"/>
    <w:rsid w:val="00935B16"/>
    <w:rsid w:val="00935B4A"/>
    <w:rsid w:val="00935F93"/>
    <w:rsid w:val="00935FD1"/>
    <w:rsid w:val="0093601A"/>
    <w:rsid w:val="00936097"/>
    <w:rsid w:val="00936677"/>
    <w:rsid w:val="0093683C"/>
    <w:rsid w:val="009373C6"/>
    <w:rsid w:val="0094051E"/>
    <w:rsid w:val="00940617"/>
    <w:rsid w:val="00941684"/>
    <w:rsid w:val="009418E7"/>
    <w:rsid w:val="00941A60"/>
    <w:rsid w:val="00942473"/>
    <w:rsid w:val="0094272B"/>
    <w:rsid w:val="009427B3"/>
    <w:rsid w:val="00943528"/>
    <w:rsid w:val="00943AD8"/>
    <w:rsid w:val="00944389"/>
    <w:rsid w:val="00944A91"/>
    <w:rsid w:val="00944B5E"/>
    <w:rsid w:val="00944DB1"/>
    <w:rsid w:val="00944DD1"/>
    <w:rsid w:val="00944EB5"/>
    <w:rsid w:val="009458E1"/>
    <w:rsid w:val="00945C61"/>
    <w:rsid w:val="00946296"/>
    <w:rsid w:val="0094663E"/>
    <w:rsid w:val="00946AAA"/>
    <w:rsid w:val="00946BC9"/>
    <w:rsid w:val="00946C04"/>
    <w:rsid w:val="00946F58"/>
    <w:rsid w:val="0094743B"/>
    <w:rsid w:val="0094749C"/>
    <w:rsid w:val="009478D3"/>
    <w:rsid w:val="009479AC"/>
    <w:rsid w:val="009501DB"/>
    <w:rsid w:val="00950C92"/>
    <w:rsid w:val="0095161A"/>
    <w:rsid w:val="00951701"/>
    <w:rsid w:val="009522CA"/>
    <w:rsid w:val="00952CDF"/>
    <w:rsid w:val="00952E38"/>
    <w:rsid w:val="00952FCF"/>
    <w:rsid w:val="0095304F"/>
    <w:rsid w:val="00953C4E"/>
    <w:rsid w:val="00953CD8"/>
    <w:rsid w:val="009540FF"/>
    <w:rsid w:val="00954347"/>
    <w:rsid w:val="0095435A"/>
    <w:rsid w:val="009555C7"/>
    <w:rsid w:val="0095560C"/>
    <w:rsid w:val="009557B1"/>
    <w:rsid w:val="00955D96"/>
    <w:rsid w:val="00956447"/>
    <w:rsid w:val="00956AD6"/>
    <w:rsid w:val="009571B7"/>
    <w:rsid w:val="009571EB"/>
    <w:rsid w:val="0095751E"/>
    <w:rsid w:val="0095776E"/>
    <w:rsid w:val="00957953"/>
    <w:rsid w:val="00957999"/>
    <w:rsid w:val="00960375"/>
    <w:rsid w:val="009603C0"/>
    <w:rsid w:val="00960873"/>
    <w:rsid w:val="00960DF7"/>
    <w:rsid w:val="00960EE7"/>
    <w:rsid w:val="009614D3"/>
    <w:rsid w:val="009617B9"/>
    <w:rsid w:val="0096180A"/>
    <w:rsid w:val="00961BF4"/>
    <w:rsid w:val="00961D5F"/>
    <w:rsid w:val="00961E71"/>
    <w:rsid w:val="00962051"/>
    <w:rsid w:val="00962977"/>
    <w:rsid w:val="00962AAC"/>
    <w:rsid w:val="00962C52"/>
    <w:rsid w:val="00962CDC"/>
    <w:rsid w:val="00963586"/>
    <w:rsid w:val="009635CB"/>
    <w:rsid w:val="0096364F"/>
    <w:rsid w:val="009637BE"/>
    <w:rsid w:val="00964531"/>
    <w:rsid w:val="00964649"/>
    <w:rsid w:val="009648D2"/>
    <w:rsid w:val="00964BE5"/>
    <w:rsid w:val="00964D61"/>
    <w:rsid w:val="00964D8B"/>
    <w:rsid w:val="009650EF"/>
    <w:rsid w:val="00965604"/>
    <w:rsid w:val="00965A40"/>
    <w:rsid w:val="00965AE0"/>
    <w:rsid w:val="00965D11"/>
    <w:rsid w:val="00965FF9"/>
    <w:rsid w:val="0096694E"/>
    <w:rsid w:val="00967235"/>
    <w:rsid w:val="00967A11"/>
    <w:rsid w:val="00970222"/>
    <w:rsid w:val="00970596"/>
    <w:rsid w:val="00970745"/>
    <w:rsid w:val="00970C31"/>
    <w:rsid w:val="00970CBB"/>
    <w:rsid w:val="009715C2"/>
    <w:rsid w:val="00971D88"/>
    <w:rsid w:val="00972A09"/>
    <w:rsid w:val="00973B3C"/>
    <w:rsid w:val="00973E30"/>
    <w:rsid w:val="009740B2"/>
    <w:rsid w:val="00974C04"/>
    <w:rsid w:val="009750F1"/>
    <w:rsid w:val="0097517E"/>
    <w:rsid w:val="0097545B"/>
    <w:rsid w:val="00975BA5"/>
    <w:rsid w:val="00975E72"/>
    <w:rsid w:val="00975EAE"/>
    <w:rsid w:val="0097664F"/>
    <w:rsid w:val="009766CC"/>
    <w:rsid w:val="009768F6"/>
    <w:rsid w:val="009768FB"/>
    <w:rsid w:val="00976F14"/>
    <w:rsid w:val="00976F8E"/>
    <w:rsid w:val="00977278"/>
    <w:rsid w:val="009802F4"/>
    <w:rsid w:val="009811E8"/>
    <w:rsid w:val="00981D03"/>
    <w:rsid w:val="009824C0"/>
    <w:rsid w:val="0098250A"/>
    <w:rsid w:val="009827A7"/>
    <w:rsid w:val="00982849"/>
    <w:rsid w:val="00983145"/>
    <w:rsid w:val="009832D2"/>
    <w:rsid w:val="009837D2"/>
    <w:rsid w:val="0098399D"/>
    <w:rsid w:val="0098445F"/>
    <w:rsid w:val="009847C2"/>
    <w:rsid w:val="009856DA"/>
    <w:rsid w:val="0098682A"/>
    <w:rsid w:val="00987C4A"/>
    <w:rsid w:val="00987E3D"/>
    <w:rsid w:val="00990058"/>
    <w:rsid w:val="00990310"/>
    <w:rsid w:val="009908B6"/>
    <w:rsid w:val="00990B03"/>
    <w:rsid w:val="00990F43"/>
    <w:rsid w:val="00990F55"/>
    <w:rsid w:val="009914C7"/>
    <w:rsid w:val="00992FD4"/>
    <w:rsid w:val="00993040"/>
    <w:rsid w:val="00993611"/>
    <w:rsid w:val="0099368C"/>
    <w:rsid w:val="00993C86"/>
    <w:rsid w:val="00993D28"/>
    <w:rsid w:val="00993D29"/>
    <w:rsid w:val="009942A9"/>
    <w:rsid w:val="00995338"/>
    <w:rsid w:val="0099539D"/>
    <w:rsid w:val="009956C0"/>
    <w:rsid w:val="00995DE9"/>
    <w:rsid w:val="00996245"/>
    <w:rsid w:val="009962DF"/>
    <w:rsid w:val="00996717"/>
    <w:rsid w:val="0099676A"/>
    <w:rsid w:val="00996891"/>
    <w:rsid w:val="0099722E"/>
    <w:rsid w:val="00997438"/>
    <w:rsid w:val="009975C0"/>
    <w:rsid w:val="00997A23"/>
    <w:rsid w:val="00997FA4"/>
    <w:rsid w:val="009A0544"/>
    <w:rsid w:val="009A055E"/>
    <w:rsid w:val="009A0969"/>
    <w:rsid w:val="009A0F0B"/>
    <w:rsid w:val="009A11F0"/>
    <w:rsid w:val="009A1532"/>
    <w:rsid w:val="009A1717"/>
    <w:rsid w:val="009A1878"/>
    <w:rsid w:val="009A19D1"/>
    <w:rsid w:val="009A2EC8"/>
    <w:rsid w:val="009A322B"/>
    <w:rsid w:val="009A326F"/>
    <w:rsid w:val="009A39F8"/>
    <w:rsid w:val="009A4085"/>
    <w:rsid w:val="009A46B7"/>
    <w:rsid w:val="009A4810"/>
    <w:rsid w:val="009A4CB9"/>
    <w:rsid w:val="009A54AA"/>
    <w:rsid w:val="009A66E8"/>
    <w:rsid w:val="009A7025"/>
    <w:rsid w:val="009A752A"/>
    <w:rsid w:val="009A762B"/>
    <w:rsid w:val="009B0652"/>
    <w:rsid w:val="009B1164"/>
    <w:rsid w:val="009B1377"/>
    <w:rsid w:val="009B1D24"/>
    <w:rsid w:val="009B289B"/>
    <w:rsid w:val="009B3546"/>
    <w:rsid w:val="009B354E"/>
    <w:rsid w:val="009B40DF"/>
    <w:rsid w:val="009B4356"/>
    <w:rsid w:val="009B456D"/>
    <w:rsid w:val="009B47C9"/>
    <w:rsid w:val="009B5733"/>
    <w:rsid w:val="009B5C91"/>
    <w:rsid w:val="009B5E52"/>
    <w:rsid w:val="009B5F6C"/>
    <w:rsid w:val="009B62D6"/>
    <w:rsid w:val="009B632B"/>
    <w:rsid w:val="009B65C0"/>
    <w:rsid w:val="009B69B5"/>
    <w:rsid w:val="009B6C8D"/>
    <w:rsid w:val="009B7330"/>
    <w:rsid w:val="009B73AD"/>
    <w:rsid w:val="009C0156"/>
    <w:rsid w:val="009C03E4"/>
    <w:rsid w:val="009C04DC"/>
    <w:rsid w:val="009C178B"/>
    <w:rsid w:val="009C18CE"/>
    <w:rsid w:val="009C1B7E"/>
    <w:rsid w:val="009C235B"/>
    <w:rsid w:val="009C2E59"/>
    <w:rsid w:val="009C31F6"/>
    <w:rsid w:val="009C3203"/>
    <w:rsid w:val="009C3453"/>
    <w:rsid w:val="009C47A1"/>
    <w:rsid w:val="009C47C8"/>
    <w:rsid w:val="009C4DDC"/>
    <w:rsid w:val="009C517E"/>
    <w:rsid w:val="009C531E"/>
    <w:rsid w:val="009C5615"/>
    <w:rsid w:val="009C5BF5"/>
    <w:rsid w:val="009C5F72"/>
    <w:rsid w:val="009C60A5"/>
    <w:rsid w:val="009C60DC"/>
    <w:rsid w:val="009C6835"/>
    <w:rsid w:val="009C6A0B"/>
    <w:rsid w:val="009C6AC7"/>
    <w:rsid w:val="009C6EBE"/>
    <w:rsid w:val="009C77EB"/>
    <w:rsid w:val="009C7EB6"/>
    <w:rsid w:val="009D032E"/>
    <w:rsid w:val="009D05B2"/>
    <w:rsid w:val="009D07D0"/>
    <w:rsid w:val="009D19D9"/>
    <w:rsid w:val="009D1AB8"/>
    <w:rsid w:val="009D1DE5"/>
    <w:rsid w:val="009D1FBC"/>
    <w:rsid w:val="009D210C"/>
    <w:rsid w:val="009D2F34"/>
    <w:rsid w:val="009D3244"/>
    <w:rsid w:val="009D3341"/>
    <w:rsid w:val="009D4C75"/>
    <w:rsid w:val="009D63C9"/>
    <w:rsid w:val="009D646C"/>
    <w:rsid w:val="009D65E0"/>
    <w:rsid w:val="009D6AFD"/>
    <w:rsid w:val="009E02AC"/>
    <w:rsid w:val="009E06A2"/>
    <w:rsid w:val="009E0AA8"/>
    <w:rsid w:val="009E0CE4"/>
    <w:rsid w:val="009E0E20"/>
    <w:rsid w:val="009E12FA"/>
    <w:rsid w:val="009E15BB"/>
    <w:rsid w:val="009E1E2B"/>
    <w:rsid w:val="009E256A"/>
    <w:rsid w:val="009E2577"/>
    <w:rsid w:val="009E28D2"/>
    <w:rsid w:val="009E355F"/>
    <w:rsid w:val="009E3D71"/>
    <w:rsid w:val="009E404F"/>
    <w:rsid w:val="009E4C04"/>
    <w:rsid w:val="009E4C97"/>
    <w:rsid w:val="009E4E63"/>
    <w:rsid w:val="009E6437"/>
    <w:rsid w:val="009E6B0A"/>
    <w:rsid w:val="009E6F9A"/>
    <w:rsid w:val="009E7D52"/>
    <w:rsid w:val="009F0EAB"/>
    <w:rsid w:val="009F220F"/>
    <w:rsid w:val="009F243F"/>
    <w:rsid w:val="009F3833"/>
    <w:rsid w:val="009F387B"/>
    <w:rsid w:val="009F3CB8"/>
    <w:rsid w:val="009F4A44"/>
    <w:rsid w:val="009F4CF4"/>
    <w:rsid w:val="009F5544"/>
    <w:rsid w:val="009F5A60"/>
    <w:rsid w:val="009F64F5"/>
    <w:rsid w:val="009F65D3"/>
    <w:rsid w:val="009F698A"/>
    <w:rsid w:val="009F6D9B"/>
    <w:rsid w:val="009F76EF"/>
    <w:rsid w:val="009F7EE8"/>
    <w:rsid w:val="00A005BE"/>
    <w:rsid w:val="00A0103A"/>
    <w:rsid w:val="00A01981"/>
    <w:rsid w:val="00A02348"/>
    <w:rsid w:val="00A02440"/>
    <w:rsid w:val="00A02486"/>
    <w:rsid w:val="00A02650"/>
    <w:rsid w:val="00A02897"/>
    <w:rsid w:val="00A02C91"/>
    <w:rsid w:val="00A02D18"/>
    <w:rsid w:val="00A02DA9"/>
    <w:rsid w:val="00A03028"/>
    <w:rsid w:val="00A0390F"/>
    <w:rsid w:val="00A039A6"/>
    <w:rsid w:val="00A03CF2"/>
    <w:rsid w:val="00A03D3D"/>
    <w:rsid w:val="00A05252"/>
    <w:rsid w:val="00A05524"/>
    <w:rsid w:val="00A05566"/>
    <w:rsid w:val="00A055E5"/>
    <w:rsid w:val="00A0576E"/>
    <w:rsid w:val="00A05B12"/>
    <w:rsid w:val="00A05BA4"/>
    <w:rsid w:val="00A05F55"/>
    <w:rsid w:val="00A0620E"/>
    <w:rsid w:val="00A069B2"/>
    <w:rsid w:val="00A06AC0"/>
    <w:rsid w:val="00A06B9D"/>
    <w:rsid w:val="00A072A2"/>
    <w:rsid w:val="00A100EC"/>
    <w:rsid w:val="00A105BA"/>
    <w:rsid w:val="00A1084D"/>
    <w:rsid w:val="00A109F0"/>
    <w:rsid w:val="00A11812"/>
    <w:rsid w:val="00A11C4E"/>
    <w:rsid w:val="00A11EC6"/>
    <w:rsid w:val="00A11F5B"/>
    <w:rsid w:val="00A121F6"/>
    <w:rsid w:val="00A128D2"/>
    <w:rsid w:val="00A129DD"/>
    <w:rsid w:val="00A134B5"/>
    <w:rsid w:val="00A13859"/>
    <w:rsid w:val="00A13AA6"/>
    <w:rsid w:val="00A14026"/>
    <w:rsid w:val="00A141F5"/>
    <w:rsid w:val="00A14B8B"/>
    <w:rsid w:val="00A14E22"/>
    <w:rsid w:val="00A1506F"/>
    <w:rsid w:val="00A1586B"/>
    <w:rsid w:val="00A164FB"/>
    <w:rsid w:val="00A17302"/>
    <w:rsid w:val="00A1758E"/>
    <w:rsid w:val="00A17803"/>
    <w:rsid w:val="00A17D33"/>
    <w:rsid w:val="00A2076F"/>
    <w:rsid w:val="00A211C7"/>
    <w:rsid w:val="00A2169E"/>
    <w:rsid w:val="00A21A4D"/>
    <w:rsid w:val="00A21F92"/>
    <w:rsid w:val="00A22098"/>
    <w:rsid w:val="00A224BE"/>
    <w:rsid w:val="00A2401D"/>
    <w:rsid w:val="00A24254"/>
    <w:rsid w:val="00A2450C"/>
    <w:rsid w:val="00A246D4"/>
    <w:rsid w:val="00A2486A"/>
    <w:rsid w:val="00A24CCE"/>
    <w:rsid w:val="00A25305"/>
    <w:rsid w:val="00A256F2"/>
    <w:rsid w:val="00A25ECD"/>
    <w:rsid w:val="00A26933"/>
    <w:rsid w:val="00A269F5"/>
    <w:rsid w:val="00A26FAE"/>
    <w:rsid w:val="00A2711F"/>
    <w:rsid w:val="00A2713B"/>
    <w:rsid w:val="00A2745A"/>
    <w:rsid w:val="00A27869"/>
    <w:rsid w:val="00A27DD5"/>
    <w:rsid w:val="00A3063C"/>
    <w:rsid w:val="00A30678"/>
    <w:rsid w:val="00A3075A"/>
    <w:rsid w:val="00A30C05"/>
    <w:rsid w:val="00A30DC1"/>
    <w:rsid w:val="00A30E40"/>
    <w:rsid w:val="00A315D4"/>
    <w:rsid w:val="00A317A2"/>
    <w:rsid w:val="00A318E4"/>
    <w:rsid w:val="00A319F4"/>
    <w:rsid w:val="00A31BB3"/>
    <w:rsid w:val="00A327CB"/>
    <w:rsid w:val="00A330E5"/>
    <w:rsid w:val="00A33208"/>
    <w:rsid w:val="00A33943"/>
    <w:rsid w:val="00A33DA7"/>
    <w:rsid w:val="00A340BD"/>
    <w:rsid w:val="00A3417B"/>
    <w:rsid w:val="00A3435E"/>
    <w:rsid w:val="00A34783"/>
    <w:rsid w:val="00A34BE4"/>
    <w:rsid w:val="00A34F2B"/>
    <w:rsid w:val="00A356C5"/>
    <w:rsid w:val="00A359AA"/>
    <w:rsid w:val="00A35B95"/>
    <w:rsid w:val="00A35DE7"/>
    <w:rsid w:val="00A361BD"/>
    <w:rsid w:val="00A36286"/>
    <w:rsid w:val="00A37AA9"/>
    <w:rsid w:val="00A37F43"/>
    <w:rsid w:val="00A4007C"/>
    <w:rsid w:val="00A400F4"/>
    <w:rsid w:val="00A40EA2"/>
    <w:rsid w:val="00A41157"/>
    <w:rsid w:val="00A41A9E"/>
    <w:rsid w:val="00A41C8C"/>
    <w:rsid w:val="00A41E2B"/>
    <w:rsid w:val="00A41EB0"/>
    <w:rsid w:val="00A41F39"/>
    <w:rsid w:val="00A425CC"/>
    <w:rsid w:val="00A430E0"/>
    <w:rsid w:val="00A436B1"/>
    <w:rsid w:val="00A439A4"/>
    <w:rsid w:val="00A43CD2"/>
    <w:rsid w:val="00A43FBE"/>
    <w:rsid w:val="00A445B5"/>
    <w:rsid w:val="00A44FE0"/>
    <w:rsid w:val="00A455CC"/>
    <w:rsid w:val="00A46818"/>
    <w:rsid w:val="00A46A58"/>
    <w:rsid w:val="00A4749C"/>
    <w:rsid w:val="00A5082C"/>
    <w:rsid w:val="00A510CB"/>
    <w:rsid w:val="00A51BD0"/>
    <w:rsid w:val="00A51E54"/>
    <w:rsid w:val="00A52F08"/>
    <w:rsid w:val="00A52FAC"/>
    <w:rsid w:val="00A53150"/>
    <w:rsid w:val="00A53C64"/>
    <w:rsid w:val="00A53E0E"/>
    <w:rsid w:val="00A5416E"/>
    <w:rsid w:val="00A541F7"/>
    <w:rsid w:val="00A54648"/>
    <w:rsid w:val="00A54C7C"/>
    <w:rsid w:val="00A55601"/>
    <w:rsid w:val="00A57204"/>
    <w:rsid w:val="00A577BD"/>
    <w:rsid w:val="00A57BF7"/>
    <w:rsid w:val="00A57E7A"/>
    <w:rsid w:val="00A60190"/>
    <w:rsid w:val="00A60A6E"/>
    <w:rsid w:val="00A60C3E"/>
    <w:rsid w:val="00A60DEE"/>
    <w:rsid w:val="00A61220"/>
    <w:rsid w:val="00A613DF"/>
    <w:rsid w:val="00A61602"/>
    <w:rsid w:val="00A62034"/>
    <w:rsid w:val="00A63414"/>
    <w:rsid w:val="00A634C4"/>
    <w:rsid w:val="00A6360A"/>
    <w:rsid w:val="00A63799"/>
    <w:rsid w:val="00A637BC"/>
    <w:rsid w:val="00A63FD5"/>
    <w:rsid w:val="00A64BA7"/>
    <w:rsid w:val="00A653F7"/>
    <w:rsid w:val="00A65B2E"/>
    <w:rsid w:val="00A661B4"/>
    <w:rsid w:val="00A6672A"/>
    <w:rsid w:val="00A66CDF"/>
    <w:rsid w:val="00A66E0D"/>
    <w:rsid w:val="00A67F24"/>
    <w:rsid w:val="00A67F4B"/>
    <w:rsid w:val="00A70786"/>
    <w:rsid w:val="00A712D5"/>
    <w:rsid w:val="00A71741"/>
    <w:rsid w:val="00A71C1F"/>
    <w:rsid w:val="00A71D8E"/>
    <w:rsid w:val="00A7217A"/>
    <w:rsid w:val="00A727CF"/>
    <w:rsid w:val="00A72E25"/>
    <w:rsid w:val="00A72F6C"/>
    <w:rsid w:val="00A72FFB"/>
    <w:rsid w:val="00A730F0"/>
    <w:rsid w:val="00A73273"/>
    <w:rsid w:val="00A737C5"/>
    <w:rsid w:val="00A7386A"/>
    <w:rsid w:val="00A73D84"/>
    <w:rsid w:val="00A7413D"/>
    <w:rsid w:val="00A7431B"/>
    <w:rsid w:val="00A74687"/>
    <w:rsid w:val="00A74BF1"/>
    <w:rsid w:val="00A7551B"/>
    <w:rsid w:val="00A763F6"/>
    <w:rsid w:val="00A769E7"/>
    <w:rsid w:val="00A76FC4"/>
    <w:rsid w:val="00A774DA"/>
    <w:rsid w:val="00A77696"/>
    <w:rsid w:val="00A801A2"/>
    <w:rsid w:val="00A80849"/>
    <w:rsid w:val="00A80B43"/>
    <w:rsid w:val="00A81D68"/>
    <w:rsid w:val="00A820DB"/>
    <w:rsid w:val="00A821AA"/>
    <w:rsid w:val="00A82C80"/>
    <w:rsid w:val="00A82C94"/>
    <w:rsid w:val="00A82F68"/>
    <w:rsid w:val="00A83113"/>
    <w:rsid w:val="00A8347D"/>
    <w:rsid w:val="00A83F95"/>
    <w:rsid w:val="00A84259"/>
    <w:rsid w:val="00A85456"/>
    <w:rsid w:val="00A8569B"/>
    <w:rsid w:val="00A85A1D"/>
    <w:rsid w:val="00A85AA5"/>
    <w:rsid w:val="00A85DFF"/>
    <w:rsid w:val="00A8626F"/>
    <w:rsid w:val="00A86F25"/>
    <w:rsid w:val="00A87222"/>
    <w:rsid w:val="00A87487"/>
    <w:rsid w:val="00A87561"/>
    <w:rsid w:val="00A87A4A"/>
    <w:rsid w:val="00A87A71"/>
    <w:rsid w:val="00A87B76"/>
    <w:rsid w:val="00A901D7"/>
    <w:rsid w:val="00A9020D"/>
    <w:rsid w:val="00A904A5"/>
    <w:rsid w:val="00A9065F"/>
    <w:rsid w:val="00A907F0"/>
    <w:rsid w:val="00A914BA"/>
    <w:rsid w:val="00A916EA"/>
    <w:rsid w:val="00A918F0"/>
    <w:rsid w:val="00A91DB0"/>
    <w:rsid w:val="00A92156"/>
    <w:rsid w:val="00A92B69"/>
    <w:rsid w:val="00A92C0E"/>
    <w:rsid w:val="00A93682"/>
    <w:rsid w:val="00A9368B"/>
    <w:rsid w:val="00A937C0"/>
    <w:rsid w:val="00A93BB3"/>
    <w:rsid w:val="00A93E11"/>
    <w:rsid w:val="00A94030"/>
    <w:rsid w:val="00A94191"/>
    <w:rsid w:val="00A945A0"/>
    <w:rsid w:val="00A94CDF"/>
    <w:rsid w:val="00A950C9"/>
    <w:rsid w:val="00A95153"/>
    <w:rsid w:val="00A96416"/>
    <w:rsid w:val="00A9643C"/>
    <w:rsid w:val="00A96834"/>
    <w:rsid w:val="00A97D0F"/>
    <w:rsid w:val="00AA01B3"/>
    <w:rsid w:val="00AA02D2"/>
    <w:rsid w:val="00AA03C1"/>
    <w:rsid w:val="00AA03F3"/>
    <w:rsid w:val="00AA0806"/>
    <w:rsid w:val="00AA1359"/>
    <w:rsid w:val="00AA1576"/>
    <w:rsid w:val="00AA18E6"/>
    <w:rsid w:val="00AA1DBE"/>
    <w:rsid w:val="00AA2649"/>
    <w:rsid w:val="00AA2F47"/>
    <w:rsid w:val="00AA31D6"/>
    <w:rsid w:val="00AA32F9"/>
    <w:rsid w:val="00AA34EF"/>
    <w:rsid w:val="00AA4015"/>
    <w:rsid w:val="00AA4471"/>
    <w:rsid w:val="00AA51BA"/>
    <w:rsid w:val="00AA6683"/>
    <w:rsid w:val="00AA6F35"/>
    <w:rsid w:val="00AA71A6"/>
    <w:rsid w:val="00AA7F62"/>
    <w:rsid w:val="00AB093A"/>
    <w:rsid w:val="00AB0CA0"/>
    <w:rsid w:val="00AB113D"/>
    <w:rsid w:val="00AB146D"/>
    <w:rsid w:val="00AB18AE"/>
    <w:rsid w:val="00AB1E3E"/>
    <w:rsid w:val="00AB25F8"/>
    <w:rsid w:val="00AB30E1"/>
    <w:rsid w:val="00AB34CC"/>
    <w:rsid w:val="00AB37EE"/>
    <w:rsid w:val="00AB3DEA"/>
    <w:rsid w:val="00AB3E1E"/>
    <w:rsid w:val="00AB404E"/>
    <w:rsid w:val="00AB416C"/>
    <w:rsid w:val="00AB4287"/>
    <w:rsid w:val="00AB4AA4"/>
    <w:rsid w:val="00AB573A"/>
    <w:rsid w:val="00AB5BA6"/>
    <w:rsid w:val="00AB5D17"/>
    <w:rsid w:val="00AB5D7C"/>
    <w:rsid w:val="00AB62FD"/>
    <w:rsid w:val="00AB6928"/>
    <w:rsid w:val="00AB6C42"/>
    <w:rsid w:val="00AB7518"/>
    <w:rsid w:val="00AB7C06"/>
    <w:rsid w:val="00AB7C31"/>
    <w:rsid w:val="00AC0A20"/>
    <w:rsid w:val="00AC0F06"/>
    <w:rsid w:val="00AC1512"/>
    <w:rsid w:val="00AC153E"/>
    <w:rsid w:val="00AC20F8"/>
    <w:rsid w:val="00AC22E1"/>
    <w:rsid w:val="00AC2731"/>
    <w:rsid w:val="00AC2A9C"/>
    <w:rsid w:val="00AC327D"/>
    <w:rsid w:val="00AC3E22"/>
    <w:rsid w:val="00AC3ECC"/>
    <w:rsid w:val="00AC4165"/>
    <w:rsid w:val="00AC4396"/>
    <w:rsid w:val="00AC4C14"/>
    <w:rsid w:val="00AC4DE3"/>
    <w:rsid w:val="00AC5090"/>
    <w:rsid w:val="00AC5EED"/>
    <w:rsid w:val="00AC6151"/>
    <w:rsid w:val="00AC6337"/>
    <w:rsid w:val="00AC6604"/>
    <w:rsid w:val="00AC6683"/>
    <w:rsid w:val="00AC6EA2"/>
    <w:rsid w:val="00AC71E2"/>
    <w:rsid w:val="00AC7E47"/>
    <w:rsid w:val="00AD017C"/>
    <w:rsid w:val="00AD0A0E"/>
    <w:rsid w:val="00AD1102"/>
    <w:rsid w:val="00AD1A6C"/>
    <w:rsid w:val="00AD23A5"/>
    <w:rsid w:val="00AD271F"/>
    <w:rsid w:val="00AD27AA"/>
    <w:rsid w:val="00AD2EC4"/>
    <w:rsid w:val="00AD3476"/>
    <w:rsid w:val="00AD3DEC"/>
    <w:rsid w:val="00AD4148"/>
    <w:rsid w:val="00AD4436"/>
    <w:rsid w:val="00AD4478"/>
    <w:rsid w:val="00AD4FCF"/>
    <w:rsid w:val="00AD58AE"/>
    <w:rsid w:val="00AD666A"/>
    <w:rsid w:val="00AD678B"/>
    <w:rsid w:val="00AD6AF9"/>
    <w:rsid w:val="00AD6BB2"/>
    <w:rsid w:val="00AD6D0E"/>
    <w:rsid w:val="00AE03D7"/>
    <w:rsid w:val="00AE088C"/>
    <w:rsid w:val="00AE0B7B"/>
    <w:rsid w:val="00AE0C2D"/>
    <w:rsid w:val="00AE0E85"/>
    <w:rsid w:val="00AE1284"/>
    <w:rsid w:val="00AE1509"/>
    <w:rsid w:val="00AE15E2"/>
    <w:rsid w:val="00AE1D0D"/>
    <w:rsid w:val="00AE23BD"/>
    <w:rsid w:val="00AE2C17"/>
    <w:rsid w:val="00AE3091"/>
    <w:rsid w:val="00AE367F"/>
    <w:rsid w:val="00AE38B3"/>
    <w:rsid w:val="00AE3C9B"/>
    <w:rsid w:val="00AE3F96"/>
    <w:rsid w:val="00AE411D"/>
    <w:rsid w:val="00AE4268"/>
    <w:rsid w:val="00AE44FF"/>
    <w:rsid w:val="00AE5993"/>
    <w:rsid w:val="00AE5D5F"/>
    <w:rsid w:val="00AE602B"/>
    <w:rsid w:val="00AE60AD"/>
    <w:rsid w:val="00AE6250"/>
    <w:rsid w:val="00AE6E8D"/>
    <w:rsid w:val="00AE71F8"/>
    <w:rsid w:val="00AE7345"/>
    <w:rsid w:val="00AE74EA"/>
    <w:rsid w:val="00AE7621"/>
    <w:rsid w:val="00AE777F"/>
    <w:rsid w:val="00AE7B92"/>
    <w:rsid w:val="00AE7BE3"/>
    <w:rsid w:val="00AE7CFC"/>
    <w:rsid w:val="00AE7D8E"/>
    <w:rsid w:val="00AF026C"/>
    <w:rsid w:val="00AF0560"/>
    <w:rsid w:val="00AF2223"/>
    <w:rsid w:val="00AF24DF"/>
    <w:rsid w:val="00AF2641"/>
    <w:rsid w:val="00AF26D5"/>
    <w:rsid w:val="00AF2F0A"/>
    <w:rsid w:val="00AF2FAD"/>
    <w:rsid w:val="00AF36AE"/>
    <w:rsid w:val="00AF36DB"/>
    <w:rsid w:val="00AF3DBB"/>
    <w:rsid w:val="00AF4344"/>
    <w:rsid w:val="00AF4AB4"/>
    <w:rsid w:val="00AF50AF"/>
    <w:rsid w:val="00AF5293"/>
    <w:rsid w:val="00AF5763"/>
    <w:rsid w:val="00AF6386"/>
    <w:rsid w:val="00AF6720"/>
    <w:rsid w:val="00AF6AD6"/>
    <w:rsid w:val="00AF6B7B"/>
    <w:rsid w:val="00AF6C03"/>
    <w:rsid w:val="00AF6C0A"/>
    <w:rsid w:val="00AF7397"/>
    <w:rsid w:val="00AF77A7"/>
    <w:rsid w:val="00AF7BAC"/>
    <w:rsid w:val="00AF7F0D"/>
    <w:rsid w:val="00AF7F36"/>
    <w:rsid w:val="00B00472"/>
    <w:rsid w:val="00B00598"/>
    <w:rsid w:val="00B0091E"/>
    <w:rsid w:val="00B009F1"/>
    <w:rsid w:val="00B00F7A"/>
    <w:rsid w:val="00B0103E"/>
    <w:rsid w:val="00B01260"/>
    <w:rsid w:val="00B016C1"/>
    <w:rsid w:val="00B01D79"/>
    <w:rsid w:val="00B01F36"/>
    <w:rsid w:val="00B01FBF"/>
    <w:rsid w:val="00B0238B"/>
    <w:rsid w:val="00B023E8"/>
    <w:rsid w:val="00B02B64"/>
    <w:rsid w:val="00B02D60"/>
    <w:rsid w:val="00B02FCC"/>
    <w:rsid w:val="00B03023"/>
    <w:rsid w:val="00B03161"/>
    <w:rsid w:val="00B03DAA"/>
    <w:rsid w:val="00B04F66"/>
    <w:rsid w:val="00B05162"/>
    <w:rsid w:val="00B060A6"/>
    <w:rsid w:val="00B062C6"/>
    <w:rsid w:val="00B074A7"/>
    <w:rsid w:val="00B074D6"/>
    <w:rsid w:val="00B1016F"/>
    <w:rsid w:val="00B115CF"/>
    <w:rsid w:val="00B12815"/>
    <w:rsid w:val="00B12E75"/>
    <w:rsid w:val="00B13AAE"/>
    <w:rsid w:val="00B142E7"/>
    <w:rsid w:val="00B146C2"/>
    <w:rsid w:val="00B14DF3"/>
    <w:rsid w:val="00B14EA8"/>
    <w:rsid w:val="00B1520C"/>
    <w:rsid w:val="00B15973"/>
    <w:rsid w:val="00B15AD8"/>
    <w:rsid w:val="00B15D67"/>
    <w:rsid w:val="00B16020"/>
    <w:rsid w:val="00B16285"/>
    <w:rsid w:val="00B16700"/>
    <w:rsid w:val="00B16980"/>
    <w:rsid w:val="00B16D5C"/>
    <w:rsid w:val="00B17381"/>
    <w:rsid w:val="00B17B40"/>
    <w:rsid w:val="00B17E5C"/>
    <w:rsid w:val="00B17FB5"/>
    <w:rsid w:val="00B202C0"/>
    <w:rsid w:val="00B21646"/>
    <w:rsid w:val="00B2191C"/>
    <w:rsid w:val="00B21AD9"/>
    <w:rsid w:val="00B21D74"/>
    <w:rsid w:val="00B21F7A"/>
    <w:rsid w:val="00B22AB0"/>
    <w:rsid w:val="00B22C68"/>
    <w:rsid w:val="00B22E15"/>
    <w:rsid w:val="00B23FFB"/>
    <w:rsid w:val="00B246A8"/>
    <w:rsid w:val="00B25202"/>
    <w:rsid w:val="00B25381"/>
    <w:rsid w:val="00B259DE"/>
    <w:rsid w:val="00B25A65"/>
    <w:rsid w:val="00B25AD5"/>
    <w:rsid w:val="00B26039"/>
    <w:rsid w:val="00B26396"/>
    <w:rsid w:val="00B26559"/>
    <w:rsid w:val="00B2666E"/>
    <w:rsid w:val="00B268FB"/>
    <w:rsid w:val="00B26CAE"/>
    <w:rsid w:val="00B2761F"/>
    <w:rsid w:val="00B276FB"/>
    <w:rsid w:val="00B30639"/>
    <w:rsid w:val="00B30E40"/>
    <w:rsid w:val="00B30F0B"/>
    <w:rsid w:val="00B31477"/>
    <w:rsid w:val="00B31768"/>
    <w:rsid w:val="00B317FE"/>
    <w:rsid w:val="00B319A3"/>
    <w:rsid w:val="00B32BA3"/>
    <w:rsid w:val="00B32C0E"/>
    <w:rsid w:val="00B337DF"/>
    <w:rsid w:val="00B33C6C"/>
    <w:rsid w:val="00B34030"/>
    <w:rsid w:val="00B3454E"/>
    <w:rsid w:val="00B34A8E"/>
    <w:rsid w:val="00B34E91"/>
    <w:rsid w:val="00B35386"/>
    <w:rsid w:val="00B3562D"/>
    <w:rsid w:val="00B35AB6"/>
    <w:rsid w:val="00B35FC9"/>
    <w:rsid w:val="00B36004"/>
    <w:rsid w:val="00B36577"/>
    <w:rsid w:val="00B367C4"/>
    <w:rsid w:val="00B36827"/>
    <w:rsid w:val="00B36978"/>
    <w:rsid w:val="00B36E1B"/>
    <w:rsid w:val="00B37D8E"/>
    <w:rsid w:val="00B402BC"/>
    <w:rsid w:val="00B409A3"/>
    <w:rsid w:val="00B4118B"/>
    <w:rsid w:val="00B41432"/>
    <w:rsid w:val="00B41AFB"/>
    <w:rsid w:val="00B41E9A"/>
    <w:rsid w:val="00B41F4D"/>
    <w:rsid w:val="00B42070"/>
    <w:rsid w:val="00B43112"/>
    <w:rsid w:val="00B43491"/>
    <w:rsid w:val="00B43BB1"/>
    <w:rsid w:val="00B43E3F"/>
    <w:rsid w:val="00B442AF"/>
    <w:rsid w:val="00B44788"/>
    <w:rsid w:val="00B4526E"/>
    <w:rsid w:val="00B4612C"/>
    <w:rsid w:val="00B46D7E"/>
    <w:rsid w:val="00B46FEA"/>
    <w:rsid w:val="00B4700E"/>
    <w:rsid w:val="00B478C7"/>
    <w:rsid w:val="00B47E4E"/>
    <w:rsid w:val="00B47F0F"/>
    <w:rsid w:val="00B50815"/>
    <w:rsid w:val="00B50D4F"/>
    <w:rsid w:val="00B50D8F"/>
    <w:rsid w:val="00B50F6E"/>
    <w:rsid w:val="00B5140E"/>
    <w:rsid w:val="00B515FE"/>
    <w:rsid w:val="00B51CA2"/>
    <w:rsid w:val="00B524BE"/>
    <w:rsid w:val="00B52540"/>
    <w:rsid w:val="00B5300C"/>
    <w:rsid w:val="00B531C0"/>
    <w:rsid w:val="00B5348E"/>
    <w:rsid w:val="00B535AC"/>
    <w:rsid w:val="00B53680"/>
    <w:rsid w:val="00B53695"/>
    <w:rsid w:val="00B53A83"/>
    <w:rsid w:val="00B54667"/>
    <w:rsid w:val="00B54BF1"/>
    <w:rsid w:val="00B54D8F"/>
    <w:rsid w:val="00B55048"/>
    <w:rsid w:val="00B55521"/>
    <w:rsid w:val="00B5557B"/>
    <w:rsid w:val="00B559D9"/>
    <w:rsid w:val="00B55F09"/>
    <w:rsid w:val="00B56054"/>
    <w:rsid w:val="00B56EB5"/>
    <w:rsid w:val="00B571B2"/>
    <w:rsid w:val="00B57BF5"/>
    <w:rsid w:val="00B57D4E"/>
    <w:rsid w:val="00B60819"/>
    <w:rsid w:val="00B60983"/>
    <w:rsid w:val="00B60A0E"/>
    <w:rsid w:val="00B60D51"/>
    <w:rsid w:val="00B60D6C"/>
    <w:rsid w:val="00B60F04"/>
    <w:rsid w:val="00B60FE0"/>
    <w:rsid w:val="00B611B2"/>
    <w:rsid w:val="00B611C3"/>
    <w:rsid w:val="00B61EB7"/>
    <w:rsid w:val="00B62476"/>
    <w:rsid w:val="00B62520"/>
    <w:rsid w:val="00B628C5"/>
    <w:rsid w:val="00B62BDB"/>
    <w:rsid w:val="00B63312"/>
    <w:rsid w:val="00B63472"/>
    <w:rsid w:val="00B63AC0"/>
    <w:rsid w:val="00B640EC"/>
    <w:rsid w:val="00B64CA9"/>
    <w:rsid w:val="00B664A2"/>
    <w:rsid w:val="00B66690"/>
    <w:rsid w:val="00B66C54"/>
    <w:rsid w:val="00B67B10"/>
    <w:rsid w:val="00B67E25"/>
    <w:rsid w:val="00B71413"/>
    <w:rsid w:val="00B7160E"/>
    <w:rsid w:val="00B717F9"/>
    <w:rsid w:val="00B71A37"/>
    <w:rsid w:val="00B72380"/>
    <w:rsid w:val="00B72A5D"/>
    <w:rsid w:val="00B72F8C"/>
    <w:rsid w:val="00B7300B"/>
    <w:rsid w:val="00B73100"/>
    <w:rsid w:val="00B7377B"/>
    <w:rsid w:val="00B73E72"/>
    <w:rsid w:val="00B74CD9"/>
    <w:rsid w:val="00B751FC"/>
    <w:rsid w:val="00B757CA"/>
    <w:rsid w:val="00B75A9E"/>
    <w:rsid w:val="00B75B37"/>
    <w:rsid w:val="00B760FC"/>
    <w:rsid w:val="00B7647C"/>
    <w:rsid w:val="00B76EBD"/>
    <w:rsid w:val="00B77758"/>
    <w:rsid w:val="00B8036E"/>
    <w:rsid w:val="00B806D2"/>
    <w:rsid w:val="00B80842"/>
    <w:rsid w:val="00B80CC9"/>
    <w:rsid w:val="00B80EB4"/>
    <w:rsid w:val="00B81C69"/>
    <w:rsid w:val="00B82DCD"/>
    <w:rsid w:val="00B82E1F"/>
    <w:rsid w:val="00B83076"/>
    <w:rsid w:val="00B833C8"/>
    <w:rsid w:val="00B834AB"/>
    <w:rsid w:val="00B836DF"/>
    <w:rsid w:val="00B83C33"/>
    <w:rsid w:val="00B83D5D"/>
    <w:rsid w:val="00B83E81"/>
    <w:rsid w:val="00B83EE4"/>
    <w:rsid w:val="00B83FB3"/>
    <w:rsid w:val="00B8436C"/>
    <w:rsid w:val="00B84972"/>
    <w:rsid w:val="00B84A00"/>
    <w:rsid w:val="00B85671"/>
    <w:rsid w:val="00B86260"/>
    <w:rsid w:val="00B86D1B"/>
    <w:rsid w:val="00B86F72"/>
    <w:rsid w:val="00B87823"/>
    <w:rsid w:val="00B87A73"/>
    <w:rsid w:val="00B90EF4"/>
    <w:rsid w:val="00B91073"/>
    <w:rsid w:val="00B914FB"/>
    <w:rsid w:val="00B916D2"/>
    <w:rsid w:val="00B91BD0"/>
    <w:rsid w:val="00B92B98"/>
    <w:rsid w:val="00B92E67"/>
    <w:rsid w:val="00B939BA"/>
    <w:rsid w:val="00B93A84"/>
    <w:rsid w:val="00B93D13"/>
    <w:rsid w:val="00B94DBA"/>
    <w:rsid w:val="00B95FF3"/>
    <w:rsid w:val="00B96A62"/>
    <w:rsid w:val="00B96C9A"/>
    <w:rsid w:val="00B971DB"/>
    <w:rsid w:val="00B971E8"/>
    <w:rsid w:val="00B97595"/>
    <w:rsid w:val="00BA0028"/>
    <w:rsid w:val="00BA0412"/>
    <w:rsid w:val="00BA05B2"/>
    <w:rsid w:val="00BA0FE9"/>
    <w:rsid w:val="00BA11C8"/>
    <w:rsid w:val="00BA15AF"/>
    <w:rsid w:val="00BA1646"/>
    <w:rsid w:val="00BA1933"/>
    <w:rsid w:val="00BA2247"/>
    <w:rsid w:val="00BA246F"/>
    <w:rsid w:val="00BA2F89"/>
    <w:rsid w:val="00BA4855"/>
    <w:rsid w:val="00BA5172"/>
    <w:rsid w:val="00BA560B"/>
    <w:rsid w:val="00BA5B4E"/>
    <w:rsid w:val="00BA5C11"/>
    <w:rsid w:val="00BA5E78"/>
    <w:rsid w:val="00BA6AA7"/>
    <w:rsid w:val="00BA6BC4"/>
    <w:rsid w:val="00BA7192"/>
    <w:rsid w:val="00BA743C"/>
    <w:rsid w:val="00BA76FD"/>
    <w:rsid w:val="00BA7C26"/>
    <w:rsid w:val="00BB06FA"/>
    <w:rsid w:val="00BB0859"/>
    <w:rsid w:val="00BB087A"/>
    <w:rsid w:val="00BB089F"/>
    <w:rsid w:val="00BB172E"/>
    <w:rsid w:val="00BB22A6"/>
    <w:rsid w:val="00BB2C13"/>
    <w:rsid w:val="00BB372A"/>
    <w:rsid w:val="00BB3DD4"/>
    <w:rsid w:val="00BB4277"/>
    <w:rsid w:val="00BB4BEA"/>
    <w:rsid w:val="00BB5235"/>
    <w:rsid w:val="00BB597B"/>
    <w:rsid w:val="00BB5D8C"/>
    <w:rsid w:val="00BB6415"/>
    <w:rsid w:val="00BB669F"/>
    <w:rsid w:val="00BB6B41"/>
    <w:rsid w:val="00BB71F4"/>
    <w:rsid w:val="00BB728A"/>
    <w:rsid w:val="00BB738F"/>
    <w:rsid w:val="00BB7499"/>
    <w:rsid w:val="00BB7777"/>
    <w:rsid w:val="00BB77E8"/>
    <w:rsid w:val="00BB7A3F"/>
    <w:rsid w:val="00BB7D3B"/>
    <w:rsid w:val="00BB7DE5"/>
    <w:rsid w:val="00BC07E2"/>
    <w:rsid w:val="00BC08DF"/>
    <w:rsid w:val="00BC10CF"/>
    <w:rsid w:val="00BC1375"/>
    <w:rsid w:val="00BC1576"/>
    <w:rsid w:val="00BC2514"/>
    <w:rsid w:val="00BC2598"/>
    <w:rsid w:val="00BC2875"/>
    <w:rsid w:val="00BC2B63"/>
    <w:rsid w:val="00BC3060"/>
    <w:rsid w:val="00BC31D5"/>
    <w:rsid w:val="00BC32AE"/>
    <w:rsid w:val="00BC34A9"/>
    <w:rsid w:val="00BC34BB"/>
    <w:rsid w:val="00BC489A"/>
    <w:rsid w:val="00BC57E9"/>
    <w:rsid w:val="00BC5A24"/>
    <w:rsid w:val="00BC5BB4"/>
    <w:rsid w:val="00BC6601"/>
    <w:rsid w:val="00BC6A01"/>
    <w:rsid w:val="00BD0307"/>
    <w:rsid w:val="00BD0466"/>
    <w:rsid w:val="00BD0CF0"/>
    <w:rsid w:val="00BD10D6"/>
    <w:rsid w:val="00BD12C4"/>
    <w:rsid w:val="00BD199C"/>
    <w:rsid w:val="00BD23C8"/>
    <w:rsid w:val="00BD2D56"/>
    <w:rsid w:val="00BD3135"/>
    <w:rsid w:val="00BD39E1"/>
    <w:rsid w:val="00BD3CD8"/>
    <w:rsid w:val="00BD3D3F"/>
    <w:rsid w:val="00BD4024"/>
    <w:rsid w:val="00BD458B"/>
    <w:rsid w:val="00BD476D"/>
    <w:rsid w:val="00BD48F2"/>
    <w:rsid w:val="00BD50BD"/>
    <w:rsid w:val="00BD57B2"/>
    <w:rsid w:val="00BD5C83"/>
    <w:rsid w:val="00BD6D67"/>
    <w:rsid w:val="00BD75E7"/>
    <w:rsid w:val="00BD76EC"/>
    <w:rsid w:val="00BD7AC8"/>
    <w:rsid w:val="00BD7C54"/>
    <w:rsid w:val="00BE0319"/>
    <w:rsid w:val="00BE09E9"/>
    <w:rsid w:val="00BE0BF9"/>
    <w:rsid w:val="00BE1B13"/>
    <w:rsid w:val="00BE1CA3"/>
    <w:rsid w:val="00BE2088"/>
    <w:rsid w:val="00BE20BF"/>
    <w:rsid w:val="00BE20D9"/>
    <w:rsid w:val="00BE21BB"/>
    <w:rsid w:val="00BE281E"/>
    <w:rsid w:val="00BE518B"/>
    <w:rsid w:val="00BE591C"/>
    <w:rsid w:val="00BE5F0B"/>
    <w:rsid w:val="00BE65FE"/>
    <w:rsid w:val="00BE683E"/>
    <w:rsid w:val="00BE695B"/>
    <w:rsid w:val="00BE78B8"/>
    <w:rsid w:val="00BF0E3A"/>
    <w:rsid w:val="00BF1479"/>
    <w:rsid w:val="00BF1654"/>
    <w:rsid w:val="00BF1E28"/>
    <w:rsid w:val="00BF21A1"/>
    <w:rsid w:val="00BF3626"/>
    <w:rsid w:val="00BF385F"/>
    <w:rsid w:val="00BF39A3"/>
    <w:rsid w:val="00BF3EBB"/>
    <w:rsid w:val="00BF4A2E"/>
    <w:rsid w:val="00BF4F57"/>
    <w:rsid w:val="00BF57FC"/>
    <w:rsid w:val="00BF62E3"/>
    <w:rsid w:val="00BF6558"/>
    <w:rsid w:val="00BF6BD5"/>
    <w:rsid w:val="00BF740B"/>
    <w:rsid w:val="00BF7984"/>
    <w:rsid w:val="00C000F0"/>
    <w:rsid w:val="00C00A99"/>
    <w:rsid w:val="00C00CEC"/>
    <w:rsid w:val="00C00D2E"/>
    <w:rsid w:val="00C01937"/>
    <w:rsid w:val="00C01A2C"/>
    <w:rsid w:val="00C0224B"/>
    <w:rsid w:val="00C03212"/>
    <w:rsid w:val="00C032C9"/>
    <w:rsid w:val="00C0331F"/>
    <w:rsid w:val="00C03BBB"/>
    <w:rsid w:val="00C043A8"/>
    <w:rsid w:val="00C05265"/>
    <w:rsid w:val="00C05692"/>
    <w:rsid w:val="00C059A0"/>
    <w:rsid w:val="00C063DB"/>
    <w:rsid w:val="00C06FE3"/>
    <w:rsid w:val="00C07038"/>
    <w:rsid w:val="00C07229"/>
    <w:rsid w:val="00C077CC"/>
    <w:rsid w:val="00C0782B"/>
    <w:rsid w:val="00C07872"/>
    <w:rsid w:val="00C07972"/>
    <w:rsid w:val="00C07BC9"/>
    <w:rsid w:val="00C07D4F"/>
    <w:rsid w:val="00C10EC6"/>
    <w:rsid w:val="00C10F83"/>
    <w:rsid w:val="00C10FB3"/>
    <w:rsid w:val="00C11545"/>
    <w:rsid w:val="00C1154C"/>
    <w:rsid w:val="00C11E23"/>
    <w:rsid w:val="00C11FCF"/>
    <w:rsid w:val="00C126B5"/>
    <w:rsid w:val="00C126C6"/>
    <w:rsid w:val="00C12F8F"/>
    <w:rsid w:val="00C131D5"/>
    <w:rsid w:val="00C13860"/>
    <w:rsid w:val="00C13A85"/>
    <w:rsid w:val="00C14105"/>
    <w:rsid w:val="00C144AB"/>
    <w:rsid w:val="00C14735"/>
    <w:rsid w:val="00C14D4A"/>
    <w:rsid w:val="00C1545A"/>
    <w:rsid w:val="00C15A04"/>
    <w:rsid w:val="00C16243"/>
    <w:rsid w:val="00C1627D"/>
    <w:rsid w:val="00C164F9"/>
    <w:rsid w:val="00C16660"/>
    <w:rsid w:val="00C16DA9"/>
    <w:rsid w:val="00C16F22"/>
    <w:rsid w:val="00C17874"/>
    <w:rsid w:val="00C208CD"/>
    <w:rsid w:val="00C2097C"/>
    <w:rsid w:val="00C20D83"/>
    <w:rsid w:val="00C21895"/>
    <w:rsid w:val="00C21DC9"/>
    <w:rsid w:val="00C21EAB"/>
    <w:rsid w:val="00C22500"/>
    <w:rsid w:val="00C225E9"/>
    <w:rsid w:val="00C230A5"/>
    <w:rsid w:val="00C23600"/>
    <w:rsid w:val="00C23A4E"/>
    <w:rsid w:val="00C23D29"/>
    <w:rsid w:val="00C23F73"/>
    <w:rsid w:val="00C24245"/>
    <w:rsid w:val="00C243F8"/>
    <w:rsid w:val="00C24648"/>
    <w:rsid w:val="00C24A32"/>
    <w:rsid w:val="00C25714"/>
    <w:rsid w:val="00C259E0"/>
    <w:rsid w:val="00C276C2"/>
    <w:rsid w:val="00C27A39"/>
    <w:rsid w:val="00C27CF7"/>
    <w:rsid w:val="00C30098"/>
    <w:rsid w:val="00C303A5"/>
    <w:rsid w:val="00C307B0"/>
    <w:rsid w:val="00C30B56"/>
    <w:rsid w:val="00C31249"/>
    <w:rsid w:val="00C31B6A"/>
    <w:rsid w:val="00C32882"/>
    <w:rsid w:val="00C328B7"/>
    <w:rsid w:val="00C335FF"/>
    <w:rsid w:val="00C3521E"/>
    <w:rsid w:val="00C3529D"/>
    <w:rsid w:val="00C3547E"/>
    <w:rsid w:val="00C356C3"/>
    <w:rsid w:val="00C357DD"/>
    <w:rsid w:val="00C35BA7"/>
    <w:rsid w:val="00C360D2"/>
    <w:rsid w:val="00C363D9"/>
    <w:rsid w:val="00C36880"/>
    <w:rsid w:val="00C378B7"/>
    <w:rsid w:val="00C37A50"/>
    <w:rsid w:val="00C37EF6"/>
    <w:rsid w:val="00C400AA"/>
    <w:rsid w:val="00C40526"/>
    <w:rsid w:val="00C40800"/>
    <w:rsid w:val="00C40CE8"/>
    <w:rsid w:val="00C410F9"/>
    <w:rsid w:val="00C411D9"/>
    <w:rsid w:val="00C4220F"/>
    <w:rsid w:val="00C4271E"/>
    <w:rsid w:val="00C42E16"/>
    <w:rsid w:val="00C43016"/>
    <w:rsid w:val="00C430C4"/>
    <w:rsid w:val="00C43A05"/>
    <w:rsid w:val="00C44350"/>
    <w:rsid w:val="00C44A29"/>
    <w:rsid w:val="00C44B44"/>
    <w:rsid w:val="00C45209"/>
    <w:rsid w:val="00C4543D"/>
    <w:rsid w:val="00C460C5"/>
    <w:rsid w:val="00C4735E"/>
    <w:rsid w:val="00C474E6"/>
    <w:rsid w:val="00C50081"/>
    <w:rsid w:val="00C5019D"/>
    <w:rsid w:val="00C501A4"/>
    <w:rsid w:val="00C50397"/>
    <w:rsid w:val="00C50C42"/>
    <w:rsid w:val="00C514D4"/>
    <w:rsid w:val="00C519A9"/>
    <w:rsid w:val="00C52020"/>
    <w:rsid w:val="00C52290"/>
    <w:rsid w:val="00C52442"/>
    <w:rsid w:val="00C52AA2"/>
    <w:rsid w:val="00C52B7C"/>
    <w:rsid w:val="00C53AB0"/>
    <w:rsid w:val="00C543A0"/>
    <w:rsid w:val="00C544AC"/>
    <w:rsid w:val="00C54532"/>
    <w:rsid w:val="00C54595"/>
    <w:rsid w:val="00C549B9"/>
    <w:rsid w:val="00C549F6"/>
    <w:rsid w:val="00C54B88"/>
    <w:rsid w:val="00C54F13"/>
    <w:rsid w:val="00C55589"/>
    <w:rsid w:val="00C5708B"/>
    <w:rsid w:val="00C5773F"/>
    <w:rsid w:val="00C57ACE"/>
    <w:rsid w:val="00C57D86"/>
    <w:rsid w:val="00C608C6"/>
    <w:rsid w:val="00C60BBA"/>
    <w:rsid w:val="00C6164D"/>
    <w:rsid w:val="00C61A4E"/>
    <w:rsid w:val="00C621FA"/>
    <w:rsid w:val="00C6225F"/>
    <w:rsid w:val="00C62622"/>
    <w:rsid w:val="00C62656"/>
    <w:rsid w:val="00C62823"/>
    <w:rsid w:val="00C62D2B"/>
    <w:rsid w:val="00C633E5"/>
    <w:rsid w:val="00C63F50"/>
    <w:rsid w:val="00C64398"/>
    <w:rsid w:val="00C643BA"/>
    <w:rsid w:val="00C65123"/>
    <w:rsid w:val="00C6513A"/>
    <w:rsid w:val="00C652E4"/>
    <w:rsid w:val="00C662AB"/>
    <w:rsid w:val="00C66762"/>
    <w:rsid w:val="00C6724B"/>
    <w:rsid w:val="00C67C64"/>
    <w:rsid w:val="00C67F35"/>
    <w:rsid w:val="00C70224"/>
    <w:rsid w:val="00C7028D"/>
    <w:rsid w:val="00C70751"/>
    <w:rsid w:val="00C71722"/>
    <w:rsid w:val="00C71E86"/>
    <w:rsid w:val="00C71F7A"/>
    <w:rsid w:val="00C7292B"/>
    <w:rsid w:val="00C729AC"/>
    <w:rsid w:val="00C7321C"/>
    <w:rsid w:val="00C73BA4"/>
    <w:rsid w:val="00C73E1E"/>
    <w:rsid w:val="00C74D97"/>
    <w:rsid w:val="00C7572F"/>
    <w:rsid w:val="00C75F9E"/>
    <w:rsid w:val="00C768F4"/>
    <w:rsid w:val="00C76ED4"/>
    <w:rsid w:val="00C77102"/>
    <w:rsid w:val="00C77EFA"/>
    <w:rsid w:val="00C806D6"/>
    <w:rsid w:val="00C80DAC"/>
    <w:rsid w:val="00C80E2C"/>
    <w:rsid w:val="00C80EFF"/>
    <w:rsid w:val="00C812E9"/>
    <w:rsid w:val="00C8231A"/>
    <w:rsid w:val="00C8243E"/>
    <w:rsid w:val="00C8259D"/>
    <w:rsid w:val="00C82839"/>
    <w:rsid w:val="00C82E93"/>
    <w:rsid w:val="00C83FFE"/>
    <w:rsid w:val="00C84D13"/>
    <w:rsid w:val="00C859BB"/>
    <w:rsid w:val="00C863F5"/>
    <w:rsid w:val="00C86403"/>
    <w:rsid w:val="00C869B7"/>
    <w:rsid w:val="00C872FB"/>
    <w:rsid w:val="00C87A38"/>
    <w:rsid w:val="00C87C2B"/>
    <w:rsid w:val="00C87E49"/>
    <w:rsid w:val="00C87F3A"/>
    <w:rsid w:val="00C9039D"/>
    <w:rsid w:val="00C903F7"/>
    <w:rsid w:val="00C90603"/>
    <w:rsid w:val="00C9075B"/>
    <w:rsid w:val="00C90938"/>
    <w:rsid w:val="00C90BB6"/>
    <w:rsid w:val="00C90DD1"/>
    <w:rsid w:val="00C90E13"/>
    <w:rsid w:val="00C91305"/>
    <w:rsid w:val="00C915FB"/>
    <w:rsid w:val="00C9278A"/>
    <w:rsid w:val="00C928BA"/>
    <w:rsid w:val="00C92A8B"/>
    <w:rsid w:val="00C92BC4"/>
    <w:rsid w:val="00C9307D"/>
    <w:rsid w:val="00C933C9"/>
    <w:rsid w:val="00C94348"/>
    <w:rsid w:val="00C9463B"/>
    <w:rsid w:val="00C946B3"/>
    <w:rsid w:val="00C94A34"/>
    <w:rsid w:val="00C95D86"/>
    <w:rsid w:val="00C95E35"/>
    <w:rsid w:val="00C96136"/>
    <w:rsid w:val="00C96487"/>
    <w:rsid w:val="00C96CD3"/>
    <w:rsid w:val="00C96EC1"/>
    <w:rsid w:val="00C975B1"/>
    <w:rsid w:val="00C97650"/>
    <w:rsid w:val="00C97781"/>
    <w:rsid w:val="00C9790D"/>
    <w:rsid w:val="00C97B87"/>
    <w:rsid w:val="00C97CF5"/>
    <w:rsid w:val="00C97DEC"/>
    <w:rsid w:val="00CA008C"/>
    <w:rsid w:val="00CA0365"/>
    <w:rsid w:val="00CA1C9D"/>
    <w:rsid w:val="00CA331C"/>
    <w:rsid w:val="00CA3332"/>
    <w:rsid w:val="00CA3948"/>
    <w:rsid w:val="00CA3E4E"/>
    <w:rsid w:val="00CA472F"/>
    <w:rsid w:val="00CA490E"/>
    <w:rsid w:val="00CA4EEE"/>
    <w:rsid w:val="00CA5BF0"/>
    <w:rsid w:val="00CA6472"/>
    <w:rsid w:val="00CA6560"/>
    <w:rsid w:val="00CA6562"/>
    <w:rsid w:val="00CA6951"/>
    <w:rsid w:val="00CA704D"/>
    <w:rsid w:val="00CA7135"/>
    <w:rsid w:val="00CA7FEC"/>
    <w:rsid w:val="00CB00FF"/>
    <w:rsid w:val="00CB086F"/>
    <w:rsid w:val="00CB12E8"/>
    <w:rsid w:val="00CB1653"/>
    <w:rsid w:val="00CB1ADD"/>
    <w:rsid w:val="00CB25E9"/>
    <w:rsid w:val="00CB29AE"/>
    <w:rsid w:val="00CB2E9E"/>
    <w:rsid w:val="00CB303D"/>
    <w:rsid w:val="00CB32A3"/>
    <w:rsid w:val="00CB32AD"/>
    <w:rsid w:val="00CB36E7"/>
    <w:rsid w:val="00CB3F82"/>
    <w:rsid w:val="00CB3F88"/>
    <w:rsid w:val="00CB4164"/>
    <w:rsid w:val="00CB4439"/>
    <w:rsid w:val="00CB4675"/>
    <w:rsid w:val="00CB4C91"/>
    <w:rsid w:val="00CB52CC"/>
    <w:rsid w:val="00CB5709"/>
    <w:rsid w:val="00CB5808"/>
    <w:rsid w:val="00CB59BE"/>
    <w:rsid w:val="00CB5B4C"/>
    <w:rsid w:val="00CB622C"/>
    <w:rsid w:val="00CB6323"/>
    <w:rsid w:val="00CB65E3"/>
    <w:rsid w:val="00CB6F88"/>
    <w:rsid w:val="00CB7408"/>
    <w:rsid w:val="00CB7505"/>
    <w:rsid w:val="00CB764C"/>
    <w:rsid w:val="00CB789F"/>
    <w:rsid w:val="00CB7DC3"/>
    <w:rsid w:val="00CC04D3"/>
    <w:rsid w:val="00CC065D"/>
    <w:rsid w:val="00CC0EFE"/>
    <w:rsid w:val="00CC13FA"/>
    <w:rsid w:val="00CC1D34"/>
    <w:rsid w:val="00CC2772"/>
    <w:rsid w:val="00CC29F7"/>
    <w:rsid w:val="00CC3ACB"/>
    <w:rsid w:val="00CC4434"/>
    <w:rsid w:val="00CC4580"/>
    <w:rsid w:val="00CC485E"/>
    <w:rsid w:val="00CC558B"/>
    <w:rsid w:val="00CC5A64"/>
    <w:rsid w:val="00CC6378"/>
    <w:rsid w:val="00CC6B02"/>
    <w:rsid w:val="00CC6EA9"/>
    <w:rsid w:val="00CC79A8"/>
    <w:rsid w:val="00CD01E8"/>
    <w:rsid w:val="00CD0327"/>
    <w:rsid w:val="00CD0360"/>
    <w:rsid w:val="00CD072B"/>
    <w:rsid w:val="00CD0812"/>
    <w:rsid w:val="00CD0976"/>
    <w:rsid w:val="00CD0B57"/>
    <w:rsid w:val="00CD15BE"/>
    <w:rsid w:val="00CD1823"/>
    <w:rsid w:val="00CD1F30"/>
    <w:rsid w:val="00CD20D0"/>
    <w:rsid w:val="00CD21F4"/>
    <w:rsid w:val="00CD26A5"/>
    <w:rsid w:val="00CD2A0F"/>
    <w:rsid w:val="00CD31B4"/>
    <w:rsid w:val="00CD34D5"/>
    <w:rsid w:val="00CD3878"/>
    <w:rsid w:val="00CD3CE8"/>
    <w:rsid w:val="00CD4384"/>
    <w:rsid w:val="00CD55C1"/>
    <w:rsid w:val="00CD68E3"/>
    <w:rsid w:val="00CD6965"/>
    <w:rsid w:val="00CD6C02"/>
    <w:rsid w:val="00CD749C"/>
    <w:rsid w:val="00CE069A"/>
    <w:rsid w:val="00CE07F3"/>
    <w:rsid w:val="00CE1293"/>
    <w:rsid w:val="00CE174A"/>
    <w:rsid w:val="00CE1F0D"/>
    <w:rsid w:val="00CE2075"/>
    <w:rsid w:val="00CE3509"/>
    <w:rsid w:val="00CE3734"/>
    <w:rsid w:val="00CE390E"/>
    <w:rsid w:val="00CE424A"/>
    <w:rsid w:val="00CE46D1"/>
    <w:rsid w:val="00CE4C5E"/>
    <w:rsid w:val="00CE54A0"/>
    <w:rsid w:val="00CE608E"/>
    <w:rsid w:val="00CE617B"/>
    <w:rsid w:val="00CE629E"/>
    <w:rsid w:val="00CE63AC"/>
    <w:rsid w:val="00CE680E"/>
    <w:rsid w:val="00CE72BE"/>
    <w:rsid w:val="00CE7630"/>
    <w:rsid w:val="00CE7A1C"/>
    <w:rsid w:val="00CE7A54"/>
    <w:rsid w:val="00CF0180"/>
    <w:rsid w:val="00CF02B5"/>
    <w:rsid w:val="00CF0650"/>
    <w:rsid w:val="00CF1505"/>
    <w:rsid w:val="00CF2019"/>
    <w:rsid w:val="00CF27A1"/>
    <w:rsid w:val="00CF28CF"/>
    <w:rsid w:val="00CF2A07"/>
    <w:rsid w:val="00CF2BCA"/>
    <w:rsid w:val="00CF2F77"/>
    <w:rsid w:val="00CF387E"/>
    <w:rsid w:val="00CF3E70"/>
    <w:rsid w:val="00CF41F0"/>
    <w:rsid w:val="00CF47A5"/>
    <w:rsid w:val="00CF4A41"/>
    <w:rsid w:val="00CF4ACC"/>
    <w:rsid w:val="00CF4DB6"/>
    <w:rsid w:val="00CF579B"/>
    <w:rsid w:val="00CF59EF"/>
    <w:rsid w:val="00CF5B74"/>
    <w:rsid w:val="00CF5CCC"/>
    <w:rsid w:val="00CF5E73"/>
    <w:rsid w:val="00CF6016"/>
    <w:rsid w:val="00CF607F"/>
    <w:rsid w:val="00CF6624"/>
    <w:rsid w:val="00CF68BC"/>
    <w:rsid w:val="00CF69AF"/>
    <w:rsid w:val="00CF6D2A"/>
    <w:rsid w:val="00CF6D61"/>
    <w:rsid w:val="00CF6E68"/>
    <w:rsid w:val="00CF76A7"/>
    <w:rsid w:val="00CF78F4"/>
    <w:rsid w:val="00D00257"/>
    <w:rsid w:val="00D00404"/>
    <w:rsid w:val="00D00A27"/>
    <w:rsid w:val="00D011C5"/>
    <w:rsid w:val="00D01618"/>
    <w:rsid w:val="00D0185F"/>
    <w:rsid w:val="00D029BA"/>
    <w:rsid w:val="00D02D58"/>
    <w:rsid w:val="00D02E65"/>
    <w:rsid w:val="00D034F1"/>
    <w:rsid w:val="00D038D3"/>
    <w:rsid w:val="00D040BB"/>
    <w:rsid w:val="00D041A7"/>
    <w:rsid w:val="00D04502"/>
    <w:rsid w:val="00D048B1"/>
    <w:rsid w:val="00D04F5F"/>
    <w:rsid w:val="00D04FAB"/>
    <w:rsid w:val="00D051F2"/>
    <w:rsid w:val="00D05B8D"/>
    <w:rsid w:val="00D05DF2"/>
    <w:rsid w:val="00D0616E"/>
    <w:rsid w:val="00D06BD6"/>
    <w:rsid w:val="00D06D26"/>
    <w:rsid w:val="00D0715F"/>
    <w:rsid w:val="00D07525"/>
    <w:rsid w:val="00D07BE2"/>
    <w:rsid w:val="00D07E1C"/>
    <w:rsid w:val="00D1025E"/>
    <w:rsid w:val="00D104EB"/>
    <w:rsid w:val="00D10606"/>
    <w:rsid w:val="00D114D5"/>
    <w:rsid w:val="00D120C5"/>
    <w:rsid w:val="00D121E2"/>
    <w:rsid w:val="00D1277A"/>
    <w:rsid w:val="00D128C5"/>
    <w:rsid w:val="00D12958"/>
    <w:rsid w:val="00D1298A"/>
    <w:rsid w:val="00D12D3F"/>
    <w:rsid w:val="00D12DA2"/>
    <w:rsid w:val="00D13DF6"/>
    <w:rsid w:val="00D13E35"/>
    <w:rsid w:val="00D143B1"/>
    <w:rsid w:val="00D14E8F"/>
    <w:rsid w:val="00D15EE6"/>
    <w:rsid w:val="00D17267"/>
    <w:rsid w:val="00D20104"/>
    <w:rsid w:val="00D2040F"/>
    <w:rsid w:val="00D20572"/>
    <w:rsid w:val="00D20E2D"/>
    <w:rsid w:val="00D21007"/>
    <w:rsid w:val="00D21542"/>
    <w:rsid w:val="00D217A9"/>
    <w:rsid w:val="00D21BBD"/>
    <w:rsid w:val="00D21D71"/>
    <w:rsid w:val="00D221B9"/>
    <w:rsid w:val="00D22B30"/>
    <w:rsid w:val="00D22B7D"/>
    <w:rsid w:val="00D233C2"/>
    <w:rsid w:val="00D23852"/>
    <w:rsid w:val="00D2385A"/>
    <w:rsid w:val="00D238BB"/>
    <w:rsid w:val="00D24039"/>
    <w:rsid w:val="00D241D5"/>
    <w:rsid w:val="00D2423A"/>
    <w:rsid w:val="00D24268"/>
    <w:rsid w:val="00D245F2"/>
    <w:rsid w:val="00D24656"/>
    <w:rsid w:val="00D25077"/>
    <w:rsid w:val="00D25705"/>
    <w:rsid w:val="00D25CB9"/>
    <w:rsid w:val="00D26759"/>
    <w:rsid w:val="00D26EA1"/>
    <w:rsid w:val="00D27A19"/>
    <w:rsid w:val="00D27D36"/>
    <w:rsid w:val="00D300AD"/>
    <w:rsid w:val="00D304C0"/>
    <w:rsid w:val="00D30B65"/>
    <w:rsid w:val="00D31544"/>
    <w:rsid w:val="00D316E0"/>
    <w:rsid w:val="00D324DE"/>
    <w:rsid w:val="00D32A06"/>
    <w:rsid w:val="00D32B58"/>
    <w:rsid w:val="00D32C8D"/>
    <w:rsid w:val="00D330FA"/>
    <w:rsid w:val="00D33112"/>
    <w:rsid w:val="00D3328F"/>
    <w:rsid w:val="00D33301"/>
    <w:rsid w:val="00D33732"/>
    <w:rsid w:val="00D33AEE"/>
    <w:rsid w:val="00D34F20"/>
    <w:rsid w:val="00D34F9A"/>
    <w:rsid w:val="00D352F6"/>
    <w:rsid w:val="00D35496"/>
    <w:rsid w:val="00D354E9"/>
    <w:rsid w:val="00D3553F"/>
    <w:rsid w:val="00D35D8E"/>
    <w:rsid w:val="00D36C4A"/>
    <w:rsid w:val="00D36FCA"/>
    <w:rsid w:val="00D37299"/>
    <w:rsid w:val="00D37C76"/>
    <w:rsid w:val="00D37F58"/>
    <w:rsid w:val="00D4002B"/>
    <w:rsid w:val="00D400D2"/>
    <w:rsid w:val="00D4027A"/>
    <w:rsid w:val="00D4077D"/>
    <w:rsid w:val="00D409DF"/>
    <w:rsid w:val="00D40BE4"/>
    <w:rsid w:val="00D412E7"/>
    <w:rsid w:val="00D4223A"/>
    <w:rsid w:val="00D422DA"/>
    <w:rsid w:val="00D4252E"/>
    <w:rsid w:val="00D42E27"/>
    <w:rsid w:val="00D438BC"/>
    <w:rsid w:val="00D454FD"/>
    <w:rsid w:val="00D45D6E"/>
    <w:rsid w:val="00D4627B"/>
    <w:rsid w:val="00D4681B"/>
    <w:rsid w:val="00D46E1F"/>
    <w:rsid w:val="00D471C8"/>
    <w:rsid w:val="00D47459"/>
    <w:rsid w:val="00D50739"/>
    <w:rsid w:val="00D50A44"/>
    <w:rsid w:val="00D5133C"/>
    <w:rsid w:val="00D519ED"/>
    <w:rsid w:val="00D52012"/>
    <w:rsid w:val="00D52040"/>
    <w:rsid w:val="00D523CD"/>
    <w:rsid w:val="00D5271F"/>
    <w:rsid w:val="00D527F5"/>
    <w:rsid w:val="00D52A29"/>
    <w:rsid w:val="00D52F59"/>
    <w:rsid w:val="00D53980"/>
    <w:rsid w:val="00D53E36"/>
    <w:rsid w:val="00D53F6F"/>
    <w:rsid w:val="00D54281"/>
    <w:rsid w:val="00D54564"/>
    <w:rsid w:val="00D54D59"/>
    <w:rsid w:val="00D54FFC"/>
    <w:rsid w:val="00D55720"/>
    <w:rsid w:val="00D55A5F"/>
    <w:rsid w:val="00D5608E"/>
    <w:rsid w:val="00D5615B"/>
    <w:rsid w:val="00D5654C"/>
    <w:rsid w:val="00D56589"/>
    <w:rsid w:val="00D56D9F"/>
    <w:rsid w:val="00D57068"/>
    <w:rsid w:val="00D573D9"/>
    <w:rsid w:val="00D57624"/>
    <w:rsid w:val="00D57808"/>
    <w:rsid w:val="00D57950"/>
    <w:rsid w:val="00D57C47"/>
    <w:rsid w:val="00D6002C"/>
    <w:rsid w:val="00D601F8"/>
    <w:rsid w:val="00D60A6F"/>
    <w:rsid w:val="00D60C65"/>
    <w:rsid w:val="00D611A0"/>
    <w:rsid w:val="00D6194C"/>
    <w:rsid w:val="00D61C82"/>
    <w:rsid w:val="00D62375"/>
    <w:rsid w:val="00D627A0"/>
    <w:rsid w:val="00D6293C"/>
    <w:rsid w:val="00D63159"/>
    <w:rsid w:val="00D631F3"/>
    <w:rsid w:val="00D63262"/>
    <w:rsid w:val="00D6331F"/>
    <w:rsid w:val="00D63FE8"/>
    <w:rsid w:val="00D64D9A"/>
    <w:rsid w:val="00D654F2"/>
    <w:rsid w:val="00D65ACC"/>
    <w:rsid w:val="00D65EB7"/>
    <w:rsid w:val="00D66008"/>
    <w:rsid w:val="00D667AE"/>
    <w:rsid w:val="00D668AD"/>
    <w:rsid w:val="00D67C88"/>
    <w:rsid w:val="00D67E6B"/>
    <w:rsid w:val="00D67F9F"/>
    <w:rsid w:val="00D67FBB"/>
    <w:rsid w:val="00D70B2F"/>
    <w:rsid w:val="00D70C4C"/>
    <w:rsid w:val="00D71C52"/>
    <w:rsid w:val="00D7359C"/>
    <w:rsid w:val="00D73BF2"/>
    <w:rsid w:val="00D7430A"/>
    <w:rsid w:val="00D74932"/>
    <w:rsid w:val="00D749A8"/>
    <w:rsid w:val="00D74C6F"/>
    <w:rsid w:val="00D74FB5"/>
    <w:rsid w:val="00D75491"/>
    <w:rsid w:val="00D75DDC"/>
    <w:rsid w:val="00D76933"/>
    <w:rsid w:val="00D76A63"/>
    <w:rsid w:val="00D76C72"/>
    <w:rsid w:val="00D76F50"/>
    <w:rsid w:val="00D76FF0"/>
    <w:rsid w:val="00D77465"/>
    <w:rsid w:val="00D774A0"/>
    <w:rsid w:val="00D80615"/>
    <w:rsid w:val="00D8075B"/>
    <w:rsid w:val="00D807AA"/>
    <w:rsid w:val="00D807F5"/>
    <w:rsid w:val="00D8108C"/>
    <w:rsid w:val="00D81435"/>
    <w:rsid w:val="00D81A13"/>
    <w:rsid w:val="00D82065"/>
    <w:rsid w:val="00D82485"/>
    <w:rsid w:val="00D83DB0"/>
    <w:rsid w:val="00D8432F"/>
    <w:rsid w:val="00D84746"/>
    <w:rsid w:val="00D84E46"/>
    <w:rsid w:val="00D85538"/>
    <w:rsid w:val="00D855E6"/>
    <w:rsid w:val="00D85672"/>
    <w:rsid w:val="00D85CD5"/>
    <w:rsid w:val="00D85F7D"/>
    <w:rsid w:val="00D86077"/>
    <w:rsid w:val="00D86C09"/>
    <w:rsid w:val="00D8723C"/>
    <w:rsid w:val="00D87294"/>
    <w:rsid w:val="00D87403"/>
    <w:rsid w:val="00D877E5"/>
    <w:rsid w:val="00D87AFC"/>
    <w:rsid w:val="00D87D80"/>
    <w:rsid w:val="00D90384"/>
    <w:rsid w:val="00D9052A"/>
    <w:rsid w:val="00D90740"/>
    <w:rsid w:val="00D90BDD"/>
    <w:rsid w:val="00D90C5A"/>
    <w:rsid w:val="00D90F9A"/>
    <w:rsid w:val="00D918EE"/>
    <w:rsid w:val="00D91CF7"/>
    <w:rsid w:val="00D9264A"/>
    <w:rsid w:val="00D9275E"/>
    <w:rsid w:val="00D92874"/>
    <w:rsid w:val="00D92A60"/>
    <w:rsid w:val="00D92ADF"/>
    <w:rsid w:val="00D93C8D"/>
    <w:rsid w:val="00D93CA4"/>
    <w:rsid w:val="00D93F76"/>
    <w:rsid w:val="00D942F0"/>
    <w:rsid w:val="00D94708"/>
    <w:rsid w:val="00D94781"/>
    <w:rsid w:val="00D94865"/>
    <w:rsid w:val="00D94CCE"/>
    <w:rsid w:val="00D9506E"/>
    <w:rsid w:val="00D95797"/>
    <w:rsid w:val="00D95A73"/>
    <w:rsid w:val="00D95AFE"/>
    <w:rsid w:val="00D96E65"/>
    <w:rsid w:val="00D976C6"/>
    <w:rsid w:val="00D97CAC"/>
    <w:rsid w:val="00DA1E4A"/>
    <w:rsid w:val="00DA246B"/>
    <w:rsid w:val="00DA3270"/>
    <w:rsid w:val="00DA37E4"/>
    <w:rsid w:val="00DA3D64"/>
    <w:rsid w:val="00DA3E98"/>
    <w:rsid w:val="00DA3F06"/>
    <w:rsid w:val="00DA3F73"/>
    <w:rsid w:val="00DA53B3"/>
    <w:rsid w:val="00DA618D"/>
    <w:rsid w:val="00DA6C90"/>
    <w:rsid w:val="00DA7496"/>
    <w:rsid w:val="00DA7CE0"/>
    <w:rsid w:val="00DB0171"/>
    <w:rsid w:val="00DB03F5"/>
    <w:rsid w:val="00DB0C4B"/>
    <w:rsid w:val="00DB0D55"/>
    <w:rsid w:val="00DB0E1B"/>
    <w:rsid w:val="00DB156B"/>
    <w:rsid w:val="00DB15D6"/>
    <w:rsid w:val="00DB1A94"/>
    <w:rsid w:val="00DB21DB"/>
    <w:rsid w:val="00DB39B0"/>
    <w:rsid w:val="00DB3D52"/>
    <w:rsid w:val="00DB408E"/>
    <w:rsid w:val="00DB52AF"/>
    <w:rsid w:val="00DB5C1A"/>
    <w:rsid w:val="00DB5D6C"/>
    <w:rsid w:val="00DB5E2F"/>
    <w:rsid w:val="00DB62A5"/>
    <w:rsid w:val="00DB62FB"/>
    <w:rsid w:val="00DB65E5"/>
    <w:rsid w:val="00DB6674"/>
    <w:rsid w:val="00DB6B0A"/>
    <w:rsid w:val="00DB6F04"/>
    <w:rsid w:val="00DC0589"/>
    <w:rsid w:val="00DC0789"/>
    <w:rsid w:val="00DC11E5"/>
    <w:rsid w:val="00DC14B4"/>
    <w:rsid w:val="00DC1861"/>
    <w:rsid w:val="00DC1C46"/>
    <w:rsid w:val="00DC1F66"/>
    <w:rsid w:val="00DC1FDD"/>
    <w:rsid w:val="00DC22DB"/>
    <w:rsid w:val="00DC2557"/>
    <w:rsid w:val="00DC27CD"/>
    <w:rsid w:val="00DC3151"/>
    <w:rsid w:val="00DC31E8"/>
    <w:rsid w:val="00DC3892"/>
    <w:rsid w:val="00DC4142"/>
    <w:rsid w:val="00DC43D2"/>
    <w:rsid w:val="00DC4790"/>
    <w:rsid w:val="00DC4A01"/>
    <w:rsid w:val="00DC5347"/>
    <w:rsid w:val="00DC53AE"/>
    <w:rsid w:val="00DC55E0"/>
    <w:rsid w:val="00DC5803"/>
    <w:rsid w:val="00DC5A6C"/>
    <w:rsid w:val="00DC61E2"/>
    <w:rsid w:val="00DC684A"/>
    <w:rsid w:val="00DC6B9B"/>
    <w:rsid w:val="00DC7035"/>
    <w:rsid w:val="00DC7E5B"/>
    <w:rsid w:val="00DC7FBE"/>
    <w:rsid w:val="00DD020F"/>
    <w:rsid w:val="00DD02AB"/>
    <w:rsid w:val="00DD097F"/>
    <w:rsid w:val="00DD0F2A"/>
    <w:rsid w:val="00DD16EE"/>
    <w:rsid w:val="00DD2064"/>
    <w:rsid w:val="00DD23C9"/>
    <w:rsid w:val="00DD29F4"/>
    <w:rsid w:val="00DD30E4"/>
    <w:rsid w:val="00DD381A"/>
    <w:rsid w:val="00DD3D4B"/>
    <w:rsid w:val="00DD3E24"/>
    <w:rsid w:val="00DD4CB0"/>
    <w:rsid w:val="00DD4DAD"/>
    <w:rsid w:val="00DD4F43"/>
    <w:rsid w:val="00DD4F48"/>
    <w:rsid w:val="00DD5994"/>
    <w:rsid w:val="00DD5B8E"/>
    <w:rsid w:val="00DD62D5"/>
    <w:rsid w:val="00DD62EE"/>
    <w:rsid w:val="00DD65AD"/>
    <w:rsid w:val="00DD6E55"/>
    <w:rsid w:val="00DD6E9A"/>
    <w:rsid w:val="00DD761E"/>
    <w:rsid w:val="00DD7AF6"/>
    <w:rsid w:val="00DE0089"/>
    <w:rsid w:val="00DE013E"/>
    <w:rsid w:val="00DE0D17"/>
    <w:rsid w:val="00DE1444"/>
    <w:rsid w:val="00DE178E"/>
    <w:rsid w:val="00DE33AF"/>
    <w:rsid w:val="00DE3425"/>
    <w:rsid w:val="00DE354C"/>
    <w:rsid w:val="00DE38B8"/>
    <w:rsid w:val="00DE3F4C"/>
    <w:rsid w:val="00DE4AFE"/>
    <w:rsid w:val="00DE5165"/>
    <w:rsid w:val="00DE5218"/>
    <w:rsid w:val="00DE5529"/>
    <w:rsid w:val="00DE57C4"/>
    <w:rsid w:val="00DE58EE"/>
    <w:rsid w:val="00DE5918"/>
    <w:rsid w:val="00DE6059"/>
    <w:rsid w:val="00DE613C"/>
    <w:rsid w:val="00DE772A"/>
    <w:rsid w:val="00DE7941"/>
    <w:rsid w:val="00DE7F28"/>
    <w:rsid w:val="00DF03B0"/>
    <w:rsid w:val="00DF0AFF"/>
    <w:rsid w:val="00DF0CEC"/>
    <w:rsid w:val="00DF0F1E"/>
    <w:rsid w:val="00DF1566"/>
    <w:rsid w:val="00DF1B02"/>
    <w:rsid w:val="00DF3406"/>
    <w:rsid w:val="00DF42C1"/>
    <w:rsid w:val="00DF4553"/>
    <w:rsid w:val="00DF463F"/>
    <w:rsid w:val="00DF5099"/>
    <w:rsid w:val="00DF5306"/>
    <w:rsid w:val="00DF550C"/>
    <w:rsid w:val="00DF55E2"/>
    <w:rsid w:val="00DF62AA"/>
    <w:rsid w:val="00DF65D6"/>
    <w:rsid w:val="00DF6E9B"/>
    <w:rsid w:val="00DF75C8"/>
    <w:rsid w:val="00DF764B"/>
    <w:rsid w:val="00DF7DA7"/>
    <w:rsid w:val="00E0070A"/>
    <w:rsid w:val="00E00B4B"/>
    <w:rsid w:val="00E00EA9"/>
    <w:rsid w:val="00E019AE"/>
    <w:rsid w:val="00E01CAC"/>
    <w:rsid w:val="00E020D6"/>
    <w:rsid w:val="00E02261"/>
    <w:rsid w:val="00E026E7"/>
    <w:rsid w:val="00E02BDA"/>
    <w:rsid w:val="00E02CA1"/>
    <w:rsid w:val="00E02F73"/>
    <w:rsid w:val="00E0312C"/>
    <w:rsid w:val="00E03251"/>
    <w:rsid w:val="00E03AAE"/>
    <w:rsid w:val="00E04668"/>
    <w:rsid w:val="00E04685"/>
    <w:rsid w:val="00E0497D"/>
    <w:rsid w:val="00E05FE1"/>
    <w:rsid w:val="00E0770B"/>
    <w:rsid w:val="00E07906"/>
    <w:rsid w:val="00E07B20"/>
    <w:rsid w:val="00E07B8E"/>
    <w:rsid w:val="00E07CD1"/>
    <w:rsid w:val="00E07E60"/>
    <w:rsid w:val="00E1044E"/>
    <w:rsid w:val="00E104DB"/>
    <w:rsid w:val="00E11700"/>
    <w:rsid w:val="00E118D1"/>
    <w:rsid w:val="00E11F47"/>
    <w:rsid w:val="00E121E9"/>
    <w:rsid w:val="00E122A7"/>
    <w:rsid w:val="00E1272F"/>
    <w:rsid w:val="00E128D2"/>
    <w:rsid w:val="00E12DE9"/>
    <w:rsid w:val="00E12EAA"/>
    <w:rsid w:val="00E135BC"/>
    <w:rsid w:val="00E13D77"/>
    <w:rsid w:val="00E14212"/>
    <w:rsid w:val="00E14FBA"/>
    <w:rsid w:val="00E1515D"/>
    <w:rsid w:val="00E151B8"/>
    <w:rsid w:val="00E15564"/>
    <w:rsid w:val="00E15917"/>
    <w:rsid w:val="00E164D0"/>
    <w:rsid w:val="00E16B6A"/>
    <w:rsid w:val="00E16F5A"/>
    <w:rsid w:val="00E1761E"/>
    <w:rsid w:val="00E178CB"/>
    <w:rsid w:val="00E17A23"/>
    <w:rsid w:val="00E17D8A"/>
    <w:rsid w:val="00E17E29"/>
    <w:rsid w:val="00E2044E"/>
    <w:rsid w:val="00E214A6"/>
    <w:rsid w:val="00E214C5"/>
    <w:rsid w:val="00E2151F"/>
    <w:rsid w:val="00E21668"/>
    <w:rsid w:val="00E216AF"/>
    <w:rsid w:val="00E21CC1"/>
    <w:rsid w:val="00E21DA0"/>
    <w:rsid w:val="00E230CA"/>
    <w:rsid w:val="00E231D7"/>
    <w:rsid w:val="00E237AA"/>
    <w:rsid w:val="00E2417F"/>
    <w:rsid w:val="00E245CD"/>
    <w:rsid w:val="00E24871"/>
    <w:rsid w:val="00E24DF7"/>
    <w:rsid w:val="00E24F1E"/>
    <w:rsid w:val="00E25473"/>
    <w:rsid w:val="00E25947"/>
    <w:rsid w:val="00E25B70"/>
    <w:rsid w:val="00E264A1"/>
    <w:rsid w:val="00E26510"/>
    <w:rsid w:val="00E26942"/>
    <w:rsid w:val="00E270DF"/>
    <w:rsid w:val="00E27677"/>
    <w:rsid w:val="00E279AC"/>
    <w:rsid w:val="00E27A97"/>
    <w:rsid w:val="00E27CE4"/>
    <w:rsid w:val="00E27F12"/>
    <w:rsid w:val="00E3003E"/>
    <w:rsid w:val="00E30106"/>
    <w:rsid w:val="00E3024D"/>
    <w:rsid w:val="00E308CD"/>
    <w:rsid w:val="00E30BBF"/>
    <w:rsid w:val="00E30D0D"/>
    <w:rsid w:val="00E31AD0"/>
    <w:rsid w:val="00E31F79"/>
    <w:rsid w:val="00E32479"/>
    <w:rsid w:val="00E32845"/>
    <w:rsid w:val="00E32B9D"/>
    <w:rsid w:val="00E33262"/>
    <w:rsid w:val="00E3333E"/>
    <w:rsid w:val="00E33534"/>
    <w:rsid w:val="00E33DF9"/>
    <w:rsid w:val="00E3409E"/>
    <w:rsid w:val="00E3426B"/>
    <w:rsid w:val="00E34780"/>
    <w:rsid w:val="00E3494F"/>
    <w:rsid w:val="00E34C4A"/>
    <w:rsid w:val="00E34CD5"/>
    <w:rsid w:val="00E34D54"/>
    <w:rsid w:val="00E358FB"/>
    <w:rsid w:val="00E35A5B"/>
    <w:rsid w:val="00E35AE1"/>
    <w:rsid w:val="00E361DA"/>
    <w:rsid w:val="00E370A6"/>
    <w:rsid w:val="00E372AF"/>
    <w:rsid w:val="00E37590"/>
    <w:rsid w:val="00E37C8F"/>
    <w:rsid w:val="00E40141"/>
    <w:rsid w:val="00E4064D"/>
    <w:rsid w:val="00E409B4"/>
    <w:rsid w:val="00E412B3"/>
    <w:rsid w:val="00E41530"/>
    <w:rsid w:val="00E423BD"/>
    <w:rsid w:val="00E4271C"/>
    <w:rsid w:val="00E42C14"/>
    <w:rsid w:val="00E43446"/>
    <w:rsid w:val="00E44516"/>
    <w:rsid w:val="00E44C13"/>
    <w:rsid w:val="00E4504E"/>
    <w:rsid w:val="00E4518E"/>
    <w:rsid w:val="00E45562"/>
    <w:rsid w:val="00E45669"/>
    <w:rsid w:val="00E4596F"/>
    <w:rsid w:val="00E463D8"/>
    <w:rsid w:val="00E471C1"/>
    <w:rsid w:val="00E4747E"/>
    <w:rsid w:val="00E47A83"/>
    <w:rsid w:val="00E47CA2"/>
    <w:rsid w:val="00E500E1"/>
    <w:rsid w:val="00E503F2"/>
    <w:rsid w:val="00E50DDD"/>
    <w:rsid w:val="00E51193"/>
    <w:rsid w:val="00E51B31"/>
    <w:rsid w:val="00E51B6A"/>
    <w:rsid w:val="00E51FA3"/>
    <w:rsid w:val="00E51FF6"/>
    <w:rsid w:val="00E52C2B"/>
    <w:rsid w:val="00E52E87"/>
    <w:rsid w:val="00E536EE"/>
    <w:rsid w:val="00E53734"/>
    <w:rsid w:val="00E53E60"/>
    <w:rsid w:val="00E540CF"/>
    <w:rsid w:val="00E54336"/>
    <w:rsid w:val="00E543C7"/>
    <w:rsid w:val="00E55F3C"/>
    <w:rsid w:val="00E56004"/>
    <w:rsid w:val="00E5600C"/>
    <w:rsid w:val="00E5649E"/>
    <w:rsid w:val="00E56BFC"/>
    <w:rsid w:val="00E56C46"/>
    <w:rsid w:val="00E5713A"/>
    <w:rsid w:val="00E5766F"/>
    <w:rsid w:val="00E579A5"/>
    <w:rsid w:val="00E60170"/>
    <w:rsid w:val="00E60B7F"/>
    <w:rsid w:val="00E60E9D"/>
    <w:rsid w:val="00E61604"/>
    <w:rsid w:val="00E61AAB"/>
    <w:rsid w:val="00E61D8F"/>
    <w:rsid w:val="00E620E5"/>
    <w:rsid w:val="00E621E0"/>
    <w:rsid w:val="00E62281"/>
    <w:rsid w:val="00E62381"/>
    <w:rsid w:val="00E624D7"/>
    <w:rsid w:val="00E625FB"/>
    <w:rsid w:val="00E62FD8"/>
    <w:rsid w:val="00E63C35"/>
    <w:rsid w:val="00E63C64"/>
    <w:rsid w:val="00E64053"/>
    <w:rsid w:val="00E64793"/>
    <w:rsid w:val="00E64887"/>
    <w:rsid w:val="00E6529F"/>
    <w:rsid w:val="00E65422"/>
    <w:rsid w:val="00E65437"/>
    <w:rsid w:val="00E6577E"/>
    <w:rsid w:val="00E659D9"/>
    <w:rsid w:val="00E6666D"/>
    <w:rsid w:val="00E66772"/>
    <w:rsid w:val="00E67DAA"/>
    <w:rsid w:val="00E67E15"/>
    <w:rsid w:val="00E70C5D"/>
    <w:rsid w:val="00E70DB5"/>
    <w:rsid w:val="00E71421"/>
    <w:rsid w:val="00E71743"/>
    <w:rsid w:val="00E719AA"/>
    <w:rsid w:val="00E71E41"/>
    <w:rsid w:val="00E71EE6"/>
    <w:rsid w:val="00E7206D"/>
    <w:rsid w:val="00E72333"/>
    <w:rsid w:val="00E7339A"/>
    <w:rsid w:val="00E74457"/>
    <w:rsid w:val="00E74615"/>
    <w:rsid w:val="00E747B8"/>
    <w:rsid w:val="00E753EC"/>
    <w:rsid w:val="00E756CA"/>
    <w:rsid w:val="00E761A5"/>
    <w:rsid w:val="00E7683A"/>
    <w:rsid w:val="00E768EC"/>
    <w:rsid w:val="00E76D0F"/>
    <w:rsid w:val="00E76F4B"/>
    <w:rsid w:val="00E770B9"/>
    <w:rsid w:val="00E771E2"/>
    <w:rsid w:val="00E772D3"/>
    <w:rsid w:val="00E7743D"/>
    <w:rsid w:val="00E77770"/>
    <w:rsid w:val="00E7777F"/>
    <w:rsid w:val="00E77BBA"/>
    <w:rsid w:val="00E8032A"/>
    <w:rsid w:val="00E804B2"/>
    <w:rsid w:val="00E814FE"/>
    <w:rsid w:val="00E8258A"/>
    <w:rsid w:val="00E8262D"/>
    <w:rsid w:val="00E836F2"/>
    <w:rsid w:val="00E8386B"/>
    <w:rsid w:val="00E83B5F"/>
    <w:rsid w:val="00E8454C"/>
    <w:rsid w:val="00E845DE"/>
    <w:rsid w:val="00E84805"/>
    <w:rsid w:val="00E84DA8"/>
    <w:rsid w:val="00E84DD0"/>
    <w:rsid w:val="00E852F1"/>
    <w:rsid w:val="00E86079"/>
    <w:rsid w:val="00E86B92"/>
    <w:rsid w:val="00E87136"/>
    <w:rsid w:val="00E87C4A"/>
    <w:rsid w:val="00E902DD"/>
    <w:rsid w:val="00E907FB"/>
    <w:rsid w:val="00E90B30"/>
    <w:rsid w:val="00E90F7E"/>
    <w:rsid w:val="00E90FE4"/>
    <w:rsid w:val="00E9164C"/>
    <w:rsid w:val="00E91664"/>
    <w:rsid w:val="00E91AD7"/>
    <w:rsid w:val="00E91CAC"/>
    <w:rsid w:val="00E91CB0"/>
    <w:rsid w:val="00E92BB7"/>
    <w:rsid w:val="00E93374"/>
    <w:rsid w:val="00E93B5B"/>
    <w:rsid w:val="00E94442"/>
    <w:rsid w:val="00E94C15"/>
    <w:rsid w:val="00E94D58"/>
    <w:rsid w:val="00E95225"/>
    <w:rsid w:val="00E95302"/>
    <w:rsid w:val="00E95D93"/>
    <w:rsid w:val="00E95DCE"/>
    <w:rsid w:val="00E95EFC"/>
    <w:rsid w:val="00E96757"/>
    <w:rsid w:val="00E968D8"/>
    <w:rsid w:val="00E96E5E"/>
    <w:rsid w:val="00E96FA8"/>
    <w:rsid w:val="00E97122"/>
    <w:rsid w:val="00E97B9F"/>
    <w:rsid w:val="00E97D7F"/>
    <w:rsid w:val="00EA0848"/>
    <w:rsid w:val="00EA095D"/>
    <w:rsid w:val="00EA1967"/>
    <w:rsid w:val="00EA1970"/>
    <w:rsid w:val="00EA1ECA"/>
    <w:rsid w:val="00EA2BBF"/>
    <w:rsid w:val="00EA3131"/>
    <w:rsid w:val="00EA3959"/>
    <w:rsid w:val="00EA3BE6"/>
    <w:rsid w:val="00EA3F76"/>
    <w:rsid w:val="00EA4903"/>
    <w:rsid w:val="00EA4A6A"/>
    <w:rsid w:val="00EA5903"/>
    <w:rsid w:val="00EA5A6D"/>
    <w:rsid w:val="00EA6006"/>
    <w:rsid w:val="00EA6977"/>
    <w:rsid w:val="00EA6DB5"/>
    <w:rsid w:val="00EA6ECF"/>
    <w:rsid w:val="00EA7108"/>
    <w:rsid w:val="00EA7652"/>
    <w:rsid w:val="00EA7704"/>
    <w:rsid w:val="00EA7C3A"/>
    <w:rsid w:val="00EA7E91"/>
    <w:rsid w:val="00EA7EE6"/>
    <w:rsid w:val="00EB0398"/>
    <w:rsid w:val="00EB070D"/>
    <w:rsid w:val="00EB074F"/>
    <w:rsid w:val="00EB080A"/>
    <w:rsid w:val="00EB11AC"/>
    <w:rsid w:val="00EB19B9"/>
    <w:rsid w:val="00EB1C36"/>
    <w:rsid w:val="00EB1E3B"/>
    <w:rsid w:val="00EB2F1A"/>
    <w:rsid w:val="00EB337A"/>
    <w:rsid w:val="00EB39F2"/>
    <w:rsid w:val="00EB3EBD"/>
    <w:rsid w:val="00EB4454"/>
    <w:rsid w:val="00EB46B1"/>
    <w:rsid w:val="00EB478E"/>
    <w:rsid w:val="00EB4861"/>
    <w:rsid w:val="00EB5141"/>
    <w:rsid w:val="00EB51E4"/>
    <w:rsid w:val="00EB5680"/>
    <w:rsid w:val="00EB59D3"/>
    <w:rsid w:val="00EB5B80"/>
    <w:rsid w:val="00EB6395"/>
    <w:rsid w:val="00EB6D4B"/>
    <w:rsid w:val="00EB71F4"/>
    <w:rsid w:val="00EB7269"/>
    <w:rsid w:val="00EB7310"/>
    <w:rsid w:val="00EB795A"/>
    <w:rsid w:val="00EC0B7F"/>
    <w:rsid w:val="00EC295A"/>
    <w:rsid w:val="00EC2D44"/>
    <w:rsid w:val="00EC2EA0"/>
    <w:rsid w:val="00EC2F05"/>
    <w:rsid w:val="00EC3085"/>
    <w:rsid w:val="00EC333F"/>
    <w:rsid w:val="00EC378F"/>
    <w:rsid w:val="00EC3A3B"/>
    <w:rsid w:val="00EC4AC5"/>
    <w:rsid w:val="00EC4BBA"/>
    <w:rsid w:val="00EC62FF"/>
    <w:rsid w:val="00EC6780"/>
    <w:rsid w:val="00EC69F2"/>
    <w:rsid w:val="00EC6A91"/>
    <w:rsid w:val="00EC6D85"/>
    <w:rsid w:val="00EC6E78"/>
    <w:rsid w:val="00EC748E"/>
    <w:rsid w:val="00EC7721"/>
    <w:rsid w:val="00EC7996"/>
    <w:rsid w:val="00ED0F41"/>
    <w:rsid w:val="00ED0FB4"/>
    <w:rsid w:val="00ED11DD"/>
    <w:rsid w:val="00ED127B"/>
    <w:rsid w:val="00ED1400"/>
    <w:rsid w:val="00ED161F"/>
    <w:rsid w:val="00ED1B2D"/>
    <w:rsid w:val="00ED2301"/>
    <w:rsid w:val="00ED2D9E"/>
    <w:rsid w:val="00ED388A"/>
    <w:rsid w:val="00ED3A62"/>
    <w:rsid w:val="00ED4335"/>
    <w:rsid w:val="00ED4647"/>
    <w:rsid w:val="00ED49CD"/>
    <w:rsid w:val="00ED536D"/>
    <w:rsid w:val="00ED5992"/>
    <w:rsid w:val="00ED5DFA"/>
    <w:rsid w:val="00ED60B7"/>
    <w:rsid w:val="00ED63A8"/>
    <w:rsid w:val="00ED64D0"/>
    <w:rsid w:val="00ED69BF"/>
    <w:rsid w:val="00ED6C28"/>
    <w:rsid w:val="00ED6C7F"/>
    <w:rsid w:val="00ED7593"/>
    <w:rsid w:val="00ED7871"/>
    <w:rsid w:val="00ED7961"/>
    <w:rsid w:val="00ED7E55"/>
    <w:rsid w:val="00EE011C"/>
    <w:rsid w:val="00EE0242"/>
    <w:rsid w:val="00EE0893"/>
    <w:rsid w:val="00EE123D"/>
    <w:rsid w:val="00EE1670"/>
    <w:rsid w:val="00EE1944"/>
    <w:rsid w:val="00EE1C38"/>
    <w:rsid w:val="00EE231C"/>
    <w:rsid w:val="00EE24B0"/>
    <w:rsid w:val="00EE2822"/>
    <w:rsid w:val="00EE2894"/>
    <w:rsid w:val="00EE316A"/>
    <w:rsid w:val="00EE3222"/>
    <w:rsid w:val="00EE3542"/>
    <w:rsid w:val="00EE3681"/>
    <w:rsid w:val="00EE3ED4"/>
    <w:rsid w:val="00EE3F20"/>
    <w:rsid w:val="00EE3FE1"/>
    <w:rsid w:val="00EE47D3"/>
    <w:rsid w:val="00EE61FF"/>
    <w:rsid w:val="00EE6247"/>
    <w:rsid w:val="00EE68B5"/>
    <w:rsid w:val="00EE7088"/>
    <w:rsid w:val="00EE7149"/>
    <w:rsid w:val="00EE71E3"/>
    <w:rsid w:val="00EE7433"/>
    <w:rsid w:val="00EE761D"/>
    <w:rsid w:val="00EE7B70"/>
    <w:rsid w:val="00EF002D"/>
    <w:rsid w:val="00EF0292"/>
    <w:rsid w:val="00EF09F9"/>
    <w:rsid w:val="00EF0E1F"/>
    <w:rsid w:val="00EF1AE0"/>
    <w:rsid w:val="00EF27C1"/>
    <w:rsid w:val="00EF2C24"/>
    <w:rsid w:val="00EF2FE0"/>
    <w:rsid w:val="00EF34C2"/>
    <w:rsid w:val="00EF3F7E"/>
    <w:rsid w:val="00EF402B"/>
    <w:rsid w:val="00EF4C80"/>
    <w:rsid w:val="00EF52D8"/>
    <w:rsid w:val="00EF590F"/>
    <w:rsid w:val="00EF5A61"/>
    <w:rsid w:val="00EF5E7B"/>
    <w:rsid w:val="00EF643D"/>
    <w:rsid w:val="00EF660A"/>
    <w:rsid w:val="00EF6718"/>
    <w:rsid w:val="00EF690E"/>
    <w:rsid w:val="00EF70DF"/>
    <w:rsid w:val="00EF7777"/>
    <w:rsid w:val="00EF7C58"/>
    <w:rsid w:val="00F00567"/>
    <w:rsid w:val="00F00708"/>
    <w:rsid w:val="00F00A74"/>
    <w:rsid w:val="00F00EA3"/>
    <w:rsid w:val="00F015F9"/>
    <w:rsid w:val="00F01F8D"/>
    <w:rsid w:val="00F0266B"/>
    <w:rsid w:val="00F02C8F"/>
    <w:rsid w:val="00F02DD6"/>
    <w:rsid w:val="00F02F75"/>
    <w:rsid w:val="00F0346E"/>
    <w:rsid w:val="00F03D9D"/>
    <w:rsid w:val="00F040E0"/>
    <w:rsid w:val="00F0513E"/>
    <w:rsid w:val="00F055CA"/>
    <w:rsid w:val="00F05635"/>
    <w:rsid w:val="00F05ECC"/>
    <w:rsid w:val="00F05F3E"/>
    <w:rsid w:val="00F06486"/>
    <w:rsid w:val="00F0671F"/>
    <w:rsid w:val="00F067C4"/>
    <w:rsid w:val="00F06C7F"/>
    <w:rsid w:val="00F070C0"/>
    <w:rsid w:val="00F077BB"/>
    <w:rsid w:val="00F07D70"/>
    <w:rsid w:val="00F07F13"/>
    <w:rsid w:val="00F10C93"/>
    <w:rsid w:val="00F11BB4"/>
    <w:rsid w:val="00F11D34"/>
    <w:rsid w:val="00F12468"/>
    <w:rsid w:val="00F131C6"/>
    <w:rsid w:val="00F13E2E"/>
    <w:rsid w:val="00F142C8"/>
    <w:rsid w:val="00F14FBE"/>
    <w:rsid w:val="00F15647"/>
    <w:rsid w:val="00F15AC1"/>
    <w:rsid w:val="00F15C95"/>
    <w:rsid w:val="00F15F77"/>
    <w:rsid w:val="00F1605D"/>
    <w:rsid w:val="00F165DC"/>
    <w:rsid w:val="00F16785"/>
    <w:rsid w:val="00F16BD6"/>
    <w:rsid w:val="00F17551"/>
    <w:rsid w:val="00F1779C"/>
    <w:rsid w:val="00F17D2E"/>
    <w:rsid w:val="00F20063"/>
    <w:rsid w:val="00F200A7"/>
    <w:rsid w:val="00F20613"/>
    <w:rsid w:val="00F20645"/>
    <w:rsid w:val="00F21218"/>
    <w:rsid w:val="00F212BF"/>
    <w:rsid w:val="00F21E89"/>
    <w:rsid w:val="00F2212D"/>
    <w:rsid w:val="00F22AA4"/>
    <w:rsid w:val="00F234C1"/>
    <w:rsid w:val="00F24061"/>
    <w:rsid w:val="00F2477F"/>
    <w:rsid w:val="00F24AEF"/>
    <w:rsid w:val="00F24D81"/>
    <w:rsid w:val="00F24FD8"/>
    <w:rsid w:val="00F25239"/>
    <w:rsid w:val="00F25637"/>
    <w:rsid w:val="00F25C15"/>
    <w:rsid w:val="00F25D94"/>
    <w:rsid w:val="00F25E96"/>
    <w:rsid w:val="00F26103"/>
    <w:rsid w:val="00F266E4"/>
    <w:rsid w:val="00F27753"/>
    <w:rsid w:val="00F3091F"/>
    <w:rsid w:val="00F30C85"/>
    <w:rsid w:val="00F30F15"/>
    <w:rsid w:val="00F30FDF"/>
    <w:rsid w:val="00F31989"/>
    <w:rsid w:val="00F32576"/>
    <w:rsid w:val="00F327EB"/>
    <w:rsid w:val="00F32828"/>
    <w:rsid w:val="00F33AF8"/>
    <w:rsid w:val="00F33F4F"/>
    <w:rsid w:val="00F34C89"/>
    <w:rsid w:val="00F34E8D"/>
    <w:rsid w:val="00F351FF"/>
    <w:rsid w:val="00F357C8"/>
    <w:rsid w:val="00F35B17"/>
    <w:rsid w:val="00F36817"/>
    <w:rsid w:val="00F36959"/>
    <w:rsid w:val="00F36AF6"/>
    <w:rsid w:val="00F37602"/>
    <w:rsid w:val="00F3790A"/>
    <w:rsid w:val="00F37965"/>
    <w:rsid w:val="00F40275"/>
    <w:rsid w:val="00F403C7"/>
    <w:rsid w:val="00F42511"/>
    <w:rsid w:val="00F42D3E"/>
    <w:rsid w:val="00F438B4"/>
    <w:rsid w:val="00F4455D"/>
    <w:rsid w:val="00F44852"/>
    <w:rsid w:val="00F459EE"/>
    <w:rsid w:val="00F45D67"/>
    <w:rsid w:val="00F45FBA"/>
    <w:rsid w:val="00F46A7D"/>
    <w:rsid w:val="00F472BF"/>
    <w:rsid w:val="00F50B2F"/>
    <w:rsid w:val="00F50FF1"/>
    <w:rsid w:val="00F511F5"/>
    <w:rsid w:val="00F514A5"/>
    <w:rsid w:val="00F51511"/>
    <w:rsid w:val="00F51EE3"/>
    <w:rsid w:val="00F520BF"/>
    <w:rsid w:val="00F52504"/>
    <w:rsid w:val="00F5290B"/>
    <w:rsid w:val="00F52AB8"/>
    <w:rsid w:val="00F52E53"/>
    <w:rsid w:val="00F53B60"/>
    <w:rsid w:val="00F53C50"/>
    <w:rsid w:val="00F53CD2"/>
    <w:rsid w:val="00F54938"/>
    <w:rsid w:val="00F54C46"/>
    <w:rsid w:val="00F54CAE"/>
    <w:rsid w:val="00F54F5F"/>
    <w:rsid w:val="00F54FBB"/>
    <w:rsid w:val="00F55015"/>
    <w:rsid w:val="00F56CA8"/>
    <w:rsid w:val="00F57A1A"/>
    <w:rsid w:val="00F57AE6"/>
    <w:rsid w:val="00F57C0B"/>
    <w:rsid w:val="00F57C5D"/>
    <w:rsid w:val="00F57E0C"/>
    <w:rsid w:val="00F605EA"/>
    <w:rsid w:val="00F60728"/>
    <w:rsid w:val="00F60A26"/>
    <w:rsid w:val="00F60D59"/>
    <w:rsid w:val="00F61BD7"/>
    <w:rsid w:val="00F625FF"/>
    <w:rsid w:val="00F626BE"/>
    <w:rsid w:val="00F62BCA"/>
    <w:rsid w:val="00F62ECB"/>
    <w:rsid w:val="00F6366B"/>
    <w:rsid w:val="00F63A04"/>
    <w:rsid w:val="00F63B7B"/>
    <w:rsid w:val="00F640B7"/>
    <w:rsid w:val="00F643CF"/>
    <w:rsid w:val="00F64957"/>
    <w:rsid w:val="00F64C87"/>
    <w:rsid w:val="00F64FD2"/>
    <w:rsid w:val="00F6535F"/>
    <w:rsid w:val="00F653E9"/>
    <w:rsid w:val="00F655C8"/>
    <w:rsid w:val="00F655FA"/>
    <w:rsid w:val="00F65DC7"/>
    <w:rsid w:val="00F66794"/>
    <w:rsid w:val="00F66A87"/>
    <w:rsid w:val="00F67655"/>
    <w:rsid w:val="00F67C7F"/>
    <w:rsid w:val="00F67CAD"/>
    <w:rsid w:val="00F70B5B"/>
    <w:rsid w:val="00F70B67"/>
    <w:rsid w:val="00F714E0"/>
    <w:rsid w:val="00F71FD7"/>
    <w:rsid w:val="00F724CC"/>
    <w:rsid w:val="00F72D99"/>
    <w:rsid w:val="00F73457"/>
    <w:rsid w:val="00F73A0E"/>
    <w:rsid w:val="00F741C0"/>
    <w:rsid w:val="00F74999"/>
    <w:rsid w:val="00F74A5B"/>
    <w:rsid w:val="00F75350"/>
    <w:rsid w:val="00F757A7"/>
    <w:rsid w:val="00F769DF"/>
    <w:rsid w:val="00F76F46"/>
    <w:rsid w:val="00F802BB"/>
    <w:rsid w:val="00F802C5"/>
    <w:rsid w:val="00F8067A"/>
    <w:rsid w:val="00F80842"/>
    <w:rsid w:val="00F8109D"/>
    <w:rsid w:val="00F8137D"/>
    <w:rsid w:val="00F81595"/>
    <w:rsid w:val="00F820DA"/>
    <w:rsid w:val="00F824E1"/>
    <w:rsid w:val="00F825C0"/>
    <w:rsid w:val="00F82651"/>
    <w:rsid w:val="00F82953"/>
    <w:rsid w:val="00F829B3"/>
    <w:rsid w:val="00F82A42"/>
    <w:rsid w:val="00F82BB3"/>
    <w:rsid w:val="00F82EC8"/>
    <w:rsid w:val="00F8303F"/>
    <w:rsid w:val="00F834C8"/>
    <w:rsid w:val="00F8413E"/>
    <w:rsid w:val="00F841D4"/>
    <w:rsid w:val="00F84567"/>
    <w:rsid w:val="00F85846"/>
    <w:rsid w:val="00F87191"/>
    <w:rsid w:val="00F87A67"/>
    <w:rsid w:val="00F87DDB"/>
    <w:rsid w:val="00F87FB4"/>
    <w:rsid w:val="00F903A6"/>
    <w:rsid w:val="00F90592"/>
    <w:rsid w:val="00F90DD1"/>
    <w:rsid w:val="00F91279"/>
    <w:rsid w:val="00F91448"/>
    <w:rsid w:val="00F917DF"/>
    <w:rsid w:val="00F9195E"/>
    <w:rsid w:val="00F91A08"/>
    <w:rsid w:val="00F91E53"/>
    <w:rsid w:val="00F920F8"/>
    <w:rsid w:val="00F9217F"/>
    <w:rsid w:val="00F922DB"/>
    <w:rsid w:val="00F92323"/>
    <w:rsid w:val="00F9232E"/>
    <w:rsid w:val="00F923ED"/>
    <w:rsid w:val="00F924FF"/>
    <w:rsid w:val="00F92C39"/>
    <w:rsid w:val="00F92CB8"/>
    <w:rsid w:val="00F93E55"/>
    <w:rsid w:val="00F93E9A"/>
    <w:rsid w:val="00F95048"/>
    <w:rsid w:val="00F95469"/>
    <w:rsid w:val="00F95F9B"/>
    <w:rsid w:val="00F96238"/>
    <w:rsid w:val="00F963AD"/>
    <w:rsid w:val="00F96A52"/>
    <w:rsid w:val="00F96D23"/>
    <w:rsid w:val="00F96E71"/>
    <w:rsid w:val="00F97D4C"/>
    <w:rsid w:val="00FA048D"/>
    <w:rsid w:val="00FA0605"/>
    <w:rsid w:val="00FA1C9E"/>
    <w:rsid w:val="00FA2524"/>
    <w:rsid w:val="00FA2FAA"/>
    <w:rsid w:val="00FA4A76"/>
    <w:rsid w:val="00FA4D02"/>
    <w:rsid w:val="00FA4DC7"/>
    <w:rsid w:val="00FA5043"/>
    <w:rsid w:val="00FA5AFF"/>
    <w:rsid w:val="00FA6053"/>
    <w:rsid w:val="00FA60B9"/>
    <w:rsid w:val="00FA63D3"/>
    <w:rsid w:val="00FA66FC"/>
    <w:rsid w:val="00FA71AC"/>
    <w:rsid w:val="00FA7377"/>
    <w:rsid w:val="00FA7A29"/>
    <w:rsid w:val="00FA7A6C"/>
    <w:rsid w:val="00FA7CD7"/>
    <w:rsid w:val="00FB0052"/>
    <w:rsid w:val="00FB009B"/>
    <w:rsid w:val="00FB0554"/>
    <w:rsid w:val="00FB0D69"/>
    <w:rsid w:val="00FB0EEE"/>
    <w:rsid w:val="00FB1052"/>
    <w:rsid w:val="00FB1826"/>
    <w:rsid w:val="00FB19F2"/>
    <w:rsid w:val="00FB1ACC"/>
    <w:rsid w:val="00FB2217"/>
    <w:rsid w:val="00FB2252"/>
    <w:rsid w:val="00FB2334"/>
    <w:rsid w:val="00FB2611"/>
    <w:rsid w:val="00FB274C"/>
    <w:rsid w:val="00FB2815"/>
    <w:rsid w:val="00FB2945"/>
    <w:rsid w:val="00FB297A"/>
    <w:rsid w:val="00FB2D3B"/>
    <w:rsid w:val="00FB2F15"/>
    <w:rsid w:val="00FB3B55"/>
    <w:rsid w:val="00FB41E4"/>
    <w:rsid w:val="00FB45BA"/>
    <w:rsid w:val="00FB4E48"/>
    <w:rsid w:val="00FB505F"/>
    <w:rsid w:val="00FB52FA"/>
    <w:rsid w:val="00FB5599"/>
    <w:rsid w:val="00FB5649"/>
    <w:rsid w:val="00FB56CD"/>
    <w:rsid w:val="00FB5B9D"/>
    <w:rsid w:val="00FB5FAA"/>
    <w:rsid w:val="00FB6966"/>
    <w:rsid w:val="00FB751A"/>
    <w:rsid w:val="00FB7F81"/>
    <w:rsid w:val="00FC07C8"/>
    <w:rsid w:val="00FC11F4"/>
    <w:rsid w:val="00FC12B1"/>
    <w:rsid w:val="00FC1526"/>
    <w:rsid w:val="00FC17DD"/>
    <w:rsid w:val="00FC1A38"/>
    <w:rsid w:val="00FC1F3A"/>
    <w:rsid w:val="00FC1F7B"/>
    <w:rsid w:val="00FC2E7F"/>
    <w:rsid w:val="00FC3305"/>
    <w:rsid w:val="00FC34DF"/>
    <w:rsid w:val="00FC3627"/>
    <w:rsid w:val="00FC3886"/>
    <w:rsid w:val="00FC3B48"/>
    <w:rsid w:val="00FC3D11"/>
    <w:rsid w:val="00FC4393"/>
    <w:rsid w:val="00FC4966"/>
    <w:rsid w:val="00FC4E2E"/>
    <w:rsid w:val="00FC5A73"/>
    <w:rsid w:val="00FC6712"/>
    <w:rsid w:val="00FC69A7"/>
    <w:rsid w:val="00FC7A7D"/>
    <w:rsid w:val="00FC7F7F"/>
    <w:rsid w:val="00FD0352"/>
    <w:rsid w:val="00FD0371"/>
    <w:rsid w:val="00FD05D3"/>
    <w:rsid w:val="00FD0BCF"/>
    <w:rsid w:val="00FD0D34"/>
    <w:rsid w:val="00FD16BD"/>
    <w:rsid w:val="00FD1C00"/>
    <w:rsid w:val="00FD27CE"/>
    <w:rsid w:val="00FD2CFF"/>
    <w:rsid w:val="00FD34F7"/>
    <w:rsid w:val="00FD358F"/>
    <w:rsid w:val="00FD3DCF"/>
    <w:rsid w:val="00FD412A"/>
    <w:rsid w:val="00FD437B"/>
    <w:rsid w:val="00FD43D0"/>
    <w:rsid w:val="00FD4A11"/>
    <w:rsid w:val="00FD4ABB"/>
    <w:rsid w:val="00FD547D"/>
    <w:rsid w:val="00FD5650"/>
    <w:rsid w:val="00FD5DE2"/>
    <w:rsid w:val="00FD6472"/>
    <w:rsid w:val="00FD6E09"/>
    <w:rsid w:val="00FD7078"/>
    <w:rsid w:val="00FD73E7"/>
    <w:rsid w:val="00FD79B4"/>
    <w:rsid w:val="00FD7A31"/>
    <w:rsid w:val="00FD7CEF"/>
    <w:rsid w:val="00FD7FCB"/>
    <w:rsid w:val="00FE01B8"/>
    <w:rsid w:val="00FE0AF5"/>
    <w:rsid w:val="00FE0B0C"/>
    <w:rsid w:val="00FE0D24"/>
    <w:rsid w:val="00FE12B2"/>
    <w:rsid w:val="00FE17C2"/>
    <w:rsid w:val="00FE225B"/>
    <w:rsid w:val="00FE2726"/>
    <w:rsid w:val="00FE27EB"/>
    <w:rsid w:val="00FE2F18"/>
    <w:rsid w:val="00FE2F7C"/>
    <w:rsid w:val="00FE2FA9"/>
    <w:rsid w:val="00FE31AB"/>
    <w:rsid w:val="00FE33A6"/>
    <w:rsid w:val="00FE3926"/>
    <w:rsid w:val="00FE55A2"/>
    <w:rsid w:val="00FE59C0"/>
    <w:rsid w:val="00FE63EC"/>
    <w:rsid w:val="00FE6680"/>
    <w:rsid w:val="00FE6883"/>
    <w:rsid w:val="00FE6ECD"/>
    <w:rsid w:val="00FE7BC2"/>
    <w:rsid w:val="00FE7E69"/>
    <w:rsid w:val="00FF040E"/>
    <w:rsid w:val="00FF047A"/>
    <w:rsid w:val="00FF0FEC"/>
    <w:rsid w:val="00FF10BA"/>
    <w:rsid w:val="00FF1202"/>
    <w:rsid w:val="00FF12EA"/>
    <w:rsid w:val="00FF1F6D"/>
    <w:rsid w:val="00FF2182"/>
    <w:rsid w:val="00FF2744"/>
    <w:rsid w:val="00FF278A"/>
    <w:rsid w:val="00FF28A7"/>
    <w:rsid w:val="00FF2AC0"/>
    <w:rsid w:val="00FF35FC"/>
    <w:rsid w:val="00FF3CCF"/>
    <w:rsid w:val="00FF41C5"/>
    <w:rsid w:val="00FF4624"/>
    <w:rsid w:val="00FF4D63"/>
    <w:rsid w:val="00FF54E8"/>
    <w:rsid w:val="00FF6A34"/>
    <w:rsid w:val="00FF6DB9"/>
    <w:rsid w:val="00FF718B"/>
    <w:rsid w:val="00FF7592"/>
    <w:rsid w:val="00FF77D2"/>
    <w:rsid w:val="00FF780F"/>
    <w:rsid w:val="00FF781B"/>
    <w:rsid w:val="00FF7A75"/>
    <w:rsid w:val="00FF7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50634F"/>
  <w15:chartTrackingRefBased/>
  <w15:docId w15:val="{75D664E2-1231-436D-8269-D903CF92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45"/>
    <w:pPr>
      <w:spacing w:after="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A14B8B"/>
    <w:pPr>
      <w:keepNext/>
      <w:keepLines/>
      <w:numPr>
        <w:numId w:val="2"/>
      </w:numPr>
      <w:jc w:val="both"/>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3308A"/>
    <w:pPr>
      <w:keepNext/>
      <w:keepLines/>
      <w:numPr>
        <w:ilvl w:val="1"/>
        <w:numId w:val="2"/>
      </w:numPr>
      <w:ind w:left="540" w:hanging="540"/>
      <w:outlineLvl w:val="1"/>
    </w:pPr>
    <w:rPr>
      <w:rFonts w:eastAsiaTheme="majorEastAsia" w:cstheme="majorBidi"/>
      <w:i/>
      <w:szCs w:val="26"/>
    </w:rPr>
  </w:style>
  <w:style w:type="paragraph" w:styleId="Heading3">
    <w:name w:val="heading 3"/>
    <w:basedOn w:val="Normal"/>
    <w:next w:val="Normal"/>
    <w:link w:val="Heading3Char"/>
    <w:autoRedefine/>
    <w:uiPriority w:val="9"/>
    <w:unhideWhenUsed/>
    <w:qFormat/>
    <w:rsid w:val="0053308A"/>
    <w:pPr>
      <w:keepNext/>
      <w:keepLines/>
      <w:numPr>
        <w:ilvl w:val="2"/>
        <w:numId w:val="2"/>
      </w:numPr>
      <w:ind w:left="720" w:hanging="72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47772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7772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8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3308A"/>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53308A"/>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4777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77727"/>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AD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D58AE"/>
    <w:pPr>
      <w:jc w:val="center"/>
    </w:pPr>
    <w:rPr>
      <w:rFonts w:cs="Times New Roman"/>
      <w:noProof/>
      <w:sz w:val="20"/>
      <w:lang w:val="en-US"/>
    </w:rPr>
  </w:style>
  <w:style w:type="character" w:customStyle="1" w:styleId="EndNoteBibliographyTitleChar">
    <w:name w:val="EndNote Bibliography Title Char"/>
    <w:basedOn w:val="DefaultParagraphFont"/>
    <w:link w:val="EndNoteBibliographyTitle"/>
    <w:rsid w:val="00AD58AE"/>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AD58AE"/>
    <w:pPr>
      <w:spacing w:line="240" w:lineRule="auto"/>
    </w:pPr>
    <w:rPr>
      <w:rFonts w:cs="Times New Roman"/>
      <w:noProof/>
      <w:sz w:val="20"/>
      <w:lang w:val="en-US"/>
    </w:rPr>
  </w:style>
  <w:style w:type="character" w:customStyle="1" w:styleId="EndNoteBibliographyChar">
    <w:name w:val="EndNote Bibliography Char"/>
    <w:basedOn w:val="DefaultParagraphFont"/>
    <w:link w:val="EndNoteBibliography"/>
    <w:rsid w:val="00AD58AE"/>
    <w:rPr>
      <w:rFonts w:ascii="Times New Roman" w:hAnsi="Times New Roman" w:cs="Times New Roman"/>
      <w:noProof/>
      <w:sz w:val="20"/>
      <w:lang w:val="en-US"/>
    </w:rPr>
  </w:style>
  <w:style w:type="paragraph" w:styleId="NoSpacing">
    <w:name w:val="No Spacing"/>
    <w:uiPriority w:val="1"/>
    <w:qFormat/>
    <w:rsid w:val="00E26942"/>
    <w:pPr>
      <w:spacing w:after="0" w:line="240" w:lineRule="auto"/>
    </w:pPr>
    <w:rPr>
      <w:rFonts w:ascii="Times New Roman" w:hAnsi="Times New Roman"/>
      <w:sz w:val="24"/>
    </w:rPr>
  </w:style>
  <w:style w:type="character" w:styleId="Hyperlink">
    <w:name w:val="Hyperlink"/>
    <w:basedOn w:val="DefaultParagraphFont"/>
    <w:uiPriority w:val="99"/>
    <w:unhideWhenUsed/>
    <w:rsid w:val="00042AB1"/>
    <w:rPr>
      <w:color w:val="0563C1"/>
      <w:u w:val="single"/>
    </w:rPr>
  </w:style>
  <w:style w:type="character" w:styleId="UnresolvedMention">
    <w:name w:val="Unresolved Mention"/>
    <w:basedOn w:val="DefaultParagraphFont"/>
    <w:uiPriority w:val="99"/>
    <w:semiHidden/>
    <w:unhideWhenUsed/>
    <w:rsid w:val="0003349F"/>
    <w:rPr>
      <w:color w:val="605E5C"/>
      <w:shd w:val="clear" w:color="auto" w:fill="E1DFDD"/>
    </w:rPr>
  </w:style>
  <w:style w:type="paragraph" w:styleId="FootnoteText">
    <w:name w:val="footnote text"/>
    <w:basedOn w:val="Normal"/>
    <w:link w:val="FootnoteTextChar"/>
    <w:uiPriority w:val="99"/>
    <w:semiHidden/>
    <w:unhideWhenUsed/>
    <w:rsid w:val="00B01F36"/>
    <w:pPr>
      <w:spacing w:line="240" w:lineRule="auto"/>
    </w:pPr>
    <w:rPr>
      <w:sz w:val="20"/>
      <w:szCs w:val="20"/>
    </w:rPr>
  </w:style>
  <w:style w:type="character" w:customStyle="1" w:styleId="FootnoteTextChar">
    <w:name w:val="Footnote Text Char"/>
    <w:basedOn w:val="DefaultParagraphFont"/>
    <w:link w:val="FootnoteText"/>
    <w:uiPriority w:val="99"/>
    <w:semiHidden/>
    <w:rsid w:val="00B01F36"/>
    <w:rPr>
      <w:rFonts w:ascii="Times New Roman" w:hAnsi="Times New Roman"/>
      <w:sz w:val="20"/>
      <w:szCs w:val="20"/>
    </w:rPr>
  </w:style>
  <w:style w:type="character" w:styleId="FootnoteReference">
    <w:name w:val="footnote reference"/>
    <w:basedOn w:val="DefaultParagraphFont"/>
    <w:uiPriority w:val="99"/>
    <w:semiHidden/>
    <w:unhideWhenUsed/>
    <w:rsid w:val="00B01F36"/>
    <w:rPr>
      <w:vertAlign w:val="superscript"/>
    </w:rPr>
  </w:style>
  <w:style w:type="character" w:styleId="PlaceholderText">
    <w:name w:val="Placeholder Text"/>
    <w:basedOn w:val="DefaultParagraphFont"/>
    <w:uiPriority w:val="99"/>
    <w:semiHidden/>
    <w:rsid w:val="00EA1967"/>
    <w:rPr>
      <w:color w:val="808080"/>
    </w:rPr>
  </w:style>
  <w:style w:type="character" w:styleId="CommentReference">
    <w:name w:val="annotation reference"/>
    <w:basedOn w:val="DefaultParagraphFont"/>
    <w:uiPriority w:val="99"/>
    <w:semiHidden/>
    <w:unhideWhenUsed/>
    <w:rsid w:val="00CD15BE"/>
    <w:rPr>
      <w:sz w:val="16"/>
      <w:szCs w:val="16"/>
    </w:rPr>
  </w:style>
  <w:style w:type="paragraph" w:styleId="CommentText">
    <w:name w:val="annotation text"/>
    <w:basedOn w:val="Normal"/>
    <w:link w:val="CommentTextChar"/>
    <w:uiPriority w:val="99"/>
    <w:unhideWhenUsed/>
    <w:rsid w:val="00CD15BE"/>
    <w:pPr>
      <w:spacing w:line="240" w:lineRule="auto"/>
    </w:pPr>
    <w:rPr>
      <w:sz w:val="20"/>
      <w:szCs w:val="20"/>
    </w:rPr>
  </w:style>
  <w:style w:type="character" w:customStyle="1" w:styleId="CommentTextChar">
    <w:name w:val="Comment Text Char"/>
    <w:basedOn w:val="DefaultParagraphFont"/>
    <w:link w:val="CommentText"/>
    <w:uiPriority w:val="99"/>
    <w:rsid w:val="00CD15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15BE"/>
    <w:rPr>
      <w:b/>
      <w:bCs/>
    </w:rPr>
  </w:style>
  <w:style w:type="character" w:customStyle="1" w:styleId="CommentSubjectChar">
    <w:name w:val="Comment Subject Char"/>
    <w:basedOn w:val="CommentTextChar"/>
    <w:link w:val="CommentSubject"/>
    <w:uiPriority w:val="99"/>
    <w:semiHidden/>
    <w:rsid w:val="00CD15BE"/>
    <w:rPr>
      <w:rFonts w:ascii="Times New Roman" w:hAnsi="Times New Roman"/>
      <w:b/>
      <w:bCs/>
      <w:sz w:val="20"/>
      <w:szCs w:val="20"/>
    </w:rPr>
  </w:style>
  <w:style w:type="paragraph" w:styleId="Header">
    <w:name w:val="header"/>
    <w:basedOn w:val="Normal"/>
    <w:link w:val="HeaderChar"/>
    <w:uiPriority w:val="99"/>
    <w:unhideWhenUsed/>
    <w:rsid w:val="00192843"/>
    <w:pPr>
      <w:tabs>
        <w:tab w:val="center" w:pos="4513"/>
        <w:tab w:val="right" w:pos="9026"/>
      </w:tabs>
      <w:spacing w:line="240" w:lineRule="auto"/>
    </w:pPr>
  </w:style>
  <w:style w:type="character" w:customStyle="1" w:styleId="HeaderChar">
    <w:name w:val="Header Char"/>
    <w:basedOn w:val="DefaultParagraphFont"/>
    <w:link w:val="Header"/>
    <w:uiPriority w:val="99"/>
    <w:rsid w:val="00192843"/>
    <w:rPr>
      <w:rFonts w:ascii="Times New Roman" w:hAnsi="Times New Roman"/>
      <w:sz w:val="24"/>
    </w:rPr>
  </w:style>
  <w:style w:type="paragraph" w:styleId="Footer">
    <w:name w:val="footer"/>
    <w:basedOn w:val="Normal"/>
    <w:link w:val="FooterChar"/>
    <w:uiPriority w:val="99"/>
    <w:unhideWhenUsed/>
    <w:rsid w:val="00192843"/>
    <w:pPr>
      <w:tabs>
        <w:tab w:val="center" w:pos="4513"/>
        <w:tab w:val="right" w:pos="9026"/>
      </w:tabs>
      <w:spacing w:line="240" w:lineRule="auto"/>
    </w:pPr>
  </w:style>
  <w:style w:type="character" w:customStyle="1" w:styleId="FooterChar">
    <w:name w:val="Footer Char"/>
    <w:basedOn w:val="DefaultParagraphFont"/>
    <w:link w:val="Footer"/>
    <w:uiPriority w:val="99"/>
    <w:rsid w:val="00192843"/>
    <w:rPr>
      <w:rFonts w:ascii="Times New Roman" w:hAnsi="Times New Roman"/>
      <w:sz w:val="24"/>
    </w:rPr>
  </w:style>
  <w:style w:type="paragraph" w:styleId="Revision">
    <w:name w:val="Revision"/>
    <w:hidden/>
    <w:uiPriority w:val="99"/>
    <w:semiHidden/>
    <w:rsid w:val="00D67E6B"/>
    <w:pPr>
      <w:spacing w:after="0" w:line="240" w:lineRule="auto"/>
    </w:pPr>
    <w:rPr>
      <w:rFonts w:ascii="Times New Roman" w:hAnsi="Times New Roman"/>
      <w:sz w:val="24"/>
    </w:rPr>
  </w:style>
  <w:style w:type="character" w:customStyle="1" w:styleId="title-text">
    <w:name w:val="title-text"/>
    <w:basedOn w:val="DefaultParagraphFont"/>
    <w:rsid w:val="0028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907">
      <w:bodyDiv w:val="1"/>
      <w:marLeft w:val="0"/>
      <w:marRight w:val="0"/>
      <w:marTop w:val="0"/>
      <w:marBottom w:val="0"/>
      <w:divBdr>
        <w:top w:val="none" w:sz="0" w:space="0" w:color="auto"/>
        <w:left w:val="none" w:sz="0" w:space="0" w:color="auto"/>
        <w:bottom w:val="none" w:sz="0" w:space="0" w:color="auto"/>
        <w:right w:val="none" w:sz="0" w:space="0" w:color="auto"/>
      </w:divBdr>
    </w:div>
    <w:div w:id="59401029">
      <w:bodyDiv w:val="1"/>
      <w:marLeft w:val="0"/>
      <w:marRight w:val="0"/>
      <w:marTop w:val="0"/>
      <w:marBottom w:val="0"/>
      <w:divBdr>
        <w:top w:val="none" w:sz="0" w:space="0" w:color="auto"/>
        <w:left w:val="none" w:sz="0" w:space="0" w:color="auto"/>
        <w:bottom w:val="none" w:sz="0" w:space="0" w:color="auto"/>
        <w:right w:val="none" w:sz="0" w:space="0" w:color="auto"/>
      </w:divBdr>
    </w:div>
    <w:div w:id="102506731">
      <w:bodyDiv w:val="1"/>
      <w:marLeft w:val="0"/>
      <w:marRight w:val="0"/>
      <w:marTop w:val="0"/>
      <w:marBottom w:val="0"/>
      <w:divBdr>
        <w:top w:val="none" w:sz="0" w:space="0" w:color="auto"/>
        <w:left w:val="none" w:sz="0" w:space="0" w:color="auto"/>
        <w:bottom w:val="none" w:sz="0" w:space="0" w:color="auto"/>
        <w:right w:val="none" w:sz="0" w:space="0" w:color="auto"/>
      </w:divBdr>
    </w:div>
    <w:div w:id="124591387">
      <w:bodyDiv w:val="1"/>
      <w:marLeft w:val="0"/>
      <w:marRight w:val="0"/>
      <w:marTop w:val="0"/>
      <w:marBottom w:val="0"/>
      <w:divBdr>
        <w:top w:val="none" w:sz="0" w:space="0" w:color="auto"/>
        <w:left w:val="none" w:sz="0" w:space="0" w:color="auto"/>
        <w:bottom w:val="none" w:sz="0" w:space="0" w:color="auto"/>
        <w:right w:val="none" w:sz="0" w:space="0" w:color="auto"/>
      </w:divBdr>
    </w:div>
    <w:div w:id="194001520">
      <w:bodyDiv w:val="1"/>
      <w:marLeft w:val="0"/>
      <w:marRight w:val="0"/>
      <w:marTop w:val="0"/>
      <w:marBottom w:val="0"/>
      <w:divBdr>
        <w:top w:val="none" w:sz="0" w:space="0" w:color="auto"/>
        <w:left w:val="none" w:sz="0" w:space="0" w:color="auto"/>
        <w:bottom w:val="none" w:sz="0" w:space="0" w:color="auto"/>
        <w:right w:val="none" w:sz="0" w:space="0" w:color="auto"/>
      </w:divBdr>
    </w:div>
    <w:div w:id="223880676">
      <w:bodyDiv w:val="1"/>
      <w:marLeft w:val="0"/>
      <w:marRight w:val="0"/>
      <w:marTop w:val="0"/>
      <w:marBottom w:val="0"/>
      <w:divBdr>
        <w:top w:val="none" w:sz="0" w:space="0" w:color="auto"/>
        <w:left w:val="none" w:sz="0" w:space="0" w:color="auto"/>
        <w:bottom w:val="none" w:sz="0" w:space="0" w:color="auto"/>
        <w:right w:val="none" w:sz="0" w:space="0" w:color="auto"/>
      </w:divBdr>
    </w:div>
    <w:div w:id="223948470">
      <w:bodyDiv w:val="1"/>
      <w:marLeft w:val="0"/>
      <w:marRight w:val="0"/>
      <w:marTop w:val="0"/>
      <w:marBottom w:val="0"/>
      <w:divBdr>
        <w:top w:val="none" w:sz="0" w:space="0" w:color="auto"/>
        <w:left w:val="none" w:sz="0" w:space="0" w:color="auto"/>
        <w:bottom w:val="none" w:sz="0" w:space="0" w:color="auto"/>
        <w:right w:val="none" w:sz="0" w:space="0" w:color="auto"/>
      </w:divBdr>
    </w:div>
    <w:div w:id="367069156">
      <w:bodyDiv w:val="1"/>
      <w:marLeft w:val="0"/>
      <w:marRight w:val="0"/>
      <w:marTop w:val="0"/>
      <w:marBottom w:val="0"/>
      <w:divBdr>
        <w:top w:val="none" w:sz="0" w:space="0" w:color="auto"/>
        <w:left w:val="none" w:sz="0" w:space="0" w:color="auto"/>
        <w:bottom w:val="none" w:sz="0" w:space="0" w:color="auto"/>
        <w:right w:val="none" w:sz="0" w:space="0" w:color="auto"/>
      </w:divBdr>
    </w:div>
    <w:div w:id="466751666">
      <w:bodyDiv w:val="1"/>
      <w:marLeft w:val="0"/>
      <w:marRight w:val="0"/>
      <w:marTop w:val="0"/>
      <w:marBottom w:val="0"/>
      <w:divBdr>
        <w:top w:val="none" w:sz="0" w:space="0" w:color="auto"/>
        <w:left w:val="none" w:sz="0" w:space="0" w:color="auto"/>
        <w:bottom w:val="none" w:sz="0" w:space="0" w:color="auto"/>
        <w:right w:val="none" w:sz="0" w:space="0" w:color="auto"/>
      </w:divBdr>
    </w:div>
    <w:div w:id="489443125">
      <w:bodyDiv w:val="1"/>
      <w:marLeft w:val="0"/>
      <w:marRight w:val="0"/>
      <w:marTop w:val="0"/>
      <w:marBottom w:val="0"/>
      <w:divBdr>
        <w:top w:val="none" w:sz="0" w:space="0" w:color="auto"/>
        <w:left w:val="none" w:sz="0" w:space="0" w:color="auto"/>
        <w:bottom w:val="none" w:sz="0" w:space="0" w:color="auto"/>
        <w:right w:val="none" w:sz="0" w:space="0" w:color="auto"/>
      </w:divBdr>
    </w:div>
    <w:div w:id="498036989">
      <w:bodyDiv w:val="1"/>
      <w:marLeft w:val="0"/>
      <w:marRight w:val="0"/>
      <w:marTop w:val="0"/>
      <w:marBottom w:val="0"/>
      <w:divBdr>
        <w:top w:val="none" w:sz="0" w:space="0" w:color="auto"/>
        <w:left w:val="none" w:sz="0" w:space="0" w:color="auto"/>
        <w:bottom w:val="none" w:sz="0" w:space="0" w:color="auto"/>
        <w:right w:val="none" w:sz="0" w:space="0" w:color="auto"/>
      </w:divBdr>
    </w:div>
    <w:div w:id="503280184">
      <w:bodyDiv w:val="1"/>
      <w:marLeft w:val="0"/>
      <w:marRight w:val="0"/>
      <w:marTop w:val="0"/>
      <w:marBottom w:val="0"/>
      <w:divBdr>
        <w:top w:val="none" w:sz="0" w:space="0" w:color="auto"/>
        <w:left w:val="none" w:sz="0" w:space="0" w:color="auto"/>
        <w:bottom w:val="none" w:sz="0" w:space="0" w:color="auto"/>
        <w:right w:val="none" w:sz="0" w:space="0" w:color="auto"/>
      </w:divBdr>
    </w:div>
    <w:div w:id="520628208">
      <w:bodyDiv w:val="1"/>
      <w:marLeft w:val="0"/>
      <w:marRight w:val="0"/>
      <w:marTop w:val="0"/>
      <w:marBottom w:val="0"/>
      <w:divBdr>
        <w:top w:val="none" w:sz="0" w:space="0" w:color="auto"/>
        <w:left w:val="none" w:sz="0" w:space="0" w:color="auto"/>
        <w:bottom w:val="none" w:sz="0" w:space="0" w:color="auto"/>
        <w:right w:val="none" w:sz="0" w:space="0" w:color="auto"/>
      </w:divBdr>
    </w:div>
    <w:div w:id="528379328">
      <w:bodyDiv w:val="1"/>
      <w:marLeft w:val="0"/>
      <w:marRight w:val="0"/>
      <w:marTop w:val="0"/>
      <w:marBottom w:val="0"/>
      <w:divBdr>
        <w:top w:val="none" w:sz="0" w:space="0" w:color="auto"/>
        <w:left w:val="none" w:sz="0" w:space="0" w:color="auto"/>
        <w:bottom w:val="none" w:sz="0" w:space="0" w:color="auto"/>
        <w:right w:val="none" w:sz="0" w:space="0" w:color="auto"/>
      </w:divBdr>
    </w:div>
    <w:div w:id="532109753">
      <w:bodyDiv w:val="1"/>
      <w:marLeft w:val="0"/>
      <w:marRight w:val="0"/>
      <w:marTop w:val="0"/>
      <w:marBottom w:val="0"/>
      <w:divBdr>
        <w:top w:val="none" w:sz="0" w:space="0" w:color="auto"/>
        <w:left w:val="none" w:sz="0" w:space="0" w:color="auto"/>
        <w:bottom w:val="none" w:sz="0" w:space="0" w:color="auto"/>
        <w:right w:val="none" w:sz="0" w:space="0" w:color="auto"/>
      </w:divBdr>
    </w:div>
    <w:div w:id="555165684">
      <w:bodyDiv w:val="1"/>
      <w:marLeft w:val="0"/>
      <w:marRight w:val="0"/>
      <w:marTop w:val="0"/>
      <w:marBottom w:val="0"/>
      <w:divBdr>
        <w:top w:val="none" w:sz="0" w:space="0" w:color="auto"/>
        <w:left w:val="none" w:sz="0" w:space="0" w:color="auto"/>
        <w:bottom w:val="none" w:sz="0" w:space="0" w:color="auto"/>
        <w:right w:val="none" w:sz="0" w:space="0" w:color="auto"/>
      </w:divBdr>
    </w:div>
    <w:div w:id="591622827">
      <w:bodyDiv w:val="1"/>
      <w:marLeft w:val="0"/>
      <w:marRight w:val="0"/>
      <w:marTop w:val="0"/>
      <w:marBottom w:val="0"/>
      <w:divBdr>
        <w:top w:val="none" w:sz="0" w:space="0" w:color="auto"/>
        <w:left w:val="none" w:sz="0" w:space="0" w:color="auto"/>
        <w:bottom w:val="none" w:sz="0" w:space="0" w:color="auto"/>
        <w:right w:val="none" w:sz="0" w:space="0" w:color="auto"/>
      </w:divBdr>
    </w:div>
    <w:div w:id="600066380">
      <w:bodyDiv w:val="1"/>
      <w:marLeft w:val="0"/>
      <w:marRight w:val="0"/>
      <w:marTop w:val="0"/>
      <w:marBottom w:val="0"/>
      <w:divBdr>
        <w:top w:val="none" w:sz="0" w:space="0" w:color="auto"/>
        <w:left w:val="none" w:sz="0" w:space="0" w:color="auto"/>
        <w:bottom w:val="none" w:sz="0" w:space="0" w:color="auto"/>
        <w:right w:val="none" w:sz="0" w:space="0" w:color="auto"/>
      </w:divBdr>
    </w:div>
    <w:div w:id="647783789">
      <w:bodyDiv w:val="1"/>
      <w:marLeft w:val="0"/>
      <w:marRight w:val="0"/>
      <w:marTop w:val="0"/>
      <w:marBottom w:val="0"/>
      <w:divBdr>
        <w:top w:val="none" w:sz="0" w:space="0" w:color="auto"/>
        <w:left w:val="none" w:sz="0" w:space="0" w:color="auto"/>
        <w:bottom w:val="none" w:sz="0" w:space="0" w:color="auto"/>
        <w:right w:val="none" w:sz="0" w:space="0" w:color="auto"/>
      </w:divBdr>
    </w:div>
    <w:div w:id="652755550">
      <w:bodyDiv w:val="1"/>
      <w:marLeft w:val="0"/>
      <w:marRight w:val="0"/>
      <w:marTop w:val="0"/>
      <w:marBottom w:val="0"/>
      <w:divBdr>
        <w:top w:val="none" w:sz="0" w:space="0" w:color="auto"/>
        <w:left w:val="none" w:sz="0" w:space="0" w:color="auto"/>
        <w:bottom w:val="none" w:sz="0" w:space="0" w:color="auto"/>
        <w:right w:val="none" w:sz="0" w:space="0" w:color="auto"/>
      </w:divBdr>
    </w:div>
    <w:div w:id="757602943">
      <w:bodyDiv w:val="1"/>
      <w:marLeft w:val="0"/>
      <w:marRight w:val="0"/>
      <w:marTop w:val="0"/>
      <w:marBottom w:val="0"/>
      <w:divBdr>
        <w:top w:val="none" w:sz="0" w:space="0" w:color="auto"/>
        <w:left w:val="none" w:sz="0" w:space="0" w:color="auto"/>
        <w:bottom w:val="none" w:sz="0" w:space="0" w:color="auto"/>
        <w:right w:val="none" w:sz="0" w:space="0" w:color="auto"/>
      </w:divBdr>
    </w:div>
    <w:div w:id="767578250">
      <w:bodyDiv w:val="1"/>
      <w:marLeft w:val="0"/>
      <w:marRight w:val="0"/>
      <w:marTop w:val="0"/>
      <w:marBottom w:val="0"/>
      <w:divBdr>
        <w:top w:val="none" w:sz="0" w:space="0" w:color="auto"/>
        <w:left w:val="none" w:sz="0" w:space="0" w:color="auto"/>
        <w:bottom w:val="none" w:sz="0" w:space="0" w:color="auto"/>
        <w:right w:val="none" w:sz="0" w:space="0" w:color="auto"/>
      </w:divBdr>
    </w:div>
    <w:div w:id="824589101">
      <w:bodyDiv w:val="1"/>
      <w:marLeft w:val="0"/>
      <w:marRight w:val="0"/>
      <w:marTop w:val="0"/>
      <w:marBottom w:val="0"/>
      <w:divBdr>
        <w:top w:val="none" w:sz="0" w:space="0" w:color="auto"/>
        <w:left w:val="none" w:sz="0" w:space="0" w:color="auto"/>
        <w:bottom w:val="none" w:sz="0" w:space="0" w:color="auto"/>
        <w:right w:val="none" w:sz="0" w:space="0" w:color="auto"/>
      </w:divBdr>
    </w:div>
    <w:div w:id="884679506">
      <w:bodyDiv w:val="1"/>
      <w:marLeft w:val="0"/>
      <w:marRight w:val="0"/>
      <w:marTop w:val="0"/>
      <w:marBottom w:val="0"/>
      <w:divBdr>
        <w:top w:val="none" w:sz="0" w:space="0" w:color="auto"/>
        <w:left w:val="none" w:sz="0" w:space="0" w:color="auto"/>
        <w:bottom w:val="none" w:sz="0" w:space="0" w:color="auto"/>
        <w:right w:val="none" w:sz="0" w:space="0" w:color="auto"/>
      </w:divBdr>
    </w:div>
    <w:div w:id="916283517">
      <w:bodyDiv w:val="1"/>
      <w:marLeft w:val="0"/>
      <w:marRight w:val="0"/>
      <w:marTop w:val="0"/>
      <w:marBottom w:val="0"/>
      <w:divBdr>
        <w:top w:val="none" w:sz="0" w:space="0" w:color="auto"/>
        <w:left w:val="none" w:sz="0" w:space="0" w:color="auto"/>
        <w:bottom w:val="none" w:sz="0" w:space="0" w:color="auto"/>
        <w:right w:val="none" w:sz="0" w:space="0" w:color="auto"/>
      </w:divBdr>
    </w:div>
    <w:div w:id="1031566522">
      <w:bodyDiv w:val="1"/>
      <w:marLeft w:val="0"/>
      <w:marRight w:val="0"/>
      <w:marTop w:val="0"/>
      <w:marBottom w:val="0"/>
      <w:divBdr>
        <w:top w:val="none" w:sz="0" w:space="0" w:color="auto"/>
        <w:left w:val="none" w:sz="0" w:space="0" w:color="auto"/>
        <w:bottom w:val="none" w:sz="0" w:space="0" w:color="auto"/>
        <w:right w:val="none" w:sz="0" w:space="0" w:color="auto"/>
      </w:divBdr>
    </w:div>
    <w:div w:id="1246569870">
      <w:bodyDiv w:val="1"/>
      <w:marLeft w:val="0"/>
      <w:marRight w:val="0"/>
      <w:marTop w:val="0"/>
      <w:marBottom w:val="0"/>
      <w:divBdr>
        <w:top w:val="none" w:sz="0" w:space="0" w:color="auto"/>
        <w:left w:val="none" w:sz="0" w:space="0" w:color="auto"/>
        <w:bottom w:val="none" w:sz="0" w:space="0" w:color="auto"/>
        <w:right w:val="none" w:sz="0" w:space="0" w:color="auto"/>
      </w:divBdr>
    </w:div>
    <w:div w:id="1424761597">
      <w:bodyDiv w:val="1"/>
      <w:marLeft w:val="0"/>
      <w:marRight w:val="0"/>
      <w:marTop w:val="0"/>
      <w:marBottom w:val="0"/>
      <w:divBdr>
        <w:top w:val="none" w:sz="0" w:space="0" w:color="auto"/>
        <w:left w:val="none" w:sz="0" w:space="0" w:color="auto"/>
        <w:bottom w:val="none" w:sz="0" w:space="0" w:color="auto"/>
        <w:right w:val="none" w:sz="0" w:space="0" w:color="auto"/>
      </w:divBdr>
    </w:div>
    <w:div w:id="1448885831">
      <w:bodyDiv w:val="1"/>
      <w:marLeft w:val="0"/>
      <w:marRight w:val="0"/>
      <w:marTop w:val="0"/>
      <w:marBottom w:val="0"/>
      <w:divBdr>
        <w:top w:val="none" w:sz="0" w:space="0" w:color="auto"/>
        <w:left w:val="none" w:sz="0" w:space="0" w:color="auto"/>
        <w:bottom w:val="none" w:sz="0" w:space="0" w:color="auto"/>
        <w:right w:val="none" w:sz="0" w:space="0" w:color="auto"/>
      </w:divBdr>
    </w:div>
    <w:div w:id="1453743385">
      <w:bodyDiv w:val="1"/>
      <w:marLeft w:val="0"/>
      <w:marRight w:val="0"/>
      <w:marTop w:val="0"/>
      <w:marBottom w:val="0"/>
      <w:divBdr>
        <w:top w:val="none" w:sz="0" w:space="0" w:color="auto"/>
        <w:left w:val="none" w:sz="0" w:space="0" w:color="auto"/>
        <w:bottom w:val="none" w:sz="0" w:space="0" w:color="auto"/>
        <w:right w:val="none" w:sz="0" w:space="0" w:color="auto"/>
      </w:divBdr>
    </w:div>
    <w:div w:id="1632663318">
      <w:bodyDiv w:val="1"/>
      <w:marLeft w:val="0"/>
      <w:marRight w:val="0"/>
      <w:marTop w:val="0"/>
      <w:marBottom w:val="0"/>
      <w:divBdr>
        <w:top w:val="none" w:sz="0" w:space="0" w:color="auto"/>
        <w:left w:val="none" w:sz="0" w:space="0" w:color="auto"/>
        <w:bottom w:val="none" w:sz="0" w:space="0" w:color="auto"/>
        <w:right w:val="none" w:sz="0" w:space="0" w:color="auto"/>
      </w:divBdr>
    </w:div>
    <w:div w:id="1696419150">
      <w:bodyDiv w:val="1"/>
      <w:marLeft w:val="0"/>
      <w:marRight w:val="0"/>
      <w:marTop w:val="0"/>
      <w:marBottom w:val="0"/>
      <w:divBdr>
        <w:top w:val="none" w:sz="0" w:space="0" w:color="auto"/>
        <w:left w:val="none" w:sz="0" w:space="0" w:color="auto"/>
        <w:bottom w:val="none" w:sz="0" w:space="0" w:color="auto"/>
        <w:right w:val="none" w:sz="0" w:space="0" w:color="auto"/>
      </w:divBdr>
    </w:div>
    <w:div w:id="1721324076">
      <w:bodyDiv w:val="1"/>
      <w:marLeft w:val="0"/>
      <w:marRight w:val="0"/>
      <w:marTop w:val="0"/>
      <w:marBottom w:val="0"/>
      <w:divBdr>
        <w:top w:val="none" w:sz="0" w:space="0" w:color="auto"/>
        <w:left w:val="none" w:sz="0" w:space="0" w:color="auto"/>
        <w:bottom w:val="none" w:sz="0" w:space="0" w:color="auto"/>
        <w:right w:val="none" w:sz="0" w:space="0" w:color="auto"/>
      </w:divBdr>
    </w:div>
    <w:div w:id="1777098054">
      <w:bodyDiv w:val="1"/>
      <w:marLeft w:val="0"/>
      <w:marRight w:val="0"/>
      <w:marTop w:val="0"/>
      <w:marBottom w:val="0"/>
      <w:divBdr>
        <w:top w:val="none" w:sz="0" w:space="0" w:color="auto"/>
        <w:left w:val="none" w:sz="0" w:space="0" w:color="auto"/>
        <w:bottom w:val="none" w:sz="0" w:space="0" w:color="auto"/>
        <w:right w:val="none" w:sz="0" w:space="0" w:color="auto"/>
      </w:divBdr>
    </w:div>
    <w:div w:id="1895850145">
      <w:bodyDiv w:val="1"/>
      <w:marLeft w:val="0"/>
      <w:marRight w:val="0"/>
      <w:marTop w:val="0"/>
      <w:marBottom w:val="0"/>
      <w:divBdr>
        <w:top w:val="none" w:sz="0" w:space="0" w:color="auto"/>
        <w:left w:val="none" w:sz="0" w:space="0" w:color="auto"/>
        <w:bottom w:val="none" w:sz="0" w:space="0" w:color="auto"/>
        <w:right w:val="none" w:sz="0" w:space="0" w:color="auto"/>
      </w:divBdr>
    </w:div>
    <w:div w:id="1955942315">
      <w:bodyDiv w:val="1"/>
      <w:marLeft w:val="0"/>
      <w:marRight w:val="0"/>
      <w:marTop w:val="0"/>
      <w:marBottom w:val="0"/>
      <w:divBdr>
        <w:top w:val="none" w:sz="0" w:space="0" w:color="auto"/>
        <w:left w:val="none" w:sz="0" w:space="0" w:color="auto"/>
        <w:bottom w:val="none" w:sz="0" w:space="0" w:color="auto"/>
        <w:right w:val="none" w:sz="0" w:space="0" w:color="auto"/>
      </w:divBdr>
    </w:div>
    <w:div w:id="1972058401">
      <w:bodyDiv w:val="1"/>
      <w:marLeft w:val="0"/>
      <w:marRight w:val="0"/>
      <w:marTop w:val="0"/>
      <w:marBottom w:val="0"/>
      <w:divBdr>
        <w:top w:val="none" w:sz="0" w:space="0" w:color="auto"/>
        <w:left w:val="none" w:sz="0" w:space="0" w:color="auto"/>
        <w:bottom w:val="none" w:sz="0" w:space="0" w:color="auto"/>
        <w:right w:val="none" w:sz="0" w:space="0" w:color="auto"/>
      </w:divBdr>
    </w:div>
    <w:div w:id="2010869827">
      <w:bodyDiv w:val="1"/>
      <w:marLeft w:val="0"/>
      <w:marRight w:val="0"/>
      <w:marTop w:val="0"/>
      <w:marBottom w:val="0"/>
      <w:divBdr>
        <w:top w:val="none" w:sz="0" w:space="0" w:color="auto"/>
        <w:left w:val="none" w:sz="0" w:space="0" w:color="auto"/>
        <w:bottom w:val="none" w:sz="0" w:space="0" w:color="auto"/>
        <w:right w:val="none" w:sz="0" w:space="0" w:color="auto"/>
      </w:divBdr>
    </w:div>
    <w:div w:id="20372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imf.org/?sk=F8032E80-B36C-43B1-AC26-493C5B1CD33B" TargetMode="External"/><Relationship Id="rId18" Type="http://schemas.openxmlformats.org/officeDocument/2006/relationships/hyperlink" Target="http://hdr.undp.org/" TargetMode="External"/><Relationship Id="rId3" Type="http://schemas.openxmlformats.org/officeDocument/2006/relationships/styles" Target="styles.xml"/><Relationship Id="rId21" Type="http://schemas.openxmlformats.org/officeDocument/2006/relationships/hyperlink" Target="https://databank.worldbank.org/source/world-development-indicators" TargetMode="External"/><Relationship Id="rId7" Type="http://schemas.openxmlformats.org/officeDocument/2006/relationships/endnotes" Target="endnotes.xml"/><Relationship Id="rId12" Type="http://schemas.openxmlformats.org/officeDocument/2006/relationships/hyperlink" Target="https://data.imf.org/?sk=F8032E80-B36C-43B1-AC26-493C5B1CD33B" TargetMode="External"/><Relationship Id="rId17" Type="http://schemas.openxmlformats.org/officeDocument/2006/relationships/hyperlink" Target="https://alfred.stlouisfed.org/" TargetMode="External"/><Relationship Id="rId2" Type="http://schemas.openxmlformats.org/officeDocument/2006/relationships/numbering" Target="numbering.xml"/><Relationship Id="rId16" Type="http://schemas.openxmlformats.org/officeDocument/2006/relationships/hyperlink" Target="https://data.imf.org/?sk=F8032E80-B36C-43B1-AC26-493C5B1CD33B" TargetMode="External"/><Relationship Id="rId20" Type="http://schemas.openxmlformats.org/officeDocument/2006/relationships/hyperlink" Target="https://databank.worldbank.org/source/world-development-indica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imf.org/?sk=F8032E80-B36C-43B1-AC26-493C5B1CD33B" TargetMode="External"/><Relationship Id="rId5" Type="http://schemas.openxmlformats.org/officeDocument/2006/relationships/webSettings" Target="webSettings.xml"/><Relationship Id="rId15" Type="http://schemas.openxmlformats.org/officeDocument/2006/relationships/hyperlink" Target="https://data.imf.org/?sk=F8032E80-B36C-43B1-AC26-493C5B1CD33B" TargetMode="External"/><Relationship Id="rId23" Type="http://schemas.openxmlformats.org/officeDocument/2006/relationships/theme" Target="theme/theme1.xml"/><Relationship Id="rId10" Type="http://schemas.openxmlformats.org/officeDocument/2006/relationships/hyperlink" Target="https://www.gapminder.org/data/" TargetMode="External"/><Relationship Id="rId19" Type="http://schemas.openxmlformats.org/officeDocument/2006/relationships/hyperlink" Target="https://databank.worldbank.org/source/world-development-indicators" TargetMode="External"/><Relationship Id="rId4" Type="http://schemas.openxmlformats.org/officeDocument/2006/relationships/settings" Target="settings.xml"/><Relationship Id="rId9" Type="http://schemas.openxmlformats.org/officeDocument/2006/relationships/hyperlink" Target="https://www.eia.gov/" TargetMode="External"/><Relationship Id="rId14" Type="http://schemas.openxmlformats.org/officeDocument/2006/relationships/hyperlink" Target="https://data.imf.org/?sk=F8032E80-B36C-43B1-AC26-493C5B1CD33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9D46-AC97-4B8E-A4A9-8AF0EFBA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22668</Words>
  <Characters>129209</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151574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Nguyen Thanh</cp:lastModifiedBy>
  <cp:revision>5</cp:revision>
  <cp:lastPrinted>2022-11-13T10:58:00Z</cp:lastPrinted>
  <dcterms:created xsi:type="dcterms:W3CDTF">2023-08-15T04:22:00Z</dcterms:created>
  <dcterms:modified xsi:type="dcterms:W3CDTF">2023-08-15T06:32:00Z</dcterms:modified>
</cp:coreProperties>
</file>