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38" w:rsidRPr="0059184B" w:rsidRDefault="00EA1F38" w:rsidP="00C61C16">
      <w:pPr>
        <w:pStyle w:val="1"/>
        <w:jc w:val="center"/>
        <w:rPr>
          <w:rFonts w:ascii="Times New Roman" w:hAnsi="Times New Roman" w:cs="Times New Roman"/>
          <w:sz w:val="36"/>
          <w:szCs w:val="36"/>
        </w:rPr>
      </w:pPr>
      <w:bookmarkStart w:id="0" w:name="_Toc421911268"/>
      <w:bookmarkStart w:id="1" w:name="_Toc422168147"/>
      <w:bookmarkStart w:id="2" w:name="_Toc422168382"/>
      <w:bookmarkStart w:id="3" w:name="_Toc421911269"/>
      <w:bookmarkStart w:id="4" w:name="_Toc422168148"/>
      <w:bookmarkStart w:id="5" w:name="_Toc422168383"/>
      <w:r w:rsidRPr="0059184B">
        <w:rPr>
          <w:rFonts w:ascii="Times New Roman" w:hAnsi="Times New Roman" w:cs="Times New Roman"/>
          <w:sz w:val="36"/>
          <w:szCs w:val="36"/>
        </w:rPr>
        <w:t>Does Dodd-Frank Wall Street Reform Act Changed Attitude of U.S. bank holding companies towards credit and interest derivatives?</w:t>
      </w:r>
    </w:p>
    <w:p w:rsidR="00EA1F38" w:rsidRPr="0059184B" w:rsidRDefault="00EA1F38" w:rsidP="00EA1F38"/>
    <w:p w:rsidR="00EA1F38" w:rsidRPr="0059184B" w:rsidRDefault="00EA1F38" w:rsidP="00EA1F38">
      <w:pPr>
        <w:jc w:val="center"/>
        <w:rPr>
          <w:rFonts w:ascii="Century Gothic" w:hAnsi="Century Gothic"/>
          <w:sz w:val="24"/>
          <w:szCs w:val="24"/>
        </w:rPr>
      </w:pPr>
      <w:proofErr w:type="spellStart"/>
      <w:r w:rsidRPr="0059184B">
        <w:rPr>
          <w:rFonts w:ascii="Century Gothic" w:hAnsi="Century Gothic"/>
          <w:sz w:val="24"/>
          <w:szCs w:val="24"/>
        </w:rPr>
        <w:t>Jędrzej</w:t>
      </w:r>
      <w:proofErr w:type="spellEnd"/>
      <w:r w:rsidRPr="0059184B">
        <w:rPr>
          <w:rFonts w:ascii="Century Gothic" w:hAnsi="Century Gothic" w:hint="eastAsia"/>
          <w:sz w:val="24"/>
          <w:szCs w:val="24"/>
        </w:rPr>
        <w:t xml:space="preserve"> </w:t>
      </w:r>
      <w:proofErr w:type="spellStart"/>
      <w:r w:rsidRPr="0059184B">
        <w:rPr>
          <w:rFonts w:ascii="Century Gothic" w:hAnsi="Century Gothic"/>
          <w:sz w:val="24"/>
          <w:szCs w:val="24"/>
        </w:rPr>
        <w:t>Białkowski</w:t>
      </w:r>
      <w:proofErr w:type="spellEnd"/>
    </w:p>
    <w:p w:rsidR="00EA1F38" w:rsidRPr="0059184B" w:rsidRDefault="00EA1F38" w:rsidP="00EA1F38">
      <w:pPr>
        <w:jc w:val="center"/>
        <w:rPr>
          <w:rFonts w:ascii="Century Gothic" w:hAnsi="Century Gothic"/>
          <w:sz w:val="24"/>
          <w:szCs w:val="24"/>
        </w:rPr>
      </w:pPr>
      <w:r w:rsidRPr="0059184B">
        <w:rPr>
          <w:rFonts w:ascii="Century Gothic" w:hAnsi="Century Gothic"/>
          <w:sz w:val="24"/>
          <w:szCs w:val="24"/>
        </w:rPr>
        <w:t xml:space="preserve">Department of Economics and Finance, </w:t>
      </w:r>
    </w:p>
    <w:p w:rsidR="00EA1F38" w:rsidRPr="0059184B" w:rsidRDefault="00EA1F38" w:rsidP="00EA1F38">
      <w:pPr>
        <w:jc w:val="center"/>
        <w:rPr>
          <w:rFonts w:ascii="Century Gothic" w:hAnsi="Century Gothic"/>
          <w:sz w:val="24"/>
          <w:szCs w:val="24"/>
        </w:rPr>
      </w:pPr>
      <w:r w:rsidRPr="0059184B">
        <w:rPr>
          <w:rFonts w:ascii="Century Gothic" w:hAnsi="Century Gothic"/>
          <w:sz w:val="24"/>
          <w:szCs w:val="24"/>
        </w:rPr>
        <w:t>University of Canterbury, New Zealand</w:t>
      </w:r>
    </w:p>
    <w:p w:rsidR="00EA1F38" w:rsidRPr="0059184B" w:rsidRDefault="00EA1F38" w:rsidP="00EA1F38">
      <w:pPr>
        <w:jc w:val="center"/>
        <w:rPr>
          <w:rFonts w:ascii="Century Gothic" w:hAnsi="Century Gothic"/>
          <w:sz w:val="24"/>
          <w:szCs w:val="24"/>
        </w:rPr>
      </w:pPr>
    </w:p>
    <w:p w:rsidR="00EA1F38" w:rsidRPr="0059184B" w:rsidRDefault="00EA1F38" w:rsidP="00EA1F38">
      <w:pPr>
        <w:jc w:val="center"/>
        <w:rPr>
          <w:rFonts w:ascii="Century Gothic" w:hAnsi="Century Gothic"/>
          <w:sz w:val="24"/>
          <w:szCs w:val="24"/>
        </w:rPr>
      </w:pPr>
      <w:r w:rsidRPr="0059184B">
        <w:rPr>
          <w:rFonts w:ascii="Century Gothic" w:hAnsi="Century Gothic"/>
          <w:sz w:val="24"/>
          <w:szCs w:val="24"/>
        </w:rPr>
        <w:t>Huong</w:t>
      </w:r>
      <w:r w:rsidRPr="0059184B">
        <w:rPr>
          <w:rFonts w:ascii="Century Gothic" w:hAnsi="Century Gothic" w:hint="eastAsia"/>
          <w:sz w:val="24"/>
          <w:szCs w:val="24"/>
        </w:rPr>
        <w:t xml:space="preserve"> </w:t>
      </w:r>
      <w:proofErr w:type="spellStart"/>
      <w:r w:rsidRPr="0059184B">
        <w:rPr>
          <w:rFonts w:ascii="Century Gothic" w:hAnsi="Century Gothic"/>
          <w:sz w:val="24"/>
          <w:szCs w:val="24"/>
        </w:rPr>
        <w:t>Dieu</w:t>
      </w:r>
      <w:proofErr w:type="spellEnd"/>
      <w:r w:rsidRPr="0059184B">
        <w:rPr>
          <w:rFonts w:ascii="Century Gothic" w:hAnsi="Century Gothic"/>
          <w:sz w:val="24"/>
          <w:szCs w:val="24"/>
        </w:rPr>
        <w:t xml:space="preserve"> Dang</w:t>
      </w:r>
    </w:p>
    <w:p w:rsidR="00EA1F38" w:rsidRPr="0059184B" w:rsidRDefault="00EA1F38" w:rsidP="00EA1F38">
      <w:pPr>
        <w:jc w:val="center"/>
        <w:rPr>
          <w:rFonts w:ascii="Century Gothic" w:hAnsi="Century Gothic"/>
          <w:sz w:val="24"/>
          <w:szCs w:val="24"/>
        </w:rPr>
      </w:pPr>
      <w:r w:rsidRPr="0059184B">
        <w:rPr>
          <w:rFonts w:ascii="Century Gothic" w:hAnsi="Century Gothic"/>
          <w:sz w:val="24"/>
          <w:szCs w:val="24"/>
        </w:rPr>
        <w:t xml:space="preserve">Department of Economics and Finance, </w:t>
      </w:r>
    </w:p>
    <w:p w:rsidR="00EA1F38" w:rsidRPr="0059184B" w:rsidRDefault="00EA1F38" w:rsidP="00EA1F38">
      <w:pPr>
        <w:jc w:val="center"/>
        <w:rPr>
          <w:rFonts w:ascii="Century Gothic" w:hAnsi="Century Gothic"/>
          <w:sz w:val="24"/>
          <w:szCs w:val="24"/>
        </w:rPr>
      </w:pPr>
      <w:r w:rsidRPr="0059184B">
        <w:rPr>
          <w:rFonts w:ascii="Century Gothic" w:hAnsi="Century Gothic"/>
          <w:sz w:val="24"/>
          <w:szCs w:val="24"/>
        </w:rPr>
        <w:t>University of Canterbury, New Zealand</w:t>
      </w:r>
    </w:p>
    <w:p w:rsidR="00EA1F38" w:rsidRPr="0059184B" w:rsidRDefault="00EA1F38" w:rsidP="00EA1F38">
      <w:pPr>
        <w:jc w:val="center"/>
        <w:rPr>
          <w:rFonts w:ascii="Century Gothic" w:hAnsi="Century Gothic"/>
          <w:sz w:val="24"/>
          <w:szCs w:val="24"/>
        </w:rPr>
      </w:pPr>
    </w:p>
    <w:p w:rsidR="00EA1F38" w:rsidRPr="0059184B" w:rsidRDefault="00EA1F38" w:rsidP="00EA1F38">
      <w:pPr>
        <w:jc w:val="center"/>
        <w:rPr>
          <w:rFonts w:ascii="Century Gothic" w:hAnsi="Century Gothic"/>
          <w:sz w:val="24"/>
          <w:szCs w:val="24"/>
        </w:rPr>
      </w:pPr>
      <w:proofErr w:type="spellStart"/>
      <w:r w:rsidRPr="0059184B">
        <w:rPr>
          <w:rFonts w:ascii="Century Gothic" w:hAnsi="Century Gothic"/>
          <w:sz w:val="24"/>
          <w:szCs w:val="24"/>
        </w:rPr>
        <w:t>Xiaopeng</w:t>
      </w:r>
      <w:proofErr w:type="spellEnd"/>
      <w:r w:rsidRPr="0059184B">
        <w:rPr>
          <w:rFonts w:ascii="Century Gothic" w:hAnsi="Century Gothic"/>
          <w:sz w:val="24"/>
          <w:szCs w:val="24"/>
        </w:rPr>
        <w:t xml:space="preserve"> Wei</w:t>
      </w:r>
    </w:p>
    <w:p w:rsidR="00EA1F38" w:rsidRPr="0059184B" w:rsidRDefault="00EA1F38" w:rsidP="00EA1F38">
      <w:pPr>
        <w:jc w:val="center"/>
        <w:rPr>
          <w:rFonts w:ascii="Century Gothic" w:hAnsi="Century Gothic"/>
          <w:sz w:val="24"/>
          <w:szCs w:val="24"/>
        </w:rPr>
      </w:pPr>
      <w:r w:rsidRPr="0059184B">
        <w:rPr>
          <w:rFonts w:ascii="Century Gothic" w:hAnsi="Century Gothic"/>
          <w:sz w:val="24"/>
          <w:szCs w:val="24"/>
        </w:rPr>
        <w:t xml:space="preserve">Department of Economics and Finance, </w:t>
      </w:r>
    </w:p>
    <w:p w:rsidR="00EA1F38" w:rsidRPr="0059184B" w:rsidRDefault="00EA1F38" w:rsidP="00EA1F38">
      <w:pPr>
        <w:jc w:val="center"/>
        <w:rPr>
          <w:rFonts w:ascii="Century Gothic" w:hAnsi="Century Gothic"/>
          <w:sz w:val="24"/>
          <w:szCs w:val="24"/>
        </w:rPr>
      </w:pPr>
      <w:r w:rsidRPr="0059184B">
        <w:rPr>
          <w:rFonts w:ascii="Century Gothic" w:hAnsi="Century Gothic"/>
          <w:sz w:val="24"/>
          <w:szCs w:val="24"/>
        </w:rPr>
        <w:t>University of Canterbury, New Zealand</w:t>
      </w:r>
    </w:p>
    <w:p w:rsidR="00EA1F38" w:rsidRPr="0059184B" w:rsidRDefault="00EA1F38" w:rsidP="00EA1F38"/>
    <w:p w:rsidR="00EA1F38" w:rsidRPr="0059184B" w:rsidRDefault="00EA1F38" w:rsidP="00EA1F38">
      <w:pPr>
        <w:pStyle w:val="2"/>
        <w:jc w:val="center"/>
        <w:rPr>
          <w:sz w:val="23"/>
          <w:szCs w:val="23"/>
        </w:rPr>
      </w:pPr>
      <w:r w:rsidRPr="0059184B">
        <w:rPr>
          <w:rFonts w:ascii="Times New Roman" w:hAnsi="Times New Roman" w:cs="Times New Roman" w:hint="eastAsia"/>
          <w:sz w:val="24"/>
          <w:szCs w:val="24"/>
        </w:rPr>
        <w:t>Abstract</w:t>
      </w:r>
    </w:p>
    <w:p w:rsidR="00EA1F38" w:rsidRPr="0059184B" w:rsidRDefault="00EA1F38" w:rsidP="00EA1F38">
      <w:pPr>
        <w:spacing w:before="120" w:after="120"/>
        <w:rPr>
          <w:rFonts w:ascii="Times New Roman" w:hAnsi="Times New Roman" w:cs="Times New Roman"/>
          <w:sz w:val="24"/>
          <w:szCs w:val="24"/>
        </w:rPr>
      </w:pPr>
      <w:r w:rsidRPr="0059184B">
        <w:rPr>
          <w:rFonts w:ascii="Times New Roman" w:hAnsi="Times New Roman" w:cs="Times New Roman"/>
          <w:sz w:val="24"/>
          <w:szCs w:val="24"/>
        </w:rPr>
        <w:t xml:space="preserve">This paper investigates response of U.S. bank holding companies to introduction The Dodd-Frank Wall Street Reform Act (DFA). By examining </w:t>
      </w:r>
      <w:r w:rsidR="003B660C" w:rsidRPr="0059184B">
        <w:rPr>
          <w:rFonts w:ascii="Times New Roman" w:hAnsi="Times New Roman" w:cs="Times New Roman"/>
          <w:sz w:val="24"/>
          <w:szCs w:val="24"/>
        </w:rPr>
        <w:t xml:space="preserve">151 </w:t>
      </w:r>
      <w:r w:rsidRPr="0059184B">
        <w:rPr>
          <w:rFonts w:ascii="Times New Roman" w:hAnsi="Times New Roman" w:cs="Times New Roman"/>
          <w:sz w:val="24"/>
          <w:szCs w:val="24"/>
        </w:rPr>
        <w:t xml:space="preserve">U.S. bank holding companies with total asset higher than 1 billion, we find that in post-DFA period, banks’ contribution to systemic risk was substantially reduced. Moreover, we found usage of credit and interest rate derivatives held for hedging have weakened impact on systemic risk. On other hand, our scrutiny reveals that the individual banks’ risks increase and performance decrease. Finally, we show that in regulator environment defined by DFA, the usage of interest and credit derivatives contribute less to the systemic risk. </w:t>
      </w:r>
    </w:p>
    <w:p w:rsidR="00EA1F38" w:rsidRPr="0059184B" w:rsidRDefault="00EA1F38" w:rsidP="00EA1F38">
      <w:pPr>
        <w:ind w:firstLine="420"/>
        <w:rPr>
          <w:rFonts w:ascii="Times New Roman" w:hAnsi="Times New Roman" w:cs="Times New Roman"/>
          <w:sz w:val="24"/>
          <w:szCs w:val="24"/>
        </w:rPr>
      </w:pPr>
    </w:p>
    <w:p w:rsidR="00EA1F38" w:rsidRPr="0059184B" w:rsidRDefault="00EA1F38" w:rsidP="00EA1F38">
      <w:pPr>
        <w:rPr>
          <w:rFonts w:ascii="Times New Roman" w:hAnsi="Times New Roman" w:cs="Times New Roman"/>
          <w:sz w:val="24"/>
          <w:szCs w:val="24"/>
        </w:rPr>
      </w:pPr>
    </w:p>
    <w:p w:rsidR="00EA1F38" w:rsidRPr="0059184B" w:rsidRDefault="00EA1F38" w:rsidP="00EA1F38">
      <w:pPr>
        <w:rPr>
          <w:rFonts w:ascii="Times New Roman" w:hAnsi="Times New Roman" w:cs="Times New Roman"/>
          <w:sz w:val="24"/>
          <w:szCs w:val="24"/>
        </w:rPr>
      </w:pPr>
      <w:r w:rsidRPr="0059184B">
        <w:rPr>
          <w:rFonts w:ascii="Times New Roman" w:hAnsi="Times New Roman" w:cs="Times New Roman" w:hint="eastAsia"/>
          <w:i/>
          <w:sz w:val="24"/>
          <w:szCs w:val="24"/>
        </w:rPr>
        <w:t>Keywords</w:t>
      </w:r>
      <w:r w:rsidRPr="0059184B">
        <w:rPr>
          <w:rFonts w:ascii="Times New Roman" w:hAnsi="Times New Roman" w:cs="Times New Roman" w:hint="eastAsia"/>
          <w:sz w:val="24"/>
          <w:szCs w:val="24"/>
        </w:rPr>
        <w:t xml:space="preserve">: </w:t>
      </w:r>
      <w:r w:rsidRPr="0059184B">
        <w:rPr>
          <w:rFonts w:ascii="Times New Roman" w:hAnsi="Times New Roman" w:cs="Times New Roman"/>
          <w:sz w:val="24"/>
          <w:szCs w:val="24"/>
        </w:rPr>
        <w:t>U.S. bank holding companies; Systemic risk; The Dodd-Frank Wall Street Reform Act (DFA); Credit derivatives; Interest derivatives; Hedging; Global Financial Crisis</w:t>
      </w:r>
    </w:p>
    <w:p w:rsidR="00EA1F38" w:rsidRPr="0059184B" w:rsidRDefault="00EA1F38" w:rsidP="00EA1F38">
      <w:pPr>
        <w:rPr>
          <w:rFonts w:ascii="Times New Roman" w:hAnsi="Times New Roman" w:cs="Times New Roman"/>
          <w:sz w:val="24"/>
          <w:szCs w:val="24"/>
        </w:rPr>
      </w:pPr>
    </w:p>
    <w:p w:rsidR="00EA1F38" w:rsidRPr="0059184B" w:rsidRDefault="00EA1F38" w:rsidP="00EA1F38">
      <w:pPr>
        <w:rPr>
          <w:rFonts w:ascii="Times New Roman" w:hAnsi="Times New Roman" w:cs="Times New Roman"/>
          <w:sz w:val="24"/>
          <w:szCs w:val="24"/>
        </w:rPr>
      </w:pPr>
      <w:r w:rsidRPr="0059184B">
        <w:rPr>
          <w:rFonts w:ascii="Times New Roman" w:hAnsi="Times New Roman" w:cs="Times New Roman"/>
          <w:i/>
          <w:sz w:val="24"/>
          <w:szCs w:val="24"/>
        </w:rPr>
        <w:t>JEL codes:</w:t>
      </w:r>
      <w:r w:rsidRPr="0059184B">
        <w:rPr>
          <w:rFonts w:ascii="Times New Roman" w:hAnsi="Times New Roman" w:cs="Times New Roman"/>
          <w:sz w:val="24"/>
          <w:szCs w:val="24"/>
        </w:rPr>
        <w:t xml:space="preserve"> G11, G23</w:t>
      </w:r>
    </w:p>
    <w:p w:rsidR="0087140C" w:rsidRPr="0059184B" w:rsidRDefault="0087140C" w:rsidP="00EA1F38">
      <w:pPr>
        <w:rPr>
          <w:rFonts w:ascii="Times New Roman" w:hAnsi="Times New Roman" w:cs="Times New Roman"/>
          <w:sz w:val="24"/>
          <w:szCs w:val="24"/>
        </w:rPr>
      </w:pPr>
    </w:p>
    <w:p w:rsidR="0087140C" w:rsidRPr="0059184B" w:rsidRDefault="0087140C" w:rsidP="0087140C">
      <w:r w:rsidRPr="0059184B">
        <w:br w:type="page"/>
      </w:r>
    </w:p>
    <w:p w:rsidR="00C10E90" w:rsidRPr="0059184B" w:rsidRDefault="00C10E90" w:rsidP="00C10E90">
      <w:pPr>
        <w:pStyle w:val="2"/>
        <w:numPr>
          <w:ilvl w:val="0"/>
          <w:numId w:val="1"/>
        </w:num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lastRenderedPageBreak/>
        <w:t>Introduction</w:t>
      </w:r>
      <w:bookmarkEnd w:id="0"/>
      <w:bookmarkEnd w:id="1"/>
      <w:bookmarkEnd w:id="2"/>
      <w:r w:rsidRPr="0059184B">
        <w:rPr>
          <w:rFonts w:ascii="Times New Roman" w:hAnsi="Times New Roman" w:cs="Times New Roman"/>
          <w:sz w:val="24"/>
          <w:szCs w:val="24"/>
        </w:rPr>
        <w:t xml:space="preserve"> </w:t>
      </w:r>
    </w:p>
    <w:p w:rsidR="00C10E90" w:rsidRPr="0059184B" w:rsidRDefault="00C10E90" w:rsidP="00671526">
      <w:pPr>
        <w:spacing w:line="360" w:lineRule="auto"/>
        <w:rPr>
          <w:rFonts w:ascii="Times New Roman" w:hAnsi="Times New Roman" w:cs="Times New Roman"/>
          <w:sz w:val="24"/>
          <w:szCs w:val="24"/>
        </w:rPr>
      </w:pPr>
      <w:r w:rsidRPr="0059184B">
        <w:rPr>
          <w:rFonts w:ascii="Times New Roman" w:hAnsi="Times New Roman" w:cs="Times New Roman"/>
          <w:sz w:val="24"/>
          <w:szCs w:val="24"/>
        </w:rPr>
        <w:t>The popularity of derivative products among financial institutions has led</w:t>
      </w:r>
      <w:r w:rsidR="00D5412C" w:rsidRPr="0059184B">
        <w:rPr>
          <w:rFonts w:ascii="Times New Roman" w:hAnsi="Times New Roman" w:cs="Times New Roman"/>
          <w:sz w:val="24"/>
          <w:szCs w:val="24"/>
        </w:rPr>
        <w:t xml:space="preserve"> to a substantial growth in </w:t>
      </w:r>
      <w:r w:rsidRPr="0059184B">
        <w:rPr>
          <w:rFonts w:ascii="Times New Roman" w:hAnsi="Times New Roman" w:cs="Times New Roman"/>
          <w:sz w:val="24"/>
          <w:szCs w:val="24"/>
        </w:rPr>
        <w:t>derivative market. The notional principal amount of financial derivatives held by U.S. bank holding companies (BHCs) rose from less than $18 trillion in 1995 to nearly $270 trillion by the end of 2012, which was more than 10 times the total asset value of BHCs.</w:t>
      </w:r>
      <w:r w:rsidRPr="0059184B">
        <w:rPr>
          <w:rFonts w:ascii="Times New Roman" w:hAnsi="Times New Roman" w:cs="Times New Roman"/>
          <w:sz w:val="24"/>
          <w:szCs w:val="24"/>
          <w:vertAlign w:val="superscript"/>
        </w:rPr>
        <w:footnoteReference w:id="1"/>
      </w:r>
      <w:r w:rsidRPr="0059184B">
        <w:rPr>
          <w:rFonts w:ascii="Times New Roman" w:hAnsi="Times New Roman" w:cs="Times New Roman"/>
          <w:sz w:val="24"/>
          <w:szCs w:val="24"/>
        </w:rPr>
        <w:t xml:space="preserve"> </w:t>
      </w:r>
      <w:r w:rsidR="003121B1" w:rsidRPr="0059184B">
        <w:rPr>
          <w:rFonts w:ascii="Times New Roman" w:hAnsi="Times New Roman" w:cs="Times New Roman" w:hint="eastAsia"/>
          <w:sz w:val="24"/>
          <w:szCs w:val="24"/>
        </w:rPr>
        <w:t>C</w:t>
      </w:r>
      <w:r w:rsidR="003121B1" w:rsidRPr="0059184B">
        <w:rPr>
          <w:rFonts w:ascii="Times New Roman" w:hAnsi="Times New Roman" w:cs="Times New Roman"/>
          <w:sz w:val="24"/>
          <w:szCs w:val="24"/>
        </w:rPr>
        <w:t>redit default swaps (</w:t>
      </w:r>
      <w:r w:rsidRPr="0059184B">
        <w:rPr>
          <w:rFonts w:ascii="Times New Roman" w:hAnsi="Times New Roman" w:cs="Times New Roman"/>
          <w:sz w:val="24"/>
          <w:szCs w:val="24"/>
        </w:rPr>
        <w:t>CDSs</w:t>
      </w:r>
      <w:r w:rsidR="003121B1" w:rsidRPr="0059184B">
        <w:rPr>
          <w:rFonts w:ascii="Times New Roman" w:hAnsi="Times New Roman" w:cs="Times New Roman"/>
          <w:sz w:val="24"/>
          <w:szCs w:val="24"/>
        </w:rPr>
        <w:t>)</w:t>
      </w:r>
      <w:r w:rsidRPr="0059184B">
        <w:rPr>
          <w:rFonts w:ascii="Times New Roman" w:hAnsi="Times New Roman" w:cs="Times New Roman"/>
          <w:sz w:val="24"/>
          <w:szCs w:val="24"/>
        </w:rPr>
        <w:t xml:space="preserve"> were used widely to transfer credit risk among financial institutions. The outstanding amount of CDSs grew from less than $1 trillion at the beginning of 2001 to over $6 trillion by the end of 2007. Empirical studies suggest that derivatives such as CDSs increase the correlations among banks, generate a </w:t>
      </w:r>
      <w:r w:rsidRPr="0059184B">
        <w:rPr>
          <w:rFonts w:ascii="Times New Roman" w:hAnsi="Times New Roman" w:cs="Times New Roman"/>
          <w:kern w:val="0"/>
          <w:sz w:val="24"/>
          <w:szCs w:val="24"/>
        </w:rPr>
        <w:t>wide net of linkages in the financial system</w:t>
      </w:r>
      <w:r w:rsidRPr="0059184B">
        <w:rPr>
          <w:rFonts w:ascii="Times New Roman" w:hAnsi="Times New Roman" w:cs="Times New Roman"/>
          <w:sz w:val="24"/>
          <w:szCs w:val="24"/>
        </w:rPr>
        <w:t>, and make the financial market more vulnerable (</w:t>
      </w:r>
      <w:proofErr w:type="spellStart"/>
      <w:r w:rsidRPr="0059184B">
        <w:rPr>
          <w:rFonts w:ascii="Times New Roman" w:hAnsi="Times New Roman" w:cs="Times New Roman"/>
          <w:sz w:val="24"/>
          <w:szCs w:val="24"/>
        </w:rPr>
        <w:t>Bedendo</w:t>
      </w:r>
      <w:proofErr w:type="spellEnd"/>
      <w:r w:rsidRPr="0059184B">
        <w:rPr>
          <w:rFonts w:ascii="Times New Roman" w:hAnsi="Times New Roman" w:cs="Times New Roman"/>
          <w:sz w:val="24"/>
          <w:szCs w:val="24"/>
        </w:rPr>
        <w:t xml:space="preserve"> and Bruno, 2012). According to the </w:t>
      </w:r>
      <w:r w:rsidRPr="0059184B">
        <w:rPr>
          <w:rFonts w:ascii="Times New Roman" w:hAnsi="Times New Roman" w:cs="Times New Roman"/>
          <w:kern w:val="0"/>
          <w:sz w:val="24"/>
          <w:szCs w:val="24"/>
        </w:rPr>
        <w:t>Financial Crisis Inquiry Commission (2011), the significant systemic risk that fueled the GFC can be attributed to the size and complexity of the over-the-counter (OTC) derivative market. Millions of derivative contracts in such unregulated markets created interconnectedness among financial institutions and exposed the financial system to a contagion of losses and defaults via counterparty credit risk channel.</w:t>
      </w:r>
      <w:r w:rsidRPr="0059184B">
        <w:rPr>
          <w:rFonts w:ascii="Times New Roman" w:hAnsi="Times New Roman" w:cs="Times New Roman"/>
          <w:sz w:val="24"/>
          <w:szCs w:val="24"/>
        </w:rPr>
        <w:t xml:space="preserve"> </w:t>
      </w:r>
    </w:p>
    <w:p w:rsidR="00C10E90" w:rsidRPr="0059184B" w:rsidRDefault="00C10E90" w:rsidP="00C10E90">
      <w:pPr>
        <w:pStyle w:val="a3"/>
        <w:shd w:val="clear" w:color="auto" w:fill="FFFFFF"/>
        <w:spacing w:before="120" w:beforeAutospacing="0" w:after="120" w:afterAutospacing="0" w:line="360" w:lineRule="auto"/>
        <w:jc w:val="both"/>
        <w:rPr>
          <w:rStyle w:val="mw-headline"/>
          <w:rFonts w:ascii="Times New Roman" w:hAnsi="Times New Roman" w:cs="Times New Roman"/>
        </w:rPr>
      </w:pPr>
      <w:r w:rsidRPr="0059184B">
        <w:rPr>
          <w:rFonts w:ascii="Times New Roman" w:eastAsia="AdvGulliv-R" w:hAnsi="Times New Roman" w:cs="Times New Roman"/>
        </w:rPr>
        <w:t xml:space="preserve">As the financial crisis unraveled in the U.S. in 2007, the Democratic-dominant Congress pushed for more restrictive regulations on Wall Street. The </w:t>
      </w:r>
      <w:r w:rsidRPr="0059184B">
        <w:rPr>
          <w:rFonts w:ascii="Times New Roman" w:hAnsi="Times New Roman" w:cs="Times New Roman"/>
          <w:bCs/>
        </w:rPr>
        <w:t xml:space="preserve">Dodd-Frank Wall Street Reform and Consumer Protection Act (DFA) </w:t>
      </w:r>
      <w:proofErr w:type="gramStart"/>
      <w:r w:rsidRPr="0059184B">
        <w:rPr>
          <w:rFonts w:ascii="Times New Roman" w:hAnsi="Times New Roman" w:cs="Times New Roman"/>
          <w:bCs/>
        </w:rPr>
        <w:t>was</w:t>
      </w:r>
      <w:proofErr w:type="gramEnd"/>
      <w:r w:rsidRPr="0059184B">
        <w:rPr>
          <w:rFonts w:ascii="Times New Roman" w:hAnsi="Times New Roman" w:cs="Times New Roman"/>
          <w:bCs/>
        </w:rPr>
        <w:t xml:space="preserve"> signed</w:t>
      </w:r>
      <w:r w:rsidRPr="0059184B">
        <w:rPr>
          <w:rFonts w:ascii="Times New Roman" w:eastAsiaTheme="minorEastAsia" w:hAnsi="Times New Roman" w:cs="Times New Roman"/>
        </w:rPr>
        <w:t xml:space="preserve"> </w:t>
      </w:r>
      <w:r w:rsidRPr="0059184B">
        <w:rPr>
          <w:rFonts w:ascii="Times New Roman" w:hAnsi="Times New Roman" w:cs="Times New Roman"/>
        </w:rPr>
        <w:t>into</w:t>
      </w:r>
      <w:r w:rsidRPr="0059184B">
        <w:rPr>
          <w:rStyle w:val="apple-converted-space"/>
          <w:rFonts w:ascii="Times New Roman" w:hAnsi="Times New Roman" w:cs="Times New Roman"/>
        </w:rPr>
        <w:t xml:space="preserve"> the U.S. </w:t>
      </w:r>
      <w:r w:rsidRPr="0059184B">
        <w:rPr>
          <w:rFonts w:ascii="Times New Roman" w:hAnsi="Times New Roman" w:cs="Times New Roman"/>
        </w:rPr>
        <w:t xml:space="preserve">federal law on 21 July, 2010. </w:t>
      </w:r>
      <w:r w:rsidRPr="0059184B">
        <w:rPr>
          <w:rStyle w:val="mw-headline"/>
          <w:rFonts w:ascii="Times New Roman" w:hAnsi="Times New Roman" w:cs="Times New Roman"/>
        </w:rPr>
        <w:t xml:space="preserve">Title VII of the DFA - Wall Street Transparency and Accountability, requires that financial </w:t>
      </w:r>
      <w:r w:rsidRPr="0059184B">
        <w:rPr>
          <w:rFonts w:ascii="Times New Roman" w:hAnsi="Times New Roman" w:cs="Times New Roman"/>
        </w:rPr>
        <w:t>derivatives be cleared through a derivative clearing organization. This title aims at improving market transparency and lowering the counterparty risk associated with financial derivative products</w:t>
      </w:r>
      <w:r w:rsidR="00621931" w:rsidRPr="0059184B">
        <w:rPr>
          <w:rFonts w:ascii="Times New Roman" w:hAnsi="Times New Roman" w:cs="Times New Roman"/>
        </w:rPr>
        <w:t xml:space="preserve"> via a central clearing channel</w:t>
      </w:r>
      <w:r w:rsidRPr="0059184B">
        <w:rPr>
          <w:rFonts w:ascii="Times New Roman" w:hAnsi="Times New Roman" w:cs="Times New Roman"/>
        </w:rPr>
        <w:t xml:space="preserve">. Unlike the previously unregulated OTC derivative market where the network of exposures is highly dispersed, derivative clearing organizations centralize the network of exposures and play a key role among counterparties involved in derivative contracts. Derivative clearing organizations are able to curtail the direct interconnectedness among banks by setting strict requirements on margin and collateral for cleared derivatives (Singh, 2010). </w:t>
      </w:r>
      <w:r w:rsidR="00621931" w:rsidRPr="0059184B">
        <w:rPr>
          <w:rFonts w:ascii="Times New Roman" w:hAnsi="Times New Roman" w:cs="Times New Roman"/>
        </w:rPr>
        <w:t xml:space="preserve">Derivative clearing organizations also monitors the </w:t>
      </w:r>
      <w:r w:rsidR="00621931" w:rsidRPr="0059184B">
        <w:rPr>
          <w:rFonts w:ascii="Times New Roman" w:hAnsi="Times New Roman" w:cs="Times New Roman"/>
        </w:rPr>
        <w:lastRenderedPageBreak/>
        <w:t>creditworthiness and risk of involved banks, and observes the prices of transactions. With relevant information, derivative clearing organizations can provide price quotes relying on involved banks for marking positions, which makes a cleared market less likely to freeze in states of market stress</w:t>
      </w:r>
      <w:r w:rsidR="00FB3029" w:rsidRPr="0059184B">
        <w:rPr>
          <w:rFonts w:ascii="Times New Roman" w:hAnsi="Times New Roman" w:cs="Times New Roman"/>
        </w:rPr>
        <w:t xml:space="preserve"> (</w:t>
      </w:r>
      <w:proofErr w:type="spellStart"/>
      <w:r w:rsidR="00FB3029" w:rsidRPr="0059184B">
        <w:rPr>
          <w:rFonts w:ascii="Times New Roman" w:hAnsi="Times New Roman" w:cs="Times New Roman"/>
        </w:rPr>
        <w:t>Ghamami</w:t>
      </w:r>
      <w:proofErr w:type="spellEnd"/>
      <w:r w:rsidR="00FB3029" w:rsidRPr="0059184B">
        <w:rPr>
          <w:rFonts w:ascii="Times New Roman" w:hAnsi="Times New Roman" w:cs="Times New Roman"/>
        </w:rPr>
        <w:t xml:space="preserve"> and </w:t>
      </w:r>
      <w:proofErr w:type="spellStart"/>
      <w:r w:rsidR="00FB3029" w:rsidRPr="0059184B">
        <w:rPr>
          <w:rFonts w:ascii="Times New Roman" w:hAnsi="Times New Roman" w:cs="Times New Roman"/>
        </w:rPr>
        <w:t>Glasserman</w:t>
      </w:r>
      <w:proofErr w:type="spellEnd"/>
      <w:r w:rsidR="00FB3029" w:rsidRPr="0059184B">
        <w:rPr>
          <w:rFonts w:ascii="Times New Roman" w:hAnsi="Times New Roman" w:cs="Times New Roman"/>
        </w:rPr>
        <w:t>, 2017)</w:t>
      </w:r>
      <w:r w:rsidR="00621931" w:rsidRPr="0059184B">
        <w:rPr>
          <w:rFonts w:ascii="Times New Roman" w:hAnsi="Times New Roman" w:cs="Times New Roman"/>
        </w:rPr>
        <w:t>. Moreover, regulators are able to monitor the OTC derivatives market through derivative clearing organizations instead of a diffuse network of bilateral transactions. However, the central clearing channel has been criticized</w:t>
      </w:r>
      <w:r w:rsidR="00E83E98" w:rsidRPr="0059184B">
        <w:rPr>
          <w:rFonts w:ascii="Times New Roman" w:hAnsi="Times New Roman" w:cs="Times New Roman"/>
        </w:rPr>
        <w:t>,</w:t>
      </w:r>
      <w:r w:rsidR="00621931" w:rsidRPr="0059184B">
        <w:rPr>
          <w:rFonts w:ascii="Times New Roman" w:hAnsi="Times New Roman" w:cs="Times New Roman"/>
        </w:rPr>
        <w:t xml:space="preserve"> since </w:t>
      </w:r>
      <w:r w:rsidR="00E83E98" w:rsidRPr="0059184B">
        <w:rPr>
          <w:rFonts w:ascii="Times New Roman" w:hAnsi="Times New Roman" w:cs="Times New Roman"/>
        </w:rPr>
        <w:t xml:space="preserve">the central clearing organizations </w:t>
      </w:r>
      <w:r w:rsidR="00E83E98" w:rsidRPr="0059184B">
        <w:rPr>
          <w:rFonts w:ascii="Times New Roman" w:eastAsia="AdvGulliv-R" w:hAnsi="Times New Roman" w:cs="Times New Roman"/>
        </w:rPr>
        <w:t xml:space="preserve">with concentrated risk might ultimately require government support in a crisis. Debates are also on the extent to which the intended benefits of central clearing could be achieved in practice. </w:t>
      </w:r>
      <w:r w:rsidR="009E0951" w:rsidRPr="0059184B">
        <w:rPr>
          <w:rFonts w:ascii="Times New Roman" w:eastAsia="AdvGulliv-R" w:hAnsi="Times New Roman" w:cs="Times New Roman"/>
        </w:rPr>
        <w:t>Another</w:t>
      </w:r>
      <w:r w:rsidRPr="0059184B">
        <w:rPr>
          <w:rFonts w:ascii="Times New Roman" w:eastAsia="AdvGulliv-R" w:hAnsi="Times New Roman" w:cs="Times New Roman"/>
        </w:rPr>
        <w:t xml:space="preserve"> key part of the DFA is the proprietary trading restrictions, known as the Volcker rule, which prohibits government insured banks from making short-term risky trading of securities, derivatives, commodities futures and options. </w:t>
      </w:r>
      <w:r w:rsidRPr="0059184B">
        <w:rPr>
          <w:rStyle w:val="mw-headline"/>
          <w:rFonts w:ascii="Times New Roman" w:hAnsi="Times New Roman" w:cs="Times New Roman"/>
        </w:rPr>
        <w:t xml:space="preserve">The </w:t>
      </w:r>
      <w:r w:rsidRPr="0059184B">
        <w:rPr>
          <w:rFonts w:ascii="Times New Roman" w:eastAsia="AdvGulliv-R" w:hAnsi="Times New Roman" w:cs="Times New Roman"/>
        </w:rPr>
        <w:t>Volcker</w:t>
      </w:r>
      <w:r w:rsidRPr="0059184B">
        <w:rPr>
          <w:rStyle w:val="mw-headline"/>
          <w:rFonts w:ascii="Times New Roman" w:hAnsi="Times New Roman" w:cs="Times New Roman"/>
        </w:rPr>
        <w:t xml:space="preserve"> rule directly reduces banks’ holdings of derivatives for speculation purposes, thereby mitigating their contributions to systemic risk </w:t>
      </w:r>
      <w:r w:rsidRPr="0059184B">
        <w:rPr>
          <w:rFonts w:ascii="Times New Roman" w:hAnsi="Times New Roman" w:cs="Times New Roman"/>
        </w:rPr>
        <w:t xml:space="preserve">(Li and </w:t>
      </w:r>
      <w:proofErr w:type="spellStart"/>
      <w:r w:rsidRPr="0059184B">
        <w:rPr>
          <w:rFonts w:ascii="Times New Roman" w:hAnsi="Times New Roman" w:cs="Times New Roman"/>
        </w:rPr>
        <w:t>Marinč</w:t>
      </w:r>
      <w:proofErr w:type="spellEnd"/>
      <w:r w:rsidRPr="0059184B">
        <w:rPr>
          <w:rFonts w:ascii="Times New Roman" w:hAnsi="Times New Roman" w:cs="Times New Roman"/>
        </w:rPr>
        <w:t xml:space="preserve">, 2017). </w:t>
      </w:r>
    </w:p>
    <w:p w:rsidR="00C10E90" w:rsidRPr="0059184B" w:rsidRDefault="00C10E90" w:rsidP="00C10E90">
      <w:pPr>
        <w:spacing w:before="120" w:after="120" w:line="360" w:lineRule="auto"/>
        <w:rPr>
          <w:rFonts w:ascii="Times New Roman" w:eastAsia="宋体" w:hAnsi="Times New Roman" w:cs="Times New Roman"/>
          <w:kern w:val="0"/>
          <w:sz w:val="24"/>
          <w:szCs w:val="24"/>
        </w:rPr>
      </w:pPr>
      <w:r w:rsidRPr="0059184B">
        <w:rPr>
          <w:rFonts w:ascii="Times New Roman" w:hAnsi="Times New Roman" w:cs="Times New Roman"/>
          <w:sz w:val="24"/>
          <w:szCs w:val="24"/>
        </w:rPr>
        <w:t>Whether the DFA</w:t>
      </w:r>
      <w:r w:rsidRPr="0059184B">
        <w:rPr>
          <w:rStyle w:val="mw-headline"/>
          <w:rFonts w:ascii="Times New Roman" w:hAnsi="Times New Roman" w:cs="Times New Roman"/>
          <w:sz w:val="24"/>
          <w:szCs w:val="24"/>
        </w:rPr>
        <w:t xml:space="preserve"> has achieved its intended objectives is </w:t>
      </w:r>
      <w:bookmarkStart w:id="6" w:name="OLE_LINK3"/>
      <w:r w:rsidRPr="0059184B">
        <w:rPr>
          <w:rStyle w:val="mw-headline"/>
          <w:rFonts w:ascii="Times New Roman" w:hAnsi="Times New Roman" w:cs="Times New Roman"/>
          <w:sz w:val="24"/>
          <w:szCs w:val="24"/>
        </w:rPr>
        <w:t xml:space="preserve">a matter </w:t>
      </w:r>
      <w:bookmarkEnd w:id="6"/>
      <w:r w:rsidRPr="0059184B">
        <w:rPr>
          <w:rStyle w:val="mw-headline"/>
          <w:rFonts w:ascii="Times New Roman" w:hAnsi="Times New Roman" w:cs="Times New Roman"/>
          <w:sz w:val="24"/>
          <w:szCs w:val="24"/>
        </w:rPr>
        <w:t>of controversy. On the one hand, t</w:t>
      </w:r>
      <w:r w:rsidRPr="0059184B">
        <w:rPr>
          <w:rFonts w:ascii="Times New Roman" w:eastAsia="AdvGulliv-R" w:hAnsi="Times New Roman" w:cs="Times New Roman"/>
          <w:kern w:val="0"/>
          <w:sz w:val="24"/>
          <w:szCs w:val="24"/>
        </w:rPr>
        <w:t>he pa</w:t>
      </w:r>
      <w:r w:rsidR="00D5412C" w:rsidRPr="0059184B">
        <w:rPr>
          <w:rFonts w:ascii="Times New Roman" w:eastAsia="AdvGulliv-R" w:hAnsi="Times New Roman" w:cs="Times New Roman"/>
          <w:kern w:val="0"/>
          <w:sz w:val="24"/>
          <w:szCs w:val="24"/>
        </w:rPr>
        <w:t>ssing</w:t>
      </w:r>
      <w:r w:rsidRPr="0059184B">
        <w:rPr>
          <w:rFonts w:ascii="Times New Roman" w:eastAsia="AdvGulliv-R" w:hAnsi="Times New Roman" w:cs="Times New Roman"/>
          <w:kern w:val="0"/>
          <w:sz w:val="24"/>
          <w:szCs w:val="24"/>
        </w:rPr>
        <w:t xml:space="preserve"> of the DFA paved the way to a regulatory scheme for previously unregulated over-the-counter derivatives. </w:t>
      </w:r>
      <w:r w:rsidRPr="0059184B">
        <w:rPr>
          <w:rStyle w:val="mw-headline"/>
          <w:rFonts w:ascii="Times New Roman" w:hAnsi="Times New Roman" w:cs="Times New Roman"/>
          <w:sz w:val="24"/>
          <w:szCs w:val="24"/>
        </w:rPr>
        <w:t>Consumer a</w:t>
      </w:r>
      <w:r w:rsidRPr="0059184B">
        <w:rPr>
          <w:rFonts w:ascii="Times New Roman" w:eastAsia="AdvGulliv-R" w:hAnsi="Times New Roman" w:cs="Times New Roman"/>
          <w:sz w:val="24"/>
          <w:szCs w:val="24"/>
        </w:rPr>
        <w:t>dvocates who strongly support</w:t>
      </w:r>
      <w:r w:rsidRPr="0059184B">
        <w:rPr>
          <w:rFonts w:ascii="Times New Roman" w:eastAsia="AdvGulliv-R" w:hAnsi="Times New Roman" w:cs="Times New Roman"/>
          <w:kern w:val="0"/>
          <w:sz w:val="24"/>
          <w:szCs w:val="24"/>
        </w:rPr>
        <w:t xml:space="preserve"> the DFA agree</w:t>
      </w:r>
      <w:r w:rsidRPr="0059184B">
        <w:rPr>
          <w:rFonts w:ascii="Times New Roman" w:eastAsia="AdvGulliv-R" w:hAnsi="Times New Roman" w:cs="Times New Roman"/>
          <w:sz w:val="24"/>
          <w:szCs w:val="24"/>
        </w:rPr>
        <w:t xml:space="preserve"> </w:t>
      </w:r>
      <w:r w:rsidRPr="0059184B">
        <w:rPr>
          <w:rFonts w:ascii="Times New Roman" w:eastAsia="AdvGulliv-R" w:hAnsi="Times New Roman" w:cs="Times New Roman"/>
          <w:kern w:val="0"/>
          <w:sz w:val="24"/>
          <w:szCs w:val="24"/>
        </w:rPr>
        <w:t xml:space="preserve">that banks should not use federally insured deposits to gamble and take risky bets, and banning proprietary trading will curtail risk taking activities in the financial system. </w:t>
      </w:r>
      <w:r w:rsidRPr="0059184B">
        <w:rPr>
          <w:rFonts w:ascii="Times New Roman" w:eastAsia="AdvGulliv-R" w:hAnsi="Times New Roman" w:cs="Times New Roman"/>
          <w:sz w:val="24"/>
          <w:szCs w:val="24"/>
        </w:rPr>
        <w:t xml:space="preserve">On the other hand, </w:t>
      </w:r>
      <w:r w:rsidRPr="0059184B">
        <w:rPr>
          <w:rStyle w:val="mw-headline"/>
          <w:rFonts w:ascii="Times New Roman" w:hAnsi="Times New Roman" w:cs="Times New Roman"/>
          <w:sz w:val="24"/>
          <w:szCs w:val="24"/>
        </w:rPr>
        <w:t xml:space="preserve">financial institutions have criticized the DFA for inadequately address the problems that really push the financial market into turmoil (Kane, 2011). </w:t>
      </w:r>
      <w:r w:rsidRPr="0059184B">
        <w:rPr>
          <w:rFonts w:ascii="Times New Roman" w:eastAsia="AdvGulliv-R" w:hAnsi="Times New Roman" w:cs="Times New Roman"/>
          <w:sz w:val="24"/>
          <w:szCs w:val="24"/>
        </w:rPr>
        <w:t>T</w:t>
      </w:r>
      <w:r w:rsidRPr="0059184B">
        <w:rPr>
          <w:rFonts w:ascii="Times New Roman" w:eastAsia="AdvGulliv-R" w:hAnsi="Times New Roman" w:cs="Times New Roman"/>
          <w:kern w:val="0"/>
          <w:sz w:val="24"/>
          <w:szCs w:val="24"/>
        </w:rPr>
        <w:t>he Volcker rule requires the joint rulemaking from five different agencies</w:t>
      </w:r>
      <w:r w:rsidRPr="0059184B" w:rsidDel="005D04BF">
        <w:rPr>
          <w:rStyle w:val="mw-headline"/>
          <w:rFonts w:ascii="Times New Roman" w:hAnsi="Times New Roman" w:cs="Times New Roman"/>
          <w:sz w:val="24"/>
          <w:szCs w:val="24"/>
        </w:rPr>
        <w:t xml:space="preserve"> </w:t>
      </w:r>
      <w:r w:rsidRPr="0059184B">
        <w:rPr>
          <w:rStyle w:val="mw-headline"/>
          <w:rFonts w:ascii="Times New Roman" w:hAnsi="Times New Roman" w:cs="Times New Roman"/>
          <w:sz w:val="24"/>
          <w:szCs w:val="24"/>
        </w:rPr>
        <w:t xml:space="preserve">and it is too complex to execute. </w:t>
      </w:r>
      <w:r w:rsidRPr="0059184B">
        <w:rPr>
          <w:rFonts w:ascii="Times New Roman" w:eastAsia="AdvGulliv-R" w:hAnsi="Times New Roman" w:cs="Times New Roman"/>
          <w:sz w:val="24"/>
          <w:szCs w:val="24"/>
        </w:rPr>
        <w:t xml:space="preserve">The DFA is particularly </w:t>
      </w:r>
      <w:r w:rsidRPr="0059184B">
        <w:rPr>
          <w:rFonts w:ascii="Times New Roman" w:eastAsia="AdvGulliv-R" w:hAnsi="Times New Roman" w:cs="Times New Roman"/>
          <w:kern w:val="0"/>
          <w:sz w:val="24"/>
          <w:szCs w:val="24"/>
        </w:rPr>
        <w:t>too restrictive to smaller banks, which have assets in the range of $50 billion and are relatively small to threaten the soundness of the financial system</w:t>
      </w:r>
      <w:r w:rsidRPr="0059184B">
        <w:rPr>
          <w:rFonts w:ascii="Times New Roman" w:eastAsia="AdvGulliv-R" w:hAnsi="Times New Roman" w:cs="Times New Roman"/>
          <w:sz w:val="24"/>
          <w:szCs w:val="24"/>
        </w:rPr>
        <w:t>.</w:t>
      </w:r>
      <w:r w:rsidRPr="0059184B">
        <w:rPr>
          <w:rStyle w:val="mw-headline"/>
          <w:rFonts w:ascii="Times New Roman" w:hAnsi="Times New Roman" w:cs="Times New Roman"/>
          <w:sz w:val="24"/>
          <w:szCs w:val="24"/>
        </w:rPr>
        <w:t xml:space="preserve"> The DFA </w:t>
      </w:r>
      <w:r w:rsidRPr="0059184B">
        <w:rPr>
          <w:rFonts w:ascii="Times New Roman" w:eastAsia="AdvGulliv-R" w:hAnsi="Times New Roman" w:cs="Times New Roman"/>
          <w:kern w:val="0"/>
          <w:sz w:val="24"/>
          <w:szCs w:val="24"/>
        </w:rPr>
        <w:t xml:space="preserve">creates substantial </w:t>
      </w:r>
      <w:r w:rsidRPr="0059184B">
        <w:rPr>
          <w:rStyle w:val="mw-headline"/>
          <w:rFonts w:ascii="Times New Roman" w:hAnsi="Times New Roman" w:cs="Times New Roman"/>
          <w:sz w:val="24"/>
          <w:szCs w:val="24"/>
        </w:rPr>
        <w:t xml:space="preserve">compliance costs (Gorman, 2017) and fails to achieve its </w:t>
      </w:r>
      <w:r w:rsidRPr="0059184B">
        <w:rPr>
          <w:rFonts w:ascii="Times New Roman" w:hAnsi="Times New Roman" w:cs="Times New Roman"/>
          <w:bCs/>
          <w:sz w:val="24"/>
          <w:szCs w:val="24"/>
        </w:rPr>
        <w:t>stated objectives (</w:t>
      </w:r>
      <w:proofErr w:type="spellStart"/>
      <w:r w:rsidRPr="0059184B">
        <w:rPr>
          <w:rFonts w:ascii="Times New Roman" w:hAnsi="Times New Roman" w:cs="Times New Roman"/>
          <w:bCs/>
          <w:sz w:val="24"/>
          <w:szCs w:val="24"/>
        </w:rPr>
        <w:t>Calomiris</w:t>
      </w:r>
      <w:proofErr w:type="spellEnd"/>
      <w:r w:rsidRPr="0059184B">
        <w:rPr>
          <w:rFonts w:ascii="Times New Roman" w:hAnsi="Times New Roman" w:cs="Times New Roman"/>
          <w:bCs/>
          <w:sz w:val="24"/>
          <w:szCs w:val="24"/>
        </w:rPr>
        <w:t>, 2017)</w:t>
      </w:r>
      <w:r w:rsidRPr="0059184B">
        <w:rPr>
          <w:rFonts w:ascii="Times New Roman" w:eastAsia="AdvGulliv-R" w:hAnsi="Times New Roman" w:cs="Times New Roman"/>
          <w:kern w:val="0"/>
          <w:sz w:val="24"/>
          <w:szCs w:val="24"/>
        </w:rPr>
        <w:t>.</w:t>
      </w:r>
    </w:p>
    <w:p w:rsidR="00C10E90" w:rsidRPr="0059184B" w:rsidRDefault="00C10E90" w:rsidP="00C10E90">
      <w:pPr>
        <w:pStyle w:val="a3"/>
        <w:shd w:val="clear" w:color="auto" w:fill="FFFFFF"/>
        <w:spacing w:before="120" w:beforeAutospacing="0" w:after="120" w:afterAutospacing="0" w:line="360" w:lineRule="auto"/>
        <w:jc w:val="both"/>
        <w:rPr>
          <w:rFonts w:ascii="Times New Roman" w:eastAsia="AdvGulliv-R" w:hAnsi="Times New Roman" w:cs="Times New Roman"/>
        </w:rPr>
      </w:pPr>
      <w:r w:rsidRPr="0059184B">
        <w:rPr>
          <w:rFonts w:ascii="Times New Roman" w:hAnsi="Times New Roman" w:cs="Times New Roman"/>
          <w:bCs/>
        </w:rPr>
        <w:t xml:space="preserve">In early 2017, the Financial CHOICE Act was introduced to the </w:t>
      </w:r>
      <w:hyperlink r:id="rId9" w:tooltip="115th United States Congress" w:history="1">
        <w:r w:rsidRPr="0059184B">
          <w:rPr>
            <w:rFonts w:ascii="Times New Roman" w:hAnsi="Times New Roman" w:cs="Times New Roman"/>
            <w:bCs/>
          </w:rPr>
          <w:t>115</w:t>
        </w:r>
        <w:r w:rsidRPr="0059184B">
          <w:rPr>
            <w:rFonts w:ascii="Times New Roman" w:hAnsi="Times New Roman" w:cs="Times New Roman"/>
            <w:bCs/>
            <w:vertAlign w:val="superscript"/>
          </w:rPr>
          <w:t>th</w:t>
        </w:r>
        <w:r w:rsidRPr="0059184B">
          <w:rPr>
            <w:rFonts w:ascii="Times New Roman" w:hAnsi="Times New Roman" w:cs="Times New Roman"/>
            <w:bCs/>
          </w:rPr>
          <w:t xml:space="preserve"> U.S. Congress</w:t>
        </w:r>
      </w:hyperlink>
      <w:r w:rsidRPr="0059184B">
        <w:rPr>
          <w:rFonts w:ascii="Times New Roman" w:hAnsi="Times New Roman" w:cs="Times New Roman"/>
          <w:bCs/>
        </w:rPr>
        <w:t xml:space="preserve"> to repeal many parts of the DFA. </w:t>
      </w:r>
      <w:r w:rsidRPr="0059184B">
        <w:rPr>
          <w:rFonts w:ascii="Times New Roman" w:hAnsi="Times New Roman" w:cs="Times New Roman"/>
        </w:rPr>
        <w:t>The</w:t>
      </w:r>
      <w:r w:rsidRPr="0059184B">
        <w:rPr>
          <w:rFonts w:ascii="Times New Roman" w:hAnsi="Times New Roman" w:cs="Times New Roman"/>
          <w:bCs/>
        </w:rPr>
        <w:t xml:space="preserve"> CHOICE Act </w:t>
      </w:r>
      <w:r w:rsidRPr="0059184B">
        <w:rPr>
          <w:rFonts w:ascii="Times New Roman" w:hAnsi="Times New Roman" w:cs="Times New Roman"/>
        </w:rPr>
        <w:t xml:space="preserve">has passed the Republican-led House on 8 June, 2017. While banking industry generally applauds the bill, the Democrats criticize the rolling </w:t>
      </w:r>
      <w:r w:rsidRPr="0059184B">
        <w:rPr>
          <w:rFonts w:ascii="Times New Roman" w:hAnsi="Times New Roman" w:cs="Times New Roman"/>
        </w:rPr>
        <w:lastRenderedPageBreak/>
        <w:t xml:space="preserve">back of the DFA as “a big bank-inspired wish list” (Schmidt and </w:t>
      </w:r>
      <w:proofErr w:type="spellStart"/>
      <w:r w:rsidRPr="0059184B">
        <w:rPr>
          <w:rFonts w:ascii="Times New Roman" w:hAnsi="Times New Roman" w:cs="Times New Roman"/>
        </w:rPr>
        <w:t>Dexheimer</w:t>
      </w:r>
      <w:proofErr w:type="spellEnd"/>
      <w:r w:rsidRPr="0059184B">
        <w:rPr>
          <w:rFonts w:ascii="Times New Roman" w:hAnsi="Times New Roman" w:cs="Times New Roman"/>
        </w:rPr>
        <w:t xml:space="preserve">, 2017). </w:t>
      </w:r>
      <w:r w:rsidRPr="0059184B">
        <w:rPr>
          <w:rFonts w:ascii="Times New Roman" w:eastAsia="AdvGulliv-R" w:hAnsi="Times New Roman" w:cs="Times New Roman"/>
        </w:rPr>
        <w:t xml:space="preserve">The </w:t>
      </w:r>
      <w:r w:rsidR="00766C39" w:rsidRPr="0059184B">
        <w:rPr>
          <w:rFonts w:ascii="Times New Roman" w:hAnsi="Times New Roman" w:cs="Times New Roman"/>
          <w:bCs/>
        </w:rPr>
        <w:t>CHOICE</w:t>
      </w:r>
      <w:r w:rsidRPr="0059184B">
        <w:rPr>
          <w:rFonts w:ascii="Times New Roman" w:eastAsia="AdvGulliv-R" w:hAnsi="Times New Roman" w:cs="Times New Roman"/>
        </w:rPr>
        <w:t xml:space="preserve"> Act will loosen the restrictions on banks’ investments in private equity and hedge funds, and allow smaller banks to increase lending by minimizing a rule about qualified mortgages. Proponent</w:t>
      </w:r>
      <w:r w:rsidR="0060012A" w:rsidRPr="0059184B">
        <w:rPr>
          <w:rFonts w:ascii="Times New Roman" w:eastAsia="AdvGulliv-R" w:hAnsi="Times New Roman" w:cs="Times New Roman"/>
        </w:rPr>
        <w:t>s</w:t>
      </w:r>
      <w:r w:rsidRPr="0059184B">
        <w:rPr>
          <w:rFonts w:ascii="Times New Roman" w:eastAsia="AdvGulliv-R" w:hAnsi="Times New Roman" w:cs="Times New Roman"/>
        </w:rPr>
        <w:t xml:space="preserve"> of the </w:t>
      </w:r>
      <w:r w:rsidR="0060012A" w:rsidRPr="0059184B">
        <w:rPr>
          <w:rFonts w:ascii="Times New Roman" w:hAnsi="Times New Roman" w:cs="Times New Roman"/>
          <w:bCs/>
        </w:rPr>
        <w:t>CHOICE</w:t>
      </w:r>
      <w:r w:rsidRPr="0059184B">
        <w:rPr>
          <w:rFonts w:ascii="Times New Roman" w:eastAsia="AdvGulliv-R" w:hAnsi="Times New Roman" w:cs="Times New Roman"/>
        </w:rPr>
        <w:t xml:space="preserve"> Act, which will repel the Volcker rules completely, argue that distinguishing between speculation and market timing is not simple and easy. On the negative side, the </w:t>
      </w:r>
      <w:r w:rsidR="00766C39" w:rsidRPr="0059184B">
        <w:rPr>
          <w:rFonts w:ascii="Times New Roman" w:hAnsi="Times New Roman" w:cs="Times New Roman"/>
          <w:bCs/>
        </w:rPr>
        <w:t>CHOICE</w:t>
      </w:r>
      <w:r w:rsidRPr="0059184B">
        <w:rPr>
          <w:rFonts w:ascii="Times New Roman" w:eastAsia="AdvGulliv-R" w:hAnsi="Times New Roman" w:cs="Times New Roman"/>
        </w:rPr>
        <w:t xml:space="preserve"> Act proposes “one-size-fits-all” solutions which are too weak to regulate large systemic banks. It exempts all banks, which have substantial tangible equities in relation to their assets (at least 10 percent), from many regulatory rules applied under the DFA. Large systemic banks are typically highly interconnected, have opaque financial leverage and large complicated off-balance-sheet derivative positions. The simple capital ratio requirement of 10 percent proposed in the Choice Act is too low to serve as a cushion for mega banks. Repelling the Volcker rule will also invite more risky bets from systemically important financial intuitions, which is likely to fuel a more severe crisis and heighten its potential damage. </w:t>
      </w:r>
    </w:p>
    <w:p w:rsidR="00C10E90" w:rsidRPr="0059184B" w:rsidRDefault="00C10E90" w:rsidP="00E53A7F">
      <w:pPr>
        <w:pStyle w:val="a3"/>
        <w:shd w:val="clear" w:color="auto" w:fill="FFFFFF"/>
        <w:spacing w:before="120" w:beforeAutospacing="0" w:after="120" w:afterAutospacing="0" w:line="360" w:lineRule="auto"/>
        <w:jc w:val="both"/>
        <w:rPr>
          <w:rFonts w:ascii="Times New Roman" w:hAnsi="Times New Roman" w:cs="Times New Roman"/>
          <w:bCs/>
        </w:rPr>
      </w:pPr>
      <w:r w:rsidRPr="0059184B">
        <w:rPr>
          <w:rFonts w:ascii="Times New Roman" w:hAnsi="Times New Roman" w:cs="Times New Roman"/>
        </w:rPr>
        <w:t xml:space="preserve">The recent debate on deregulations in the financial system and the proposed dismantling of the key aspects of the DFA raises the need for an extensive study as to whether the DFA has been effective in mitigating bank’s risk and the degree of correlations among banks via derivative usage channels. </w:t>
      </w:r>
      <w:r w:rsidRPr="0059184B">
        <w:rPr>
          <w:rFonts w:ascii="Times New Roman" w:hAnsi="Times New Roman" w:cs="Times New Roman"/>
          <w:bCs/>
        </w:rPr>
        <w:t xml:space="preserve">Several studies have investigated the impacts of derivatives, for example, interest rate </w:t>
      </w:r>
      <w:r w:rsidR="00224CCE" w:rsidRPr="0059184B">
        <w:rPr>
          <w:rFonts w:ascii="Times New Roman" w:hAnsi="Times New Roman" w:cs="Times New Roman"/>
          <w:bCs/>
        </w:rPr>
        <w:t xml:space="preserve">derivatives </w:t>
      </w:r>
      <w:r w:rsidRPr="0059184B">
        <w:rPr>
          <w:rFonts w:ascii="Times New Roman" w:hAnsi="Times New Roman" w:cs="Times New Roman"/>
          <w:bCs/>
        </w:rPr>
        <w:t xml:space="preserve">on bank’s risk and bank’s performance </w:t>
      </w:r>
      <w:r w:rsidRPr="0059184B">
        <w:rPr>
          <w:rFonts w:ascii="Times New Roman" w:hAnsi="Times New Roman" w:cs="Times New Roman"/>
        </w:rPr>
        <w:t>(</w:t>
      </w:r>
      <w:r w:rsidR="00224CCE" w:rsidRPr="0059184B">
        <w:rPr>
          <w:rFonts w:ascii="Times New Roman" w:hAnsi="Times New Roman" w:cs="Times New Roman"/>
        </w:rPr>
        <w:t xml:space="preserve">Gunther </w:t>
      </w:r>
      <w:r w:rsidR="00224CCE" w:rsidRPr="0059184B">
        <w:rPr>
          <w:rFonts w:ascii="Times New Roman" w:hAnsi="Times New Roman" w:cs="Times New Roman" w:hint="eastAsia"/>
        </w:rPr>
        <w:t>and</w:t>
      </w:r>
      <w:r w:rsidR="00224CCE" w:rsidRPr="0059184B">
        <w:rPr>
          <w:rFonts w:ascii="Times New Roman" w:hAnsi="Times New Roman" w:cs="Times New Roman"/>
        </w:rPr>
        <w:t xml:space="preserve"> </w:t>
      </w:r>
      <w:proofErr w:type="spellStart"/>
      <w:r w:rsidR="00224CCE" w:rsidRPr="0059184B">
        <w:rPr>
          <w:rFonts w:ascii="Times New Roman" w:hAnsi="Times New Roman" w:cs="Times New Roman"/>
        </w:rPr>
        <w:t>Siems</w:t>
      </w:r>
      <w:proofErr w:type="spellEnd"/>
      <w:r w:rsidR="00224CCE" w:rsidRPr="0059184B">
        <w:rPr>
          <w:rFonts w:ascii="Times New Roman" w:hAnsi="Times New Roman" w:cs="Times New Roman"/>
        </w:rPr>
        <w:t xml:space="preserve">, 2002; Li </w:t>
      </w:r>
      <w:r w:rsidR="00224CCE" w:rsidRPr="0059184B">
        <w:rPr>
          <w:rFonts w:ascii="Times New Roman" w:hAnsi="Times New Roman" w:cs="Times New Roman" w:hint="eastAsia"/>
        </w:rPr>
        <w:t>and</w:t>
      </w:r>
      <w:r w:rsidR="00224CCE" w:rsidRPr="0059184B">
        <w:rPr>
          <w:rFonts w:ascii="Times New Roman" w:hAnsi="Times New Roman" w:cs="Times New Roman"/>
        </w:rPr>
        <w:t xml:space="preserve"> Yu, 2010; </w:t>
      </w:r>
      <w:r w:rsidR="001B68AF" w:rsidRPr="0059184B">
        <w:rPr>
          <w:rFonts w:ascii="Times New Roman" w:hAnsi="Times New Roman" w:cs="Times New Roman"/>
        </w:rPr>
        <w:t xml:space="preserve">Brewer, </w:t>
      </w:r>
      <w:proofErr w:type="spellStart"/>
      <w:r w:rsidR="00224CCE" w:rsidRPr="0059184B">
        <w:rPr>
          <w:rFonts w:ascii="Times New Roman" w:hAnsi="Times New Roman" w:cs="Times New Roman"/>
        </w:rPr>
        <w:t>Deshmukh</w:t>
      </w:r>
      <w:proofErr w:type="spellEnd"/>
      <w:r w:rsidR="00224CCE" w:rsidRPr="0059184B">
        <w:rPr>
          <w:rFonts w:ascii="Times New Roman" w:hAnsi="Times New Roman" w:cs="Times New Roman"/>
        </w:rPr>
        <w:t xml:space="preserve"> and </w:t>
      </w:r>
      <w:proofErr w:type="spellStart"/>
      <w:r w:rsidR="00224CCE" w:rsidRPr="0059184B">
        <w:rPr>
          <w:rFonts w:ascii="Times New Roman" w:hAnsi="Times New Roman" w:cs="Times New Roman"/>
        </w:rPr>
        <w:t>Opiela</w:t>
      </w:r>
      <w:proofErr w:type="spellEnd"/>
      <w:r w:rsidR="00224CCE" w:rsidRPr="0059184B">
        <w:rPr>
          <w:rFonts w:ascii="Times New Roman" w:hAnsi="Times New Roman" w:cs="Times New Roman"/>
        </w:rPr>
        <w:t>, 2014</w:t>
      </w:r>
      <w:r w:rsidRPr="0059184B">
        <w:rPr>
          <w:rFonts w:ascii="Times New Roman" w:eastAsia="AdvGulliv-R" w:hAnsi="Times New Roman" w:cs="Times New Roman"/>
        </w:rPr>
        <w:t>)</w:t>
      </w:r>
      <w:r w:rsidRPr="0059184B">
        <w:rPr>
          <w:rFonts w:ascii="Times New Roman" w:eastAsia="Arial Unicode MS" w:hAnsi="Times New Roman" w:cs="Times New Roman"/>
          <w:shd w:val="clear" w:color="auto" w:fill="FFFFFF"/>
        </w:rPr>
        <w:t xml:space="preserve">. However, few studies on bank’s risk </w:t>
      </w:r>
      <w:r w:rsidRPr="0059184B">
        <w:rPr>
          <w:rFonts w:ascii="Times New Roman" w:eastAsia="AdvGulliv-R" w:hAnsi="Times New Roman" w:cs="Times New Roman"/>
        </w:rPr>
        <w:t xml:space="preserve">have </w:t>
      </w:r>
      <w:r w:rsidRPr="0059184B">
        <w:rPr>
          <w:rFonts w:ascii="Times New Roman" w:hAnsi="Times New Roman" w:cs="Times New Roman"/>
          <w:bCs/>
        </w:rPr>
        <w:t>examine</w:t>
      </w:r>
      <w:r w:rsidR="00114196" w:rsidRPr="0059184B">
        <w:rPr>
          <w:rFonts w:ascii="Times New Roman" w:hAnsi="Times New Roman" w:cs="Times New Roman"/>
          <w:bCs/>
        </w:rPr>
        <w:t>d</w:t>
      </w:r>
      <w:r w:rsidRPr="0059184B">
        <w:rPr>
          <w:rFonts w:ascii="Times New Roman" w:hAnsi="Times New Roman" w:cs="Times New Roman"/>
          <w:bCs/>
        </w:rPr>
        <w:t xml:space="preserve"> the interactions between bank’s </w:t>
      </w:r>
      <w:r w:rsidR="00114196" w:rsidRPr="0059184B">
        <w:rPr>
          <w:rFonts w:ascii="Times New Roman" w:hAnsi="Times New Roman" w:cs="Times New Roman"/>
          <w:bCs/>
        </w:rPr>
        <w:t>derivatives usage</w:t>
      </w:r>
      <w:r w:rsidRPr="0059184B">
        <w:rPr>
          <w:rFonts w:ascii="Times New Roman" w:hAnsi="Times New Roman" w:cs="Times New Roman"/>
          <w:bCs/>
        </w:rPr>
        <w:t xml:space="preserve"> and the passage of the DFA.  </w:t>
      </w:r>
      <w:r w:rsidRPr="0059184B">
        <w:rPr>
          <w:rFonts w:ascii="Times New Roman" w:hAnsi="Times New Roman" w:cs="Times New Roman"/>
        </w:rPr>
        <w:t xml:space="preserve">Li and </w:t>
      </w:r>
      <w:proofErr w:type="spellStart"/>
      <w:r w:rsidRPr="0059184B">
        <w:rPr>
          <w:rFonts w:ascii="Times New Roman" w:hAnsi="Times New Roman" w:cs="Times New Roman"/>
        </w:rPr>
        <w:t>Marinč</w:t>
      </w:r>
      <w:proofErr w:type="spellEnd"/>
      <w:r w:rsidRPr="0059184B">
        <w:rPr>
          <w:rFonts w:ascii="Times New Roman" w:hAnsi="Times New Roman" w:cs="Times New Roman"/>
        </w:rPr>
        <w:t xml:space="preserve"> (201</w:t>
      </w:r>
      <w:r w:rsidR="0007333E" w:rsidRPr="0059184B">
        <w:rPr>
          <w:rFonts w:ascii="Times New Roman" w:hAnsi="Times New Roman" w:cs="Times New Roman"/>
        </w:rPr>
        <w:t>7</w:t>
      </w:r>
      <w:r w:rsidRPr="0059184B">
        <w:rPr>
          <w:rFonts w:ascii="Times New Roman" w:hAnsi="Times New Roman" w:cs="Times New Roman"/>
        </w:rPr>
        <w:t xml:space="preserve">) explore the impact of the mandatory clearing requirement and place emphasis on bank’s holdings of interest rate derivatives. </w:t>
      </w:r>
    </w:p>
    <w:p w:rsidR="00C10E90" w:rsidRPr="0059184B" w:rsidRDefault="00C10E90" w:rsidP="00C10E90">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In this study we conduct an extensive study of </w:t>
      </w:r>
      <w:r w:rsidR="00907BC6" w:rsidRPr="0059184B">
        <w:rPr>
          <w:rFonts w:ascii="Times New Roman" w:hAnsi="Times New Roman" w:cs="Times New Roman"/>
          <w:sz w:val="24"/>
          <w:szCs w:val="24"/>
        </w:rPr>
        <w:t xml:space="preserve">151 </w:t>
      </w:r>
      <w:r w:rsidRPr="0059184B">
        <w:rPr>
          <w:rFonts w:ascii="Times New Roman" w:hAnsi="Times New Roman" w:cs="Times New Roman"/>
          <w:sz w:val="24"/>
          <w:szCs w:val="24"/>
        </w:rPr>
        <w:t xml:space="preserve">large bank holding companies (BHCs) in the U.S. and focus on two types of derivatives which have been widely used in the financial market: credit derivatives and interest rate derivatives. Our analysis covers </w:t>
      </w:r>
      <w:r w:rsidRPr="0059184B">
        <w:rPr>
          <w:rFonts w:ascii="Times New Roman" w:hAnsi="Times New Roman" w:cs="Times New Roman"/>
          <w:kern w:val="0"/>
          <w:sz w:val="24"/>
          <w:szCs w:val="24"/>
        </w:rPr>
        <w:t xml:space="preserve">banks’ holding of credit derivatives and banks’ holdings of interest rate derivatives </w:t>
      </w:r>
      <w:proofErr w:type="spellStart"/>
      <w:r w:rsidRPr="0059184B">
        <w:rPr>
          <w:rFonts w:ascii="Times New Roman" w:hAnsi="Times New Roman" w:cs="Times New Roman"/>
          <w:kern w:val="0"/>
          <w:sz w:val="24"/>
          <w:szCs w:val="24"/>
        </w:rPr>
        <w:t>categorised</w:t>
      </w:r>
      <w:proofErr w:type="spellEnd"/>
      <w:r w:rsidRPr="0059184B">
        <w:rPr>
          <w:rFonts w:ascii="Times New Roman" w:hAnsi="Times New Roman" w:cs="Times New Roman"/>
          <w:kern w:val="0"/>
          <w:sz w:val="24"/>
          <w:szCs w:val="24"/>
        </w:rPr>
        <w:t xml:space="preserve"> by hedging and trading purposes</w:t>
      </w:r>
      <w:r w:rsidR="00C52BBE" w:rsidRPr="0059184B">
        <w:rPr>
          <w:rFonts w:ascii="Times New Roman" w:hAnsi="Times New Roman" w:cs="Times New Roman"/>
          <w:kern w:val="0"/>
          <w:sz w:val="24"/>
          <w:szCs w:val="24"/>
        </w:rPr>
        <w:t>, which allows us to test the effectiveness of the channel</w:t>
      </w:r>
      <w:r w:rsidR="002D0EC9" w:rsidRPr="0059184B">
        <w:rPr>
          <w:rFonts w:ascii="Times New Roman" w:hAnsi="Times New Roman" w:cs="Times New Roman"/>
          <w:kern w:val="0"/>
          <w:sz w:val="24"/>
          <w:szCs w:val="24"/>
        </w:rPr>
        <w:t xml:space="preserve"> of restricting the </w:t>
      </w:r>
      <w:r w:rsidR="00C52BBE" w:rsidRPr="0059184B">
        <w:rPr>
          <w:rFonts w:ascii="Times New Roman" w:hAnsi="Times New Roman" w:cs="Times New Roman"/>
          <w:kern w:val="0"/>
          <w:sz w:val="24"/>
          <w:szCs w:val="24"/>
        </w:rPr>
        <w:t>proprietary</w:t>
      </w:r>
      <w:r w:rsidR="002D0EC9" w:rsidRPr="0059184B">
        <w:rPr>
          <w:rFonts w:ascii="Times New Roman" w:hAnsi="Times New Roman" w:cs="Times New Roman"/>
          <w:kern w:val="0"/>
          <w:sz w:val="24"/>
          <w:szCs w:val="24"/>
        </w:rPr>
        <w:t xml:space="preserve"> </w:t>
      </w:r>
      <w:r w:rsidR="00C52BBE" w:rsidRPr="0059184B">
        <w:rPr>
          <w:rFonts w:ascii="Times New Roman" w:hAnsi="Times New Roman" w:cs="Times New Roman"/>
          <w:kern w:val="0"/>
          <w:sz w:val="24"/>
          <w:szCs w:val="24"/>
        </w:rPr>
        <w:t>trading</w:t>
      </w:r>
      <w:r w:rsidR="002D0EC9" w:rsidRPr="0059184B">
        <w:rPr>
          <w:rFonts w:ascii="Times New Roman" w:hAnsi="Times New Roman" w:cs="Times New Roman"/>
          <w:kern w:val="0"/>
          <w:sz w:val="24"/>
          <w:szCs w:val="24"/>
        </w:rPr>
        <w:t xml:space="preserve"> in the Volcker rule. Our </w:t>
      </w:r>
      <w:r w:rsidR="002D0EC9" w:rsidRPr="0059184B">
        <w:rPr>
          <w:rFonts w:ascii="Times New Roman" w:hAnsi="Times New Roman" w:cs="Times New Roman"/>
          <w:sz w:val="24"/>
          <w:szCs w:val="24"/>
        </w:rPr>
        <w:t>analysis also covers</w:t>
      </w:r>
      <w:r w:rsidR="002D0EC9" w:rsidRPr="0059184B">
        <w:rPr>
          <w:rFonts w:ascii="Times New Roman" w:eastAsia="AdvGulliv-R" w:hAnsi="Times New Roman" w:cs="Times New Roman"/>
          <w:kern w:val="0"/>
          <w:sz w:val="24"/>
          <w:szCs w:val="24"/>
        </w:rPr>
        <w:t xml:space="preserve"> banks’ holdings of </w:t>
      </w:r>
      <w:r w:rsidR="002D0EC9" w:rsidRPr="0059184B">
        <w:rPr>
          <w:rFonts w:ascii="Times New Roman" w:hAnsi="Times New Roman" w:cs="Times New Roman"/>
          <w:kern w:val="0"/>
          <w:sz w:val="24"/>
          <w:szCs w:val="24"/>
        </w:rPr>
        <w:t xml:space="preserve">interest </w:t>
      </w:r>
      <w:r w:rsidR="002D0EC9" w:rsidRPr="0059184B">
        <w:rPr>
          <w:rFonts w:ascii="Times New Roman" w:hAnsi="Times New Roman" w:cs="Times New Roman"/>
          <w:kern w:val="0"/>
          <w:sz w:val="24"/>
          <w:szCs w:val="24"/>
        </w:rPr>
        <w:lastRenderedPageBreak/>
        <w:t xml:space="preserve">rate derivatives </w:t>
      </w:r>
      <w:proofErr w:type="spellStart"/>
      <w:r w:rsidR="002D0EC9" w:rsidRPr="0059184B">
        <w:rPr>
          <w:rFonts w:ascii="Times New Roman" w:hAnsi="Times New Roman" w:cs="Times New Roman"/>
          <w:kern w:val="0"/>
          <w:sz w:val="24"/>
          <w:szCs w:val="24"/>
        </w:rPr>
        <w:t>categorised</w:t>
      </w:r>
      <w:proofErr w:type="spellEnd"/>
      <w:r w:rsidR="002D0EC9" w:rsidRPr="0059184B">
        <w:rPr>
          <w:rFonts w:ascii="Times New Roman" w:hAnsi="Times New Roman" w:cs="Times New Roman"/>
          <w:kern w:val="0"/>
          <w:sz w:val="24"/>
          <w:szCs w:val="24"/>
        </w:rPr>
        <w:t xml:space="preserve"> by</w:t>
      </w:r>
      <w:r w:rsidR="00C52BBE" w:rsidRPr="0059184B">
        <w:rPr>
          <w:rFonts w:ascii="Times New Roman" w:hAnsi="Times New Roman" w:cs="Times New Roman"/>
          <w:kern w:val="0"/>
          <w:sz w:val="24"/>
          <w:szCs w:val="24"/>
        </w:rPr>
        <w:t xml:space="preserve"> trading approaches of OTC </w:t>
      </w:r>
      <w:r w:rsidR="0086305D" w:rsidRPr="0059184B">
        <w:rPr>
          <w:rFonts w:ascii="Times New Roman" w:hAnsi="Times New Roman" w:cs="Times New Roman"/>
          <w:kern w:val="0"/>
          <w:sz w:val="24"/>
          <w:szCs w:val="24"/>
        </w:rPr>
        <w:t xml:space="preserve">trading </w:t>
      </w:r>
      <w:r w:rsidR="00C52BBE" w:rsidRPr="0059184B">
        <w:rPr>
          <w:rFonts w:ascii="Times New Roman" w:hAnsi="Times New Roman" w:cs="Times New Roman"/>
          <w:kern w:val="0"/>
          <w:sz w:val="24"/>
          <w:szCs w:val="24"/>
        </w:rPr>
        <w:t>and exchange</w:t>
      </w:r>
      <w:r w:rsidR="0086305D" w:rsidRPr="0059184B">
        <w:rPr>
          <w:rFonts w:ascii="Times New Roman" w:hAnsi="Times New Roman" w:cs="Times New Roman"/>
          <w:kern w:val="0"/>
          <w:sz w:val="24"/>
          <w:szCs w:val="24"/>
        </w:rPr>
        <w:t xml:space="preserve"> trading</w:t>
      </w:r>
      <w:r w:rsidR="002D0EC9" w:rsidRPr="0059184B">
        <w:rPr>
          <w:rFonts w:ascii="Times New Roman" w:hAnsi="Times New Roman" w:cs="Times New Roman"/>
          <w:kern w:val="0"/>
          <w:sz w:val="24"/>
          <w:szCs w:val="24"/>
        </w:rPr>
        <w:t xml:space="preserve">, which allows </w:t>
      </w:r>
      <w:proofErr w:type="gramStart"/>
      <w:r w:rsidR="002D0EC9" w:rsidRPr="0059184B">
        <w:rPr>
          <w:rFonts w:ascii="Times New Roman" w:hAnsi="Times New Roman" w:cs="Times New Roman"/>
          <w:kern w:val="0"/>
          <w:sz w:val="24"/>
          <w:szCs w:val="24"/>
        </w:rPr>
        <w:t>to test</w:t>
      </w:r>
      <w:proofErr w:type="gramEnd"/>
      <w:r w:rsidR="002D0EC9" w:rsidRPr="0059184B">
        <w:rPr>
          <w:rFonts w:ascii="Times New Roman" w:hAnsi="Times New Roman" w:cs="Times New Roman"/>
          <w:kern w:val="0"/>
          <w:sz w:val="24"/>
          <w:szCs w:val="24"/>
        </w:rPr>
        <w:t xml:space="preserve"> the effectiveness of central clearing channel in Title VII of the DFA. </w:t>
      </w:r>
      <w:r w:rsidRPr="0059184B">
        <w:rPr>
          <w:rFonts w:ascii="Times New Roman" w:hAnsi="Times New Roman" w:cs="Times New Roman"/>
          <w:kern w:val="0"/>
          <w:sz w:val="24"/>
          <w:szCs w:val="24"/>
        </w:rPr>
        <w:t>We examine the effects of these derivative holdings, the passage of the DFA, and their joint effects on three aspects: (</w:t>
      </w:r>
      <w:proofErr w:type="spellStart"/>
      <w:r w:rsidRPr="0059184B">
        <w:rPr>
          <w:rFonts w:ascii="Times New Roman" w:hAnsi="Times New Roman" w:cs="Times New Roman"/>
          <w:kern w:val="0"/>
          <w:sz w:val="24"/>
          <w:szCs w:val="24"/>
        </w:rPr>
        <w:t>i</w:t>
      </w:r>
      <w:proofErr w:type="spellEnd"/>
      <w:r w:rsidRPr="0059184B">
        <w:rPr>
          <w:rFonts w:ascii="Times New Roman" w:hAnsi="Times New Roman" w:cs="Times New Roman"/>
          <w:kern w:val="0"/>
          <w:sz w:val="24"/>
          <w:szCs w:val="24"/>
        </w:rPr>
        <w:t xml:space="preserve">) bank’s contribution to systemic risk; (ii) bank’s risk; and (ii) bank’s performance. </w:t>
      </w:r>
    </w:p>
    <w:p w:rsidR="00AC37EC" w:rsidRPr="0059184B" w:rsidRDefault="00AC37EC" w:rsidP="00AC37E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We find that excessive usage of interest rate derivatives held for hedging, interest derivatives traded on exchanges, and credit derivatives traded OTC substantially increased banks’ contribution to systemic risk. We also find that, in post-DFA periods, banks’ contribution to systemic risk was significantly lower within two out of three proxies employed for systemic risk. Moreover, we find usage of credit and interest rate derivatives held for hedging have weakened impact on systemic risk in post-DFA periods, while the use of interest rate derivatives held for trading does not exhibit significant impacts on systemic risk either before or after the introduction of the DFA.  Part of our results also shows evidences that usage of derivatives and the DFA led to a higher individual risks, while banks’ performance decreased after the signing of DFA.</w:t>
      </w:r>
    </w:p>
    <w:p w:rsidR="00C10E90" w:rsidRPr="0059184B" w:rsidRDefault="00C10E90" w:rsidP="00C10E90">
      <w:pPr>
        <w:pStyle w:val="a3"/>
        <w:shd w:val="clear" w:color="auto" w:fill="FFFFFF"/>
        <w:spacing w:before="120" w:beforeAutospacing="0" w:after="120" w:afterAutospacing="0" w:line="360" w:lineRule="auto"/>
        <w:jc w:val="both"/>
        <w:rPr>
          <w:rFonts w:ascii="Times New Roman" w:hAnsi="Times New Roman" w:cs="Times New Roman"/>
        </w:rPr>
      </w:pPr>
    </w:p>
    <w:p w:rsidR="00C10E90" w:rsidRPr="0059184B" w:rsidRDefault="00C10E90" w:rsidP="00C10E90">
      <w:pPr>
        <w:pStyle w:val="a3"/>
        <w:shd w:val="clear" w:color="auto" w:fill="FFFFFF"/>
        <w:spacing w:before="120" w:beforeAutospacing="0" w:after="120" w:afterAutospacing="0" w:line="360" w:lineRule="auto"/>
        <w:jc w:val="both"/>
        <w:rPr>
          <w:rStyle w:val="mw-headline"/>
          <w:rFonts w:ascii="Times New Roman" w:hAnsi="Times New Roman" w:cs="Times New Roman"/>
        </w:rPr>
      </w:pPr>
      <w:r w:rsidRPr="0059184B">
        <w:rPr>
          <w:rFonts w:ascii="Times New Roman" w:hAnsi="Times New Roman" w:cs="Times New Roman"/>
        </w:rPr>
        <w:t>The research contribution is four-fold. First, we cover</w:t>
      </w:r>
      <w:r w:rsidR="005034A6" w:rsidRPr="0059184B">
        <w:rPr>
          <w:rFonts w:ascii="Times New Roman" w:hAnsi="Times New Roman" w:cs="Times New Roman"/>
        </w:rPr>
        <w:t xml:space="preserve"> a long</w:t>
      </w:r>
      <w:r w:rsidRPr="0059184B">
        <w:rPr>
          <w:rFonts w:ascii="Times New Roman" w:hAnsi="Times New Roman" w:cs="Times New Roman"/>
        </w:rPr>
        <w:t xml:space="preserve"> period </w:t>
      </w:r>
      <w:r w:rsidR="005034A6" w:rsidRPr="0059184B">
        <w:rPr>
          <w:rFonts w:ascii="Times New Roman" w:hAnsi="Times New Roman" w:cs="Times New Roman"/>
        </w:rPr>
        <w:t xml:space="preserve">of study </w:t>
      </w:r>
      <w:r w:rsidRPr="0059184B">
        <w:rPr>
          <w:rFonts w:ascii="Times New Roman" w:hAnsi="Times New Roman" w:cs="Times New Roman"/>
        </w:rPr>
        <w:t xml:space="preserve">from January 2007 to December 2014, and examine credit derivatives and interest rate holdings </w:t>
      </w:r>
      <w:proofErr w:type="spellStart"/>
      <w:r w:rsidRPr="0059184B">
        <w:rPr>
          <w:rFonts w:ascii="Times New Roman" w:hAnsi="Times New Roman" w:cs="Times New Roman"/>
        </w:rPr>
        <w:t>categorised</w:t>
      </w:r>
      <w:proofErr w:type="spellEnd"/>
      <w:r w:rsidRPr="0059184B">
        <w:rPr>
          <w:rFonts w:ascii="Times New Roman" w:hAnsi="Times New Roman" w:cs="Times New Roman"/>
        </w:rPr>
        <w:t xml:space="preserve"> by hedging and trading purposes</w:t>
      </w:r>
      <w:r w:rsidR="00804993" w:rsidRPr="0059184B">
        <w:rPr>
          <w:rFonts w:ascii="Times New Roman" w:hAnsi="Times New Roman" w:cs="Times New Roman"/>
        </w:rPr>
        <w:t xml:space="preserve"> and by trading a</w:t>
      </w:r>
      <w:r w:rsidR="0086305D" w:rsidRPr="0059184B">
        <w:rPr>
          <w:rFonts w:ascii="Times New Roman" w:hAnsi="Times New Roman" w:cs="Times New Roman"/>
        </w:rPr>
        <w:t>pproaches</w:t>
      </w:r>
      <w:r w:rsidR="00804993" w:rsidRPr="0059184B">
        <w:rPr>
          <w:rFonts w:ascii="Times New Roman" w:hAnsi="Times New Roman" w:cs="Times New Roman"/>
        </w:rPr>
        <w:t xml:space="preserve"> of OTC </w:t>
      </w:r>
      <w:r w:rsidR="0086305D" w:rsidRPr="0059184B">
        <w:rPr>
          <w:rFonts w:ascii="Times New Roman" w:hAnsi="Times New Roman" w:cs="Times New Roman"/>
        </w:rPr>
        <w:t xml:space="preserve">trading </w:t>
      </w:r>
      <w:r w:rsidR="00804993" w:rsidRPr="0059184B">
        <w:rPr>
          <w:rFonts w:ascii="Times New Roman" w:hAnsi="Times New Roman" w:cs="Times New Roman"/>
        </w:rPr>
        <w:t>and exchange</w:t>
      </w:r>
      <w:r w:rsidRPr="0059184B">
        <w:rPr>
          <w:rFonts w:ascii="Times New Roman" w:hAnsi="Times New Roman" w:cs="Times New Roman"/>
        </w:rPr>
        <w:t xml:space="preserve"> </w:t>
      </w:r>
      <w:r w:rsidR="0086305D" w:rsidRPr="0059184B">
        <w:rPr>
          <w:rFonts w:ascii="Times New Roman" w:hAnsi="Times New Roman" w:cs="Times New Roman"/>
        </w:rPr>
        <w:t>trading</w:t>
      </w:r>
      <w:r w:rsidRPr="0059184B">
        <w:rPr>
          <w:rFonts w:ascii="Times New Roman" w:hAnsi="Times New Roman" w:cs="Times New Roman"/>
        </w:rPr>
        <w:t xml:space="preserve">. We extend the evidence on the channels </w:t>
      </w:r>
      <w:r w:rsidR="00185853" w:rsidRPr="0059184B">
        <w:rPr>
          <w:rFonts w:ascii="Times New Roman" w:hAnsi="Times New Roman" w:cs="Times New Roman"/>
        </w:rPr>
        <w:t xml:space="preserve">through </w:t>
      </w:r>
      <w:r w:rsidRPr="0059184B">
        <w:rPr>
          <w:rFonts w:ascii="Times New Roman" w:hAnsi="Times New Roman" w:cs="Times New Roman"/>
        </w:rPr>
        <w:t>which bank’s derivative usages affect its financial health and the wide net of linkages in the financial system. Second, by examining the effects of the DFA on systemic risk, bank’s risk and bank’s performance, we shed lights on whether the DFA has achieved its stated objectives in mitigating the degree of interconnectedness and improve the soundness of large financial institutions. Third, we explore the interactions between categories of derivative holdings and the DFA</w:t>
      </w:r>
      <w:r w:rsidR="00804993" w:rsidRPr="0059184B">
        <w:rPr>
          <w:rFonts w:ascii="Times New Roman" w:hAnsi="Times New Roman" w:cs="Times New Roman"/>
        </w:rPr>
        <w:t xml:space="preserve"> to test the effectiveness of the proprietary-trading and central-clearing channels </w:t>
      </w:r>
      <w:r w:rsidR="0026702B" w:rsidRPr="0059184B">
        <w:rPr>
          <w:rFonts w:ascii="Times New Roman" w:hAnsi="Times New Roman" w:cs="Times New Roman"/>
        </w:rPr>
        <w:t>through</w:t>
      </w:r>
      <w:r w:rsidR="00804993" w:rsidRPr="0059184B">
        <w:rPr>
          <w:rFonts w:ascii="Times New Roman" w:hAnsi="Times New Roman" w:cs="Times New Roman"/>
        </w:rPr>
        <w:t xml:space="preserve"> which the DFA intends to mitigate the impacts of derivatives on banks’ risk</w:t>
      </w:r>
      <w:r w:rsidRPr="0059184B">
        <w:rPr>
          <w:rFonts w:ascii="Times New Roman" w:hAnsi="Times New Roman" w:cs="Times New Roman"/>
        </w:rPr>
        <w:t xml:space="preserve">. Fourth, we use a more extensive set of variables than </w:t>
      </w:r>
      <w:r w:rsidR="0026702B" w:rsidRPr="0059184B">
        <w:rPr>
          <w:rFonts w:ascii="Times New Roman" w:hAnsi="Times New Roman" w:cs="Times New Roman"/>
        </w:rPr>
        <w:t>those have</w:t>
      </w:r>
      <w:r w:rsidRPr="0059184B">
        <w:rPr>
          <w:rFonts w:ascii="Times New Roman" w:hAnsi="Times New Roman" w:cs="Times New Roman"/>
        </w:rPr>
        <w:t xml:space="preserve"> been used in prior work. We capture bank’s exposure to the housing market in each state and the degree of competition in the banking sector in each state. </w:t>
      </w:r>
      <w:r w:rsidRPr="0059184B">
        <w:rPr>
          <w:rFonts w:ascii="Times New Roman" w:hAnsi="Times New Roman" w:cs="Times New Roman"/>
        </w:rPr>
        <w:lastRenderedPageBreak/>
        <w:t>Our analysis also examines bank’s usages of the discount window borrowing and four special capital programs. The study</w:t>
      </w:r>
      <w:r w:rsidR="00D5412C" w:rsidRPr="0059184B">
        <w:rPr>
          <w:rFonts w:ascii="Times New Roman" w:hAnsi="Times New Roman" w:cs="Times New Roman"/>
        </w:rPr>
        <w:t xml:space="preserve"> contributes to the limited</w:t>
      </w:r>
      <w:r w:rsidRPr="0059184B">
        <w:rPr>
          <w:rFonts w:ascii="Times New Roman" w:hAnsi="Times New Roman" w:cs="Times New Roman"/>
        </w:rPr>
        <w:t xml:space="preserve"> literature on derivative usages and risk management in the bank</w:t>
      </w:r>
      <w:r w:rsidR="00D5412C" w:rsidRPr="0059184B">
        <w:rPr>
          <w:rFonts w:ascii="Times New Roman" w:hAnsi="Times New Roman" w:cs="Times New Roman"/>
        </w:rPr>
        <w:t>ing system following the coming into effect</w:t>
      </w:r>
      <w:r w:rsidRPr="0059184B">
        <w:rPr>
          <w:rFonts w:ascii="Times New Roman" w:hAnsi="Times New Roman" w:cs="Times New Roman"/>
        </w:rPr>
        <w:t xml:space="preserve"> of the DFA. Our findings provide important implications to financial institutions, regulators, and legislators on the effectiveness of the DFA in regulating large systemic banks.</w:t>
      </w:r>
    </w:p>
    <w:p w:rsidR="00C10E90" w:rsidRPr="0059184B" w:rsidRDefault="00C10E90" w:rsidP="00C10E90">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In the next section we discuss the literature and develop our hypotheses. Section 3 summarizes our methods and data, Section 4 presents empirical results, Section 5 reports sensitivity analyses, and Section 6 concludes. </w:t>
      </w:r>
    </w:p>
    <w:p w:rsidR="00C10E90" w:rsidRPr="0059184B" w:rsidRDefault="00C10E90" w:rsidP="00C10E90">
      <w:pPr>
        <w:spacing w:before="120" w:after="120" w:line="360" w:lineRule="auto"/>
        <w:rPr>
          <w:rFonts w:ascii="Times New Roman" w:hAnsi="Times New Roman" w:cs="Times New Roman"/>
          <w:sz w:val="24"/>
          <w:szCs w:val="24"/>
        </w:rPr>
      </w:pPr>
    </w:p>
    <w:p w:rsidR="00313043" w:rsidRPr="0059184B" w:rsidRDefault="0020123E" w:rsidP="001433D0">
      <w:pPr>
        <w:pStyle w:val="2"/>
        <w:spacing w:line="360" w:lineRule="auto"/>
        <w:jc w:val="left"/>
        <w:rPr>
          <w:rFonts w:ascii="Times New Roman" w:hAnsi="Times New Roman" w:cs="Times New Roman"/>
          <w:kern w:val="0"/>
          <w:sz w:val="24"/>
          <w:szCs w:val="24"/>
        </w:rPr>
      </w:pPr>
      <w:r w:rsidRPr="0059184B">
        <w:rPr>
          <w:rFonts w:ascii="Times New Roman" w:hAnsi="Times New Roman" w:cs="Times New Roman"/>
          <w:kern w:val="0"/>
          <w:sz w:val="24"/>
          <w:szCs w:val="24"/>
        </w:rPr>
        <w:t xml:space="preserve">2. </w:t>
      </w:r>
      <w:r w:rsidR="00536A40" w:rsidRPr="0059184B">
        <w:rPr>
          <w:rFonts w:ascii="Times New Roman" w:hAnsi="Times New Roman" w:cs="Times New Roman"/>
          <w:kern w:val="0"/>
          <w:sz w:val="24"/>
          <w:szCs w:val="24"/>
        </w:rPr>
        <w:t>L</w:t>
      </w:r>
      <w:r w:rsidR="00313043" w:rsidRPr="0059184B">
        <w:rPr>
          <w:rFonts w:ascii="Times New Roman" w:hAnsi="Times New Roman" w:cs="Times New Roman"/>
          <w:kern w:val="0"/>
          <w:sz w:val="24"/>
          <w:szCs w:val="24"/>
        </w:rPr>
        <w:t>iterature</w:t>
      </w:r>
      <w:bookmarkEnd w:id="3"/>
      <w:bookmarkEnd w:id="4"/>
      <w:bookmarkEnd w:id="5"/>
      <w:r w:rsidR="00536A40" w:rsidRPr="0059184B">
        <w:rPr>
          <w:rFonts w:ascii="Times New Roman" w:hAnsi="Times New Roman" w:cs="Times New Roman"/>
          <w:kern w:val="0"/>
          <w:sz w:val="24"/>
          <w:szCs w:val="24"/>
        </w:rPr>
        <w:t xml:space="preserve"> and Hypothesis</w:t>
      </w:r>
    </w:p>
    <w:p w:rsidR="00E85B34" w:rsidRPr="0059184B" w:rsidRDefault="002C1407" w:rsidP="007351EA">
      <w:pPr>
        <w:autoSpaceDE w:val="0"/>
        <w:autoSpaceDN w:val="0"/>
        <w:adjustRightInd w:val="0"/>
        <w:spacing w:line="360" w:lineRule="auto"/>
        <w:rPr>
          <w:rFonts w:ascii="Times New Roman" w:eastAsia="AdvGulliv-R" w:hAnsi="Times New Roman" w:cs="Times New Roman"/>
          <w:kern w:val="0"/>
          <w:sz w:val="24"/>
          <w:szCs w:val="24"/>
        </w:rPr>
      </w:pPr>
      <w:r w:rsidRPr="0059184B">
        <w:rPr>
          <w:rFonts w:ascii="Times New Roman" w:eastAsia="AdvGulliv-R" w:hAnsi="Times New Roman" w:cs="Times New Roman"/>
          <w:kern w:val="0"/>
          <w:sz w:val="24"/>
          <w:szCs w:val="24"/>
        </w:rPr>
        <w:t>This paper is related to the two main streams of literature: first, to examine the effects of derivative holdings on systemic risk and bank’s risk; and second, to evaluate the effectiveness of the DFA in curtaining the degree of interconnectedness among banks and improving the financial soundness of</w:t>
      </w:r>
      <w:r w:rsidR="00360C11" w:rsidRPr="0059184B">
        <w:rPr>
          <w:rFonts w:ascii="Times New Roman" w:eastAsia="AdvGulliv-R" w:hAnsi="Times New Roman" w:cs="Times New Roman"/>
          <w:kern w:val="0"/>
          <w:sz w:val="24"/>
          <w:szCs w:val="24"/>
        </w:rPr>
        <w:t xml:space="preserve"> individual banks</w:t>
      </w:r>
      <w:r w:rsidRPr="0059184B">
        <w:rPr>
          <w:rFonts w:ascii="Times New Roman" w:eastAsia="AdvGulliv-R" w:hAnsi="Times New Roman" w:cs="Times New Roman"/>
          <w:kern w:val="0"/>
          <w:sz w:val="24"/>
          <w:szCs w:val="24"/>
        </w:rPr>
        <w:t xml:space="preserve">. The following analysis will briefly discuss the two relevant streams of literature. </w:t>
      </w:r>
    </w:p>
    <w:p w:rsidR="00EB45D3" w:rsidRPr="0059184B" w:rsidRDefault="00EB45D3" w:rsidP="007351EA">
      <w:pPr>
        <w:autoSpaceDE w:val="0"/>
        <w:autoSpaceDN w:val="0"/>
        <w:adjustRightInd w:val="0"/>
        <w:spacing w:line="360" w:lineRule="auto"/>
        <w:rPr>
          <w:rFonts w:ascii="Times New Roman" w:eastAsia="宋体" w:hAnsi="Times New Roman" w:cs="Times New Roman"/>
          <w:kern w:val="0"/>
          <w:sz w:val="24"/>
          <w:szCs w:val="24"/>
        </w:rPr>
      </w:pPr>
    </w:p>
    <w:p w:rsidR="00E85B34" w:rsidRPr="0059184B" w:rsidRDefault="00E85B34" w:rsidP="00C61C16">
      <w:pPr>
        <w:pStyle w:val="3"/>
        <w:rPr>
          <w:rFonts w:ascii="Times New Roman" w:hAnsi="Times New Roman" w:cs="Times New Roman"/>
          <w:sz w:val="24"/>
          <w:szCs w:val="24"/>
        </w:rPr>
      </w:pPr>
      <w:r w:rsidRPr="0059184B">
        <w:rPr>
          <w:rFonts w:ascii="Times New Roman" w:hAnsi="Times New Roman" w:cs="Times New Roman"/>
          <w:sz w:val="24"/>
          <w:szCs w:val="24"/>
        </w:rPr>
        <w:t xml:space="preserve">2.1. </w:t>
      </w:r>
      <w:r w:rsidR="003B1F66" w:rsidRPr="0059184B">
        <w:rPr>
          <w:rFonts w:ascii="Times New Roman" w:hAnsi="Times New Roman" w:cs="Times New Roman"/>
          <w:sz w:val="24"/>
          <w:szCs w:val="24"/>
        </w:rPr>
        <w:t>Derivative holdings</w:t>
      </w:r>
      <w:r w:rsidR="006364CB" w:rsidRPr="0059184B">
        <w:rPr>
          <w:rFonts w:ascii="Times New Roman" w:hAnsi="Times New Roman" w:cs="Times New Roman"/>
          <w:sz w:val="24"/>
          <w:szCs w:val="24"/>
        </w:rPr>
        <w:t>,</w:t>
      </w:r>
      <w:r w:rsidRPr="0059184B">
        <w:rPr>
          <w:rFonts w:ascii="Times New Roman" w:hAnsi="Times New Roman" w:cs="Times New Roman"/>
          <w:sz w:val="24"/>
          <w:szCs w:val="24"/>
        </w:rPr>
        <w:t xml:space="preserve"> systemic risk</w:t>
      </w:r>
      <w:r w:rsidR="006364CB" w:rsidRPr="0059184B">
        <w:rPr>
          <w:rFonts w:ascii="Times New Roman" w:hAnsi="Times New Roman" w:cs="Times New Roman"/>
          <w:sz w:val="24"/>
          <w:szCs w:val="24"/>
        </w:rPr>
        <w:t xml:space="preserve"> and DFA</w:t>
      </w:r>
    </w:p>
    <w:p w:rsidR="00912CBA" w:rsidRPr="0059184B" w:rsidRDefault="00E22B40" w:rsidP="0087140C">
      <w:pPr>
        <w:autoSpaceDE w:val="0"/>
        <w:autoSpaceDN w:val="0"/>
        <w:adjustRightInd w:val="0"/>
        <w:spacing w:line="360" w:lineRule="auto"/>
        <w:rPr>
          <w:rFonts w:ascii="Times New Roman" w:eastAsia="AdvGulliv-R" w:hAnsi="Times New Roman" w:cs="Times New Roman"/>
          <w:kern w:val="0"/>
          <w:sz w:val="24"/>
          <w:szCs w:val="24"/>
        </w:rPr>
      </w:pPr>
      <w:r w:rsidRPr="0059184B">
        <w:rPr>
          <w:rFonts w:ascii="Times New Roman" w:eastAsia="宋体" w:hAnsi="Times New Roman" w:cs="Times New Roman"/>
          <w:kern w:val="0"/>
          <w:sz w:val="24"/>
          <w:szCs w:val="24"/>
        </w:rPr>
        <w:t xml:space="preserve">The strong growth of </w:t>
      </w:r>
      <w:r w:rsidR="001F4EA2" w:rsidRPr="0059184B">
        <w:rPr>
          <w:rFonts w:ascii="Times New Roman" w:eastAsia="宋体" w:hAnsi="Times New Roman" w:cs="Times New Roman"/>
          <w:kern w:val="0"/>
          <w:sz w:val="24"/>
          <w:szCs w:val="24"/>
        </w:rPr>
        <w:t>derivative</w:t>
      </w:r>
      <w:r w:rsidRPr="0059184B">
        <w:rPr>
          <w:rFonts w:ascii="Times New Roman" w:eastAsia="宋体" w:hAnsi="Times New Roman" w:cs="Times New Roman"/>
          <w:kern w:val="0"/>
          <w:sz w:val="24"/>
          <w:szCs w:val="24"/>
        </w:rPr>
        <w:t xml:space="preserve"> holdings </w:t>
      </w:r>
      <w:r w:rsidR="006364CB" w:rsidRPr="0059184B">
        <w:rPr>
          <w:rFonts w:ascii="Times New Roman" w:eastAsia="宋体" w:hAnsi="Times New Roman" w:cs="Times New Roman"/>
          <w:kern w:val="0"/>
          <w:sz w:val="24"/>
          <w:szCs w:val="24"/>
        </w:rPr>
        <w:t>among banks has</w:t>
      </w:r>
      <w:r w:rsidRPr="0059184B">
        <w:rPr>
          <w:rFonts w:ascii="Times New Roman" w:eastAsia="宋体" w:hAnsi="Times New Roman" w:cs="Times New Roman"/>
          <w:kern w:val="0"/>
          <w:sz w:val="24"/>
          <w:szCs w:val="24"/>
        </w:rPr>
        <w:t xml:space="preserve"> been a key driver of intra-financial system activities (</w:t>
      </w:r>
      <w:proofErr w:type="spellStart"/>
      <w:r w:rsidRPr="0059184B">
        <w:rPr>
          <w:rFonts w:ascii="Times New Roman" w:eastAsia="AdvGulliv-R" w:hAnsi="Times New Roman" w:cs="Times New Roman"/>
          <w:kern w:val="0"/>
          <w:sz w:val="24"/>
          <w:szCs w:val="24"/>
        </w:rPr>
        <w:t>Mayordomo</w:t>
      </w:r>
      <w:proofErr w:type="spellEnd"/>
      <w:r w:rsidRPr="0059184B">
        <w:rPr>
          <w:rFonts w:ascii="Times New Roman" w:eastAsia="AdvGulliv-R" w:hAnsi="Times New Roman" w:cs="Times New Roman"/>
          <w:kern w:val="0"/>
          <w:sz w:val="24"/>
          <w:szCs w:val="24"/>
        </w:rPr>
        <w:t>, Rodriguez-Moreno and Pena, 2014)</w:t>
      </w:r>
      <w:r w:rsidRPr="0059184B">
        <w:rPr>
          <w:rFonts w:ascii="Times New Roman" w:eastAsia="宋体" w:hAnsi="Times New Roman" w:cs="Times New Roman"/>
          <w:kern w:val="0"/>
          <w:sz w:val="24"/>
          <w:szCs w:val="24"/>
        </w:rPr>
        <w:t xml:space="preserve">. </w:t>
      </w:r>
      <w:r w:rsidR="001F4EA2" w:rsidRPr="0059184B">
        <w:rPr>
          <w:rFonts w:ascii="Times New Roman" w:eastAsia="宋体" w:hAnsi="Times New Roman" w:cs="Times New Roman"/>
          <w:kern w:val="0"/>
          <w:sz w:val="24"/>
          <w:szCs w:val="24"/>
        </w:rPr>
        <w:t xml:space="preserve">Previous studies suggest that derivatives </w:t>
      </w:r>
      <w:r w:rsidR="001F4EA2" w:rsidRPr="0059184B">
        <w:rPr>
          <w:rFonts w:ascii="Times New Roman" w:eastAsia="AdvGulliv-R" w:hAnsi="Times New Roman" w:cs="Times New Roman"/>
          <w:kern w:val="0"/>
          <w:sz w:val="24"/>
          <w:szCs w:val="24"/>
        </w:rPr>
        <w:t xml:space="preserve">build up the correlations and leads to a higher degree of interdependence among banks </w:t>
      </w:r>
      <w:r w:rsidR="001F4EA2" w:rsidRPr="0059184B">
        <w:rPr>
          <w:rFonts w:ascii="Times New Roman" w:hAnsi="Times New Roman" w:cs="Times New Roman"/>
          <w:sz w:val="24"/>
          <w:szCs w:val="24"/>
        </w:rPr>
        <w:t>(</w:t>
      </w:r>
      <w:proofErr w:type="spellStart"/>
      <w:r w:rsidR="001F4EA2" w:rsidRPr="0059184B">
        <w:rPr>
          <w:rFonts w:ascii="Times New Roman" w:eastAsia="AdvGulliv-R" w:hAnsi="Times New Roman" w:cs="Times New Roman"/>
          <w:kern w:val="0"/>
          <w:sz w:val="24"/>
          <w:szCs w:val="24"/>
        </w:rPr>
        <w:t>Nijskens</w:t>
      </w:r>
      <w:proofErr w:type="spellEnd"/>
      <w:r w:rsidR="001F4EA2" w:rsidRPr="0059184B">
        <w:rPr>
          <w:rFonts w:ascii="Times New Roman" w:eastAsia="AdvGulliv-R" w:hAnsi="Times New Roman" w:cs="Times New Roman"/>
          <w:kern w:val="0"/>
          <w:sz w:val="24"/>
          <w:szCs w:val="24"/>
        </w:rPr>
        <w:t xml:space="preserve"> and Wagner</w:t>
      </w:r>
      <w:r w:rsidR="001F4EA2" w:rsidRPr="0059184B">
        <w:rPr>
          <w:rFonts w:ascii="Times New Roman" w:eastAsia="AdvGulliv-R" w:hAnsi="Times New Roman" w:cs="Times New Roman" w:hint="eastAsia"/>
          <w:kern w:val="0"/>
          <w:sz w:val="24"/>
          <w:szCs w:val="24"/>
        </w:rPr>
        <w:t xml:space="preserve">, </w:t>
      </w:r>
      <w:r w:rsidR="001F4EA2" w:rsidRPr="0059184B">
        <w:rPr>
          <w:rFonts w:ascii="Times New Roman" w:eastAsia="AdvGulliv-R" w:hAnsi="Times New Roman" w:cs="Times New Roman"/>
          <w:kern w:val="0"/>
          <w:sz w:val="24"/>
          <w:szCs w:val="24"/>
        </w:rPr>
        <w:t xml:space="preserve">2010; </w:t>
      </w:r>
      <w:proofErr w:type="spellStart"/>
      <w:r w:rsidR="001F4EA2" w:rsidRPr="0059184B">
        <w:rPr>
          <w:rFonts w:ascii="Times New Roman" w:hAnsi="Times New Roman" w:cs="Times New Roman"/>
          <w:sz w:val="24"/>
          <w:szCs w:val="24"/>
        </w:rPr>
        <w:t>Bedendo</w:t>
      </w:r>
      <w:proofErr w:type="spellEnd"/>
      <w:r w:rsidR="001F4EA2" w:rsidRPr="0059184B">
        <w:rPr>
          <w:rFonts w:ascii="Times New Roman" w:hAnsi="Times New Roman" w:cs="Times New Roman"/>
          <w:sz w:val="24"/>
          <w:szCs w:val="24"/>
        </w:rPr>
        <w:t xml:space="preserve"> and Bruno, 2012;</w:t>
      </w:r>
      <w:r w:rsidR="001F4EA2" w:rsidRPr="0059184B">
        <w:rPr>
          <w:rFonts w:ascii="Times New Roman" w:eastAsia="AdvGulliv-R" w:hAnsi="Times New Roman" w:cs="Times New Roman"/>
          <w:kern w:val="0"/>
          <w:sz w:val="24"/>
          <w:szCs w:val="24"/>
        </w:rPr>
        <w:t xml:space="preserve"> </w:t>
      </w:r>
      <w:proofErr w:type="spellStart"/>
      <w:r w:rsidR="001F4EA2" w:rsidRPr="0059184B">
        <w:rPr>
          <w:rFonts w:ascii="Times New Roman" w:eastAsia="AdvGulliv-R" w:hAnsi="Times New Roman" w:cs="Times New Roman"/>
          <w:kern w:val="0"/>
          <w:sz w:val="24"/>
          <w:szCs w:val="24"/>
        </w:rPr>
        <w:t>Mayordomo</w:t>
      </w:r>
      <w:proofErr w:type="spellEnd"/>
      <w:r w:rsidR="001F4EA2" w:rsidRPr="0059184B">
        <w:rPr>
          <w:rFonts w:ascii="Times New Roman" w:eastAsia="AdvGulliv-R" w:hAnsi="Times New Roman" w:cs="Times New Roman"/>
          <w:kern w:val="0"/>
          <w:sz w:val="24"/>
          <w:szCs w:val="24"/>
        </w:rPr>
        <w:t>, Rodriguez-Moreno and Pena, 2014</w:t>
      </w:r>
      <w:r w:rsidR="001F4EA2" w:rsidRPr="0059184B">
        <w:rPr>
          <w:rFonts w:ascii="Times New Roman" w:hAnsi="Times New Roman" w:cs="Times New Roman"/>
          <w:sz w:val="24"/>
          <w:szCs w:val="24"/>
        </w:rPr>
        <w:t>).</w:t>
      </w:r>
      <w:r w:rsidR="001F4EA2" w:rsidRPr="0059184B">
        <w:rPr>
          <w:rFonts w:ascii="Times New Roman" w:eastAsia="AdvGulliv-R" w:hAnsi="Times New Roman" w:cs="Times New Roman"/>
          <w:kern w:val="0"/>
          <w:sz w:val="24"/>
          <w:szCs w:val="24"/>
        </w:rPr>
        <w:t xml:space="preserve"> </w:t>
      </w:r>
      <w:proofErr w:type="spellStart"/>
      <w:r w:rsidR="00313043" w:rsidRPr="0059184B">
        <w:rPr>
          <w:rFonts w:ascii="Times New Roman" w:eastAsia="AdvGulliv-R" w:hAnsi="Times New Roman" w:cs="Times New Roman"/>
          <w:kern w:val="0"/>
          <w:sz w:val="24"/>
          <w:szCs w:val="24"/>
        </w:rPr>
        <w:t>Calm</w:t>
      </w:r>
      <w:r w:rsidR="00313043" w:rsidRPr="0059184B">
        <w:rPr>
          <w:rFonts w:ascii="Times New Roman" w:eastAsia="AdvGulliv-R" w:hAnsi="Times New Roman" w:cs="Times New Roman" w:hint="eastAsia"/>
          <w:kern w:val="0"/>
          <w:sz w:val="24"/>
          <w:szCs w:val="24"/>
        </w:rPr>
        <w:t>e</w:t>
      </w:r>
      <w:r w:rsidR="00313043" w:rsidRPr="0059184B">
        <w:rPr>
          <w:rFonts w:ascii="Times New Roman" w:eastAsia="AdvGulliv-R" w:hAnsi="Times New Roman" w:cs="Times New Roman"/>
          <w:kern w:val="0"/>
          <w:sz w:val="24"/>
          <w:szCs w:val="24"/>
        </w:rPr>
        <w:t>s</w:t>
      </w:r>
      <w:proofErr w:type="spellEnd"/>
      <w:r w:rsidR="00313043" w:rsidRPr="0059184B">
        <w:rPr>
          <w:rFonts w:ascii="Times New Roman" w:eastAsia="AdvGulliv-R" w:hAnsi="Times New Roman" w:cs="Times New Roman"/>
          <w:kern w:val="0"/>
          <w:sz w:val="24"/>
          <w:szCs w:val="24"/>
        </w:rPr>
        <w:t xml:space="preserve"> and </w:t>
      </w:r>
      <w:proofErr w:type="spellStart"/>
      <w:r w:rsidR="00313043" w:rsidRPr="0059184B">
        <w:rPr>
          <w:rFonts w:ascii="Times New Roman" w:eastAsia="AdvGulliv-R" w:hAnsi="Times New Roman" w:cs="Times New Roman"/>
          <w:kern w:val="0"/>
          <w:sz w:val="24"/>
          <w:szCs w:val="24"/>
        </w:rPr>
        <w:t>Th</w:t>
      </w:r>
      <w:r w:rsidR="00313043" w:rsidRPr="0059184B">
        <w:rPr>
          <w:rFonts w:ascii="Times New Roman" w:eastAsia="AdvGulliv-R" w:hAnsi="Times New Roman" w:cs="Times New Roman" w:hint="eastAsia"/>
          <w:kern w:val="0"/>
          <w:sz w:val="24"/>
          <w:szCs w:val="24"/>
        </w:rPr>
        <w:t>e</w:t>
      </w:r>
      <w:r w:rsidR="00313043" w:rsidRPr="0059184B">
        <w:rPr>
          <w:rFonts w:ascii="Times New Roman" w:eastAsia="AdvGulliv-R" w:hAnsi="Times New Roman" w:cs="Times New Roman"/>
          <w:kern w:val="0"/>
          <w:sz w:val="24"/>
          <w:szCs w:val="24"/>
        </w:rPr>
        <w:t>oret</w:t>
      </w:r>
      <w:proofErr w:type="spellEnd"/>
      <w:r w:rsidR="00313043" w:rsidRPr="0059184B">
        <w:rPr>
          <w:rFonts w:ascii="Times New Roman" w:eastAsia="AdvGulliv-R" w:hAnsi="Times New Roman" w:cs="Times New Roman"/>
          <w:kern w:val="0"/>
          <w:sz w:val="24"/>
          <w:szCs w:val="24"/>
        </w:rPr>
        <w:t xml:space="preserve"> (2010) </w:t>
      </w:r>
      <w:r w:rsidR="00A40BEA" w:rsidRPr="0059184B">
        <w:rPr>
          <w:rFonts w:ascii="Times New Roman" w:eastAsia="AdvGulliv-R" w:hAnsi="Times New Roman" w:cs="Times New Roman"/>
          <w:kern w:val="0"/>
          <w:sz w:val="24"/>
          <w:szCs w:val="24"/>
        </w:rPr>
        <w:t xml:space="preserve">present </w:t>
      </w:r>
      <w:r w:rsidR="00313043" w:rsidRPr="0059184B">
        <w:rPr>
          <w:rFonts w:ascii="Times New Roman" w:eastAsia="AdvGulliv-R" w:hAnsi="Times New Roman" w:cs="Times New Roman" w:hint="eastAsia"/>
          <w:kern w:val="0"/>
          <w:sz w:val="24"/>
          <w:szCs w:val="24"/>
        </w:rPr>
        <w:t xml:space="preserve">evidence that </w:t>
      </w:r>
      <w:r w:rsidR="00A40BEA" w:rsidRPr="0059184B">
        <w:rPr>
          <w:rFonts w:ascii="Times New Roman" w:eastAsia="AdvGulliv-R" w:hAnsi="Times New Roman" w:cs="Times New Roman"/>
          <w:kern w:val="0"/>
          <w:sz w:val="24"/>
          <w:szCs w:val="24"/>
        </w:rPr>
        <w:t>banks’</w:t>
      </w:r>
      <w:r w:rsidR="00313043" w:rsidRPr="0059184B">
        <w:rPr>
          <w:rFonts w:ascii="Times New Roman" w:eastAsia="AdvGulliv-R" w:hAnsi="Times New Roman" w:cs="Times New Roman" w:hint="eastAsia"/>
          <w:kern w:val="0"/>
          <w:sz w:val="24"/>
          <w:szCs w:val="24"/>
        </w:rPr>
        <w:t xml:space="preserve"> off-balance</w:t>
      </w:r>
      <w:r w:rsidR="002C1407" w:rsidRPr="0059184B">
        <w:rPr>
          <w:rFonts w:ascii="Times New Roman" w:eastAsia="AdvGulliv-R" w:hAnsi="Times New Roman" w:cs="Times New Roman"/>
          <w:kern w:val="0"/>
          <w:sz w:val="24"/>
          <w:szCs w:val="24"/>
        </w:rPr>
        <w:t>-</w:t>
      </w:r>
      <w:r w:rsidR="00313043" w:rsidRPr="0059184B">
        <w:rPr>
          <w:rFonts w:ascii="Times New Roman" w:eastAsia="AdvGulliv-R" w:hAnsi="Times New Roman" w:cs="Times New Roman" w:hint="eastAsia"/>
          <w:kern w:val="0"/>
          <w:sz w:val="24"/>
          <w:szCs w:val="24"/>
        </w:rPr>
        <w:t>sheet activities</w:t>
      </w:r>
      <w:r w:rsidR="00313043" w:rsidRPr="0059184B">
        <w:rPr>
          <w:rFonts w:ascii="Times New Roman" w:eastAsia="AdvGulliv-R" w:hAnsi="Times New Roman" w:cs="Times New Roman"/>
          <w:kern w:val="0"/>
          <w:sz w:val="24"/>
          <w:szCs w:val="24"/>
        </w:rPr>
        <w:t xml:space="preserve"> reduce </w:t>
      </w:r>
      <w:r w:rsidR="00A40BEA" w:rsidRPr="0059184B">
        <w:rPr>
          <w:rFonts w:ascii="Times New Roman" w:eastAsia="AdvGulliv-R" w:hAnsi="Times New Roman" w:cs="Times New Roman"/>
          <w:kern w:val="0"/>
          <w:sz w:val="24"/>
          <w:szCs w:val="24"/>
        </w:rPr>
        <w:t xml:space="preserve">their average </w:t>
      </w:r>
      <w:r w:rsidR="00313043" w:rsidRPr="0059184B">
        <w:rPr>
          <w:rFonts w:ascii="Times New Roman" w:eastAsia="AdvGulliv-R" w:hAnsi="Times New Roman" w:cs="Times New Roman"/>
          <w:kern w:val="0"/>
          <w:sz w:val="24"/>
          <w:szCs w:val="24"/>
        </w:rPr>
        <w:t>returns, increas</w:t>
      </w:r>
      <w:r w:rsidR="0021324D" w:rsidRPr="0059184B">
        <w:rPr>
          <w:rFonts w:ascii="Times New Roman" w:eastAsia="AdvGulliv-R" w:hAnsi="Times New Roman" w:cs="Times New Roman"/>
          <w:kern w:val="0"/>
          <w:sz w:val="24"/>
          <w:szCs w:val="24"/>
        </w:rPr>
        <w:t>e</w:t>
      </w:r>
      <w:r w:rsidR="00313043" w:rsidRPr="0059184B">
        <w:rPr>
          <w:rFonts w:ascii="Times New Roman" w:eastAsia="AdvGulliv-R" w:hAnsi="Times New Roman" w:cs="Times New Roman" w:hint="eastAsia"/>
          <w:kern w:val="0"/>
          <w:sz w:val="24"/>
          <w:szCs w:val="24"/>
        </w:rPr>
        <w:t xml:space="preserve"> </w:t>
      </w:r>
      <w:r w:rsidR="00313043" w:rsidRPr="0059184B">
        <w:rPr>
          <w:rFonts w:ascii="Times New Roman" w:eastAsia="AdvGulliv-R" w:hAnsi="Times New Roman" w:cs="Times New Roman"/>
          <w:kern w:val="0"/>
          <w:sz w:val="24"/>
          <w:szCs w:val="24"/>
        </w:rPr>
        <w:t>the volatility of their operating revenue</w:t>
      </w:r>
      <w:r w:rsidR="00BE00BF" w:rsidRPr="0059184B">
        <w:rPr>
          <w:rFonts w:ascii="Times New Roman" w:eastAsia="AdvGulliv-R" w:hAnsi="Times New Roman" w:cs="Times New Roman"/>
          <w:kern w:val="0"/>
          <w:sz w:val="24"/>
          <w:szCs w:val="24"/>
        </w:rPr>
        <w:t>s</w:t>
      </w:r>
      <w:r w:rsidR="00313043" w:rsidRPr="0059184B">
        <w:rPr>
          <w:rFonts w:ascii="Times New Roman" w:eastAsia="AdvGulliv-R" w:hAnsi="Times New Roman" w:cs="Times New Roman"/>
          <w:kern w:val="0"/>
          <w:sz w:val="24"/>
          <w:szCs w:val="24"/>
        </w:rPr>
        <w:t xml:space="preserve"> and </w:t>
      </w:r>
      <w:r w:rsidR="0021324D" w:rsidRPr="0059184B">
        <w:rPr>
          <w:rFonts w:ascii="Times New Roman" w:eastAsia="AdvGulliv-R" w:hAnsi="Times New Roman" w:cs="Times New Roman"/>
          <w:kern w:val="0"/>
          <w:sz w:val="24"/>
          <w:szCs w:val="24"/>
        </w:rPr>
        <w:t>raise</w:t>
      </w:r>
      <w:r w:rsidR="00EB45D3" w:rsidRPr="0059184B">
        <w:rPr>
          <w:rFonts w:ascii="Times New Roman" w:eastAsia="AdvGulliv-R" w:hAnsi="Times New Roman" w:cs="Times New Roman"/>
          <w:kern w:val="0"/>
          <w:sz w:val="24"/>
          <w:szCs w:val="24"/>
        </w:rPr>
        <w:t xml:space="preserve"> their contribution</w:t>
      </w:r>
      <w:r w:rsidR="0021324D" w:rsidRPr="0059184B">
        <w:rPr>
          <w:rFonts w:ascii="Times New Roman" w:eastAsia="AdvGulliv-R" w:hAnsi="Times New Roman" w:cs="Times New Roman"/>
          <w:kern w:val="0"/>
          <w:sz w:val="24"/>
          <w:szCs w:val="24"/>
        </w:rPr>
        <w:t>s</w:t>
      </w:r>
      <w:r w:rsidR="00EB45D3" w:rsidRPr="0059184B">
        <w:rPr>
          <w:rFonts w:ascii="Times New Roman" w:eastAsia="AdvGulliv-R" w:hAnsi="Times New Roman" w:cs="Times New Roman"/>
          <w:kern w:val="0"/>
          <w:sz w:val="24"/>
          <w:szCs w:val="24"/>
        </w:rPr>
        <w:t xml:space="preserve"> to</w:t>
      </w:r>
      <w:r w:rsidR="00A40BEA" w:rsidRPr="0059184B">
        <w:rPr>
          <w:rFonts w:ascii="Times New Roman" w:eastAsia="AdvGulliv-R" w:hAnsi="Times New Roman" w:cs="Times New Roman"/>
          <w:kern w:val="0"/>
          <w:sz w:val="24"/>
          <w:szCs w:val="24"/>
        </w:rPr>
        <w:t xml:space="preserve"> </w:t>
      </w:r>
      <w:r w:rsidR="00313043" w:rsidRPr="0059184B">
        <w:rPr>
          <w:rFonts w:ascii="Times New Roman" w:eastAsia="AdvGulliv-R" w:hAnsi="Times New Roman" w:cs="Times New Roman"/>
          <w:kern w:val="0"/>
          <w:sz w:val="24"/>
          <w:szCs w:val="24"/>
        </w:rPr>
        <w:t>systemic risk.</w:t>
      </w:r>
      <w:r w:rsidR="00313043" w:rsidRPr="0059184B">
        <w:rPr>
          <w:rFonts w:ascii="Times New Roman" w:eastAsia="AdvGulliv-R" w:hAnsi="Times New Roman" w:cs="Times New Roman" w:hint="eastAsia"/>
          <w:kern w:val="0"/>
          <w:sz w:val="24"/>
          <w:szCs w:val="24"/>
        </w:rPr>
        <w:t xml:space="preserve"> </w:t>
      </w:r>
      <w:proofErr w:type="spellStart"/>
      <w:r w:rsidR="00313043" w:rsidRPr="0059184B">
        <w:rPr>
          <w:rFonts w:ascii="Times New Roman" w:eastAsia="AdvGulliv-R" w:hAnsi="Times New Roman" w:cs="Times New Roman"/>
          <w:kern w:val="0"/>
          <w:sz w:val="24"/>
          <w:szCs w:val="24"/>
        </w:rPr>
        <w:t>Nijskens</w:t>
      </w:r>
      <w:proofErr w:type="spellEnd"/>
      <w:r w:rsidR="00313043" w:rsidRPr="0059184B">
        <w:rPr>
          <w:rFonts w:ascii="Times New Roman" w:eastAsia="AdvGulliv-R" w:hAnsi="Times New Roman" w:cs="Times New Roman"/>
          <w:kern w:val="0"/>
          <w:sz w:val="24"/>
          <w:szCs w:val="24"/>
        </w:rPr>
        <w:t xml:space="preserve"> and Wagner (2010) </w:t>
      </w:r>
      <w:r w:rsidR="00A40BEA" w:rsidRPr="0059184B">
        <w:rPr>
          <w:rFonts w:ascii="Times New Roman" w:eastAsia="AdvGulliv-R" w:hAnsi="Times New Roman" w:cs="Times New Roman"/>
          <w:kern w:val="0"/>
          <w:sz w:val="24"/>
          <w:szCs w:val="24"/>
        </w:rPr>
        <w:t xml:space="preserve">examine </w:t>
      </w:r>
      <w:r w:rsidR="00527C8C" w:rsidRPr="0059184B">
        <w:rPr>
          <w:rFonts w:ascii="Times New Roman" w:eastAsia="AdvGulliv-R" w:hAnsi="Times New Roman" w:cs="Times New Roman"/>
          <w:kern w:val="0"/>
          <w:sz w:val="24"/>
          <w:szCs w:val="24"/>
        </w:rPr>
        <w:t xml:space="preserve">banks </w:t>
      </w:r>
      <w:r w:rsidR="00313043" w:rsidRPr="0059184B">
        <w:rPr>
          <w:rFonts w:ascii="Times New Roman" w:eastAsia="AdvGulliv-R" w:hAnsi="Times New Roman" w:cs="Times New Roman"/>
          <w:kern w:val="0"/>
          <w:sz w:val="24"/>
          <w:szCs w:val="24"/>
        </w:rPr>
        <w:t xml:space="preserve">trading Credit Default Swaps (CDS) and issuing Collateralized Loan Obligations (CLO) </w:t>
      </w:r>
      <w:r w:rsidR="00A40BEA" w:rsidRPr="0059184B">
        <w:rPr>
          <w:rFonts w:ascii="Times New Roman" w:eastAsia="AdvGulliv-R" w:hAnsi="Times New Roman" w:cs="Times New Roman"/>
          <w:kern w:val="0"/>
          <w:sz w:val="24"/>
          <w:szCs w:val="24"/>
        </w:rPr>
        <w:t xml:space="preserve">prior to </w:t>
      </w:r>
      <w:r w:rsidR="00313043" w:rsidRPr="0059184B">
        <w:rPr>
          <w:rFonts w:ascii="Times New Roman" w:eastAsia="AdvGulliv-R" w:hAnsi="Times New Roman" w:cs="Times New Roman"/>
          <w:kern w:val="0"/>
          <w:sz w:val="24"/>
          <w:szCs w:val="24"/>
        </w:rPr>
        <w:t xml:space="preserve">the crisis. They </w:t>
      </w:r>
      <w:r w:rsidR="0043075B" w:rsidRPr="0059184B">
        <w:rPr>
          <w:rFonts w:ascii="Times New Roman" w:eastAsia="AdvGulliv-R" w:hAnsi="Times New Roman" w:cs="Times New Roman"/>
          <w:kern w:val="0"/>
          <w:sz w:val="24"/>
          <w:szCs w:val="24"/>
        </w:rPr>
        <w:t>report that</w:t>
      </w:r>
      <w:r w:rsidR="00313043" w:rsidRPr="0059184B">
        <w:rPr>
          <w:rFonts w:ascii="Times New Roman" w:eastAsia="AdvGulliv-R" w:hAnsi="Times New Roman" w:cs="Times New Roman"/>
          <w:kern w:val="0"/>
          <w:sz w:val="24"/>
          <w:szCs w:val="24"/>
        </w:rPr>
        <w:t xml:space="preserve"> </w:t>
      </w:r>
      <w:r w:rsidR="00A40BEA" w:rsidRPr="0059184B">
        <w:rPr>
          <w:rFonts w:ascii="Times New Roman" w:eastAsia="AdvGulliv-R" w:hAnsi="Times New Roman" w:cs="Times New Roman"/>
          <w:kern w:val="0"/>
          <w:sz w:val="24"/>
          <w:szCs w:val="24"/>
        </w:rPr>
        <w:t xml:space="preserve">the </w:t>
      </w:r>
      <w:r w:rsidR="0043075B" w:rsidRPr="0059184B">
        <w:rPr>
          <w:rFonts w:ascii="Times New Roman" w:eastAsia="AdvGulliv-R" w:hAnsi="Times New Roman" w:cs="Times New Roman"/>
          <w:kern w:val="0"/>
          <w:sz w:val="24"/>
          <w:szCs w:val="24"/>
        </w:rPr>
        <w:t xml:space="preserve">risk transfer </w:t>
      </w:r>
      <w:r w:rsidR="00A40BEA" w:rsidRPr="0059184B">
        <w:rPr>
          <w:rFonts w:ascii="Times New Roman" w:eastAsia="AdvGulliv-R" w:hAnsi="Times New Roman" w:cs="Times New Roman"/>
          <w:kern w:val="0"/>
          <w:sz w:val="24"/>
          <w:szCs w:val="24"/>
        </w:rPr>
        <w:t xml:space="preserve">via </w:t>
      </w:r>
      <w:r w:rsidR="0043075B" w:rsidRPr="0059184B">
        <w:rPr>
          <w:rFonts w:ascii="Times New Roman" w:eastAsia="AdvGulliv-R" w:hAnsi="Times New Roman" w:cs="Times New Roman"/>
          <w:kern w:val="0"/>
          <w:sz w:val="24"/>
          <w:szCs w:val="24"/>
        </w:rPr>
        <w:t xml:space="preserve">CDS </w:t>
      </w:r>
      <w:r w:rsidR="00EB45D3" w:rsidRPr="0059184B">
        <w:rPr>
          <w:rFonts w:ascii="Times New Roman" w:eastAsia="AdvGulliv-R" w:hAnsi="Times New Roman" w:cs="Times New Roman"/>
          <w:kern w:val="0"/>
          <w:sz w:val="24"/>
          <w:szCs w:val="24"/>
        </w:rPr>
        <w:t xml:space="preserve">and </w:t>
      </w:r>
      <w:r w:rsidR="0043075B" w:rsidRPr="0059184B">
        <w:rPr>
          <w:rFonts w:ascii="Times New Roman" w:eastAsia="AdvGulliv-R" w:hAnsi="Times New Roman" w:cs="Times New Roman"/>
          <w:kern w:val="0"/>
          <w:sz w:val="24"/>
          <w:szCs w:val="24"/>
        </w:rPr>
        <w:t xml:space="preserve">CLO </w:t>
      </w:r>
      <w:r w:rsidR="00A40BEA" w:rsidRPr="0059184B">
        <w:rPr>
          <w:rFonts w:ascii="Times New Roman" w:eastAsia="AdvGulliv-R" w:hAnsi="Times New Roman" w:cs="Times New Roman"/>
          <w:kern w:val="0"/>
          <w:sz w:val="24"/>
          <w:szCs w:val="24"/>
        </w:rPr>
        <w:t xml:space="preserve">channels </w:t>
      </w:r>
      <w:r w:rsidR="00313043" w:rsidRPr="0059184B">
        <w:rPr>
          <w:rFonts w:ascii="Times New Roman" w:eastAsia="AdvGulliv-R" w:hAnsi="Times New Roman" w:cs="Times New Roman"/>
          <w:kern w:val="0"/>
          <w:sz w:val="24"/>
          <w:szCs w:val="24"/>
        </w:rPr>
        <w:t xml:space="preserve">increases </w:t>
      </w:r>
      <w:r w:rsidR="0043075B" w:rsidRPr="0059184B">
        <w:rPr>
          <w:rFonts w:ascii="Times New Roman" w:eastAsia="AdvGulliv-R" w:hAnsi="Times New Roman" w:cs="Times New Roman"/>
          <w:kern w:val="0"/>
          <w:sz w:val="24"/>
          <w:szCs w:val="24"/>
        </w:rPr>
        <w:t>banks’ systemic risk</w:t>
      </w:r>
      <w:r w:rsidR="00313043" w:rsidRPr="0059184B">
        <w:rPr>
          <w:rFonts w:ascii="Times New Roman" w:eastAsia="AdvGulliv-R" w:hAnsi="Times New Roman" w:cs="Times New Roman"/>
          <w:kern w:val="0"/>
          <w:sz w:val="24"/>
          <w:szCs w:val="24"/>
        </w:rPr>
        <w:t xml:space="preserve">. </w:t>
      </w:r>
      <w:proofErr w:type="spellStart"/>
      <w:r w:rsidR="00313043" w:rsidRPr="0059184B">
        <w:rPr>
          <w:rFonts w:ascii="Times New Roman" w:eastAsia="AdvGulliv-R" w:hAnsi="Times New Roman" w:cs="Times New Roman"/>
          <w:kern w:val="0"/>
          <w:sz w:val="24"/>
          <w:szCs w:val="24"/>
        </w:rPr>
        <w:t>Mayordomo</w:t>
      </w:r>
      <w:proofErr w:type="spellEnd"/>
      <w:r w:rsidR="00912CBA" w:rsidRPr="0059184B">
        <w:rPr>
          <w:rFonts w:ascii="Times New Roman" w:eastAsia="AdvGulliv-R" w:hAnsi="Times New Roman" w:cs="Times New Roman"/>
          <w:kern w:val="0"/>
          <w:sz w:val="24"/>
          <w:szCs w:val="24"/>
        </w:rPr>
        <w:t xml:space="preserve"> et al</w:t>
      </w:r>
      <w:r w:rsidR="00313043" w:rsidRPr="0059184B">
        <w:rPr>
          <w:rFonts w:ascii="Times New Roman" w:eastAsia="AdvGulliv-R" w:hAnsi="Times New Roman" w:cs="Times New Roman"/>
          <w:kern w:val="0"/>
          <w:sz w:val="24"/>
          <w:szCs w:val="24"/>
        </w:rPr>
        <w:t xml:space="preserve"> (2014) </w:t>
      </w:r>
      <w:r w:rsidR="009F233A" w:rsidRPr="0059184B">
        <w:rPr>
          <w:rFonts w:ascii="Times New Roman" w:eastAsia="AdvGulliv-R" w:hAnsi="Times New Roman" w:cs="Times New Roman"/>
          <w:kern w:val="0"/>
          <w:sz w:val="24"/>
          <w:szCs w:val="24"/>
        </w:rPr>
        <w:t xml:space="preserve">extend </w:t>
      </w:r>
      <w:r w:rsidR="009F233A" w:rsidRPr="0059184B">
        <w:rPr>
          <w:rFonts w:ascii="Times New Roman" w:eastAsia="AdvGulliv-R" w:hAnsi="Times New Roman" w:cs="Times New Roman"/>
          <w:kern w:val="0"/>
          <w:sz w:val="24"/>
          <w:szCs w:val="24"/>
        </w:rPr>
        <w:lastRenderedPageBreak/>
        <w:t xml:space="preserve">previous studies and </w:t>
      </w:r>
      <w:r w:rsidR="00313043" w:rsidRPr="0059184B">
        <w:rPr>
          <w:rFonts w:ascii="Times New Roman" w:eastAsia="AdvGulliv-R" w:hAnsi="Times New Roman" w:cs="Times New Roman"/>
          <w:kern w:val="0"/>
          <w:sz w:val="24"/>
          <w:szCs w:val="24"/>
        </w:rPr>
        <w:t>analyze the impact</w:t>
      </w:r>
      <w:r w:rsidR="009F233A" w:rsidRPr="0059184B">
        <w:rPr>
          <w:rFonts w:ascii="Times New Roman" w:eastAsia="AdvGulliv-R" w:hAnsi="Times New Roman" w:cs="Times New Roman"/>
          <w:kern w:val="0"/>
          <w:sz w:val="24"/>
          <w:szCs w:val="24"/>
        </w:rPr>
        <w:t>s</w:t>
      </w:r>
      <w:r w:rsidR="00313043" w:rsidRPr="0059184B">
        <w:rPr>
          <w:rFonts w:ascii="Times New Roman" w:eastAsia="AdvGulliv-R" w:hAnsi="Times New Roman" w:cs="Times New Roman"/>
          <w:kern w:val="0"/>
          <w:sz w:val="24"/>
          <w:szCs w:val="24"/>
        </w:rPr>
        <w:t xml:space="preserve"> of </w:t>
      </w:r>
      <w:r w:rsidR="009F233A" w:rsidRPr="0059184B">
        <w:rPr>
          <w:rFonts w:ascii="Times New Roman" w:eastAsia="AdvGulliv-R" w:hAnsi="Times New Roman" w:cs="Times New Roman"/>
          <w:kern w:val="0"/>
          <w:sz w:val="24"/>
          <w:szCs w:val="24"/>
        </w:rPr>
        <w:t xml:space="preserve">different </w:t>
      </w:r>
      <w:r w:rsidR="00313043" w:rsidRPr="0059184B">
        <w:rPr>
          <w:rFonts w:ascii="Times New Roman" w:eastAsia="AdvGulliv-R" w:hAnsi="Times New Roman" w:cs="Times New Roman"/>
          <w:kern w:val="0"/>
          <w:sz w:val="24"/>
          <w:szCs w:val="24"/>
        </w:rPr>
        <w:t xml:space="preserve">derivative </w:t>
      </w:r>
      <w:r w:rsidR="002C1407" w:rsidRPr="0059184B">
        <w:rPr>
          <w:rFonts w:ascii="Times New Roman" w:eastAsia="AdvGulliv-R" w:hAnsi="Times New Roman" w:cs="Times New Roman"/>
          <w:kern w:val="0"/>
          <w:sz w:val="24"/>
          <w:szCs w:val="24"/>
        </w:rPr>
        <w:t>categories held</w:t>
      </w:r>
      <w:r w:rsidR="00FC2407" w:rsidRPr="0059184B">
        <w:rPr>
          <w:rFonts w:ascii="Times New Roman" w:eastAsia="AdvGulliv-R" w:hAnsi="Times New Roman" w:cs="Times New Roman"/>
          <w:kern w:val="0"/>
          <w:sz w:val="24"/>
          <w:szCs w:val="24"/>
        </w:rPr>
        <w:t xml:space="preserve"> among banks</w:t>
      </w:r>
      <w:r w:rsidR="00313043" w:rsidRPr="0059184B">
        <w:rPr>
          <w:rFonts w:ascii="Times New Roman" w:eastAsia="AdvGulliv-R" w:hAnsi="Times New Roman" w:cs="Times New Roman"/>
          <w:kern w:val="0"/>
          <w:sz w:val="24"/>
          <w:szCs w:val="24"/>
        </w:rPr>
        <w:t xml:space="preserve">. They find that </w:t>
      </w:r>
      <w:r w:rsidR="009F233A" w:rsidRPr="0059184B">
        <w:rPr>
          <w:rFonts w:ascii="Times New Roman" w:eastAsia="AdvGulliv-R" w:hAnsi="Times New Roman" w:cs="Times New Roman"/>
          <w:kern w:val="0"/>
          <w:sz w:val="24"/>
          <w:szCs w:val="24"/>
        </w:rPr>
        <w:t xml:space="preserve">the </w:t>
      </w:r>
      <w:r w:rsidR="00313043" w:rsidRPr="0059184B">
        <w:rPr>
          <w:rFonts w:ascii="Times New Roman" w:eastAsia="AdvGulliv-R" w:hAnsi="Times New Roman" w:cs="Times New Roman"/>
          <w:kern w:val="0"/>
          <w:sz w:val="24"/>
          <w:szCs w:val="24"/>
        </w:rPr>
        <w:t>five classes of derivatives</w:t>
      </w:r>
      <w:r w:rsidR="00313043" w:rsidRPr="0059184B">
        <w:rPr>
          <w:rStyle w:val="a5"/>
          <w:rFonts w:ascii="Times New Roman" w:eastAsia="AdvGulliv-R" w:hAnsi="Times New Roman" w:cs="Times New Roman"/>
          <w:kern w:val="0"/>
          <w:sz w:val="24"/>
          <w:szCs w:val="24"/>
        </w:rPr>
        <w:footnoteReference w:id="2"/>
      </w:r>
      <w:r w:rsidR="00313043" w:rsidRPr="0059184B">
        <w:rPr>
          <w:rFonts w:ascii="Times New Roman" w:eastAsia="AdvGulliv-R" w:hAnsi="Times New Roman" w:cs="Times New Roman"/>
          <w:kern w:val="0"/>
          <w:sz w:val="24"/>
          <w:szCs w:val="24"/>
        </w:rPr>
        <w:t xml:space="preserve"> </w:t>
      </w:r>
      <w:r w:rsidR="009F233A" w:rsidRPr="0059184B">
        <w:rPr>
          <w:rFonts w:ascii="Times New Roman" w:eastAsia="AdvGulliv-R" w:hAnsi="Times New Roman" w:cs="Times New Roman"/>
          <w:kern w:val="0"/>
          <w:sz w:val="24"/>
          <w:szCs w:val="24"/>
        </w:rPr>
        <w:t xml:space="preserve">exhibit different impacts </w:t>
      </w:r>
      <w:r w:rsidR="00EB45D3" w:rsidRPr="0059184B">
        <w:rPr>
          <w:rFonts w:ascii="Times New Roman" w:eastAsia="AdvGulliv-R" w:hAnsi="Times New Roman" w:cs="Times New Roman"/>
          <w:kern w:val="0"/>
          <w:sz w:val="24"/>
          <w:szCs w:val="24"/>
        </w:rPr>
        <w:t>on bank’s contribution</w:t>
      </w:r>
      <w:r w:rsidR="00BE00BF" w:rsidRPr="0059184B">
        <w:rPr>
          <w:rFonts w:ascii="Times New Roman" w:eastAsia="AdvGulliv-R" w:hAnsi="Times New Roman" w:cs="Times New Roman"/>
          <w:kern w:val="0"/>
          <w:sz w:val="24"/>
          <w:szCs w:val="24"/>
        </w:rPr>
        <w:t>s</w:t>
      </w:r>
      <w:r w:rsidR="00EB45D3" w:rsidRPr="0059184B">
        <w:rPr>
          <w:rFonts w:ascii="Times New Roman" w:eastAsia="AdvGulliv-R" w:hAnsi="Times New Roman" w:cs="Times New Roman"/>
          <w:kern w:val="0"/>
          <w:sz w:val="24"/>
          <w:szCs w:val="24"/>
        </w:rPr>
        <w:t xml:space="preserve"> to systemic risk</w:t>
      </w:r>
      <w:r w:rsidR="00313043" w:rsidRPr="0059184B">
        <w:rPr>
          <w:rFonts w:ascii="Times New Roman" w:eastAsia="AdvGulliv-R" w:hAnsi="Times New Roman" w:cs="Times New Roman"/>
          <w:kern w:val="0"/>
          <w:sz w:val="24"/>
          <w:szCs w:val="24"/>
        </w:rPr>
        <w:t xml:space="preserve">. </w:t>
      </w:r>
      <w:r w:rsidR="00912CBA" w:rsidRPr="0059184B">
        <w:rPr>
          <w:rFonts w:ascii="Times New Roman" w:eastAsia="AdvGulliv-R" w:hAnsi="Times New Roman" w:cs="Times New Roman"/>
          <w:kern w:val="0"/>
          <w:sz w:val="24"/>
          <w:szCs w:val="24"/>
        </w:rPr>
        <w:t>Specifically</w:t>
      </w:r>
      <w:r w:rsidR="00A40BEA" w:rsidRPr="0059184B">
        <w:rPr>
          <w:rFonts w:ascii="Times New Roman" w:eastAsia="AdvGulliv-R" w:hAnsi="Times New Roman" w:cs="Times New Roman"/>
          <w:kern w:val="0"/>
          <w:sz w:val="24"/>
          <w:szCs w:val="24"/>
        </w:rPr>
        <w:t>, h</w:t>
      </w:r>
      <w:r w:rsidR="00313043" w:rsidRPr="0059184B">
        <w:rPr>
          <w:rFonts w:ascii="Times New Roman" w:eastAsia="AdvGulliv-R" w:hAnsi="Times New Roman" w:cs="Times New Roman"/>
          <w:kern w:val="0"/>
          <w:sz w:val="24"/>
          <w:szCs w:val="24"/>
        </w:rPr>
        <w:t xml:space="preserve">oldings </w:t>
      </w:r>
      <w:r w:rsidR="00E82080" w:rsidRPr="0059184B">
        <w:rPr>
          <w:rFonts w:ascii="Times New Roman" w:eastAsia="AdvGulliv-R" w:hAnsi="Times New Roman" w:cs="Times New Roman"/>
          <w:kern w:val="0"/>
          <w:sz w:val="24"/>
          <w:szCs w:val="24"/>
        </w:rPr>
        <w:t xml:space="preserve">of </w:t>
      </w:r>
      <w:r w:rsidR="00313043" w:rsidRPr="0059184B">
        <w:rPr>
          <w:rFonts w:ascii="Times New Roman" w:eastAsia="AdvGulliv-R" w:hAnsi="Times New Roman" w:cs="Times New Roman"/>
          <w:kern w:val="0"/>
          <w:sz w:val="24"/>
          <w:szCs w:val="24"/>
        </w:rPr>
        <w:t xml:space="preserve">foreign exchange and credit derivatives increase </w:t>
      </w:r>
      <w:r w:rsidR="00BC413D" w:rsidRPr="0059184B">
        <w:rPr>
          <w:rFonts w:ascii="Times New Roman" w:eastAsia="AdvGulliv-R" w:hAnsi="Times New Roman" w:cs="Times New Roman"/>
          <w:kern w:val="0"/>
          <w:sz w:val="24"/>
          <w:szCs w:val="24"/>
        </w:rPr>
        <w:t>bank’s</w:t>
      </w:r>
      <w:r w:rsidR="00313043" w:rsidRPr="0059184B">
        <w:rPr>
          <w:rFonts w:ascii="Times New Roman" w:eastAsia="AdvGulliv-R" w:hAnsi="Times New Roman" w:cs="Times New Roman"/>
          <w:kern w:val="0"/>
          <w:sz w:val="24"/>
          <w:szCs w:val="24"/>
        </w:rPr>
        <w:t xml:space="preserve"> contributions to systemic risk while holdings of interest rate derivatives decrease it. </w:t>
      </w:r>
      <w:r w:rsidR="00EB45D3" w:rsidRPr="0059184B">
        <w:rPr>
          <w:rFonts w:ascii="Times New Roman" w:eastAsia="AdvGulliv-R" w:hAnsi="Times New Roman" w:cs="Times New Roman"/>
          <w:kern w:val="0"/>
          <w:sz w:val="24"/>
          <w:szCs w:val="24"/>
        </w:rPr>
        <w:t>They further posit</w:t>
      </w:r>
      <w:r w:rsidR="00A40BEA" w:rsidRPr="0059184B">
        <w:rPr>
          <w:rFonts w:ascii="Times New Roman" w:eastAsia="AdvGulliv-R" w:hAnsi="Times New Roman" w:cs="Times New Roman"/>
          <w:kern w:val="0"/>
          <w:sz w:val="24"/>
          <w:szCs w:val="24"/>
        </w:rPr>
        <w:t xml:space="preserve"> that </w:t>
      </w:r>
      <w:r w:rsidR="00313043" w:rsidRPr="0059184B">
        <w:rPr>
          <w:rFonts w:ascii="Times New Roman" w:eastAsia="AdvGulliv-R" w:hAnsi="Times New Roman" w:cs="Times New Roman"/>
          <w:kern w:val="0"/>
          <w:sz w:val="24"/>
          <w:szCs w:val="24"/>
        </w:rPr>
        <w:t xml:space="preserve">non-performing loans and leverage ratio have </w:t>
      </w:r>
      <w:r w:rsidR="00A40BEA" w:rsidRPr="0059184B">
        <w:rPr>
          <w:rFonts w:ascii="Times New Roman" w:eastAsia="AdvGulliv-R" w:hAnsi="Times New Roman" w:cs="Times New Roman"/>
          <w:kern w:val="0"/>
          <w:sz w:val="24"/>
          <w:szCs w:val="24"/>
        </w:rPr>
        <w:t xml:space="preserve">greater </w:t>
      </w:r>
      <w:r w:rsidR="00313043" w:rsidRPr="0059184B">
        <w:rPr>
          <w:rFonts w:ascii="Times New Roman" w:eastAsia="AdvGulliv-R" w:hAnsi="Times New Roman" w:cs="Times New Roman"/>
          <w:kern w:val="0"/>
          <w:sz w:val="24"/>
          <w:szCs w:val="24"/>
        </w:rPr>
        <w:t>impact</w:t>
      </w:r>
      <w:r w:rsidR="00A40BEA" w:rsidRPr="0059184B">
        <w:rPr>
          <w:rFonts w:ascii="Times New Roman" w:eastAsia="AdvGulliv-R" w:hAnsi="Times New Roman" w:cs="Times New Roman"/>
          <w:kern w:val="0"/>
          <w:sz w:val="24"/>
          <w:szCs w:val="24"/>
        </w:rPr>
        <w:t>s</w:t>
      </w:r>
      <w:r w:rsidR="00313043" w:rsidRPr="0059184B">
        <w:rPr>
          <w:rFonts w:ascii="Times New Roman" w:eastAsia="AdvGulliv-R" w:hAnsi="Times New Roman" w:cs="Times New Roman"/>
          <w:kern w:val="0"/>
          <w:sz w:val="24"/>
          <w:szCs w:val="24"/>
        </w:rPr>
        <w:t xml:space="preserve"> on systemic risk than derivatives holdings.</w:t>
      </w:r>
      <w:r w:rsidR="00912CBA" w:rsidRPr="0059184B">
        <w:rPr>
          <w:rFonts w:ascii="Times New Roman" w:hAnsi="Times New Roman" w:cs="Times New Roman"/>
          <w:sz w:val="24"/>
          <w:szCs w:val="24"/>
        </w:rPr>
        <w:t xml:space="preserve"> </w:t>
      </w:r>
      <w:r w:rsidR="002C1407" w:rsidRPr="0059184B">
        <w:rPr>
          <w:rFonts w:ascii="Times New Roman" w:hAnsi="Times New Roman" w:cs="Times New Roman"/>
          <w:sz w:val="24"/>
          <w:szCs w:val="24"/>
        </w:rPr>
        <w:t>In light of the</w:t>
      </w:r>
      <w:r w:rsidR="00912CBA" w:rsidRPr="0059184B">
        <w:rPr>
          <w:rFonts w:ascii="Times New Roman" w:hAnsi="Times New Roman" w:cs="Times New Roman"/>
          <w:sz w:val="24"/>
          <w:szCs w:val="24"/>
        </w:rPr>
        <w:t xml:space="preserve"> </w:t>
      </w:r>
      <w:r w:rsidR="00EB45D3" w:rsidRPr="0059184B">
        <w:rPr>
          <w:rFonts w:ascii="Times New Roman" w:hAnsi="Times New Roman" w:cs="Times New Roman"/>
          <w:sz w:val="24"/>
          <w:szCs w:val="24"/>
        </w:rPr>
        <w:t>literature</w:t>
      </w:r>
      <w:r w:rsidR="002C1407" w:rsidRPr="0059184B">
        <w:rPr>
          <w:rFonts w:ascii="Times New Roman" w:hAnsi="Times New Roman" w:cs="Times New Roman"/>
          <w:sz w:val="24"/>
          <w:szCs w:val="24"/>
        </w:rPr>
        <w:t xml:space="preserve"> discussed above</w:t>
      </w:r>
      <w:r w:rsidR="00912CBA" w:rsidRPr="0059184B">
        <w:rPr>
          <w:rFonts w:ascii="Times New Roman" w:eastAsia="AdvGulliv-R" w:hAnsi="Times New Roman" w:cs="Times New Roman"/>
          <w:kern w:val="0"/>
          <w:sz w:val="24"/>
          <w:szCs w:val="24"/>
        </w:rPr>
        <w:t xml:space="preserve">, </w:t>
      </w:r>
      <w:r w:rsidR="007B5CC8" w:rsidRPr="0059184B">
        <w:rPr>
          <w:rFonts w:ascii="Times New Roman" w:eastAsia="AdvGulliv-R" w:hAnsi="Times New Roman" w:cs="Times New Roman"/>
          <w:kern w:val="0"/>
          <w:sz w:val="24"/>
          <w:szCs w:val="24"/>
        </w:rPr>
        <w:t xml:space="preserve">we </w:t>
      </w:r>
      <w:r w:rsidR="002C1407" w:rsidRPr="0059184B">
        <w:rPr>
          <w:rFonts w:ascii="Times New Roman" w:eastAsia="AdvGulliv-R" w:hAnsi="Times New Roman" w:cs="Times New Roman"/>
          <w:kern w:val="0"/>
          <w:sz w:val="24"/>
          <w:szCs w:val="24"/>
        </w:rPr>
        <w:t>propose the following hypothesis:</w:t>
      </w:r>
      <w:r w:rsidR="007B5CC8" w:rsidRPr="0059184B">
        <w:rPr>
          <w:rFonts w:ascii="Times New Roman" w:eastAsia="AdvGulliv-R" w:hAnsi="Times New Roman" w:cs="Times New Roman"/>
          <w:kern w:val="0"/>
          <w:sz w:val="24"/>
          <w:szCs w:val="24"/>
        </w:rPr>
        <w:t xml:space="preserve"> </w:t>
      </w:r>
    </w:p>
    <w:p w:rsidR="007B5CC8" w:rsidRPr="0059184B" w:rsidRDefault="00912CBA" w:rsidP="007B5CC8">
      <w:pPr>
        <w:spacing w:line="360" w:lineRule="auto"/>
        <w:rPr>
          <w:rFonts w:ascii="Times New Roman" w:hAnsi="Times New Roman" w:cs="Times New Roman"/>
          <w:b/>
          <w:i/>
          <w:sz w:val="24"/>
          <w:szCs w:val="24"/>
        </w:rPr>
      </w:pPr>
      <w:r w:rsidRPr="0059184B">
        <w:rPr>
          <w:rFonts w:ascii="Times New Roman" w:eastAsia="AdvGulliv-R" w:hAnsi="Times New Roman" w:cs="Times New Roman"/>
          <w:b/>
          <w:kern w:val="0"/>
          <w:sz w:val="24"/>
          <w:szCs w:val="24"/>
        </w:rPr>
        <w:t xml:space="preserve">H1: </w:t>
      </w:r>
      <w:r w:rsidR="007B5CC8" w:rsidRPr="0059184B">
        <w:rPr>
          <w:rFonts w:ascii="Times New Roman" w:hAnsi="Times New Roman" w:cs="Times New Roman"/>
          <w:b/>
          <w:i/>
          <w:sz w:val="24"/>
          <w:szCs w:val="24"/>
        </w:rPr>
        <w:t>Banks’ holding</w:t>
      </w:r>
      <w:r w:rsidRPr="0059184B">
        <w:rPr>
          <w:rFonts w:ascii="Times New Roman" w:hAnsi="Times New Roman" w:cs="Times New Roman"/>
          <w:b/>
          <w:i/>
          <w:sz w:val="24"/>
          <w:szCs w:val="24"/>
        </w:rPr>
        <w:t>s</w:t>
      </w:r>
      <w:r w:rsidR="007B5CC8" w:rsidRPr="0059184B">
        <w:rPr>
          <w:rFonts w:ascii="Times New Roman" w:hAnsi="Times New Roman" w:cs="Times New Roman"/>
          <w:b/>
          <w:i/>
          <w:sz w:val="24"/>
          <w:szCs w:val="24"/>
        </w:rPr>
        <w:t xml:space="preserve"> of derivatives increase </w:t>
      </w:r>
      <w:r w:rsidR="00683573" w:rsidRPr="0059184B">
        <w:rPr>
          <w:rFonts w:ascii="Times New Roman" w:hAnsi="Times New Roman" w:cs="Times New Roman"/>
          <w:b/>
          <w:i/>
          <w:sz w:val="24"/>
          <w:szCs w:val="24"/>
        </w:rPr>
        <w:t>their</w:t>
      </w:r>
      <w:r w:rsidR="007B5CC8" w:rsidRPr="0059184B">
        <w:rPr>
          <w:rFonts w:ascii="Times New Roman" w:hAnsi="Times New Roman" w:cs="Times New Roman"/>
          <w:b/>
          <w:i/>
          <w:sz w:val="24"/>
          <w:szCs w:val="24"/>
        </w:rPr>
        <w:t xml:space="preserve"> contributions to systemic risk.</w:t>
      </w:r>
    </w:p>
    <w:p w:rsidR="005034A6" w:rsidRPr="0059184B" w:rsidRDefault="005034A6" w:rsidP="00014AA6">
      <w:pPr>
        <w:spacing w:line="360" w:lineRule="auto"/>
        <w:rPr>
          <w:rFonts w:ascii="Times New Roman" w:eastAsia="AdvGulliv-R" w:hAnsi="Times New Roman" w:cs="Times New Roman"/>
          <w:kern w:val="0"/>
          <w:sz w:val="24"/>
          <w:szCs w:val="24"/>
        </w:rPr>
      </w:pPr>
    </w:p>
    <w:p w:rsidR="004271D9" w:rsidRPr="0059184B" w:rsidRDefault="005034A6" w:rsidP="00014AA6">
      <w:pPr>
        <w:spacing w:line="360" w:lineRule="auto"/>
        <w:rPr>
          <w:rStyle w:val="aa"/>
          <w:rFonts w:ascii="Times New Roman" w:hAnsi="Times New Roman" w:cs="Times New Roman"/>
          <w:sz w:val="24"/>
          <w:szCs w:val="22"/>
        </w:rPr>
      </w:pPr>
      <w:r w:rsidRPr="0059184B">
        <w:rPr>
          <w:rFonts w:ascii="Times New Roman" w:eastAsia="AdvGulliv-R" w:hAnsi="Times New Roman" w:cs="Times New Roman"/>
          <w:kern w:val="0"/>
          <w:sz w:val="24"/>
          <w:szCs w:val="24"/>
        </w:rPr>
        <w:t xml:space="preserve">Several studies have examined the impacts of derivative holdings on </w:t>
      </w:r>
      <w:r w:rsidR="0043075B" w:rsidRPr="0059184B">
        <w:rPr>
          <w:rFonts w:ascii="Times New Roman" w:eastAsia="AdvGulliv-R" w:hAnsi="Times New Roman" w:cs="Times New Roman"/>
          <w:kern w:val="0"/>
          <w:sz w:val="24"/>
          <w:szCs w:val="24"/>
        </w:rPr>
        <w:t>system</w:t>
      </w:r>
      <w:r w:rsidR="00883231" w:rsidRPr="0059184B">
        <w:rPr>
          <w:rFonts w:ascii="Times New Roman" w:eastAsia="AdvGulliv-R" w:hAnsi="Times New Roman" w:cs="Times New Roman"/>
          <w:kern w:val="0"/>
          <w:sz w:val="24"/>
          <w:szCs w:val="24"/>
        </w:rPr>
        <w:t xml:space="preserve">ic </w:t>
      </w:r>
      <w:r w:rsidR="0043075B" w:rsidRPr="0059184B">
        <w:rPr>
          <w:rFonts w:ascii="Times New Roman" w:eastAsia="AdvGulliv-R" w:hAnsi="Times New Roman" w:cs="Times New Roman"/>
          <w:kern w:val="0"/>
          <w:sz w:val="24"/>
          <w:szCs w:val="24"/>
        </w:rPr>
        <w:t>risk</w:t>
      </w:r>
      <w:r w:rsidR="00342B27" w:rsidRPr="0059184B">
        <w:rPr>
          <w:rFonts w:ascii="Times New Roman" w:eastAsia="AdvGulliv-R" w:hAnsi="Times New Roman" w:cs="Times New Roman"/>
          <w:kern w:val="0"/>
          <w:sz w:val="24"/>
          <w:szCs w:val="24"/>
        </w:rPr>
        <w:t xml:space="preserve"> following the </w:t>
      </w:r>
      <w:r w:rsidR="004271D9" w:rsidRPr="0059184B">
        <w:rPr>
          <w:rFonts w:ascii="Times New Roman" w:eastAsia="AdvGulliv-R" w:hAnsi="Times New Roman" w:cs="Times New Roman"/>
          <w:kern w:val="0"/>
          <w:sz w:val="24"/>
          <w:szCs w:val="24"/>
        </w:rPr>
        <w:t>passing</w:t>
      </w:r>
      <w:r w:rsidR="0021324D" w:rsidRPr="0059184B">
        <w:rPr>
          <w:rFonts w:ascii="Times New Roman" w:eastAsia="AdvGulliv-R" w:hAnsi="Times New Roman" w:cs="Times New Roman"/>
          <w:kern w:val="0"/>
          <w:sz w:val="24"/>
          <w:szCs w:val="24"/>
        </w:rPr>
        <w:t xml:space="preserve"> </w:t>
      </w:r>
      <w:r w:rsidR="00342B27" w:rsidRPr="0059184B">
        <w:rPr>
          <w:rFonts w:ascii="Times New Roman" w:eastAsia="AdvGulliv-R" w:hAnsi="Times New Roman" w:cs="Times New Roman"/>
          <w:kern w:val="0"/>
          <w:sz w:val="24"/>
          <w:szCs w:val="24"/>
        </w:rPr>
        <w:t>of the DFA</w:t>
      </w:r>
      <w:r w:rsidR="0043075B" w:rsidRPr="0059184B">
        <w:rPr>
          <w:rFonts w:ascii="Times New Roman" w:eastAsia="AdvGulliv-R" w:hAnsi="Times New Roman" w:cs="Times New Roman"/>
          <w:kern w:val="0"/>
          <w:sz w:val="24"/>
          <w:szCs w:val="24"/>
        </w:rPr>
        <w:t xml:space="preserve">. </w:t>
      </w:r>
      <w:r w:rsidR="0043075B" w:rsidRPr="0059184B">
        <w:rPr>
          <w:rFonts w:ascii="Times New Roman" w:hAnsi="Times New Roman" w:cs="Times New Roman"/>
          <w:kern w:val="0"/>
          <w:sz w:val="24"/>
          <w:szCs w:val="24"/>
        </w:rPr>
        <w:t>Giancarlo (2015) analyzes flaws in the</w:t>
      </w:r>
      <w:r w:rsidR="00C12AA5" w:rsidRPr="0059184B">
        <w:rPr>
          <w:rFonts w:ascii="Times New Roman" w:hAnsi="Times New Roman" w:cs="Times New Roman"/>
          <w:kern w:val="0"/>
          <w:sz w:val="24"/>
          <w:szCs w:val="24"/>
        </w:rPr>
        <w:t xml:space="preserve"> </w:t>
      </w:r>
      <w:r w:rsidR="0043075B" w:rsidRPr="0059184B">
        <w:rPr>
          <w:rFonts w:ascii="Times New Roman" w:hAnsi="Times New Roman" w:cs="Times New Roman"/>
          <w:kern w:val="0"/>
          <w:sz w:val="24"/>
          <w:szCs w:val="24"/>
        </w:rPr>
        <w:t xml:space="preserve">implementation of derivative trading regulation under </w:t>
      </w:r>
      <w:r w:rsidR="00C12AA5" w:rsidRPr="0059184B">
        <w:rPr>
          <w:rFonts w:ascii="Times New Roman" w:hAnsi="Times New Roman" w:cs="Times New Roman"/>
          <w:kern w:val="0"/>
          <w:sz w:val="24"/>
          <w:szCs w:val="24"/>
        </w:rPr>
        <w:t xml:space="preserve">the </w:t>
      </w:r>
      <w:r w:rsidR="00BE00BF" w:rsidRPr="0059184B">
        <w:rPr>
          <w:rFonts w:ascii="Times New Roman" w:hAnsi="Times New Roman" w:cs="Times New Roman"/>
          <w:kern w:val="0"/>
          <w:sz w:val="24"/>
          <w:szCs w:val="24"/>
        </w:rPr>
        <w:t>DFA.</w:t>
      </w:r>
      <w:r w:rsidR="0043075B" w:rsidRPr="0059184B">
        <w:rPr>
          <w:rFonts w:ascii="Times New Roman" w:hAnsi="Times New Roman" w:cs="Times New Roman"/>
          <w:kern w:val="0"/>
          <w:sz w:val="24"/>
          <w:szCs w:val="24"/>
        </w:rPr>
        <w:t xml:space="preserve"> </w:t>
      </w:r>
      <w:r w:rsidR="00BE00BF" w:rsidRPr="0059184B">
        <w:rPr>
          <w:rFonts w:ascii="Times New Roman" w:hAnsi="Times New Roman" w:cs="Times New Roman"/>
          <w:kern w:val="0"/>
          <w:sz w:val="24"/>
          <w:szCs w:val="24"/>
        </w:rPr>
        <w:t>They state</w:t>
      </w:r>
      <w:r w:rsidR="0043075B" w:rsidRPr="0059184B">
        <w:rPr>
          <w:rFonts w:ascii="Times New Roman" w:hAnsi="Times New Roman" w:cs="Times New Roman"/>
          <w:kern w:val="0"/>
          <w:sz w:val="24"/>
          <w:szCs w:val="24"/>
        </w:rPr>
        <w:t xml:space="preserve"> that those flaws would actually increase market fragility and the systemic risk.</w:t>
      </w:r>
      <w:r w:rsidR="00FA6FE6" w:rsidRPr="0059184B">
        <w:rPr>
          <w:rFonts w:ascii="Times New Roman" w:hAnsi="Times New Roman" w:cs="Times New Roman"/>
          <w:kern w:val="0"/>
          <w:sz w:val="24"/>
          <w:szCs w:val="24"/>
        </w:rPr>
        <w:t xml:space="preserve"> </w:t>
      </w:r>
      <w:r w:rsidR="0043075B" w:rsidRPr="0059184B">
        <w:rPr>
          <w:rFonts w:ascii="Times New Roman" w:hAnsi="Times New Roman" w:cs="Times New Roman"/>
          <w:kern w:val="0"/>
          <w:sz w:val="24"/>
          <w:szCs w:val="24"/>
        </w:rPr>
        <w:t xml:space="preserve">Li and </w:t>
      </w:r>
      <w:proofErr w:type="spellStart"/>
      <w:r w:rsidR="0043075B" w:rsidRPr="0059184B">
        <w:rPr>
          <w:rFonts w:ascii="Times New Roman" w:hAnsi="Times New Roman" w:cs="Times New Roman"/>
          <w:kern w:val="0"/>
          <w:sz w:val="24"/>
          <w:szCs w:val="24"/>
        </w:rPr>
        <w:t>Marinč</w:t>
      </w:r>
      <w:proofErr w:type="spellEnd"/>
      <w:r w:rsidR="0043075B" w:rsidRPr="0059184B">
        <w:rPr>
          <w:rFonts w:ascii="Times New Roman" w:hAnsi="Times New Roman" w:cs="Times New Roman"/>
          <w:kern w:val="0"/>
          <w:sz w:val="24"/>
          <w:szCs w:val="24"/>
        </w:rPr>
        <w:t xml:space="preserve"> (</w:t>
      </w:r>
      <w:r w:rsidR="004247A0" w:rsidRPr="0059184B">
        <w:rPr>
          <w:rFonts w:ascii="Times New Roman" w:hAnsi="Times New Roman" w:cs="Times New Roman"/>
          <w:kern w:val="0"/>
          <w:sz w:val="24"/>
          <w:szCs w:val="24"/>
        </w:rPr>
        <w:t>2017</w:t>
      </w:r>
      <w:r w:rsidR="0043075B" w:rsidRPr="0059184B">
        <w:rPr>
          <w:rFonts w:ascii="Times New Roman" w:hAnsi="Times New Roman" w:cs="Times New Roman"/>
          <w:kern w:val="0"/>
          <w:sz w:val="24"/>
          <w:szCs w:val="24"/>
        </w:rPr>
        <w:t>)</w:t>
      </w:r>
      <w:r w:rsidR="00FC2407" w:rsidRPr="0059184B">
        <w:rPr>
          <w:rFonts w:ascii="Times New Roman" w:hAnsi="Times New Roman" w:cs="Times New Roman"/>
          <w:kern w:val="0"/>
          <w:sz w:val="24"/>
          <w:szCs w:val="24"/>
        </w:rPr>
        <w:t xml:space="preserve"> </w:t>
      </w:r>
      <w:r w:rsidR="00C12AA5" w:rsidRPr="0059184B">
        <w:rPr>
          <w:rFonts w:ascii="Times New Roman" w:hAnsi="Times New Roman" w:cs="Times New Roman"/>
          <w:kern w:val="0"/>
          <w:sz w:val="24"/>
          <w:szCs w:val="24"/>
        </w:rPr>
        <w:t>present</w:t>
      </w:r>
      <w:r w:rsidR="0043075B" w:rsidRPr="0059184B">
        <w:rPr>
          <w:rFonts w:ascii="Times New Roman" w:hAnsi="Times New Roman" w:cs="Times New Roman" w:hint="eastAsia"/>
          <w:kern w:val="0"/>
          <w:sz w:val="24"/>
          <w:szCs w:val="24"/>
        </w:rPr>
        <w:t xml:space="preserve"> evidence that bank</w:t>
      </w:r>
      <w:r w:rsidR="0043075B" w:rsidRPr="0059184B">
        <w:rPr>
          <w:rFonts w:ascii="Times New Roman" w:hAnsi="Times New Roman" w:cs="Times New Roman"/>
          <w:kern w:val="0"/>
          <w:sz w:val="24"/>
          <w:szCs w:val="24"/>
        </w:rPr>
        <w:t>’</w:t>
      </w:r>
      <w:r w:rsidR="0043075B" w:rsidRPr="0059184B">
        <w:rPr>
          <w:rFonts w:ascii="Times New Roman" w:hAnsi="Times New Roman" w:cs="Times New Roman" w:hint="eastAsia"/>
          <w:kern w:val="0"/>
          <w:sz w:val="24"/>
          <w:szCs w:val="24"/>
        </w:rPr>
        <w:t>s us</w:t>
      </w:r>
      <w:r w:rsidR="00C12AA5" w:rsidRPr="0059184B">
        <w:rPr>
          <w:rFonts w:ascii="Times New Roman" w:hAnsi="Times New Roman" w:cs="Times New Roman"/>
          <w:kern w:val="0"/>
          <w:sz w:val="24"/>
          <w:szCs w:val="24"/>
        </w:rPr>
        <w:t>age</w:t>
      </w:r>
      <w:r w:rsidR="0043075B" w:rsidRPr="0059184B">
        <w:rPr>
          <w:rFonts w:ascii="Times New Roman" w:hAnsi="Times New Roman" w:cs="Times New Roman" w:hint="eastAsia"/>
          <w:kern w:val="0"/>
          <w:sz w:val="24"/>
          <w:szCs w:val="24"/>
        </w:rPr>
        <w:t xml:space="preserve"> of interest rate derivatives </w:t>
      </w:r>
      <w:r w:rsidR="00FC2407" w:rsidRPr="0059184B">
        <w:rPr>
          <w:rFonts w:ascii="Times New Roman" w:hAnsi="Times New Roman" w:cs="Times New Roman"/>
          <w:kern w:val="0"/>
          <w:sz w:val="24"/>
          <w:szCs w:val="24"/>
        </w:rPr>
        <w:t xml:space="preserve">is associated with </w:t>
      </w:r>
      <w:r w:rsidR="00C12AA5" w:rsidRPr="0059184B">
        <w:rPr>
          <w:rFonts w:ascii="Times New Roman" w:hAnsi="Times New Roman" w:cs="Times New Roman"/>
          <w:kern w:val="0"/>
          <w:sz w:val="24"/>
          <w:szCs w:val="24"/>
        </w:rPr>
        <w:t xml:space="preserve">a </w:t>
      </w:r>
      <w:r w:rsidR="0043075B" w:rsidRPr="0059184B">
        <w:rPr>
          <w:rFonts w:ascii="Times New Roman" w:hAnsi="Times New Roman" w:cs="Times New Roman" w:hint="eastAsia"/>
          <w:kern w:val="0"/>
          <w:sz w:val="24"/>
          <w:szCs w:val="24"/>
        </w:rPr>
        <w:t>higher contribution to systemic risk</w:t>
      </w:r>
      <w:r w:rsidR="00FC2407" w:rsidRPr="0059184B">
        <w:rPr>
          <w:rFonts w:ascii="Times New Roman" w:hAnsi="Times New Roman" w:cs="Times New Roman"/>
          <w:kern w:val="0"/>
          <w:sz w:val="24"/>
          <w:szCs w:val="24"/>
        </w:rPr>
        <w:t>. F</w:t>
      </w:r>
      <w:r w:rsidR="00C12AA5" w:rsidRPr="0059184B">
        <w:rPr>
          <w:rFonts w:ascii="Times New Roman" w:hAnsi="Times New Roman" w:cs="Times New Roman"/>
          <w:kern w:val="0"/>
          <w:sz w:val="24"/>
          <w:szCs w:val="24"/>
        </w:rPr>
        <w:t>ollowing</w:t>
      </w:r>
      <w:r w:rsidR="0043075B" w:rsidRPr="0059184B">
        <w:rPr>
          <w:rFonts w:ascii="Times New Roman" w:hAnsi="Times New Roman" w:cs="Times New Roman" w:hint="eastAsia"/>
          <w:kern w:val="0"/>
          <w:sz w:val="24"/>
          <w:szCs w:val="24"/>
        </w:rPr>
        <w:t xml:space="preserve"> </w:t>
      </w:r>
      <w:r w:rsidR="00C12AA5" w:rsidRPr="0059184B">
        <w:rPr>
          <w:rFonts w:ascii="Times New Roman" w:hAnsi="Times New Roman" w:cs="Times New Roman"/>
          <w:kern w:val="0"/>
          <w:sz w:val="24"/>
          <w:szCs w:val="24"/>
        </w:rPr>
        <w:t xml:space="preserve">the introduction of </w:t>
      </w:r>
      <w:r w:rsidRPr="0059184B">
        <w:rPr>
          <w:rFonts w:ascii="Times New Roman" w:hAnsi="Times New Roman" w:cs="Times New Roman"/>
          <w:kern w:val="0"/>
          <w:sz w:val="24"/>
          <w:szCs w:val="24"/>
        </w:rPr>
        <w:t xml:space="preserve">the </w:t>
      </w:r>
      <w:r w:rsidR="0043075B" w:rsidRPr="0059184B">
        <w:rPr>
          <w:rFonts w:ascii="Times New Roman" w:hAnsi="Times New Roman" w:cs="Times New Roman" w:hint="eastAsia"/>
          <w:kern w:val="0"/>
          <w:sz w:val="24"/>
          <w:szCs w:val="24"/>
        </w:rPr>
        <w:t xml:space="preserve">mandatory </w:t>
      </w:r>
      <w:r w:rsidR="00225083" w:rsidRPr="0059184B">
        <w:rPr>
          <w:rFonts w:ascii="Times New Roman" w:hAnsi="Times New Roman" w:cs="Times New Roman"/>
          <w:kern w:val="0"/>
          <w:sz w:val="24"/>
          <w:szCs w:val="24"/>
        </w:rPr>
        <w:t xml:space="preserve">clearing </w:t>
      </w:r>
      <w:r w:rsidR="00C12AA5" w:rsidRPr="0059184B">
        <w:rPr>
          <w:rFonts w:ascii="Times New Roman" w:hAnsi="Times New Roman" w:cs="Times New Roman"/>
          <w:kern w:val="0"/>
          <w:sz w:val="24"/>
          <w:szCs w:val="24"/>
        </w:rPr>
        <w:t>requirement</w:t>
      </w:r>
      <w:r w:rsidR="0043075B" w:rsidRPr="0059184B">
        <w:rPr>
          <w:rFonts w:ascii="Times New Roman" w:hAnsi="Times New Roman" w:cs="Times New Roman" w:hint="eastAsia"/>
          <w:kern w:val="0"/>
          <w:sz w:val="24"/>
          <w:szCs w:val="24"/>
        </w:rPr>
        <w:t xml:space="preserve">, a larger drop in systemic risk </w:t>
      </w:r>
      <w:r w:rsidR="00C12AA5" w:rsidRPr="0059184B">
        <w:rPr>
          <w:rFonts w:ascii="Times New Roman" w:hAnsi="Times New Roman" w:cs="Times New Roman"/>
          <w:kern w:val="0"/>
          <w:sz w:val="24"/>
          <w:szCs w:val="24"/>
        </w:rPr>
        <w:t xml:space="preserve">has been observed </w:t>
      </w:r>
      <w:r w:rsidR="0043075B" w:rsidRPr="0059184B">
        <w:rPr>
          <w:rFonts w:ascii="Times New Roman" w:hAnsi="Times New Roman" w:cs="Times New Roman" w:hint="eastAsia"/>
          <w:kern w:val="0"/>
          <w:sz w:val="24"/>
          <w:szCs w:val="24"/>
        </w:rPr>
        <w:t xml:space="preserve">among </w:t>
      </w:r>
      <w:r w:rsidR="00FA6FE6" w:rsidRPr="0059184B">
        <w:rPr>
          <w:rFonts w:ascii="Times New Roman" w:hAnsi="Times New Roman" w:cs="Times New Roman"/>
          <w:kern w:val="0"/>
          <w:sz w:val="24"/>
          <w:szCs w:val="24"/>
        </w:rPr>
        <w:t>the heavy</w:t>
      </w:r>
      <w:r w:rsidR="0043075B" w:rsidRPr="0059184B">
        <w:rPr>
          <w:rFonts w:ascii="Times New Roman" w:hAnsi="Times New Roman" w:cs="Times New Roman" w:hint="eastAsia"/>
          <w:kern w:val="0"/>
          <w:sz w:val="24"/>
          <w:szCs w:val="24"/>
        </w:rPr>
        <w:t xml:space="preserve"> users of derivatives</w:t>
      </w:r>
      <w:r w:rsidR="0043075B" w:rsidRPr="0059184B">
        <w:rPr>
          <w:rFonts w:ascii="Times New Roman" w:hAnsi="Times New Roman" w:cs="Times New Roman"/>
          <w:kern w:val="0"/>
          <w:sz w:val="24"/>
          <w:szCs w:val="24"/>
        </w:rPr>
        <w:t>.</w:t>
      </w:r>
      <w:r w:rsidR="007B5CC8" w:rsidRPr="0059184B">
        <w:rPr>
          <w:rFonts w:ascii="Times New Roman" w:hAnsi="Times New Roman" w:cs="Times New Roman"/>
          <w:kern w:val="0"/>
          <w:sz w:val="24"/>
          <w:szCs w:val="24"/>
        </w:rPr>
        <w:t xml:space="preserve"> </w:t>
      </w:r>
    </w:p>
    <w:p w:rsidR="00B64F32" w:rsidRPr="0059184B" w:rsidRDefault="00B64F32" w:rsidP="00641A79">
      <w:pPr>
        <w:spacing w:line="360" w:lineRule="auto"/>
        <w:rPr>
          <w:rStyle w:val="aa"/>
          <w:rFonts w:ascii="Times New Roman" w:hAnsi="Times New Roman" w:cs="Times New Roman"/>
          <w:sz w:val="24"/>
          <w:szCs w:val="22"/>
        </w:rPr>
      </w:pPr>
      <w:r w:rsidRPr="0059184B">
        <w:rPr>
          <w:rStyle w:val="aa"/>
          <w:rFonts w:ascii="Times New Roman" w:hAnsi="Times New Roman" w:cs="Times New Roman"/>
          <w:sz w:val="24"/>
          <w:szCs w:val="22"/>
        </w:rPr>
        <w:t>A number of studies focus on testing the influence of central clearing</w:t>
      </w:r>
      <w:r w:rsidR="00641A79" w:rsidRPr="0059184B">
        <w:rPr>
          <w:rStyle w:val="aa"/>
          <w:rFonts w:ascii="Times New Roman" w:hAnsi="Times New Roman" w:cs="Times New Roman"/>
          <w:sz w:val="24"/>
          <w:szCs w:val="22"/>
        </w:rPr>
        <w:t xml:space="preserve"> on </w:t>
      </w:r>
      <w:r w:rsidR="002E09F5" w:rsidRPr="0059184B">
        <w:rPr>
          <w:rStyle w:val="aa"/>
          <w:rFonts w:ascii="Times New Roman" w:hAnsi="Times New Roman" w:cs="Times New Roman"/>
          <w:sz w:val="24"/>
          <w:szCs w:val="22"/>
        </w:rPr>
        <w:t>the risks associated with OTC derivatives trading</w:t>
      </w:r>
      <w:r w:rsidRPr="0059184B">
        <w:rPr>
          <w:rStyle w:val="aa"/>
          <w:rFonts w:ascii="Times New Roman" w:hAnsi="Times New Roman" w:cs="Times New Roman"/>
          <w:sz w:val="24"/>
          <w:szCs w:val="22"/>
        </w:rPr>
        <w:t xml:space="preserve">. Acharya and </w:t>
      </w:r>
      <w:proofErr w:type="spellStart"/>
      <w:r w:rsidRPr="0059184B">
        <w:rPr>
          <w:rStyle w:val="aa"/>
          <w:rFonts w:ascii="Times New Roman" w:hAnsi="Times New Roman" w:cs="Times New Roman"/>
          <w:sz w:val="24"/>
          <w:szCs w:val="22"/>
        </w:rPr>
        <w:t>Bisin</w:t>
      </w:r>
      <w:proofErr w:type="spellEnd"/>
      <w:r w:rsidRPr="0059184B">
        <w:rPr>
          <w:rStyle w:val="aa"/>
          <w:rFonts w:ascii="Times New Roman" w:hAnsi="Times New Roman" w:cs="Times New Roman"/>
          <w:sz w:val="24"/>
          <w:szCs w:val="22"/>
        </w:rPr>
        <w:t xml:space="preserve"> (2013) theoretically show that the lack of position transparency in OTC derivatives leads to </w:t>
      </w:r>
      <w:r w:rsidR="00DE1474" w:rsidRPr="0059184B">
        <w:rPr>
          <w:rStyle w:val="aa"/>
          <w:rFonts w:ascii="Times New Roman" w:hAnsi="Times New Roman" w:cs="Times New Roman"/>
          <w:sz w:val="24"/>
          <w:szCs w:val="22"/>
        </w:rPr>
        <w:t xml:space="preserve">higher </w:t>
      </w:r>
      <w:r w:rsidRPr="0059184B">
        <w:rPr>
          <w:rStyle w:val="aa"/>
          <w:rFonts w:ascii="Times New Roman" w:hAnsi="Times New Roman" w:cs="Times New Roman"/>
          <w:sz w:val="24"/>
          <w:szCs w:val="22"/>
        </w:rPr>
        <w:t xml:space="preserve">counterparty </w:t>
      </w:r>
      <w:r w:rsidR="005B48A4" w:rsidRPr="0059184B">
        <w:rPr>
          <w:rStyle w:val="aa"/>
          <w:rFonts w:ascii="Times New Roman" w:hAnsi="Times New Roman" w:cs="Times New Roman"/>
          <w:sz w:val="24"/>
          <w:szCs w:val="22"/>
        </w:rPr>
        <w:t>and</w:t>
      </w:r>
      <w:r w:rsidR="005B48A4" w:rsidRPr="0059184B">
        <w:rPr>
          <w:rStyle w:val="aa"/>
          <w:rFonts w:ascii="Times New Roman" w:hAnsi="Times New Roman" w:cs="Times New Roman" w:hint="eastAsia"/>
          <w:sz w:val="24"/>
          <w:szCs w:val="22"/>
        </w:rPr>
        <w:t xml:space="preserve"> </w:t>
      </w:r>
      <w:r w:rsidR="005B48A4" w:rsidRPr="0059184B">
        <w:rPr>
          <w:rStyle w:val="aa"/>
          <w:rFonts w:ascii="Times New Roman" w:hAnsi="Times New Roman" w:cs="Times New Roman"/>
          <w:sz w:val="24"/>
          <w:szCs w:val="22"/>
        </w:rPr>
        <w:t>sy</w:t>
      </w:r>
      <w:r w:rsidR="005B48A4" w:rsidRPr="0059184B">
        <w:rPr>
          <w:rStyle w:val="aa"/>
          <w:rFonts w:ascii="Times New Roman" w:hAnsi="Times New Roman" w:cs="Times New Roman" w:hint="eastAsia"/>
          <w:sz w:val="24"/>
          <w:szCs w:val="22"/>
        </w:rPr>
        <w:t>s</w:t>
      </w:r>
      <w:r w:rsidR="005B48A4" w:rsidRPr="0059184B">
        <w:rPr>
          <w:rStyle w:val="aa"/>
          <w:rFonts w:ascii="Times New Roman" w:hAnsi="Times New Roman" w:cs="Times New Roman"/>
          <w:sz w:val="24"/>
          <w:szCs w:val="22"/>
        </w:rPr>
        <w:t xml:space="preserve">temic </w:t>
      </w:r>
      <w:r w:rsidRPr="0059184B">
        <w:rPr>
          <w:rStyle w:val="aa"/>
          <w:rFonts w:ascii="Times New Roman" w:hAnsi="Times New Roman" w:cs="Times New Roman"/>
          <w:sz w:val="24"/>
          <w:szCs w:val="22"/>
        </w:rPr>
        <w:t>risk</w:t>
      </w:r>
      <w:r w:rsidR="00DE1474" w:rsidRPr="0059184B">
        <w:rPr>
          <w:rStyle w:val="aa"/>
          <w:rFonts w:ascii="Times New Roman" w:hAnsi="Times New Roman" w:cs="Times New Roman"/>
          <w:sz w:val="24"/>
          <w:szCs w:val="22"/>
        </w:rPr>
        <w:t>s</w:t>
      </w:r>
      <w:r w:rsidR="005B48A4" w:rsidRPr="0059184B">
        <w:rPr>
          <w:rStyle w:val="aa"/>
          <w:rFonts w:ascii="Times New Roman" w:hAnsi="Times New Roman" w:cs="Times New Roman"/>
          <w:sz w:val="24"/>
          <w:szCs w:val="22"/>
        </w:rPr>
        <w:t>,</w:t>
      </w:r>
      <w:r w:rsidRPr="0059184B">
        <w:rPr>
          <w:rStyle w:val="aa"/>
          <w:rFonts w:ascii="Times New Roman" w:hAnsi="Times New Roman" w:cs="Times New Roman"/>
          <w:sz w:val="24"/>
          <w:szCs w:val="22"/>
        </w:rPr>
        <w:t xml:space="preserve"> and central clearing</w:t>
      </w:r>
      <w:r w:rsidR="00DE1474" w:rsidRPr="0059184B">
        <w:rPr>
          <w:rStyle w:val="aa"/>
          <w:rFonts w:ascii="Times New Roman" w:hAnsi="Times New Roman" w:cs="Times New Roman"/>
          <w:sz w:val="24"/>
          <w:szCs w:val="22"/>
        </w:rPr>
        <w:t xml:space="preserve"> with collateral requirements</w:t>
      </w:r>
      <w:r w:rsidRPr="0059184B">
        <w:rPr>
          <w:rStyle w:val="aa"/>
          <w:rFonts w:ascii="Times New Roman" w:hAnsi="Times New Roman" w:cs="Times New Roman"/>
          <w:sz w:val="24"/>
          <w:szCs w:val="22"/>
        </w:rPr>
        <w:t xml:space="preserve"> can </w:t>
      </w:r>
      <w:r w:rsidR="00DE1474" w:rsidRPr="0059184B">
        <w:rPr>
          <w:rStyle w:val="aa"/>
          <w:rFonts w:ascii="Times New Roman" w:hAnsi="Times New Roman" w:cs="Times New Roman"/>
          <w:sz w:val="24"/>
          <w:szCs w:val="22"/>
        </w:rPr>
        <w:t xml:space="preserve">effectively </w:t>
      </w:r>
      <w:r w:rsidRPr="0059184B">
        <w:rPr>
          <w:rStyle w:val="aa"/>
          <w:rFonts w:ascii="Times New Roman" w:hAnsi="Times New Roman" w:cs="Times New Roman"/>
          <w:sz w:val="24"/>
          <w:szCs w:val="22"/>
        </w:rPr>
        <w:t>limit such risk</w:t>
      </w:r>
      <w:r w:rsidR="00DE1474" w:rsidRPr="0059184B">
        <w:rPr>
          <w:rStyle w:val="aa"/>
          <w:rFonts w:ascii="Times New Roman" w:hAnsi="Times New Roman" w:cs="Times New Roman"/>
          <w:sz w:val="24"/>
          <w:szCs w:val="22"/>
        </w:rPr>
        <w:t>s</w:t>
      </w:r>
      <w:r w:rsidRPr="0059184B">
        <w:rPr>
          <w:rStyle w:val="aa"/>
          <w:rFonts w:ascii="Times New Roman" w:hAnsi="Times New Roman" w:cs="Times New Roman"/>
          <w:sz w:val="24"/>
          <w:szCs w:val="22"/>
        </w:rPr>
        <w:t>.</w:t>
      </w:r>
      <w:r w:rsidR="00296D7D" w:rsidRPr="0059184B">
        <w:rPr>
          <w:rStyle w:val="aa"/>
          <w:rFonts w:ascii="Times New Roman" w:hAnsi="Times New Roman" w:cs="Times New Roman"/>
          <w:sz w:val="24"/>
          <w:szCs w:val="22"/>
        </w:rPr>
        <w:t xml:space="preserve"> </w:t>
      </w:r>
      <w:hyperlink r:id="rId10" w:history="1">
        <w:r w:rsidR="00296D7D" w:rsidRPr="0059184B">
          <w:rPr>
            <w:rStyle w:val="aa"/>
            <w:rFonts w:ascii="Times New Roman" w:hAnsi="Times New Roman" w:cs="Times New Roman"/>
            <w:sz w:val="24"/>
            <w:szCs w:val="22"/>
          </w:rPr>
          <w:t>Aminiy</w:t>
        </w:r>
      </w:hyperlink>
      <w:r w:rsidR="00296D7D" w:rsidRPr="0059184B">
        <w:rPr>
          <w:rStyle w:val="aa"/>
          <w:rFonts w:ascii="Times New Roman" w:hAnsi="Times New Roman" w:cs="Times New Roman"/>
          <w:sz w:val="24"/>
          <w:szCs w:val="22"/>
        </w:rPr>
        <w:t>, </w:t>
      </w:r>
      <w:hyperlink r:id="rId11" w:history="1">
        <w:r w:rsidR="00296D7D" w:rsidRPr="0059184B">
          <w:rPr>
            <w:rStyle w:val="aa"/>
            <w:rFonts w:ascii="Times New Roman" w:hAnsi="Times New Roman" w:cs="Times New Roman"/>
            <w:sz w:val="24"/>
            <w:szCs w:val="22"/>
          </w:rPr>
          <w:t>Filipovic</w:t>
        </w:r>
      </w:hyperlink>
      <w:r w:rsidR="00296D7D" w:rsidRPr="0059184B">
        <w:rPr>
          <w:rStyle w:val="aa"/>
          <w:rFonts w:ascii="Times New Roman" w:hAnsi="Times New Roman" w:cs="Times New Roman"/>
          <w:sz w:val="24"/>
          <w:szCs w:val="22"/>
        </w:rPr>
        <w:t>, </w:t>
      </w:r>
      <w:hyperlink r:id="rId12" w:history="1">
        <w:r w:rsidR="00296D7D" w:rsidRPr="0059184B">
          <w:rPr>
            <w:rStyle w:val="aa"/>
            <w:rFonts w:ascii="Times New Roman" w:hAnsi="Times New Roman" w:cs="Times New Roman"/>
            <w:sz w:val="24"/>
            <w:szCs w:val="22"/>
          </w:rPr>
          <w:t>and Minca</w:t>
        </w:r>
      </w:hyperlink>
      <w:r w:rsidR="00296D7D" w:rsidRPr="0059184B">
        <w:rPr>
          <w:rStyle w:val="aa"/>
          <w:rFonts w:ascii="Times New Roman" w:hAnsi="Times New Roman" w:cs="Times New Roman"/>
          <w:sz w:val="24"/>
          <w:szCs w:val="22"/>
        </w:rPr>
        <w:t xml:space="preserve"> (2013) test the effects of central clearing on a financial network and find that central clearing decreases banks' liquidation and shortfall losses and can reduce systemic risk.</w:t>
      </w:r>
      <w:r w:rsidR="00641A79" w:rsidRPr="0059184B">
        <w:rPr>
          <w:rStyle w:val="aa"/>
          <w:rFonts w:ascii="Times New Roman" w:hAnsi="Times New Roman" w:cs="Times New Roman"/>
          <w:sz w:val="24"/>
          <w:szCs w:val="22"/>
        </w:rPr>
        <w:t xml:space="preserve"> Loon and </w:t>
      </w:r>
      <w:proofErr w:type="spellStart"/>
      <w:r w:rsidR="00641A79" w:rsidRPr="0059184B">
        <w:rPr>
          <w:rStyle w:val="aa"/>
          <w:rFonts w:ascii="Times New Roman" w:hAnsi="Times New Roman" w:cs="Times New Roman"/>
          <w:sz w:val="24"/>
          <w:szCs w:val="22"/>
        </w:rPr>
        <w:t>Zhong</w:t>
      </w:r>
      <w:proofErr w:type="spellEnd"/>
      <w:r w:rsidR="00641A79" w:rsidRPr="0059184B">
        <w:rPr>
          <w:rStyle w:val="aa"/>
          <w:rFonts w:ascii="Times New Roman" w:hAnsi="Times New Roman" w:cs="Times New Roman"/>
          <w:sz w:val="24"/>
          <w:szCs w:val="22"/>
        </w:rPr>
        <w:t xml:space="preserve"> (2014) examine the impact of central clearing on CDS market with data on voluntarily cleared CDS contracts and find evidences that central clearing decreases counterparty risk as well as systemic risk</w:t>
      </w:r>
      <w:r w:rsidR="002E09F5" w:rsidRPr="0059184B">
        <w:rPr>
          <w:rStyle w:val="aa"/>
          <w:rFonts w:ascii="Times New Roman" w:hAnsi="Times New Roman" w:cs="Times New Roman"/>
          <w:sz w:val="24"/>
          <w:szCs w:val="22"/>
        </w:rPr>
        <w:t xml:space="preserve"> of clearing members</w:t>
      </w:r>
      <w:r w:rsidR="00641A79" w:rsidRPr="0059184B">
        <w:rPr>
          <w:rStyle w:val="aa"/>
          <w:rFonts w:ascii="Times New Roman" w:hAnsi="Times New Roman" w:cs="Times New Roman"/>
          <w:sz w:val="24"/>
          <w:szCs w:val="22"/>
        </w:rPr>
        <w:t xml:space="preserve">. </w:t>
      </w:r>
    </w:p>
    <w:p w:rsidR="00DE1474" w:rsidRPr="0059184B" w:rsidRDefault="00DE1474" w:rsidP="00DE1474">
      <w:pPr>
        <w:spacing w:line="360" w:lineRule="auto"/>
        <w:rPr>
          <w:rStyle w:val="aa"/>
          <w:rFonts w:ascii="Times New Roman" w:hAnsi="Times New Roman" w:cs="Times New Roman"/>
          <w:sz w:val="24"/>
          <w:szCs w:val="22"/>
        </w:rPr>
      </w:pPr>
      <w:r w:rsidRPr="0059184B">
        <w:rPr>
          <w:rStyle w:val="aa"/>
          <w:rFonts w:ascii="Times New Roman" w:hAnsi="Times New Roman" w:cs="Times New Roman"/>
          <w:sz w:val="24"/>
          <w:szCs w:val="22"/>
        </w:rPr>
        <w:t xml:space="preserve">However, some studies argue the central clearing in OTC derivatives might not be able to mitigate counterparty and systemic risk as intended. </w:t>
      </w:r>
      <w:hyperlink r:id="rId13" w:anchor="bib51" w:history="1">
        <w:r w:rsidR="00296D7D" w:rsidRPr="0059184B">
          <w:rPr>
            <w:rStyle w:val="aa"/>
            <w:rFonts w:ascii="Times New Roman" w:hAnsi="Times New Roman" w:cs="Times New Roman"/>
            <w:sz w:val="24"/>
            <w:szCs w:val="22"/>
          </w:rPr>
          <w:t>Pirrong (2009)</w:t>
        </w:r>
      </w:hyperlink>
      <w:r w:rsidR="00296D7D" w:rsidRPr="0059184B">
        <w:rPr>
          <w:rStyle w:val="aa"/>
          <w:rFonts w:ascii="Times New Roman" w:hAnsi="Times New Roman" w:cs="Times New Roman"/>
          <w:sz w:val="24"/>
          <w:szCs w:val="22"/>
        </w:rPr>
        <w:t xml:space="preserve"> argues that central clearing could increase the counterparty risk because of the information asymmetries  </w:t>
      </w:r>
      <w:r w:rsidR="00296D7D" w:rsidRPr="0059184B">
        <w:rPr>
          <w:rStyle w:val="aa"/>
          <w:rFonts w:ascii="Times New Roman" w:hAnsi="Times New Roman" w:cs="Times New Roman"/>
          <w:sz w:val="24"/>
          <w:szCs w:val="22"/>
        </w:rPr>
        <w:lastRenderedPageBreak/>
        <w:t xml:space="preserve">between central clearing counterparties and large financial institutions, since CCPs have the disadvantage in evaluating clearing members’ risk and therefore could underestimate the risk and therefore, weaken its guarantee. </w:t>
      </w:r>
      <w:hyperlink r:id="rId14" w:anchor="bib12" w:history="1">
        <w:r w:rsidR="00A13DAA" w:rsidRPr="0059184B">
          <w:rPr>
            <w:rStyle w:val="aa"/>
            <w:rFonts w:ascii="Times New Roman" w:hAnsi="Times New Roman" w:cs="Times New Roman"/>
            <w:sz w:val="24"/>
            <w:szCs w:val="22"/>
          </w:rPr>
          <w:t>Duffie and Zhu (2009)</w:t>
        </w:r>
      </w:hyperlink>
      <w:r w:rsidR="00A13DAA" w:rsidRPr="0059184B">
        <w:rPr>
          <w:rStyle w:val="aa"/>
          <w:rFonts w:ascii="Times New Roman" w:hAnsi="Times New Roman" w:cs="Times New Roman"/>
          <w:sz w:val="24"/>
          <w:szCs w:val="22"/>
        </w:rPr>
        <w:t> investigate the impact of central clearing counterparty in CDS market and find that central clearing might increase the counterparty credit risk. </w:t>
      </w:r>
      <w:hyperlink r:id="rId15" w:anchor="bib5" w:history="1">
        <w:r w:rsidRPr="0059184B">
          <w:rPr>
            <w:rStyle w:val="aa"/>
            <w:rFonts w:ascii="Times New Roman" w:hAnsi="Times New Roman" w:cs="Times New Roman"/>
            <w:sz w:val="24"/>
            <w:szCs w:val="22"/>
          </w:rPr>
          <w:t>Arora, Gandhi, and Longstaff (2012)</w:t>
        </w:r>
      </w:hyperlink>
      <w:r w:rsidRPr="0059184B">
        <w:rPr>
          <w:rStyle w:val="aa"/>
          <w:rFonts w:ascii="Times New Roman" w:hAnsi="Times New Roman" w:cs="Times New Roman"/>
          <w:sz w:val="24"/>
          <w:szCs w:val="22"/>
        </w:rPr>
        <w:t> suggest that central clearing might not</w:t>
      </w:r>
      <w:r w:rsidR="00363232" w:rsidRPr="0059184B">
        <w:rPr>
          <w:rStyle w:val="aa"/>
          <w:rFonts w:ascii="Times New Roman" w:hAnsi="Times New Roman" w:cs="Times New Roman"/>
          <w:sz w:val="24"/>
          <w:szCs w:val="22"/>
        </w:rPr>
        <w:t xml:space="preserve"> be able to </w:t>
      </w:r>
      <w:r w:rsidRPr="0059184B">
        <w:rPr>
          <w:rStyle w:val="aa"/>
          <w:rFonts w:ascii="Times New Roman" w:hAnsi="Times New Roman" w:cs="Times New Roman"/>
          <w:sz w:val="24"/>
          <w:szCs w:val="22"/>
        </w:rPr>
        <w:t xml:space="preserve">further lower the counterparty risk if </w:t>
      </w:r>
      <w:r w:rsidR="00363232" w:rsidRPr="0059184B">
        <w:rPr>
          <w:rStyle w:val="aa"/>
          <w:rFonts w:ascii="Times New Roman" w:hAnsi="Times New Roman" w:cs="Times New Roman"/>
          <w:sz w:val="24"/>
          <w:szCs w:val="22"/>
        </w:rPr>
        <w:t>the existing arrangements in the OTC derivative market</w:t>
      </w:r>
      <w:r w:rsidR="00641A79" w:rsidRPr="0059184B">
        <w:rPr>
          <w:rStyle w:val="aa"/>
          <w:rFonts w:ascii="Times New Roman" w:hAnsi="Times New Roman" w:cs="Times New Roman"/>
          <w:sz w:val="24"/>
          <w:szCs w:val="22"/>
        </w:rPr>
        <w:t xml:space="preserve"> (e.g. posting of collateral by both counterparties, use of International Swaps and Derivatives Association (ISDA), master agreements and credit support annexes,)</w:t>
      </w:r>
      <w:r w:rsidR="00363232" w:rsidRPr="0059184B">
        <w:rPr>
          <w:rStyle w:val="aa"/>
          <w:rFonts w:ascii="Times New Roman" w:hAnsi="Times New Roman" w:cs="Times New Roman"/>
          <w:sz w:val="24"/>
          <w:szCs w:val="22"/>
        </w:rPr>
        <w:t xml:space="preserve"> can effectively deal with counterparty risk. </w:t>
      </w:r>
    </w:p>
    <w:p w:rsidR="00641A79" w:rsidRPr="0059184B" w:rsidRDefault="00641A79" w:rsidP="00641A79">
      <w:pPr>
        <w:spacing w:line="360" w:lineRule="auto"/>
        <w:rPr>
          <w:rStyle w:val="aa"/>
          <w:rFonts w:ascii="Times New Roman" w:hAnsi="Times New Roman" w:cs="Times New Roman"/>
          <w:sz w:val="24"/>
          <w:szCs w:val="22"/>
        </w:rPr>
      </w:pPr>
    </w:p>
    <w:p w:rsidR="00B64F32" w:rsidRPr="0059184B" w:rsidRDefault="00B64F32" w:rsidP="00014AA6">
      <w:pPr>
        <w:spacing w:line="360" w:lineRule="auto"/>
        <w:rPr>
          <w:rStyle w:val="aa"/>
          <w:rFonts w:ascii="Times New Roman" w:hAnsi="Times New Roman" w:cs="Times New Roman"/>
          <w:sz w:val="24"/>
          <w:szCs w:val="22"/>
        </w:rPr>
      </w:pPr>
    </w:p>
    <w:p w:rsidR="0020123E" w:rsidRPr="0059184B" w:rsidRDefault="007115E6" w:rsidP="00014AA6">
      <w:pPr>
        <w:spacing w:line="360" w:lineRule="auto"/>
        <w:rPr>
          <w:rFonts w:ascii="Times New Roman" w:hAnsi="Times New Roman" w:cs="Times New Roman"/>
          <w:kern w:val="0"/>
          <w:sz w:val="24"/>
          <w:szCs w:val="24"/>
        </w:rPr>
      </w:pPr>
      <w:r w:rsidRPr="0059184B">
        <w:rPr>
          <w:rFonts w:ascii="Times New Roman" w:hAnsi="Times New Roman" w:cs="Times New Roman"/>
          <w:kern w:val="0"/>
          <w:sz w:val="24"/>
          <w:szCs w:val="24"/>
        </w:rPr>
        <w:t xml:space="preserve">We conjecture </w:t>
      </w:r>
      <w:r w:rsidR="00FA6FE6" w:rsidRPr="0059184B">
        <w:rPr>
          <w:rFonts w:ascii="Times New Roman" w:hAnsi="Times New Roman" w:cs="Times New Roman"/>
          <w:kern w:val="0"/>
          <w:sz w:val="24"/>
          <w:szCs w:val="24"/>
        </w:rPr>
        <w:t xml:space="preserve">that </w:t>
      </w:r>
      <w:r w:rsidR="00360C11" w:rsidRPr="0059184B">
        <w:rPr>
          <w:rFonts w:ascii="Times New Roman" w:hAnsi="Times New Roman" w:cs="Times New Roman"/>
          <w:kern w:val="0"/>
          <w:sz w:val="24"/>
          <w:szCs w:val="24"/>
        </w:rPr>
        <w:t xml:space="preserve">the </w:t>
      </w:r>
      <w:r w:rsidR="002661B6" w:rsidRPr="0059184B">
        <w:rPr>
          <w:rFonts w:ascii="Times New Roman" w:hAnsi="Times New Roman" w:cs="Times New Roman"/>
          <w:kern w:val="0"/>
          <w:sz w:val="24"/>
          <w:szCs w:val="24"/>
        </w:rPr>
        <w:t xml:space="preserve">implementation of the </w:t>
      </w:r>
      <w:r w:rsidR="00360C11" w:rsidRPr="0059184B">
        <w:rPr>
          <w:rFonts w:ascii="Times New Roman" w:hAnsi="Times New Roman" w:cs="Times New Roman"/>
          <w:kern w:val="0"/>
          <w:sz w:val="24"/>
          <w:szCs w:val="24"/>
        </w:rPr>
        <w:t>DFA, specifically the Volcker rule, leads to a lower</w:t>
      </w:r>
      <w:r w:rsidR="002C1407" w:rsidRPr="0059184B">
        <w:rPr>
          <w:rFonts w:ascii="Times New Roman" w:hAnsi="Times New Roman" w:cs="Times New Roman"/>
          <w:kern w:val="0"/>
          <w:sz w:val="24"/>
          <w:szCs w:val="24"/>
        </w:rPr>
        <w:t xml:space="preserve"> </w:t>
      </w:r>
      <w:r w:rsidR="00360C11" w:rsidRPr="0059184B">
        <w:rPr>
          <w:rFonts w:ascii="Times New Roman" w:hAnsi="Times New Roman" w:cs="Times New Roman"/>
          <w:kern w:val="0"/>
          <w:sz w:val="24"/>
          <w:szCs w:val="24"/>
        </w:rPr>
        <w:t>degree</w:t>
      </w:r>
      <w:r w:rsidR="000B7ADC" w:rsidRPr="0059184B">
        <w:rPr>
          <w:rFonts w:ascii="Times New Roman" w:hAnsi="Times New Roman" w:cs="Times New Roman"/>
          <w:kern w:val="0"/>
          <w:sz w:val="24"/>
          <w:szCs w:val="24"/>
        </w:rPr>
        <w:t xml:space="preserve"> of </w:t>
      </w:r>
      <w:r w:rsidR="007D4612" w:rsidRPr="0059184B">
        <w:rPr>
          <w:rFonts w:ascii="Times New Roman" w:hAnsi="Times New Roman" w:cs="Times New Roman"/>
          <w:kern w:val="0"/>
          <w:sz w:val="24"/>
          <w:szCs w:val="24"/>
        </w:rPr>
        <w:t xml:space="preserve">derivative usage, thereby reducing the </w:t>
      </w:r>
      <w:r w:rsidR="002C1407" w:rsidRPr="0059184B">
        <w:rPr>
          <w:rFonts w:ascii="Times New Roman" w:hAnsi="Times New Roman" w:cs="Times New Roman"/>
          <w:kern w:val="0"/>
          <w:sz w:val="24"/>
          <w:szCs w:val="24"/>
        </w:rPr>
        <w:t>interdependence among bank</w:t>
      </w:r>
      <w:r w:rsidR="00360C11" w:rsidRPr="0059184B">
        <w:rPr>
          <w:rFonts w:ascii="Times New Roman" w:hAnsi="Times New Roman" w:cs="Times New Roman"/>
          <w:kern w:val="0"/>
          <w:sz w:val="24"/>
          <w:szCs w:val="24"/>
        </w:rPr>
        <w:t xml:space="preserve">s. </w:t>
      </w:r>
      <w:r w:rsidR="005034A6" w:rsidRPr="0059184B">
        <w:rPr>
          <w:rFonts w:ascii="Times New Roman" w:hAnsi="Times New Roman" w:cs="Times New Roman"/>
          <w:kern w:val="0"/>
          <w:sz w:val="24"/>
          <w:szCs w:val="24"/>
        </w:rPr>
        <w:t xml:space="preserve">We share the same view as </w:t>
      </w:r>
      <w:r w:rsidR="005034A6" w:rsidRPr="0059184B">
        <w:rPr>
          <w:rFonts w:ascii="Times New Roman" w:hAnsi="Times New Roman" w:cs="Times New Roman"/>
          <w:sz w:val="24"/>
          <w:szCs w:val="24"/>
        </w:rPr>
        <w:t xml:space="preserve">Singh (2010) and </w:t>
      </w:r>
      <w:r w:rsidR="005034A6" w:rsidRPr="0059184B">
        <w:rPr>
          <w:rFonts w:ascii="Times New Roman" w:hAnsi="Times New Roman" w:cs="Times New Roman"/>
          <w:kern w:val="0"/>
          <w:sz w:val="24"/>
          <w:szCs w:val="24"/>
        </w:rPr>
        <w:t xml:space="preserve">Li and </w:t>
      </w:r>
      <w:proofErr w:type="spellStart"/>
      <w:r w:rsidR="005034A6" w:rsidRPr="0059184B">
        <w:rPr>
          <w:rFonts w:ascii="Times New Roman" w:hAnsi="Times New Roman" w:cs="Times New Roman"/>
          <w:kern w:val="0"/>
          <w:sz w:val="24"/>
          <w:szCs w:val="24"/>
        </w:rPr>
        <w:t>Marinč</w:t>
      </w:r>
      <w:proofErr w:type="spellEnd"/>
      <w:r w:rsidR="005034A6" w:rsidRPr="0059184B">
        <w:rPr>
          <w:rFonts w:ascii="Times New Roman" w:hAnsi="Times New Roman" w:cs="Times New Roman"/>
          <w:kern w:val="0"/>
          <w:sz w:val="24"/>
          <w:szCs w:val="24"/>
        </w:rPr>
        <w:t xml:space="preserve"> (201</w:t>
      </w:r>
      <w:r w:rsidR="00122BB1" w:rsidRPr="0059184B">
        <w:rPr>
          <w:rFonts w:ascii="Times New Roman" w:hAnsi="Times New Roman" w:cs="Times New Roman"/>
          <w:kern w:val="0"/>
          <w:sz w:val="24"/>
          <w:szCs w:val="24"/>
        </w:rPr>
        <w:t>7</w:t>
      </w:r>
      <w:r w:rsidR="005034A6" w:rsidRPr="0059184B">
        <w:rPr>
          <w:rFonts w:ascii="Times New Roman" w:hAnsi="Times New Roman" w:cs="Times New Roman"/>
          <w:kern w:val="0"/>
          <w:sz w:val="24"/>
          <w:szCs w:val="24"/>
        </w:rPr>
        <w:t xml:space="preserve">) that </w:t>
      </w:r>
      <w:r w:rsidR="00FC2407" w:rsidRPr="0059184B">
        <w:rPr>
          <w:rFonts w:ascii="Times New Roman" w:hAnsi="Times New Roman" w:cs="Times New Roman"/>
          <w:kern w:val="0"/>
          <w:sz w:val="24"/>
          <w:szCs w:val="24"/>
        </w:rPr>
        <w:t xml:space="preserve">implementing </w:t>
      </w:r>
      <w:r w:rsidR="000D5F62" w:rsidRPr="0059184B">
        <w:rPr>
          <w:rFonts w:ascii="Times New Roman" w:hAnsi="Times New Roman" w:cs="Times New Roman"/>
          <w:kern w:val="0"/>
          <w:sz w:val="24"/>
          <w:szCs w:val="24"/>
        </w:rPr>
        <w:t>mandatory</w:t>
      </w:r>
      <w:r w:rsidR="0020123E" w:rsidRPr="0059184B">
        <w:rPr>
          <w:rFonts w:ascii="Times New Roman" w:hAnsi="Times New Roman" w:cs="Times New Roman"/>
          <w:kern w:val="0"/>
          <w:sz w:val="24"/>
          <w:szCs w:val="24"/>
        </w:rPr>
        <w:t xml:space="preserve"> </w:t>
      </w:r>
      <w:r w:rsidR="00E53A7F" w:rsidRPr="0059184B">
        <w:rPr>
          <w:rFonts w:ascii="Times New Roman" w:hAnsi="Times New Roman" w:cs="Times New Roman"/>
          <w:kern w:val="0"/>
          <w:sz w:val="24"/>
          <w:szCs w:val="24"/>
        </w:rPr>
        <w:t>clearing</w:t>
      </w:r>
      <w:r w:rsidR="0020123E" w:rsidRPr="0059184B">
        <w:rPr>
          <w:rFonts w:ascii="Times New Roman" w:hAnsi="Times New Roman" w:cs="Times New Roman"/>
          <w:kern w:val="0"/>
          <w:sz w:val="24"/>
          <w:szCs w:val="24"/>
        </w:rPr>
        <w:t xml:space="preserve"> requirement improves the transparency in the derivative markets</w:t>
      </w:r>
      <w:r w:rsidR="00360C11" w:rsidRPr="0059184B">
        <w:rPr>
          <w:rFonts w:ascii="Times New Roman" w:hAnsi="Times New Roman" w:cs="Times New Roman"/>
          <w:kern w:val="0"/>
          <w:sz w:val="24"/>
          <w:szCs w:val="24"/>
        </w:rPr>
        <w:t>,</w:t>
      </w:r>
      <w:r w:rsidR="004271D9" w:rsidRPr="0059184B">
        <w:rPr>
          <w:rFonts w:ascii="Times New Roman" w:hAnsi="Times New Roman" w:cs="Times New Roman"/>
          <w:kern w:val="0"/>
          <w:sz w:val="24"/>
          <w:szCs w:val="24"/>
        </w:rPr>
        <w:t xml:space="preserve"> thereby curtailing the</w:t>
      </w:r>
      <w:r w:rsidR="00360C11" w:rsidRPr="0059184B">
        <w:rPr>
          <w:rFonts w:ascii="Times New Roman" w:hAnsi="Times New Roman" w:cs="Times New Roman"/>
          <w:kern w:val="0"/>
          <w:sz w:val="24"/>
          <w:szCs w:val="24"/>
        </w:rPr>
        <w:t xml:space="preserve"> effects of </w:t>
      </w:r>
      <w:r w:rsidR="00683573" w:rsidRPr="0059184B">
        <w:rPr>
          <w:rFonts w:ascii="Times New Roman" w:hAnsi="Times New Roman" w:cs="Times New Roman"/>
          <w:kern w:val="0"/>
          <w:sz w:val="24"/>
          <w:szCs w:val="24"/>
        </w:rPr>
        <w:t xml:space="preserve">banks’ </w:t>
      </w:r>
      <w:r w:rsidR="00360C11" w:rsidRPr="0059184B">
        <w:rPr>
          <w:rFonts w:ascii="Times New Roman" w:hAnsi="Times New Roman" w:cs="Times New Roman"/>
          <w:kern w:val="0"/>
          <w:sz w:val="24"/>
          <w:szCs w:val="24"/>
        </w:rPr>
        <w:t>derivative holdings on systemic risk</w:t>
      </w:r>
      <w:r w:rsidR="00FA6FE6" w:rsidRPr="0059184B">
        <w:rPr>
          <w:rFonts w:ascii="Times New Roman" w:hAnsi="Times New Roman" w:cs="Times New Roman"/>
          <w:kern w:val="0"/>
          <w:sz w:val="24"/>
          <w:szCs w:val="24"/>
        </w:rPr>
        <w:t>.</w:t>
      </w:r>
      <w:r w:rsidR="0014729B" w:rsidRPr="0059184B">
        <w:rPr>
          <w:rFonts w:ascii="Times New Roman" w:hAnsi="Times New Roman" w:cs="Times New Roman"/>
          <w:sz w:val="24"/>
          <w:szCs w:val="24"/>
        </w:rPr>
        <w:t xml:space="preserve"> </w:t>
      </w:r>
      <w:r w:rsidR="00FA6FE6" w:rsidRPr="0059184B">
        <w:rPr>
          <w:rFonts w:ascii="Times New Roman" w:hAnsi="Times New Roman" w:cs="Times New Roman"/>
          <w:kern w:val="0"/>
          <w:sz w:val="24"/>
          <w:szCs w:val="24"/>
        </w:rPr>
        <w:t xml:space="preserve">Thus, </w:t>
      </w:r>
      <w:r w:rsidR="00014AA6" w:rsidRPr="0059184B">
        <w:rPr>
          <w:rFonts w:ascii="Times New Roman" w:hAnsi="Times New Roman" w:cs="Times New Roman"/>
          <w:kern w:val="0"/>
          <w:sz w:val="24"/>
          <w:szCs w:val="24"/>
        </w:rPr>
        <w:t xml:space="preserve">we put </w:t>
      </w:r>
      <w:r w:rsidR="0020123E" w:rsidRPr="0059184B">
        <w:rPr>
          <w:rFonts w:ascii="Times New Roman" w:hAnsi="Times New Roman" w:cs="Times New Roman"/>
          <w:kern w:val="0"/>
          <w:sz w:val="24"/>
          <w:szCs w:val="24"/>
        </w:rPr>
        <w:t>forward the following</w:t>
      </w:r>
      <w:r w:rsidR="00014AA6" w:rsidRPr="0059184B">
        <w:rPr>
          <w:rFonts w:ascii="Times New Roman" w:hAnsi="Times New Roman" w:cs="Times New Roman"/>
          <w:kern w:val="0"/>
          <w:sz w:val="24"/>
          <w:szCs w:val="24"/>
        </w:rPr>
        <w:t xml:space="preserve"> hypothesis</w:t>
      </w:r>
      <w:r w:rsidR="0020123E" w:rsidRPr="0059184B">
        <w:rPr>
          <w:rFonts w:ascii="Times New Roman" w:hAnsi="Times New Roman" w:cs="Times New Roman"/>
          <w:kern w:val="0"/>
          <w:sz w:val="24"/>
          <w:szCs w:val="24"/>
        </w:rPr>
        <w:t>:</w:t>
      </w:r>
      <w:r w:rsidR="00014AA6" w:rsidRPr="0059184B">
        <w:rPr>
          <w:rFonts w:ascii="Times New Roman" w:hAnsi="Times New Roman" w:cs="Times New Roman"/>
          <w:kern w:val="0"/>
          <w:sz w:val="24"/>
          <w:szCs w:val="24"/>
        </w:rPr>
        <w:t xml:space="preserve"> </w:t>
      </w:r>
    </w:p>
    <w:p w:rsidR="0020123E" w:rsidRPr="0059184B" w:rsidRDefault="00E82080" w:rsidP="00014AA6">
      <w:pPr>
        <w:spacing w:line="360" w:lineRule="auto"/>
        <w:rPr>
          <w:rFonts w:ascii="Times New Roman" w:hAnsi="Times New Roman" w:cs="Times New Roman"/>
          <w:b/>
          <w:i/>
          <w:sz w:val="24"/>
          <w:szCs w:val="24"/>
        </w:rPr>
      </w:pPr>
      <w:r w:rsidRPr="0059184B">
        <w:rPr>
          <w:rFonts w:ascii="Times New Roman" w:hAnsi="Times New Roman" w:cs="Times New Roman"/>
          <w:b/>
          <w:kern w:val="0"/>
          <w:sz w:val="24"/>
          <w:szCs w:val="24"/>
        </w:rPr>
        <w:t>H</w:t>
      </w:r>
      <w:r w:rsidR="00615A2D" w:rsidRPr="0059184B">
        <w:rPr>
          <w:rFonts w:ascii="Times New Roman" w:hAnsi="Times New Roman" w:cs="Times New Roman"/>
          <w:b/>
          <w:kern w:val="0"/>
          <w:sz w:val="24"/>
          <w:szCs w:val="24"/>
        </w:rPr>
        <w:t>1</w:t>
      </w:r>
      <w:r w:rsidR="004E3CCF" w:rsidRPr="0059184B">
        <w:rPr>
          <w:rFonts w:ascii="Times New Roman" w:hAnsi="Times New Roman" w:cs="Times New Roman"/>
          <w:b/>
          <w:kern w:val="0"/>
          <w:sz w:val="24"/>
          <w:szCs w:val="24"/>
        </w:rPr>
        <w:t>a</w:t>
      </w:r>
      <w:r w:rsidR="0020123E" w:rsidRPr="0059184B">
        <w:rPr>
          <w:rFonts w:ascii="Times New Roman" w:hAnsi="Times New Roman" w:cs="Times New Roman"/>
          <w:b/>
          <w:kern w:val="0"/>
          <w:sz w:val="24"/>
          <w:szCs w:val="24"/>
        </w:rPr>
        <w:t xml:space="preserve">: </w:t>
      </w:r>
      <w:r w:rsidR="0020123E" w:rsidRPr="0059184B">
        <w:rPr>
          <w:rFonts w:ascii="Times New Roman" w:hAnsi="Times New Roman" w:cs="Times New Roman"/>
          <w:b/>
          <w:i/>
          <w:sz w:val="24"/>
          <w:szCs w:val="24"/>
        </w:rPr>
        <w:t>The implementation of</w:t>
      </w:r>
      <w:r w:rsidR="00014AA6" w:rsidRPr="0059184B">
        <w:rPr>
          <w:rFonts w:ascii="Times New Roman" w:hAnsi="Times New Roman" w:cs="Times New Roman"/>
          <w:b/>
          <w:i/>
          <w:sz w:val="24"/>
          <w:szCs w:val="24"/>
        </w:rPr>
        <w:t xml:space="preserve"> </w:t>
      </w:r>
      <w:r w:rsidR="0020123E" w:rsidRPr="0059184B">
        <w:rPr>
          <w:rFonts w:ascii="Times New Roman" w:hAnsi="Times New Roman" w:cs="Times New Roman"/>
          <w:b/>
          <w:i/>
          <w:sz w:val="24"/>
          <w:szCs w:val="24"/>
        </w:rPr>
        <w:t xml:space="preserve">the </w:t>
      </w:r>
      <w:r w:rsidR="00014AA6" w:rsidRPr="0059184B">
        <w:rPr>
          <w:rFonts w:ascii="Times New Roman" w:hAnsi="Times New Roman" w:cs="Times New Roman"/>
          <w:b/>
          <w:i/>
          <w:sz w:val="24"/>
          <w:szCs w:val="24"/>
        </w:rPr>
        <w:t>DFA mitigates bank’</w:t>
      </w:r>
      <w:r w:rsidR="0020123E" w:rsidRPr="0059184B">
        <w:rPr>
          <w:rFonts w:ascii="Times New Roman" w:hAnsi="Times New Roman" w:cs="Times New Roman"/>
          <w:b/>
          <w:i/>
          <w:sz w:val="24"/>
          <w:szCs w:val="24"/>
        </w:rPr>
        <w:t>s</w:t>
      </w:r>
      <w:r w:rsidR="00014AA6" w:rsidRPr="0059184B">
        <w:rPr>
          <w:rFonts w:ascii="Times New Roman" w:hAnsi="Times New Roman" w:cs="Times New Roman"/>
          <w:b/>
          <w:i/>
          <w:sz w:val="24"/>
          <w:szCs w:val="24"/>
        </w:rPr>
        <w:t xml:space="preserve"> contribution to systemic risk </w:t>
      </w:r>
    </w:p>
    <w:p w:rsidR="00014AA6" w:rsidRPr="0059184B" w:rsidRDefault="00E82080" w:rsidP="00014AA6">
      <w:pPr>
        <w:spacing w:line="360" w:lineRule="auto"/>
        <w:rPr>
          <w:rFonts w:ascii="Times New Roman" w:eastAsia="AdvGulliv-R" w:hAnsi="Times New Roman" w:cs="Times New Roman"/>
          <w:b/>
          <w:kern w:val="0"/>
          <w:sz w:val="24"/>
          <w:szCs w:val="24"/>
        </w:rPr>
      </w:pPr>
      <w:r w:rsidRPr="0059184B">
        <w:rPr>
          <w:rFonts w:ascii="Times New Roman" w:hAnsi="Times New Roman" w:cs="Times New Roman"/>
          <w:b/>
          <w:sz w:val="24"/>
          <w:szCs w:val="24"/>
        </w:rPr>
        <w:t>H</w:t>
      </w:r>
      <w:r w:rsidR="00615A2D" w:rsidRPr="0059184B">
        <w:rPr>
          <w:rFonts w:ascii="Times New Roman" w:hAnsi="Times New Roman" w:cs="Times New Roman"/>
          <w:b/>
          <w:sz w:val="24"/>
          <w:szCs w:val="24"/>
        </w:rPr>
        <w:t>1</w:t>
      </w:r>
      <w:r w:rsidR="004E3CCF" w:rsidRPr="0059184B">
        <w:rPr>
          <w:rFonts w:ascii="Times New Roman" w:hAnsi="Times New Roman" w:cs="Times New Roman"/>
          <w:b/>
          <w:sz w:val="24"/>
          <w:szCs w:val="24"/>
        </w:rPr>
        <w:t>b</w:t>
      </w:r>
      <w:r w:rsidR="0020123E" w:rsidRPr="0059184B">
        <w:rPr>
          <w:rFonts w:ascii="Times New Roman" w:hAnsi="Times New Roman" w:cs="Times New Roman"/>
          <w:b/>
          <w:sz w:val="24"/>
          <w:szCs w:val="24"/>
        </w:rPr>
        <w:t>:</w:t>
      </w:r>
      <w:r w:rsidR="0020123E" w:rsidRPr="0059184B">
        <w:rPr>
          <w:rFonts w:ascii="Times New Roman" w:hAnsi="Times New Roman" w:cs="Times New Roman"/>
          <w:b/>
          <w:i/>
          <w:sz w:val="24"/>
          <w:szCs w:val="24"/>
        </w:rPr>
        <w:t xml:space="preserve"> The implementation of the DFA reduces</w:t>
      </w:r>
      <w:r w:rsidR="00014AA6" w:rsidRPr="0059184B">
        <w:rPr>
          <w:rFonts w:ascii="Times New Roman" w:hAnsi="Times New Roman" w:cs="Times New Roman"/>
          <w:b/>
          <w:i/>
          <w:sz w:val="24"/>
          <w:szCs w:val="24"/>
        </w:rPr>
        <w:t xml:space="preserve"> the impacts of derivative</w:t>
      </w:r>
      <w:r w:rsidR="0020123E" w:rsidRPr="0059184B">
        <w:rPr>
          <w:rFonts w:ascii="Times New Roman" w:hAnsi="Times New Roman" w:cs="Times New Roman"/>
          <w:b/>
          <w:i/>
          <w:sz w:val="24"/>
          <w:szCs w:val="24"/>
        </w:rPr>
        <w:t>s</w:t>
      </w:r>
      <w:r w:rsidR="00360C11" w:rsidRPr="0059184B">
        <w:rPr>
          <w:rFonts w:ascii="Times New Roman" w:hAnsi="Times New Roman" w:cs="Times New Roman"/>
          <w:b/>
          <w:i/>
          <w:sz w:val="24"/>
          <w:szCs w:val="24"/>
        </w:rPr>
        <w:t xml:space="preserve"> holdings</w:t>
      </w:r>
      <w:r w:rsidR="00014AA6" w:rsidRPr="0059184B">
        <w:rPr>
          <w:rFonts w:ascii="Times New Roman" w:hAnsi="Times New Roman" w:cs="Times New Roman"/>
          <w:b/>
          <w:i/>
          <w:sz w:val="24"/>
          <w:szCs w:val="24"/>
        </w:rPr>
        <w:t xml:space="preserve"> on </w:t>
      </w:r>
      <w:r w:rsidR="0020123E" w:rsidRPr="0059184B">
        <w:rPr>
          <w:rFonts w:ascii="Times New Roman" w:hAnsi="Times New Roman" w:cs="Times New Roman"/>
          <w:b/>
          <w:i/>
          <w:sz w:val="24"/>
          <w:szCs w:val="24"/>
        </w:rPr>
        <w:t xml:space="preserve">bank’s contribution to </w:t>
      </w:r>
      <w:r w:rsidR="00014AA6" w:rsidRPr="0059184B">
        <w:rPr>
          <w:rFonts w:ascii="Times New Roman" w:hAnsi="Times New Roman" w:cs="Times New Roman"/>
          <w:b/>
          <w:i/>
          <w:sz w:val="24"/>
          <w:szCs w:val="24"/>
        </w:rPr>
        <w:t>systemic risk</w:t>
      </w:r>
      <w:r w:rsidR="00BE62AA" w:rsidRPr="0059184B">
        <w:rPr>
          <w:rFonts w:ascii="Times New Roman" w:hAnsi="Times New Roman" w:cs="Times New Roman"/>
          <w:b/>
          <w:i/>
          <w:sz w:val="24"/>
          <w:szCs w:val="24"/>
        </w:rPr>
        <w:t xml:space="preserve"> (in H1)</w:t>
      </w:r>
    </w:p>
    <w:p w:rsidR="00EE63C2" w:rsidRPr="0059184B" w:rsidRDefault="00EE63C2" w:rsidP="00EE63C2">
      <w:pPr>
        <w:autoSpaceDE w:val="0"/>
        <w:autoSpaceDN w:val="0"/>
        <w:adjustRightInd w:val="0"/>
        <w:jc w:val="left"/>
        <w:rPr>
          <w:rFonts w:ascii="Times New Roman" w:eastAsia="宋体" w:hAnsi="Times New Roman" w:cs="Times New Roman"/>
          <w:kern w:val="0"/>
          <w:sz w:val="24"/>
          <w:szCs w:val="24"/>
        </w:rPr>
      </w:pPr>
    </w:p>
    <w:p w:rsidR="003B1F66" w:rsidRPr="0059184B" w:rsidRDefault="003B1F66" w:rsidP="00C61C16">
      <w:pPr>
        <w:pStyle w:val="3"/>
        <w:rPr>
          <w:rFonts w:ascii="Times New Roman" w:hAnsi="Times New Roman" w:cs="Times New Roman"/>
          <w:sz w:val="24"/>
          <w:szCs w:val="24"/>
        </w:rPr>
      </w:pPr>
      <w:r w:rsidRPr="0059184B">
        <w:rPr>
          <w:rFonts w:ascii="Times New Roman" w:hAnsi="Times New Roman" w:cs="Times New Roman"/>
          <w:sz w:val="24"/>
          <w:szCs w:val="24"/>
        </w:rPr>
        <w:t>2.2. Derivative holdings, bank’s risk and bank’s performance</w:t>
      </w:r>
    </w:p>
    <w:p w:rsidR="00E22B40" w:rsidRPr="0059184B" w:rsidRDefault="00C61C16" w:rsidP="003B1F66">
      <w:pPr>
        <w:spacing w:line="360" w:lineRule="auto"/>
        <w:rPr>
          <w:rFonts w:ascii="Times New Roman" w:hAnsi="Times New Roman" w:cs="Times New Roman"/>
          <w:b/>
          <w:sz w:val="24"/>
          <w:szCs w:val="24"/>
        </w:rPr>
      </w:pPr>
      <w:r w:rsidRPr="0059184B">
        <w:rPr>
          <w:rStyle w:val="4Char"/>
          <w:rFonts w:ascii="Times New Roman" w:hAnsi="Times New Roman" w:cs="Times New Roman"/>
          <w:sz w:val="24"/>
          <w:szCs w:val="24"/>
        </w:rPr>
        <w:t>2.2</w:t>
      </w:r>
      <w:r w:rsidR="00E22B40" w:rsidRPr="0059184B">
        <w:rPr>
          <w:rStyle w:val="4Char"/>
          <w:rFonts w:ascii="Times New Roman" w:hAnsi="Times New Roman" w:cs="Times New Roman"/>
          <w:sz w:val="24"/>
          <w:szCs w:val="24"/>
        </w:rPr>
        <w:t>a.</w:t>
      </w:r>
      <w:r w:rsidR="00E22B40" w:rsidRPr="0059184B">
        <w:rPr>
          <w:rFonts w:ascii="Times New Roman" w:hAnsi="Times New Roman" w:cs="Times New Roman"/>
          <w:b/>
          <w:sz w:val="24"/>
          <w:szCs w:val="24"/>
        </w:rPr>
        <w:t xml:space="preserve"> Derivative holdings and bank risk</w:t>
      </w:r>
    </w:p>
    <w:p w:rsidR="007115E6" w:rsidRPr="0059184B" w:rsidRDefault="006364CB" w:rsidP="0087140C">
      <w:pPr>
        <w:spacing w:line="360" w:lineRule="auto"/>
        <w:rPr>
          <w:rFonts w:ascii="Times New Roman" w:eastAsia="宋体" w:hAnsi="Times New Roman" w:cs="Times New Roman"/>
          <w:kern w:val="0"/>
          <w:sz w:val="24"/>
          <w:szCs w:val="24"/>
        </w:rPr>
      </w:pPr>
      <w:r w:rsidRPr="0059184B">
        <w:rPr>
          <w:rFonts w:ascii="Times New Roman" w:hAnsi="Times New Roman" w:cs="Times New Roman"/>
          <w:sz w:val="24"/>
          <w:szCs w:val="24"/>
        </w:rPr>
        <w:t xml:space="preserve">Derivatives have been widely used by financial institutions to hedge against </w:t>
      </w:r>
      <w:proofErr w:type="spellStart"/>
      <w:r w:rsidRPr="0059184B">
        <w:rPr>
          <w:rFonts w:ascii="Times New Roman" w:hAnsi="Times New Roman" w:cs="Times New Roman"/>
          <w:sz w:val="24"/>
          <w:szCs w:val="24"/>
        </w:rPr>
        <w:t>unfavourable</w:t>
      </w:r>
      <w:proofErr w:type="spellEnd"/>
      <w:r w:rsidRPr="0059184B">
        <w:rPr>
          <w:rFonts w:ascii="Times New Roman" w:hAnsi="Times New Roman" w:cs="Times New Roman"/>
          <w:sz w:val="24"/>
          <w:szCs w:val="24"/>
        </w:rPr>
        <w:t xml:space="preserve"> changes in the value of their cash flows. </w:t>
      </w:r>
      <w:r w:rsidR="00CC6E10" w:rsidRPr="0059184B">
        <w:rPr>
          <w:rFonts w:ascii="Times New Roman" w:hAnsi="Times New Roman" w:cs="Times New Roman"/>
          <w:sz w:val="24"/>
          <w:szCs w:val="24"/>
        </w:rPr>
        <w:t>D</w:t>
      </w:r>
      <w:r w:rsidR="001F4EA2" w:rsidRPr="0059184B">
        <w:rPr>
          <w:rFonts w:ascii="Times New Roman" w:hAnsi="Times New Roman" w:cs="Times New Roman"/>
          <w:sz w:val="24"/>
          <w:szCs w:val="24"/>
        </w:rPr>
        <w:t xml:space="preserve">erivatives </w:t>
      </w:r>
      <w:r w:rsidR="00E22B40" w:rsidRPr="0059184B">
        <w:rPr>
          <w:rFonts w:ascii="Times New Roman" w:hAnsi="Times New Roman" w:cs="Times New Roman"/>
          <w:sz w:val="24"/>
          <w:szCs w:val="24"/>
        </w:rPr>
        <w:t xml:space="preserve">help mitigate </w:t>
      </w:r>
      <w:r w:rsidR="003B1F66" w:rsidRPr="0059184B">
        <w:rPr>
          <w:rFonts w:ascii="Times New Roman" w:hAnsi="Times New Roman" w:cs="Times New Roman"/>
          <w:sz w:val="24"/>
          <w:szCs w:val="24"/>
        </w:rPr>
        <w:t xml:space="preserve">cash flow volatility, </w:t>
      </w:r>
      <w:r w:rsidR="00E22B40" w:rsidRPr="0059184B">
        <w:rPr>
          <w:rFonts w:ascii="Times New Roman" w:hAnsi="Times New Roman" w:cs="Times New Roman"/>
          <w:sz w:val="24"/>
          <w:szCs w:val="24"/>
        </w:rPr>
        <w:t>lower</w:t>
      </w:r>
      <w:r w:rsidR="003B1F66" w:rsidRPr="0059184B">
        <w:rPr>
          <w:rFonts w:ascii="Times New Roman" w:hAnsi="Times New Roman" w:cs="Times New Roman"/>
          <w:sz w:val="24"/>
          <w:szCs w:val="24"/>
        </w:rPr>
        <w:t xml:space="preserve"> external funding cost, and </w:t>
      </w:r>
      <w:r w:rsidR="00E22B40" w:rsidRPr="0059184B">
        <w:rPr>
          <w:rFonts w:ascii="Times New Roman" w:hAnsi="Times New Roman" w:cs="Times New Roman"/>
          <w:sz w:val="24"/>
          <w:szCs w:val="24"/>
        </w:rPr>
        <w:t>reduce</w:t>
      </w:r>
      <w:r w:rsidR="003B1F66" w:rsidRPr="0059184B">
        <w:rPr>
          <w:rFonts w:ascii="Times New Roman" w:hAnsi="Times New Roman" w:cs="Times New Roman"/>
          <w:sz w:val="24"/>
          <w:szCs w:val="24"/>
        </w:rPr>
        <w:t xml:space="preserve"> </w:t>
      </w:r>
      <w:r w:rsidR="0098312F" w:rsidRPr="0059184B">
        <w:rPr>
          <w:rFonts w:ascii="Times New Roman" w:hAnsi="Times New Roman" w:cs="Times New Roman"/>
          <w:sz w:val="24"/>
          <w:szCs w:val="24"/>
        </w:rPr>
        <w:t xml:space="preserve">banks’ </w:t>
      </w:r>
      <w:r w:rsidR="003B1F66" w:rsidRPr="0059184B">
        <w:rPr>
          <w:rFonts w:ascii="Times New Roman" w:hAnsi="Times New Roman" w:cs="Times New Roman"/>
          <w:sz w:val="24"/>
          <w:szCs w:val="24"/>
        </w:rPr>
        <w:t>overall risk (</w:t>
      </w:r>
      <w:r w:rsidR="001F4EA2" w:rsidRPr="0059184B">
        <w:rPr>
          <w:rFonts w:ascii="Times New Roman" w:eastAsia="宋体" w:hAnsi="Times New Roman" w:cs="Times New Roman"/>
          <w:kern w:val="0"/>
          <w:sz w:val="24"/>
          <w:szCs w:val="24"/>
        </w:rPr>
        <w:t xml:space="preserve">Koppenhaver, 1985; </w:t>
      </w:r>
      <w:proofErr w:type="spellStart"/>
      <w:r w:rsidR="003B1F66" w:rsidRPr="0059184B">
        <w:rPr>
          <w:rFonts w:ascii="Times New Roman" w:hAnsi="Times New Roman" w:cs="Times New Roman"/>
          <w:sz w:val="24"/>
          <w:szCs w:val="24"/>
        </w:rPr>
        <w:t>Froot</w:t>
      </w:r>
      <w:proofErr w:type="spellEnd"/>
      <w:r w:rsidR="003B1F66" w:rsidRPr="0059184B">
        <w:rPr>
          <w:rFonts w:ascii="Times New Roman" w:hAnsi="Times New Roman" w:cs="Times New Roman"/>
          <w:sz w:val="24"/>
          <w:szCs w:val="24"/>
        </w:rPr>
        <w:t xml:space="preserve">, </w:t>
      </w:r>
      <w:proofErr w:type="spellStart"/>
      <w:r w:rsidR="003B1F66" w:rsidRPr="0059184B">
        <w:rPr>
          <w:rFonts w:ascii="Times New Roman" w:hAnsi="Times New Roman" w:cs="Times New Roman"/>
          <w:sz w:val="24"/>
          <w:szCs w:val="24"/>
        </w:rPr>
        <w:t>Scharfstein</w:t>
      </w:r>
      <w:proofErr w:type="spellEnd"/>
      <w:r w:rsidR="003B1F66" w:rsidRPr="0059184B">
        <w:rPr>
          <w:rFonts w:ascii="Times New Roman" w:hAnsi="Times New Roman" w:cs="Times New Roman"/>
          <w:sz w:val="24"/>
          <w:szCs w:val="24"/>
        </w:rPr>
        <w:t xml:space="preserve"> and Stein, 1993; </w:t>
      </w:r>
      <w:proofErr w:type="spellStart"/>
      <w:r w:rsidR="003B1F66" w:rsidRPr="0059184B">
        <w:rPr>
          <w:rFonts w:ascii="Times New Roman" w:eastAsia="宋体" w:hAnsi="Times New Roman" w:cs="Times New Roman"/>
          <w:kern w:val="0"/>
          <w:sz w:val="24"/>
          <w:szCs w:val="24"/>
        </w:rPr>
        <w:t>Duffee</w:t>
      </w:r>
      <w:proofErr w:type="spellEnd"/>
      <w:r w:rsidR="003B1F66" w:rsidRPr="0059184B">
        <w:rPr>
          <w:rFonts w:ascii="Times New Roman" w:eastAsia="宋体" w:hAnsi="Times New Roman" w:cs="Times New Roman"/>
          <w:kern w:val="0"/>
          <w:sz w:val="24"/>
          <w:szCs w:val="24"/>
        </w:rPr>
        <w:t xml:space="preserve"> and Zhou, 2001; </w:t>
      </w:r>
      <w:r w:rsidR="001F4EA2" w:rsidRPr="0059184B">
        <w:rPr>
          <w:rFonts w:ascii="Times New Roman" w:eastAsia="宋体" w:hAnsi="Times New Roman" w:cs="Times New Roman"/>
          <w:kern w:val="0"/>
          <w:sz w:val="24"/>
          <w:szCs w:val="24"/>
        </w:rPr>
        <w:t xml:space="preserve">Jaffe, 2003; </w:t>
      </w:r>
      <w:proofErr w:type="spellStart"/>
      <w:r w:rsidR="003B1F66" w:rsidRPr="0059184B">
        <w:rPr>
          <w:rFonts w:ascii="Times New Roman" w:eastAsia="宋体" w:hAnsi="Times New Roman" w:cs="Times New Roman"/>
          <w:kern w:val="0"/>
          <w:sz w:val="24"/>
          <w:szCs w:val="24"/>
        </w:rPr>
        <w:t>Norden</w:t>
      </w:r>
      <w:proofErr w:type="spellEnd"/>
      <w:r w:rsidR="003B1F66" w:rsidRPr="0059184B">
        <w:rPr>
          <w:rFonts w:ascii="Times New Roman" w:eastAsia="宋体" w:hAnsi="Times New Roman" w:cs="Times New Roman"/>
          <w:kern w:val="0"/>
          <w:sz w:val="24"/>
          <w:szCs w:val="24"/>
        </w:rPr>
        <w:t xml:space="preserve">, Silva </w:t>
      </w:r>
      <w:proofErr w:type="spellStart"/>
      <w:r w:rsidR="003B1F66" w:rsidRPr="0059184B">
        <w:rPr>
          <w:rFonts w:ascii="Times New Roman" w:eastAsia="宋体" w:hAnsi="Times New Roman" w:cs="Times New Roman"/>
          <w:kern w:val="0"/>
          <w:sz w:val="24"/>
          <w:szCs w:val="24"/>
        </w:rPr>
        <w:t>Buston</w:t>
      </w:r>
      <w:proofErr w:type="spellEnd"/>
      <w:r w:rsidR="003B1F66" w:rsidRPr="0059184B">
        <w:rPr>
          <w:rFonts w:ascii="Times New Roman" w:eastAsia="宋体" w:hAnsi="Times New Roman" w:cs="Times New Roman"/>
          <w:kern w:val="0"/>
          <w:sz w:val="24"/>
          <w:szCs w:val="24"/>
        </w:rPr>
        <w:t>, and Wagner, 2014</w:t>
      </w:r>
      <w:r w:rsidR="0014729B" w:rsidRPr="0059184B">
        <w:rPr>
          <w:rFonts w:ascii="Times New Roman" w:eastAsia="宋体" w:hAnsi="Times New Roman" w:cs="Times New Roman"/>
          <w:kern w:val="0"/>
          <w:sz w:val="24"/>
          <w:szCs w:val="24"/>
        </w:rPr>
        <w:t xml:space="preserve">; Bartram, 2017; </w:t>
      </w:r>
      <w:r w:rsidR="00EE63C2" w:rsidRPr="0059184B">
        <w:rPr>
          <w:rFonts w:ascii="Times New Roman" w:eastAsia="宋体" w:hAnsi="Times New Roman" w:cs="Times New Roman"/>
          <w:kern w:val="0"/>
          <w:sz w:val="24"/>
          <w:szCs w:val="24"/>
        </w:rPr>
        <w:t xml:space="preserve">Deng, </w:t>
      </w:r>
      <w:proofErr w:type="spellStart"/>
      <w:r w:rsidR="00EE63C2" w:rsidRPr="0059184B">
        <w:rPr>
          <w:rFonts w:ascii="Times New Roman" w:eastAsia="宋体" w:hAnsi="Times New Roman" w:cs="Times New Roman"/>
          <w:kern w:val="0"/>
          <w:sz w:val="24"/>
          <w:szCs w:val="24"/>
        </w:rPr>
        <w:t>Elyasiani</w:t>
      </w:r>
      <w:proofErr w:type="spellEnd"/>
      <w:r w:rsidR="00EE63C2" w:rsidRPr="0059184B">
        <w:rPr>
          <w:rFonts w:ascii="Times New Roman" w:eastAsia="宋体" w:hAnsi="Times New Roman" w:cs="Times New Roman"/>
          <w:kern w:val="0"/>
          <w:sz w:val="24"/>
          <w:szCs w:val="24"/>
        </w:rPr>
        <w:t xml:space="preserve"> and Mao, 2017; Huang, </w:t>
      </w:r>
      <w:proofErr w:type="spellStart"/>
      <w:r w:rsidR="00EE63C2" w:rsidRPr="0059184B">
        <w:rPr>
          <w:rFonts w:ascii="Times New Roman" w:eastAsia="宋体" w:hAnsi="Times New Roman" w:cs="Times New Roman"/>
          <w:kern w:val="0"/>
          <w:sz w:val="24"/>
          <w:szCs w:val="24"/>
        </w:rPr>
        <w:t>Kabir</w:t>
      </w:r>
      <w:proofErr w:type="spellEnd"/>
      <w:r w:rsidR="00EE63C2" w:rsidRPr="0059184B">
        <w:rPr>
          <w:rFonts w:ascii="Times New Roman" w:eastAsia="宋体" w:hAnsi="Times New Roman" w:cs="Times New Roman"/>
          <w:kern w:val="0"/>
          <w:sz w:val="24"/>
          <w:szCs w:val="24"/>
        </w:rPr>
        <w:t xml:space="preserve"> and Zhang, 2017</w:t>
      </w:r>
      <w:r w:rsidR="003B1F66" w:rsidRPr="0059184B">
        <w:rPr>
          <w:rFonts w:ascii="Times New Roman" w:eastAsia="宋体" w:hAnsi="Times New Roman" w:cs="Times New Roman"/>
          <w:kern w:val="0"/>
          <w:sz w:val="24"/>
          <w:szCs w:val="24"/>
        </w:rPr>
        <w:t xml:space="preserve">). </w:t>
      </w:r>
    </w:p>
    <w:p w:rsidR="007115E6" w:rsidRPr="0059184B" w:rsidRDefault="002661B6" w:rsidP="0087140C">
      <w:pPr>
        <w:spacing w:line="360" w:lineRule="auto"/>
        <w:rPr>
          <w:rFonts w:ascii="Times New Roman" w:eastAsia="宋体" w:hAnsi="Times New Roman" w:cs="Times New Roman"/>
          <w:kern w:val="0"/>
          <w:sz w:val="24"/>
          <w:szCs w:val="24"/>
        </w:rPr>
      </w:pPr>
      <w:r w:rsidRPr="0059184B">
        <w:rPr>
          <w:rFonts w:ascii="Times New Roman" w:eastAsia="宋体" w:hAnsi="Times New Roman" w:cs="Times New Roman"/>
          <w:kern w:val="0"/>
          <w:sz w:val="24"/>
          <w:szCs w:val="24"/>
        </w:rPr>
        <w:t>P</w:t>
      </w:r>
      <w:r w:rsidR="00E22B40" w:rsidRPr="0059184B">
        <w:rPr>
          <w:rFonts w:ascii="Times New Roman" w:eastAsia="宋体" w:hAnsi="Times New Roman" w:cs="Times New Roman"/>
          <w:kern w:val="0"/>
          <w:sz w:val="24"/>
          <w:szCs w:val="24"/>
        </w:rPr>
        <w:t>revious studies</w:t>
      </w:r>
      <w:r w:rsidR="004F5DE3" w:rsidRPr="0059184B">
        <w:rPr>
          <w:rFonts w:ascii="Times New Roman" w:eastAsia="宋体" w:hAnsi="Times New Roman" w:cs="Times New Roman"/>
          <w:kern w:val="0"/>
          <w:sz w:val="24"/>
          <w:szCs w:val="24"/>
        </w:rPr>
        <w:t>, however,</w:t>
      </w:r>
      <w:r w:rsidR="00E22B40" w:rsidRPr="0059184B">
        <w:rPr>
          <w:rFonts w:ascii="Times New Roman" w:eastAsia="宋体" w:hAnsi="Times New Roman" w:cs="Times New Roman"/>
          <w:kern w:val="0"/>
          <w:sz w:val="24"/>
          <w:szCs w:val="24"/>
        </w:rPr>
        <w:t xml:space="preserve"> show that banks are more likely to use financial derivatives for </w:t>
      </w:r>
      <w:r w:rsidR="00E22B40" w:rsidRPr="0059184B">
        <w:rPr>
          <w:rFonts w:ascii="Times New Roman" w:eastAsia="宋体" w:hAnsi="Times New Roman" w:cs="Times New Roman"/>
          <w:kern w:val="0"/>
          <w:sz w:val="24"/>
          <w:szCs w:val="24"/>
        </w:rPr>
        <w:lastRenderedPageBreak/>
        <w:t>trading motives rather than for hedging purposes (</w:t>
      </w:r>
      <w:proofErr w:type="spellStart"/>
      <w:r w:rsidR="00E22B40" w:rsidRPr="0059184B">
        <w:rPr>
          <w:rFonts w:ascii="Times New Roman" w:hAnsi="Times New Roman" w:cs="Times New Roman" w:hint="eastAsia"/>
          <w:kern w:val="0"/>
          <w:sz w:val="24"/>
          <w:szCs w:val="24"/>
        </w:rPr>
        <w:t>Stulz</w:t>
      </w:r>
      <w:proofErr w:type="spellEnd"/>
      <w:r w:rsidR="00E22B40" w:rsidRPr="0059184B">
        <w:rPr>
          <w:rFonts w:ascii="Times New Roman" w:hAnsi="Times New Roman" w:cs="Times New Roman" w:hint="eastAsia"/>
          <w:kern w:val="0"/>
          <w:sz w:val="24"/>
          <w:szCs w:val="24"/>
        </w:rPr>
        <w:t xml:space="preserve"> and </w:t>
      </w:r>
      <w:proofErr w:type="spellStart"/>
      <w:r w:rsidR="00E22B40" w:rsidRPr="0059184B">
        <w:rPr>
          <w:rFonts w:ascii="Times New Roman" w:hAnsi="Times New Roman" w:cs="Times New Roman" w:hint="eastAsia"/>
          <w:kern w:val="0"/>
          <w:sz w:val="24"/>
          <w:szCs w:val="24"/>
        </w:rPr>
        <w:t>Willamson</w:t>
      </w:r>
      <w:proofErr w:type="spellEnd"/>
      <w:r w:rsidR="00E22B40" w:rsidRPr="0059184B">
        <w:rPr>
          <w:rFonts w:ascii="Times New Roman" w:hAnsi="Times New Roman" w:cs="Times New Roman"/>
          <w:kern w:val="0"/>
          <w:sz w:val="24"/>
          <w:szCs w:val="24"/>
        </w:rPr>
        <w:t xml:space="preserve">, </w:t>
      </w:r>
      <w:r w:rsidR="00E22B40" w:rsidRPr="0059184B">
        <w:rPr>
          <w:rFonts w:ascii="Times New Roman" w:hAnsi="Times New Roman" w:cs="Times New Roman" w:hint="eastAsia"/>
          <w:kern w:val="0"/>
          <w:sz w:val="24"/>
          <w:szCs w:val="24"/>
        </w:rPr>
        <w:t>2005</w:t>
      </w:r>
      <w:r w:rsidR="00E22B40" w:rsidRPr="0059184B">
        <w:rPr>
          <w:rFonts w:ascii="Times New Roman" w:hAnsi="Times New Roman" w:cs="Times New Roman"/>
          <w:kern w:val="0"/>
          <w:sz w:val="24"/>
          <w:szCs w:val="24"/>
        </w:rPr>
        <w:t xml:space="preserve">; Li and </w:t>
      </w:r>
      <w:proofErr w:type="spellStart"/>
      <w:r w:rsidR="00E22B40" w:rsidRPr="0059184B">
        <w:rPr>
          <w:rFonts w:ascii="Times New Roman" w:hAnsi="Times New Roman" w:cs="Times New Roman"/>
          <w:kern w:val="0"/>
          <w:sz w:val="24"/>
          <w:szCs w:val="24"/>
        </w:rPr>
        <w:t>Marinč</w:t>
      </w:r>
      <w:proofErr w:type="spellEnd"/>
      <w:r w:rsidR="00E22B40" w:rsidRPr="0059184B">
        <w:rPr>
          <w:rFonts w:ascii="Times New Roman" w:hAnsi="Times New Roman" w:cs="Times New Roman"/>
          <w:kern w:val="0"/>
          <w:sz w:val="24"/>
          <w:szCs w:val="24"/>
        </w:rPr>
        <w:t>, 2014</w:t>
      </w:r>
      <w:r w:rsidR="00E22B40" w:rsidRPr="0059184B">
        <w:rPr>
          <w:rFonts w:ascii="Times New Roman" w:eastAsia="宋体" w:hAnsi="Times New Roman" w:cs="Times New Roman"/>
          <w:kern w:val="0"/>
          <w:sz w:val="24"/>
          <w:szCs w:val="24"/>
        </w:rPr>
        <w:t>)</w:t>
      </w:r>
      <w:r w:rsidR="00835461" w:rsidRPr="0059184B">
        <w:rPr>
          <w:rFonts w:ascii="Times New Roman" w:eastAsia="宋体" w:hAnsi="Times New Roman" w:cs="Times New Roman"/>
          <w:kern w:val="0"/>
          <w:sz w:val="24"/>
          <w:szCs w:val="24"/>
        </w:rPr>
        <w:t>. T</w:t>
      </w:r>
      <w:r w:rsidR="00E22B40" w:rsidRPr="0059184B">
        <w:rPr>
          <w:rFonts w:ascii="Times New Roman" w:eastAsia="宋体" w:hAnsi="Times New Roman" w:cs="Times New Roman"/>
          <w:kern w:val="0"/>
          <w:sz w:val="24"/>
          <w:szCs w:val="24"/>
        </w:rPr>
        <w:t>his tendency makes them more vulnerable to</w:t>
      </w:r>
      <w:r w:rsidRPr="0059184B">
        <w:rPr>
          <w:rFonts w:ascii="Times New Roman" w:eastAsia="宋体" w:hAnsi="Times New Roman" w:cs="Times New Roman"/>
          <w:kern w:val="0"/>
          <w:sz w:val="24"/>
          <w:szCs w:val="24"/>
        </w:rPr>
        <w:t xml:space="preserve"> financial distress</w:t>
      </w:r>
      <w:r w:rsidR="00E22B40" w:rsidRPr="0059184B">
        <w:rPr>
          <w:rFonts w:ascii="Times New Roman" w:eastAsia="宋体" w:hAnsi="Times New Roman" w:cs="Times New Roman"/>
          <w:kern w:val="0"/>
          <w:sz w:val="24"/>
          <w:szCs w:val="24"/>
        </w:rPr>
        <w:t>.</w:t>
      </w:r>
      <w:r w:rsidRPr="0059184B">
        <w:rPr>
          <w:rFonts w:ascii="Times New Roman" w:eastAsia="宋体" w:hAnsi="Times New Roman" w:cs="Times New Roman"/>
          <w:kern w:val="0"/>
          <w:sz w:val="24"/>
          <w:szCs w:val="24"/>
        </w:rPr>
        <w:t xml:space="preserve"> </w:t>
      </w:r>
      <w:r w:rsidR="00835461" w:rsidRPr="0059184B">
        <w:rPr>
          <w:rFonts w:ascii="Times New Roman" w:eastAsia="宋体" w:hAnsi="Times New Roman" w:cs="Times New Roman"/>
          <w:kern w:val="0"/>
          <w:sz w:val="24"/>
          <w:szCs w:val="24"/>
        </w:rPr>
        <w:t>Without proper oversight, derivative traders may take a position which is substantially larger than their risk absorbing capacity (</w:t>
      </w:r>
      <w:proofErr w:type="spellStart"/>
      <w:r w:rsidR="00835461" w:rsidRPr="0059184B">
        <w:rPr>
          <w:rFonts w:ascii="Times New Roman" w:eastAsia="宋体" w:hAnsi="Times New Roman" w:cs="Times New Roman"/>
          <w:kern w:val="0"/>
          <w:sz w:val="24"/>
          <w:szCs w:val="24"/>
        </w:rPr>
        <w:t>Biais</w:t>
      </w:r>
      <w:proofErr w:type="spellEnd"/>
      <w:r w:rsidR="00835461" w:rsidRPr="0059184B">
        <w:rPr>
          <w:rFonts w:ascii="Times New Roman" w:eastAsia="宋体" w:hAnsi="Times New Roman" w:cs="Times New Roman"/>
          <w:kern w:val="0"/>
          <w:sz w:val="24"/>
          <w:szCs w:val="24"/>
        </w:rPr>
        <w:t xml:space="preserve">, </w:t>
      </w:r>
      <w:proofErr w:type="spellStart"/>
      <w:r w:rsidR="00835461" w:rsidRPr="0059184B">
        <w:rPr>
          <w:rFonts w:ascii="Times New Roman" w:eastAsia="宋体" w:hAnsi="Times New Roman" w:cs="Times New Roman"/>
          <w:kern w:val="0"/>
          <w:sz w:val="24"/>
          <w:szCs w:val="24"/>
        </w:rPr>
        <w:t>Heider</w:t>
      </w:r>
      <w:proofErr w:type="spellEnd"/>
      <w:r w:rsidR="00835461" w:rsidRPr="0059184B">
        <w:rPr>
          <w:rFonts w:ascii="Times New Roman" w:eastAsia="宋体" w:hAnsi="Times New Roman" w:cs="Times New Roman"/>
          <w:kern w:val="0"/>
          <w:sz w:val="24"/>
          <w:szCs w:val="24"/>
        </w:rPr>
        <w:t xml:space="preserve">, and </w:t>
      </w:r>
      <w:proofErr w:type="spellStart"/>
      <w:r w:rsidR="00835461" w:rsidRPr="0059184B">
        <w:rPr>
          <w:rFonts w:ascii="Times New Roman" w:eastAsia="宋体" w:hAnsi="Times New Roman" w:cs="Times New Roman"/>
          <w:kern w:val="0"/>
          <w:sz w:val="24"/>
          <w:szCs w:val="24"/>
        </w:rPr>
        <w:t>Hoerova</w:t>
      </w:r>
      <w:proofErr w:type="spellEnd"/>
      <w:r w:rsidR="00835461" w:rsidRPr="0059184B">
        <w:rPr>
          <w:rFonts w:ascii="Times New Roman" w:eastAsia="宋体" w:hAnsi="Times New Roman" w:cs="Times New Roman"/>
          <w:kern w:val="0"/>
          <w:sz w:val="24"/>
          <w:szCs w:val="24"/>
        </w:rPr>
        <w:t xml:space="preserve">, 2012). </w:t>
      </w:r>
      <w:r w:rsidR="00E22B40" w:rsidRPr="0059184B">
        <w:rPr>
          <w:rFonts w:ascii="Times New Roman" w:eastAsia="宋体" w:hAnsi="Times New Roman" w:cs="Times New Roman"/>
          <w:kern w:val="0"/>
          <w:sz w:val="24"/>
          <w:szCs w:val="24"/>
        </w:rPr>
        <w:t>Derivatives used for regulatory arbitrage to decrease capital requirements may</w:t>
      </w:r>
      <w:r w:rsidR="00835461" w:rsidRPr="0059184B">
        <w:rPr>
          <w:rFonts w:ascii="Times New Roman" w:eastAsia="宋体" w:hAnsi="Times New Roman" w:cs="Times New Roman"/>
          <w:kern w:val="0"/>
          <w:sz w:val="24"/>
          <w:szCs w:val="24"/>
        </w:rPr>
        <w:t xml:space="preserve"> also</w:t>
      </w:r>
      <w:r w:rsidR="00E22B40" w:rsidRPr="0059184B">
        <w:rPr>
          <w:rFonts w:ascii="Times New Roman" w:eastAsia="宋体" w:hAnsi="Times New Roman" w:cs="Times New Roman"/>
          <w:kern w:val="0"/>
          <w:sz w:val="24"/>
          <w:szCs w:val="24"/>
        </w:rPr>
        <w:t xml:space="preserve"> lead to excessive risk taking (</w:t>
      </w:r>
      <w:proofErr w:type="spellStart"/>
      <w:r w:rsidR="00E22B40" w:rsidRPr="0059184B">
        <w:rPr>
          <w:rFonts w:ascii="Times New Roman" w:eastAsia="宋体" w:hAnsi="Times New Roman" w:cs="Times New Roman"/>
          <w:kern w:val="0"/>
          <w:sz w:val="24"/>
          <w:szCs w:val="24"/>
        </w:rPr>
        <w:t>Yorulmazer</w:t>
      </w:r>
      <w:proofErr w:type="spellEnd"/>
      <w:r w:rsidR="00E22B40" w:rsidRPr="0059184B">
        <w:rPr>
          <w:rFonts w:ascii="Times New Roman" w:eastAsia="宋体" w:hAnsi="Times New Roman" w:cs="Times New Roman"/>
          <w:kern w:val="0"/>
          <w:sz w:val="24"/>
          <w:szCs w:val="24"/>
        </w:rPr>
        <w:t xml:space="preserve">, 2013). </w:t>
      </w:r>
      <w:r w:rsidR="00C735FC" w:rsidRPr="0059184B">
        <w:rPr>
          <w:rFonts w:ascii="Times New Roman" w:hAnsi="Times New Roman" w:cs="Times New Roman"/>
          <w:sz w:val="24"/>
          <w:szCs w:val="24"/>
        </w:rPr>
        <w:t xml:space="preserve">Li and </w:t>
      </w:r>
      <w:proofErr w:type="spellStart"/>
      <w:r w:rsidR="00C735FC" w:rsidRPr="0059184B">
        <w:rPr>
          <w:rFonts w:ascii="Times New Roman" w:hAnsi="Times New Roman" w:cs="Times New Roman"/>
          <w:sz w:val="24"/>
          <w:szCs w:val="24"/>
        </w:rPr>
        <w:t>Marinč</w:t>
      </w:r>
      <w:proofErr w:type="spellEnd"/>
      <w:r w:rsidR="00C735FC" w:rsidRPr="0059184B">
        <w:rPr>
          <w:rFonts w:ascii="Times New Roman" w:hAnsi="Times New Roman" w:cs="Times New Roman"/>
          <w:sz w:val="24"/>
          <w:szCs w:val="24"/>
        </w:rPr>
        <w:t xml:space="preserve"> (2014) find supportive evidences that derivative</w:t>
      </w:r>
      <w:r w:rsidR="004271D9" w:rsidRPr="0059184B">
        <w:rPr>
          <w:rFonts w:ascii="Times New Roman" w:hAnsi="Times New Roman" w:cs="Times New Roman"/>
          <w:sz w:val="24"/>
          <w:szCs w:val="24"/>
        </w:rPr>
        <w:t xml:space="preserve"> holdings</w:t>
      </w:r>
      <w:r w:rsidR="00C735FC" w:rsidRPr="0059184B">
        <w:rPr>
          <w:rFonts w:ascii="Times New Roman" w:hAnsi="Times New Roman" w:cs="Times New Roman"/>
          <w:sz w:val="24"/>
          <w:szCs w:val="24"/>
        </w:rPr>
        <w:t xml:space="preserve"> for speculation</w:t>
      </w:r>
      <w:r w:rsidR="004271D9" w:rsidRPr="0059184B">
        <w:rPr>
          <w:rFonts w:ascii="Times New Roman" w:hAnsi="Times New Roman" w:cs="Times New Roman"/>
          <w:sz w:val="24"/>
          <w:szCs w:val="24"/>
        </w:rPr>
        <w:t xml:space="preserve"> </w:t>
      </w:r>
      <w:r w:rsidR="00C735FC" w:rsidRPr="0059184B">
        <w:rPr>
          <w:rFonts w:ascii="Times New Roman" w:hAnsi="Times New Roman" w:cs="Times New Roman"/>
          <w:sz w:val="24"/>
          <w:szCs w:val="24"/>
        </w:rPr>
        <w:t xml:space="preserve">increases banks’ risk exposure. </w:t>
      </w:r>
      <w:r w:rsidR="001626EC" w:rsidRPr="0059184B">
        <w:rPr>
          <w:rFonts w:ascii="Times New Roman" w:eastAsia="宋体" w:hAnsi="Times New Roman" w:cs="Times New Roman"/>
          <w:kern w:val="0"/>
          <w:sz w:val="24"/>
          <w:szCs w:val="24"/>
        </w:rPr>
        <w:t>In light of the above literature, we propose the following hypothesis:</w:t>
      </w:r>
    </w:p>
    <w:p w:rsidR="001626EC" w:rsidRPr="0059184B" w:rsidRDefault="00E82080" w:rsidP="001626EC">
      <w:pPr>
        <w:autoSpaceDE w:val="0"/>
        <w:autoSpaceDN w:val="0"/>
        <w:adjustRightInd w:val="0"/>
        <w:spacing w:line="360" w:lineRule="auto"/>
        <w:rPr>
          <w:rFonts w:ascii="Times New Roman" w:hAnsi="Times New Roman" w:cs="Times New Roman"/>
          <w:b/>
          <w:i/>
          <w:kern w:val="0"/>
          <w:sz w:val="24"/>
          <w:szCs w:val="24"/>
        </w:rPr>
      </w:pPr>
      <w:r w:rsidRPr="0059184B">
        <w:rPr>
          <w:rFonts w:ascii="Times New Roman" w:hAnsi="Times New Roman" w:cs="Times New Roman"/>
          <w:b/>
          <w:kern w:val="0"/>
          <w:sz w:val="24"/>
          <w:szCs w:val="24"/>
        </w:rPr>
        <w:t>H2</w:t>
      </w:r>
      <w:r w:rsidR="004E3CCF" w:rsidRPr="0059184B">
        <w:rPr>
          <w:rFonts w:ascii="Times New Roman" w:hAnsi="Times New Roman" w:cs="Times New Roman"/>
          <w:b/>
          <w:kern w:val="0"/>
          <w:sz w:val="24"/>
          <w:szCs w:val="24"/>
        </w:rPr>
        <w:t>a</w:t>
      </w:r>
      <w:r w:rsidR="001626EC" w:rsidRPr="0059184B">
        <w:rPr>
          <w:rFonts w:ascii="Times New Roman" w:hAnsi="Times New Roman" w:cs="Times New Roman"/>
          <w:b/>
          <w:kern w:val="0"/>
          <w:sz w:val="24"/>
          <w:szCs w:val="24"/>
        </w:rPr>
        <w:t xml:space="preserve">: </w:t>
      </w:r>
      <w:r w:rsidR="007D4612" w:rsidRPr="0059184B">
        <w:rPr>
          <w:rFonts w:ascii="Times New Roman" w:hAnsi="Times New Roman" w:cs="Times New Roman"/>
          <w:b/>
          <w:i/>
          <w:kern w:val="0"/>
          <w:sz w:val="24"/>
          <w:szCs w:val="24"/>
        </w:rPr>
        <w:t>Interest rate d</w:t>
      </w:r>
      <w:r w:rsidR="001626EC" w:rsidRPr="0059184B">
        <w:rPr>
          <w:rFonts w:ascii="Times New Roman" w:hAnsi="Times New Roman" w:cs="Times New Roman"/>
          <w:b/>
          <w:i/>
          <w:kern w:val="0"/>
          <w:sz w:val="24"/>
          <w:szCs w:val="24"/>
        </w:rPr>
        <w:t xml:space="preserve">erivatives used for hedging decreases banks’ risk while </w:t>
      </w:r>
      <w:r w:rsidR="004271D9" w:rsidRPr="0059184B">
        <w:rPr>
          <w:rFonts w:ascii="Times New Roman" w:hAnsi="Times New Roman" w:cs="Times New Roman"/>
          <w:b/>
          <w:i/>
          <w:kern w:val="0"/>
          <w:sz w:val="24"/>
          <w:szCs w:val="24"/>
        </w:rPr>
        <w:t>i</w:t>
      </w:r>
      <w:r w:rsidR="007D4612" w:rsidRPr="0059184B">
        <w:rPr>
          <w:rFonts w:ascii="Times New Roman" w:hAnsi="Times New Roman" w:cs="Times New Roman"/>
          <w:b/>
          <w:i/>
          <w:kern w:val="0"/>
          <w:sz w:val="24"/>
          <w:szCs w:val="24"/>
        </w:rPr>
        <w:t xml:space="preserve">nterest rate </w:t>
      </w:r>
      <w:r w:rsidR="001626EC" w:rsidRPr="0059184B">
        <w:rPr>
          <w:rFonts w:ascii="Times New Roman" w:hAnsi="Times New Roman" w:cs="Times New Roman"/>
          <w:b/>
          <w:i/>
          <w:kern w:val="0"/>
          <w:sz w:val="24"/>
          <w:szCs w:val="24"/>
        </w:rPr>
        <w:t>derivatives used for trading increases banks’ risk</w:t>
      </w:r>
    </w:p>
    <w:p w:rsidR="001626EC" w:rsidRPr="0059184B" w:rsidRDefault="001626EC" w:rsidP="001626EC">
      <w:pPr>
        <w:autoSpaceDE w:val="0"/>
        <w:autoSpaceDN w:val="0"/>
        <w:adjustRightInd w:val="0"/>
        <w:spacing w:line="360" w:lineRule="auto"/>
        <w:rPr>
          <w:rFonts w:ascii="Times New Roman" w:hAnsi="Times New Roman" w:cs="Times New Roman"/>
          <w:i/>
          <w:kern w:val="0"/>
          <w:sz w:val="24"/>
          <w:szCs w:val="24"/>
        </w:rPr>
      </w:pPr>
    </w:p>
    <w:p w:rsidR="00E22B40" w:rsidRPr="0059184B" w:rsidRDefault="007D4612" w:rsidP="003B1F66">
      <w:pPr>
        <w:autoSpaceDE w:val="0"/>
        <w:autoSpaceDN w:val="0"/>
        <w:adjustRightInd w:val="0"/>
        <w:spacing w:line="360" w:lineRule="auto"/>
        <w:rPr>
          <w:rFonts w:ascii="Times New Roman" w:eastAsia="宋体" w:hAnsi="Times New Roman" w:cs="Times New Roman"/>
          <w:kern w:val="0"/>
          <w:sz w:val="24"/>
          <w:szCs w:val="24"/>
        </w:rPr>
      </w:pPr>
      <w:r w:rsidRPr="0059184B">
        <w:rPr>
          <w:rFonts w:ascii="Times New Roman" w:eastAsia="AdvGulliv-R" w:hAnsi="Times New Roman" w:cs="Times New Roman"/>
          <w:kern w:val="0"/>
          <w:sz w:val="24"/>
          <w:szCs w:val="24"/>
        </w:rPr>
        <w:t>C</w:t>
      </w:r>
      <w:r w:rsidR="001626EC" w:rsidRPr="0059184B">
        <w:rPr>
          <w:rFonts w:ascii="Times New Roman" w:eastAsia="AdvGulliv-R" w:hAnsi="Times New Roman" w:cs="Times New Roman"/>
          <w:kern w:val="0"/>
          <w:sz w:val="24"/>
          <w:szCs w:val="24"/>
        </w:rPr>
        <w:t xml:space="preserve">redit derivatives </w:t>
      </w:r>
      <w:r w:rsidR="00A372AB" w:rsidRPr="0059184B">
        <w:rPr>
          <w:rFonts w:ascii="Times New Roman" w:eastAsia="AdvGulliv-R" w:hAnsi="Times New Roman" w:cs="Times New Roman"/>
          <w:kern w:val="0"/>
          <w:sz w:val="24"/>
          <w:szCs w:val="24"/>
        </w:rPr>
        <w:t>such as CDSs and CLOs have been widely used among financial institutions</w:t>
      </w:r>
      <w:r w:rsidR="002A2F19" w:rsidRPr="0059184B">
        <w:rPr>
          <w:rFonts w:ascii="Times New Roman" w:eastAsia="AdvGulliv-R" w:hAnsi="Times New Roman" w:cs="Times New Roman"/>
          <w:kern w:val="0"/>
          <w:sz w:val="24"/>
          <w:szCs w:val="24"/>
        </w:rPr>
        <w:t xml:space="preserve"> to transfer </w:t>
      </w:r>
      <w:r w:rsidRPr="0059184B">
        <w:rPr>
          <w:rFonts w:ascii="Times New Roman" w:eastAsia="AdvGulliv-R" w:hAnsi="Times New Roman" w:cs="Times New Roman"/>
          <w:kern w:val="0"/>
          <w:sz w:val="24"/>
          <w:szCs w:val="24"/>
        </w:rPr>
        <w:t xml:space="preserve">counterparty credit </w:t>
      </w:r>
      <w:r w:rsidR="002A2F19" w:rsidRPr="0059184B">
        <w:rPr>
          <w:rFonts w:ascii="Times New Roman" w:eastAsia="AdvGulliv-R" w:hAnsi="Times New Roman" w:cs="Times New Roman"/>
          <w:kern w:val="0"/>
          <w:sz w:val="24"/>
          <w:szCs w:val="24"/>
        </w:rPr>
        <w:t>risks</w:t>
      </w:r>
      <w:r w:rsidR="00A372AB" w:rsidRPr="0059184B">
        <w:rPr>
          <w:rFonts w:ascii="Times New Roman" w:eastAsia="AdvGulliv-R" w:hAnsi="Times New Roman" w:cs="Times New Roman"/>
          <w:kern w:val="0"/>
          <w:sz w:val="24"/>
          <w:szCs w:val="24"/>
        </w:rPr>
        <w:t xml:space="preserve">. </w:t>
      </w:r>
      <w:r w:rsidR="002A2F19" w:rsidRPr="0059184B">
        <w:rPr>
          <w:rFonts w:ascii="Times New Roman" w:eastAsia="AdvGulliv-R" w:hAnsi="Times New Roman" w:cs="Times New Roman"/>
          <w:kern w:val="0"/>
          <w:sz w:val="24"/>
          <w:szCs w:val="24"/>
        </w:rPr>
        <w:t>Despite being powerful hedging tools, they</w:t>
      </w:r>
      <w:r w:rsidR="006364CB" w:rsidRPr="0059184B">
        <w:rPr>
          <w:rFonts w:ascii="Times New Roman" w:eastAsia="AdvGulliv-R" w:hAnsi="Times New Roman" w:cs="Times New Roman"/>
          <w:kern w:val="0"/>
          <w:sz w:val="24"/>
          <w:szCs w:val="24"/>
        </w:rPr>
        <w:t xml:space="preserve"> are like two-</w:t>
      </w:r>
      <w:r w:rsidR="002A2F19" w:rsidRPr="0059184B">
        <w:rPr>
          <w:rFonts w:ascii="Times New Roman" w:eastAsia="AdvGulliv-R" w:hAnsi="Times New Roman" w:cs="Times New Roman"/>
          <w:kern w:val="0"/>
          <w:sz w:val="24"/>
          <w:szCs w:val="24"/>
        </w:rPr>
        <w:t xml:space="preserve">edge knifes. </w:t>
      </w:r>
      <w:r w:rsidR="00A372AB" w:rsidRPr="0059184B">
        <w:rPr>
          <w:rFonts w:ascii="Times New Roman" w:eastAsia="宋体" w:hAnsi="Times New Roman" w:cs="Times New Roman"/>
          <w:kern w:val="0"/>
          <w:sz w:val="24"/>
          <w:szCs w:val="24"/>
        </w:rPr>
        <w:t xml:space="preserve">Credit derivatives, which serve similar to an insurance policy, </w:t>
      </w:r>
      <w:r w:rsidR="002A2F19" w:rsidRPr="0059184B">
        <w:rPr>
          <w:rFonts w:ascii="Times New Roman" w:eastAsia="宋体" w:hAnsi="Times New Roman" w:cs="Times New Roman"/>
          <w:kern w:val="0"/>
          <w:sz w:val="24"/>
          <w:szCs w:val="24"/>
        </w:rPr>
        <w:t xml:space="preserve">may </w:t>
      </w:r>
      <w:r w:rsidR="00A372AB" w:rsidRPr="0059184B">
        <w:rPr>
          <w:rFonts w:ascii="Times New Roman" w:eastAsia="宋体" w:hAnsi="Times New Roman" w:cs="Times New Roman"/>
          <w:kern w:val="0"/>
          <w:sz w:val="24"/>
          <w:szCs w:val="24"/>
        </w:rPr>
        <w:t>increase moral hazards as it lowers banks’ motivations to thoroughly review loan applications and regularly monitor bank loans (</w:t>
      </w:r>
      <w:proofErr w:type="spellStart"/>
      <w:r w:rsidR="00A372AB" w:rsidRPr="0059184B">
        <w:rPr>
          <w:rFonts w:ascii="Times New Roman" w:eastAsia="宋体" w:hAnsi="Times New Roman" w:cs="Times New Roman"/>
          <w:kern w:val="0"/>
          <w:sz w:val="24"/>
          <w:szCs w:val="24"/>
        </w:rPr>
        <w:t>Parlour</w:t>
      </w:r>
      <w:proofErr w:type="spellEnd"/>
      <w:r w:rsidR="00A372AB" w:rsidRPr="0059184B">
        <w:rPr>
          <w:rFonts w:ascii="Times New Roman" w:eastAsia="宋体" w:hAnsi="Times New Roman" w:cs="Times New Roman"/>
          <w:kern w:val="0"/>
          <w:sz w:val="24"/>
          <w:szCs w:val="24"/>
        </w:rPr>
        <w:t xml:space="preserve"> and Winton, 2013). Banks</w:t>
      </w:r>
      <w:r w:rsidR="002A2F19" w:rsidRPr="0059184B">
        <w:rPr>
          <w:rFonts w:ascii="Times New Roman" w:eastAsia="宋体" w:hAnsi="Times New Roman" w:cs="Times New Roman"/>
          <w:kern w:val="0"/>
          <w:sz w:val="24"/>
          <w:szCs w:val="24"/>
        </w:rPr>
        <w:t xml:space="preserve"> which hold CDSs to hedge against potential credit loss tend to</w:t>
      </w:r>
      <w:r w:rsidR="00A372AB" w:rsidRPr="0059184B">
        <w:rPr>
          <w:rFonts w:ascii="Times New Roman" w:eastAsia="宋体" w:hAnsi="Times New Roman" w:cs="Times New Roman"/>
          <w:kern w:val="0"/>
          <w:sz w:val="24"/>
          <w:szCs w:val="24"/>
        </w:rPr>
        <w:t xml:space="preserve"> make more profits by raising loan volumes </w:t>
      </w:r>
      <w:r w:rsidRPr="0059184B">
        <w:rPr>
          <w:rFonts w:ascii="Times New Roman" w:eastAsia="宋体" w:hAnsi="Times New Roman" w:cs="Times New Roman"/>
          <w:kern w:val="0"/>
          <w:sz w:val="24"/>
          <w:szCs w:val="24"/>
        </w:rPr>
        <w:t xml:space="preserve">while taking </w:t>
      </w:r>
      <w:r w:rsidR="00A372AB" w:rsidRPr="0059184B">
        <w:rPr>
          <w:rFonts w:ascii="Times New Roman" w:eastAsia="宋体" w:hAnsi="Times New Roman" w:cs="Times New Roman"/>
          <w:kern w:val="0"/>
          <w:sz w:val="24"/>
          <w:szCs w:val="24"/>
        </w:rPr>
        <w:t xml:space="preserve">a higher degree of risk (Acharya and Naqvi, 2012; </w:t>
      </w:r>
      <w:r w:rsidR="00A372AB" w:rsidRPr="0059184B">
        <w:rPr>
          <w:rFonts w:ascii="Times New Roman" w:eastAsia="宋体" w:hAnsi="Times New Roman" w:cs="Times New Roman" w:hint="eastAsia"/>
          <w:kern w:val="0"/>
          <w:sz w:val="24"/>
          <w:szCs w:val="24"/>
        </w:rPr>
        <w:t>Shan, Tang and Yan</w:t>
      </w:r>
      <w:r w:rsidR="00A372AB" w:rsidRPr="0059184B">
        <w:rPr>
          <w:rFonts w:ascii="Times New Roman" w:eastAsia="宋体" w:hAnsi="Times New Roman" w:cs="Times New Roman"/>
          <w:kern w:val="0"/>
          <w:sz w:val="24"/>
          <w:szCs w:val="24"/>
        </w:rPr>
        <w:t xml:space="preserve">, </w:t>
      </w:r>
      <w:r w:rsidR="00A372AB" w:rsidRPr="0059184B">
        <w:rPr>
          <w:rFonts w:ascii="Times New Roman" w:eastAsia="宋体" w:hAnsi="Times New Roman" w:cs="Times New Roman" w:hint="eastAsia"/>
          <w:kern w:val="0"/>
          <w:sz w:val="24"/>
          <w:szCs w:val="24"/>
        </w:rPr>
        <w:t>2014</w:t>
      </w:r>
      <w:r w:rsidR="00A372AB" w:rsidRPr="0059184B">
        <w:rPr>
          <w:rFonts w:ascii="Times New Roman" w:eastAsia="宋体" w:hAnsi="Times New Roman" w:cs="Times New Roman"/>
          <w:kern w:val="0"/>
          <w:sz w:val="24"/>
          <w:szCs w:val="24"/>
        </w:rPr>
        <w:t xml:space="preserve">). </w:t>
      </w:r>
      <w:r w:rsidR="0039624A" w:rsidRPr="0059184B">
        <w:rPr>
          <w:rFonts w:ascii="Times New Roman" w:eastAsia="宋体" w:hAnsi="Times New Roman" w:cs="Times New Roman"/>
          <w:kern w:val="0"/>
          <w:sz w:val="24"/>
          <w:szCs w:val="24"/>
        </w:rPr>
        <w:t xml:space="preserve">According to </w:t>
      </w:r>
      <w:proofErr w:type="spellStart"/>
      <w:r w:rsidR="002A2F19" w:rsidRPr="0059184B">
        <w:rPr>
          <w:rFonts w:ascii="Times New Roman" w:hAnsi="Times New Roman" w:cs="Times New Roman"/>
          <w:kern w:val="0"/>
          <w:sz w:val="24"/>
          <w:szCs w:val="24"/>
        </w:rPr>
        <w:t>Instefjord</w:t>
      </w:r>
      <w:proofErr w:type="spellEnd"/>
      <w:r w:rsidR="002A2F19" w:rsidRPr="0059184B">
        <w:rPr>
          <w:rFonts w:ascii="Times New Roman" w:hAnsi="Times New Roman" w:cs="Times New Roman"/>
          <w:kern w:val="0"/>
          <w:sz w:val="24"/>
          <w:szCs w:val="24"/>
        </w:rPr>
        <w:t xml:space="preserve"> (</w:t>
      </w:r>
      <w:r w:rsidR="002A2F19" w:rsidRPr="0059184B">
        <w:rPr>
          <w:rFonts w:ascii="Times New Roman" w:hAnsi="Times New Roman" w:cs="Times New Roman" w:hint="eastAsia"/>
          <w:kern w:val="0"/>
          <w:sz w:val="24"/>
          <w:szCs w:val="24"/>
        </w:rPr>
        <w:t>2005</w:t>
      </w:r>
      <w:r w:rsidR="002A2F19" w:rsidRPr="0059184B">
        <w:rPr>
          <w:rFonts w:ascii="Times New Roman" w:hAnsi="Times New Roman" w:cs="Times New Roman"/>
          <w:kern w:val="0"/>
          <w:sz w:val="24"/>
          <w:szCs w:val="24"/>
        </w:rPr>
        <w:t>)</w:t>
      </w:r>
      <w:r w:rsidR="0039624A" w:rsidRPr="0059184B">
        <w:rPr>
          <w:rFonts w:ascii="Times New Roman" w:hAnsi="Times New Roman" w:cs="Times New Roman"/>
          <w:kern w:val="0"/>
          <w:sz w:val="24"/>
          <w:szCs w:val="24"/>
        </w:rPr>
        <w:t>,</w:t>
      </w:r>
      <w:r w:rsidR="0039624A" w:rsidRPr="0059184B">
        <w:rPr>
          <w:rFonts w:ascii="Times New Roman" w:eastAsia="宋体" w:hAnsi="Times New Roman" w:cs="Times New Roman"/>
          <w:kern w:val="0"/>
          <w:sz w:val="24"/>
          <w:szCs w:val="24"/>
        </w:rPr>
        <w:t xml:space="preserve"> </w:t>
      </w:r>
      <w:r w:rsidR="009F5B63" w:rsidRPr="0059184B">
        <w:rPr>
          <w:rFonts w:ascii="Times New Roman" w:eastAsia="宋体" w:hAnsi="Times New Roman" w:cs="Times New Roman"/>
          <w:kern w:val="0"/>
          <w:sz w:val="24"/>
          <w:szCs w:val="24"/>
        </w:rPr>
        <w:t>credit derivatives enhance risk sharing as well as making further acquisition of risk more attractive</w:t>
      </w:r>
      <w:r w:rsidR="0039624A" w:rsidRPr="0059184B">
        <w:rPr>
          <w:rFonts w:ascii="Times New Roman" w:eastAsia="宋体" w:hAnsi="Times New Roman" w:cs="Times New Roman"/>
          <w:kern w:val="0"/>
          <w:sz w:val="24"/>
          <w:szCs w:val="24"/>
        </w:rPr>
        <w:t>,</w:t>
      </w:r>
      <w:r w:rsidR="009F5B63" w:rsidRPr="0059184B">
        <w:rPr>
          <w:rFonts w:ascii="Times New Roman" w:eastAsia="宋体" w:hAnsi="Times New Roman" w:cs="Times New Roman"/>
          <w:kern w:val="0"/>
          <w:sz w:val="24"/>
          <w:szCs w:val="24"/>
        </w:rPr>
        <w:t xml:space="preserve"> and the latter effect m</w:t>
      </w:r>
      <w:r w:rsidR="0039624A" w:rsidRPr="0059184B">
        <w:rPr>
          <w:rFonts w:ascii="Times New Roman" w:eastAsia="宋体" w:hAnsi="Times New Roman" w:cs="Times New Roman"/>
          <w:kern w:val="0"/>
          <w:sz w:val="24"/>
          <w:szCs w:val="24"/>
        </w:rPr>
        <w:t>ay</w:t>
      </w:r>
      <w:r w:rsidR="009F5B63" w:rsidRPr="0059184B">
        <w:rPr>
          <w:rFonts w:ascii="Times New Roman" w:eastAsia="宋体" w:hAnsi="Times New Roman" w:cs="Times New Roman"/>
          <w:kern w:val="0"/>
          <w:sz w:val="24"/>
          <w:szCs w:val="24"/>
        </w:rPr>
        <w:t xml:space="preserve"> be dominant, if the price elasticity of the underlying credit markets is high</w:t>
      </w:r>
      <w:r w:rsidR="001626EC" w:rsidRPr="0059184B">
        <w:rPr>
          <w:rFonts w:ascii="Times New Roman" w:hAnsi="Times New Roman" w:cs="Times New Roman"/>
          <w:kern w:val="0"/>
          <w:sz w:val="24"/>
          <w:szCs w:val="24"/>
        </w:rPr>
        <w:t>.</w:t>
      </w:r>
      <w:r w:rsidR="001626EC" w:rsidRPr="0059184B">
        <w:rPr>
          <w:rFonts w:ascii="Times New Roman" w:eastAsia="宋体" w:hAnsi="Times New Roman" w:cs="Times New Roman"/>
          <w:kern w:val="0"/>
          <w:sz w:val="24"/>
          <w:szCs w:val="24"/>
        </w:rPr>
        <w:t xml:space="preserve"> </w:t>
      </w:r>
      <w:r w:rsidR="002A2F19" w:rsidRPr="0059184B">
        <w:rPr>
          <w:rFonts w:ascii="Times New Roman" w:eastAsia="宋体" w:hAnsi="Times New Roman" w:cs="Times New Roman"/>
          <w:kern w:val="0"/>
          <w:sz w:val="24"/>
          <w:szCs w:val="24"/>
        </w:rPr>
        <w:t>In light of the literature</w:t>
      </w:r>
      <w:r w:rsidRPr="0059184B">
        <w:rPr>
          <w:rFonts w:ascii="Times New Roman" w:eastAsia="宋体" w:hAnsi="Times New Roman" w:cs="Times New Roman"/>
          <w:kern w:val="0"/>
          <w:sz w:val="24"/>
          <w:szCs w:val="24"/>
        </w:rPr>
        <w:t xml:space="preserve"> above</w:t>
      </w:r>
      <w:r w:rsidR="002A2F19" w:rsidRPr="0059184B">
        <w:rPr>
          <w:rFonts w:ascii="Times New Roman" w:eastAsia="宋体" w:hAnsi="Times New Roman" w:cs="Times New Roman"/>
          <w:kern w:val="0"/>
          <w:sz w:val="24"/>
          <w:szCs w:val="24"/>
        </w:rPr>
        <w:t>, w</w:t>
      </w:r>
      <w:r w:rsidR="00A372AB" w:rsidRPr="0059184B">
        <w:rPr>
          <w:rFonts w:ascii="Times New Roman" w:eastAsia="宋体" w:hAnsi="Times New Roman" w:cs="Times New Roman"/>
          <w:kern w:val="0"/>
          <w:sz w:val="24"/>
          <w:szCs w:val="24"/>
        </w:rPr>
        <w:t>e propose the following hypothesis:</w:t>
      </w:r>
    </w:p>
    <w:p w:rsidR="00A372AB" w:rsidRPr="0059184B" w:rsidRDefault="00E82080" w:rsidP="00A372AB">
      <w:pPr>
        <w:autoSpaceDE w:val="0"/>
        <w:autoSpaceDN w:val="0"/>
        <w:adjustRightInd w:val="0"/>
        <w:spacing w:line="360" w:lineRule="auto"/>
        <w:rPr>
          <w:rFonts w:ascii="Times New Roman" w:hAnsi="Times New Roman" w:cs="Times New Roman"/>
          <w:b/>
          <w:i/>
          <w:kern w:val="0"/>
          <w:sz w:val="24"/>
          <w:szCs w:val="24"/>
        </w:rPr>
      </w:pPr>
      <w:r w:rsidRPr="0059184B">
        <w:rPr>
          <w:rFonts w:ascii="Times New Roman" w:hAnsi="Times New Roman" w:cs="Times New Roman"/>
          <w:b/>
          <w:kern w:val="0"/>
          <w:sz w:val="24"/>
          <w:szCs w:val="24"/>
        </w:rPr>
        <w:t>H2</w:t>
      </w:r>
      <w:r w:rsidR="004E3CCF" w:rsidRPr="0059184B">
        <w:rPr>
          <w:rFonts w:ascii="Times New Roman" w:hAnsi="Times New Roman" w:cs="Times New Roman"/>
          <w:b/>
          <w:kern w:val="0"/>
          <w:sz w:val="24"/>
          <w:szCs w:val="24"/>
        </w:rPr>
        <w:t>b</w:t>
      </w:r>
      <w:r w:rsidR="00A372AB" w:rsidRPr="0059184B">
        <w:rPr>
          <w:rFonts w:ascii="Times New Roman" w:hAnsi="Times New Roman" w:cs="Times New Roman"/>
          <w:b/>
          <w:kern w:val="0"/>
          <w:sz w:val="24"/>
          <w:szCs w:val="24"/>
        </w:rPr>
        <w:t>:</w:t>
      </w:r>
      <w:r w:rsidR="00A372AB" w:rsidRPr="0059184B">
        <w:rPr>
          <w:rFonts w:ascii="Times New Roman" w:hAnsi="Times New Roman" w:cs="Times New Roman"/>
          <w:b/>
          <w:i/>
          <w:kern w:val="0"/>
          <w:sz w:val="24"/>
          <w:szCs w:val="24"/>
        </w:rPr>
        <w:t xml:space="preserve"> Credit derivatives</w:t>
      </w:r>
      <w:r w:rsidR="00A372AB" w:rsidRPr="0059184B">
        <w:rPr>
          <w:rFonts w:ascii="Times New Roman" w:hAnsi="Times New Roman" w:cs="Times New Roman"/>
          <w:b/>
          <w:kern w:val="0"/>
          <w:sz w:val="24"/>
          <w:szCs w:val="24"/>
        </w:rPr>
        <w:t xml:space="preserve"> </w:t>
      </w:r>
      <w:r w:rsidR="00A372AB" w:rsidRPr="0059184B">
        <w:rPr>
          <w:rFonts w:ascii="Times New Roman" w:hAnsi="Times New Roman" w:cs="Times New Roman"/>
          <w:b/>
          <w:i/>
          <w:kern w:val="0"/>
          <w:sz w:val="24"/>
          <w:szCs w:val="24"/>
        </w:rPr>
        <w:t>increases banks’ risk</w:t>
      </w:r>
    </w:p>
    <w:p w:rsidR="007D4612" w:rsidRPr="0059184B" w:rsidRDefault="007D4612" w:rsidP="00D6115A">
      <w:pPr>
        <w:spacing w:line="360" w:lineRule="auto"/>
        <w:rPr>
          <w:rFonts w:ascii="Times New Roman" w:eastAsia="AdvGulliv-R" w:hAnsi="Times New Roman" w:cs="Times New Roman"/>
          <w:kern w:val="0"/>
          <w:sz w:val="24"/>
          <w:szCs w:val="24"/>
        </w:rPr>
      </w:pPr>
    </w:p>
    <w:p w:rsidR="00907BC6" w:rsidRPr="0059184B" w:rsidRDefault="00E77ED2" w:rsidP="003210CA">
      <w:pPr>
        <w:autoSpaceDE w:val="0"/>
        <w:autoSpaceDN w:val="0"/>
        <w:adjustRightInd w:val="0"/>
        <w:spacing w:line="360" w:lineRule="auto"/>
        <w:rPr>
          <w:rFonts w:ascii="Times New Roman" w:hAnsi="Times New Roman" w:cs="Times New Roman"/>
          <w:kern w:val="0"/>
          <w:sz w:val="24"/>
          <w:szCs w:val="24"/>
        </w:rPr>
      </w:pPr>
      <w:r w:rsidRPr="0059184B">
        <w:rPr>
          <w:rFonts w:ascii="Times New Roman" w:eastAsia="宋体" w:hAnsi="Times New Roman" w:cs="Times New Roman"/>
          <w:kern w:val="0"/>
          <w:sz w:val="24"/>
          <w:szCs w:val="24"/>
        </w:rPr>
        <w:t xml:space="preserve">While few studies in the empirical literature link banks’ individual risk to derivatives traded in OTC market and on exchanges, banks with derivatives traded in OTC markets are more likely to get exposed to higher risks. There might be two reasons behind it. First, derivatives used for </w:t>
      </w:r>
      <w:r w:rsidRPr="0059184B">
        <w:rPr>
          <w:rFonts w:ascii="Times New Roman" w:hAnsi="Times New Roman" w:cs="Times New Roman"/>
          <w:sz w:val="24"/>
          <w:szCs w:val="24"/>
        </w:rPr>
        <w:t>speculating and</w:t>
      </w:r>
      <w:r w:rsidRPr="0059184B">
        <w:rPr>
          <w:rFonts w:ascii="Times New Roman" w:eastAsia="宋体" w:hAnsi="Times New Roman" w:cs="Times New Roman"/>
          <w:kern w:val="0"/>
          <w:sz w:val="24"/>
          <w:szCs w:val="24"/>
        </w:rPr>
        <w:t xml:space="preserve"> trading purpose in OTC markets could </w:t>
      </w:r>
      <w:r w:rsidRPr="0059184B">
        <w:rPr>
          <w:rFonts w:ascii="Times New Roman" w:hAnsi="Times New Roman" w:cs="Times New Roman"/>
          <w:sz w:val="24"/>
          <w:szCs w:val="24"/>
        </w:rPr>
        <w:t xml:space="preserve">increase banks’ risk exposure, which is consistent with Li and </w:t>
      </w:r>
      <w:proofErr w:type="spellStart"/>
      <w:r w:rsidRPr="0059184B">
        <w:rPr>
          <w:rFonts w:ascii="Times New Roman" w:hAnsi="Times New Roman" w:cs="Times New Roman"/>
          <w:sz w:val="24"/>
          <w:szCs w:val="24"/>
        </w:rPr>
        <w:t>Marinč</w:t>
      </w:r>
      <w:proofErr w:type="spellEnd"/>
      <w:r w:rsidRPr="0059184B">
        <w:rPr>
          <w:rFonts w:ascii="Times New Roman" w:hAnsi="Times New Roman" w:cs="Times New Roman"/>
          <w:sz w:val="24"/>
          <w:szCs w:val="24"/>
        </w:rPr>
        <w:t xml:space="preserve"> (2014) discussed in previous section. Second, if banks use OTC derivatives to hedge instead of other more transparent approaches, those banks are </w:t>
      </w:r>
      <w:r w:rsidRPr="0059184B">
        <w:rPr>
          <w:rFonts w:ascii="Times New Roman" w:hAnsi="Times New Roman" w:cs="Times New Roman"/>
          <w:sz w:val="24"/>
          <w:szCs w:val="24"/>
        </w:rPr>
        <w:lastRenderedPageBreak/>
        <w:t>expected to show higher risks. T</w:t>
      </w:r>
      <w:r w:rsidRPr="0059184B">
        <w:rPr>
          <w:rStyle w:val="aa"/>
          <w:rFonts w:ascii="Times New Roman" w:hAnsi="Times New Roman" w:cs="Times New Roman"/>
          <w:sz w:val="24"/>
          <w:szCs w:val="22"/>
        </w:rPr>
        <w:t xml:space="preserve">he </w:t>
      </w:r>
      <w:r w:rsidRPr="0059184B">
        <w:rPr>
          <w:rFonts w:ascii="Times New Roman" w:eastAsia="宋体" w:hAnsi="Times New Roman" w:cs="Times New Roman"/>
          <w:kern w:val="0"/>
          <w:sz w:val="24"/>
          <w:szCs w:val="24"/>
        </w:rPr>
        <w:t>low</w:t>
      </w:r>
      <w:r w:rsidRPr="0059184B">
        <w:rPr>
          <w:rStyle w:val="aa"/>
          <w:rFonts w:ascii="Times New Roman" w:hAnsi="Times New Roman" w:cs="Times New Roman"/>
          <w:sz w:val="24"/>
          <w:szCs w:val="22"/>
        </w:rPr>
        <w:t xml:space="preserve"> position transparency</w:t>
      </w:r>
      <w:r w:rsidRPr="0059184B">
        <w:rPr>
          <w:rFonts w:ascii="Times New Roman" w:eastAsia="宋体" w:hAnsi="Times New Roman" w:cs="Times New Roman"/>
          <w:kern w:val="0"/>
          <w:sz w:val="24"/>
          <w:szCs w:val="24"/>
        </w:rPr>
        <w:t xml:space="preserve"> with lower supervision and monitoring in OTC markets allows banks to hedge very risky positions, which are likely to be not allowed or extremely costly to hedge with more transparent approaches. On the other hand, derivatives traded on exchanges with higher level of transparency are more likely to be used for hedging purpose by banks. </w:t>
      </w:r>
      <w:r w:rsidRPr="0059184B">
        <w:rPr>
          <w:rFonts w:ascii="Times New Roman" w:hAnsi="Times New Roman" w:cs="Times New Roman"/>
          <w:kern w:val="0"/>
          <w:sz w:val="24"/>
          <w:szCs w:val="24"/>
        </w:rPr>
        <w:t>Thus, we put forward the following hypothesis:</w:t>
      </w:r>
    </w:p>
    <w:p w:rsidR="003210CA" w:rsidRPr="0059184B" w:rsidRDefault="003210CA" w:rsidP="003210CA">
      <w:pPr>
        <w:autoSpaceDE w:val="0"/>
        <w:autoSpaceDN w:val="0"/>
        <w:adjustRightInd w:val="0"/>
        <w:spacing w:line="360" w:lineRule="auto"/>
        <w:rPr>
          <w:rFonts w:ascii="Times New Roman" w:hAnsi="Times New Roman" w:cs="Times New Roman"/>
          <w:b/>
          <w:i/>
          <w:kern w:val="0"/>
          <w:sz w:val="24"/>
          <w:szCs w:val="24"/>
        </w:rPr>
      </w:pPr>
      <w:r w:rsidRPr="0059184B">
        <w:rPr>
          <w:rFonts w:ascii="Times New Roman" w:hAnsi="Times New Roman" w:cs="Times New Roman"/>
          <w:b/>
          <w:kern w:val="0"/>
          <w:sz w:val="24"/>
          <w:szCs w:val="24"/>
        </w:rPr>
        <w:t xml:space="preserve">H2c: </w:t>
      </w:r>
      <w:r w:rsidRPr="0059184B">
        <w:rPr>
          <w:rFonts w:ascii="Times New Roman" w:hAnsi="Times New Roman" w:cs="Times New Roman"/>
          <w:b/>
          <w:i/>
          <w:kern w:val="0"/>
          <w:sz w:val="24"/>
          <w:szCs w:val="24"/>
        </w:rPr>
        <w:t>Derivatives traded in OTC markets increase banks’ risk while derivatives traded on exchanges decrease increases banks’ risk</w:t>
      </w:r>
    </w:p>
    <w:p w:rsidR="003210CA" w:rsidRPr="0059184B" w:rsidRDefault="003210CA" w:rsidP="003210CA">
      <w:pPr>
        <w:autoSpaceDE w:val="0"/>
        <w:autoSpaceDN w:val="0"/>
        <w:adjustRightInd w:val="0"/>
        <w:spacing w:line="360" w:lineRule="auto"/>
        <w:rPr>
          <w:rFonts w:ascii="Times New Roman" w:hAnsi="Times New Roman" w:cs="Times New Roman"/>
          <w:b/>
          <w:i/>
          <w:kern w:val="0"/>
          <w:sz w:val="24"/>
          <w:szCs w:val="24"/>
        </w:rPr>
      </w:pPr>
    </w:p>
    <w:p w:rsidR="00E82080" w:rsidRPr="0059184B" w:rsidRDefault="007115E6" w:rsidP="00B82B7E">
      <w:pPr>
        <w:autoSpaceDE w:val="0"/>
        <w:autoSpaceDN w:val="0"/>
        <w:adjustRightInd w:val="0"/>
        <w:spacing w:line="360" w:lineRule="auto"/>
        <w:rPr>
          <w:rFonts w:ascii="Times New Roman" w:eastAsia="AdvGulliv-R" w:hAnsi="Times New Roman" w:cs="Times New Roman"/>
          <w:kern w:val="0"/>
          <w:sz w:val="24"/>
          <w:szCs w:val="24"/>
        </w:rPr>
      </w:pPr>
      <w:r w:rsidRPr="0059184B">
        <w:rPr>
          <w:rFonts w:ascii="Times New Roman" w:eastAsia="Arial Unicode MS" w:hAnsi="Times New Roman" w:cs="Times New Roman"/>
          <w:sz w:val="24"/>
          <w:szCs w:val="24"/>
          <w:shd w:val="clear" w:color="auto" w:fill="FFFFFF"/>
        </w:rPr>
        <w:t>A</w:t>
      </w:r>
      <w:r w:rsidR="00E82080" w:rsidRPr="0059184B">
        <w:rPr>
          <w:rFonts w:ascii="Times New Roman" w:eastAsia="Arial Unicode MS" w:hAnsi="Times New Roman" w:cs="Times New Roman"/>
          <w:sz w:val="24"/>
          <w:szCs w:val="24"/>
          <w:shd w:val="clear" w:color="auto" w:fill="FFFFFF"/>
        </w:rPr>
        <w:t xml:space="preserve"> few studies </w:t>
      </w:r>
      <w:r w:rsidRPr="0059184B">
        <w:rPr>
          <w:rFonts w:ascii="Times New Roman" w:eastAsia="Arial Unicode MS" w:hAnsi="Times New Roman" w:cs="Times New Roman"/>
          <w:sz w:val="24"/>
          <w:szCs w:val="24"/>
          <w:shd w:val="clear" w:color="auto" w:fill="FFFFFF"/>
        </w:rPr>
        <w:t xml:space="preserve">have </w:t>
      </w:r>
      <w:r w:rsidR="00E82080" w:rsidRPr="0059184B">
        <w:rPr>
          <w:rFonts w:ascii="Times New Roman" w:eastAsia="Arial Unicode MS" w:hAnsi="Times New Roman" w:cs="Times New Roman"/>
          <w:sz w:val="24"/>
          <w:szCs w:val="24"/>
          <w:shd w:val="clear" w:color="auto" w:fill="FFFFFF"/>
        </w:rPr>
        <w:t>examine</w:t>
      </w:r>
      <w:r w:rsidRPr="0059184B">
        <w:rPr>
          <w:rFonts w:ascii="Times New Roman" w:eastAsia="Arial Unicode MS" w:hAnsi="Times New Roman" w:cs="Times New Roman"/>
          <w:sz w:val="24"/>
          <w:szCs w:val="24"/>
          <w:shd w:val="clear" w:color="auto" w:fill="FFFFFF"/>
        </w:rPr>
        <w:t>d</w:t>
      </w:r>
      <w:r w:rsidR="00E82080" w:rsidRPr="0059184B">
        <w:rPr>
          <w:rFonts w:ascii="Times New Roman" w:eastAsia="Arial Unicode MS" w:hAnsi="Times New Roman" w:cs="Times New Roman"/>
          <w:sz w:val="24"/>
          <w:szCs w:val="24"/>
          <w:shd w:val="clear" w:color="auto" w:fill="FFFFFF"/>
        </w:rPr>
        <w:t xml:space="preserve"> the effects of </w:t>
      </w:r>
      <w:r w:rsidRPr="0059184B">
        <w:rPr>
          <w:rFonts w:ascii="Times New Roman" w:eastAsia="Arial Unicode MS" w:hAnsi="Times New Roman" w:cs="Times New Roman"/>
          <w:sz w:val="24"/>
          <w:szCs w:val="24"/>
          <w:shd w:val="clear" w:color="auto" w:fill="FFFFFF"/>
        </w:rPr>
        <w:t xml:space="preserve">the </w:t>
      </w:r>
      <w:r w:rsidR="00E82080" w:rsidRPr="0059184B">
        <w:rPr>
          <w:rFonts w:ascii="Times New Roman" w:eastAsia="Arial Unicode MS" w:hAnsi="Times New Roman" w:cs="Times New Roman"/>
          <w:sz w:val="24"/>
          <w:szCs w:val="24"/>
          <w:shd w:val="clear" w:color="auto" w:fill="FFFFFF"/>
        </w:rPr>
        <w:t>DFA on banks’ risk</w:t>
      </w:r>
      <w:r w:rsidR="00E82080" w:rsidRPr="0059184B">
        <w:rPr>
          <w:rFonts w:ascii="Times New Roman" w:eastAsia="AdvGulliv-R" w:hAnsi="Times New Roman" w:cs="Times New Roman"/>
          <w:kern w:val="0"/>
          <w:sz w:val="24"/>
          <w:szCs w:val="24"/>
        </w:rPr>
        <w:t>.</w:t>
      </w:r>
      <w:r w:rsidR="00712A9B" w:rsidRPr="0059184B">
        <w:rPr>
          <w:rStyle w:val="a5"/>
          <w:rFonts w:ascii="Times New Roman" w:eastAsia="AdvGulliv-R" w:hAnsi="Times New Roman" w:cs="Times New Roman"/>
          <w:kern w:val="0"/>
          <w:sz w:val="24"/>
          <w:szCs w:val="24"/>
        </w:rPr>
        <w:footnoteReference w:id="3"/>
      </w:r>
      <w:r w:rsidR="00E82080" w:rsidRPr="0059184B">
        <w:rPr>
          <w:rFonts w:ascii="Times New Roman" w:eastAsia="AdvGulliv-R" w:hAnsi="Times New Roman" w:cs="Times New Roman"/>
          <w:kern w:val="0"/>
          <w:sz w:val="24"/>
          <w:szCs w:val="24"/>
        </w:rPr>
        <w:t xml:space="preserve"> </w:t>
      </w:r>
      <w:proofErr w:type="spellStart"/>
      <w:r w:rsidR="00E82080" w:rsidRPr="0059184B">
        <w:rPr>
          <w:rFonts w:ascii="Times New Roman" w:eastAsia="AdvGulliv-R" w:hAnsi="Times New Roman" w:cs="Times New Roman" w:hint="eastAsia"/>
          <w:kern w:val="0"/>
          <w:sz w:val="24"/>
          <w:szCs w:val="24"/>
        </w:rPr>
        <w:t>Keppo</w:t>
      </w:r>
      <w:proofErr w:type="spellEnd"/>
      <w:r w:rsidR="00E82080" w:rsidRPr="0059184B">
        <w:rPr>
          <w:rFonts w:ascii="Times New Roman" w:eastAsia="AdvGulliv-R" w:hAnsi="Times New Roman" w:cs="Times New Roman" w:hint="eastAsia"/>
          <w:kern w:val="0"/>
          <w:sz w:val="24"/>
          <w:szCs w:val="24"/>
        </w:rPr>
        <w:t xml:space="preserve"> and </w:t>
      </w:r>
      <w:proofErr w:type="spellStart"/>
      <w:r w:rsidR="00E82080" w:rsidRPr="0059184B">
        <w:rPr>
          <w:rFonts w:ascii="Times New Roman" w:eastAsia="AdvGulliv-R" w:hAnsi="Times New Roman" w:cs="Times New Roman" w:hint="eastAsia"/>
          <w:kern w:val="0"/>
          <w:sz w:val="24"/>
          <w:szCs w:val="24"/>
        </w:rPr>
        <w:t>Korte</w:t>
      </w:r>
      <w:proofErr w:type="spellEnd"/>
      <w:r w:rsidR="00E82080" w:rsidRPr="0059184B">
        <w:rPr>
          <w:rFonts w:ascii="Times New Roman" w:eastAsia="AdvGulliv-R" w:hAnsi="Times New Roman" w:cs="Times New Roman" w:hint="eastAsia"/>
          <w:kern w:val="0"/>
          <w:sz w:val="24"/>
          <w:szCs w:val="24"/>
        </w:rPr>
        <w:t xml:space="preserve"> (2016)</w:t>
      </w:r>
      <w:r w:rsidRPr="0059184B">
        <w:rPr>
          <w:rFonts w:ascii="Times New Roman" w:eastAsia="AdvGulliv-R" w:hAnsi="Times New Roman" w:cs="Times New Roman"/>
          <w:kern w:val="0"/>
          <w:sz w:val="24"/>
          <w:szCs w:val="24"/>
        </w:rPr>
        <w:t xml:space="preserve"> present</w:t>
      </w:r>
      <w:r w:rsidR="00E82080" w:rsidRPr="0059184B">
        <w:rPr>
          <w:rFonts w:ascii="Times New Roman" w:eastAsia="AdvGulliv-R" w:hAnsi="Times New Roman" w:cs="Times New Roman"/>
          <w:kern w:val="0"/>
          <w:sz w:val="24"/>
          <w:szCs w:val="24"/>
        </w:rPr>
        <w:t xml:space="preserve"> evidence </w:t>
      </w:r>
      <w:r w:rsidR="00E82080" w:rsidRPr="0059184B">
        <w:rPr>
          <w:rFonts w:ascii="Times New Roman" w:eastAsia="AdvGulliv-R" w:hAnsi="Times New Roman" w:cs="Times New Roman" w:hint="eastAsia"/>
          <w:kern w:val="0"/>
          <w:sz w:val="24"/>
          <w:szCs w:val="24"/>
        </w:rPr>
        <w:t xml:space="preserve">that </w:t>
      </w:r>
      <w:r w:rsidR="00DE3B35" w:rsidRPr="0059184B">
        <w:rPr>
          <w:rFonts w:ascii="Times New Roman" w:eastAsia="AdvGulliv-R" w:hAnsi="Times New Roman" w:cs="Times New Roman"/>
          <w:kern w:val="0"/>
          <w:sz w:val="24"/>
          <w:szCs w:val="24"/>
        </w:rPr>
        <w:t xml:space="preserve">banks reduce the size of their trading books </w:t>
      </w:r>
      <w:r w:rsidR="00967F12" w:rsidRPr="0059184B">
        <w:rPr>
          <w:rFonts w:ascii="Times New Roman" w:eastAsia="AdvGulliv-R" w:hAnsi="Times New Roman" w:cs="Times New Roman"/>
          <w:kern w:val="0"/>
          <w:sz w:val="24"/>
          <w:szCs w:val="24"/>
        </w:rPr>
        <w:t xml:space="preserve">and </w:t>
      </w:r>
      <w:r w:rsidRPr="0059184B">
        <w:rPr>
          <w:rFonts w:ascii="Times New Roman" w:eastAsia="AdvGulliv-R" w:hAnsi="Times New Roman" w:cs="Times New Roman"/>
          <w:kern w:val="0"/>
          <w:sz w:val="24"/>
          <w:szCs w:val="24"/>
        </w:rPr>
        <w:t>exhibit</w:t>
      </w:r>
      <w:r w:rsidR="00967F12" w:rsidRPr="0059184B">
        <w:rPr>
          <w:rFonts w:ascii="Times New Roman" w:eastAsia="AdvGulliv-R" w:hAnsi="Times New Roman" w:cs="Times New Roman"/>
          <w:kern w:val="0"/>
          <w:sz w:val="24"/>
          <w:szCs w:val="24"/>
        </w:rPr>
        <w:t xml:space="preserve"> higher volatility in asset returns </w:t>
      </w:r>
      <w:r w:rsidR="00DE3B35" w:rsidRPr="0059184B">
        <w:rPr>
          <w:rFonts w:ascii="Times New Roman" w:eastAsia="AdvGulliv-R" w:hAnsi="Times New Roman" w:cs="Times New Roman"/>
          <w:kern w:val="0"/>
          <w:sz w:val="24"/>
          <w:szCs w:val="24"/>
        </w:rPr>
        <w:t xml:space="preserve">after </w:t>
      </w:r>
      <w:r w:rsidR="00967F12" w:rsidRPr="0059184B">
        <w:rPr>
          <w:rFonts w:ascii="Times New Roman" w:eastAsia="AdvGulliv-R" w:hAnsi="Times New Roman" w:cs="Times New Roman"/>
          <w:kern w:val="0"/>
          <w:sz w:val="24"/>
          <w:szCs w:val="24"/>
        </w:rPr>
        <w:t>the passing</w:t>
      </w:r>
      <w:r w:rsidR="00E82080" w:rsidRPr="0059184B">
        <w:rPr>
          <w:rFonts w:ascii="Times New Roman" w:eastAsia="AdvGulliv-R" w:hAnsi="Times New Roman" w:cs="Times New Roman"/>
          <w:kern w:val="0"/>
          <w:sz w:val="24"/>
          <w:szCs w:val="24"/>
        </w:rPr>
        <w:t xml:space="preserve"> of the Volcker rule</w:t>
      </w:r>
      <w:r w:rsidR="00967F12" w:rsidRPr="0059184B">
        <w:rPr>
          <w:rFonts w:ascii="Times New Roman" w:eastAsia="AdvGulliv-R" w:hAnsi="Times New Roman" w:cs="Times New Roman"/>
          <w:kern w:val="0"/>
          <w:sz w:val="24"/>
          <w:szCs w:val="24"/>
        </w:rPr>
        <w:t>.</w:t>
      </w:r>
      <w:r w:rsidR="0039624A" w:rsidRPr="0059184B">
        <w:rPr>
          <w:rFonts w:ascii="Times New Roman" w:eastAsia="AdvGulliv-R" w:hAnsi="Times New Roman" w:cs="Times New Roman"/>
          <w:kern w:val="0"/>
          <w:sz w:val="24"/>
          <w:szCs w:val="24"/>
        </w:rPr>
        <w:t xml:space="preserve"> </w:t>
      </w:r>
      <w:r w:rsidR="00C15FBD" w:rsidRPr="0059184B">
        <w:rPr>
          <w:rFonts w:ascii="Times New Roman" w:eastAsia="AdvGulliv-R" w:hAnsi="Times New Roman" w:cs="Times New Roman"/>
          <w:kern w:val="0"/>
          <w:sz w:val="24"/>
          <w:szCs w:val="24"/>
        </w:rPr>
        <w:t xml:space="preserve">Chung, </w:t>
      </w:r>
      <w:proofErr w:type="spellStart"/>
      <w:r w:rsidR="00C15FBD" w:rsidRPr="0059184B">
        <w:rPr>
          <w:rFonts w:ascii="Times New Roman" w:eastAsia="AdvGulliv-R" w:hAnsi="Times New Roman" w:cs="Times New Roman"/>
          <w:kern w:val="0"/>
          <w:sz w:val="24"/>
          <w:szCs w:val="24"/>
        </w:rPr>
        <w:t>Keppo</w:t>
      </w:r>
      <w:proofErr w:type="spellEnd"/>
      <w:r w:rsidR="00C15FBD" w:rsidRPr="0059184B">
        <w:rPr>
          <w:rFonts w:ascii="Times New Roman" w:eastAsia="AdvGulliv-R" w:hAnsi="Times New Roman" w:cs="Times New Roman"/>
          <w:kern w:val="0"/>
          <w:sz w:val="24"/>
          <w:szCs w:val="24"/>
        </w:rPr>
        <w:t xml:space="preserve"> and Yuan (2016) </w:t>
      </w:r>
      <w:r w:rsidRPr="0059184B">
        <w:rPr>
          <w:rFonts w:ascii="Times New Roman" w:eastAsia="AdvGulliv-R" w:hAnsi="Times New Roman" w:cs="Times New Roman"/>
          <w:kern w:val="0"/>
          <w:sz w:val="24"/>
          <w:szCs w:val="24"/>
        </w:rPr>
        <w:t>suggest</w:t>
      </w:r>
      <w:r w:rsidR="00C15FBD" w:rsidRPr="0059184B">
        <w:rPr>
          <w:rFonts w:ascii="Times New Roman" w:eastAsia="AdvGulliv-R" w:hAnsi="Times New Roman" w:cs="Times New Roman"/>
          <w:kern w:val="0"/>
          <w:sz w:val="24"/>
          <w:szCs w:val="24"/>
        </w:rPr>
        <w:t xml:space="preserve"> that </w:t>
      </w:r>
      <w:r w:rsidRPr="0059184B">
        <w:rPr>
          <w:rFonts w:ascii="Times New Roman" w:eastAsia="AdvGulliv-R" w:hAnsi="Times New Roman" w:cs="Times New Roman"/>
          <w:kern w:val="0"/>
          <w:sz w:val="24"/>
          <w:szCs w:val="24"/>
        </w:rPr>
        <w:t xml:space="preserve">the </w:t>
      </w:r>
      <w:r w:rsidR="00C15FBD" w:rsidRPr="0059184B">
        <w:rPr>
          <w:rFonts w:ascii="Times New Roman" w:eastAsia="AdvGulliv-R" w:hAnsi="Times New Roman" w:cs="Times New Roman"/>
          <w:kern w:val="0"/>
          <w:sz w:val="24"/>
          <w:szCs w:val="24"/>
        </w:rPr>
        <w:t>Volcker rule raises</w:t>
      </w:r>
      <w:r w:rsidRPr="0059184B">
        <w:rPr>
          <w:rFonts w:ascii="Times New Roman" w:eastAsia="AdvGulliv-R" w:hAnsi="Times New Roman" w:cs="Times New Roman"/>
          <w:kern w:val="0"/>
          <w:sz w:val="24"/>
          <w:szCs w:val="24"/>
        </w:rPr>
        <w:t xml:space="preserve"> banks’ illiquid </w:t>
      </w:r>
      <w:r w:rsidR="007D4612" w:rsidRPr="0059184B">
        <w:rPr>
          <w:rFonts w:ascii="Times New Roman" w:eastAsia="AdvGulliv-R" w:hAnsi="Times New Roman" w:cs="Times New Roman"/>
          <w:kern w:val="0"/>
          <w:sz w:val="24"/>
          <w:szCs w:val="24"/>
        </w:rPr>
        <w:t xml:space="preserve">book </w:t>
      </w:r>
      <w:r w:rsidRPr="0059184B">
        <w:rPr>
          <w:rFonts w:ascii="Times New Roman" w:eastAsia="AdvGulliv-R" w:hAnsi="Times New Roman" w:cs="Times New Roman"/>
          <w:kern w:val="0"/>
          <w:sz w:val="24"/>
          <w:szCs w:val="24"/>
        </w:rPr>
        <w:t>portfolios which are hard to control.</w:t>
      </w:r>
      <w:r w:rsidR="00D6115A" w:rsidRPr="0059184B">
        <w:rPr>
          <w:rFonts w:ascii="Times New Roman" w:eastAsia="AdvGulliv-R" w:hAnsi="Times New Roman" w:cs="Times New Roman"/>
          <w:kern w:val="0"/>
          <w:sz w:val="24"/>
          <w:szCs w:val="24"/>
        </w:rPr>
        <w:t xml:space="preserve"> We are of the view that l</w:t>
      </w:r>
      <w:r w:rsidR="00D6115A" w:rsidRPr="0059184B">
        <w:rPr>
          <w:rFonts w:ascii="Times New Roman" w:eastAsia="宋体" w:hAnsi="Times New Roman" w:cs="Times New Roman"/>
          <w:kern w:val="0"/>
          <w:sz w:val="24"/>
          <w:szCs w:val="24"/>
        </w:rPr>
        <w:t>iquidity reduction hinders banks’ ability to meet short-term obligations and make them more susceptible</w:t>
      </w:r>
      <w:r w:rsidR="007D4612" w:rsidRPr="0059184B">
        <w:rPr>
          <w:rFonts w:ascii="Times New Roman" w:eastAsia="宋体" w:hAnsi="Times New Roman" w:cs="Times New Roman"/>
          <w:kern w:val="0"/>
          <w:sz w:val="24"/>
          <w:szCs w:val="24"/>
        </w:rPr>
        <w:t xml:space="preserve"> to</w:t>
      </w:r>
      <w:r w:rsidR="004271D9" w:rsidRPr="0059184B">
        <w:rPr>
          <w:rFonts w:ascii="Times New Roman" w:eastAsia="宋体" w:hAnsi="Times New Roman" w:cs="Times New Roman"/>
          <w:kern w:val="0"/>
          <w:sz w:val="24"/>
          <w:szCs w:val="24"/>
        </w:rPr>
        <w:t xml:space="preserve"> financial distress</w:t>
      </w:r>
      <w:r w:rsidR="00D6115A" w:rsidRPr="0059184B">
        <w:rPr>
          <w:rFonts w:ascii="Times New Roman" w:eastAsia="宋体" w:hAnsi="Times New Roman" w:cs="Times New Roman"/>
          <w:kern w:val="0"/>
          <w:sz w:val="24"/>
          <w:szCs w:val="24"/>
        </w:rPr>
        <w:t xml:space="preserve">. </w:t>
      </w:r>
      <w:r w:rsidR="00C15FBD" w:rsidRPr="0059184B">
        <w:rPr>
          <w:rFonts w:ascii="Times New Roman" w:eastAsia="AdvGulliv-R" w:hAnsi="Times New Roman" w:cs="Times New Roman"/>
          <w:kern w:val="0"/>
          <w:sz w:val="24"/>
          <w:szCs w:val="24"/>
        </w:rPr>
        <w:t xml:space="preserve">Thus, </w:t>
      </w:r>
      <w:r w:rsidR="00C15FBD" w:rsidRPr="0059184B">
        <w:rPr>
          <w:rFonts w:ascii="Times New Roman" w:hAnsi="Times New Roman" w:cs="Times New Roman"/>
          <w:kern w:val="0"/>
          <w:sz w:val="24"/>
          <w:szCs w:val="24"/>
        </w:rPr>
        <w:t>w</w:t>
      </w:r>
      <w:r w:rsidR="00E82080" w:rsidRPr="0059184B">
        <w:rPr>
          <w:rFonts w:ascii="Times New Roman" w:hAnsi="Times New Roman" w:cs="Times New Roman"/>
          <w:kern w:val="0"/>
          <w:sz w:val="24"/>
          <w:szCs w:val="24"/>
        </w:rPr>
        <w:t xml:space="preserve">e propose the </w:t>
      </w:r>
      <w:r w:rsidR="00D6115A" w:rsidRPr="0059184B">
        <w:rPr>
          <w:rFonts w:ascii="Times New Roman" w:hAnsi="Times New Roman" w:cs="Times New Roman"/>
          <w:kern w:val="0"/>
          <w:sz w:val="24"/>
          <w:szCs w:val="24"/>
        </w:rPr>
        <w:t xml:space="preserve">following </w:t>
      </w:r>
      <w:r w:rsidR="00E82080" w:rsidRPr="0059184B">
        <w:rPr>
          <w:rFonts w:ascii="Times New Roman" w:hAnsi="Times New Roman" w:cs="Times New Roman"/>
          <w:kern w:val="0"/>
          <w:sz w:val="24"/>
          <w:szCs w:val="24"/>
        </w:rPr>
        <w:t xml:space="preserve">hypothesis: </w:t>
      </w:r>
      <w:r w:rsidR="00E82080" w:rsidRPr="0059184B">
        <w:rPr>
          <w:rFonts w:ascii="Times New Roman" w:eastAsia="Arial Unicode MS" w:hAnsi="Times New Roman" w:cs="Times New Roman"/>
          <w:sz w:val="24"/>
          <w:szCs w:val="24"/>
          <w:shd w:val="clear" w:color="auto" w:fill="FFFFFF"/>
        </w:rPr>
        <w:t xml:space="preserve">   </w:t>
      </w:r>
    </w:p>
    <w:p w:rsidR="00D6115A" w:rsidRPr="0059184B" w:rsidRDefault="00E82080" w:rsidP="00E82080">
      <w:pPr>
        <w:autoSpaceDE w:val="0"/>
        <w:autoSpaceDN w:val="0"/>
        <w:adjustRightInd w:val="0"/>
        <w:spacing w:line="360" w:lineRule="auto"/>
        <w:rPr>
          <w:rFonts w:ascii="Times New Roman" w:hAnsi="Times New Roman" w:cs="Times New Roman"/>
          <w:b/>
          <w:i/>
          <w:kern w:val="0"/>
          <w:sz w:val="24"/>
          <w:szCs w:val="24"/>
        </w:rPr>
      </w:pPr>
      <w:r w:rsidRPr="0059184B">
        <w:rPr>
          <w:rFonts w:ascii="Times New Roman" w:hAnsi="Times New Roman" w:cs="Times New Roman"/>
          <w:b/>
          <w:kern w:val="0"/>
          <w:sz w:val="24"/>
          <w:szCs w:val="24"/>
        </w:rPr>
        <w:t>H</w:t>
      </w:r>
      <w:r w:rsidR="00D6115A" w:rsidRPr="0059184B">
        <w:rPr>
          <w:rFonts w:ascii="Times New Roman" w:hAnsi="Times New Roman" w:cs="Times New Roman"/>
          <w:b/>
          <w:kern w:val="0"/>
          <w:sz w:val="24"/>
          <w:szCs w:val="24"/>
        </w:rPr>
        <w:t>3A</w:t>
      </w:r>
      <w:r w:rsidRPr="0059184B">
        <w:rPr>
          <w:rFonts w:ascii="Times New Roman" w:hAnsi="Times New Roman" w:cs="Times New Roman"/>
          <w:b/>
          <w:kern w:val="0"/>
          <w:sz w:val="24"/>
          <w:szCs w:val="24"/>
        </w:rPr>
        <w:t>:</w:t>
      </w:r>
      <w:r w:rsidRPr="0059184B">
        <w:rPr>
          <w:rFonts w:ascii="Times New Roman" w:hAnsi="Times New Roman" w:cs="Times New Roman"/>
          <w:kern w:val="0"/>
          <w:sz w:val="24"/>
          <w:szCs w:val="24"/>
        </w:rPr>
        <w:t xml:space="preserve"> </w:t>
      </w:r>
      <w:r w:rsidR="0039624A" w:rsidRPr="0059184B">
        <w:rPr>
          <w:rFonts w:ascii="Times New Roman" w:hAnsi="Times New Roman" w:cs="Times New Roman"/>
          <w:b/>
          <w:i/>
          <w:kern w:val="0"/>
          <w:sz w:val="24"/>
          <w:szCs w:val="24"/>
        </w:rPr>
        <w:t xml:space="preserve">The implementation of the </w:t>
      </w:r>
      <w:r w:rsidRPr="0059184B">
        <w:rPr>
          <w:rFonts w:ascii="Times New Roman" w:hAnsi="Times New Roman" w:cs="Times New Roman"/>
          <w:b/>
          <w:i/>
          <w:kern w:val="0"/>
          <w:sz w:val="24"/>
          <w:szCs w:val="24"/>
        </w:rPr>
        <w:t xml:space="preserve">DFA </w:t>
      </w:r>
      <w:r w:rsidR="00C15FBD" w:rsidRPr="0059184B">
        <w:rPr>
          <w:rFonts w:ascii="Times New Roman" w:hAnsi="Times New Roman" w:cs="Times New Roman"/>
          <w:b/>
          <w:i/>
          <w:kern w:val="0"/>
          <w:sz w:val="24"/>
          <w:szCs w:val="24"/>
        </w:rPr>
        <w:t>increases</w:t>
      </w:r>
      <w:r w:rsidRPr="0059184B">
        <w:rPr>
          <w:rFonts w:ascii="Times New Roman" w:hAnsi="Times New Roman" w:cs="Times New Roman"/>
          <w:b/>
          <w:i/>
          <w:kern w:val="0"/>
          <w:sz w:val="24"/>
          <w:szCs w:val="24"/>
        </w:rPr>
        <w:t xml:space="preserve"> </w:t>
      </w:r>
      <w:r w:rsidR="004271D9" w:rsidRPr="0059184B">
        <w:rPr>
          <w:rFonts w:ascii="Times New Roman" w:hAnsi="Times New Roman" w:cs="Times New Roman"/>
          <w:b/>
          <w:i/>
          <w:kern w:val="0"/>
          <w:sz w:val="24"/>
          <w:szCs w:val="24"/>
        </w:rPr>
        <w:t>bank’s risk</w:t>
      </w:r>
    </w:p>
    <w:p w:rsidR="00E82080" w:rsidRPr="0059184B" w:rsidRDefault="00D6115A" w:rsidP="00E82080">
      <w:pPr>
        <w:autoSpaceDE w:val="0"/>
        <w:autoSpaceDN w:val="0"/>
        <w:adjustRightInd w:val="0"/>
        <w:spacing w:line="360" w:lineRule="auto"/>
        <w:rPr>
          <w:rFonts w:ascii="Times New Roman" w:hAnsi="Times New Roman" w:cs="Times New Roman"/>
          <w:b/>
          <w:i/>
          <w:kern w:val="0"/>
          <w:sz w:val="24"/>
          <w:szCs w:val="24"/>
        </w:rPr>
      </w:pPr>
      <w:r w:rsidRPr="0059184B">
        <w:rPr>
          <w:rFonts w:ascii="Times New Roman" w:hAnsi="Times New Roman" w:cs="Times New Roman"/>
          <w:b/>
          <w:kern w:val="0"/>
          <w:sz w:val="24"/>
          <w:szCs w:val="24"/>
        </w:rPr>
        <w:t xml:space="preserve">H3B: </w:t>
      </w:r>
      <w:r w:rsidRPr="0059184B">
        <w:rPr>
          <w:rFonts w:ascii="Times New Roman" w:hAnsi="Times New Roman" w:cs="Times New Roman"/>
          <w:b/>
          <w:i/>
          <w:kern w:val="0"/>
          <w:sz w:val="24"/>
          <w:szCs w:val="24"/>
        </w:rPr>
        <w:t>The implementation of the DFA lessens the effects of derivative holdings on bank</w:t>
      </w:r>
      <w:r w:rsidR="004271D9" w:rsidRPr="0059184B">
        <w:rPr>
          <w:rFonts w:ascii="Times New Roman" w:hAnsi="Times New Roman" w:cs="Times New Roman"/>
          <w:b/>
          <w:i/>
          <w:kern w:val="0"/>
          <w:sz w:val="24"/>
          <w:szCs w:val="24"/>
        </w:rPr>
        <w:t>’s risk</w:t>
      </w:r>
      <w:r w:rsidRPr="0059184B">
        <w:rPr>
          <w:rFonts w:ascii="Times New Roman" w:hAnsi="Times New Roman" w:cs="Times New Roman"/>
          <w:b/>
          <w:i/>
          <w:kern w:val="0"/>
          <w:sz w:val="24"/>
          <w:szCs w:val="24"/>
        </w:rPr>
        <w:t xml:space="preserve"> (in H2</w:t>
      </w:r>
      <w:r w:rsidR="00356838" w:rsidRPr="0059184B">
        <w:rPr>
          <w:rFonts w:ascii="Times New Roman" w:hAnsi="Times New Roman" w:cs="Times New Roman"/>
          <w:b/>
          <w:i/>
          <w:kern w:val="0"/>
          <w:sz w:val="24"/>
          <w:szCs w:val="24"/>
        </w:rPr>
        <w:t>a, H2b</w:t>
      </w:r>
      <w:r w:rsidRPr="0059184B">
        <w:rPr>
          <w:rFonts w:ascii="Times New Roman" w:hAnsi="Times New Roman" w:cs="Times New Roman"/>
          <w:b/>
          <w:i/>
          <w:kern w:val="0"/>
          <w:sz w:val="24"/>
          <w:szCs w:val="24"/>
        </w:rPr>
        <w:t xml:space="preserve"> and H2</w:t>
      </w:r>
      <w:r w:rsidR="00356838" w:rsidRPr="0059184B">
        <w:rPr>
          <w:rFonts w:ascii="Times New Roman" w:hAnsi="Times New Roman" w:cs="Times New Roman"/>
          <w:b/>
          <w:i/>
          <w:kern w:val="0"/>
          <w:sz w:val="24"/>
          <w:szCs w:val="24"/>
        </w:rPr>
        <w:t>c</w:t>
      </w:r>
      <w:r w:rsidRPr="0059184B">
        <w:rPr>
          <w:rFonts w:ascii="Times New Roman" w:hAnsi="Times New Roman" w:cs="Times New Roman"/>
          <w:b/>
          <w:i/>
          <w:kern w:val="0"/>
          <w:sz w:val="24"/>
          <w:szCs w:val="24"/>
        </w:rPr>
        <w:t>)</w:t>
      </w:r>
      <w:r w:rsidR="00E82080" w:rsidRPr="0059184B">
        <w:rPr>
          <w:rFonts w:ascii="Times New Roman" w:hAnsi="Times New Roman" w:cs="Times New Roman"/>
          <w:b/>
          <w:i/>
          <w:kern w:val="0"/>
          <w:sz w:val="24"/>
          <w:szCs w:val="24"/>
        </w:rPr>
        <w:t>.</w:t>
      </w:r>
    </w:p>
    <w:p w:rsidR="00E82080" w:rsidRPr="0059184B" w:rsidRDefault="00E82080" w:rsidP="00A372AB">
      <w:pPr>
        <w:autoSpaceDE w:val="0"/>
        <w:autoSpaceDN w:val="0"/>
        <w:adjustRightInd w:val="0"/>
        <w:spacing w:line="360" w:lineRule="auto"/>
        <w:rPr>
          <w:rFonts w:ascii="Times New Roman" w:hAnsi="Times New Roman" w:cs="Times New Roman"/>
          <w:b/>
          <w:i/>
          <w:kern w:val="0"/>
          <w:sz w:val="24"/>
          <w:szCs w:val="24"/>
        </w:rPr>
      </w:pPr>
    </w:p>
    <w:p w:rsidR="004F5DE3" w:rsidRPr="0059184B" w:rsidRDefault="004F5DE3" w:rsidP="004F5DE3">
      <w:pPr>
        <w:autoSpaceDE w:val="0"/>
        <w:autoSpaceDN w:val="0"/>
        <w:adjustRightInd w:val="0"/>
        <w:spacing w:line="360" w:lineRule="auto"/>
        <w:rPr>
          <w:rFonts w:ascii="Times New Roman" w:eastAsia="AdvGulliv-R" w:hAnsi="Times New Roman" w:cs="Times New Roman"/>
          <w:b/>
          <w:kern w:val="0"/>
          <w:sz w:val="24"/>
          <w:szCs w:val="24"/>
        </w:rPr>
      </w:pPr>
    </w:p>
    <w:p w:rsidR="004F5DE3" w:rsidRPr="0059184B" w:rsidRDefault="00C61C16" w:rsidP="004F5DE3">
      <w:pPr>
        <w:autoSpaceDE w:val="0"/>
        <w:autoSpaceDN w:val="0"/>
        <w:adjustRightInd w:val="0"/>
        <w:spacing w:line="360" w:lineRule="auto"/>
        <w:rPr>
          <w:rFonts w:ascii="Times New Roman" w:eastAsia="AdvGulliv-R" w:hAnsi="Times New Roman" w:cs="Times New Roman"/>
          <w:b/>
          <w:kern w:val="0"/>
          <w:sz w:val="24"/>
          <w:szCs w:val="24"/>
        </w:rPr>
      </w:pPr>
      <w:r w:rsidRPr="0059184B">
        <w:rPr>
          <w:rStyle w:val="4Char"/>
          <w:rFonts w:ascii="Times New Roman" w:hAnsi="Times New Roman" w:cs="Times New Roman"/>
          <w:sz w:val="24"/>
          <w:szCs w:val="24"/>
        </w:rPr>
        <w:t>2.2</w:t>
      </w:r>
      <w:r w:rsidR="004F5DE3" w:rsidRPr="0059184B">
        <w:rPr>
          <w:rStyle w:val="4Char"/>
          <w:rFonts w:ascii="Times New Roman" w:hAnsi="Times New Roman" w:cs="Times New Roman"/>
          <w:sz w:val="24"/>
          <w:szCs w:val="24"/>
        </w:rPr>
        <w:t>b.</w:t>
      </w:r>
      <w:r w:rsidR="004F5DE3" w:rsidRPr="0059184B">
        <w:rPr>
          <w:rFonts w:ascii="Times New Roman" w:eastAsia="AdvGulliv-R" w:hAnsi="Times New Roman" w:cs="Times New Roman"/>
          <w:b/>
          <w:kern w:val="0"/>
          <w:sz w:val="24"/>
          <w:szCs w:val="24"/>
        </w:rPr>
        <w:t xml:space="preserve"> Derivative holdings and bank performance</w:t>
      </w:r>
    </w:p>
    <w:p w:rsidR="004F5DE3" w:rsidRPr="0059184B" w:rsidRDefault="00653264" w:rsidP="004F5DE3">
      <w:pPr>
        <w:autoSpaceDE w:val="0"/>
        <w:autoSpaceDN w:val="0"/>
        <w:adjustRightInd w:val="0"/>
        <w:spacing w:line="360" w:lineRule="auto"/>
        <w:rPr>
          <w:rFonts w:ascii="Times New Roman" w:eastAsia="宋体" w:hAnsi="Times New Roman" w:cs="Times New Roman"/>
          <w:kern w:val="0"/>
          <w:sz w:val="24"/>
          <w:szCs w:val="24"/>
        </w:rPr>
      </w:pPr>
      <w:r w:rsidRPr="0059184B">
        <w:rPr>
          <w:rFonts w:ascii="Times New Roman" w:hAnsi="Times New Roman" w:cs="Times New Roman"/>
          <w:sz w:val="24"/>
          <w:szCs w:val="24"/>
        </w:rPr>
        <w:t>Banks used d</w:t>
      </w:r>
      <w:r w:rsidRPr="0059184B">
        <w:rPr>
          <w:rFonts w:ascii="Times New Roman" w:eastAsia="AdvGulliv-R" w:hAnsi="Times New Roman" w:cs="Times New Roman"/>
          <w:kern w:val="0"/>
          <w:sz w:val="24"/>
          <w:szCs w:val="24"/>
        </w:rPr>
        <w:t xml:space="preserve">erivatives for speculation purposes tend to achieve higher returns though </w:t>
      </w:r>
      <w:r w:rsidR="004F5DE3" w:rsidRPr="0059184B">
        <w:rPr>
          <w:rFonts w:ascii="Times New Roman" w:eastAsia="AdvGulliv-R" w:hAnsi="Times New Roman" w:cs="Times New Roman"/>
          <w:kern w:val="0"/>
          <w:sz w:val="24"/>
          <w:szCs w:val="24"/>
        </w:rPr>
        <w:t>those trading activities</w:t>
      </w:r>
      <w:r w:rsidRPr="0059184B">
        <w:rPr>
          <w:rFonts w:ascii="Times New Roman" w:eastAsia="AdvGulliv-R" w:hAnsi="Times New Roman" w:cs="Times New Roman"/>
          <w:kern w:val="0"/>
          <w:sz w:val="24"/>
          <w:szCs w:val="24"/>
        </w:rPr>
        <w:t xml:space="preserve"> expose banks to a higher degree of risk</w:t>
      </w:r>
      <w:r w:rsidR="004F5DE3" w:rsidRPr="0059184B">
        <w:rPr>
          <w:rStyle w:val="apple-converted-space"/>
          <w:rFonts w:ascii="Times New Roman" w:hAnsi="Times New Roman" w:cs="Times New Roman"/>
          <w:sz w:val="24"/>
          <w:szCs w:val="24"/>
          <w:shd w:val="clear" w:color="auto" w:fill="FFFFFF"/>
        </w:rPr>
        <w:t xml:space="preserve"> (Li and Yu, 2010</w:t>
      </w:r>
      <w:r w:rsidR="009F5B63" w:rsidRPr="0059184B">
        <w:rPr>
          <w:rStyle w:val="apple-converted-space"/>
          <w:rFonts w:ascii="Times New Roman" w:hAnsi="Times New Roman" w:cs="Times New Roman"/>
          <w:sz w:val="24"/>
          <w:szCs w:val="24"/>
          <w:shd w:val="clear" w:color="auto" w:fill="FFFFFF"/>
        </w:rPr>
        <w:t>; Lau, 2016</w:t>
      </w:r>
      <w:r w:rsidR="004F5DE3" w:rsidRPr="0059184B">
        <w:rPr>
          <w:rStyle w:val="apple-converted-space"/>
          <w:rFonts w:ascii="Times New Roman" w:hAnsi="Times New Roman" w:cs="Times New Roman"/>
          <w:sz w:val="24"/>
          <w:szCs w:val="24"/>
          <w:shd w:val="clear" w:color="auto" w:fill="FFFFFF"/>
        </w:rPr>
        <w:t>)</w:t>
      </w:r>
      <w:r w:rsidR="004F5DE3" w:rsidRPr="0059184B">
        <w:rPr>
          <w:rFonts w:ascii="Times New Roman" w:eastAsia="AdvGulliv-R" w:hAnsi="Times New Roman" w:cs="Times New Roman"/>
          <w:kern w:val="0"/>
          <w:sz w:val="24"/>
          <w:szCs w:val="24"/>
        </w:rPr>
        <w:t xml:space="preserve">. Said (2011) </w:t>
      </w:r>
      <w:r w:rsidRPr="0059184B">
        <w:rPr>
          <w:rFonts w:ascii="Times New Roman" w:eastAsia="AdvGulliv-R" w:hAnsi="Times New Roman" w:cs="Times New Roman"/>
          <w:kern w:val="0"/>
          <w:sz w:val="24"/>
          <w:szCs w:val="24"/>
        </w:rPr>
        <w:t xml:space="preserve">examines the impact of derivative holdings on U.S. </w:t>
      </w:r>
      <w:r w:rsidRPr="0059184B">
        <w:rPr>
          <w:rFonts w:ascii="Times New Roman" w:hAnsi="Times New Roman" w:cs="Times New Roman"/>
          <w:sz w:val="24"/>
          <w:szCs w:val="24"/>
          <w:shd w:val="clear" w:color="auto" w:fill="FFFFFF"/>
        </w:rPr>
        <w:t>bank performance prior to and during the GFC. He</w:t>
      </w:r>
      <w:r w:rsidR="006364CB" w:rsidRPr="0059184B">
        <w:rPr>
          <w:rFonts w:ascii="Times New Roman" w:hAnsi="Times New Roman" w:cs="Times New Roman"/>
          <w:sz w:val="24"/>
          <w:szCs w:val="24"/>
          <w:shd w:val="clear" w:color="auto" w:fill="FFFFFF"/>
        </w:rPr>
        <w:t xml:space="preserve"> documents</w:t>
      </w:r>
      <w:r w:rsidR="004F5DE3" w:rsidRPr="0059184B">
        <w:rPr>
          <w:rFonts w:ascii="Times New Roman" w:hAnsi="Times New Roman" w:cs="Times New Roman"/>
          <w:sz w:val="24"/>
          <w:szCs w:val="24"/>
          <w:shd w:val="clear" w:color="auto" w:fill="FFFFFF"/>
        </w:rPr>
        <w:t xml:space="preserve"> a positive rel</w:t>
      </w:r>
      <w:r w:rsidR="00037074" w:rsidRPr="0059184B">
        <w:rPr>
          <w:rFonts w:ascii="Times New Roman" w:hAnsi="Times New Roman" w:cs="Times New Roman"/>
          <w:sz w:val="24"/>
          <w:szCs w:val="24"/>
          <w:shd w:val="clear" w:color="auto" w:fill="FFFFFF"/>
        </w:rPr>
        <w:t>ationship between derivative holdings</w:t>
      </w:r>
      <w:r w:rsidR="004F5DE3" w:rsidRPr="0059184B">
        <w:rPr>
          <w:rFonts w:ascii="Times New Roman" w:hAnsi="Times New Roman" w:cs="Times New Roman"/>
          <w:sz w:val="24"/>
          <w:szCs w:val="24"/>
          <w:shd w:val="clear" w:color="auto" w:fill="FFFFFF"/>
        </w:rPr>
        <w:t xml:space="preserve"> and </w:t>
      </w:r>
      <w:r w:rsidR="00037074" w:rsidRPr="0059184B">
        <w:rPr>
          <w:rFonts w:ascii="Times New Roman" w:hAnsi="Times New Roman" w:cs="Times New Roman"/>
          <w:sz w:val="24"/>
          <w:szCs w:val="24"/>
          <w:shd w:val="clear" w:color="auto" w:fill="FFFFFF"/>
        </w:rPr>
        <w:t>bank performance. On the other hand,</w:t>
      </w:r>
      <w:r w:rsidR="004F5DE3" w:rsidRPr="0059184B">
        <w:rPr>
          <w:rFonts w:ascii="Times New Roman" w:hAnsi="Times New Roman" w:cs="Times New Roman"/>
          <w:sz w:val="24"/>
          <w:szCs w:val="24"/>
          <w:shd w:val="clear" w:color="auto" w:fill="FFFFFF"/>
        </w:rPr>
        <w:t xml:space="preserve"> </w:t>
      </w:r>
      <w:proofErr w:type="spellStart"/>
      <w:r w:rsidR="0039624A" w:rsidRPr="0059184B">
        <w:rPr>
          <w:rFonts w:ascii="Times New Roman" w:hAnsi="Times New Roman" w:cs="Times New Roman"/>
          <w:sz w:val="24"/>
          <w:szCs w:val="24"/>
          <w:shd w:val="clear" w:color="auto" w:fill="FFFFFF"/>
        </w:rPr>
        <w:t>Egly</w:t>
      </w:r>
      <w:proofErr w:type="spellEnd"/>
      <w:r w:rsidR="0039624A" w:rsidRPr="0059184B">
        <w:rPr>
          <w:rFonts w:ascii="Times New Roman" w:hAnsi="Times New Roman" w:cs="Times New Roman"/>
          <w:sz w:val="24"/>
          <w:szCs w:val="24"/>
          <w:shd w:val="clear" w:color="auto" w:fill="FFFFFF"/>
        </w:rPr>
        <w:t xml:space="preserve"> and Sun (2014) find that the derivative holdings for trading impose very small effects on bank performance and the trading income d</w:t>
      </w:r>
      <w:r w:rsidR="00D6115A" w:rsidRPr="0059184B">
        <w:rPr>
          <w:rFonts w:ascii="Times New Roman" w:hAnsi="Times New Roman" w:cs="Times New Roman"/>
          <w:sz w:val="24"/>
          <w:szCs w:val="24"/>
          <w:shd w:val="clear" w:color="auto" w:fill="FFFFFF"/>
        </w:rPr>
        <w:t>oes</w:t>
      </w:r>
      <w:r w:rsidR="0039624A" w:rsidRPr="0059184B">
        <w:rPr>
          <w:rFonts w:ascii="Times New Roman" w:hAnsi="Times New Roman" w:cs="Times New Roman"/>
          <w:sz w:val="24"/>
          <w:szCs w:val="24"/>
          <w:shd w:val="clear" w:color="auto" w:fill="FFFFFF"/>
        </w:rPr>
        <w:t xml:space="preserve"> not contribute to banks’ overall income during the crisis. </w:t>
      </w:r>
      <w:proofErr w:type="spellStart"/>
      <w:r w:rsidR="00A662FD" w:rsidRPr="0059184B">
        <w:rPr>
          <w:rFonts w:ascii="Times New Roman" w:eastAsia="AdvGulliv-R" w:hAnsi="Times New Roman" w:cs="Times New Roman"/>
          <w:kern w:val="0"/>
          <w:sz w:val="24"/>
          <w:szCs w:val="24"/>
        </w:rPr>
        <w:t>Keffala</w:t>
      </w:r>
      <w:proofErr w:type="spellEnd"/>
      <w:r w:rsidR="00A662FD" w:rsidRPr="0059184B">
        <w:rPr>
          <w:rFonts w:ascii="Times New Roman" w:eastAsia="AdvGulliv-R" w:hAnsi="Times New Roman" w:cs="Times New Roman"/>
          <w:kern w:val="0"/>
          <w:sz w:val="24"/>
          <w:szCs w:val="24"/>
        </w:rPr>
        <w:t xml:space="preserve"> and De </w:t>
      </w:r>
      <w:proofErr w:type="spellStart"/>
      <w:r w:rsidR="00A662FD" w:rsidRPr="0059184B">
        <w:rPr>
          <w:rFonts w:ascii="Times New Roman" w:eastAsia="AdvGulliv-R" w:hAnsi="Times New Roman" w:cs="Times New Roman"/>
          <w:kern w:val="0"/>
          <w:sz w:val="24"/>
          <w:szCs w:val="24"/>
        </w:rPr>
        <w:t>Peretti</w:t>
      </w:r>
      <w:proofErr w:type="spellEnd"/>
      <w:r w:rsidR="00A662FD" w:rsidRPr="0059184B">
        <w:rPr>
          <w:rFonts w:ascii="Times New Roman" w:eastAsia="AdvGulliv-R" w:hAnsi="Times New Roman" w:cs="Times New Roman"/>
          <w:kern w:val="0"/>
          <w:sz w:val="24"/>
          <w:szCs w:val="24"/>
        </w:rPr>
        <w:t xml:space="preserve"> (2016) investigate banks’ derivative usage in both emerging and developed countries, and find that </w:t>
      </w:r>
      <w:r w:rsidR="00A662FD" w:rsidRPr="0059184B">
        <w:rPr>
          <w:rFonts w:ascii="Times New Roman" w:eastAsia="AdvGulliv-R" w:hAnsi="Times New Roman" w:cs="Times New Roman"/>
          <w:kern w:val="0"/>
          <w:sz w:val="24"/>
          <w:szCs w:val="24"/>
        </w:rPr>
        <w:lastRenderedPageBreak/>
        <w:t xml:space="preserve">derivatives decreased banks’ performance. </w:t>
      </w:r>
      <w:r w:rsidR="006364CB" w:rsidRPr="0059184B">
        <w:rPr>
          <w:rFonts w:ascii="Times New Roman" w:eastAsia="宋体" w:hAnsi="Times New Roman" w:cs="Times New Roman"/>
          <w:kern w:val="0"/>
          <w:sz w:val="24"/>
          <w:szCs w:val="24"/>
        </w:rPr>
        <w:t>W</w:t>
      </w:r>
      <w:r w:rsidR="00D6115A" w:rsidRPr="0059184B">
        <w:rPr>
          <w:rFonts w:ascii="Times New Roman" w:eastAsia="宋体" w:hAnsi="Times New Roman" w:cs="Times New Roman"/>
          <w:kern w:val="0"/>
          <w:sz w:val="24"/>
          <w:szCs w:val="24"/>
        </w:rPr>
        <w:t xml:space="preserve">e share a similar view </w:t>
      </w:r>
      <w:r w:rsidR="00356838" w:rsidRPr="0059184B">
        <w:rPr>
          <w:rFonts w:ascii="Times New Roman" w:eastAsia="宋体" w:hAnsi="Times New Roman" w:cs="Times New Roman"/>
          <w:kern w:val="0"/>
          <w:sz w:val="24"/>
          <w:szCs w:val="24"/>
        </w:rPr>
        <w:t>with</w:t>
      </w:r>
      <w:r w:rsidR="00D6115A" w:rsidRPr="0059184B">
        <w:rPr>
          <w:rFonts w:ascii="Times New Roman" w:eastAsia="宋体" w:hAnsi="Times New Roman" w:cs="Times New Roman"/>
          <w:kern w:val="0"/>
          <w:sz w:val="24"/>
          <w:szCs w:val="24"/>
        </w:rPr>
        <w:t xml:space="preserve"> Said</w:t>
      </w:r>
      <w:r w:rsidR="00037074" w:rsidRPr="0059184B">
        <w:rPr>
          <w:rFonts w:ascii="Times New Roman" w:eastAsia="宋体" w:hAnsi="Times New Roman" w:cs="Times New Roman"/>
          <w:kern w:val="0"/>
          <w:sz w:val="24"/>
          <w:szCs w:val="24"/>
        </w:rPr>
        <w:t xml:space="preserve">, </w:t>
      </w:r>
      <w:r w:rsidR="006364CB" w:rsidRPr="0059184B">
        <w:rPr>
          <w:rFonts w:ascii="Times New Roman" w:eastAsia="宋体" w:hAnsi="Times New Roman" w:cs="Times New Roman"/>
          <w:kern w:val="0"/>
          <w:sz w:val="24"/>
          <w:szCs w:val="24"/>
        </w:rPr>
        <w:t xml:space="preserve">and propose </w:t>
      </w:r>
      <w:r w:rsidR="00037074" w:rsidRPr="0059184B">
        <w:rPr>
          <w:rFonts w:ascii="Times New Roman" w:eastAsia="宋体" w:hAnsi="Times New Roman" w:cs="Times New Roman"/>
          <w:kern w:val="0"/>
          <w:sz w:val="24"/>
          <w:szCs w:val="24"/>
        </w:rPr>
        <w:t>the following hypothesis:</w:t>
      </w:r>
    </w:p>
    <w:p w:rsidR="00037074" w:rsidRPr="0059184B" w:rsidRDefault="00E82080" w:rsidP="004F5DE3">
      <w:pPr>
        <w:autoSpaceDE w:val="0"/>
        <w:autoSpaceDN w:val="0"/>
        <w:adjustRightInd w:val="0"/>
        <w:spacing w:line="360" w:lineRule="auto"/>
        <w:rPr>
          <w:rFonts w:ascii="Times New Roman" w:eastAsia="宋体" w:hAnsi="Times New Roman" w:cs="Times New Roman"/>
          <w:b/>
          <w:kern w:val="0"/>
          <w:sz w:val="24"/>
          <w:szCs w:val="24"/>
        </w:rPr>
      </w:pPr>
      <w:r w:rsidRPr="0059184B">
        <w:rPr>
          <w:rFonts w:ascii="Times New Roman" w:eastAsia="宋体" w:hAnsi="Times New Roman" w:cs="Times New Roman"/>
          <w:b/>
          <w:kern w:val="0"/>
          <w:sz w:val="24"/>
          <w:szCs w:val="24"/>
        </w:rPr>
        <w:t>H</w:t>
      </w:r>
      <w:r w:rsidR="00D6115A" w:rsidRPr="0059184B">
        <w:rPr>
          <w:rFonts w:ascii="Times New Roman" w:eastAsia="宋体" w:hAnsi="Times New Roman" w:cs="Times New Roman"/>
          <w:b/>
          <w:kern w:val="0"/>
          <w:sz w:val="24"/>
          <w:szCs w:val="24"/>
        </w:rPr>
        <w:t>4</w:t>
      </w:r>
      <w:r w:rsidR="00037074" w:rsidRPr="0059184B">
        <w:rPr>
          <w:rFonts w:ascii="Times New Roman" w:eastAsia="宋体" w:hAnsi="Times New Roman" w:cs="Times New Roman"/>
          <w:b/>
          <w:kern w:val="0"/>
          <w:sz w:val="24"/>
          <w:szCs w:val="24"/>
        </w:rPr>
        <w:t xml:space="preserve">: </w:t>
      </w:r>
      <w:r w:rsidR="00037074" w:rsidRPr="0059184B">
        <w:rPr>
          <w:rFonts w:ascii="Times New Roman" w:eastAsia="宋体" w:hAnsi="Times New Roman" w:cs="Times New Roman"/>
          <w:b/>
          <w:i/>
          <w:kern w:val="0"/>
          <w:sz w:val="24"/>
          <w:szCs w:val="24"/>
        </w:rPr>
        <w:t>Derivative holdings improve bank performance</w:t>
      </w:r>
    </w:p>
    <w:p w:rsidR="00A372AB" w:rsidRPr="0059184B" w:rsidRDefault="00A372AB" w:rsidP="003B1F66">
      <w:pPr>
        <w:autoSpaceDE w:val="0"/>
        <w:autoSpaceDN w:val="0"/>
        <w:adjustRightInd w:val="0"/>
        <w:spacing w:line="360" w:lineRule="auto"/>
        <w:rPr>
          <w:rFonts w:ascii="Times New Roman" w:eastAsia="宋体" w:hAnsi="Times New Roman" w:cs="Times New Roman"/>
          <w:kern w:val="0"/>
          <w:sz w:val="24"/>
          <w:szCs w:val="24"/>
        </w:rPr>
      </w:pPr>
    </w:p>
    <w:p w:rsidR="00196318" w:rsidRPr="0059184B" w:rsidRDefault="00D6115A" w:rsidP="00980F7A">
      <w:pPr>
        <w:autoSpaceDE w:val="0"/>
        <w:autoSpaceDN w:val="0"/>
        <w:adjustRightInd w:val="0"/>
        <w:spacing w:line="360" w:lineRule="auto"/>
        <w:rPr>
          <w:rFonts w:ascii="Times New Roman" w:hAnsi="Times New Roman" w:cs="Times New Roman"/>
          <w:sz w:val="24"/>
          <w:szCs w:val="24"/>
          <w:shd w:val="clear" w:color="auto" w:fill="FFFFFF"/>
        </w:rPr>
      </w:pPr>
      <w:r w:rsidRPr="0059184B">
        <w:rPr>
          <w:rFonts w:ascii="Times New Roman" w:eastAsia="AdvGulliv-R" w:hAnsi="Times New Roman" w:cs="Times New Roman"/>
          <w:kern w:val="0"/>
          <w:sz w:val="24"/>
          <w:szCs w:val="24"/>
        </w:rPr>
        <w:t>T</w:t>
      </w:r>
      <w:r w:rsidR="00037074" w:rsidRPr="0059184B">
        <w:rPr>
          <w:rFonts w:ascii="Times New Roman" w:hAnsi="Times New Roman" w:cs="Times New Roman"/>
          <w:sz w:val="24"/>
          <w:szCs w:val="24"/>
        </w:rPr>
        <w:t xml:space="preserve">he </w:t>
      </w:r>
      <w:r w:rsidR="00037074" w:rsidRPr="0059184B">
        <w:rPr>
          <w:rFonts w:ascii="Times New Roman" w:eastAsia="宋体" w:hAnsi="Times New Roman" w:cs="Times New Roman"/>
          <w:kern w:val="0"/>
          <w:sz w:val="24"/>
          <w:szCs w:val="24"/>
        </w:rPr>
        <w:t>D</w:t>
      </w:r>
      <w:r w:rsidR="00C402B3" w:rsidRPr="0059184B">
        <w:rPr>
          <w:rFonts w:ascii="Times New Roman" w:eastAsia="宋体" w:hAnsi="Times New Roman" w:cs="Times New Roman"/>
          <w:kern w:val="0"/>
          <w:sz w:val="24"/>
          <w:szCs w:val="24"/>
        </w:rPr>
        <w:t xml:space="preserve">FA </w:t>
      </w:r>
      <w:r w:rsidR="001F6E91" w:rsidRPr="0059184B">
        <w:rPr>
          <w:rFonts w:ascii="Times New Roman" w:eastAsia="宋体" w:hAnsi="Times New Roman" w:cs="Times New Roman"/>
          <w:kern w:val="0"/>
          <w:sz w:val="24"/>
          <w:szCs w:val="24"/>
        </w:rPr>
        <w:t xml:space="preserve">restricts consumer credit, </w:t>
      </w:r>
      <w:r w:rsidR="005C02D4" w:rsidRPr="0059184B">
        <w:rPr>
          <w:rFonts w:ascii="Times New Roman" w:eastAsia="宋体" w:hAnsi="Times New Roman" w:cs="Times New Roman"/>
          <w:kern w:val="0"/>
          <w:sz w:val="24"/>
          <w:szCs w:val="24"/>
        </w:rPr>
        <w:t>make</w:t>
      </w:r>
      <w:r w:rsidR="00356838" w:rsidRPr="0059184B">
        <w:rPr>
          <w:rFonts w:ascii="Times New Roman" w:eastAsia="宋体" w:hAnsi="Times New Roman" w:cs="Times New Roman"/>
          <w:kern w:val="0"/>
          <w:sz w:val="24"/>
          <w:szCs w:val="24"/>
        </w:rPr>
        <w:t>s</w:t>
      </w:r>
      <w:r w:rsidR="005C02D4" w:rsidRPr="0059184B">
        <w:rPr>
          <w:rFonts w:ascii="Times New Roman" w:eastAsia="宋体" w:hAnsi="Times New Roman" w:cs="Times New Roman"/>
          <w:kern w:val="0"/>
          <w:sz w:val="24"/>
          <w:szCs w:val="24"/>
        </w:rPr>
        <w:t xml:space="preserve"> mortgages and bank transactions more expensive, </w:t>
      </w:r>
      <w:r w:rsidR="001F6E91" w:rsidRPr="0059184B">
        <w:rPr>
          <w:rFonts w:ascii="Times New Roman" w:eastAsia="宋体" w:hAnsi="Times New Roman" w:cs="Times New Roman"/>
          <w:kern w:val="0"/>
          <w:sz w:val="24"/>
          <w:szCs w:val="24"/>
        </w:rPr>
        <w:t>increase</w:t>
      </w:r>
      <w:r w:rsidR="00356838" w:rsidRPr="0059184B">
        <w:rPr>
          <w:rFonts w:ascii="Times New Roman" w:eastAsia="宋体" w:hAnsi="Times New Roman" w:cs="Times New Roman"/>
          <w:kern w:val="0"/>
          <w:sz w:val="24"/>
          <w:szCs w:val="24"/>
        </w:rPr>
        <w:t>s</w:t>
      </w:r>
      <w:r w:rsidR="001F6E91" w:rsidRPr="0059184B">
        <w:rPr>
          <w:rFonts w:ascii="Times New Roman" w:eastAsia="宋体" w:hAnsi="Times New Roman" w:cs="Times New Roman"/>
          <w:kern w:val="0"/>
          <w:sz w:val="24"/>
          <w:szCs w:val="24"/>
        </w:rPr>
        <w:t xml:space="preserve"> banks’ compliance costs, and reduce</w:t>
      </w:r>
      <w:r w:rsidR="00356838" w:rsidRPr="0059184B">
        <w:rPr>
          <w:rFonts w:ascii="Times New Roman" w:eastAsia="宋体" w:hAnsi="Times New Roman" w:cs="Times New Roman"/>
          <w:kern w:val="0"/>
          <w:sz w:val="24"/>
          <w:szCs w:val="24"/>
        </w:rPr>
        <w:t>s</w:t>
      </w:r>
      <w:r w:rsidR="001F6E91" w:rsidRPr="0059184B">
        <w:rPr>
          <w:rFonts w:ascii="Times New Roman" w:eastAsia="宋体" w:hAnsi="Times New Roman" w:cs="Times New Roman"/>
          <w:kern w:val="0"/>
          <w:sz w:val="24"/>
          <w:szCs w:val="24"/>
        </w:rPr>
        <w:t xml:space="preserve"> </w:t>
      </w:r>
      <w:r w:rsidR="005C02D4" w:rsidRPr="0059184B">
        <w:rPr>
          <w:rFonts w:ascii="Times New Roman" w:eastAsia="宋体" w:hAnsi="Times New Roman" w:cs="Times New Roman"/>
          <w:kern w:val="0"/>
          <w:sz w:val="24"/>
          <w:szCs w:val="24"/>
        </w:rPr>
        <w:t xml:space="preserve">banks’ </w:t>
      </w:r>
      <w:r w:rsidR="001F6E91" w:rsidRPr="0059184B">
        <w:rPr>
          <w:rFonts w:ascii="Times New Roman" w:eastAsia="宋体" w:hAnsi="Times New Roman" w:cs="Times New Roman"/>
          <w:kern w:val="0"/>
          <w:sz w:val="24"/>
          <w:szCs w:val="24"/>
        </w:rPr>
        <w:t>liquidity</w:t>
      </w:r>
      <w:r w:rsidR="00C76216" w:rsidRPr="0059184B">
        <w:rPr>
          <w:rFonts w:ascii="Times New Roman" w:eastAsia="宋体" w:hAnsi="Times New Roman" w:cs="Times New Roman"/>
          <w:kern w:val="0"/>
          <w:sz w:val="24"/>
          <w:szCs w:val="24"/>
        </w:rPr>
        <w:t xml:space="preserve">. </w:t>
      </w:r>
      <w:r w:rsidR="004271D9" w:rsidRPr="0059184B">
        <w:rPr>
          <w:rFonts w:ascii="Times New Roman" w:eastAsia="宋体" w:hAnsi="Times New Roman" w:cs="Times New Roman"/>
          <w:kern w:val="0"/>
          <w:sz w:val="24"/>
          <w:szCs w:val="24"/>
        </w:rPr>
        <w:t xml:space="preserve">It also </w:t>
      </w:r>
      <w:r w:rsidR="005C02D4" w:rsidRPr="0059184B">
        <w:rPr>
          <w:rFonts w:ascii="Times New Roman" w:eastAsia="宋体" w:hAnsi="Times New Roman" w:cs="Times New Roman"/>
          <w:kern w:val="0"/>
          <w:sz w:val="24"/>
          <w:szCs w:val="24"/>
        </w:rPr>
        <w:t xml:space="preserve">limits the financial sector’s ability to renovate. </w:t>
      </w:r>
      <w:r w:rsidR="002E2F64" w:rsidRPr="0059184B">
        <w:rPr>
          <w:rFonts w:ascii="Times New Roman" w:eastAsia="宋体" w:hAnsi="Times New Roman" w:cs="Times New Roman"/>
          <w:kern w:val="0"/>
          <w:sz w:val="24"/>
          <w:szCs w:val="24"/>
        </w:rPr>
        <w:t>Previous studies suggest</w:t>
      </w:r>
      <w:r w:rsidR="001F6E91" w:rsidRPr="0059184B">
        <w:rPr>
          <w:rFonts w:ascii="Times New Roman" w:eastAsia="宋体" w:hAnsi="Times New Roman" w:cs="Times New Roman"/>
          <w:kern w:val="0"/>
          <w:sz w:val="24"/>
          <w:szCs w:val="24"/>
        </w:rPr>
        <w:t xml:space="preserve"> that the DFA</w:t>
      </w:r>
      <w:r w:rsidR="00980F7A" w:rsidRPr="0059184B">
        <w:rPr>
          <w:rFonts w:ascii="Times New Roman" w:eastAsia="宋体" w:hAnsi="Times New Roman" w:cs="Times New Roman"/>
          <w:kern w:val="0"/>
          <w:sz w:val="24"/>
          <w:szCs w:val="24"/>
        </w:rPr>
        <w:t xml:space="preserve"> </w:t>
      </w:r>
      <w:r w:rsidR="00980F7A" w:rsidRPr="0059184B">
        <w:rPr>
          <w:rFonts w:ascii="Times New Roman" w:eastAsia="宋体" w:hAnsi="Times New Roman" w:cs="Times New Roman" w:hint="eastAsia"/>
          <w:kern w:val="0"/>
          <w:sz w:val="24"/>
          <w:szCs w:val="24"/>
        </w:rPr>
        <w:t>decrease</w:t>
      </w:r>
      <w:r w:rsidR="001F6E91" w:rsidRPr="0059184B">
        <w:rPr>
          <w:rFonts w:ascii="Times New Roman" w:eastAsia="宋体" w:hAnsi="Times New Roman" w:cs="Times New Roman"/>
          <w:kern w:val="0"/>
          <w:sz w:val="24"/>
          <w:szCs w:val="24"/>
        </w:rPr>
        <w:t>s</w:t>
      </w:r>
      <w:r w:rsidR="00980F7A" w:rsidRPr="0059184B">
        <w:rPr>
          <w:rFonts w:ascii="Times New Roman" w:eastAsia="宋体" w:hAnsi="Times New Roman" w:cs="Times New Roman"/>
          <w:kern w:val="0"/>
          <w:sz w:val="24"/>
          <w:szCs w:val="24"/>
        </w:rPr>
        <w:t xml:space="preserve"> th</w:t>
      </w:r>
      <w:r w:rsidR="00980F7A" w:rsidRPr="0059184B">
        <w:rPr>
          <w:rFonts w:ascii="Times New Roman" w:hAnsi="Times New Roman" w:cs="Times New Roman"/>
          <w:sz w:val="24"/>
          <w:szCs w:val="24"/>
          <w:shd w:val="clear" w:color="auto" w:fill="FFFFFF"/>
        </w:rPr>
        <w:t>e capacity and quality of</w:t>
      </w:r>
      <w:r w:rsidR="00980F7A" w:rsidRPr="0059184B">
        <w:rPr>
          <w:rFonts w:ascii="Times New Roman" w:hAnsi="Times New Roman" w:cs="Times New Roman" w:hint="eastAsia"/>
          <w:sz w:val="24"/>
          <w:szCs w:val="24"/>
          <w:shd w:val="clear" w:color="auto" w:fill="FFFFFF"/>
        </w:rPr>
        <w:t xml:space="preserve"> banks' </w:t>
      </w:r>
      <w:r w:rsidR="00980F7A" w:rsidRPr="0059184B">
        <w:rPr>
          <w:rFonts w:ascii="Times New Roman" w:hAnsi="Times New Roman" w:cs="Times New Roman"/>
          <w:sz w:val="24"/>
          <w:szCs w:val="24"/>
          <w:shd w:val="clear" w:color="auto" w:fill="FFFFFF"/>
        </w:rPr>
        <w:t xml:space="preserve">market-making services (Chow and </w:t>
      </w:r>
      <w:proofErr w:type="spellStart"/>
      <w:r w:rsidR="00980F7A" w:rsidRPr="0059184B">
        <w:rPr>
          <w:rFonts w:ascii="Times New Roman" w:hAnsi="Times New Roman" w:cs="Times New Roman"/>
          <w:sz w:val="24"/>
          <w:szCs w:val="24"/>
          <w:shd w:val="clear" w:color="auto" w:fill="FFFFFF"/>
        </w:rPr>
        <w:t>Surti</w:t>
      </w:r>
      <w:proofErr w:type="spellEnd"/>
      <w:r w:rsidR="00980F7A" w:rsidRPr="0059184B">
        <w:rPr>
          <w:rFonts w:ascii="Times New Roman" w:hAnsi="Times New Roman" w:cs="Times New Roman"/>
          <w:sz w:val="24"/>
          <w:szCs w:val="24"/>
          <w:shd w:val="clear" w:color="auto" w:fill="FFFFFF"/>
        </w:rPr>
        <w:t>, 2011; Whitehead, 2011;</w:t>
      </w:r>
      <w:r w:rsidR="00980F7A" w:rsidRPr="0059184B">
        <w:rPr>
          <w:rFonts w:ascii="Times New Roman" w:hAnsi="Times New Roman" w:cs="Times New Roman" w:hint="eastAsia"/>
          <w:sz w:val="24"/>
          <w:szCs w:val="24"/>
          <w:shd w:val="clear" w:color="auto" w:fill="FFFFFF"/>
        </w:rPr>
        <w:t xml:space="preserve"> </w:t>
      </w:r>
      <w:proofErr w:type="spellStart"/>
      <w:r w:rsidR="00980F7A" w:rsidRPr="0059184B">
        <w:rPr>
          <w:rFonts w:ascii="Times New Roman" w:hAnsi="Times New Roman" w:cs="Times New Roman"/>
          <w:sz w:val="24"/>
          <w:szCs w:val="24"/>
          <w:shd w:val="clear" w:color="auto" w:fill="FFFFFF"/>
        </w:rPr>
        <w:t>Du</w:t>
      </w:r>
      <w:r w:rsidR="00980F7A" w:rsidRPr="0059184B">
        <w:rPr>
          <w:rFonts w:ascii="Times New Roman" w:hAnsi="Times New Roman" w:cs="Times New Roman" w:hint="eastAsia"/>
          <w:sz w:val="24"/>
          <w:szCs w:val="24"/>
          <w:shd w:val="clear" w:color="auto" w:fill="FFFFFF"/>
        </w:rPr>
        <w:t>ffi</w:t>
      </w:r>
      <w:r w:rsidR="00980F7A" w:rsidRPr="0059184B">
        <w:rPr>
          <w:rFonts w:ascii="Times New Roman" w:hAnsi="Times New Roman" w:cs="Times New Roman"/>
          <w:sz w:val="24"/>
          <w:szCs w:val="24"/>
          <w:shd w:val="clear" w:color="auto" w:fill="FFFFFF"/>
        </w:rPr>
        <w:t>e</w:t>
      </w:r>
      <w:proofErr w:type="spellEnd"/>
      <w:r w:rsidR="00980F7A" w:rsidRPr="0059184B">
        <w:rPr>
          <w:rFonts w:ascii="Times New Roman" w:hAnsi="Times New Roman" w:cs="Times New Roman"/>
          <w:sz w:val="24"/>
          <w:szCs w:val="24"/>
          <w:shd w:val="clear" w:color="auto" w:fill="FFFFFF"/>
        </w:rPr>
        <w:t>, 2012)</w:t>
      </w:r>
      <w:r w:rsidR="00196318" w:rsidRPr="0059184B">
        <w:rPr>
          <w:rFonts w:ascii="Times New Roman" w:hAnsi="Times New Roman" w:cs="Times New Roman"/>
          <w:sz w:val="24"/>
          <w:szCs w:val="24"/>
          <w:shd w:val="clear" w:color="auto" w:fill="FFFFFF"/>
        </w:rPr>
        <w:t>, therefore lowering banks’ performance.</w:t>
      </w:r>
      <w:r w:rsidR="00980F7A" w:rsidRPr="0059184B">
        <w:rPr>
          <w:rFonts w:ascii="Times New Roman" w:hAnsi="Times New Roman" w:cs="Times New Roman"/>
          <w:sz w:val="24"/>
          <w:szCs w:val="24"/>
          <w:shd w:val="clear" w:color="auto" w:fill="FFFFFF"/>
        </w:rPr>
        <w:t xml:space="preserve"> </w:t>
      </w:r>
      <w:proofErr w:type="spellStart"/>
      <w:r w:rsidR="00980F7A" w:rsidRPr="0059184B">
        <w:rPr>
          <w:rFonts w:ascii="Times New Roman" w:hAnsi="Times New Roman" w:cs="Times New Roman"/>
          <w:sz w:val="24"/>
          <w:szCs w:val="24"/>
          <w:shd w:val="clear" w:color="auto" w:fill="FFFFFF"/>
        </w:rPr>
        <w:t>Schäfer</w:t>
      </w:r>
      <w:proofErr w:type="spellEnd"/>
      <w:r w:rsidR="00980F7A" w:rsidRPr="0059184B">
        <w:rPr>
          <w:rFonts w:ascii="Times New Roman" w:hAnsi="Times New Roman" w:cs="Times New Roman" w:hint="eastAsia"/>
          <w:sz w:val="24"/>
          <w:szCs w:val="24"/>
          <w:shd w:val="clear" w:color="auto" w:fill="FFFFFF"/>
        </w:rPr>
        <w:t>,</w:t>
      </w:r>
      <w:r w:rsidR="00980F7A" w:rsidRPr="0059184B">
        <w:rPr>
          <w:rFonts w:ascii="Times New Roman" w:hAnsi="Times New Roman" w:cs="Times New Roman"/>
          <w:sz w:val="24"/>
          <w:szCs w:val="24"/>
          <w:shd w:val="clear" w:color="auto" w:fill="FFFFFF"/>
        </w:rPr>
        <w:t xml:space="preserve"> Schnabel</w:t>
      </w:r>
      <w:r w:rsidR="00980F7A" w:rsidRPr="0059184B">
        <w:rPr>
          <w:rFonts w:ascii="Times New Roman" w:hAnsi="Times New Roman" w:cs="Times New Roman" w:hint="eastAsia"/>
          <w:sz w:val="24"/>
          <w:szCs w:val="24"/>
          <w:shd w:val="clear" w:color="auto" w:fill="FFFFFF"/>
        </w:rPr>
        <w:t xml:space="preserve"> and </w:t>
      </w:r>
      <w:proofErr w:type="spellStart"/>
      <w:r w:rsidR="00980F7A" w:rsidRPr="0059184B">
        <w:rPr>
          <w:rFonts w:ascii="Times New Roman" w:hAnsi="Times New Roman" w:cs="Times New Roman"/>
          <w:sz w:val="24"/>
          <w:szCs w:val="24"/>
          <w:shd w:val="clear" w:color="auto" w:fill="FFFFFF"/>
        </w:rPr>
        <w:t>Weder</w:t>
      </w:r>
      <w:proofErr w:type="spellEnd"/>
      <w:r w:rsidR="00980F7A" w:rsidRPr="0059184B">
        <w:rPr>
          <w:rFonts w:ascii="Times New Roman" w:hAnsi="Times New Roman" w:cs="Times New Roman" w:hint="eastAsia"/>
          <w:sz w:val="24"/>
          <w:szCs w:val="24"/>
          <w:shd w:val="clear" w:color="auto" w:fill="FFFFFF"/>
        </w:rPr>
        <w:t xml:space="preserve"> (2013) </w:t>
      </w:r>
      <w:r w:rsidR="001F6E91" w:rsidRPr="0059184B">
        <w:rPr>
          <w:rFonts w:ascii="Times New Roman" w:hAnsi="Times New Roman" w:cs="Times New Roman"/>
          <w:sz w:val="24"/>
          <w:szCs w:val="24"/>
          <w:shd w:val="clear" w:color="auto" w:fill="FFFFFF"/>
        </w:rPr>
        <w:t>present</w:t>
      </w:r>
      <w:r w:rsidR="00980F7A" w:rsidRPr="0059184B">
        <w:rPr>
          <w:rFonts w:ascii="Times New Roman" w:hAnsi="Times New Roman" w:cs="Times New Roman" w:hint="eastAsia"/>
          <w:sz w:val="24"/>
          <w:szCs w:val="24"/>
          <w:shd w:val="clear" w:color="auto" w:fill="FFFFFF"/>
        </w:rPr>
        <w:t xml:space="preserve"> evidence that</w:t>
      </w:r>
      <w:r w:rsidR="001F6E91" w:rsidRPr="0059184B">
        <w:rPr>
          <w:rFonts w:ascii="Times New Roman" w:hAnsi="Times New Roman" w:cs="Times New Roman"/>
          <w:sz w:val="24"/>
          <w:szCs w:val="24"/>
          <w:shd w:val="clear" w:color="auto" w:fill="FFFFFF"/>
        </w:rPr>
        <w:t xml:space="preserve"> the</w:t>
      </w:r>
      <w:r w:rsidR="00980F7A" w:rsidRPr="0059184B">
        <w:rPr>
          <w:rFonts w:ascii="Times New Roman" w:hAnsi="Times New Roman" w:cs="Times New Roman" w:hint="eastAsia"/>
          <w:sz w:val="24"/>
          <w:szCs w:val="24"/>
          <w:shd w:val="clear" w:color="auto" w:fill="FFFFFF"/>
        </w:rPr>
        <w:t xml:space="preserve"> </w:t>
      </w:r>
      <w:r w:rsidR="00980F7A" w:rsidRPr="0059184B">
        <w:rPr>
          <w:rFonts w:ascii="Times New Roman" w:hAnsi="Times New Roman" w:cs="Times New Roman"/>
          <w:sz w:val="24"/>
          <w:szCs w:val="24"/>
          <w:shd w:val="clear" w:color="auto" w:fill="FFFFFF"/>
        </w:rPr>
        <w:t>DFA</w:t>
      </w:r>
      <w:r w:rsidR="00980F7A" w:rsidRPr="0059184B">
        <w:rPr>
          <w:rFonts w:ascii="Times New Roman" w:hAnsi="Times New Roman" w:cs="Times New Roman" w:hint="eastAsia"/>
          <w:sz w:val="24"/>
          <w:szCs w:val="24"/>
          <w:shd w:val="clear" w:color="auto" w:fill="FFFFFF"/>
        </w:rPr>
        <w:t xml:space="preserve"> significantly reduces </w:t>
      </w:r>
      <w:r w:rsidR="001F6E91" w:rsidRPr="0059184B">
        <w:rPr>
          <w:rFonts w:ascii="Times New Roman" w:hAnsi="Times New Roman" w:cs="Times New Roman"/>
          <w:sz w:val="24"/>
          <w:szCs w:val="24"/>
          <w:shd w:val="clear" w:color="auto" w:fill="FFFFFF"/>
        </w:rPr>
        <w:t>banks’ share</w:t>
      </w:r>
      <w:r w:rsidR="00980F7A" w:rsidRPr="0059184B">
        <w:rPr>
          <w:rFonts w:ascii="Times New Roman" w:hAnsi="Times New Roman" w:cs="Times New Roman" w:hint="eastAsia"/>
          <w:sz w:val="24"/>
          <w:szCs w:val="24"/>
          <w:shd w:val="clear" w:color="auto" w:fill="FFFFFF"/>
        </w:rPr>
        <w:t xml:space="preserve"> returns. </w:t>
      </w:r>
      <w:r w:rsidR="00196318" w:rsidRPr="0059184B">
        <w:rPr>
          <w:rFonts w:ascii="Times New Roman" w:hAnsi="Times New Roman" w:cs="Times New Roman" w:hint="eastAsia"/>
          <w:sz w:val="24"/>
          <w:szCs w:val="24"/>
          <w:shd w:val="clear" w:color="auto" w:fill="FFFFFF"/>
        </w:rPr>
        <w:t xml:space="preserve">Chung and </w:t>
      </w:r>
      <w:proofErr w:type="spellStart"/>
      <w:r w:rsidR="00196318" w:rsidRPr="0059184B">
        <w:rPr>
          <w:rFonts w:ascii="Times New Roman" w:hAnsi="Times New Roman" w:cs="Times New Roman" w:hint="eastAsia"/>
          <w:sz w:val="24"/>
          <w:szCs w:val="24"/>
          <w:shd w:val="clear" w:color="auto" w:fill="FFFFFF"/>
        </w:rPr>
        <w:t>Keppo</w:t>
      </w:r>
      <w:proofErr w:type="spellEnd"/>
      <w:r w:rsidR="00196318" w:rsidRPr="0059184B">
        <w:rPr>
          <w:rFonts w:ascii="Times New Roman" w:hAnsi="Times New Roman" w:cs="Times New Roman" w:hint="eastAsia"/>
          <w:sz w:val="24"/>
          <w:szCs w:val="24"/>
          <w:shd w:val="clear" w:color="auto" w:fill="FFFFFF"/>
        </w:rPr>
        <w:t xml:space="preserve"> (2014)</w:t>
      </w:r>
      <w:r w:rsidR="00196318" w:rsidRPr="0059184B">
        <w:rPr>
          <w:rFonts w:ascii="Times New Roman" w:hAnsi="Times New Roman" w:cs="Times New Roman"/>
          <w:sz w:val="24"/>
          <w:szCs w:val="24"/>
          <w:shd w:val="clear" w:color="auto" w:fill="FFFFFF"/>
        </w:rPr>
        <w:t xml:space="preserve"> and </w:t>
      </w:r>
      <w:proofErr w:type="spellStart"/>
      <w:r w:rsidR="00196318" w:rsidRPr="0059184B">
        <w:rPr>
          <w:rFonts w:ascii="Times New Roman" w:hAnsi="Times New Roman" w:cs="Times New Roman" w:hint="eastAsia"/>
          <w:sz w:val="24"/>
          <w:szCs w:val="24"/>
          <w:shd w:val="clear" w:color="auto" w:fill="FFFFFF"/>
        </w:rPr>
        <w:t>Keppo</w:t>
      </w:r>
      <w:proofErr w:type="spellEnd"/>
      <w:r w:rsidR="00196318" w:rsidRPr="0059184B">
        <w:rPr>
          <w:rFonts w:ascii="Times New Roman" w:hAnsi="Times New Roman" w:cs="Times New Roman" w:hint="eastAsia"/>
          <w:sz w:val="24"/>
          <w:szCs w:val="24"/>
          <w:shd w:val="clear" w:color="auto" w:fill="FFFFFF"/>
        </w:rPr>
        <w:t xml:space="preserve"> and </w:t>
      </w:r>
      <w:proofErr w:type="spellStart"/>
      <w:r w:rsidR="00196318" w:rsidRPr="0059184B">
        <w:rPr>
          <w:rFonts w:ascii="Times New Roman" w:hAnsi="Times New Roman" w:cs="Times New Roman" w:hint="eastAsia"/>
          <w:sz w:val="24"/>
          <w:szCs w:val="24"/>
          <w:shd w:val="clear" w:color="auto" w:fill="FFFFFF"/>
        </w:rPr>
        <w:t>Korte</w:t>
      </w:r>
      <w:proofErr w:type="spellEnd"/>
      <w:r w:rsidR="00196318" w:rsidRPr="0059184B">
        <w:rPr>
          <w:rFonts w:ascii="Times New Roman" w:hAnsi="Times New Roman" w:cs="Times New Roman" w:hint="eastAsia"/>
          <w:sz w:val="24"/>
          <w:szCs w:val="24"/>
          <w:shd w:val="clear" w:color="auto" w:fill="FFFFFF"/>
        </w:rPr>
        <w:t xml:space="preserve"> (2016)</w:t>
      </w:r>
      <w:r w:rsidR="00196318" w:rsidRPr="0059184B">
        <w:rPr>
          <w:rFonts w:ascii="Times New Roman" w:hAnsi="Times New Roman" w:cs="Times New Roman"/>
          <w:sz w:val="24"/>
          <w:szCs w:val="24"/>
          <w:shd w:val="clear" w:color="auto" w:fill="FFFFFF"/>
        </w:rPr>
        <w:t xml:space="preserve"> also find </w:t>
      </w:r>
      <w:r w:rsidR="00980F7A" w:rsidRPr="0059184B">
        <w:rPr>
          <w:rFonts w:ascii="Times New Roman" w:hAnsi="Times New Roman" w:cs="Times New Roman"/>
          <w:sz w:val="24"/>
          <w:szCs w:val="24"/>
          <w:shd w:val="clear" w:color="auto" w:fill="FFFFFF"/>
        </w:rPr>
        <w:t xml:space="preserve">that </w:t>
      </w:r>
      <w:r w:rsidR="0061297C" w:rsidRPr="0059184B">
        <w:rPr>
          <w:rFonts w:ascii="Times New Roman" w:hAnsi="Times New Roman" w:cs="Times New Roman"/>
          <w:sz w:val="24"/>
          <w:szCs w:val="24"/>
          <w:shd w:val="clear" w:color="auto" w:fill="FFFFFF"/>
        </w:rPr>
        <w:t xml:space="preserve">the </w:t>
      </w:r>
      <w:r w:rsidR="00980F7A" w:rsidRPr="0059184B">
        <w:rPr>
          <w:rFonts w:ascii="Times New Roman" w:hAnsi="Times New Roman" w:cs="Times New Roman"/>
          <w:sz w:val="24"/>
          <w:szCs w:val="24"/>
          <w:shd w:val="clear" w:color="auto" w:fill="FFFFFF"/>
        </w:rPr>
        <w:t>DFA decreases banks</w:t>
      </w:r>
      <w:r w:rsidR="0061297C" w:rsidRPr="0059184B">
        <w:rPr>
          <w:rFonts w:ascii="Times New Roman" w:hAnsi="Times New Roman" w:cs="Times New Roman"/>
          <w:sz w:val="24"/>
          <w:szCs w:val="24"/>
          <w:shd w:val="clear" w:color="auto" w:fill="FFFFFF"/>
        </w:rPr>
        <w:t>’</w:t>
      </w:r>
      <w:r w:rsidR="00980F7A" w:rsidRPr="0059184B">
        <w:rPr>
          <w:rFonts w:ascii="Times New Roman" w:hAnsi="Times New Roman" w:cs="Times New Roman"/>
          <w:sz w:val="24"/>
          <w:szCs w:val="24"/>
          <w:shd w:val="clear" w:color="auto" w:fill="FFFFFF"/>
        </w:rPr>
        <w:t xml:space="preserve"> earning</w:t>
      </w:r>
      <w:r w:rsidR="0061297C" w:rsidRPr="0059184B">
        <w:rPr>
          <w:rFonts w:ascii="Times New Roman" w:hAnsi="Times New Roman" w:cs="Times New Roman"/>
          <w:sz w:val="24"/>
          <w:szCs w:val="24"/>
          <w:shd w:val="clear" w:color="auto" w:fill="FFFFFF"/>
        </w:rPr>
        <w:t>s</w:t>
      </w:r>
      <w:r w:rsidR="00196318" w:rsidRPr="0059184B">
        <w:rPr>
          <w:rFonts w:ascii="Times New Roman" w:hAnsi="Times New Roman" w:cs="Times New Roman"/>
          <w:sz w:val="24"/>
          <w:szCs w:val="24"/>
          <w:shd w:val="clear" w:color="auto" w:fill="FFFFFF"/>
        </w:rPr>
        <w:t xml:space="preserve">. </w:t>
      </w:r>
      <w:r w:rsidR="001F6E91" w:rsidRPr="0059184B">
        <w:rPr>
          <w:rFonts w:ascii="Times New Roman" w:hAnsi="Times New Roman" w:cs="Times New Roman"/>
          <w:sz w:val="24"/>
          <w:szCs w:val="24"/>
          <w:shd w:val="clear" w:color="auto" w:fill="FFFFFF"/>
        </w:rPr>
        <w:t>In light of the literature discussed above</w:t>
      </w:r>
      <w:r w:rsidR="00E062C2" w:rsidRPr="0059184B">
        <w:rPr>
          <w:rFonts w:ascii="Times New Roman" w:hAnsi="Times New Roman" w:cs="Times New Roman"/>
          <w:sz w:val="24"/>
          <w:szCs w:val="24"/>
          <w:shd w:val="clear" w:color="auto" w:fill="FFFFFF"/>
        </w:rPr>
        <w:t xml:space="preserve">, we </w:t>
      </w:r>
      <w:r w:rsidR="001F6E91" w:rsidRPr="0059184B">
        <w:rPr>
          <w:rFonts w:ascii="Times New Roman" w:hAnsi="Times New Roman" w:cs="Times New Roman"/>
          <w:sz w:val="24"/>
          <w:szCs w:val="24"/>
          <w:shd w:val="clear" w:color="auto" w:fill="FFFFFF"/>
        </w:rPr>
        <w:t>propose</w:t>
      </w:r>
      <w:r w:rsidR="00E062C2" w:rsidRPr="0059184B">
        <w:rPr>
          <w:rFonts w:ascii="Times New Roman" w:hAnsi="Times New Roman" w:cs="Times New Roman"/>
          <w:sz w:val="24"/>
          <w:szCs w:val="24"/>
          <w:shd w:val="clear" w:color="auto" w:fill="FFFFFF"/>
        </w:rPr>
        <w:t xml:space="preserve"> the </w:t>
      </w:r>
      <w:r w:rsidR="001F6E91" w:rsidRPr="0059184B">
        <w:rPr>
          <w:rFonts w:ascii="Times New Roman" w:hAnsi="Times New Roman" w:cs="Times New Roman"/>
          <w:sz w:val="24"/>
          <w:szCs w:val="24"/>
          <w:shd w:val="clear" w:color="auto" w:fill="FFFFFF"/>
        </w:rPr>
        <w:t xml:space="preserve">following </w:t>
      </w:r>
      <w:r w:rsidR="00E062C2" w:rsidRPr="0059184B">
        <w:rPr>
          <w:rFonts w:ascii="Times New Roman" w:hAnsi="Times New Roman" w:cs="Times New Roman"/>
          <w:sz w:val="24"/>
          <w:szCs w:val="24"/>
          <w:shd w:val="clear" w:color="auto" w:fill="FFFFFF"/>
        </w:rPr>
        <w:t>hypothesis:</w:t>
      </w:r>
    </w:p>
    <w:p w:rsidR="00D6115A" w:rsidRPr="0059184B" w:rsidRDefault="00E82080" w:rsidP="00E2215F">
      <w:pPr>
        <w:autoSpaceDE w:val="0"/>
        <w:autoSpaceDN w:val="0"/>
        <w:adjustRightInd w:val="0"/>
        <w:spacing w:line="360" w:lineRule="auto"/>
        <w:rPr>
          <w:rFonts w:ascii="Times New Roman" w:hAnsi="Times New Roman" w:cs="Times New Roman"/>
          <w:b/>
          <w:i/>
          <w:kern w:val="0"/>
          <w:sz w:val="24"/>
          <w:szCs w:val="24"/>
        </w:rPr>
      </w:pPr>
      <w:r w:rsidRPr="0059184B">
        <w:rPr>
          <w:rFonts w:ascii="Times New Roman" w:hAnsi="Times New Roman" w:cs="Times New Roman"/>
          <w:b/>
          <w:kern w:val="0"/>
          <w:sz w:val="24"/>
          <w:szCs w:val="24"/>
        </w:rPr>
        <w:t>H</w:t>
      </w:r>
      <w:r w:rsidR="00D6115A" w:rsidRPr="0059184B">
        <w:rPr>
          <w:rFonts w:ascii="Times New Roman" w:hAnsi="Times New Roman" w:cs="Times New Roman"/>
          <w:b/>
          <w:kern w:val="0"/>
          <w:sz w:val="24"/>
          <w:szCs w:val="24"/>
        </w:rPr>
        <w:t>5</w:t>
      </w:r>
      <w:r w:rsidR="006D42E5" w:rsidRPr="0059184B">
        <w:rPr>
          <w:rFonts w:ascii="Times New Roman" w:hAnsi="Times New Roman" w:cs="Times New Roman"/>
          <w:b/>
          <w:kern w:val="0"/>
          <w:sz w:val="24"/>
          <w:szCs w:val="24"/>
        </w:rPr>
        <w:t>a</w:t>
      </w:r>
      <w:r w:rsidR="001F6E91" w:rsidRPr="0059184B">
        <w:rPr>
          <w:rFonts w:ascii="Times New Roman" w:hAnsi="Times New Roman" w:cs="Times New Roman"/>
          <w:b/>
          <w:kern w:val="0"/>
          <w:sz w:val="24"/>
          <w:szCs w:val="24"/>
        </w:rPr>
        <w:t xml:space="preserve">: </w:t>
      </w:r>
      <w:r w:rsidR="001F6E91" w:rsidRPr="0059184B">
        <w:rPr>
          <w:rFonts w:ascii="Times New Roman" w:hAnsi="Times New Roman" w:cs="Times New Roman"/>
          <w:b/>
          <w:i/>
          <w:kern w:val="0"/>
          <w:sz w:val="24"/>
          <w:szCs w:val="24"/>
        </w:rPr>
        <w:t xml:space="preserve">The implementation of </w:t>
      </w:r>
      <w:r w:rsidR="006D42E5" w:rsidRPr="0059184B">
        <w:rPr>
          <w:rFonts w:ascii="Times New Roman" w:hAnsi="Times New Roman" w:cs="Times New Roman"/>
          <w:b/>
          <w:i/>
          <w:kern w:val="0"/>
          <w:sz w:val="24"/>
          <w:szCs w:val="24"/>
        </w:rPr>
        <w:t xml:space="preserve">the </w:t>
      </w:r>
      <w:r w:rsidR="00E062C2" w:rsidRPr="0059184B">
        <w:rPr>
          <w:rFonts w:ascii="Times New Roman" w:hAnsi="Times New Roman" w:cs="Times New Roman"/>
          <w:b/>
          <w:i/>
          <w:kern w:val="0"/>
          <w:sz w:val="24"/>
          <w:szCs w:val="24"/>
        </w:rPr>
        <w:t>DFA decreases banks performance</w:t>
      </w:r>
    </w:p>
    <w:p w:rsidR="00E2215F" w:rsidRPr="0059184B" w:rsidRDefault="00D6115A" w:rsidP="00E2215F">
      <w:pPr>
        <w:autoSpaceDE w:val="0"/>
        <w:autoSpaceDN w:val="0"/>
        <w:adjustRightInd w:val="0"/>
        <w:spacing w:line="360" w:lineRule="auto"/>
        <w:rPr>
          <w:rFonts w:ascii="Times New Roman" w:hAnsi="Times New Roman" w:cs="Times New Roman"/>
          <w:b/>
          <w:i/>
          <w:kern w:val="0"/>
          <w:sz w:val="24"/>
          <w:szCs w:val="24"/>
        </w:rPr>
      </w:pPr>
      <w:r w:rsidRPr="0059184B">
        <w:rPr>
          <w:rFonts w:ascii="Times New Roman" w:hAnsi="Times New Roman" w:cs="Times New Roman"/>
          <w:b/>
          <w:i/>
          <w:kern w:val="0"/>
          <w:sz w:val="24"/>
          <w:szCs w:val="24"/>
        </w:rPr>
        <w:t>H5</w:t>
      </w:r>
      <w:r w:rsidR="006D42E5" w:rsidRPr="0059184B">
        <w:rPr>
          <w:rFonts w:ascii="Times New Roman" w:hAnsi="Times New Roman" w:cs="Times New Roman"/>
          <w:b/>
          <w:i/>
          <w:kern w:val="0"/>
          <w:sz w:val="24"/>
          <w:szCs w:val="24"/>
        </w:rPr>
        <w:t>b</w:t>
      </w:r>
      <w:r w:rsidRPr="0059184B">
        <w:rPr>
          <w:rFonts w:ascii="Times New Roman" w:hAnsi="Times New Roman" w:cs="Times New Roman"/>
          <w:b/>
          <w:i/>
          <w:kern w:val="0"/>
          <w:sz w:val="24"/>
          <w:szCs w:val="24"/>
        </w:rPr>
        <w:t>:</w:t>
      </w:r>
      <w:r w:rsidR="00E062C2" w:rsidRPr="0059184B">
        <w:rPr>
          <w:rFonts w:ascii="Times New Roman" w:hAnsi="Times New Roman" w:cs="Times New Roman"/>
          <w:b/>
          <w:i/>
          <w:kern w:val="0"/>
          <w:sz w:val="24"/>
          <w:szCs w:val="24"/>
        </w:rPr>
        <w:t xml:space="preserve"> </w:t>
      </w:r>
      <w:r w:rsidRPr="0059184B">
        <w:rPr>
          <w:rFonts w:ascii="Times New Roman" w:hAnsi="Times New Roman" w:cs="Times New Roman"/>
          <w:b/>
          <w:i/>
          <w:kern w:val="0"/>
          <w:sz w:val="24"/>
          <w:szCs w:val="24"/>
        </w:rPr>
        <w:t xml:space="preserve">The implementation of </w:t>
      </w:r>
      <w:r w:rsidR="006D42E5" w:rsidRPr="0059184B">
        <w:rPr>
          <w:rFonts w:ascii="Times New Roman" w:hAnsi="Times New Roman" w:cs="Times New Roman"/>
          <w:b/>
          <w:i/>
          <w:kern w:val="0"/>
          <w:sz w:val="24"/>
          <w:szCs w:val="24"/>
        </w:rPr>
        <w:t xml:space="preserve">the </w:t>
      </w:r>
      <w:r w:rsidRPr="0059184B">
        <w:rPr>
          <w:rFonts w:ascii="Times New Roman" w:hAnsi="Times New Roman" w:cs="Times New Roman"/>
          <w:b/>
          <w:i/>
          <w:kern w:val="0"/>
          <w:sz w:val="24"/>
          <w:szCs w:val="24"/>
        </w:rPr>
        <w:t xml:space="preserve">DFA hampers </w:t>
      </w:r>
      <w:r w:rsidR="00E062C2" w:rsidRPr="0059184B">
        <w:rPr>
          <w:rFonts w:ascii="Times New Roman" w:hAnsi="Times New Roman" w:cs="Times New Roman"/>
          <w:b/>
          <w:i/>
          <w:kern w:val="0"/>
          <w:sz w:val="24"/>
          <w:szCs w:val="24"/>
        </w:rPr>
        <w:t xml:space="preserve">the </w:t>
      </w:r>
      <w:r w:rsidR="001F6E91" w:rsidRPr="0059184B">
        <w:rPr>
          <w:rFonts w:ascii="Times New Roman" w:hAnsi="Times New Roman" w:cs="Times New Roman"/>
          <w:b/>
          <w:i/>
          <w:kern w:val="0"/>
          <w:sz w:val="24"/>
          <w:szCs w:val="24"/>
        </w:rPr>
        <w:t xml:space="preserve">positive </w:t>
      </w:r>
      <w:r w:rsidR="00E062C2" w:rsidRPr="0059184B">
        <w:rPr>
          <w:rFonts w:ascii="Times New Roman" w:hAnsi="Times New Roman" w:cs="Times New Roman"/>
          <w:b/>
          <w:i/>
          <w:kern w:val="0"/>
          <w:sz w:val="24"/>
          <w:szCs w:val="24"/>
        </w:rPr>
        <w:t>effect</w:t>
      </w:r>
      <w:r w:rsidRPr="0059184B">
        <w:rPr>
          <w:rFonts w:ascii="Times New Roman" w:hAnsi="Times New Roman" w:cs="Times New Roman"/>
          <w:b/>
          <w:i/>
          <w:kern w:val="0"/>
          <w:sz w:val="24"/>
          <w:szCs w:val="24"/>
        </w:rPr>
        <w:t>s</w:t>
      </w:r>
      <w:r w:rsidR="00E062C2" w:rsidRPr="0059184B">
        <w:rPr>
          <w:rFonts w:ascii="Times New Roman" w:hAnsi="Times New Roman" w:cs="Times New Roman"/>
          <w:b/>
          <w:i/>
          <w:kern w:val="0"/>
          <w:sz w:val="24"/>
          <w:szCs w:val="24"/>
        </w:rPr>
        <w:t xml:space="preserve"> of derivative</w:t>
      </w:r>
      <w:r w:rsidR="001F6E91" w:rsidRPr="0059184B">
        <w:rPr>
          <w:rFonts w:ascii="Times New Roman" w:hAnsi="Times New Roman" w:cs="Times New Roman"/>
          <w:b/>
          <w:i/>
          <w:kern w:val="0"/>
          <w:sz w:val="24"/>
          <w:szCs w:val="24"/>
        </w:rPr>
        <w:t xml:space="preserve"> holdings on bank performance</w:t>
      </w:r>
      <w:r w:rsidRPr="0059184B">
        <w:rPr>
          <w:rFonts w:ascii="Times New Roman" w:hAnsi="Times New Roman" w:cs="Times New Roman"/>
          <w:b/>
          <w:i/>
          <w:kern w:val="0"/>
          <w:sz w:val="24"/>
          <w:szCs w:val="24"/>
        </w:rPr>
        <w:t xml:space="preserve"> (as in H4)</w:t>
      </w:r>
    </w:p>
    <w:p w:rsidR="00C17B69" w:rsidRPr="0059184B" w:rsidRDefault="00C17B69" w:rsidP="00C17B69">
      <w:pPr>
        <w:autoSpaceDE w:val="0"/>
        <w:autoSpaceDN w:val="0"/>
        <w:adjustRightInd w:val="0"/>
        <w:spacing w:line="360" w:lineRule="auto"/>
        <w:rPr>
          <w:rFonts w:ascii="Times New Roman" w:eastAsia="宋体" w:hAnsi="Times New Roman" w:cs="Times New Roman"/>
          <w:kern w:val="0"/>
          <w:sz w:val="24"/>
          <w:szCs w:val="24"/>
        </w:rPr>
      </w:pPr>
    </w:p>
    <w:p w:rsidR="00EA1F38" w:rsidRPr="0059184B" w:rsidRDefault="00C61C16" w:rsidP="00C61C16">
      <w:pPr>
        <w:pStyle w:val="2"/>
        <w:rPr>
          <w:rFonts w:ascii="Times New Roman" w:hAnsi="Times New Roman" w:cs="Times New Roman"/>
          <w:sz w:val="24"/>
          <w:szCs w:val="24"/>
        </w:rPr>
      </w:pPr>
      <w:r w:rsidRPr="0059184B">
        <w:rPr>
          <w:rFonts w:ascii="Times New Roman" w:hAnsi="Times New Roman" w:cs="Times New Roman"/>
          <w:bCs w:val="0"/>
          <w:sz w:val="24"/>
          <w:szCs w:val="24"/>
        </w:rPr>
        <w:t>3.</w:t>
      </w:r>
      <w:r w:rsidRPr="0059184B">
        <w:rPr>
          <w:rFonts w:ascii="Times New Roman" w:hAnsi="Times New Roman" w:cs="Times New Roman"/>
          <w:sz w:val="24"/>
          <w:szCs w:val="24"/>
        </w:rPr>
        <w:t xml:space="preserve"> </w:t>
      </w:r>
      <w:r w:rsidR="00EA1F38" w:rsidRPr="0059184B">
        <w:rPr>
          <w:rFonts w:ascii="Times New Roman" w:hAnsi="Times New Roman" w:cs="Times New Roman"/>
          <w:sz w:val="24"/>
          <w:szCs w:val="24"/>
        </w:rPr>
        <w:t xml:space="preserve">Methodology </w:t>
      </w:r>
    </w:p>
    <w:p w:rsidR="00EA1F38" w:rsidRPr="0059184B" w:rsidRDefault="00EA1F38" w:rsidP="00EA1F38">
      <w:pPr>
        <w:spacing w:line="360" w:lineRule="auto"/>
        <w:rPr>
          <w:rFonts w:ascii="Times New Roman" w:hAnsi="Times New Roman" w:cs="Times New Roman"/>
          <w:sz w:val="24"/>
          <w:szCs w:val="24"/>
        </w:rPr>
      </w:pPr>
      <w:r w:rsidRPr="0059184B">
        <w:rPr>
          <w:rFonts w:ascii="Times New Roman" w:hAnsi="Times New Roman" w:cs="Times New Roman"/>
          <w:sz w:val="24"/>
          <w:szCs w:val="24"/>
        </w:rPr>
        <w:t>In this section, we present the models use</w:t>
      </w:r>
      <w:r w:rsidR="006D42E5" w:rsidRPr="0059184B">
        <w:rPr>
          <w:rFonts w:ascii="Times New Roman" w:hAnsi="Times New Roman" w:cs="Times New Roman"/>
          <w:sz w:val="24"/>
          <w:szCs w:val="24"/>
        </w:rPr>
        <w:t>d</w:t>
      </w:r>
      <w:r w:rsidRPr="0059184B">
        <w:rPr>
          <w:rFonts w:ascii="Times New Roman" w:hAnsi="Times New Roman" w:cs="Times New Roman"/>
          <w:sz w:val="24"/>
          <w:szCs w:val="24"/>
        </w:rPr>
        <w:t xml:space="preserve"> to test the null hypothesis formulated earlier. We would like to get better understanding what </w:t>
      </w:r>
      <w:proofErr w:type="gramStart"/>
      <w:r w:rsidRPr="0059184B">
        <w:rPr>
          <w:rFonts w:ascii="Times New Roman" w:hAnsi="Times New Roman" w:cs="Times New Roman"/>
          <w:sz w:val="24"/>
          <w:szCs w:val="24"/>
        </w:rPr>
        <w:t xml:space="preserve">are </w:t>
      </w:r>
      <w:r w:rsidR="006D42E5" w:rsidRPr="0059184B">
        <w:rPr>
          <w:rFonts w:ascii="Times New Roman" w:hAnsi="Times New Roman" w:cs="Times New Roman"/>
          <w:sz w:val="24"/>
          <w:szCs w:val="24"/>
        </w:rPr>
        <w:t xml:space="preserve">the </w:t>
      </w:r>
      <w:r w:rsidRPr="0059184B">
        <w:rPr>
          <w:rFonts w:ascii="Times New Roman" w:hAnsi="Times New Roman" w:cs="Times New Roman"/>
          <w:sz w:val="24"/>
          <w:szCs w:val="24"/>
        </w:rPr>
        <w:t>determinants of banks’ systemic risk</w:t>
      </w:r>
      <w:proofErr w:type="gramEnd"/>
      <w:r w:rsidRPr="0059184B">
        <w:rPr>
          <w:rFonts w:ascii="Times New Roman" w:hAnsi="Times New Roman" w:cs="Times New Roman"/>
          <w:sz w:val="24"/>
          <w:szCs w:val="24"/>
        </w:rPr>
        <w:t xml:space="preserve"> and what factors influence risk and performance of individual companies from banking sector. The section is divide</w:t>
      </w:r>
      <w:r w:rsidR="006D42E5" w:rsidRPr="0059184B">
        <w:rPr>
          <w:rFonts w:ascii="Times New Roman" w:hAnsi="Times New Roman" w:cs="Times New Roman"/>
          <w:sz w:val="24"/>
          <w:szCs w:val="24"/>
        </w:rPr>
        <w:t>d</w:t>
      </w:r>
      <w:r w:rsidRPr="0059184B">
        <w:rPr>
          <w:rFonts w:ascii="Times New Roman" w:hAnsi="Times New Roman" w:cs="Times New Roman"/>
          <w:sz w:val="24"/>
          <w:szCs w:val="24"/>
        </w:rPr>
        <w:t xml:space="preserve"> into two parts, and each of them </w:t>
      </w:r>
      <w:r w:rsidR="006D42E5" w:rsidRPr="0059184B">
        <w:rPr>
          <w:rFonts w:ascii="Times New Roman" w:hAnsi="Times New Roman" w:cs="Times New Roman"/>
          <w:sz w:val="24"/>
          <w:szCs w:val="24"/>
        </w:rPr>
        <w:t>focuses</w:t>
      </w:r>
      <w:r w:rsidRPr="0059184B">
        <w:rPr>
          <w:rFonts w:ascii="Times New Roman" w:hAnsi="Times New Roman" w:cs="Times New Roman"/>
          <w:sz w:val="24"/>
          <w:szCs w:val="24"/>
        </w:rPr>
        <w:t xml:space="preserve"> on one of the above topic.  </w:t>
      </w:r>
    </w:p>
    <w:p w:rsidR="00EA1F38" w:rsidRPr="0059184B" w:rsidRDefault="00EA1F38" w:rsidP="00EA1F38">
      <w:pPr>
        <w:spacing w:line="360" w:lineRule="auto"/>
        <w:rPr>
          <w:rFonts w:ascii="Times New Roman" w:hAnsi="Times New Roman" w:cs="Times New Roman"/>
          <w:b/>
          <w:sz w:val="24"/>
          <w:szCs w:val="24"/>
        </w:rPr>
      </w:pPr>
    </w:p>
    <w:p w:rsidR="00EA1F38" w:rsidRPr="0059184B" w:rsidRDefault="00C61C16" w:rsidP="00C61C16">
      <w:pPr>
        <w:pStyle w:val="3"/>
        <w:rPr>
          <w:rFonts w:ascii="Times New Roman" w:hAnsi="Times New Roman" w:cs="Times New Roman"/>
          <w:sz w:val="24"/>
          <w:szCs w:val="24"/>
        </w:rPr>
      </w:pPr>
      <w:r w:rsidRPr="0059184B">
        <w:rPr>
          <w:rFonts w:ascii="Times New Roman" w:hAnsi="Times New Roman" w:cs="Times New Roman"/>
          <w:sz w:val="24"/>
          <w:szCs w:val="24"/>
        </w:rPr>
        <w:t xml:space="preserve">3.1. </w:t>
      </w:r>
      <w:r w:rsidR="00EA1F38" w:rsidRPr="0059184B">
        <w:rPr>
          <w:rFonts w:ascii="Times New Roman" w:hAnsi="Times New Roman" w:cs="Times New Roman"/>
          <w:sz w:val="24"/>
          <w:szCs w:val="24"/>
        </w:rPr>
        <w:t xml:space="preserve">Bank’s systemic risk </w:t>
      </w:r>
    </w:p>
    <w:p w:rsidR="00225FAE" w:rsidRPr="0059184B" w:rsidRDefault="00225FAE" w:rsidP="00225FAE">
      <w:pPr>
        <w:spacing w:line="360" w:lineRule="auto"/>
        <w:rPr>
          <w:rFonts w:ascii="Times New Roman" w:hAnsi="Times New Roman" w:cs="Times New Roman"/>
          <w:kern w:val="0"/>
          <w:sz w:val="24"/>
          <w:szCs w:val="24"/>
        </w:rPr>
      </w:pPr>
      <w:r w:rsidRPr="0059184B">
        <w:rPr>
          <w:rFonts w:ascii="Times New Roman" w:hAnsi="Times New Roman" w:cs="Times New Roman"/>
          <w:kern w:val="0"/>
          <w:sz w:val="24"/>
          <w:szCs w:val="24"/>
        </w:rPr>
        <w:t xml:space="preserve">We consider conditional value at risk as a proxy for the contribution of each bank to the systemic risk. Our approach is in line of study by Adrian and </w:t>
      </w:r>
      <w:proofErr w:type="spellStart"/>
      <w:r w:rsidRPr="0059184B">
        <w:rPr>
          <w:rFonts w:ascii="Times New Roman" w:hAnsi="Times New Roman" w:cs="Times New Roman"/>
          <w:kern w:val="0"/>
          <w:sz w:val="24"/>
          <w:szCs w:val="24"/>
        </w:rPr>
        <w:t>Brunnermeier</w:t>
      </w:r>
      <w:proofErr w:type="spellEnd"/>
      <w:r w:rsidRPr="0059184B">
        <w:rPr>
          <w:rFonts w:ascii="Times New Roman" w:hAnsi="Times New Roman" w:cs="Times New Roman"/>
          <w:kern w:val="0"/>
          <w:sz w:val="24"/>
          <w:szCs w:val="24"/>
        </w:rPr>
        <w:t xml:space="preserve"> (2011), we calculate the Value at Risk of banking system conditional on the distress of the bank</w:t>
      </w:r>
      <w:r w:rsidRPr="0059184B">
        <w:rPr>
          <w:rFonts w:ascii="Times New Roman" w:hAnsi="Times New Roman" w:cs="Times New Roman"/>
          <w:i/>
          <w:kern w:val="0"/>
          <w:sz w:val="24"/>
          <w:szCs w:val="24"/>
        </w:rPr>
        <w:t xml:space="preserve"> </w:t>
      </w:r>
      <w:proofErr w:type="spellStart"/>
      <w:r w:rsidRPr="0059184B">
        <w:rPr>
          <w:rFonts w:ascii="Times New Roman" w:hAnsi="Times New Roman" w:cs="Times New Roman"/>
          <w:i/>
          <w:kern w:val="0"/>
          <w:sz w:val="24"/>
          <w:szCs w:val="24"/>
        </w:rPr>
        <w:t>i</w:t>
      </w:r>
      <w:proofErr w:type="spellEnd"/>
      <w:r w:rsidRPr="0059184B">
        <w:rPr>
          <w:rFonts w:ascii="Times New Roman" w:hAnsi="Times New Roman" w:cs="Times New Roman"/>
          <w:kern w:val="0"/>
          <w:sz w:val="24"/>
          <w:szCs w:val="24"/>
        </w:rPr>
        <w:t xml:space="preserve"> with a confidence level of 95% (</w:t>
      </w:r>
      <w:proofErr w:type="spellStart"/>
      <w:r w:rsidRPr="0059184B">
        <w:rPr>
          <w:rFonts w:ascii="Times New Roman" w:hAnsi="Times New Roman" w:cs="Times New Roman"/>
          <w:i/>
          <w:kern w:val="0"/>
          <w:sz w:val="24"/>
          <w:szCs w:val="24"/>
        </w:rPr>
        <w:t>CoVaR</w:t>
      </w:r>
      <w:proofErr w:type="spellEnd"/>
      <w:r w:rsidRPr="0059184B">
        <w:rPr>
          <w:rFonts w:ascii="Times New Roman" w:hAnsi="Times New Roman" w:cs="Times New Roman"/>
          <w:kern w:val="0"/>
          <w:sz w:val="24"/>
          <w:szCs w:val="24"/>
        </w:rPr>
        <w:t xml:space="preserve">) and also the </w:t>
      </w:r>
      <w:proofErr w:type="spellStart"/>
      <w:r w:rsidRPr="0059184B">
        <w:rPr>
          <w:rFonts w:ascii="Times New Roman" w:hAnsi="Times New Roman" w:cs="Times New Roman"/>
          <w:i/>
          <w:kern w:val="0"/>
          <w:sz w:val="24"/>
          <w:szCs w:val="24"/>
        </w:rPr>
        <w:t>CoVaR</w:t>
      </w:r>
      <w:proofErr w:type="spellEnd"/>
      <w:r w:rsidRPr="0059184B">
        <w:rPr>
          <w:rFonts w:ascii="Times New Roman" w:hAnsi="Times New Roman" w:cs="Times New Roman"/>
          <w:kern w:val="0"/>
          <w:sz w:val="24"/>
          <w:szCs w:val="24"/>
        </w:rPr>
        <w:t xml:space="preserve"> of banking system with a confidence </w:t>
      </w:r>
      <w:r w:rsidRPr="0059184B">
        <w:rPr>
          <w:rFonts w:ascii="Times New Roman" w:hAnsi="Times New Roman" w:cs="Times New Roman"/>
          <w:kern w:val="0"/>
          <w:sz w:val="24"/>
          <w:szCs w:val="24"/>
        </w:rPr>
        <w:lastRenderedPageBreak/>
        <w:t xml:space="preserve">level of 50%, which is conditional on the median state of the bank. Therefore, bank </w:t>
      </w:r>
      <w:r w:rsidRPr="0059184B">
        <w:rPr>
          <w:rFonts w:ascii="Times New Roman" w:hAnsi="Times New Roman" w:cs="Times New Roman"/>
          <w:i/>
          <w:kern w:val="0"/>
          <w:sz w:val="24"/>
          <w:szCs w:val="24"/>
        </w:rPr>
        <w:t>i</w:t>
      </w:r>
      <w:r w:rsidRPr="0059184B">
        <w:rPr>
          <w:rFonts w:ascii="Times New Roman" w:hAnsi="Times New Roman" w:cs="Times New Roman"/>
          <w:kern w:val="0"/>
          <w:sz w:val="24"/>
          <w:szCs w:val="24"/>
        </w:rPr>
        <w:t xml:space="preserve">’s contribution to systemic risk is estimated as the difference between those two </w:t>
      </w:r>
      <w:proofErr w:type="spellStart"/>
      <w:r w:rsidRPr="0059184B">
        <w:rPr>
          <w:rFonts w:ascii="Times New Roman" w:hAnsi="Times New Roman" w:cs="Times New Roman"/>
          <w:i/>
          <w:kern w:val="0"/>
          <w:sz w:val="24"/>
          <w:szCs w:val="24"/>
        </w:rPr>
        <w:t>CoVaRs</w:t>
      </w:r>
      <w:proofErr w:type="spellEnd"/>
      <w:r w:rsidRPr="0059184B">
        <w:rPr>
          <w:rFonts w:ascii="Times New Roman" w:hAnsi="Times New Roman" w:cs="Times New Roman"/>
          <w:kern w:val="0"/>
          <w:sz w:val="24"/>
          <w:szCs w:val="24"/>
        </w:rPr>
        <w:t xml:space="preserve"> of banking system.</w:t>
      </w:r>
    </w:p>
    <w:p w:rsidR="00EA1F38" w:rsidRPr="0059184B" w:rsidRDefault="00EA1F38" w:rsidP="00EA1F38">
      <w:pPr>
        <w:spacing w:line="360" w:lineRule="auto"/>
        <w:jc w:val="center"/>
        <w:rPr>
          <w:rFonts w:ascii="Times New Roman" w:hAnsi="Times New Roman" w:cs="Times New Roman"/>
          <w:sz w:val="24"/>
          <w:szCs w:val="24"/>
        </w:rPr>
      </w:pPr>
    </w:p>
    <w:p w:rsidR="00EA1F38" w:rsidRPr="0059184B" w:rsidRDefault="00EA1F38" w:rsidP="0087140C">
      <w:pPr>
        <w:spacing w:line="360" w:lineRule="auto"/>
        <w:jc w:val="right"/>
        <w:rPr>
          <w:rFonts w:ascii="Times New Roman" w:hAnsi="Times New Roman" w:cs="Times New Roman"/>
          <w:sz w:val="24"/>
          <w:szCs w:val="24"/>
        </w:rPr>
      </w:pPr>
      <w:r w:rsidRPr="0059184B">
        <w:object w:dxaOrig="43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43.5pt" o:ole="">
            <v:imagedata r:id="rId16" o:title=""/>
          </v:shape>
          <o:OLEObject Type="Embed" ProgID="Equation.DSMT4" ShapeID="_x0000_i1025" DrawAspect="Content" ObjectID="_1596442768" r:id="rId17"/>
        </w:object>
      </w:r>
      <w:r w:rsidRPr="0059184B">
        <w:t xml:space="preserve">,                   </w:t>
      </w:r>
      <w:r w:rsidRPr="0059184B">
        <w:rPr>
          <w:rFonts w:ascii="Times New Roman" w:hAnsi="Times New Roman" w:cs="Times New Roman"/>
          <w:sz w:val="24"/>
          <w:szCs w:val="24"/>
        </w:rPr>
        <w:t>(1)</w:t>
      </w:r>
    </w:p>
    <w:p w:rsidR="00EA1F38" w:rsidRPr="0059184B" w:rsidRDefault="00EA1F38" w:rsidP="00EA1F38">
      <w:pPr>
        <w:spacing w:line="360" w:lineRule="auto"/>
        <w:jc w:val="left"/>
        <w:rPr>
          <w:rFonts w:ascii="Times New Roman" w:hAnsi="Times New Roman" w:cs="Times New Roman"/>
          <w:sz w:val="24"/>
          <w:szCs w:val="24"/>
        </w:rPr>
      </w:pPr>
      <w:proofErr w:type="gramStart"/>
      <w:r w:rsidRPr="0059184B">
        <w:rPr>
          <w:rFonts w:ascii="Times New Roman" w:hAnsi="Times New Roman" w:cs="Times New Roman"/>
          <w:sz w:val="24"/>
          <w:szCs w:val="24"/>
        </w:rPr>
        <w:t>where</w:t>
      </w:r>
      <w:proofErr w:type="gramEnd"/>
      <w:r w:rsidRPr="0059184B">
        <w:rPr>
          <w:rFonts w:ascii="Times New Roman" w:hAnsi="Times New Roman" w:cs="Times New Roman"/>
          <w:sz w:val="24"/>
          <w:szCs w:val="24"/>
        </w:rPr>
        <w:t xml:space="preserve"> </w:t>
      </w:r>
      <w:proofErr w:type="spellStart"/>
      <w:r w:rsidRPr="0059184B">
        <w:rPr>
          <w:rFonts w:ascii="Times New Roman" w:hAnsi="Times New Roman" w:cs="Times New Roman" w:hint="eastAsia"/>
          <w:i/>
          <w:sz w:val="24"/>
          <w:szCs w:val="24"/>
        </w:rPr>
        <w:t>CoVaR</w:t>
      </w:r>
      <w:proofErr w:type="spellEnd"/>
      <w:r w:rsidRPr="0059184B">
        <w:rPr>
          <w:rFonts w:ascii="Times New Roman" w:hAnsi="Times New Roman" w:cs="Times New Roman"/>
          <w:i/>
          <w:sz w:val="24"/>
          <w:szCs w:val="24"/>
        </w:rPr>
        <w:t>(q</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hint="eastAsia"/>
          <w:i/>
          <w:sz w:val="24"/>
          <w:szCs w:val="24"/>
        </w:rPr>
        <w:t>VaR</w:t>
      </w:r>
      <w:proofErr w:type="spellEnd"/>
      <w:r w:rsidRPr="0059184B">
        <w:rPr>
          <w:rFonts w:ascii="Times New Roman" w:hAnsi="Times New Roman" w:cs="Times New Roman"/>
          <w:i/>
          <w:sz w:val="24"/>
          <w:szCs w:val="24"/>
        </w:rPr>
        <w:t>(q)</w:t>
      </w:r>
      <w:r w:rsidRPr="0059184B">
        <w:rPr>
          <w:rFonts w:ascii="Times New Roman" w:hAnsi="Times New Roman" w:cs="Times New Roman"/>
          <w:sz w:val="24"/>
          <w:szCs w:val="24"/>
        </w:rPr>
        <w:t xml:space="preserve"> are defined </w:t>
      </w:r>
    </w:p>
    <w:p w:rsidR="00EA1F38" w:rsidRPr="0059184B" w:rsidRDefault="00EA1F38" w:rsidP="00EA1F38">
      <w:pPr>
        <w:spacing w:line="360" w:lineRule="auto"/>
        <w:jc w:val="left"/>
        <w:rPr>
          <w:rFonts w:ascii="Times New Roman" w:hAnsi="Times New Roman" w:cs="Times New Roman"/>
          <w:sz w:val="24"/>
          <w:szCs w:val="24"/>
        </w:rPr>
      </w:pPr>
    </w:p>
    <w:p w:rsidR="00EA1F38" w:rsidRPr="0059184B" w:rsidRDefault="00EA1F38" w:rsidP="0087140C">
      <w:pPr>
        <w:spacing w:line="360" w:lineRule="auto"/>
        <w:jc w:val="right"/>
        <w:rPr>
          <w:rFonts w:ascii="Times New Roman" w:hAnsi="Times New Roman" w:cs="Times New Roman"/>
          <w:sz w:val="24"/>
          <w:szCs w:val="24"/>
        </w:rPr>
      </w:pPr>
      <w:r w:rsidRPr="0059184B">
        <w:object w:dxaOrig="4520" w:dyaOrig="880">
          <v:shape id="_x0000_i1026" type="#_x0000_t75" style="width:223.5pt;height:43.5pt" o:ole="">
            <v:imagedata r:id="rId18" o:title=""/>
          </v:shape>
          <o:OLEObject Type="Embed" ProgID="Equation.DSMT4" ShapeID="_x0000_i1026" DrawAspect="Content" ObjectID="_1596442769" r:id="rId19"/>
        </w:object>
      </w:r>
      <w:r w:rsidRPr="0059184B">
        <w:t xml:space="preserve">  </w:t>
      </w:r>
      <w:r w:rsidRPr="0059184B">
        <w:tab/>
      </w:r>
      <w:r w:rsidRPr="0059184B">
        <w:tab/>
      </w:r>
      <w:r w:rsidRPr="0059184B">
        <w:tab/>
      </w:r>
      <w:r w:rsidRPr="0059184B">
        <w:tab/>
      </w:r>
      <w:r w:rsidRPr="0059184B">
        <w:rPr>
          <w:rFonts w:ascii="Times New Roman" w:hAnsi="Times New Roman" w:cs="Times New Roman"/>
          <w:sz w:val="24"/>
          <w:szCs w:val="24"/>
        </w:rPr>
        <w:t>(2)</w:t>
      </w:r>
    </w:p>
    <w:p w:rsidR="00EA1F38" w:rsidRPr="0059184B" w:rsidRDefault="00EA1F38" w:rsidP="00EA1F38">
      <w:pPr>
        <w:spacing w:line="360" w:lineRule="auto"/>
        <w:rPr>
          <w:rFonts w:ascii="Times New Roman" w:hAnsi="Times New Roman" w:cs="Times New Roman"/>
          <w:sz w:val="24"/>
          <w:szCs w:val="24"/>
        </w:rPr>
      </w:pPr>
    </w:p>
    <w:p w:rsidR="00EA1F38" w:rsidRPr="0059184B" w:rsidRDefault="00EA1F38" w:rsidP="00EA1F38">
      <w:pPr>
        <w:spacing w:line="360" w:lineRule="auto"/>
        <w:rPr>
          <w:rFonts w:ascii="Times New Roman" w:hAnsi="Times New Roman" w:cs="Times New Roman"/>
          <w:sz w:val="24"/>
          <w:szCs w:val="24"/>
        </w:rPr>
      </w:pPr>
      <w:r w:rsidRPr="0059184B">
        <w:rPr>
          <w:rFonts w:ascii="Times New Roman" w:hAnsi="Times New Roman" w:cs="Times New Roman"/>
          <w:sz w:val="24"/>
          <w:szCs w:val="24"/>
        </w:rPr>
        <w:t>The estimation of quantile regression</w:t>
      </w:r>
      <w:r w:rsidRPr="0059184B">
        <w:rPr>
          <w:rFonts w:ascii="Times New Roman" w:hAnsi="Times New Roman" w:cs="Times New Roman" w:hint="eastAsia"/>
          <w:sz w:val="24"/>
          <w:szCs w:val="24"/>
        </w:rPr>
        <w:t xml:space="preserve"> </w:t>
      </w:r>
      <w:r w:rsidRPr="0059184B">
        <w:rPr>
          <w:rFonts w:ascii="Times New Roman" w:hAnsi="Times New Roman" w:cs="Times New Roman"/>
          <w:sz w:val="24"/>
          <w:szCs w:val="24"/>
        </w:rPr>
        <w:t>(</w:t>
      </w:r>
      <w:proofErr w:type="spellStart"/>
      <w:r w:rsidRPr="0059184B">
        <w:rPr>
          <w:rFonts w:ascii="Times New Roman" w:hAnsi="Times New Roman" w:cs="Times New Roman"/>
          <w:sz w:val="24"/>
          <w:szCs w:val="24"/>
        </w:rPr>
        <w:t>Koenker</w:t>
      </w:r>
      <w:proofErr w:type="spellEnd"/>
      <w:r w:rsidRPr="0059184B">
        <w:rPr>
          <w:rFonts w:ascii="Times New Roman" w:hAnsi="Times New Roman" w:cs="Times New Roman"/>
          <w:sz w:val="24"/>
          <w:szCs w:val="24"/>
        </w:rPr>
        <w:t xml:space="preserve"> and Bassett, 1978) allow</w:t>
      </w:r>
      <w:r w:rsidR="00225FAE" w:rsidRPr="0059184B">
        <w:rPr>
          <w:rFonts w:ascii="Times New Roman" w:hAnsi="Times New Roman" w:cs="Times New Roman"/>
          <w:sz w:val="24"/>
          <w:szCs w:val="24"/>
        </w:rPr>
        <w:t>s</w:t>
      </w:r>
      <w:r w:rsidRPr="0059184B">
        <w:rPr>
          <w:rFonts w:ascii="Times New Roman" w:hAnsi="Times New Roman" w:cs="Times New Roman"/>
          <w:sz w:val="24"/>
          <w:szCs w:val="24"/>
        </w:rPr>
        <w:t xml:space="preserve"> to estimated parameters α and γ input for equation (2) for each bank </w:t>
      </w:r>
      <w:proofErr w:type="spellStart"/>
      <w:r w:rsidRPr="0059184B">
        <w:rPr>
          <w:rFonts w:ascii="Times New Roman" w:hAnsi="Times New Roman" w:cs="Times New Roman"/>
          <w:i/>
          <w:sz w:val="24"/>
          <w:szCs w:val="24"/>
        </w:rPr>
        <w:t>i</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and the whole banking system. More precisely, we estimate the </w:t>
      </w:r>
      <w:r w:rsidRPr="0059184B">
        <w:rPr>
          <w:rFonts w:ascii="Times New Roman" w:hAnsi="Times New Roman" w:cs="Times New Roman" w:hint="eastAsia"/>
          <w:sz w:val="24"/>
          <w:szCs w:val="24"/>
        </w:rPr>
        <w:t>growth rate of the market value of total assets</w:t>
      </w:r>
      <w:r w:rsidRPr="0059184B">
        <w:rPr>
          <w:rFonts w:ascii="Times New Roman" w:hAnsi="Times New Roman" w:cs="Times New Roman"/>
          <w:sz w:val="24"/>
          <w:szCs w:val="24"/>
        </w:rPr>
        <w:t>,</w:t>
      </w:r>
      <w:r w:rsidRPr="0059184B">
        <w:rPr>
          <w:rFonts w:ascii="Times New Roman" w:hAnsi="Times New Roman" w:cs="Times New Roman" w:hint="eastAsia"/>
          <w:i/>
          <w:sz w:val="24"/>
          <w:szCs w:val="24"/>
        </w:rPr>
        <w:t xml:space="preserve"> X</w:t>
      </w:r>
      <w:r w:rsidRPr="0059184B">
        <w:rPr>
          <w:rFonts w:ascii="Times New Roman" w:hAnsi="Times New Roman" w:cs="Times New Roman" w:hint="eastAsia"/>
          <w:i/>
          <w:sz w:val="24"/>
          <w:szCs w:val="24"/>
          <w:vertAlign w:val="subscript"/>
        </w:rPr>
        <w:t>i</w:t>
      </w:r>
      <w:r w:rsidRPr="0059184B">
        <w:rPr>
          <w:rFonts w:ascii="Times New Roman" w:hAnsi="Times New Roman" w:cs="Times New Roman" w:hint="eastAsia"/>
          <w:sz w:val="24"/>
          <w:szCs w:val="24"/>
        </w:rPr>
        <w:t xml:space="preserve"> </w:t>
      </w:r>
      <w:r w:rsidRPr="0059184B">
        <w:rPr>
          <w:rFonts w:ascii="Times New Roman" w:hAnsi="Times New Roman" w:cs="Times New Roman"/>
          <w:sz w:val="24"/>
          <w:szCs w:val="24"/>
        </w:rPr>
        <w:t xml:space="preserve">that defined </w:t>
      </w:r>
      <w:r w:rsidRPr="0059184B">
        <w:rPr>
          <w:rFonts w:ascii="Times New Roman" w:hAnsi="Times New Roman" w:cs="Times New Roman" w:hint="eastAsia"/>
          <w:sz w:val="24"/>
          <w:szCs w:val="24"/>
        </w:rPr>
        <w:t xml:space="preserve">as the growth rate of market valued assets, where market valued assets is defined as the product between the market value of </w:t>
      </w:r>
      <w:r w:rsidRPr="0059184B">
        <w:rPr>
          <w:rFonts w:ascii="Times New Roman" w:hAnsi="Times New Roman" w:cs="Times New Roman"/>
          <w:sz w:val="24"/>
          <w:szCs w:val="24"/>
        </w:rPr>
        <w:t>equity</w:t>
      </w:r>
      <w:r w:rsidRPr="0059184B">
        <w:rPr>
          <w:rFonts w:ascii="Times New Roman" w:hAnsi="Times New Roman" w:cs="Times New Roman" w:hint="eastAsia"/>
          <w:sz w:val="24"/>
          <w:szCs w:val="24"/>
        </w:rPr>
        <w:t xml:space="preserve"> of institution </w:t>
      </w:r>
      <w:proofErr w:type="spellStart"/>
      <w:r w:rsidRPr="0059184B">
        <w:rPr>
          <w:rFonts w:ascii="Times New Roman" w:hAnsi="Times New Roman" w:cs="Times New Roman"/>
          <w:i/>
          <w:sz w:val="24"/>
          <w:szCs w:val="24"/>
        </w:rPr>
        <w:t>i</w:t>
      </w:r>
      <w:proofErr w:type="spellEnd"/>
      <w:r w:rsidRPr="0059184B">
        <w:rPr>
          <w:rFonts w:ascii="Times New Roman" w:hAnsi="Times New Roman" w:cs="Times New Roman" w:hint="eastAsia"/>
          <w:sz w:val="24"/>
          <w:szCs w:val="24"/>
        </w:rPr>
        <w:t xml:space="preserve"> and its ratio of total assets to book equity.</w:t>
      </w:r>
      <w:r w:rsidRPr="0059184B">
        <w:rPr>
          <w:rFonts w:ascii="Times New Roman" w:hAnsi="Times New Roman" w:cs="Times New Roman"/>
          <w:sz w:val="24"/>
          <w:szCs w:val="24"/>
        </w:rPr>
        <w:t xml:space="preserve"> We consider the following quantile regression:</w:t>
      </w:r>
    </w:p>
    <w:p w:rsidR="00EA1F38" w:rsidRPr="0059184B" w:rsidRDefault="00EA1F38" w:rsidP="00EA1F38">
      <w:pPr>
        <w:spacing w:line="360" w:lineRule="auto"/>
        <w:rPr>
          <w:rFonts w:ascii="Times New Roman" w:hAnsi="Times New Roman" w:cs="Times New Roman"/>
          <w:sz w:val="24"/>
          <w:szCs w:val="24"/>
        </w:rPr>
      </w:pPr>
    </w:p>
    <w:p w:rsidR="00EA1F38" w:rsidRPr="0059184B" w:rsidRDefault="00EA1F38" w:rsidP="0087140C">
      <w:pPr>
        <w:wordWrap w:val="0"/>
        <w:spacing w:line="360" w:lineRule="auto"/>
        <w:jc w:val="right"/>
        <w:rPr>
          <w:rFonts w:ascii="Times New Roman" w:hAnsi="Times New Roman" w:cs="Times New Roman"/>
          <w:sz w:val="24"/>
          <w:szCs w:val="24"/>
        </w:rPr>
      </w:pPr>
      <w:r w:rsidRPr="0059184B">
        <w:object w:dxaOrig="4700" w:dyaOrig="760">
          <v:shape id="_x0000_i1027" type="#_x0000_t75" style="width:236.2pt;height:38.25pt" o:ole="">
            <v:imagedata r:id="rId20" o:title=""/>
          </v:shape>
          <o:OLEObject Type="Embed" ProgID="Equation.DSMT4" ShapeID="_x0000_i1027" DrawAspect="Content" ObjectID="_1596442770" r:id="rId21"/>
        </w:object>
      </w:r>
      <w:r w:rsidR="00225FAE" w:rsidRPr="0059184B">
        <w:t xml:space="preserve">             </w:t>
      </w:r>
      <w:r w:rsidRPr="0059184B">
        <w:rPr>
          <w:rFonts w:ascii="Times New Roman" w:hAnsi="Times New Roman" w:cs="Times New Roman"/>
          <w:sz w:val="24"/>
          <w:szCs w:val="24"/>
        </w:rPr>
        <w:t>(3)</w:t>
      </w:r>
    </w:p>
    <w:p w:rsidR="00EA1F38" w:rsidRPr="0059184B" w:rsidRDefault="00EA1F38" w:rsidP="00EA1F38">
      <w:pPr>
        <w:spacing w:line="360" w:lineRule="auto"/>
        <w:rPr>
          <w:rFonts w:ascii="Times New Roman" w:hAnsi="Times New Roman" w:cs="Times New Roman"/>
          <w:sz w:val="24"/>
          <w:szCs w:val="24"/>
        </w:rPr>
      </w:pPr>
    </w:p>
    <w:p w:rsidR="00EA1F38" w:rsidRPr="0059184B" w:rsidRDefault="00EA1F38" w:rsidP="00EA1F38">
      <w:pPr>
        <w:spacing w:line="360" w:lineRule="auto"/>
        <w:rPr>
          <w:rFonts w:ascii="Times New Roman" w:eastAsia="AdvGulliv-R" w:hAnsi="Times New Roman" w:cs="Times New Roman"/>
          <w:kern w:val="0"/>
          <w:sz w:val="24"/>
          <w:szCs w:val="24"/>
        </w:rPr>
      </w:pPr>
      <w:proofErr w:type="gramStart"/>
      <w:r w:rsidRPr="0059184B">
        <w:rPr>
          <w:rFonts w:ascii="Times New Roman" w:hAnsi="Times New Roman" w:cs="Times New Roman"/>
          <w:sz w:val="24"/>
          <w:szCs w:val="24"/>
        </w:rPr>
        <w:t>where</w:t>
      </w:r>
      <w:proofErr w:type="gramEnd"/>
      <w:r w:rsidRPr="0059184B">
        <w:rPr>
          <w:rFonts w:ascii="Times New Roman" w:hAnsi="Times New Roman" w:cs="Times New Roman"/>
          <w:sz w:val="24"/>
          <w:szCs w:val="24"/>
        </w:rPr>
        <w:t xml:space="preserve"> </w:t>
      </w:r>
      <w:r w:rsidRPr="0059184B">
        <w:rPr>
          <w:rFonts w:ascii="Times New Roman" w:hAnsi="Times New Roman" w:cs="Times New Roman" w:hint="eastAsia"/>
          <w:i/>
          <w:sz w:val="24"/>
          <w:szCs w:val="24"/>
        </w:rPr>
        <w:t>M</w:t>
      </w:r>
      <w:r w:rsidRPr="0059184B">
        <w:rPr>
          <w:rFonts w:ascii="Times New Roman" w:hAnsi="Times New Roman" w:cs="Times New Roman" w:hint="eastAsia"/>
          <w:i/>
          <w:sz w:val="24"/>
          <w:szCs w:val="24"/>
          <w:vertAlign w:val="subscript"/>
        </w:rPr>
        <w:t>t-1</w:t>
      </w:r>
      <w:r w:rsidRPr="0059184B">
        <w:rPr>
          <w:rFonts w:ascii="Times New Roman" w:hAnsi="Times New Roman" w:cs="Times New Roman"/>
          <w:sz w:val="24"/>
          <w:szCs w:val="24"/>
        </w:rPr>
        <w:t xml:space="preserve"> is a set of state variables describing the current market situation</w:t>
      </w:r>
      <w:r w:rsidRPr="0059184B">
        <w:rPr>
          <w:rStyle w:val="a5"/>
          <w:rFonts w:ascii="Times New Roman" w:hAnsi="Times New Roman" w:cs="Times New Roman"/>
          <w:sz w:val="24"/>
          <w:szCs w:val="24"/>
        </w:rPr>
        <w:footnoteReference w:id="4"/>
      </w:r>
      <w:r w:rsidRPr="0059184B">
        <w:rPr>
          <w:rFonts w:ascii="Times New Roman" w:hAnsi="Times New Roman" w:cs="Times New Roman"/>
          <w:sz w:val="24"/>
          <w:szCs w:val="24"/>
        </w:rPr>
        <w:t xml:space="preserve">. The above constructed proxy of bank’s systemic risk is a dependent variable in the panel regression design to </w:t>
      </w:r>
      <w:r w:rsidRPr="0059184B">
        <w:rPr>
          <w:rFonts w:ascii="Times New Roman" w:eastAsia="AdvGulliv-R" w:hAnsi="Times New Roman" w:cs="Times New Roman"/>
          <w:kern w:val="0"/>
          <w:sz w:val="24"/>
          <w:szCs w:val="24"/>
        </w:rPr>
        <w:t xml:space="preserve">examine the effect of derivatives usage and </w:t>
      </w:r>
      <w:r w:rsidR="00225FAE" w:rsidRPr="0059184B">
        <w:rPr>
          <w:rFonts w:ascii="Times New Roman" w:eastAsia="AdvGulliv-R" w:hAnsi="Times New Roman" w:cs="Times New Roman"/>
          <w:kern w:val="0"/>
          <w:sz w:val="24"/>
          <w:szCs w:val="24"/>
        </w:rPr>
        <w:t xml:space="preserve">the </w:t>
      </w:r>
      <w:r w:rsidRPr="0059184B">
        <w:rPr>
          <w:rFonts w:ascii="Times New Roman" w:eastAsia="AdvGulliv-R" w:hAnsi="Times New Roman" w:cs="Times New Roman"/>
          <w:kern w:val="0"/>
          <w:sz w:val="24"/>
          <w:szCs w:val="24"/>
        </w:rPr>
        <w:t xml:space="preserve">introduction of </w:t>
      </w:r>
      <w:r w:rsidR="00225FAE" w:rsidRPr="0059184B">
        <w:rPr>
          <w:rFonts w:ascii="Times New Roman" w:hAnsi="Times New Roman" w:cs="Times New Roman"/>
          <w:sz w:val="24"/>
          <w:szCs w:val="24"/>
        </w:rPr>
        <w:t>the DFA</w:t>
      </w:r>
      <w:r w:rsidRPr="0059184B">
        <w:rPr>
          <w:rFonts w:ascii="Times New Roman" w:hAnsi="Times New Roman" w:cs="Times New Roman"/>
          <w:sz w:val="24"/>
          <w:szCs w:val="24"/>
        </w:rPr>
        <w:t xml:space="preserve"> </w:t>
      </w:r>
      <w:r w:rsidRPr="0059184B">
        <w:rPr>
          <w:rFonts w:ascii="Times New Roman" w:eastAsia="AdvGulliv-R" w:hAnsi="Times New Roman" w:cs="Times New Roman"/>
          <w:kern w:val="0"/>
          <w:sz w:val="24"/>
          <w:szCs w:val="24"/>
        </w:rPr>
        <w:t xml:space="preserve">on banks’ </w:t>
      </w:r>
      <w:r w:rsidR="00225FAE" w:rsidRPr="0059184B">
        <w:rPr>
          <w:rFonts w:ascii="Times New Roman" w:eastAsia="AdvGulliv-R" w:hAnsi="Times New Roman" w:cs="Times New Roman"/>
          <w:kern w:val="0"/>
          <w:sz w:val="24"/>
          <w:szCs w:val="24"/>
        </w:rPr>
        <w:t>contribution to systemic risk</w:t>
      </w:r>
      <w:r w:rsidRPr="0059184B">
        <w:rPr>
          <w:rFonts w:ascii="Times New Roman" w:eastAsia="AdvGulliv-R" w:hAnsi="Times New Roman" w:cs="Times New Roman"/>
          <w:kern w:val="0"/>
          <w:sz w:val="24"/>
          <w:szCs w:val="24"/>
        </w:rPr>
        <w:t xml:space="preserve">, the following model was estimated: </w:t>
      </w:r>
    </w:p>
    <w:p w:rsidR="00EA1F38" w:rsidRPr="0059184B" w:rsidRDefault="00EA1F38" w:rsidP="00EA1F38">
      <w:pPr>
        <w:spacing w:line="360" w:lineRule="auto"/>
        <w:rPr>
          <w:rFonts w:ascii="Times New Roman" w:eastAsia="AdvGulliv-R" w:hAnsi="Times New Roman" w:cs="Times New Roman"/>
          <w:kern w:val="0"/>
          <w:sz w:val="24"/>
          <w:szCs w:val="24"/>
        </w:rPr>
      </w:pPr>
    </w:p>
    <w:p w:rsidR="00EA1F38" w:rsidRPr="0059184B" w:rsidRDefault="00EA1F38" w:rsidP="00EA1F38">
      <w:pPr>
        <w:pStyle w:val="a7"/>
        <w:tabs>
          <w:tab w:val="center" w:pos="4200"/>
          <w:tab w:val="right" w:pos="8400"/>
        </w:tabs>
        <w:spacing w:line="360" w:lineRule="auto"/>
        <w:jc w:val="center"/>
        <w:textAlignment w:val="center"/>
        <w:rPr>
          <w:rFonts w:ascii="Times New Roman" w:hAnsi="Times New Roman" w:cs="Times New Roman"/>
        </w:rPr>
      </w:pPr>
      <w:r w:rsidRPr="0059184B">
        <w:rPr>
          <w:rFonts w:ascii="Times New Roman" w:hAnsi="Times New Roman" w:cs="Times New Roman"/>
        </w:rPr>
        <w:object w:dxaOrig="7800" w:dyaOrig="400">
          <v:shape id="_x0000_i1028" type="#_x0000_t75" style="width:392.35pt;height:20.25pt" o:ole="">
            <v:imagedata r:id="rId22" o:title=""/>
          </v:shape>
          <o:OLEObject Type="Embed" ProgID="Unknown" ShapeID="_x0000_i1028" DrawAspect="Content" ObjectID="_1596442771" r:id="rId23"/>
        </w:object>
      </w:r>
      <w:r w:rsidRPr="0059184B">
        <w:rPr>
          <w:rFonts w:ascii="Times New Roman" w:hAnsi="Times New Roman" w:cs="Times New Roman"/>
          <w:sz w:val="24"/>
          <w:szCs w:val="24"/>
        </w:rPr>
        <w:t>, (4)</w:t>
      </w:r>
    </w:p>
    <w:p w:rsidR="00EA1F38" w:rsidRPr="0059184B" w:rsidRDefault="00EA1F38" w:rsidP="00EA1F38">
      <w:pPr>
        <w:spacing w:line="360" w:lineRule="auto"/>
        <w:rPr>
          <w:rFonts w:ascii="Times New Roman" w:hAnsi="Times New Roman" w:cs="Times New Roman"/>
        </w:rPr>
      </w:pPr>
    </w:p>
    <w:p w:rsidR="00225FAE" w:rsidRPr="0059184B" w:rsidRDefault="00225FAE" w:rsidP="00225FAE">
      <w:pPr>
        <w:autoSpaceDE w:val="0"/>
        <w:autoSpaceDN w:val="0"/>
        <w:adjustRightInd w:val="0"/>
        <w:spacing w:line="360" w:lineRule="auto"/>
        <w:rPr>
          <w:rFonts w:ascii="Times New Roman" w:hAnsi="Times New Roman" w:cs="Times New Roman"/>
          <w:b/>
          <w:kern w:val="0"/>
          <w:sz w:val="24"/>
          <w:szCs w:val="24"/>
        </w:rPr>
      </w:pPr>
      <w:r w:rsidRPr="0059184B">
        <w:rPr>
          <w:rFonts w:ascii="Times New Roman" w:hAnsi="Times New Roman" w:cs="Times New Roman"/>
          <w:sz w:val="24"/>
          <w:szCs w:val="24"/>
        </w:rPr>
        <w:t xml:space="preserve">where </w:t>
      </w:r>
      <w:proofErr w:type="spellStart"/>
      <w:r w:rsidRPr="0059184B">
        <w:rPr>
          <w:rFonts w:ascii="Times New Roman" w:hAnsi="Times New Roman" w:cs="Times New Roman"/>
          <w:i/>
          <w:sz w:val="24"/>
          <w:szCs w:val="24"/>
        </w:rPr>
        <w:t>SR</w:t>
      </w:r>
      <w:r w:rsidRPr="0059184B">
        <w:rPr>
          <w:rFonts w:ascii="Times New Roman" w:hAnsi="Times New Roman" w:cs="Times New Roman"/>
          <w:i/>
          <w:sz w:val="24"/>
          <w:szCs w:val="24"/>
          <w:vertAlign w:val="subscript"/>
        </w:rPr>
        <w:t>i,t</w:t>
      </w:r>
      <w:proofErr w:type="spellEnd"/>
      <w:r w:rsidRPr="0059184B">
        <w:rPr>
          <w:rFonts w:ascii="Times New Roman" w:hAnsi="Times New Roman" w:cs="Times New Roman"/>
          <w:sz w:val="24"/>
          <w:szCs w:val="24"/>
        </w:rPr>
        <w:t>, is the measure on banks’ contribution to systemic risk initially measured by the change in conditional value at risk (</w:t>
      </w:r>
      <w:proofErr w:type="spellStart"/>
      <w:r w:rsidRPr="0059184B">
        <w:rPr>
          <w:rFonts w:ascii="Times New Roman" w:eastAsia="方正舒体" w:hAnsi="Times New Roman" w:cs="Times New Roman"/>
          <w:kern w:val="0"/>
          <w:sz w:val="24"/>
          <w:szCs w:val="24"/>
        </w:rPr>
        <w:t>Δ</w:t>
      </w:r>
      <w:r w:rsidRPr="0059184B">
        <w:rPr>
          <w:rFonts w:ascii="Times New Roman" w:eastAsia="AdvGulliv-R" w:hAnsi="Times New Roman" w:cs="Times New Roman"/>
          <w:kern w:val="0"/>
          <w:sz w:val="24"/>
          <w:szCs w:val="24"/>
        </w:rPr>
        <w:t>CoVaR</w:t>
      </w:r>
      <w:proofErr w:type="spellEnd"/>
      <w:r w:rsidRPr="0059184B">
        <w:rPr>
          <w:rFonts w:ascii="Times New Roman" w:eastAsia="AdvGulliv-R" w:hAnsi="Times New Roman" w:cs="Times New Roman"/>
          <w:kern w:val="0"/>
          <w:sz w:val="24"/>
          <w:szCs w:val="24"/>
        </w:rPr>
        <w:t>)</w:t>
      </w:r>
      <w:r w:rsidRPr="0059184B">
        <w:rPr>
          <w:rFonts w:ascii="Times New Roman" w:hAnsi="Times New Roman" w:cs="Times New Roman"/>
          <w:sz w:val="24"/>
          <w:szCs w:val="24"/>
        </w:rPr>
        <w:t>;</w:t>
      </w:r>
      <w:r w:rsidRPr="0059184B">
        <w:rPr>
          <w:rFonts w:ascii="Times New Roman" w:eastAsia="AdvGulliv-R" w:hAnsi="Times New Roman" w:cs="Times New Roman"/>
          <w:kern w:val="0"/>
          <w:sz w:val="24"/>
          <w:szCs w:val="24"/>
        </w:rPr>
        <w:t xml:space="preserve"> </w:t>
      </w:r>
      <w:proofErr w:type="spellStart"/>
      <w:r w:rsidRPr="0059184B">
        <w:rPr>
          <w:rFonts w:ascii="Times New Roman" w:hAnsi="Times New Roman" w:cs="Times New Roman"/>
          <w:i/>
          <w:sz w:val="24"/>
          <w:szCs w:val="24"/>
        </w:rPr>
        <w:t>Y</w:t>
      </w:r>
      <w:r w:rsidRPr="0059184B">
        <w:rPr>
          <w:rFonts w:ascii="Times New Roman" w:hAnsi="Times New Roman" w:cs="Times New Roman"/>
          <w:i/>
          <w:sz w:val="24"/>
          <w:szCs w:val="24"/>
          <w:vertAlign w:val="subscript"/>
        </w:rPr>
        <w:t>i,t</w:t>
      </w:r>
      <w:proofErr w:type="spellEnd"/>
      <w:r w:rsidRPr="0059184B">
        <w:rPr>
          <w:rFonts w:ascii="Times New Roman" w:hAnsi="Times New Roman" w:cs="Times New Roman"/>
          <w:sz w:val="24"/>
          <w:szCs w:val="24"/>
        </w:rPr>
        <w:t xml:space="preserve"> is the notional value of and credit derivatives</w:t>
      </w:r>
      <w:r w:rsidR="00185853" w:rsidRPr="0059184B">
        <w:rPr>
          <w:rFonts w:ascii="Times New Roman" w:hAnsi="Times New Roman" w:cs="Times New Roman"/>
          <w:sz w:val="24"/>
          <w:szCs w:val="24"/>
        </w:rPr>
        <w:t xml:space="preserve"> and interest rate</w:t>
      </w:r>
      <w:r w:rsidR="00907BC6" w:rsidRPr="0059184B">
        <w:rPr>
          <w:rFonts w:ascii="Times New Roman" w:hAnsi="Times New Roman" w:cs="Times New Roman"/>
          <w:sz w:val="24"/>
          <w:szCs w:val="24"/>
        </w:rPr>
        <w:t xml:space="preserve"> derivatives</w:t>
      </w:r>
      <w:r w:rsidR="00047F64" w:rsidRPr="0059184B">
        <w:rPr>
          <w:rFonts w:ascii="Times New Roman" w:hAnsi="Times New Roman" w:cs="Times New Roman"/>
          <w:sz w:val="24"/>
          <w:szCs w:val="24"/>
        </w:rPr>
        <w:t xml:space="preserve">, categorized either </w:t>
      </w:r>
      <w:r w:rsidR="00185853" w:rsidRPr="0059184B">
        <w:rPr>
          <w:rFonts w:ascii="Times New Roman" w:hAnsi="Times New Roman" w:cs="Times New Roman"/>
          <w:sz w:val="24"/>
          <w:szCs w:val="24"/>
        </w:rPr>
        <w:t>by holding purpose (</w:t>
      </w:r>
      <w:r w:rsidR="00047F64" w:rsidRPr="0059184B">
        <w:rPr>
          <w:rFonts w:ascii="Times New Roman" w:hAnsi="Times New Roman" w:cs="Times New Roman"/>
          <w:sz w:val="24"/>
          <w:szCs w:val="24"/>
        </w:rPr>
        <w:t xml:space="preserve">trading </w:t>
      </w:r>
      <w:r w:rsidR="00185853" w:rsidRPr="0059184B">
        <w:rPr>
          <w:rFonts w:ascii="Times New Roman" w:hAnsi="Times New Roman" w:cs="Times New Roman"/>
          <w:sz w:val="24"/>
          <w:szCs w:val="24"/>
        </w:rPr>
        <w:t>or</w:t>
      </w:r>
      <w:r w:rsidR="00047F64" w:rsidRPr="0059184B">
        <w:rPr>
          <w:rFonts w:ascii="Times New Roman" w:hAnsi="Times New Roman" w:cs="Times New Roman"/>
          <w:sz w:val="24"/>
          <w:szCs w:val="24"/>
        </w:rPr>
        <w:t xml:space="preserve"> hedging</w:t>
      </w:r>
      <w:r w:rsidR="00185853" w:rsidRPr="0059184B">
        <w:rPr>
          <w:rFonts w:ascii="Times New Roman" w:hAnsi="Times New Roman" w:cs="Times New Roman"/>
          <w:sz w:val="24"/>
          <w:szCs w:val="24"/>
        </w:rPr>
        <w:t>)</w:t>
      </w:r>
      <w:r w:rsidR="00047F64" w:rsidRPr="0059184B">
        <w:rPr>
          <w:rFonts w:ascii="Times New Roman" w:hAnsi="Times New Roman" w:cs="Times New Roman"/>
          <w:sz w:val="24"/>
          <w:szCs w:val="24"/>
        </w:rPr>
        <w:t xml:space="preserve"> or </w:t>
      </w:r>
      <w:r w:rsidR="00185853" w:rsidRPr="0059184B">
        <w:rPr>
          <w:rFonts w:ascii="Times New Roman" w:hAnsi="Times New Roman" w:cs="Times New Roman"/>
          <w:sz w:val="24"/>
          <w:szCs w:val="24"/>
        </w:rPr>
        <w:t>by trading approach (OTC or</w:t>
      </w:r>
      <w:r w:rsidR="00047F64" w:rsidRPr="0059184B">
        <w:rPr>
          <w:rFonts w:ascii="Times New Roman" w:hAnsi="Times New Roman" w:cs="Times New Roman"/>
          <w:sz w:val="24"/>
          <w:szCs w:val="24"/>
        </w:rPr>
        <w:t xml:space="preserve"> exchange</w:t>
      </w:r>
      <w:r w:rsidR="00185853" w:rsidRPr="0059184B">
        <w:rPr>
          <w:rFonts w:ascii="Times New Roman" w:hAnsi="Times New Roman" w:cs="Times New Roman"/>
          <w:sz w:val="24"/>
          <w:szCs w:val="24"/>
        </w:rPr>
        <w:t>)</w:t>
      </w:r>
      <w:r w:rsidRPr="0059184B">
        <w:rPr>
          <w:rFonts w:ascii="Times New Roman" w:hAnsi="Times New Roman" w:cs="Times New Roman"/>
          <w:sz w:val="24"/>
          <w:szCs w:val="24"/>
        </w:rPr>
        <w:t xml:space="preserve">; the event dummy,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vertAlign w:val="subscript"/>
        </w:rPr>
        <w:t xml:space="preserve">, </w:t>
      </w:r>
      <w:r w:rsidRPr="0059184B">
        <w:rPr>
          <w:rFonts w:ascii="Times New Roman" w:hAnsi="Times New Roman" w:cs="Times New Roman"/>
          <w:sz w:val="24"/>
          <w:szCs w:val="24"/>
        </w:rPr>
        <w:t>which is set to one after the introduction of the DFA and zero otherwise;</w:t>
      </w:r>
      <w:r w:rsidRPr="0059184B">
        <w:rPr>
          <w:rFonts w:ascii="Times New Roman" w:eastAsia="AdvGulliv-R" w:hAnsi="Times New Roman" w:cs="Times New Roman"/>
          <w:kern w:val="0"/>
          <w:sz w:val="24"/>
          <w:szCs w:val="24"/>
        </w:rPr>
        <w:t xml:space="preserve"> </w:t>
      </w:r>
      <w:r w:rsidRPr="0059184B">
        <w:rPr>
          <w:rFonts w:ascii="Times New Roman" w:eastAsia="AdvGulliv-R" w:hAnsi="Times New Roman" w:cs="Times New Roman"/>
          <w:i/>
          <w:kern w:val="0"/>
          <w:sz w:val="24"/>
          <w:szCs w:val="24"/>
        </w:rPr>
        <w:t>C</w:t>
      </w:r>
      <w:r w:rsidRPr="0059184B">
        <w:rPr>
          <w:rFonts w:ascii="Times New Roman" w:eastAsia="AdvGulliv-R" w:hAnsi="Times New Roman" w:cs="Times New Roman"/>
          <w:i/>
          <w:kern w:val="0"/>
          <w:sz w:val="24"/>
          <w:szCs w:val="24"/>
          <w:vertAlign w:val="subscript"/>
        </w:rPr>
        <w:t>i,t-1</w:t>
      </w:r>
      <w:r w:rsidRPr="0059184B">
        <w:rPr>
          <w:rFonts w:ascii="Times New Roman" w:eastAsia="AdvGulliv-R" w:hAnsi="Times New Roman" w:cs="Times New Roman"/>
          <w:kern w:val="0"/>
          <w:sz w:val="24"/>
          <w:szCs w:val="24"/>
          <w:vertAlign w:val="subscript"/>
        </w:rPr>
        <w:t xml:space="preserve"> </w:t>
      </w:r>
      <w:r w:rsidRPr="0059184B">
        <w:rPr>
          <w:rFonts w:ascii="Times New Roman" w:hAnsi="Times New Roman" w:cs="Times New Roman"/>
          <w:sz w:val="24"/>
          <w:szCs w:val="24"/>
        </w:rPr>
        <w:t xml:space="preserve">is the set of firm characteristics variables including banks’ exposure to housing market, HHI index, and government bailout programs dummy. According to the statement of </w:t>
      </w:r>
      <w:r w:rsidRPr="0059184B">
        <w:rPr>
          <w:rFonts w:ascii="Times New Roman" w:hAnsi="Times New Roman" w:cs="Times New Roman"/>
          <w:kern w:val="0"/>
          <w:sz w:val="24"/>
          <w:szCs w:val="24"/>
        </w:rPr>
        <w:t xml:space="preserve">Financial Crisis Inquiry Commission (2011), as financial derivatives expose the financial system to a contagion of spreading losses and defaults, we expect negative signs for variables measuring the use of derivatives, </w:t>
      </w:r>
      <w:proofErr w:type="spellStart"/>
      <w:r w:rsidRPr="0059184B">
        <w:rPr>
          <w:rFonts w:ascii="Times New Roman" w:hAnsi="Times New Roman" w:cs="Times New Roman"/>
          <w:i/>
          <w:kern w:val="0"/>
          <w:sz w:val="24"/>
          <w:szCs w:val="24"/>
        </w:rPr>
        <w:t>Y</w:t>
      </w:r>
      <w:r w:rsidRPr="0059184B">
        <w:rPr>
          <w:rFonts w:ascii="Times New Roman" w:hAnsi="Times New Roman" w:cs="Times New Roman"/>
          <w:i/>
          <w:kern w:val="0"/>
          <w:sz w:val="24"/>
          <w:szCs w:val="24"/>
          <w:vertAlign w:val="subscript"/>
        </w:rPr>
        <w:t>i,t</w:t>
      </w:r>
      <w:proofErr w:type="spellEnd"/>
      <w:r w:rsidRPr="0059184B">
        <w:rPr>
          <w:rFonts w:ascii="Times New Roman" w:hAnsi="Times New Roman" w:cs="Times New Roman"/>
          <w:kern w:val="0"/>
          <w:sz w:val="24"/>
          <w:szCs w:val="24"/>
        </w:rPr>
        <w:t>, which suggest that derivative use by banks increase banks’ contribution to systemic risk. If the DFA effectively control</w:t>
      </w:r>
      <w:r w:rsidR="00356838" w:rsidRPr="0059184B">
        <w:rPr>
          <w:rFonts w:ascii="Times New Roman" w:hAnsi="Times New Roman" w:cs="Times New Roman"/>
          <w:kern w:val="0"/>
          <w:sz w:val="24"/>
          <w:szCs w:val="24"/>
        </w:rPr>
        <w:t>s</w:t>
      </w:r>
      <w:r w:rsidRPr="0059184B">
        <w:rPr>
          <w:rFonts w:ascii="Times New Roman" w:hAnsi="Times New Roman" w:cs="Times New Roman"/>
          <w:kern w:val="0"/>
          <w:sz w:val="24"/>
          <w:szCs w:val="24"/>
        </w:rPr>
        <w:t xml:space="preserve"> the impact of financial derivatives on systemic risk, we then expect positive signs for the interactions between the DFA dummy and derivative variables. </w:t>
      </w:r>
    </w:p>
    <w:p w:rsidR="00EA1F38" w:rsidRPr="0059184B" w:rsidRDefault="00EA1F38" w:rsidP="00EA1F38">
      <w:pPr>
        <w:spacing w:line="360" w:lineRule="auto"/>
        <w:rPr>
          <w:rFonts w:ascii="Times New Roman" w:hAnsi="Times New Roman" w:cs="Times New Roman"/>
          <w:sz w:val="24"/>
          <w:szCs w:val="24"/>
        </w:rPr>
      </w:pPr>
    </w:p>
    <w:p w:rsidR="00225FAE" w:rsidRPr="0059184B" w:rsidRDefault="00225FAE" w:rsidP="00225FAE">
      <w:pPr>
        <w:spacing w:line="360" w:lineRule="auto"/>
        <w:rPr>
          <w:rFonts w:ascii="Times New Roman" w:hAnsi="Times New Roman" w:cs="Times New Roman"/>
          <w:sz w:val="24"/>
          <w:szCs w:val="24"/>
        </w:rPr>
      </w:pPr>
      <w:r w:rsidRPr="0059184B">
        <w:rPr>
          <w:rFonts w:ascii="Times New Roman" w:hAnsi="Times New Roman" w:cs="Times New Roman"/>
          <w:sz w:val="24"/>
          <w:szCs w:val="24"/>
        </w:rPr>
        <w:t xml:space="preserve">In order to address the potential critique that our results related to the DFA are driven by selection of proxy of banks’ contribution to systemic risk, we consider two alterative measures as dependent variable in panel regression (4). </w:t>
      </w:r>
    </w:p>
    <w:p w:rsidR="00225FAE" w:rsidRPr="0059184B" w:rsidRDefault="00225FAE" w:rsidP="00225FAE">
      <w:pPr>
        <w:spacing w:line="360" w:lineRule="auto"/>
        <w:rPr>
          <w:rFonts w:ascii="Times New Roman" w:hAnsi="Times New Roman" w:cs="Times New Roman"/>
          <w:sz w:val="24"/>
          <w:szCs w:val="24"/>
        </w:rPr>
      </w:pPr>
    </w:p>
    <w:p w:rsidR="00225FAE" w:rsidRPr="0059184B" w:rsidRDefault="00225FAE" w:rsidP="00225FAE">
      <w:pPr>
        <w:spacing w:line="360" w:lineRule="auto"/>
        <w:rPr>
          <w:rFonts w:ascii="Times New Roman" w:hAnsi="Times New Roman" w:cs="Times New Roman"/>
          <w:sz w:val="24"/>
          <w:szCs w:val="24"/>
        </w:rPr>
      </w:pPr>
      <w:r w:rsidRPr="0059184B">
        <w:rPr>
          <w:rFonts w:ascii="Times New Roman" w:hAnsi="Times New Roman" w:cs="Times New Roman"/>
          <w:sz w:val="24"/>
          <w:szCs w:val="24"/>
        </w:rPr>
        <w:t xml:space="preserve">One of them is </w:t>
      </w:r>
      <w:r w:rsidR="00356838" w:rsidRPr="0059184B">
        <w:rPr>
          <w:rFonts w:ascii="Times New Roman" w:hAnsi="Times New Roman" w:cs="Times New Roman"/>
          <w:sz w:val="24"/>
          <w:szCs w:val="24"/>
        </w:rPr>
        <w:t>m</w:t>
      </w:r>
      <w:r w:rsidRPr="0059184B">
        <w:rPr>
          <w:rFonts w:ascii="Times New Roman" w:hAnsi="Times New Roman" w:cs="Times New Roman"/>
          <w:sz w:val="24"/>
          <w:szCs w:val="24"/>
        </w:rPr>
        <w:t xml:space="preserve">arginal </w:t>
      </w:r>
      <w:r w:rsidR="00356838" w:rsidRPr="0059184B">
        <w:rPr>
          <w:rFonts w:ascii="Times New Roman" w:hAnsi="Times New Roman" w:cs="Times New Roman"/>
          <w:sz w:val="24"/>
          <w:szCs w:val="24"/>
        </w:rPr>
        <w:t>e</w:t>
      </w:r>
      <w:r w:rsidRPr="0059184B">
        <w:rPr>
          <w:rFonts w:ascii="Times New Roman" w:hAnsi="Times New Roman" w:cs="Times New Roman"/>
          <w:sz w:val="24"/>
          <w:szCs w:val="24"/>
        </w:rPr>
        <w:t xml:space="preserve">xpected </w:t>
      </w:r>
      <w:r w:rsidR="00356838" w:rsidRPr="0059184B">
        <w:rPr>
          <w:rFonts w:ascii="Times New Roman" w:hAnsi="Times New Roman" w:cs="Times New Roman"/>
          <w:sz w:val="24"/>
          <w:szCs w:val="24"/>
        </w:rPr>
        <w:t>s</w:t>
      </w:r>
      <w:r w:rsidRPr="0059184B">
        <w:rPr>
          <w:rFonts w:ascii="Times New Roman" w:hAnsi="Times New Roman" w:cs="Times New Roman"/>
          <w:sz w:val="24"/>
          <w:szCs w:val="24"/>
        </w:rPr>
        <w:t xml:space="preserve">hortfall (MES) defined as the average return of bank </w:t>
      </w:r>
      <w:proofErr w:type="spellStart"/>
      <w:r w:rsidRPr="0059184B">
        <w:rPr>
          <w:rFonts w:ascii="Times New Roman" w:hAnsi="Times New Roman" w:cs="Times New Roman"/>
          <w:i/>
          <w:sz w:val="24"/>
          <w:szCs w:val="24"/>
        </w:rPr>
        <w:t>i</w:t>
      </w:r>
      <w:proofErr w:type="spellEnd"/>
      <w:r w:rsidRPr="0059184B">
        <w:rPr>
          <w:rFonts w:ascii="Times New Roman" w:hAnsi="Times New Roman" w:cs="Times New Roman"/>
          <w:sz w:val="24"/>
          <w:szCs w:val="24"/>
        </w:rPr>
        <w:t xml:space="preserve"> on days when the banking industry (</w:t>
      </w:r>
      <w:r w:rsidRPr="0059184B">
        <w:rPr>
          <w:rFonts w:ascii="Times New Roman" w:hAnsi="Times New Roman" w:cs="Times New Roman"/>
          <w:kern w:val="0"/>
        </w:rPr>
        <w:t>S&amp;P Banks Selected Industry Index</w:t>
      </w:r>
      <w:r w:rsidR="00356838" w:rsidRPr="0059184B">
        <w:rPr>
          <w:rFonts w:ascii="Times New Roman" w:hAnsi="Times New Roman" w:cs="Times New Roman"/>
          <w:sz w:val="24"/>
          <w:szCs w:val="24"/>
        </w:rPr>
        <w:t xml:space="preserve"> return</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R</w:t>
      </w:r>
      <w:r w:rsidRPr="0059184B">
        <w:rPr>
          <w:rFonts w:ascii="Times New Roman" w:hAnsi="Times New Roman" w:cs="Times New Roman"/>
          <w:i/>
          <w:sz w:val="24"/>
          <w:szCs w:val="24"/>
          <w:vertAlign w:val="subscript"/>
        </w:rPr>
        <w:t>m</w:t>
      </w:r>
      <w:r w:rsidRPr="0059184B">
        <w:rPr>
          <w:rFonts w:ascii="Times New Roman" w:hAnsi="Times New Roman" w:cs="Times New Roman"/>
          <w:sz w:val="24"/>
          <w:szCs w:val="24"/>
        </w:rPr>
        <w:t>, is among its lowest 5% level in one-quarter period:</w:t>
      </w:r>
    </w:p>
    <w:p w:rsidR="00EA1F38" w:rsidRPr="0059184B" w:rsidRDefault="00EA1F38" w:rsidP="00D16014">
      <w:pPr>
        <w:wordWrap w:val="0"/>
        <w:spacing w:line="360" w:lineRule="auto"/>
        <w:jc w:val="right"/>
        <w:rPr>
          <w:rFonts w:ascii="Times New Roman" w:hAnsi="Times New Roman" w:cs="Times New Roman"/>
          <w:sz w:val="24"/>
          <w:szCs w:val="24"/>
        </w:rPr>
      </w:pPr>
      <w:r w:rsidRPr="0059184B">
        <w:object w:dxaOrig="2160" w:dyaOrig="380">
          <v:shape id="_x0000_i1029" type="#_x0000_t75" style="width:108pt;height:19.5pt" o:ole="">
            <v:imagedata r:id="rId24" o:title=""/>
          </v:shape>
          <o:OLEObject Type="Embed" ProgID="Equation.DSMT4" ShapeID="_x0000_i1029" DrawAspect="Content" ObjectID="_1596442772" r:id="rId25"/>
        </w:object>
      </w:r>
      <w:r w:rsidRPr="0059184B">
        <w:t xml:space="preserve">            </w:t>
      </w:r>
      <w:r w:rsidR="00D16014" w:rsidRPr="0059184B">
        <w:t xml:space="preserve">    </w:t>
      </w:r>
      <w:r w:rsidRPr="0059184B">
        <w:t xml:space="preserve">              </w:t>
      </w:r>
      <w:r w:rsidRPr="0059184B">
        <w:rPr>
          <w:rFonts w:ascii="Times New Roman" w:hAnsi="Times New Roman" w:cs="Times New Roman"/>
          <w:sz w:val="24"/>
          <w:szCs w:val="24"/>
        </w:rPr>
        <w:t>(5)</w:t>
      </w:r>
    </w:p>
    <w:p w:rsidR="00225FAE" w:rsidRPr="0059184B" w:rsidRDefault="00225FAE" w:rsidP="00225FAE">
      <w:pPr>
        <w:spacing w:line="360" w:lineRule="auto"/>
        <w:rPr>
          <w:rFonts w:ascii="Times New Roman" w:hAnsi="Times New Roman" w:cs="Times New Roman"/>
          <w:sz w:val="24"/>
          <w:szCs w:val="24"/>
        </w:rPr>
      </w:pPr>
      <w:proofErr w:type="gramStart"/>
      <w:r w:rsidRPr="0059184B">
        <w:rPr>
          <w:rFonts w:ascii="Times New Roman" w:hAnsi="Times New Roman" w:cs="Times New Roman"/>
          <w:sz w:val="24"/>
          <w:szCs w:val="24"/>
        </w:rPr>
        <w:t>where</w:t>
      </w:r>
      <w:proofErr w:type="gramEnd"/>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q</w:t>
      </w:r>
      <w:r w:rsidRPr="0059184B">
        <w:rPr>
          <w:rFonts w:ascii="Times New Roman" w:hAnsi="Times New Roman" w:cs="Times New Roman"/>
          <w:sz w:val="24"/>
          <w:szCs w:val="24"/>
        </w:rPr>
        <w:t xml:space="preserve"> stands for the quantile of S&amp;P Banks Selected Industry Index return, which is set as 5%. Accordingly, lower negative value in MES indicates a higher marginal contribution to systemic risk. In addition to</w:t>
      </w:r>
      <w:r w:rsidRPr="0059184B">
        <w:rPr>
          <w:rFonts w:ascii="Times New Roman" w:hAnsi="Times New Roman" w:cs="Times New Roman" w:hint="eastAsia"/>
          <w:sz w:val="24"/>
          <w:szCs w:val="24"/>
        </w:rPr>
        <w:t>Δ</w:t>
      </w:r>
      <w:proofErr w:type="spellStart"/>
      <w:r w:rsidRPr="0059184B">
        <w:rPr>
          <w:rFonts w:ascii="Times New Roman" w:hAnsi="Times New Roman" w:cs="Times New Roman"/>
          <w:sz w:val="24"/>
          <w:szCs w:val="24"/>
        </w:rPr>
        <w:t>CoVaR</w:t>
      </w:r>
      <w:proofErr w:type="spellEnd"/>
      <w:r w:rsidRPr="0059184B">
        <w:rPr>
          <w:rFonts w:ascii="Times New Roman" w:hAnsi="Times New Roman" w:cs="Times New Roman"/>
          <w:sz w:val="24"/>
          <w:szCs w:val="24"/>
        </w:rPr>
        <w:t xml:space="preserve"> and MES, we apply banking industry beta as a third measure of systemic risk. Accordingly, a bank’s industry beta is calculated as the sensitivity </w:t>
      </w:r>
      <w:r w:rsidRPr="0059184B">
        <w:rPr>
          <w:rFonts w:ascii="Times New Roman" w:hAnsi="Times New Roman" w:cs="Times New Roman"/>
          <w:sz w:val="24"/>
          <w:szCs w:val="24"/>
        </w:rPr>
        <w:lastRenderedPageBreak/>
        <w:t xml:space="preserve">of stock return to the return of </w:t>
      </w:r>
      <w:r w:rsidRPr="0059184B">
        <w:rPr>
          <w:rFonts w:ascii="Times New Roman" w:hAnsi="Times New Roman" w:cs="Times New Roman"/>
          <w:kern w:val="0"/>
        </w:rPr>
        <w:t>S&amp;P Banks Selected Industry Index</w:t>
      </w:r>
      <w:r w:rsidRPr="0059184B">
        <w:rPr>
          <w:rFonts w:ascii="Times New Roman" w:hAnsi="Times New Roman" w:cs="Times New Roman"/>
          <w:sz w:val="24"/>
          <w:szCs w:val="24"/>
        </w:rPr>
        <w:t xml:space="preserve"> in one-year time window. Higher industry beta could imply higher systemic risk (</w:t>
      </w:r>
      <w:proofErr w:type="spellStart"/>
      <w:r w:rsidRPr="0059184B">
        <w:rPr>
          <w:rFonts w:ascii="Times New Roman" w:hAnsi="Times New Roman" w:cs="Times New Roman"/>
          <w:sz w:val="24"/>
          <w:szCs w:val="24"/>
        </w:rPr>
        <w:t>Nijskens</w:t>
      </w:r>
      <w:proofErr w:type="spellEnd"/>
      <w:r w:rsidRPr="0059184B">
        <w:rPr>
          <w:rFonts w:ascii="Times New Roman" w:hAnsi="Times New Roman" w:cs="Times New Roman"/>
          <w:sz w:val="24"/>
          <w:szCs w:val="24"/>
        </w:rPr>
        <w:t xml:space="preserve"> and Wolf, 2011). </w:t>
      </w:r>
    </w:p>
    <w:p w:rsidR="00EA1F38" w:rsidRPr="0059184B" w:rsidRDefault="00EA1F38" w:rsidP="00EA1F38">
      <w:pPr>
        <w:spacing w:line="360" w:lineRule="auto"/>
        <w:rPr>
          <w:rFonts w:ascii="Times New Roman" w:hAnsi="Times New Roman" w:cs="Times New Roman"/>
          <w:sz w:val="24"/>
          <w:szCs w:val="24"/>
        </w:rPr>
      </w:pPr>
    </w:p>
    <w:p w:rsidR="00EA1F38" w:rsidRPr="0059184B" w:rsidRDefault="00C61C16" w:rsidP="00C61C16">
      <w:pPr>
        <w:pStyle w:val="3"/>
        <w:rPr>
          <w:rFonts w:ascii="Times New Roman" w:hAnsi="Times New Roman" w:cs="Times New Roman"/>
          <w:sz w:val="24"/>
          <w:szCs w:val="24"/>
        </w:rPr>
      </w:pPr>
      <w:r w:rsidRPr="0059184B">
        <w:rPr>
          <w:rFonts w:ascii="Times New Roman" w:hAnsi="Times New Roman" w:cs="Times New Roman"/>
          <w:sz w:val="24"/>
          <w:szCs w:val="24"/>
        </w:rPr>
        <w:t xml:space="preserve">3.2. </w:t>
      </w:r>
      <w:r w:rsidR="00EA1F38" w:rsidRPr="0059184B">
        <w:rPr>
          <w:rFonts w:ascii="Times New Roman" w:hAnsi="Times New Roman" w:cs="Times New Roman"/>
          <w:sz w:val="24"/>
          <w:szCs w:val="24"/>
        </w:rPr>
        <w:t xml:space="preserve">Bank’s risk and performance </w:t>
      </w:r>
    </w:p>
    <w:p w:rsidR="00EA1F38" w:rsidRPr="0059184B" w:rsidRDefault="00EA1F38" w:rsidP="00EA1F38">
      <w:pPr>
        <w:autoSpaceDE w:val="0"/>
        <w:autoSpaceDN w:val="0"/>
        <w:adjustRightInd w:val="0"/>
        <w:spacing w:line="360" w:lineRule="auto"/>
        <w:rPr>
          <w:rFonts w:ascii="Times New Roman" w:hAnsi="Times New Roman" w:cs="Times New Roman"/>
          <w:sz w:val="24"/>
          <w:szCs w:val="24"/>
        </w:rPr>
      </w:pPr>
      <w:r w:rsidRPr="0059184B">
        <w:rPr>
          <w:rFonts w:ascii="Times New Roman" w:eastAsia="宋体" w:hAnsi="Times New Roman" w:cs="Times New Roman"/>
          <w:kern w:val="0"/>
          <w:sz w:val="24"/>
          <w:szCs w:val="24"/>
        </w:rPr>
        <w:t xml:space="preserve">In order to test the impact of </w:t>
      </w:r>
      <w:r w:rsidR="00D72937" w:rsidRPr="0059184B">
        <w:rPr>
          <w:rFonts w:ascii="Times New Roman" w:eastAsia="宋体" w:hAnsi="Times New Roman" w:cs="Times New Roman"/>
          <w:kern w:val="0"/>
          <w:sz w:val="24"/>
          <w:szCs w:val="24"/>
        </w:rPr>
        <w:t xml:space="preserve">the </w:t>
      </w:r>
      <w:r w:rsidRPr="0059184B">
        <w:rPr>
          <w:rFonts w:ascii="Times New Roman" w:eastAsia="宋体" w:hAnsi="Times New Roman" w:cs="Times New Roman"/>
          <w:kern w:val="0"/>
          <w:sz w:val="24"/>
          <w:szCs w:val="24"/>
        </w:rPr>
        <w:t>DFA on risk of individual U</w:t>
      </w:r>
      <w:r w:rsidR="00D72937" w:rsidRPr="0059184B">
        <w:rPr>
          <w:rFonts w:ascii="Times New Roman" w:eastAsia="宋体" w:hAnsi="Times New Roman" w:cs="Times New Roman"/>
          <w:kern w:val="0"/>
          <w:sz w:val="24"/>
          <w:szCs w:val="24"/>
        </w:rPr>
        <w:t>.</w:t>
      </w:r>
      <w:r w:rsidRPr="0059184B">
        <w:rPr>
          <w:rFonts w:ascii="Times New Roman" w:eastAsia="宋体" w:hAnsi="Times New Roman" w:cs="Times New Roman"/>
          <w:kern w:val="0"/>
          <w:sz w:val="24"/>
          <w:szCs w:val="24"/>
        </w:rPr>
        <w:t>S</w:t>
      </w:r>
      <w:r w:rsidR="00D72937" w:rsidRPr="0059184B">
        <w:rPr>
          <w:rFonts w:ascii="Times New Roman" w:eastAsia="宋体" w:hAnsi="Times New Roman" w:cs="Times New Roman"/>
          <w:kern w:val="0"/>
          <w:sz w:val="24"/>
          <w:szCs w:val="24"/>
        </w:rPr>
        <w:t>.</w:t>
      </w:r>
      <w:r w:rsidRPr="0059184B">
        <w:rPr>
          <w:rFonts w:ascii="Times New Roman" w:eastAsia="宋体" w:hAnsi="Times New Roman" w:cs="Times New Roman"/>
          <w:kern w:val="0"/>
          <w:sz w:val="24"/>
          <w:szCs w:val="24"/>
        </w:rPr>
        <w:t xml:space="preserve"> bank holding companies, we consider different type of risks and their measures. As proxies of credit risk of US banks, we use </w:t>
      </w:r>
      <w:r w:rsidRPr="0059184B">
        <w:rPr>
          <w:rFonts w:ascii="Times New Roman" w:hAnsi="Times New Roman" w:cs="Times New Roman"/>
          <w:sz w:val="24"/>
          <w:szCs w:val="24"/>
        </w:rPr>
        <w:t>Z-score and d</w:t>
      </w:r>
      <w:r w:rsidRPr="0059184B">
        <w:rPr>
          <w:rFonts w:ascii="Times New Roman" w:hAnsi="Times New Roman" w:cs="Times New Roman" w:hint="eastAsia"/>
          <w:sz w:val="24"/>
          <w:szCs w:val="24"/>
        </w:rPr>
        <w:t xml:space="preserve">istance to </w:t>
      </w:r>
      <w:r w:rsidRPr="0059184B">
        <w:rPr>
          <w:rFonts w:ascii="Times New Roman" w:hAnsi="Times New Roman" w:cs="Times New Roman"/>
          <w:sz w:val="24"/>
          <w:szCs w:val="24"/>
        </w:rPr>
        <w:t xml:space="preserve">default (DD). The Z-score is defined as the sum of the mean return on assets and the mean ratios of equity to assets, divided by the standard deviation of the return on assets:  </w:t>
      </w:r>
    </w:p>
    <w:p w:rsidR="00EA1F38" w:rsidRPr="0059184B" w:rsidRDefault="00EA1F38" w:rsidP="00D16014">
      <w:pPr>
        <w:wordWrap w:val="0"/>
        <w:spacing w:line="360" w:lineRule="auto"/>
        <w:jc w:val="right"/>
        <w:rPr>
          <w:rFonts w:ascii="Times New Roman" w:hAnsi="Times New Roman" w:cs="Times New Roman"/>
          <w:sz w:val="24"/>
          <w:szCs w:val="24"/>
        </w:rPr>
      </w:pPr>
      <w:r w:rsidRPr="0059184B">
        <w:object w:dxaOrig="2600" w:dyaOrig="680">
          <v:shape id="_x0000_i1030" type="#_x0000_t75" style="width:129.75pt;height:33.75pt" o:ole="">
            <v:imagedata r:id="rId26" o:title=""/>
          </v:shape>
          <o:OLEObject Type="Embed" ProgID="Equation.DSMT4" ShapeID="_x0000_i1030" DrawAspect="Content" ObjectID="_1596442773" r:id="rId27"/>
        </w:object>
      </w:r>
      <w:r w:rsidRPr="0059184B">
        <w:rPr>
          <w:rFonts w:ascii="Times New Roman" w:hAnsi="Times New Roman" w:cs="Times New Roman"/>
          <w:sz w:val="24"/>
          <w:szCs w:val="24"/>
        </w:rPr>
        <w:t xml:space="preserve">.       </w:t>
      </w:r>
      <w:r w:rsidR="00D16014" w:rsidRPr="0059184B">
        <w:rPr>
          <w:rFonts w:ascii="Times New Roman" w:hAnsi="Times New Roman" w:cs="Times New Roman"/>
          <w:sz w:val="24"/>
          <w:szCs w:val="24"/>
        </w:rPr>
        <w:t xml:space="preserve">     </w:t>
      </w:r>
      <w:r w:rsidRPr="0059184B">
        <w:rPr>
          <w:rFonts w:ascii="Times New Roman" w:hAnsi="Times New Roman" w:cs="Times New Roman"/>
          <w:sz w:val="24"/>
          <w:szCs w:val="24"/>
        </w:rPr>
        <w:t xml:space="preserve">             (6)</w:t>
      </w:r>
    </w:p>
    <w:p w:rsidR="00EA1F38" w:rsidRPr="0059184B" w:rsidRDefault="00EA1F38" w:rsidP="00EA1F38">
      <w:pPr>
        <w:spacing w:line="360" w:lineRule="auto"/>
        <w:rPr>
          <w:rFonts w:ascii="Times New Roman" w:hAnsi="Times New Roman" w:cs="Times New Roman"/>
          <w:sz w:val="24"/>
          <w:szCs w:val="24"/>
        </w:rPr>
      </w:pPr>
      <w:r w:rsidRPr="0059184B">
        <w:rPr>
          <w:rFonts w:ascii="Times New Roman" w:hAnsi="Times New Roman" w:cs="Times New Roman"/>
          <w:sz w:val="24"/>
          <w:szCs w:val="24"/>
        </w:rPr>
        <w:t>Z score indicates the number of standard deviations that a bank’s rate of return on assets can fall in a single period before it becomes insolvent. A higher Z score signals a lower probability of bank insolvency. The other proxy of credit risk on individual bank’s level is d</w:t>
      </w:r>
      <w:r w:rsidRPr="0059184B">
        <w:rPr>
          <w:rFonts w:ascii="Times New Roman" w:hAnsi="Times New Roman" w:cs="Times New Roman" w:hint="eastAsia"/>
          <w:sz w:val="24"/>
          <w:szCs w:val="24"/>
        </w:rPr>
        <w:t xml:space="preserve">istance to </w:t>
      </w:r>
      <w:r w:rsidRPr="0059184B">
        <w:rPr>
          <w:rFonts w:ascii="Times New Roman" w:hAnsi="Times New Roman" w:cs="Times New Roman"/>
          <w:sz w:val="24"/>
          <w:szCs w:val="24"/>
        </w:rPr>
        <w:t>default</w:t>
      </w:r>
      <w:r w:rsidRPr="0059184B">
        <w:rPr>
          <w:rFonts w:ascii="Times New Roman" w:hAnsi="Times New Roman" w:cs="Times New Roman" w:hint="eastAsia"/>
          <w:sz w:val="24"/>
          <w:szCs w:val="24"/>
        </w:rPr>
        <w:t xml:space="preserve"> (DD), </w:t>
      </w:r>
      <w:r w:rsidRPr="0059184B">
        <w:rPr>
          <w:rFonts w:ascii="Times New Roman" w:hAnsi="Times New Roman" w:cs="Times New Roman"/>
          <w:sz w:val="24"/>
          <w:szCs w:val="24"/>
        </w:rPr>
        <w:t>measures the number of standard</w:t>
      </w:r>
      <w:r w:rsidRPr="0059184B">
        <w:rPr>
          <w:rFonts w:ascii="Times New Roman" w:hAnsi="Times New Roman" w:cs="Times New Roman" w:hint="eastAsia"/>
          <w:sz w:val="24"/>
          <w:szCs w:val="24"/>
        </w:rPr>
        <w:t xml:space="preserve"> </w:t>
      </w:r>
      <w:r w:rsidRPr="0059184B">
        <w:rPr>
          <w:rFonts w:ascii="Times New Roman" w:hAnsi="Times New Roman" w:cs="Times New Roman"/>
          <w:sz w:val="24"/>
          <w:szCs w:val="24"/>
        </w:rPr>
        <w:t>deviation the asset value is away</w:t>
      </w:r>
      <w:r w:rsidRPr="0059184B">
        <w:rPr>
          <w:rFonts w:ascii="Times New Roman" w:hAnsi="Times New Roman" w:cs="Times New Roman" w:hint="eastAsia"/>
          <w:sz w:val="24"/>
          <w:szCs w:val="24"/>
        </w:rPr>
        <w:t xml:space="preserve"> </w:t>
      </w:r>
      <w:r w:rsidRPr="0059184B">
        <w:rPr>
          <w:rFonts w:ascii="Times New Roman" w:hAnsi="Times New Roman" w:cs="Times New Roman"/>
          <w:sz w:val="24"/>
          <w:szCs w:val="24"/>
        </w:rPr>
        <w:t>from the default point.</w:t>
      </w:r>
      <w:r w:rsidRPr="0059184B">
        <w:rPr>
          <w:rFonts w:ascii="Times New Roman" w:hAnsi="Times New Roman" w:cs="Times New Roman" w:hint="eastAsia"/>
          <w:sz w:val="24"/>
          <w:szCs w:val="24"/>
        </w:rPr>
        <w:t xml:space="preserve"> DD is </w:t>
      </w:r>
      <w:r w:rsidRPr="0059184B">
        <w:rPr>
          <w:rFonts w:ascii="Times New Roman" w:hAnsi="Times New Roman" w:cs="Times New Roman"/>
          <w:sz w:val="24"/>
          <w:szCs w:val="24"/>
        </w:rPr>
        <w:t>defined</w:t>
      </w:r>
      <w:r w:rsidRPr="0059184B">
        <w:rPr>
          <w:rFonts w:ascii="Times New Roman" w:hAnsi="Times New Roman" w:cs="Times New Roman" w:hint="eastAsia"/>
          <w:sz w:val="24"/>
          <w:szCs w:val="24"/>
        </w:rPr>
        <w:t xml:space="preserve"> as:</w:t>
      </w:r>
    </w:p>
    <w:p w:rsidR="00EA1F38" w:rsidRPr="0059184B" w:rsidRDefault="00EA1F38" w:rsidP="00D16014">
      <w:pPr>
        <w:wordWrap w:val="0"/>
        <w:spacing w:line="360" w:lineRule="auto"/>
        <w:jc w:val="right"/>
      </w:pPr>
      <w:r w:rsidRPr="0059184B">
        <w:object w:dxaOrig="1280" w:dyaOrig="680">
          <v:shape id="_x0000_i1031" type="#_x0000_t75" style="width:63.75pt;height:34.5pt" o:ole="">
            <v:imagedata r:id="rId28" o:title=""/>
          </v:shape>
          <o:OLEObject Type="Embed" ProgID="Equation.DSMT4" ShapeID="_x0000_i1031" DrawAspect="Content" ObjectID="_1596442774" r:id="rId29"/>
        </w:object>
      </w:r>
      <w:r w:rsidRPr="0059184B">
        <w:t xml:space="preserve"> </w:t>
      </w:r>
      <w:r w:rsidRPr="0059184B">
        <w:tab/>
      </w:r>
      <w:r w:rsidRPr="0059184B">
        <w:tab/>
      </w:r>
      <w:r w:rsidRPr="0059184B">
        <w:tab/>
      </w:r>
      <w:r w:rsidRPr="0059184B">
        <w:tab/>
      </w:r>
      <w:r w:rsidR="00D16014" w:rsidRPr="0059184B">
        <w:t xml:space="preserve">        </w:t>
      </w:r>
      <w:r w:rsidRPr="0059184B">
        <w:tab/>
      </w:r>
      <w:r w:rsidRPr="0059184B">
        <w:tab/>
      </w:r>
      <w:r w:rsidRPr="0059184B">
        <w:tab/>
      </w:r>
      <w:r w:rsidRPr="0059184B">
        <w:rPr>
          <w:rFonts w:ascii="Times New Roman" w:hAnsi="Times New Roman" w:cs="Times New Roman"/>
          <w:sz w:val="24"/>
          <w:szCs w:val="24"/>
        </w:rPr>
        <w:t>(7)</w:t>
      </w:r>
      <w:r w:rsidRPr="0059184B">
        <w:t xml:space="preserve"> </w:t>
      </w:r>
    </w:p>
    <w:p w:rsidR="00EA1F38" w:rsidRPr="0059184B" w:rsidRDefault="00EA1F38" w:rsidP="00EA1F38">
      <w:pPr>
        <w:spacing w:line="360" w:lineRule="auto"/>
        <w:rPr>
          <w:rFonts w:ascii="Times New Roman" w:hAnsi="Times New Roman" w:cs="Times New Roman"/>
          <w:sz w:val="24"/>
          <w:szCs w:val="24"/>
        </w:rPr>
      </w:pPr>
      <w:r w:rsidRPr="0059184B">
        <w:rPr>
          <w:rFonts w:ascii="Times New Roman" w:hAnsi="Times New Roman" w:cs="Times New Roman" w:hint="eastAsia"/>
          <w:i/>
          <w:sz w:val="24"/>
          <w:szCs w:val="24"/>
        </w:rPr>
        <w:t>V</w:t>
      </w:r>
      <w:r w:rsidRPr="0059184B">
        <w:rPr>
          <w:rFonts w:ascii="Times New Roman" w:hAnsi="Times New Roman" w:cs="Times New Roman" w:hint="eastAsia"/>
          <w:sz w:val="24"/>
          <w:szCs w:val="24"/>
        </w:rPr>
        <w:t xml:space="preserve"> is the market value of total assets; </w:t>
      </w:r>
      <w:r w:rsidRPr="0059184B">
        <w:rPr>
          <w:rFonts w:ascii="Times New Roman" w:hAnsi="Times New Roman" w:cs="Times New Roman" w:hint="eastAsia"/>
          <w:i/>
          <w:sz w:val="24"/>
          <w:szCs w:val="24"/>
        </w:rPr>
        <w:t>K</w:t>
      </w:r>
      <w:r w:rsidRPr="0059184B">
        <w:rPr>
          <w:rFonts w:ascii="Times New Roman" w:hAnsi="Times New Roman" w:cs="Times New Roman" w:hint="eastAsia"/>
          <w:sz w:val="24"/>
          <w:szCs w:val="24"/>
        </w:rPr>
        <w:t xml:space="preserve"> is the value of debt, </w:t>
      </w:r>
      <w:r w:rsidRPr="0059184B">
        <w:rPr>
          <w:rFonts w:ascii="Times New Roman" w:hAnsi="Times New Roman" w:cs="Times New Roman"/>
          <w:sz w:val="24"/>
          <w:szCs w:val="24"/>
        </w:rPr>
        <w:t>calculated</w:t>
      </w:r>
      <w:r w:rsidRPr="0059184B">
        <w:rPr>
          <w:rFonts w:ascii="Times New Roman" w:hAnsi="Times New Roman" w:cs="Times New Roman" w:hint="eastAsia"/>
          <w:sz w:val="24"/>
          <w:szCs w:val="24"/>
        </w:rPr>
        <w:t xml:space="preserve"> as short-term debt plus half of the long-term debt and </w:t>
      </w:r>
      <w:proofErr w:type="spellStart"/>
      <w:r w:rsidRPr="0059184B">
        <w:rPr>
          <w:rFonts w:ascii="Times New Roman" w:hAnsi="Times New Roman" w:cs="Times New Roman"/>
          <w:i/>
          <w:sz w:val="24"/>
          <w:szCs w:val="24"/>
        </w:rPr>
        <w:t>σ</w:t>
      </w:r>
      <w:r w:rsidRPr="0059184B">
        <w:rPr>
          <w:rFonts w:ascii="Times New Roman" w:hAnsi="Times New Roman" w:cs="Times New Roman" w:hint="eastAsia"/>
          <w:i/>
          <w:sz w:val="24"/>
          <w:szCs w:val="24"/>
          <w:vertAlign w:val="subscript"/>
        </w:rPr>
        <w:t>v</w:t>
      </w:r>
      <w:proofErr w:type="spellEnd"/>
      <w:r w:rsidRPr="0059184B">
        <w:rPr>
          <w:rFonts w:ascii="Times New Roman" w:hAnsi="Times New Roman" w:cs="Times New Roman" w:hint="eastAsia"/>
          <w:sz w:val="24"/>
          <w:szCs w:val="24"/>
          <w:vertAlign w:val="subscript"/>
        </w:rPr>
        <w:t xml:space="preserve"> </w:t>
      </w:r>
      <w:r w:rsidRPr="0059184B">
        <w:rPr>
          <w:rFonts w:ascii="Times New Roman" w:hAnsi="Times New Roman" w:cs="Times New Roman" w:hint="eastAsia"/>
          <w:sz w:val="24"/>
          <w:szCs w:val="24"/>
        </w:rPr>
        <w:t xml:space="preserve">is the </w:t>
      </w:r>
      <w:r w:rsidRPr="0059184B">
        <w:rPr>
          <w:rFonts w:ascii="Times New Roman" w:hAnsi="Times New Roman" w:cs="Times New Roman"/>
          <w:sz w:val="24"/>
          <w:szCs w:val="24"/>
        </w:rPr>
        <w:t>annualized</w:t>
      </w:r>
      <w:r w:rsidRPr="0059184B">
        <w:rPr>
          <w:rFonts w:ascii="Times New Roman" w:hAnsi="Times New Roman" w:cs="Times New Roman" w:hint="eastAsia"/>
          <w:sz w:val="24"/>
          <w:szCs w:val="24"/>
        </w:rPr>
        <w:t xml:space="preserve"> standard deviation in the market value of assets. Higher DD indicates less </w:t>
      </w:r>
      <w:r w:rsidRPr="0059184B">
        <w:rPr>
          <w:rFonts w:ascii="Times New Roman" w:hAnsi="Times New Roman" w:cs="Times New Roman"/>
          <w:sz w:val="24"/>
          <w:szCs w:val="24"/>
        </w:rPr>
        <w:t xml:space="preserve">chance for </w:t>
      </w:r>
      <w:r w:rsidRPr="0059184B">
        <w:rPr>
          <w:rFonts w:ascii="Times New Roman" w:hAnsi="Times New Roman" w:cs="Times New Roman" w:hint="eastAsia"/>
          <w:sz w:val="24"/>
          <w:szCs w:val="24"/>
        </w:rPr>
        <w:t>default.</w:t>
      </w:r>
      <w:r w:rsidRPr="0059184B">
        <w:rPr>
          <w:rFonts w:ascii="Times New Roman" w:hAnsi="Times New Roman" w:cs="Times New Roman"/>
          <w:sz w:val="24"/>
          <w:szCs w:val="24"/>
        </w:rPr>
        <w:t xml:space="preserve"> </w:t>
      </w:r>
    </w:p>
    <w:p w:rsidR="00EA1F38" w:rsidRPr="0059184B" w:rsidRDefault="00EA1F38" w:rsidP="00EA1F38">
      <w:pPr>
        <w:spacing w:line="360" w:lineRule="auto"/>
        <w:rPr>
          <w:rFonts w:ascii="Times New Roman" w:hAnsi="Times New Roman" w:cs="Times New Roman"/>
          <w:sz w:val="24"/>
          <w:szCs w:val="24"/>
        </w:rPr>
      </w:pPr>
    </w:p>
    <w:p w:rsidR="00EA1F38" w:rsidRPr="0059184B" w:rsidRDefault="00EA1F38" w:rsidP="00EA1F38">
      <w:pPr>
        <w:spacing w:line="360" w:lineRule="auto"/>
        <w:rPr>
          <w:rFonts w:ascii="Times New Roman" w:hAnsi="Times New Roman" w:cs="Times New Roman"/>
          <w:sz w:val="24"/>
          <w:szCs w:val="24"/>
        </w:rPr>
      </w:pPr>
      <w:r w:rsidRPr="0059184B">
        <w:rPr>
          <w:rFonts w:ascii="Times New Roman" w:hAnsi="Times New Roman" w:cs="Times New Roman"/>
          <w:sz w:val="24"/>
          <w:szCs w:val="24"/>
        </w:rPr>
        <w:t>In addition to credit risk we calculate measures allowing us to determine</w:t>
      </w:r>
      <w:r w:rsidR="001910A2" w:rsidRPr="0059184B">
        <w:rPr>
          <w:rFonts w:ascii="Times New Roman" w:eastAsia="宋体" w:hAnsi="Times New Roman" w:cs="Times New Roman"/>
          <w:sz w:val="24"/>
          <w:szCs w:val="24"/>
        </w:rPr>
        <w:t xml:space="preserve"> banks’ individual risks, namely the worst loss</w:t>
      </w:r>
      <w:r w:rsidR="001910A2" w:rsidRPr="0059184B">
        <w:rPr>
          <w:rFonts w:ascii="Times New Roman" w:hAnsi="Times New Roman" w:cs="Times New Roman"/>
          <w:sz w:val="24"/>
          <w:szCs w:val="24"/>
        </w:rPr>
        <w:t xml:space="preserve"> and </w:t>
      </w:r>
      <w:r w:rsidRPr="0059184B">
        <w:rPr>
          <w:rFonts w:ascii="Times New Roman" w:hAnsi="Times New Roman" w:cs="Times New Roman"/>
          <w:sz w:val="24"/>
          <w:szCs w:val="24"/>
        </w:rPr>
        <w:t>the level of overall risk for each bank</w:t>
      </w:r>
      <w:r w:rsidR="001910A2" w:rsidRPr="0059184B">
        <w:rPr>
          <w:rFonts w:ascii="Times New Roman" w:hAnsi="Times New Roman" w:cs="Times New Roman"/>
          <w:sz w:val="24"/>
          <w:szCs w:val="24"/>
        </w:rPr>
        <w:t xml:space="preserve"> re</w:t>
      </w:r>
      <w:r w:rsidR="00BC2898" w:rsidRPr="0059184B">
        <w:rPr>
          <w:rFonts w:ascii="Times New Roman" w:hAnsi="Times New Roman" w:cs="Times New Roman"/>
          <w:sz w:val="24"/>
          <w:szCs w:val="24"/>
        </w:rPr>
        <w:t>s</w:t>
      </w:r>
      <w:r w:rsidR="001910A2" w:rsidRPr="0059184B">
        <w:rPr>
          <w:rFonts w:ascii="Times New Roman" w:hAnsi="Times New Roman" w:cs="Times New Roman"/>
          <w:sz w:val="24"/>
          <w:szCs w:val="24"/>
        </w:rPr>
        <w:t>pectively</w:t>
      </w:r>
      <w:r w:rsidRPr="0059184B">
        <w:rPr>
          <w:rFonts w:ascii="Times New Roman" w:hAnsi="Times New Roman" w:cs="Times New Roman"/>
          <w:sz w:val="24"/>
          <w:szCs w:val="24"/>
        </w:rPr>
        <w:t>. Specifically, we calculate</w:t>
      </w:r>
      <w:r w:rsidRPr="0059184B">
        <w:rPr>
          <w:rFonts w:ascii="Times New Roman" w:hAnsi="Times New Roman" w:cs="Times New Roman" w:hint="eastAsia"/>
          <w:sz w:val="24"/>
          <w:szCs w:val="24"/>
        </w:rPr>
        <w:t xml:space="preserve"> bank </w:t>
      </w:r>
      <w:r w:rsidRPr="0059184B">
        <w:rPr>
          <w:rFonts w:ascii="Times New Roman" w:hAnsi="Times New Roman" w:cs="Times New Roman"/>
          <w:i/>
          <w:sz w:val="24"/>
          <w:szCs w:val="24"/>
        </w:rPr>
        <w:t>i’</w:t>
      </w:r>
      <w:r w:rsidRPr="0059184B">
        <w:rPr>
          <w:rFonts w:ascii="Times New Roman" w:hAnsi="Times New Roman" w:cs="Times New Roman" w:hint="eastAsia"/>
          <w:sz w:val="24"/>
          <w:szCs w:val="24"/>
        </w:rPr>
        <w:t xml:space="preserve">s </w:t>
      </w:r>
      <w:r w:rsidRPr="0059184B">
        <w:rPr>
          <w:rFonts w:ascii="Times New Roman" w:hAnsi="Times New Roman" w:cs="Times New Roman"/>
          <w:sz w:val="24"/>
          <w:szCs w:val="24"/>
        </w:rPr>
        <w:t>Value at Risk (</w:t>
      </w:r>
      <w:proofErr w:type="spellStart"/>
      <w:r w:rsidRPr="0059184B">
        <w:rPr>
          <w:rFonts w:ascii="Times New Roman" w:hAnsi="Times New Roman" w:cs="Times New Roman"/>
          <w:sz w:val="24"/>
          <w:szCs w:val="24"/>
        </w:rPr>
        <w:t>VaR</w:t>
      </w:r>
      <w:proofErr w:type="spellEnd"/>
      <w:r w:rsidRPr="0059184B">
        <w:rPr>
          <w:rFonts w:ascii="Times New Roman" w:hAnsi="Times New Roman" w:cs="Times New Roman"/>
          <w:sz w:val="24"/>
          <w:szCs w:val="24"/>
        </w:rPr>
        <w:t xml:space="preserve">) </w:t>
      </w:r>
      <w:r w:rsidR="001910A2" w:rsidRPr="0059184B">
        <w:rPr>
          <w:rFonts w:ascii="Times New Roman" w:hAnsi="Times New Roman" w:cs="Times New Roman"/>
          <w:sz w:val="24"/>
          <w:szCs w:val="24"/>
        </w:rPr>
        <w:t xml:space="preserve">to measure </w:t>
      </w:r>
      <w:r w:rsidR="001910A2" w:rsidRPr="0059184B">
        <w:rPr>
          <w:rFonts w:ascii="Times New Roman" w:eastAsia="宋体" w:hAnsi="Times New Roman" w:cs="Times New Roman"/>
          <w:sz w:val="24"/>
          <w:szCs w:val="24"/>
        </w:rPr>
        <w:t>banks’ worst loss</w:t>
      </w:r>
      <w:r w:rsidR="001910A2" w:rsidRPr="0059184B">
        <w:rPr>
          <w:rFonts w:ascii="Times New Roman" w:hAnsi="Times New Roman" w:cs="Times New Roman"/>
          <w:sz w:val="24"/>
          <w:szCs w:val="24"/>
        </w:rPr>
        <w:t xml:space="preserve"> </w:t>
      </w:r>
      <w:r w:rsidRPr="0059184B">
        <w:rPr>
          <w:rFonts w:ascii="Times New Roman" w:hAnsi="Times New Roman" w:cs="Times New Roman"/>
          <w:sz w:val="24"/>
          <w:szCs w:val="24"/>
        </w:rPr>
        <w:t xml:space="preserve">and </w:t>
      </w:r>
      <w:r w:rsidRPr="0059184B">
        <w:rPr>
          <w:rFonts w:ascii="Times New Roman" w:hAnsi="Times New Roman" w:cs="Times New Roman" w:hint="eastAsia"/>
          <w:sz w:val="24"/>
          <w:szCs w:val="24"/>
        </w:rPr>
        <w:t>volatility of daily stock return with a six-month rolling window</w:t>
      </w:r>
      <w:r w:rsidR="001910A2" w:rsidRPr="0059184B">
        <w:rPr>
          <w:rFonts w:ascii="Times New Roman" w:hAnsi="Times New Roman" w:cs="Times New Roman"/>
          <w:sz w:val="24"/>
          <w:szCs w:val="24"/>
        </w:rPr>
        <w:t xml:space="preserve"> to capture overall risk </w:t>
      </w:r>
      <w:r w:rsidRPr="0059184B">
        <w:rPr>
          <w:rFonts w:ascii="Times New Roman" w:hAnsi="Times New Roman" w:cs="Times New Roman"/>
          <w:sz w:val="24"/>
          <w:szCs w:val="24"/>
        </w:rPr>
        <w:t xml:space="preserve">. A lower negative </w:t>
      </w:r>
      <w:proofErr w:type="spellStart"/>
      <w:r w:rsidRPr="0059184B">
        <w:rPr>
          <w:rFonts w:ascii="Times New Roman" w:hAnsi="Times New Roman" w:cs="Times New Roman"/>
          <w:sz w:val="24"/>
          <w:szCs w:val="24"/>
        </w:rPr>
        <w:t>VaR</w:t>
      </w:r>
      <w:proofErr w:type="spellEnd"/>
      <w:r w:rsidRPr="0059184B">
        <w:rPr>
          <w:rFonts w:ascii="Times New Roman" w:hAnsi="Times New Roman" w:cs="Times New Roman"/>
          <w:sz w:val="24"/>
          <w:szCs w:val="24"/>
        </w:rPr>
        <w:t xml:space="preserve"> or </w:t>
      </w:r>
      <w:r w:rsidRPr="0059184B">
        <w:rPr>
          <w:rFonts w:ascii="Times New Roman" w:hAnsi="Times New Roman" w:cs="Times New Roman" w:hint="eastAsia"/>
          <w:sz w:val="24"/>
          <w:szCs w:val="24"/>
        </w:rPr>
        <w:t>higher volatility indicates</w:t>
      </w:r>
      <w:r w:rsidR="001910A2" w:rsidRPr="0059184B">
        <w:rPr>
          <w:rFonts w:ascii="Times New Roman" w:hAnsi="Times New Roman" w:cs="Times New Roman"/>
          <w:sz w:val="24"/>
          <w:szCs w:val="24"/>
        </w:rPr>
        <w:t xml:space="preserve"> a</w:t>
      </w:r>
      <w:r w:rsidRPr="0059184B">
        <w:rPr>
          <w:rFonts w:ascii="Times New Roman" w:hAnsi="Times New Roman" w:cs="Times New Roman" w:hint="eastAsia"/>
          <w:sz w:val="24"/>
          <w:szCs w:val="24"/>
        </w:rPr>
        <w:t xml:space="preserve"> higher risk.</w:t>
      </w:r>
    </w:p>
    <w:p w:rsidR="00EA1F38" w:rsidRPr="0059184B" w:rsidRDefault="00EA1F38" w:rsidP="00EA1F38">
      <w:pPr>
        <w:autoSpaceDE w:val="0"/>
        <w:autoSpaceDN w:val="0"/>
        <w:adjustRightInd w:val="0"/>
        <w:spacing w:line="360" w:lineRule="auto"/>
        <w:rPr>
          <w:rFonts w:ascii="Times New Roman" w:eastAsia="宋体" w:hAnsi="Times New Roman" w:cs="Times New Roman"/>
          <w:kern w:val="0"/>
          <w:sz w:val="24"/>
          <w:szCs w:val="24"/>
        </w:rPr>
      </w:pPr>
    </w:p>
    <w:p w:rsidR="00D72937" w:rsidRPr="0059184B" w:rsidRDefault="00D72937" w:rsidP="00D72937">
      <w:pPr>
        <w:autoSpaceDE w:val="0"/>
        <w:autoSpaceDN w:val="0"/>
        <w:adjustRightInd w:val="0"/>
        <w:spacing w:line="360" w:lineRule="auto"/>
        <w:rPr>
          <w:rFonts w:ascii="Times New Roman" w:hAnsi="Times New Roman" w:cs="Times New Roman"/>
          <w:sz w:val="24"/>
          <w:szCs w:val="24"/>
        </w:rPr>
      </w:pPr>
      <w:r w:rsidRPr="0059184B">
        <w:rPr>
          <w:rFonts w:ascii="Times New Roman" w:hAnsi="Times New Roman" w:cs="Times New Roman"/>
          <w:sz w:val="24"/>
          <w:szCs w:val="24"/>
        </w:rPr>
        <w:lastRenderedPageBreak/>
        <w:t xml:space="preserve">In order to evaluate the impacts </w:t>
      </w:r>
      <w:r w:rsidRPr="0059184B">
        <w:rPr>
          <w:rFonts w:ascii="Times New Roman" w:eastAsia="AdvGulliv-R" w:hAnsi="Times New Roman" w:cs="Times New Roman"/>
          <w:kern w:val="0"/>
          <w:sz w:val="24"/>
          <w:szCs w:val="24"/>
        </w:rPr>
        <w:t xml:space="preserve">of derivatives usage in </w:t>
      </w:r>
      <w:r w:rsidRPr="0059184B">
        <w:rPr>
          <w:rFonts w:ascii="Times New Roman" w:eastAsia="AdvGulliv-R" w:hAnsi="Times New Roman" w:cs="Times New Roman"/>
          <w:i/>
          <w:kern w:val="0"/>
          <w:sz w:val="24"/>
          <w:szCs w:val="24"/>
        </w:rPr>
        <w:t>pre</w:t>
      </w:r>
      <w:r w:rsidRPr="0059184B">
        <w:rPr>
          <w:rFonts w:ascii="Times New Roman" w:eastAsia="AdvGulliv-R" w:hAnsi="Times New Roman" w:cs="Times New Roman"/>
          <w:kern w:val="0"/>
          <w:sz w:val="24"/>
          <w:szCs w:val="24"/>
        </w:rPr>
        <w:t xml:space="preserve"> and </w:t>
      </w:r>
      <w:r w:rsidRPr="0059184B">
        <w:rPr>
          <w:rFonts w:ascii="Times New Roman" w:eastAsia="AdvGulliv-R" w:hAnsi="Times New Roman" w:cs="Times New Roman"/>
          <w:i/>
          <w:kern w:val="0"/>
          <w:sz w:val="24"/>
          <w:szCs w:val="24"/>
        </w:rPr>
        <w:t>post</w:t>
      </w:r>
      <w:r w:rsidRPr="0059184B">
        <w:rPr>
          <w:rFonts w:ascii="Times New Roman" w:eastAsia="AdvGulliv-R" w:hAnsi="Times New Roman" w:cs="Times New Roman"/>
          <w:kern w:val="0"/>
          <w:sz w:val="24"/>
          <w:szCs w:val="24"/>
        </w:rPr>
        <w:t xml:space="preserve"> DFA regulatory </w:t>
      </w:r>
      <w:r w:rsidRPr="0059184B">
        <w:rPr>
          <w:rFonts w:ascii="Times New Roman" w:hAnsi="Times New Roman" w:cs="Times New Roman"/>
          <w:sz w:val="24"/>
          <w:szCs w:val="24"/>
        </w:rPr>
        <w:t xml:space="preserve">environments on the banks’ credit and overall risk, </w:t>
      </w:r>
      <w:r w:rsidRPr="0059184B">
        <w:rPr>
          <w:rFonts w:ascii="Times New Roman" w:eastAsia="AdvGulliv-R" w:hAnsi="Times New Roman" w:cs="Times New Roman"/>
          <w:kern w:val="0"/>
          <w:sz w:val="24"/>
          <w:szCs w:val="24"/>
        </w:rPr>
        <w:t xml:space="preserve">we consider the model </w:t>
      </w:r>
    </w:p>
    <w:p w:rsidR="00EA1F38" w:rsidRPr="0059184B" w:rsidRDefault="00EA1F38" w:rsidP="00EA1F38">
      <w:pPr>
        <w:autoSpaceDE w:val="0"/>
        <w:autoSpaceDN w:val="0"/>
        <w:adjustRightInd w:val="0"/>
        <w:spacing w:line="360" w:lineRule="auto"/>
        <w:rPr>
          <w:rFonts w:ascii="Times New Roman" w:hAnsi="Times New Roman" w:cs="Times New Roman"/>
          <w:sz w:val="24"/>
          <w:szCs w:val="24"/>
        </w:rPr>
      </w:pPr>
    </w:p>
    <w:p w:rsidR="00EA1F38" w:rsidRPr="0059184B" w:rsidRDefault="00EA1F38" w:rsidP="00EA1F38">
      <w:pPr>
        <w:autoSpaceDE w:val="0"/>
        <w:autoSpaceDN w:val="0"/>
        <w:adjustRightInd w:val="0"/>
        <w:spacing w:line="360" w:lineRule="auto"/>
        <w:jc w:val="center"/>
        <w:rPr>
          <w:rFonts w:ascii="Times New Roman" w:hAnsi="Times New Roman" w:cs="Times New Roman"/>
          <w:sz w:val="24"/>
          <w:szCs w:val="24"/>
        </w:rPr>
      </w:pPr>
      <w:r w:rsidRPr="0059184B">
        <w:object w:dxaOrig="7760" w:dyaOrig="400">
          <v:shape id="_x0000_i1032" type="#_x0000_t75" style="width:386.85pt;height:20.25pt" o:ole="">
            <v:imagedata r:id="rId30" o:title=""/>
          </v:shape>
          <o:OLEObject Type="Embed" ProgID="Unknown" ShapeID="_x0000_i1032" DrawAspect="Content" ObjectID="_1596442775" r:id="rId31"/>
        </w:object>
      </w:r>
      <w:r w:rsidRPr="0059184B">
        <w:t xml:space="preserve"> </w:t>
      </w:r>
      <w:r w:rsidRPr="0059184B">
        <w:rPr>
          <w:rFonts w:ascii="Times New Roman" w:eastAsia="AdvGulliv-R" w:hAnsi="Times New Roman" w:cs="Times New Roman"/>
          <w:kern w:val="0"/>
          <w:sz w:val="24"/>
          <w:szCs w:val="24"/>
        </w:rPr>
        <w:t>(8)</w:t>
      </w:r>
    </w:p>
    <w:p w:rsidR="00EA1F38" w:rsidRPr="0059184B" w:rsidRDefault="00EA1F38" w:rsidP="00EA1F38">
      <w:pPr>
        <w:autoSpaceDE w:val="0"/>
        <w:autoSpaceDN w:val="0"/>
        <w:adjustRightInd w:val="0"/>
        <w:spacing w:line="360" w:lineRule="auto"/>
        <w:rPr>
          <w:rFonts w:ascii="Times New Roman" w:hAnsi="Times New Roman" w:cs="Times New Roman"/>
          <w:sz w:val="24"/>
          <w:szCs w:val="24"/>
        </w:rPr>
      </w:pPr>
      <w:r w:rsidRPr="0059184B">
        <w:rPr>
          <w:rFonts w:ascii="Times New Roman" w:hAnsi="Times New Roman" w:cs="Times New Roman" w:hint="eastAsia"/>
          <w:sz w:val="24"/>
          <w:szCs w:val="24"/>
        </w:rPr>
        <w:t xml:space="preserve"> </w:t>
      </w:r>
    </w:p>
    <w:p w:rsidR="00EA1F38" w:rsidRPr="0059184B" w:rsidRDefault="00EA1F38" w:rsidP="00EA1F38">
      <w:pPr>
        <w:autoSpaceDE w:val="0"/>
        <w:autoSpaceDN w:val="0"/>
        <w:adjustRightInd w:val="0"/>
        <w:spacing w:line="360" w:lineRule="auto"/>
        <w:rPr>
          <w:rFonts w:ascii="Times New Roman" w:hAnsi="Times New Roman" w:cs="Times New Roman"/>
          <w:sz w:val="24"/>
          <w:szCs w:val="24"/>
        </w:rPr>
      </w:pPr>
      <w:proofErr w:type="spellStart"/>
      <w:r w:rsidRPr="0059184B">
        <w:rPr>
          <w:rFonts w:ascii="Times New Roman" w:hAnsi="Times New Roman" w:cs="Times New Roman"/>
          <w:i/>
          <w:sz w:val="24"/>
          <w:szCs w:val="24"/>
        </w:rPr>
        <w:t>I</w:t>
      </w:r>
      <w:r w:rsidRPr="0059184B">
        <w:rPr>
          <w:rFonts w:ascii="Times New Roman" w:hAnsi="Times New Roman" w:cs="Times New Roman" w:hint="eastAsia"/>
          <w:i/>
          <w:sz w:val="24"/>
          <w:szCs w:val="24"/>
        </w:rPr>
        <w:t>R</w:t>
      </w:r>
      <w:r w:rsidRPr="0059184B">
        <w:rPr>
          <w:rFonts w:ascii="Times New Roman" w:hAnsi="Times New Roman" w:cs="Times New Roman"/>
          <w:i/>
          <w:sz w:val="24"/>
          <w:szCs w:val="24"/>
          <w:vertAlign w:val="subscript"/>
        </w:rPr>
        <w:t>i,t</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is the individual banks’</w:t>
      </w:r>
      <w:r w:rsidRPr="0059184B">
        <w:rPr>
          <w:rFonts w:ascii="Times New Roman" w:hAnsi="Times New Roman" w:cs="Times New Roman" w:hint="eastAsia"/>
          <w:sz w:val="24"/>
          <w:szCs w:val="24"/>
        </w:rPr>
        <w:t xml:space="preserve"> risk measures</w:t>
      </w:r>
      <w:r w:rsidRPr="0059184B">
        <w:rPr>
          <w:rFonts w:ascii="Times New Roman" w:hAnsi="Times New Roman" w:cs="Times New Roman"/>
          <w:sz w:val="24"/>
          <w:szCs w:val="24"/>
        </w:rPr>
        <w:t xml:space="preserve"> such as Z-score, DD, </w:t>
      </w:r>
      <w:proofErr w:type="spellStart"/>
      <w:r w:rsidRPr="0059184B">
        <w:rPr>
          <w:rFonts w:ascii="Times New Roman" w:hAnsi="Times New Roman" w:cs="Times New Roman"/>
          <w:sz w:val="24"/>
          <w:szCs w:val="24"/>
        </w:rPr>
        <w:t>VaR</w:t>
      </w:r>
      <w:proofErr w:type="spellEnd"/>
      <w:r w:rsidRPr="0059184B">
        <w:rPr>
          <w:rFonts w:ascii="Times New Roman" w:hAnsi="Times New Roman" w:cs="Times New Roman" w:hint="eastAsia"/>
          <w:sz w:val="24"/>
          <w:szCs w:val="24"/>
        </w:rPr>
        <w:t xml:space="preserve"> and stock return volatility</w:t>
      </w:r>
      <w:r w:rsidRPr="0059184B">
        <w:rPr>
          <w:rFonts w:ascii="Times New Roman" w:hAnsi="Times New Roman" w:cs="Times New Roman"/>
          <w:sz w:val="24"/>
          <w:szCs w:val="24"/>
        </w:rPr>
        <w:t xml:space="preserve"> for bank holding company </w:t>
      </w:r>
      <w:proofErr w:type="spellStart"/>
      <w:r w:rsidRPr="0059184B">
        <w:rPr>
          <w:rFonts w:ascii="Times New Roman" w:hAnsi="Times New Roman" w:cs="Times New Roman"/>
          <w:i/>
          <w:sz w:val="24"/>
          <w:szCs w:val="24"/>
        </w:rPr>
        <w:t>i</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and time </w:t>
      </w:r>
      <w:r w:rsidRPr="0059184B">
        <w:rPr>
          <w:rFonts w:ascii="Times New Roman" w:hAnsi="Times New Roman" w:cs="Times New Roman"/>
          <w:i/>
          <w:sz w:val="24"/>
          <w:szCs w:val="24"/>
        </w:rPr>
        <w:t>t</w:t>
      </w:r>
      <w:r w:rsidRPr="0059184B">
        <w:rPr>
          <w:rFonts w:ascii="Times New Roman" w:hAnsi="Times New Roman" w:cs="Times New Roman"/>
          <w:sz w:val="24"/>
          <w:szCs w:val="24"/>
        </w:rPr>
        <w:t>.</w:t>
      </w:r>
      <w:r w:rsidRPr="0059184B">
        <w:rPr>
          <w:rFonts w:ascii="Times New Roman" w:hAnsi="Times New Roman" w:cs="Times New Roman" w:hint="eastAsia"/>
          <w:sz w:val="24"/>
          <w:szCs w:val="24"/>
        </w:rPr>
        <w:t xml:space="preserve">; </w:t>
      </w:r>
      <w:proofErr w:type="spellStart"/>
      <w:r w:rsidR="00185853" w:rsidRPr="0059184B">
        <w:rPr>
          <w:rFonts w:ascii="Times New Roman" w:hAnsi="Times New Roman" w:cs="Times New Roman"/>
          <w:i/>
          <w:sz w:val="24"/>
          <w:szCs w:val="24"/>
        </w:rPr>
        <w:t>Y</w:t>
      </w:r>
      <w:r w:rsidR="00185853" w:rsidRPr="0059184B">
        <w:rPr>
          <w:rFonts w:ascii="Times New Roman" w:hAnsi="Times New Roman" w:cs="Times New Roman"/>
          <w:i/>
          <w:sz w:val="24"/>
          <w:szCs w:val="24"/>
          <w:vertAlign w:val="subscript"/>
        </w:rPr>
        <w:t>i,t</w:t>
      </w:r>
      <w:proofErr w:type="spellEnd"/>
      <w:r w:rsidR="00185853" w:rsidRPr="0059184B">
        <w:rPr>
          <w:rFonts w:ascii="Times New Roman" w:hAnsi="Times New Roman" w:cs="Times New Roman"/>
          <w:sz w:val="24"/>
          <w:szCs w:val="24"/>
        </w:rPr>
        <w:t xml:space="preserve"> is the notional value of and credit derivatives and interest rate</w:t>
      </w:r>
      <w:r w:rsidR="00907BC6" w:rsidRPr="0059184B">
        <w:rPr>
          <w:rFonts w:ascii="Times New Roman" w:hAnsi="Times New Roman" w:cs="Times New Roman"/>
          <w:sz w:val="24"/>
          <w:szCs w:val="24"/>
        </w:rPr>
        <w:t xml:space="preserve"> derivatives</w:t>
      </w:r>
      <w:r w:rsidR="00185853" w:rsidRPr="0059184B">
        <w:rPr>
          <w:rFonts w:ascii="Times New Roman" w:hAnsi="Times New Roman" w:cs="Times New Roman"/>
          <w:sz w:val="24"/>
          <w:szCs w:val="24"/>
        </w:rPr>
        <w:t>, categorized either by holding purpose (trading or hedging) or by trading approach (OTC or exchange);</w:t>
      </w:r>
      <w:r w:rsidRPr="0059184B">
        <w:rPr>
          <w:rFonts w:ascii="Times New Roman" w:hAnsi="Times New Roman" w:cs="Times New Roman"/>
          <w:sz w:val="24"/>
          <w:szCs w:val="24"/>
        </w:rPr>
        <w:t xml:space="preserve">;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which is equal to one after the DFA has become a law and zero otherwise; </w:t>
      </w:r>
      <w:r w:rsidRPr="0059184B">
        <w:rPr>
          <w:rFonts w:ascii="Times New Roman" w:hAnsi="Times New Roman" w:cs="Times New Roman"/>
          <w:i/>
          <w:sz w:val="24"/>
          <w:szCs w:val="24"/>
        </w:rPr>
        <w:t>C</w:t>
      </w:r>
      <w:r w:rsidRPr="0059184B">
        <w:rPr>
          <w:rFonts w:ascii="Times New Roman" w:hAnsi="Times New Roman" w:cs="Times New Roman"/>
          <w:i/>
          <w:sz w:val="24"/>
          <w:szCs w:val="24"/>
          <w:vertAlign w:val="subscript"/>
        </w:rPr>
        <w:t>i,t-1</w:t>
      </w:r>
      <w:r w:rsidRPr="0059184B">
        <w:rPr>
          <w:rFonts w:ascii="Times New Roman" w:hAnsi="Times New Roman" w:cs="Times New Roman"/>
          <w:sz w:val="24"/>
          <w:szCs w:val="24"/>
        </w:rPr>
        <w:t xml:space="preserve"> is the set of firm specific</w:t>
      </w:r>
      <w:r w:rsidRPr="0059184B">
        <w:rPr>
          <w:rFonts w:ascii="Times New Roman" w:hAnsi="Times New Roman" w:cs="Times New Roman" w:hint="eastAsia"/>
          <w:sz w:val="24"/>
          <w:szCs w:val="24"/>
        </w:rPr>
        <w:t xml:space="preserve"> </w:t>
      </w:r>
      <w:r w:rsidRPr="0059184B">
        <w:rPr>
          <w:rFonts w:ascii="Times New Roman" w:hAnsi="Times New Roman" w:cs="Times New Roman"/>
          <w:sz w:val="24"/>
          <w:szCs w:val="24"/>
        </w:rPr>
        <w:t>variables</w:t>
      </w:r>
      <w:r w:rsidRPr="0059184B">
        <w:rPr>
          <w:rFonts w:ascii="Times New Roman" w:hAnsi="Times New Roman" w:cs="Times New Roman" w:hint="eastAsia"/>
          <w:sz w:val="24"/>
          <w:szCs w:val="24"/>
        </w:rPr>
        <w:t xml:space="preserve"> and can differ </w:t>
      </w:r>
      <w:r w:rsidRPr="0059184B">
        <w:rPr>
          <w:rFonts w:ascii="Times New Roman" w:hAnsi="Times New Roman" w:cs="Times New Roman"/>
          <w:sz w:val="24"/>
          <w:szCs w:val="24"/>
        </w:rPr>
        <w:t>across</w:t>
      </w:r>
      <w:r w:rsidRPr="0059184B">
        <w:rPr>
          <w:rFonts w:ascii="Times New Roman" w:hAnsi="Times New Roman" w:cs="Times New Roman" w:hint="eastAsia"/>
          <w:sz w:val="24"/>
          <w:szCs w:val="24"/>
        </w:rPr>
        <w:t xml:space="preserve"> regressions as some variables can be used to calculate the dependent variable therefore cannot be </w:t>
      </w:r>
      <w:r w:rsidRPr="0059184B">
        <w:rPr>
          <w:rFonts w:ascii="Times New Roman" w:hAnsi="Times New Roman" w:cs="Times New Roman"/>
          <w:sz w:val="24"/>
          <w:szCs w:val="24"/>
        </w:rPr>
        <w:t>include</w:t>
      </w:r>
      <w:r w:rsidRPr="0059184B">
        <w:rPr>
          <w:rFonts w:ascii="Times New Roman" w:hAnsi="Times New Roman" w:cs="Times New Roman" w:hint="eastAsia"/>
          <w:sz w:val="24"/>
          <w:szCs w:val="24"/>
        </w:rPr>
        <w:t xml:space="preserve">d as </w:t>
      </w:r>
      <w:r w:rsidRPr="0059184B">
        <w:rPr>
          <w:rFonts w:ascii="Times New Roman" w:hAnsi="Times New Roman" w:cs="Times New Roman"/>
          <w:sz w:val="24"/>
          <w:szCs w:val="24"/>
        </w:rPr>
        <w:t>explanatory</w:t>
      </w:r>
      <w:r w:rsidRPr="0059184B">
        <w:rPr>
          <w:rFonts w:ascii="Times New Roman" w:hAnsi="Times New Roman" w:cs="Times New Roman" w:hint="eastAsia"/>
          <w:sz w:val="24"/>
          <w:szCs w:val="24"/>
        </w:rPr>
        <w:t xml:space="preserve"> variables any more.</w:t>
      </w:r>
    </w:p>
    <w:p w:rsidR="00EA1F38" w:rsidRPr="0059184B" w:rsidRDefault="00EA1F38" w:rsidP="00EA1F38">
      <w:pPr>
        <w:autoSpaceDE w:val="0"/>
        <w:autoSpaceDN w:val="0"/>
        <w:adjustRightInd w:val="0"/>
        <w:spacing w:line="360" w:lineRule="auto"/>
        <w:rPr>
          <w:rFonts w:ascii="Times New Roman" w:eastAsia="宋体" w:hAnsi="Times New Roman" w:cs="Times New Roman"/>
          <w:kern w:val="0"/>
          <w:sz w:val="24"/>
          <w:szCs w:val="24"/>
        </w:rPr>
      </w:pPr>
    </w:p>
    <w:p w:rsidR="00EA1F38" w:rsidRPr="0059184B" w:rsidRDefault="00EA1F38" w:rsidP="00EA1F38">
      <w:pPr>
        <w:spacing w:line="360" w:lineRule="auto"/>
        <w:rPr>
          <w:rFonts w:ascii="Times New Roman" w:hAnsi="Times New Roman" w:cs="Times New Roman"/>
          <w:sz w:val="24"/>
          <w:szCs w:val="24"/>
        </w:rPr>
      </w:pPr>
      <w:r w:rsidRPr="0059184B">
        <w:rPr>
          <w:rFonts w:ascii="Times New Roman" w:hAnsi="Times New Roman" w:cs="Times New Roman"/>
          <w:sz w:val="24"/>
          <w:szCs w:val="24"/>
        </w:rPr>
        <w:t xml:space="preserve">Our analysis of implication of </w:t>
      </w:r>
      <w:r w:rsidR="00D72937" w:rsidRPr="0059184B">
        <w:rPr>
          <w:rFonts w:ascii="Times New Roman" w:hAnsi="Times New Roman" w:cs="Times New Roman"/>
          <w:sz w:val="24"/>
          <w:szCs w:val="24"/>
        </w:rPr>
        <w:t xml:space="preserve">the </w:t>
      </w:r>
      <w:r w:rsidRPr="0059184B">
        <w:rPr>
          <w:rFonts w:ascii="Times New Roman" w:hAnsi="Times New Roman" w:cs="Times New Roman"/>
          <w:sz w:val="24"/>
          <w:szCs w:val="24"/>
        </w:rPr>
        <w:t>DFA on US bank’s risk-return profile would be incomplete without performance analysis. As proxies for banks’ performance, we consider: Tobin’s Q, returns on assets</w:t>
      </w:r>
      <w:r w:rsidR="00185853" w:rsidRPr="0059184B">
        <w:rPr>
          <w:rFonts w:ascii="Times New Roman" w:hAnsi="Times New Roman" w:cs="Times New Roman"/>
          <w:sz w:val="24"/>
          <w:szCs w:val="24"/>
        </w:rPr>
        <w:t>, cost to income ratio, and quarterly return of market shares</w:t>
      </w:r>
      <w:r w:rsidRPr="0059184B">
        <w:rPr>
          <w:rFonts w:ascii="Times New Roman" w:hAnsi="Times New Roman" w:cs="Times New Roman"/>
          <w:sz w:val="24"/>
          <w:szCs w:val="24"/>
        </w:rPr>
        <w:t>. Higher values in a bank’s Tobin’s Q, returns on assets</w:t>
      </w:r>
      <w:r w:rsidR="00D72937" w:rsidRPr="0059184B">
        <w:rPr>
          <w:rFonts w:ascii="Times New Roman" w:hAnsi="Times New Roman" w:cs="Times New Roman"/>
          <w:sz w:val="24"/>
          <w:szCs w:val="24"/>
        </w:rPr>
        <w:t xml:space="preserve"> </w:t>
      </w:r>
      <w:r w:rsidRPr="0059184B">
        <w:rPr>
          <w:rFonts w:ascii="Times New Roman" w:hAnsi="Times New Roman" w:cs="Times New Roman"/>
          <w:sz w:val="24"/>
          <w:szCs w:val="24"/>
        </w:rPr>
        <w:t xml:space="preserve">(ROA) </w:t>
      </w:r>
      <w:r w:rsidR="00185853" w:rsidRPr="0059184B">
        <w:rPr>
          <w:rFonts w:ascii="Times New Roman" w:hAnsi="Times New Roman" w:cs="Times New Roman"/>
          <w:sz w:val="24"/>
          <w:szCs w:val="24"/>
        </w:rPr>
        <w:t xml:space="preserve">or quarterly return of market shares </w:t>
      </w:r>
      <w:r w:rsidRPr="0059184B">
        <w:rPr>
          <w:rFonts w:ascii="Times New Roman" w:hAnsi="Times New Roman" w:cs="Times New Roman"/>
          <w:sz w:val="24"/>
          <w:szCs w:val="24"/>
        </w:rPr>
        <w:t>imply better performance</w:t>
      </w:r>
      <w:r w:rsidR="00185853" w:rsidRPr="0059184B">
        <w:rPr>
          <w:rFonts w:ascii="Times New Roman" w:hAnsi="Times New Roman" w:cs="Times New Roman"/>
          <w:sz w:val="24"/>
          <w:szCs w:val="24"/>
        </w:rPr>
        <w:t xml:space="preserve"> while higher </w:t>
      </w:r>
      <w:r w:rsidR="0077775B" w:rsidRPr="0059184B">
        <w:rPr>
          <w:rFonts w:ascii="Times New Roman" w:hAnsi="Times New Roman" w:cs="Times New Roman"/>
          <w:sz w:val="24"/>
          <w:szCs w:val="24"/>
        </w:rPr>
        <w:t>cost to income ratio</w:t>
      </w:r>
      <w:r w:rsidR="00185853" w:rsidRPr="0059184B">
        <w:rPr>
          <w:rFonts w:ascii="Times New Roman" w:hAnsi="Times New Roman" w:cs="Times New Roman"/>
          <w:sz w:val="24"/>
          <w:szCs w:val="24"/>
        </w:rPr>
        <w:t xml:space="preserve"> suggests a lower operating efficiency and therefore a worse performance</w:t>
      </w:r>
      <w:r w:rsidRPr="0059184B">
        <w:rPr>
          <w:rFonts w:ascii="Times New Roman" w:hAnsi="Times New Roman" w:cs="Times New Roman"/>
          <w:sz w:val="24"/>
          <w:szCs w:val="24"/>
        </w:rPr>
        <w:t>. The regression (</w:t>
      </w:r>
      <w:r w:rsidR="0077775B" w:rsidRPr="0059184B">
        <w:rPr>
          <w:rFonts w:ascii="Times New Roman" w:hAnsi="Times New Roman" w:cs="Times New Roman"/>
          <w:sz w:val="24"/>
          <w:szCs w:val="24"/>
        </w:rPr>
        <w:t>8</w:t>
      </w:r>
      <w:r w:rsidRPr="0059184B">
        <w:rPr>
          <w:rFonts w:ascii="Times New Roman" w:hAnsi="Times New Roman" w:cs="Times New Roman"/>
          <w:sz w:val="24"/>
          <w:szCs w:val="24"/>
        </w:rPr>
        <w:t xml:space="preserve">) is use for examination of performance, where </w:t>
      </w:r>
      <w:proofErr w:type="spellStart"/>
      <w:r w:rsidR="0077775B" w:rsidRPr="0059184B">
        <w:rPr>
          <w:rFonts w:ascii="Times New Roman" w:hAnsi="Times New Roman" w:cs="Times New Roman"/>
          <w:i/>
          <w:sz w:val="24"/>
          <w:szCs w:val="24"/>
        </w:rPr>
        <w:t>I</w:t>
      </w:r>
      <w:r w:rsidR="0077775B" w:rsidRPr="0059184B">
        <w:rPr>
          <w:rFonts w:ascii="Times New Roman" w:hAnsi="Times New Roman" w:cs="Times New Roman" w:hint="eastAsia"/>
          <w:i/>
          <w:sz w:val="24"/>
          <w:szCs w:val="24"/>
        </w:rPr>
        <w:t>R</w:t>
      </w:r>
      <w:r w:rsidR="0077775B" w:rsidRPr="0059184B">
        <w:rPr>
          <w:rFonts w:ascii="Times New Roman" w:hAnsi="Times New Roman" w:cs="Times New Roman"/>
          <w:i/>
          <w:sz w:val="24"/>
          <w:szCs w:val="24"/>
          <w:vertAlign w:val="subscript"/>
        </w:rPr>
        <w:t>i,t</w:t>
      </w:r>
      <w:proofErr w:type="spellEnd"/>
      <w:r w:rsidR="0077775B" w:rsidRPr="0059184B">
        <w:rPr>
          <w:rFonts w:ascii="Times New Roman" w:hAnsi="Times New Roman" w:cs="Times New Roman"/>
          <w:i/>
          <w:sz w:val="24"/>
          <w:szCs w:val="24"/>
        </w:rPr>
        <w:t xml:space="preserve"> </w:t>
      </w:r>
      <w:r w:rsidRPr="0059184B">
        <w:rPr>
          <w:rFonts w:ascii="Times New Roman" w:hAnsi="Times New Roman" w:cs="Times New Roman"/>
          <w:sz w:val="24"/>
          <w:szCs w:val="24"/>
        </w:rPr>
        <w:t>is replace</w:t>
      </w:r>
      <w:r w:rsidR="00D72937" w:rsidRPr="0059184B">
        <w:rPr>
          <w:rFonts w:ascii="Times New Roman" w:hAnsi="Times New Roman" w:cs="Times New Roman"/>
          <w:sz w:val="24"/>
          <w:szCs w:val="24"/>
        </w:rPr>
        <w:t>d</w:t>
      </w:r>
      <w:r w:rsidRPr="0059184B">
        <w:rPr>
          <w:rFonts w:ascii="Times New Roman" w:hAnsi="Times New Roman" w:cs="Times New Roman"/>
          <w:sz w:val="24"/>
          <w:szCs w:val="24"/>
        </w:rPr>
        <w:t xml:space="preserve"> with a bank’s </w:t>
      </w:r>
      <w:r w:rsidR="0077775B" w:rsidRPr="0059184B">
        <w:rPr>
          <w:rFonts w:ascii="Times New Roman" w:hAnsi="Times New Roman" w:cs="Times New Roman"/>
          <w:sz w:val="24"/>
          <w:szCs w:val="24"/>
        </w:rPr>
        <w:t xml:space="preserve">performance measures, namely, </w:t>
      </w:r>
      <w:r w:rsidRPr="0059184B">
        <w:rPr>
          <w:rFonts w:ascii="Times New Roman" w:hAnsi="Times New Roman" w:cs="Times New Roman"/>
          <w:sz w:val="24"/>
          <w:szCs w:val="24"/>
        </w:rPr>
        <w:t>Tobin’s Q, ROA</w:t>
      </w:r>
      <w:r w:rsidR="0077775B" w:rsidRPr="0059184B">
        <w:rPr>
          <w:rFonts w:ascii="Times New Roman" w:hAnsi="Times New Roman" w:cs="Times New Roman"/>
          <w:sz w:val="24"/>
          <w:szCs w:val="24"/>
        </w:rPr>
        <w:t>, quarterly return of market shares and cost to income ratio</w:t>
      </w:r>
      <w:r w:rsidRPr="0059184B">
        <w:rPr>
          <w:rFonts w:ascii="Times New Roman" w:hAnsi="Times New Roman" w:cs="Times New Roman"/>
          <w:sz w:val="24"/>
          <w:szCs w:val="24"/>
        </w:rPr>
        <w:t xml:space="preserve">. </w:t>
      </w:r>
    </w:p>
    <w:p w:rsidR="00037074" w:rsidRPr="0059184B" w:rsidRDefault="00037074" w:rsidP="00C17B69">
      <w:pPr>
        <w:autoSpaceDE w:val="0"/>
        <w:autoSpaceDN w:val="0"/>
        <w:adjustRightInd w:val="0"/>
        <w:spacing w:line="360" w:lineRule="auto"/>
        <w:rPr>
          <w:rFonts w:ascii="Times New Roman" w:eastAsia="宋体" w:hAnsi="Times New Roman" w:cs="Times New Roman"/>
          <w:kern w:val="0"/>
          <w:sz w:val="24"/>
          <w:szCs w:val="24"/>
        </w:rPr>
      </w:pPr>
    </w:p>
    <w:p w:rsidR="0039338C" w:rsidRPr="0059184B" w:rsidRDefault="001F4EA2" w:rsidP="00C61C16">
      <w:pPr>
        <w:pStyle w:val="2"/>
        <w:rPr>
          <w:rFonts w:ascii="Times New Roman" w:hAnsi="Times New Roman" w:cs="Times New Roman"/>
          <w:sz w:val="24"/>
          <w:szCs w:val="24"/>
        </w:rPr>
      </w:pPr>
      <w:r w:rsidRPr="0059184B">
        <w:rPr>
          <w:rFonts w:eastAsia="宋体"/>
        </w:rPr>
        <w:br w:type="column"/>
      </w:r>
      <w:r w:rsidR="00C61C16" w:rsidRPr="0059184B">
        <w:rPr>
          <w:rFonts w:ascii="Times New Roman" w:eastAsia="宋体" w:hAnsi="Times New Roman" w:cs="Times New Roman"/>
          <w:sz w:val="24"/>
          <w:szCs w:val="24"/>
        </w:rPr>
        <w:lastRenderedPageBreak/>
        <w:t xml:space="preserve">4. </w:t>
      </w:r>
      <w:r w:rsidR="007B7BFA" w:rsidRPr="0059184B">
        <w:rPr>
          <w:rFonts w:ascii="Times New Roman" w:hAnsi="Times New Roman" w:cs="Times New Roman"/>
          <w:sz w:val="24"/>
          <w:szCs w:val="24"/>
          <w:lang w:val="en-NZ" w:eastAsia="en-US"/>
        </w:rPr>
        <w:t>Data</w:t>
      </w:r>
      <w:r w:rsidR="0039338C" w:rsidRPr="0059184B">
        <w:rPr>
          <w:rFonts w:ascii="Times New Roman" w:hAnsi="Times New Roman" w:cs="Times New Roman"/>
          <w:sz w:val="24"/>
          <w:szCs w:val="24"/>
        </w:rPr>
        <w:t xml:space="preserve"> </w:t>
      </w:r>
    </w:p>
    <w:p w:rsidR="006116E2" w:rsidRPr="0059184B" w:rsidRDefault="00C61C16" w:rsidP="00C61C16">
      <w:pPr>
        <w:pStyle w:val="3"/>
        <w:rPr>
          <w:rFonts w:ascii="Times New Roman" w:hAnsi="Times New Roman" w:cs="Times New Roman"/>
          <w:sz w:val="24"/>
          <w:szCs w:val="24"/>
        </w:rPr>
      </w:pPr>
      <w:r w:rsidRPr="0059184B">
        <w:rPr>
          <w:rFonts w:ascii="Times New Roman" w:hAnsi="Times New Roman" w:cs="Times New Roman"/>
          <w:sz w:val="24"/>
          <w:szCs w:val="24"/>
        </w:rPr>
        <w:t>4</w:t>
      </w:r>
      <w:r w:rsidR="006116E2" w:rsidRPr="0059184B">
        <w:rPr>
          <w:rFonts w:ascii="Times New Roman" w:hAnsi="Times New Roman" w:cs="Times New Roman"/>
          <w:sz w:val="24"/>
          <w:szCs w:val="24"/>
        </w:rPr>
        <w:t>.1. Sample and data</w:t>
      </w:r>
    </w:p>
    <w:p w:rsidR="006D66BD" w:rsidRPr="0059184B" w:rsidRDefault="00334287" w:rsidP="0087140C">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This</w:t>
      </w:r>
      <w:r w:rsidR="0039338C" w:rsidRPr="0059184B">
        <w:rPr>
          <w:rFonts w:ascii="Times New Roman" w:hAnsi="Times New Roman" w:cs="Times New Roman"/>
        </w:rPr>
        <w:t xml:space="preserve"> study examines large and </w:t>
      </w:r>
      <w:r w:rsidRPr="0059184B">
        <w:rPr>
          <w:rFonts w:ascii="Times New Roman" w:hAnsi="Times New Roman" w:cs="Times New Roman"/>
        </w:rPr>
        <w:t xml:space="preserve">publically </w:t>
      </w:r>
      <w:r w:rsidR="0039338C" w:rsidRPr="0059184B">
        <w:rPr>
          <w:rFonts w:ascii="Times New Roman" w:hAnsi="Times New Roman" w:cs="Times New Roman"/>
        </w:rPr>
        <w:t>listed bank holding companies</w:t>
      </w:r>
      <w:r w:rsidR="00750ED9" w:rsidRPr="0059184B">
        <w:rPr>
          <w:rFonts w:ascii="Times New Roman" w:hAnsi="Times New Roman" w:cs="Times New Roman"/>
        </w:rPr>
        <w:t xml:space="preserve"> </w:t>
      </w:r>
      <w:r w:rsidR="00803ED5" w:rsidRPr="0059184B">
        <w:rPr>
          <w:rFonts w:ascii="Times New Roman" w:hAnsi="Times New Roman" w:cs="Times New Roman"/>
        </w:rPr>
        <w:t>in the U.S.</w:t>
      </w:r>
      <w:r w:rsidR="00750ED9" w:rsidRPr="0059184B">
        <w:rPr>
          <w:rFonts w:ascii="Times New Roman" w:hAnsi="Times New Roman" w:cs="Times New Roman"/>
        </w:rPr>
        <w:t xml:space="preserve"> </w:t>
      </w:r>
      <w:r w:rsidRPr="0059184B">
        <w:rPr>
          <w:rFonts w:ascii="Times New Roman" w:hAnsi="Times New Roman" w:cs="Times New Roman"/>
        </w:rPr>
        <w:t xml:space="preserve">from </w:t>
      </w:r>
      <w:r w:rsidR="00803ED5" w:rsidRPr="0059184B">
        <w:rPr>
          <w:rFonts w:ascii="Times New Roman" w:hAnsi="Times New Roman" w:cs="Times New Roman"/>
        </w:rPr>
        <w:t xml:space="preserve">January </w:t>
      </w:r>
      <w:r w:rsidRPr="0059184B">
        <w:rPr>
          <w:rFonts w:ascii="Times New Roman" w:hAnsi="Times New Roman" w:cs="Times New Roman"/>
        </w:rPr>
        <w:t xml:space="preserve">2007 to </w:t>
      </w:r>
      <w:r w:rsidR="00803ED5" w:rsidRPr="0059184B">
        <w:rPr>
          <w:rFonts w:ascii="Times New Roman" w:hAnsi="Times New Roman" w:cs="Times New Roman"/>
        </w:rPr>
        <w:t xml:space="preserve">December 2014. Our study covers </w:t>
      </w:r>
      <w:r w:rsidRPr="0059184B">
        <w:rPr>
          <w:rFonts w:ascii="Times New Roman" w:hAnsi="Times New Roman" w:cs="Times New Roman"/>
        </w:rPr>
        <w:t>the subprime crisis 2007-2009</w:t>
      </w:r>
      <w:r w:rsidR="00803ED5" w:rsidRPr="0059184B">
        <w:rPr>
          <w:rFonts w:ascii="Times New Roman" w:hAnsi="Times New Roman" w:cs="Times New Roman"/>
        </w:rPr>
        <w:t xml:space="preserve"> and roughly equal pre-DFA and post-DFA sub-periods. We focus on bank holding companies because these large financial institutions are more likely to use derivatives for both hedging and trading purposes. Our </w:t>
      </w:r>
      <w:r w:rsidR="006D66BD" w:rsidRPr="0059184B">
        <w:rPr>
          <w:rFonts w:ascii="Times New Roman" w:hAnsi="Times New Roman" w:cs="Times New Roman"/>
        </w:rPr>
        <w:t xml:space="preserve">main </w:t>
      </w:r>
      <w:r w:rsidR="00803ED5" w:rsidRPr="0059184B">
        <w:rPr>
          <w:rFonts w:ascii="Times New Roman" w:hAnsi="Times New Roman" w:cs="Times New Roman"/>
        </w:rPr>
        <w:t>sample i</w:t>
      </w:r>
      <w:r w:rsidR="006D66BD" w:rsidRPr="0059184B">
        <w:rPr>
          <w:rFonts w:ascii="Times New Roman" w:hAnsi="Times New Roman" w:cs="Times New Roman"/>
        </w:rPr>
        <w:t>s restricted to banks which ha</w:t>
      </w:r>
      <w:r w:rsidR="000544E5" w:rsidRPr="0059184B">
        <w:rPr>
          <w:rFonts w:ascii="Times New Roman" w:hAnsi="Times New Roman" w:cs="Times New Roman"/>
        </w:rPr>
        <w:t>ve</w:t>
      </w:r>
      <w:r w:rsidR="00803ED5" w:rsidRPr="0059184B">
        <w:rPr>
          <w:rFonts w:ascii="Times New Roman" w:hAnsi="Times New Roman" w:cs="Times New Roman"/>
        </w:rPr>
        <w:t xml:space="preserve"> at least </w:t>
      </w:r>
      <w:r w:rsidR="000544E5" w:rsidRPr="0059184B">
        <w:rPr>
          <w:rFonts w:ascii="Times New Roman" w:hAnsi="Times New Roman" w:cs="Times New Roman"/>
        </w:rPr>
        <w:t>USD</w:t>
      </w:r>
      <w:r w:rsidR="00803ED5" w:rsidRPr="0059184B">
        <w:rPr>
          <w:rFonts w:ascii="Times New Roman" w:hAnsi="Times New Roman" w:cs="Times New Roman"/>
        </w:rPr>
        <w:t xml:space="preserve">1 billion in assets at the end of 2006, </w:t>
      </w:r>
      <w:r w:rsidR="00B34794" w:rsidRPr="0059184B">
        <w:rPr>
          <w:rFonts w:ascii="Times New Roman" w:hAnsi="Times New Roman" w:cs="Times New Roman"/>
        </w:rPr>
        <w:t xml:space="preserve">and </w:t>
      </w:r>
      <w:r w:rsidR="000544E5" w:rsidRPr="0059184B">
        <w:rPr>
          <w:rFonts w:ascii="Times New Roman" w:hAnsi="Times New Roman" w:cs="Times New Roman"/>
        </w:rPr>
        <w:t>have</w:t>
      </w:r>
      <w:r w:rsidR="00B34794" w:rsidRPr="0059184B">
        <w:rPr>
          <w:rFonts w:ascii="Times New Roman" w:hAnsi="Times New Roman" w:cs="Times New Roman"/>
        </w:rPr>
        <w:t xml:space="preserve"> derivative holdings reported in Y9 call report as well as</w:t>
      </w:r>
      <w:r w:rsidR="00803ED5" w:rsidRPr="0059184B">
        <w:rPr>
          <w:rFonts w:ascii="Times New Roman" w:hAnsi="Times New Roman" w:cs="Times New Roman"/>
        </w:rPr>
        <w:t xml:space="preserve"> stock prices </w:t>
      </w:r>
      <w:r w:rsidR="00047F64" w:rsidRPr="0059184B">
        <w:rPr>
          <w:rFonts w:ascii="Times New Roman" w:hAnsi="Times New Roman" w:cs="Times New Roman"/>
        </w:rPr>
        <w:t>reported in CRSP</w:t>
      </w:r>
      <w:r w:rsidR="00B34794" w:rsidRPr="0059184B">
        <w:rPr>
          <w:rFonts w:ascii="Times New Roman" w:hAnsi="Times New Roman" w:cs="Times New Roman"/>
        </w:rPr>
        <w:t>.</w:t>
      </w:r>
      <w:r w:rsidR="006D66BD" w:rsidRPr="0059184B">
        <w:rPr>
          <w:rFonts w:ascii="Times New Roman" w:hAnsi="Times New Roman" w:cs="Times New Roman"/>
        </w:rPr>
        <w:t xml:space="preserve"> The main</w:t>
      </w:r>
      <w:r w:rsidR="00803ED5" w:rsidRPr="0059184B">
        <w:rPr>
          <w:rFonts w:ascii="Times New Roman" w:hAnsi="Times New Roman" w:cs="Times New Roman"/>
        </w:rPr>
        <w:t xml:space="preserve"> sample consists of </w:t>
      </w:r>
      <w:r w:rsidR="00643477" w:rsidRPr="0059184B">
        <w:rPr>
          <w:rFonts w:ascii="Times New Roman" w:hAnsi="Times New Roman" w:cs="Times New Roman"/>
        </w:rPr>
        <w:t xml:space="preserve">151 </w:t>
      </w:r>
      <w:r w:rsidR="00803ED5" w:rsidRPr="0059184B">
        <w:rPr>
          <w:rFonts w:ascii="Times New Roman" w:hAnsi="Times New Roman" w:cs="Times New Roman"/>
        </w:rPr>
        <w:t>bank holding companies, which captures</w:t>
      </w:r>
      <w:r w:rsidR="00803ED5" w:rsidRPr="0059184B">
        <w:rPr>
          <w:rFonts w:ascii="Times New Roman" w:hAnsi="Times New Roman" w:cs="Times New Roman" w:hint="eastAsia"/>
        </w:rPr>
        <w:t xml:space="preserve"> </w:t>
      </w:r>
      <w:r w:rsidR="00047F64" w:rsidRPr="0059184B">
        <w:rPr>
          <w:rFonts w:ascii="Times New Roman" w:hAnsi="Times New Roman" w:cs="Times New Roman"/>
        </w:rPr>
        <w:t xml:space="preserve">more than </w:t>
      </w:r>
      <w:r w:rsidR="00803ED5" w:rsidRPr="0059184B">
        <w:rPr>
          <w:rFonts w:ascii="Times New Roman" w:hAnsi="Times New Roman" w:cs="Times New Roman"/>
        </w:rPr>
        <w:t>70</w:t>
      </w:r>
      <w:r w:rsidR="00803ED5" w:rsidRPr="0059184B">
        <w:rPr>
          <w:rFonts w:ascii="Times New Roman" w:hAnsi="Times New Roman" w:cs="Times New Roman" w:hint="eastAsia"/>
        </w:rPr>
        <w:t xml:space="preserve">% of </w:t>
      </w:r>
      <w:r w:rsidR="00803ED5" w:rsidRPr="0059184B">
        <w:rPr>
          <w:rFonts w:ascii="Times New Roman" w:hAnsi="Times New Roman" w:cs="Times New Roman"/>
        </w:rPr>
        <w:t xml:space="preserve">the </w:t>
      </w:r>
      <w:r w:rsidR="00803ED5" w:rsidRPr="0059184B">
        <w:rPr>
          <w:rFonts w:ascii="Times New Roman" w:hAnsi="Times New Roman" w:cs="Times New Roman" w:hint="eastAsia"/>
        </w:rPr>
        <w:t xml:space="preserve">total market capitalization of </w:t>
      </w:r>
      <w:r w:rsidR="00803ED5" w:rsidRPr="0059184B">
        <w:rPr>
          <w:rFonts w:ascii="Times New Roman" w:hAnsi="Times New Roman" w:cs="Times New Roman"/>
        </w:rPr>
        <w:t>U.S. publically traded bank holding companies at the end of 2006.</w:t>
      </w:r>
      <w:r w:rsidR="00B51A11" w:rsidRPr="0059184B">
        <w:rPr>
          <w:rFonts w:ascii="Times New Roman" w:hAnsi="Times New Roman" w:cs="Times New Roman"/>
        </w:rPr>
        <w:t xml:space="preserve"> </w:t>
      </w:r>
    </w:p>
    <w:p w:rsidR="004D4FA3" w:rsidRPr="0059184B" w:rsidRDefault="00B51A11" w:rsidP="0087140C">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Two other sa</w:t>
      </w:r>
      <w:r w:rsidR="006063CD" w:rsidRPr="0059184B">
        <w:rPr>
          <w:rFonts w:ascii="Times New Roman" w:hAnsi="Times New Roman" w:cs="Times New Roman"/>
        </w:rPr>
        <w:t>mples were also created</w:t>
      </w:r>
      <w:r w:rsidR="006D66BD" w:rsidRPr="0059184B">
        <w:rPr>
          <w:rFonts w:ascii="Times New Roman" w:hAnsi="Times New Roman" w:cs="Times New Roman"/>
        </w:rPr>
        <w:t xml:space="preserve"> for robustness testing. The first alternative sample includes </w:t>
      </w:r>
      <w:r w:rsidR="00907BC6" w:rsidRPr="0059184B">
        <w:rPr>
          <w:rFonts w:ascii="Times New Roman" w:hAnsi="Times New Roman" w:cs="Times New Roman"/>
        </w:rPr>
        <w:t xml:space="preserve">52 </w:t>
      </w:r>
      <w:r w:rsidR="006D66BD" w:rsidRPr="0059184B">
        <w:rPr>
          <w:rFonts w:ascii="Times New Roman" w:hAnsi="Times New Roman" w:cs="Times New Roman"/>
        </w:rPr>
        <w:t xml:space="preserve">bank holding companies; each </w:t>
      </w:r>
      <w:r w:rsidR="006D66BD" w:rsidRPr="0059184B">
        <w:rPr>
          <w:rFonts w:ascii="Times New Roman" w:eastAsia="AdvGulliv-R" w:hAnsi="Times New Roman" w:cs="Times New Roman"/>
        </w:rPr>
        <w:t xml:space="preserve">had total assets above USD5 billion in </w:t>
      </w:r>
      <w:r w:rsidR="00D71C36" w:rsidRPr="0059184B">
        <w:rPr>
          <w:rFonts w:ascii="Times New Roman" w:eastAsia="AdvGulliv-R" w:hAnsi="Times New Roman" w:cs="Times New Roman"/>
        </w:rPr>
        <w:t>both</w:t>
      </w:r>
      <w:r w:rsidR="006D66BD" w:rsidRPr="0059184B">
        <w:rPr>
          <w:rFonts w:ascii="Times New Roman" w:eastAsia="AdvGulliv-R" w:hAnsi="Times New Roman" w:cs="Times New Roman"/>
        </w:rPr>
        <w:t xml:space="preserve"> the first quarter of 2006 </w:t>
      </w:r>
      <w:r w:rsidR="00D71C36" w:rsidRPr="0059184B">
        <w:rPr>
          <w:rFonts w:ascii="Times New Roman" w:eastAsia="AdvGulliv-R" w:hAnsi="Times New Roman" w:cs="Times New Roman"/>
        </w:rPr>
        <w:t>and</w:t>
      </w:r>
      <w:r w:rsidR="006D66BD" w:rsidRPr="0059184B">
        <w:rPr>
          <w:rFonts w:ascii="Times New Roman" w:eastAsia="AdvGulliv-R" w:hAnsi="Times New Roman" w:cs="Times New Roman"/>
        </w:rPr>
        <w:t xml:space="preserve"> the first quarter of 2009. This approach was similar to that of </w:t>
      </w:r>
      <w:proofErr w:type="spellStart"/>
      <w:r w:rsidR="006D66BD" w:rsidRPr="0059184B">
        <w:rPr>
          <w:rFonts w:ascii="Times New Roman" w:eastAsia="AdvGulliv-R" w:hAnsi="Times New Roman" w:cs="Times New Roman"/>
        </w:rPr>
        <w:t>Mayordomo</w:t>
      </w:r>
      <w:proofErr w:type="spellEnd"/>
      <w:r w:rsidR="006D66BD" w:rsidRPr="0059184B">
        <w:rPr>
          <w:rFonts w:ascii="Times New Roman" w:eastAsia="AdvGulliv-R" w:hAnsi="Times New Roman" w:cs="Times New Roman"/>
        </w:rPr>
        <w:t>, Rodriguez-Moreno and Pena (2014)</w:t>
      </w:r>
      <w:r w:rsidR="004D4FA3" w:rsidRPr="0059184B">
        <w:rPr>
          <w:rFonts w:ascii="Times New Roman" w:eastAsia="AdvGulliv-R" w:hAnsi="Times New Roman" w:cs="Times New Roman"/>
        </w:rPr>
        <w:t>. An advantage of this</w:t>
      </w:r>
      <w:r w:rsidR="00DA0790" w:rsidRPr="0059184B">
        <w:rPr>
          <w:rFonts w:ascii="Times New Roman" w:eastAsia="AdvGulliv-R" w:hAnsi="Times New Roman" w:cs="Times New Roman"/>
        </w:rPr>
        <w:t xml:space="preserve"> screening criterion</w:t>
      </w:r>
      <w:r w:rsidR="004D4FA3" w:rsidRPr="0059184B">
        <w:rPr>
          <w:rFonts w:ascii="Times New Roman" w:eastAsia="AdvGulliv-R" w:hAnsi="Times New Roman" w:cs="Times New Roman"/>
        </w:rPr>
        <w:t xml:space="preserve"> is that </w:t>
      </w:r>
      <w:r w:rsidR="006D66BD" w:rsidRPr="0059184B">
        <w:rPr>
          <w:rFonts w:ascii="Times New Roman" w:eastAsia="AdvGulliv-R" w:hAnsi="Times New Roman" w:cs="Times New Roman"/>
        </w:rPr>
        <w:t>it incorporates both pre-crisis and ongoing crisis-period time spot</w:t>
      </w:r>
      <w:r w:rsidR="004D4FA3" w:rsidRPr="0059184B">
        <w:rPr>
          <w:rFonts w:ascii="Times New Roman" w:eastAsia="AdvGulliv-R" w:hAnsi="Times New Roman" w:cs="Times New Roman"/>
        </w:rPr>
        <w:t>s, thereby avoiding potential bias. The second alternative sample includes 18</w:t>
      </w:r>
      <w:r w:rsidR="0001435D" w:rsidRPr="0059184B">
        <w:rPr>
          <w:rStyle w:val="a5"/>
          <w:rFonts w:ascii="Times New Roman" w:eastAsia="AdvGulliv-R" w:hAnsi="Times New Roman" w:cs="Times New Roman"/>
        </w:rPr>
        <w:footnoteReference w:id="5"/>
      </w:r>
      <w:r w:rsidR="004D4FA3" w:rsidRPr="0059184B">
        <w:rPr>
          <w:rFonts w:ascii="Times New Roman" w:eastAsia="AdvGulliv-R" w:hAnsi="Times New Roman" w:cs="Times New Roman"/>
        </w:rPr>
        <w:t xml:space="preserve"> banks that underwent stress tests during the study period. We examine</w:t>
      </w:r>
      <w:r w:rsidR="00DA0790" w:rsidRPr="0059184B">
        <w:rPr>
          <w:rFonts w:ascii="Times New Roman" w:eastAsia="AdvGulliv-R" w:hAnsi="Times New Roman" w:cs="Times New Roman"/>
        </w:rPr>
        <w:t xml:space="preserve"> stress test banks</w:t>
      </w:r>
      <w:r w:rsidR="004D4FA3" w:rsidRPr="0059184B">
        <w:rPr>
          <w:rFonts w:ascii="Times New Roman" w:eastAsia="AdvGulliv-R" w:hAnsi="Times New Roman" w:cs="Times New Roman"/>
        </w:rPr>
        <w:t xml:space="preserve"> for </w:t>
      </w:r>
      <w:r w:rsidR="00DA0790" w:rsidRPr="0059184B">
        <w:rPr>
          <w:rFonts w:ascii="Times New Roman" w:eastAsia="AdvGulliv-R" w:hAnsi="Times New Roman" w:cs="Times New Roman"/>
        </w:rPr>
        <w:t>three</w:t>
      </w:r>
      <w:r w:rsidR="004D4FA3" w:rsidRPr="0059184B">
        <w:rPr>
          <w:rFonts w:ascii="Times New Roman" w:eastAsia="AdvGulliv-R" w:hAnsi="Times New Roman" w:cs="Times New Roman"/>
        </w:rPr>
        <w:t xml:space="preserve"> reasons. </w:t>
      </w:r>
      <w:r w:rsidR="00DA0790" w:rsidRPr="0059184B">
        <w:rPr>
          <w:rFonts w:ascii="Times New Roman" w:hAnsi="Times New Roman" w:cs="Times New Roman"/>
        </w:rPr>
        <w:t xml:space="preserve">First, stress tests can uncover threats to the financial system as a whole when mega banks are collectively undercapitalized. </w:t>
      </w:r>
      <w:r w:rsidR="00DA0790" w:rsidRPr="0059184B">
        <w:rPr>
          <w:rFonts w:ascii="Times New Roman" w:eastAsia="AdvGulliv-R" w:hAnsi="Times New Roman" w:cs="Times New Roman"/>
        </w:rPr>
        <w:t>Second</w:t>
      </w:r>
      <w:r w:rsidR="004D4FA3" w:rsidRPr="0059184B">
        <w:rPr>
          <w:rFonts w:ascii="Times New Roman" w:eastAsia="AdvGulliv-R" w:hAnsi="Times New Roman" w:cs="Times New Roman"/>
        </w:rPr>
        <w:t xml:space="preserve">, </w:t>
      </w:r>
      <w:r w:rsidR="00DA0790" w:rsidRPr="0059184B">
        <w:rPr>
          <w:rFonts w:ascii="Times New Roman" w:eastAsia="AdvGulliv-R" w:hAnsi="Times New Roman" w:cs="Times New Roman"/>
        </w:rPr>
        <w:t xml:space="preserve">these large </w:t>
      </w:r>
      <w:r w:rsidR="004D4FA3" w:rsidRPr="0059184B">
        <w:rPr>
          <w:rFonts w:ascii="Times New Roman" w:eastAsia="AdvGulliv-R" w:hAnsi="Times New Roman" w:cs="Times New Roman"/>
        </w:rPr>
        <w:t>banks were heavy users of derivatives prior to and during the GFC, and subject to heightened regulations from 2010 onward</w:t>
      </w:r>
      <w:r w:rsidR="00DA0790" w:rsidRPr="0059184B">
        <w:rPr>
          <w:rFonts w:ascii="Times New Roman" w:eastAsia="AdvGulliv-R" w:hAnsi="Times New Roman" w:cs="Times New Roman"/>
        </w:rPr>
        <w:t>s</w:t>
      </w:r>
      <w:r w:rsidR="00A10944" w:rsidRPr="0059184B">
        <w:rPr>
          <w:rFonts w:ascii="Times New Roman" w:eastAsia="AdvGulliv-R" w:hAnsi="Times New Roman" w:cs="Times New Roman"/>
        </w:rPr>
        <w:t xml:space="preserve"> (Panel D, E, </w:t>
      </w:r>
      <w:proofErr w:type="gramStart"/>
      <w:r w:rsidR="00A10944" w:rsidRPr="0059184B">
        <w:rPr>
          <w:rFonts w:ascii="Times New Roman" w:eastAsia="AdvGulliv-R" w:hAnsi="Times New Roman" w:cs="Times New Roman"/>
        </w:rPr>
        <w:t>F</w:t>
      </w:r>
      <w:proofErr w:type="gramEnd"/>
      <w:r w:rsidR="00A10944" w:rsidRPr="0059184B">
        <w:rPr>
          <w:rFonts w:ascii="Times New Roman" w:eastAsia="AdvGulliv-R" w:hAnsi="Times New Roman" w:cs="Times New Roman"/>
        </w:rPr>
        <w:t xml:space="preserve"> of Figure 1)</w:t>
      </w:r>
      <w:r w:rsidR="00DA0790" w:rsidRPr="0059184B">
        <w:rPr>
          <w:rFonts w:ascii="Times New Roman" w:eastAsia="AdvGulliv-R" w:hAnsi="Times New Roman" w:cs="Times New Roman"/>
        </w:rPr>
        <w:t>. Third</w:t>
      </w:r>
      <w:r w:rsidR="004D4FA3" w:rsidRPr="0059184B">
        <w:rPr>
          <w:rFonts w:ascii="Times New Roman" w:eastAsia="AdvGulliv-R" w:hAnsi="Times New Roman" w:cs="Times New Roman"/>
        </w:rPr>
        <w:t xml:space="preserve">, these </w:t>
      </w:r>
      <w:r w:rsidR="00DA0790" w:rsidRPr="0059184B">
        <w:rPr>
          <w:rFonts w:ascii="Times New Roman" w:eastAsia="AdvGulliv-R" w:hAnsi="Times New Roman" w:cs="Times New Roman"/>
        </w:rPr>
        <w:t xml:space="preserve">too-big-to-fail banks </w:t>
      </w:r>
      <w:r w:rsidR="004D4FA3" w:rsidRPr="0059184B">
        <w:rPr>
          <w:rFonts w:ascii="Times New Roman" w:eastAsia="AdvGulliv-R" w:hAnsi="Times New Roman" w:cs="Times New Roman"/>
        </w:rPr>
        <w:t xml:space="preserve">may </w:t>
      </w:r>
      <w:r w:rsidR="000544E5" w:rsidRPr="0059184B">
        <w:rPr>
          <w:rFonts w:ascii="Times New Roman" w:eastAsia="AdvGulliv-R" w:hAnsi="Times New Roman" w:cs="Times New Roman"/>
        </w:rPr>
        <w:t>exhibit</w:t>
      </w:r>
      <w:r w:rsidR="004D4FA3" w:rsidRPr="0059184B">
        <w:rPr>
          <w:rFonts w:ascii="Times New Roman" w:eastAsia="AdvGulliv-R" w:hAnsi="Times New Roman" w:cs="Times New Roman"/>
        </w:rPr>
        <w:t xml:space="preserve"> a different relationship between derivatives holdings and bank’s risk and performance because of the government bailout expectations. The market was certainly </w:t>
      </w:r>
      <w:r w:rsidR="004D4FA3" w:rsidRPr="0059184B">
        <w:rPr>
          <w:rFonts w:ascii="Times New Roman" w:hAnsi="Times New Roman" w:cs="Times New Roman"/>
        </w:rPr>
        <w:t>able to identify these banks as too</w:t>
      </w:r>
      <w:r w:rsidR="000544E5" w:rsidRPr="0059184B">
        <w:rPr>
          <w:rFonts w:ascii="Times New Roman" w:hAnsi="Times New Roman" w:cs="Times New Roman"/>
        </w:rPr>
        <w:t>-</w:t>
      </w:r>
      <w:r w:rsidR="004D4FA3" w:rsidRPr="0059184B">
        <w:rPr>
          <w:rFonts w:ascii="Times New Roman" w:hAnsi="Times New Roman" w:cs="Times New Roman"/>
        </w:rPr>
        <w:t>big</w:t>
      </w:r>
      <w:r w:rsidR="000544E5" w:rsidRPr="0059184B">
        <w:rPr>
          <w:rFonts w:ascii="Times New Roman" w:hAnsi="Times New Roman" w:cs="Times New Roman"/>
        </w:rPr>
        <w:t>-</w:t>
      </w:r>
      <w:r w:rsidR="004D4FA3" w:rsidRPr="0059184B">
        <w:rPr>
          <w:rFonts w:ascii="Times New Roman" w:hAnsi="Times New Roman" w:cs="Times New Roman"/>
        </w:rPr>
        <w:t>to</w:t>
      </w:r>
      <w:r w:rsidR="000544E5" w:rsidRPr="0059184B">
        <w:rPr>
          <w:rFonts w:ascii="Times New Roman" w:hAnsi="Times New Roman" w:cs="Times New Roman"/>
        </w:rPr>
        <w:t>-</w:t>
      </w:r>
      <w:r w:rsidR="004D4FA3" w:rsidRPr="0059184B">
        <w:rPr>
          <w:rFonts w:ascii="Times New Roman" w:hAnsi="Times New Roman" w:cs="Times New Roman"/>
        </w:rPr>
        <w:t>fail a</w:t>
      </w:r>
      <w:r w:rsidR="000544E5" w:rsidRPr="0059184B">
        <w:rPr>
          <w:rFonts w:ascii="Times New Roman" w:hAnsi="Times New Roman" w:cs="Times New Roman"/>
        </w:rPr>
        <w:t xml:space="preserve">t the beginning of the GFC which is also the commencement of our study. </w:t>
      </w:r>
    </w:p>
    <w:p w:rsidR="006116E2" w:rsidRPr="0059184B" w:rsidRDefault="003C1FA8" w:rsidP="0087140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Bank-specific data were collected from SNL Financial database (SNL). </w:t>
      </w:r>
      <w:r w:rsidR="00B256D5" w:rsidRPr="0059184B">
        <w:rPr>
          <w:rFonts w:ascii="Times New Roman" w:hAnsi="Times New Roman" w:cs="Times New Roman"/>
          <w:sz w:val="24"/>
          <w:szCs w:val="24"/>
        </w:rPr>
        <w:t xml:space="preserve">The volatility of </w:t>
      </w:r>
      <w:r w:rsidR="00B256D5" w:rsidRPr="0059184B">
        <w:rPr>
          <w:rFonts w:ascii="Times New Roman" w:hAnsi="Times New Roman" w:cs="Times New Roman"/>
          <w:sz w:val="24"/>
          <w:szCs w:val="24"/>
        </w:rPr>
        <w:lastRenderedPageBreak/>
        <w:t xml:space="preserve">equity returns, which is based on 6 months of daily data, was calculated using stock prices data from CRSP. </w:t>
      </w:r>
      <w:r w:rsidR="00B256D5" w:rsidRPr="0059184B">
        <w:rPr>
          <w:rFonts w:ascii="Times New Roman" w:eastAsia="宋体" w:hAnsi="Times New Roman" w:cs="Times New Roman"/>
          <w:sz w:val="24"/>
          <w:szCs w:val="24"/>
        </w:rPr>
        <w:t>The banking industry index</w:t>
      </w:r>
      <w:r w:rsidR="00D71C36" w:rsidRPr="0059184B">
        <w:rPr>
          <w:rFonts w:ascii="Times New Roman" w:eastAsia="宋体" w:hAnsi="Times New Roman" w:cs="Times New Roman"/>
          <w:sz w:val="24"/>
          <w:szCs w:val="24"/>
        </w:rPr>
        <w:t xml:space="preserve"> </w:t>
      </w:r>
      <w:r w:rsidR="00D71C36" w:rsidRPr="0059184B">
        <w:rPr>
          <w:rFonts w:ascii="Times New Roman" w:eastAsia="宋体" w:hAnsi="Times New Roman" w:cs="Times New Roman"/>
          <w:kern w:val="0"/>
          <w:sz w:val="24"/>
          <w:szCs w:val="24"/>
        </w:rPr>
        <w:t>(S&amp;P Banks Selected Industry Index)</w:t>
      </w:r>
      <w:r w:rsidR="00B256D5" w:rsidRPr="0059184B">
        <w:rPr>
          <w:rFonts w:ascii="Times New Roman" w:eastAsia="宋体" w:hAnsi="Times New Roman" w:cs="Times New Roman"/>
          <w:sz w:val="24"/>
          <w:szCs w:val="24"/>
        </w:rPr>
        <w:t xml:space="preserve"> returns and</w:t>
      </w:r>
      <w:r w:rsidR="00B256D5" w:rsidRPr="0059184B">
        <w:rPr>
          <w:rFonts w:ascii="Times New Roman" w:hAnsi="Times New Roman" w:cs="Times New Roman"/>
          <w:sz w:val="24"/>
          <w:szCs w:val="24"/>
        </w:rPr>
        <w:t xml:space="preserve"> </w:t>
      </w:r>
      <w:r w:rsidR="00907BC6" w:rsidRPr="0059184B">
        <w:rPr>
          <w:rFonts w:ascii="Times New Roman" w:hAnsi="Times New Roman" w:cs="Times New Roman"/>
          <w:sz w:val="24"/>
          <w:szCs w:val="24"/>
        </w:rPr>
        <w:t>macro</w:t>
      </w:r>
      <w:r w:rsidR="00B256D5" w:rsidRPr="0059184B">
        <w:rPr>
          <w:rFonts w:ascii="Times New Roman" w:hAnsi="Times New Roman" w:cs="Times New Roman"/>
          <w:sz w:val="24"/>
          <w:szCs w:val="24"/>
        </w:rPr>
        <w:t xml:space="preserve">-economic variables used to calculate </w:t>
      </w:r>
      <w:r w:rsidR="00B256D5" w:rsidRPr="0059184B">
        <w:rPr>
          <w:rFonts w:ascii="Cambria Math" w:eastAsia="宋体" w:hAnsi="Cambria Math" w:cs="Cambria Math"/>
          <w:i/>
          <w:sz w:val="24"/>
          <w:szCs w:val="24"/>
        </w:rPr>
        <w:t>△</w:t>
      </w:r>
      <w:proofErr w:type="spellStart"/>
      <w:r w:rsidR="00B256D5" w:rsidRPr="0059184B">
        <w:rPr>
          <w:rFonts w:ascii="Times New Roman" w:eastAsia="宋体" w:hAnsi="Times New Roman" w:cs="Times New Roman"/>
          <w:i/>
          <w:sz w:val="24"/>
          <w:szCs w:val="24"/>
        </w:rPr>
        <w:t>CoVaR</w:t>
      </w:r>
      <w:proofErr w:type="spellEnd"/>
      <w:r w:rsidR="00B256D5" w:rsidRPr="0059184B">
        <w:rPr>
          <w:rFonts w:ascii="Times New Roman" w:eastAsia="宋体" w:hAnsi="Times New Roman" w:cs="Times New Roman"/>
          <w:sz w:val="24"/>
          <w:szCs w:val="24"/>
        </w:rPr>
        <w:t xml:space="preserve"> were downloaded from </w:t>
      </w:r>
      <w:proofErr w:type="spellStart"/>
      <w:r w:rsidR="00B256D5" w:rsidRPr="0059184B">
        <w:rPr>
          <w:rFonts w:ascii="Times New Roman" w:eastAsia="宋体" w:hAnsi="Times New Roman" w:cs="Times New Roman"/>
          <w:i/>
          <w:sz w:val="24"/>
          <w:szCs w:val="24"/>
        </w:rPr>
        <w:t>Datastream</w:t>
      </w:r>
      <w:proofErr w:type="spellEnd"/>
      <w:r w:rsidR="00A10944" w:rsidRPr="0059184B">
        <w:rPr>
          <w:rFonts w:ascii="Times New Roman" w:hAnsi="Times New Roman" w:cs="Times New Roman"/>
          <w:sz w:val="24"/>
          <w:szCs w:val="24"/>
        </w:rPr>
        <w:t>.</w:t>
      </w:r>
    </w:p>
    <w:p w:rsidR="006116E2" w:rsidRPr="0059184B" w:rsidRDefault="00C61C16" w:rsidP="00C61C16">
      <w:pPr>
        <w:pStyle w:val="3"/>
        <w:rPr>
          <w:rFonts w:ascii="Times New Roman" w:hAnsi="Times New Roman" w:cs="Times New Roman"/>
          <w:sz w:val="24"/>
          <w:szCs w:val="24"/>
        </w:rPr>
      </w:pPr>
      <w:r w:rsidRPr="0059184B">
        <w:rPr>
          <w:rFonts w:ascii="Times New Roman" w:hAnsi="Times New Roman" w:cs="Times New Roman"/>
          <w:sz w:val="24"/>
          <w:szCs w:val="24"/>
        </w:rPr>
        <w:t>4</w:t>
      </w:r>
      <w:r w:rsidR="006116E2" w:rsidRPr="0059184B">
        <w:rPr>
          <w:rFonts w:ascii="Times New Roman" w:hAnsi="Times New Roman" w:cs="Times New Roman"/>
          <w:sz w:val="24"/>
          <w:szCs w:val="24"/>
        </w:rPr>
        <w:t>.2</w:t>
      </w:r>
      <w:r w:rsidRPr="0059184B">
        <w:rPr>
          <w:rFonts w:ascii="Times New Roman" w:hAnsi="Times New Roman" w:cs="Times New Roman"/>
          <w:sz w:val="24"/>
          <w:szCs w:val="24"/>
        </w:rPr>
        <w:t>.</w:t>
      </w:r>
      <w:r w:rsidR="006116E2" w:rsidRPr="0059184B">
        <w:rPr>
          <w:rFonts w:ascii="Times New Roman" w:hAnsi="Times New Roman" w:cs="Times New Roman"/>
          <w:sz w:val="24"/>
          <w:szCs w:val="24"/>
        </w:rPr>
        <w:t xml:space="preserve"> </w:t>
      </w:r>
      <w:r w:rsidR="007C3B5B" w:rsidRPr="0059184B">
        <w:rPr>
          <w:rFonts w:ascii="Times New Roman" w:hAnsi="Times New Roman" w:cs="Times New Roman"/>
          <w:sz w:val="24"/>
          <w:szCs w:val="24"/>
        </w:rPr>
        <w:t>I</w:t>
      </w:r>
      <w:r w:rsidR="006116E2" w:rsidRPr="0059184B">
        <w:rPr>
          <w:rFonts w:ascii="Times New Roman" w:hAnsi="Times New Roman" w:cs="Times New Roman"/>
          <w:sz w:val="24"/>
          <w:szCs w:val="24"/>
        </w:rPr>
        <w:t>ndependent variables</w:t>
      </w:r>
    </w:p>
    <w:p w:rsidR="00DF6ECF" w:rsidRPr="0059184B" w:rsidRDefault="00E85B4E" w:rsidP="00DF6ECF">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 xml:space="preserve">We </w:t>
      </w:r>
      <w:r w:rsidR="007474A4" w:rsidRPr="0059184B">
        <w:rPr>
          <w:rFonts w:ascii="Times New Roman" w:hAnsi="Times New Roman" w:cs="Times New Roman"/>
        </w:rPr>
        <w:t xml:space="preserve">focus on </w:t>
      </w:r>
      <w:r w:rsidR="00750ED9" w:rsidRPr="0059184B">
        <w:rPr>
          <w:rFonts w:ascii="Times New Roman" w:hAnsi="Times New Roman" w:cs="Times New Roman"/>
        </w:rPr>
        <w:t>two types of derivatives</w:t>
      </w:r>
      <w:r w:rsidR="008864CA" w:rsidRPr="0059184B">
        <w:rPr>
          <w:rFonts w:ascii="Times New Roman" w:hAnsi="Times New Roman" w:cs="Times New Roman"/>
        </w:rPr>
        <w:t xml:space="preserve"> namely</w:t>
      </w:r>
      <w:r w:rsidR="00750ED9" w:rsidRPr="0059184B">
        <w:rPr>
          <w:rFonts w:ascii="Times New Roman" w:hAnsi="Times New Roman" w:cs="Times New Roman"/>
        </w:rPr>
        <w:t xml:space="preserve"> interest rate derivatives and credit derivatives</w:t>
      </w:r>
      <w:r w:rsidR="008864CA" w:rsidRPr="0059184B">
        <w:rPr>
          <w:rFonts w:ascii="Times New Roman" w:hAnsi="Times New Roman" w:cs="Times New Roman"/>
        </w:rPr>
        <w:t>, which</w:t>
      </w:r>
      <w:r w:rsidR="000544E5" w:rsidRPr="0059184B">
        <w:rPr>
          <w:rFonts w:ascii="Times New Roman" w:hAnsi="Times New Roman" w:cs="Times New Roman"/>
        </w:rPr>
        <w:t xml:space="preserve"> </w:t>
      </w:r>
      <w:r w:rsidR="007474A4" w:rsidRPr="0059184B">
        <w:rPr>
          <w:rFonts w:ascii="Times New Roman" w:hAnsi="Times New Roman" w:cs="Times New Roman"/>
        </w:rPr>
        <w:t>have been</w:t>
      </w:r>
      <w:r w:rsidR="0039338C" w:rsidRPr="0059184B">
        <w:rPr>
          <w:rFonts w:ascii="Times New Roman" w:hAnsi="Times New Roman" w:cs="Times New Roman"/>
        </w:rPr>
        <w:t xml:space="preserve"> </w:t>
      </w:r>
      <w:r w:rsidR="007474A4" w:rsidRPr="0059184B">
        <w:rPr>
          <w:rFonts w:ascii="Times New Roman" w:hAnsi="Times New Roman" w:cs="Times New Roman"/>
        </w:rPr>
        <w:t>widely</w:t>
      </w:r>
      <w:r w:rsidR="0039338C" w:rsidRPr="0059184B">
        <w:rPr>
          <w:rFonts w:ascii="Times New Roman" w:hAnsi="Times New Roman" w:cs="Times New Roman"/>
        </w:rPr>
        <w:t xml:space="preserve"> used</w:t>
      </w:r>
      <w:r w:rsidR="00750ED9" w:rsidRPr="0059184B">
        <w:rPr>
          <w:rFonts w:ascii="Times New Roman" w:hAnsi="Times New Roman" w:cs="Times New Roman"/>
        </w:rPr>
        <w:t xml:space="preserve"> by banks and subject to heightened</w:t>
      </w:r>
      <w:r w:rsidR="007474A4" w:rsidRPr="0059184B">
        <w:rPr>
          <w:rFonts w:ascii="Times New Roman" w:hAnsi="Times New Roman" w:cs="Times New Roman"/>
        </w:rPr>
        <w:t xml:space="preserve"> </w:t>
      </w:r>
      <w:r w:rsidR="0039338C" w:rsidRPr="0059184B">
        <w:rPr>
          <w:rFonts w:ascii="Times New Roman" w:hAnsi="Times New Roman" w:cs="Times New Roman"/>
        </w:rPr>
        <w:t>regulat</w:t>
      </w:r>
      <w:r w:rsidR="00750ED9" w:rsidRPr="0059184B">
        <w:rPr>
          <w:rFonts w:ascii="Times New Roman" w:hAnsi="Times New Roman" w:cs="Times New Roman"/>
        </w:rPr>
        <w:t>ions</w:t>
      </w:r>
      <w:r w:rsidR="0039338C" w:rsidRPr="0059184B">
        <w:rPr>
          <w:rFonts w:ascii="Times New Roman" w:hAnsi="Times New Roman" w:cs="Times New Roman"/>
        </w:rPr>
        <w:t xml:space="preserve"> </w:t>
      </w:r>
      <w:r w:rsidR="008864CA" w:rsidRPr="0059184B">
        <w:rPr>
          <w:rFonts w:ascii="Times New Roman" w:hAnsi="Times New Roman" w:cs="Times New Roman"/>
        </w:rPr>
        <w:t>following the coming into effect of</w:t>
      </w:r>
      <w:r w:rsidR="007474A4" w:rsidRPr="0059184B">
        <w:rPr>
          <w:rFonts w:ascii="Times New Roman" w:hAnsi="Times New Roman" w:cs="Times New Roman"/>
        </w:rPr>
        <w:t xml:space="preserve"> the</w:t>
      </w:r>
      <w:r w:rsidR="0039338C" w:rsidRPr="0059184B">
        <w:rPr>
          <w:rFonts w:ascii="Times New Roman" w:hAnsi="Times New Roman" w:cs="Times New Roman"/>
        </w:rPr>
        <w:t xml:space="preserve"> GFC </w:t>
      </w:r>
      <w:r w:rsidR="0039338C" w:rsidRPr="0059184B">
        <w:rPr>
          <w:rFonts w:ascii="Times New Roman" w:hAnsi="Times New Roman" w:cs="Times New Roman" w:hint="eastAsia"/>
        </w:rPr>
        <w:t>(</w:t>
      </w:r>
      <w:r w:rsidR="0039338C" w:rsidRPr="0059184B">
        <w:rPr>
          <w:rFonts w:ascii="Times New Roman" w:hAnsi="Times New Roman" w:cs="Times New Roman"/>
        </w:rPr>
        <w:t xml:space="preserve">Li and </w:t>
      </w:r>
      <w:proofErr w:type="spellStart"/>
      <w:r w:rsidR="0039338C" w:rsidRPr="0059184B">
        <w:rPr>
          <w:rFonts w:ascii="Times New Roman" w:hAnsi="Times New Roman" w:cs="Times New Roman"/>
        </w:rPr>
        <w:t>Marinč</w:t>
      </w:r>
      <w:proofErr w:type="spellEnd"/>
      <w:r w:rsidR="0039338C" w:rsidRPr="0059184B">
        <w:rPr>
          <w:rFonts w:ascii="Times New Roman" w:hAnsi="Times New Roman" w:cs="Times New Roman" w:hint="eastAsia"/>
        </w:rPr>
        <w:t xml:space="preserve">, </w:t>
      </w:r>
      <w:r w:rsidR="0039338C" w:rsidRPr="0059184B">
        <w:rPr>
          <w:rFonts w:ascii="Times New Roman" w:hAnsi="Times New Roman" w:cs="Times New Roman"/>
        </w:rPr>
        <w:t>201</w:t>
      </w:r>
      <w:r w:rsidR="00B256D5" w:rsidRPr="0059184B">
        <w:rPr>
          <w:rFonts w:ascii="Times New Roman" w:hAnsi="Times New Roman" w:cs="Times New Roman"/>
        </w:rPr>
        <w:t>7</w:t>
      </w:r>
      <w:r w:rsidR="0039338C" w:rsidRPr="0059184B">
        <w:rPr>
          <w:rFonts w:ascii="Times New Roman" w:hAnsi="Times New Roman" w:cs="Times New Roman"/>
        </w:rPr>
        <w:t xml:space="preserve">). </w:t>
      </w:r>
      <w:r w:rsidR="007474A4" w:rsidRPr="0059184B">
        <w:rPr>
          <w:rFonts w:ascii="Times New Roman" w:hAnsi="Times New Roman" w:cs="Times New Roman"/>
        </w:rPr>
        <w:t xml:space="preserve">According to </w:t>
      </w:r>
      <w:r w:rsidR="00750ED9" w:rsidRPr="0059184B">
        <w:rPr>
          <w:rFonts w:ascii="Times New Roman" w:hAnsi="Times New Roman" w:cs="Times New Roman"/>
        </w:rPr>
        <w:t xml:space="preserve">the </w:t>
      </w:r>
      <w:r w:rsidR="0039338C" w:rsidRPr="0059184B">
        <w:rPr>
          <w:rFonts w:ascii="Times New Roman" w:hAnsi="Times New Roman" w:cs="Times New Roman"/>
        </w:rPr>
        <w:t>Accounting Standards SFAS133</w:t>
      </w:r>
      <w:r w:rsidR="007474A4" w:rsidRPr="0059184B">
        <w:rPr>
          <w:rFonts w:ascii="Times New Roman" w:hAnsi="Times New Roman" w:cs="Times New Roman"/>
        </w:rPr>
        <w:t xml:space="preserve">, </w:t>
      </w:r>
      <w:r w:rsidR="0039338C" w:rsidRPr="0059184B">
        <w:rPr>
          <w:rFonts w:ascii="Times New Roman" w:hAnsi="Times New Roman" w:cs="Times New Roman"/>
        </w:rPr>
        <w:t xml:space="preserve">banks must classify derivatives into two </w:t>
      </w:r>
      <w:r w:rsidR="006063CD" w:rsidRPr="0059184B">
        <w:rPr>
          <w:rFonts w:ascii="Times New Roman" w:hAnsi="Times New Roman" w:cs="Times New Roman"/>
        </w:rPr>
        <w:t>sub-</w:t>
      </w:r>
      <w:r w:rsidR="0039338C" w:rsidRPr="0059184B">
        <w:rPr>
          <w:rFonts w:ascii="Times New Roman" w:hAnsi="Times New Roman" w:cs="Times New Roman"/>
        </w:rPr>
        <w:t>categories: for hedging and for trading purposes</w:t>
      </w:r>
      <w:r w:rsidR="0001435D" w:rsidRPr="0059184B">
        <w:rPr>
          <w:rStyle w:val="a5"/>
          <w:rFonts w:ascii="Times New Roman" w:hAnsi="Times New Roman" w:cs="Times New Roman"/>
        </w:rPr>
        <w:footnoteReference w:id="6"/>
      </w:r>
      <w:r w:rsidR="0039338C" w:rsidRPr="0059184B">
        <w:rPr>
          <w:rFonts w:ascii="Times New Roman" w:hAnsi="Times New Roman" w:cs="Times New Roman"/>
        </w:rPr>
        <w:t>.</w:t>
      </w:r>
      <w:r w:rsidR="007474A4" w:rsidRPr="0059184B">
        <w:rPr>
          <w:rFonts w:ascii="Times New Roman" w:hAnsi="Times New Roman" w:cs="Times New Roman"/>
        </w:rPr>
        <w:t xml:space="preserve"> W</w:t>
      </w:r>
      <w:r w:rsidR="0039338C" w:rsidRPr="0059184B">
        <w:rPr>
          <w:rFonts w:ascii="Times New Roman" w:hAnsi="Times New Roman" w:cs="Times New Roman"/>
        </w:rPr>
        <w:t xml:space="preserve">e </w:t>
      </w:r>
      <w:r w:rsidR="007474A4" w:rsidRPr="0059184B">
        <w:rPr>
          <w:rFonts w:ascii="Times New Roman" w:hAnsi="Times New Roman" w:cs="Times New Roman"/>
        </w:rPr>
        <w:t xml:space="preserve">therefore examine separately </w:t>
      </w:r>
      <w:r w:rsidR="00750ED9" w:rsidRPr="0059184B">
        <w:rPr>
          <w:rFonts w:ascii="Times New Roman" w:hAnsi="Times New Roman" w:cs="Times New Roman"/>
        </w:rPr>
        <w:t xml:space="preserve">bank’s </w:t>
      </w:r>
      <w:r w:rsidR="0039338C" w:rsidRPr="0059184B">
        <w:rPr>
          <w:rFonts w:ascii="Times New Roman" w:hAnsi="Times New Roman" w:cs="Times New Roman"/>
        </w:rPr>
        <w:t>interest derivative</w:t>
      </w:r>
      <w:r w:rsidR="00750ED9" w:rsidRPr="0059184B">
        <w:rPr>
          <w:rFonts w:ascii="Times New Roman" w:hAnsi="Times New Roman" w:cs="Times New Roman"/>
        </w:rPr>
        <w:t xml:space="preserve"> holdings</w:t>
      </w:r>
      <w:r w:rsidR="0039338C" w:rsidRPr="0059184B">
        <w:rPr>
          <w:rFonts w:ascii="Times New Roman" w:hAnsi="Times New Roman" w:cs="Times New Roman"/>
        </w:rPr>
        <w:t xml:space="preserve"> for trading</w:t>
      </w:r>
      <w:r w:rsidR="007474A4" w:rsidRPr="0059184B">
        <w:rPr>
          <w:rFonts w:ascii="Times New Roman" w:hAnsi="Times New Roman" w:cs="Times New Roman"/>
        </w:rPr>
        <w:t xml:space="preserve"> and interest derivative</w:t>
      </w:r>
      <w:r w:rsidR="00750ED9" w:rsidRPr="0059184B">
        <w:rPr>
          <w:rFonts w:ascii="Times New Roman" w:hAnsi="Times New Roman" w:cs="Times New Roman"/>
        </w:rPr>
        <w:t xml:space="preserve"> holdings</w:t>
      </w:r>
      <w:r w:rsidR="007474A4" w:rsidRPr="0059184B">
        <w:rPr>
          <w:rFonts w:ascii="Times New Roman" w:hAnsi="Times New Roman" w:cs="Times New Roman"/>
        </w:rPr>
        <w:t xml:space="preserve"> for hedging</w:t>
      </w:r>
      <w:r w:rsidR="00B128A6" w:rsidRPr="0059184B">
        <w:rPr>
          <w:rFonts w:ascii="Times New Roman" w:hAnsi="Times New Roman" w:cs="Times New Roman"/>
        </w:rPr>
        <w:t>; each is measured as the notional amount of</w:t>
      </w:r>
      <w:r w:rsidR="003C1FA8" w:rsidRPr="0059184B">
        <w:rPr>
          <w:rFonts w:ascii="Times New Roman" w:hAnsi="Times New Roman" w:cs="Times New Roman"/>
        </w:rPr>
        <w:t xml:space="preserve"> the</w:t>
      </w:r>
      <w:r w:rsidR="00B128A6" w:rsidRPr="0059184B">
        <w:rPr>
          <w:rFonts w:ascii="Times New Roman" w:hAnsi="Times New Roman" w:cs="Times New Roman"/>
        </w:rPr>
        <w:t xml:space="preserve"> </w:t>
      </w:r>
      <w:r w:rsidR="003C1FA8" w:rsidRPr="0059184B">
        <w:rPr>
          <w:rFonts w:ascii="Times New Roman" w:hAnsi="Times New Roman" w:cs="Times New Roman"/>
        </w:rPr>
        <w:t xml:space="preserve">relevant </w:t>
      </w:r>
      <w:r w:rsidR="00B128A6" w:rsidRPr="0059184B">
        <w:rPr>
          <w:rFonts w:ascii="Times New Roman" w:hAnsi="Times New Roman" w:cs="Times New Roman"/>
        </w:rPr>
        <w:t>off-balance-sheet contracts reported in Y9 call report</w:t>
      </w:r>
      <w:r w:rsidR="003C1FA8" w:rsidRPr="0059184B">
        <w:rPr>
          <w:rFonts w:ascii="Times New Roman" w:hAnsi="Times New Roman" w:cs="Times New Roman"/>
        </w:rPr>
        <w:t>,</w:t>
      </w:r>
      <w:r w:rsidR="00B128A6" w:rsidRPr="0059184B">
        <w:rPr>
          <w:rFonts w:ascii="Times New Roman" w:hAnsi="Times New Roman" w:cs="Times New Roman"/>
        </w:rPr>
        <w:t xml:space="preserve"> and </w:t>
      </w:r>
      <w:r w:rsidR="003C1FA8" w:rsidRPr="0059184B">
        <w:rPr>
          <w:rFonts w:ascii="Times New Roman" w:hAnsi="Times New Roman" w:cs="Times New Roman"/>
        </w:rPr>
        <w:t xml:space="preserve">then </w:t>
      </w:r>
      <w:r w:rsidR="00B128A6" w:rsidRPr="0059184B">
        <w:rPr>
          <w:rFonts w:ascii="Times New Roman" w:hAnsi="Times New Roman" w:cs="Times New Roman"/>
        </w:rPr>
        <w:t>scaled by bank’s assets</w:t>
      </w:r>
      <w:r w:rsidR="0039338C" w:rsidRPr="0059184B">
        <w:rPr>
          <w:rFonts w:ascii="Times New Roman" w:hAnsi="Times New Roman" w:cs="Times New Roman"/>
        </w:rPr>
        <w:t>.</w:t>
      </w:r>
      <w:r w:rsidR="0039338C" w:rsidRPr="0059184B">
        <w:rPr>
          <w:rFonts w:ascii="Times New Roman" w:hAnsi="Times New Roman" w:cs="Times New Roman" w:hint="eastAsia"/>
        </w:rPr>
        <w:t xml:space="preserve"> </w:t>
      </w:r>
      <w:r w:rsidR="00B128A6" w:rsidRPr="0059184B">
        <w:rPr>
          <w:rFonts w:ascii="Times New Roman" w:hAnsi="Times New Roman" w:cs="Times New Roman"/>
        </w:rPr>
        <w:t>Unlike interest rate derivatives, -c</w:t>
      </w:r>
      <w:r w:rsidR="0039338C" w:rsidRPr="0059184B">
        <w:rPr>
          <w:rFonts w:ascii="Times New Roman" w:hAnsi="Times New Roman" w:cs="Times New Roman"/>
        </w:rPr>
        <w:t>redit derivative</w:t>
      </w:r>
      <w:r w:rsidR="00B128A6" w:rsidRPr="0059184B">
        <w:rPr>
          <w:rFonts w:ascii="Times New Roman" w:hAnsi="Times New Roman" w:cs="Times New Roman"/>
        </w:rPr>
        <w:t xml:space="preserve"> holdings</w:t>
      </w:r>
      <w:r w:rsidR="0039338C" w:rsidRPr="0059184B">
        <w:rPr>
          <w:rFonts w:ascii="Times New Roman" w:hAnsi="Times New Roman" w:cs="Times New Roman"/>
        </w:rPr>
        <w:t xml:space="preserve"> are not</w:t>
      </w:r>
      <w:r w:rsidR="00B128A6" w:rsidRPr="0059184B">
        <w:rPr>
          <w:rFonts w:ascii="Times New Roman" w:hAnsi="Times New Roman" w:cs="Times New Roman"/>
        </w:rPr>
        <w:t xml:space="preserve"> </w:t>
      </w:r>
      <w:proofErr w:type="spellStart"/>
      <w:r w:rsidR="00B128A6" w:rsidRPr="0059184B">
        <w:rPr>
          <w:rFonts w:ascii="Times New Roman" w:hAnsi="Times New Roman" w:cs="Times New Roman"/>
        </w:rPr>
        <w:t>categorised</w:t>
      </w:r>
      <w:proofErr w:type="spellEnd"/>
      <w:r w:rsidR="00B128A6" w:rsidRPr="0059184B">
        <w:rPr>
          <w:rFonts w:ascii="Times New Roman" w:hAnsi="Times New Roman" w:cs="Times New Roman"/>
        </w:rPr>
        <w:t xml:space="preserve"> based on the purposes. Thus, </w:t>
      </w:r>
      <w:r w:rsidR="0039338C" w:rsidRPr="0059184B">
        <w:rPr>
          <w:rFonts w:ascii="Times New Roman" w:hAnsi="Times New Roman" w:cs="Times New Roman"/>
        </w:rPr>
        <w:t>we follow</w:t>
      </w:r>
      <w:r w:rsidR="00B128A6" w:rsidRPr="0059184B">
        <w:rPr>
          <w:rFonts w:ascii="Times New Roman" w:hAnsi="Times New Roman" w:cs="Times New Roman"/>
        </w:rPr>
        <w:t xml:space="preserve"> a similar approach as in</w:t>
      </w:r>
      <w:r w:rsidR="0039338C" w:rsidRPr="0059184B">
        <w:rPr>
          <w:rFonts w:ascii="Times New Roman" w:hAnsi="Times New Roman" w:cs="Times New Roman"/>
        </w:rPr>
        <w:t xml:space="preserve"> </w:t>
      </w:r>
      <w:r w:rsidR="0001435D" w:rsidRPr="0059184B">
        <w:rPr>
          <w:rFonts w:ascii="Times New Roman" w:hAnsi="Times New Roman" w:cs="Times New Roman"/>
        </w:rPr>
        <w:t xml:space="preserve">Li and </w:t>
      </w:r>
      <w:proofErr w:type="spellStart"/>
      <w:r w:rsidR="0001435D" w:rsidRPr="0059184B">
        <w:rPr>
          <w:rFonts w:ascii="Times New Roman" w:hAnsi="Times New Roman" w:cs="Times New Roman"/>
        </w:rPr>
        <w:t>Marinč</w:t>
      </w:r>
      <w:proofErr w:type="spellEnd"/>
      <w:r w:rsidR="0001435D" w:rsidRPr="0059184B">
        <w:rPr>
          <w:rFonts w:ascii="Times New Roman" w:hAnsi="Times New Roman" w:cs="Times New Roman" w:hint="eastAsia"/>
        </w:rPr>
        <w:t xml:space="preserve"> </w:t>
      </w:r>
      <w:r w:rsidR="0001435D" w:rsidRPr="0059184B">
        <w:rPr>
          <w:rFonts w:ascii="Times New Roman" w:hAnsi="Times New Roman" w:cs="Times New Roman"/>
        </w:rPr>
        <w:t>(2014)</w:t>
      </w:r>
      <w:r w:rsidR="0039338C" w:rsidRPr="0059184B">
        <w:rPr>
          <w:rFonts w:ascii="Times New Roman" w:hAnsi="Times New Roman" w:cs="Times New Roman"/>
        </w:rPr>
        <w:t xml:space="preserve"> and </w:t>
      </w:r>
      <w:r w:rsidR="00B128A6" w:rsidRPr="0059184B">
        <w:rPr>
          <w:rFonts w:ascii="Times New Roman" w:hAnsi="Times New Roman" w:cs="Times New Roman"/>
        </w:rPr>
        <w:t xml:space="preserve">examine </w:t>
      </w:r>
      <w:r w:rsidR="0039338C" w:rsidRPr="0059184B">
        <w:rPr>
          <w:rFonts w:ascii="Times New Roman" w:hAnsi="Times New Roman" w:cs="Times New Roman"/>
        </w:rPr>
        <w:t>the net notional amount of credit derivatives</w:t>
      </w:r>
      <w:r w:rsidR="00B128A6" w:rsidRPr="0059184B">
        <w:rPr>
          <w:rFonts w:ascii="Times New Roman" w:hAnsi="Times New Roman" w:cs="Times New Roman"/>
        </w:rPr>
        <w:t xml:space="preserve"> (scaled by bank’s assets)</w:t>
      </w:r>
      <w:r w:rsidR="0039338C" w:rsidRPr="0059184B">
        <w:rPr>
          <w:rFonts w:ascii="Times New Roman" w:hAnsi="Times New Roman" w:cs="Times New Roman"/>
        </w:rPr>
        <w:t xml:space="preserve">. </w:t>
      </w:r>
      <w:r w:rsidR="00DF6ECF" w:rsidRPr="0059184B">
        <w:rPr>
          <w:rFonts w:ascii="Times New Roman" w:hAnsi="Times New Roman" w:cs="Times New Roman"/>
        </w:rPr>
        <w:t xml:space="preserve">By </w:t>
      </w:r>
      <w:proofErr w:type="spellStart"/>
      <w:r w:rsidR="00DF6ECF" w:rsidRPr="0059184B">
        <w:rPr>
          <w:rFonts w:ascii="Times New Roman" w:hAnsi="Times New Roman" w:cs="Times New Roman"/>
        </w:rPr>
        <w:t>categorising</w:t>
      </w:r>
      <w:proofErr w:type="spellEnd"/>
      <w:r w:rsidR="00DF6ECF" w:rsidRPr="0059184B">
        <w:rPr>
          <w:rFonts w:ascii="Times New Roman" w:hAnsi="Times New Roman" w:cs="Times New Roman"/>
        </w:rPr>
        <w:t xml:space="preserve"> derivatives for trading or hedging purpose, we are allowed to test the effectiveness of the propitiatory trading channel by Volcker rule of the DFA on mitigating the systemic risk associated with derivatives. On the other hand, we calculate the total net notional amounts of interest rate derivatives </w:t>
      </w:r>
      <w:proofErr w:type="spellStart"/>
      <w:r w:rsidR="00DF6ECF" w:rsidRPr="0059184B">
        <w:rPr>
          <w:rFonts w:ascii="Times New Roman" w:hAnsi="Times New Roman" w:cs="Times New Roman"/>
        </w:rPr>
        <w:t>categorised</w:t>
      </w:r>
      <w:proofErr w:type="spellEnd"/>
      <w:r w:rsidR="00DF6ECF" w:rsidRPr="0059184B">
        <w:rPr>
          <w:rFonts w:ascii="Times New Roman" w:hAnsi="Times New Roman" w:cs="Times New Roman"/>
        </w:rPr>
        <w:t xml:space="preserve"> by trading approaches of OTC or on exchanges</w:t>
      </w:r>
      <w:r w:rsidR="00A11304" w:rsidRPr="0059184B">
        <w:rPr>
          <w:rStyle w:val="a5"/>
          <w:rFonts w:ascii="Times New Roman" w:hAnsi="Times New Roman" w:cs="Times New Roman"/>
        </w:rPr>
        <w:footnoteReference w:id="7"/>
      </w:r>
      <w:r w:rsidR="00DF6ECF" w:rsidRPr="0059184B">
        <w:rPr>
          <w:rFonts w:ascii="Times New Roman" w:hAnsi="Times New Roman" w:cs="Times New Roman"/>
        </w:rPr>
        <w:t xml:space="preserve">, and then scale with bank's assets. By doing this, we are allowed to examine the effectiveness of central clearing channel of mitigating the systemic risk associated with derivatives by Title VII of the DFA as well. </w:t>
      </w:r>
    </w:p>
    <w:p w:rsidR="00DF6ECF" w:rsidRPr="0059184B" w:rsidRDefault="00DF6ECF" w:rsidP="0087140C">
      <w:pPr>
        <w:pStyle w:val="a3"/>
        <w:shd w:val="clear" w:color="auto" w:fill="FFFFFF"/>
        <w:spacing w:before="120" w:beforeAutospacing="0" w:after="120" w:afterAutospacing="0" w:line="360" w:lineRule="auto"/>
        <w:jc w:val="both"/>
        <w:rPr>
          <w:rFonts w:ascii="Times New Roman" w:hAnsi="Times New Roman" w:cs="Times New Roman"/>
        </w:rPr>
      </w:pPr>
    </w:p>
    <w:p w:rsidR="00DB348B" w:rsidRPr="0059184B" w:rsidRDefault="006129F4" w:rsidP="0087140C">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I</w:t>
      </w:r>
      <w:r w:rsidR="00D8775F" w:rsidRPr="0059184B">
        <w:rPr>
          <w:rFonts w:ascii="Times New Roman" w:hAnsi="Times New Roman" w:cs="Times New Roman"/>
        </w:rPr>
        <w:t xml:space="preserve">n addition to derivative holdings </w:t>
      </w:r>
      <w:r w:rsidRPr="0059184B">
        <w:rPr>
          <w:rFonts w:ascii="Times New Roman" w:hAnsi="Times New Roman" w:cs="Times New Roman"/>
        </w:rPr>
        <w:t xml:space="preserve">we employ two additional variables which capture the extent of interconnectedness among financial institutions: </w:t>
      </w:r>
      <w:r w:rsidRPr="0059184B">
        <w:rPr>
          <w:rFonts w:ascii="Times New Roman" w:hAnsi="Times New Roman" w:cs="Times New Roman"/>
          <w:i/>
        </w:rPr>
        <w:t xml:space="preserve">Loan to depository institutions </w:t>
      </w:r>
      <w:r w:rsidRPr="0059184B">
        <w:rPr>
          <w:rFonts w:ascii="Times New Roman" w:hAnsi="Times New Roman" w:cs="Times New Roman"/>
        </w:rPr>
        <w:t>and</w:t>
      </w:r>
      <w:r w:rsidRPr="0059184B">
        <w:rPr>
          <w:rFonts w:ascii="Times New Roman" w:hAnsi="Times New Roman" w:cs="Times New Roman"/>
          <w:i/>
        </w:rPr>
        <w:t xml:space="preserve"> </w:t>
      </w:r>
      <w:r w:rsidRPr="0059184B">
        <w:rPr>
          <w:rFonts w:ascii="Times New Roman" w:hAnsi="Times New Roman" w:cs="Times New Roman"/>
          <w:i/>
        </w:rPr>
        <w:lastRenderedPageBreak/>
        <w:t xml:space="preserve">Balance due from depository institutions </w:t>
      </w:r>
      <w:r w:rsidRPr="0059184B">
        <w:rPr>
          <w:rFonts w:ascii="Times New Roman" w:hAnsi="Times New Roman" w:cs="Times New Roman"/>
        </w:rPr>
        <w:t>(scaled by gross loans and leases)</w:t>
      </w:r>
      <w:r w:rsidRPr="0059184B">
        <w:rPr>
          <w:rStyle w:val="a5"/>
          <w:rFonts w:ascii="Times New Roman" w:hAnsi="Times New Roman" w:cs="Times New Roman"/>
        </w:rPr>
        <w:footnoteReference w:id="8"/>
      </w:r>
      <w:r w:rsidRPr="0059184B">
        <w:rPr>
          <w:rFonts w:ascii="Times New Roman" w:hAnsi="Times New Roman" w:cs="Times New Roman"/>
        </w:rPr>
        <w:t>.</w:t>
      </w:r>
      <w:proofErr w:type="spellStart"/>
      <w:r w:rsidR="0001435D" w:rsidRPr="0059184B">
        <w:rPr>
          <w:rFonts w:ascii="Times New Roman" w:eastAsia="AdvGulliv-R" w:hAnsi="Times New Roman" w:cs="Times New Roman"/>
        </w:rPr>
        <w:t>Mayordomo</w:t>
      </w:r>
      <w:proofErr w:type="spellEnd"/>
      <w:r w:rsidR="0001435D" w:rsidRPr="0059184B">
        <w:rPr>
          <w:rFonts w:ascii="Times New Roman" w:eastAsia="AdvGulliv-R" w:hAnsi="Times New Roman" w:cs="Times New Roman"/>
        </w:rPr>
        <w:t>, Rodriguez-Moreno and Pena (2014)</w:t>
      </w:r>
      <w:r w:rsidRPr="0059184B">
        <w:rPr>
          <w:rFonts w:ascii="Times New Roman" w:eastAsia="AdvGulliv-R" w:hAnsi="Times New Roman" w:cs="Times New Roman"/>
        </w:rPr>
        <w:t xml:space="preserve"> found that</w:t>
      </w:r>
      <w:r w:rsidRPr="0059184B">
        <w:rPr>
          <w:rFonts w:ascii="Times New Roman" w:hAnsi="Times New Roman" w:cs="Times New Roman"/>
          <w:i/>
        </w:rPr>
        <w:t xml:space="preserve"> Balance due from depository institutions </w:t>
      </w:r>
      <w:r w:rsidRPr="0059184B">
        <w:rPr>
          <w:rFonts w:ascii="Times New Roman" w:hAnsi="Times New Roman" w:cs="Times New Roman"/>
        </w:rPr>
        <w:t xml:space="preserve">increased banks’ systemic risk while the impacts of </w:t>
      </w:r>
      <w:r w:rsidRPr="0059184B">
        <w:rPr>
          <w:rFonts w:ascii="Times New Roman" w:hAnsi="Times New Roman" w:cs="Times New Roman"/>
          <w:i/>
        </w:rPr>
        <w:t>Loan to depository institutions</w:t>
      </w:r>
      <w:r w:rsidRPr="0059184B">
        <w:rPr>
          <w:rFonts w:ascii="Times New Roman" w:eastAsia="AdvGulliv-R" w:hAnsi="Times New Roman" w:cs="Times New Roman"/>
        </w:rPr>
        <w:t xml:space="preserve"> were </w:t>
      </w:r>
      <w:proofErr w:type="spellStart"/>
      <w:r w:rsidRPr="0059184B">
        <w:rPr>
          <w:rFonts w:ascii="Times New Roman" w:eastAsia="AdvGulliv-R" w:hAnsi="Times New Roman" w:cs="Times New Roman"/>
        </w:rPr>
        <w:t>insignifican</w:t>
      </w:r>
      <w:proofErr w:type="spellEnd"/>
      <w:r w:rsidR="00047F64" w:rsidRPr="0059184B">
        <w:rPr>
          <w:rFonts w:ascii="Times New Roman" w:eastAsia="AdvGulliv-R" w:hAnsi="Times New Roman" w:cs="Times New Roman"/>
        </w:rPr>
        <w:t>.</w:t>
      </w:r>
      <w:r w:rsidR="00D8775F" w:rsidRPr="0059184B">
        <w:rPr>
          <w:rFonts w:ascii="Times New Roman" w:hAnsi="Times New Roman" w:cs="Times New Roman"/>
        </w:rPr>
        <w:t xml:space="preserve"> </w:t>
      </w:r>
    </w:p>
    <w:p w:rsidR="00AE4E9C" w:rsidRPr="0059184B" w:rsidRDefault="006129F4" w:rsidP="00AE4E9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We create a dummy variable,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for bank-quarter observations in the period following the </w:t>
      </w:r>
      <w:r w:rsidR="002D5AE1" w:rsidRPr="0059184B">
        <w:rPr>
          <w:rFonts w:ascii="Times New Roman" w:hAnsi="Times New Roman" w:cs="Times New Roman"/>
          <w:sz w:val="24"/>
          <w:szCs w:val="24"/>
        </w:rPr>
        <w:t>signing</w:t>
      </w:r>
      <w:r w:rsidRPr="0059184B">
        <w:rPr>
          <w:rFonts w:ascii="Times New Roman" w:hAnsi="Times New Roman" w:cs="Times New Roman"/>
          <w:sz w:val="24"/>
          <w:szCs w:val="24"/>
        </w:rPr>
        <w:t xml:space="preserve"> of the DFA (July 21, 2010). To explore the joint effects between derivatives and the DFA, we construct three interaction terms between interest rate derivatives held for hedging, interest rate derivatives held for trading, net credit derivatives, and </w:t>
      </w:r>
      <w:r w:rsidR="00D841E8" w:rsidRPr="0059184B">
        <w:rPr>
          <w:rFonts w:ascii="Times New Roman" w:hAnsi="Times New Roman" w:cs="Times New Roman"/>
          <w:sz w:val="24"/>
          <w:szCs w:val="24"/>
        </w:rPr>
        <w:t>the dummy,</w:t>
      </w:r>
      <w:r w:rsidR="00D841E8" w:rsidRPr="0059184B">
        <w:rPr>
          <w:rFonts w:ascii="Times New Roman" w:hAnsi="Times New Roman" w:cs="Times New Roman"/>
          <w:i/>
          <w:sz w:val="24"/>
          <w:szCs w:val="24"/>
        </w:rPr>
        <w:t xml:space="preserve"> </w:t>
      </w:r>
      <w:proofErr w:type="spellStart"/>
      <w:r w:rsidRPr="0059184B">
        <w:rPr>
          <w:rFonts w:ascii="Times New Roman" w:hAnsi="Times New Roman" w:cs="Times New Roman"/>
          <w:i/>
          <w:sz w:val="24"/>
          <w:szCs w:val="24"/>
        </w:rPr>
        <w:t>PostDFA</w:t>
      </w:r>
      <w:proofErr w:type="spellEnd"/>
      <w:r w:rsidR="00AE4E9C" w:rsidRPr="0059184B">
        <w:rPr>
          <w:rFonts w:ascii="Times New Roman" w:hAnsi="Times New Roman" w:cs="Times New Roman"/>
          <w:sz w:val="24"/>
          <w:szCs w:val="24"/>
        </w:rPr>
        <w:t xml:space="preserve"> to test the effectiveness of proprietary trading channel. We then construct </w:t>
      </w:r>
      <w:r w:rsidR="00D841E8" w:rsidRPr="0059184B">
        <w:rPr>
          <w:rFonts w:ascii="Times New Roman" w:hAnsi="Times New Roman" w:cs="Times New Roman"/>
          <w:sz w:val="24"/>
          <w:szCs w:val="24"/>
        </w:rPr>
        <w:t>the</w:t>
      </w:r>
      <w:r w:rsidR="00AE4E9C" w:rsidRPr="0059184B">
        <w:rPr>
          <w:rFonts w:ascii="Times New Roman" w:hAnsi="Times New Roman" w:cs="Times New Roman"/>
          <w:sz w:val="24"/>
          <w:szCs w:val="24"/>
        </w:rPr>
        <w:t xml:space="preserve"> interaction terms between interest rate derivatives traded OTC, interest rate derivatives traded on exchanges, </w:t>
      </w:r>
      <w:r w:rsidR="00D841E8" w:rsidRPr="0059184B">
        <w:rPr>
          <w:rFonts w:ascii="Times New Roman" w:hAnsi="Times New Roman" w:cs="Times New Roman"/>
          <w:sz w:val="24"/>
          <w:szCs w:val="24"/>
        </w:rPr>
        <w:t xml:space="preserve">net </w:t>
      </w:r>
      <w:r w:rsidR="00AE4E9C" w:rsidRPr="0059184B">
        <w:rPr>
          <w:rFonts w:ascii="Times New Roman" w:hAnsi="Times New Roman" w:cs="Times New Roman"/>
          <w:sz w:val="24"/>
          <w:szCs w:val="24"/>
        </w:rPr>
        <w:t>credit derivatives</w:t>
      </w:r>
      <w:r w:rsidR="00D841E8" w:rsidRPr="0059184B">
        <w:rPr>
          <w:rFonts w:ascii="Times New Roman" w:hAnsi="Times New Roman" w:cs="Times New Roman"/>
          <w:sz w:val="24"/>
          <w:szCs w:val="24"/>
        </w:rPr>
        <w:t xml:space="preserve"> (</w:t>
      </w:r>
      <w:r w:rsidR="00AE4E9C" w:rsidRPr="0059184B">
        <w:rPr>
          <w:rFonts w:ascii="Times New Roman" w:hAnsi="Times New Roman" w:cs="Times New Roman"/>
          <w:sz w:val="24"/>
          <w:szCs w:val="24"/>
        </w:rPr>
        <w:t>traded OTC</w:t>
      </w:r>
      <w:r w:rsidR="00D841E8" w:rsidRPr="0059184B">
        <w:rPr>
          <w:rFonts w:ascii="Times New Roman" w:hAnsi="Times New Roman" w:cs="Times New Roman"/>
          <w:sz w:val="24"/>
          <w:szCs w:val="24"/>
        </w:rPr>
        <w:t>)</w:t>
      </w:r>
      <w:r w:rsidR="00AE4E9C" w:rsidRPr="0059184B">
        <w:rPr>
          <w:rFonts w:ascii="Times New Roman" w:hAnsi="Times New Roman" w:cs="Times New Roman"/>
          <w:sz w:val="24"/>
          <w:szCs w:val="24"/>
        </w:rPr>
        <w:t xml:space="preserve">, and </w:t>
      </w:r>
      <w:proofErr w:type="spellStart"/>
      <w:r w:rsidR="00AE4E9C" w:rsidRPr="0059184B">
        <w:rPr>
          <w:rFonts w:ascii="Times New Roman" w:hAnsi="Times New Roman" w:cs="Times New Roman"/>
          <w:i/>
          <w:sz w:val="24"/>
          <w:szCs w:val="24"/>
        </w:rPr>
        <w:t>PostDFA</w:t>
      </w:r>
      <w:proofErr w:type="spellEnd"/>
      <w:r w:rsidR="00AE4E9C" w:rsidRPr="0059184B">
        <w:rPr>
          <w:rFonts w:ascii="Times New Roman" w:hAnsi="Times New Roman" w:cs="Times New Roman"/>
          <w:sz w:val="24"/>
          <w:szCs w:val="24"/>
        </w:rPr>
        <w:t xml:space="preserve"> to test the central clearing channel</w:t>
      </w:r>
      <w:r w:rsidR="00D841E8" w:rsidRPr="0059184B">
        <w:rPr>
          <w:rFonts w:ascii="Times New Roman" w:hAnsi="Times New Roman" w:cs="Times New Roman"/>
          <w:sz w:val="24"/>
          <w:szCs w:val="24"/>
        </w:rPr>
        <w:t xml:space="preserve"> of the DFA</w:t>
      </w:r>
      <w:r w:rsidR="00AE4E9C" w:rsidRPr="0059184B">
        <w:rPr>
          <w:rFonts w:ascii="Times New Roman" w:hAnsi="Times New Roman" w:cs="Times New Roman"/>
          <w:sz w:val="24"/>
          <w:szCs w:val="24"/>
        </w:rPr>
        <w:t>.</w:t>
      </w:r>
    </w:p>
    <w:p w:rsidR="006129F4" w:rsidRPr="0059184B" w:rsidRDefault="006129F4" w:rsidP="0087140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In terms of control variables, we include </w:t>
      </w:r>
      <w:r w:rsidRPr="0059184B">
        <w:rPr>
          <w:rFonts w:ascii="Times New Roman" w:hAnsi="Times New Roman" w:cs="Times New Roman"/>
          <w:i/>
          <w:sz w:val="24"/>
          <w:szCs w:val="24"/>
        </w:rPr>
        <w:t>assets</w:t>
      </w:r>
      <w:r w:rsidRPr="0059184B">
        <w:rPr>
          <w:rFonts w:ascii="Times New Roman" w:hAnsi="Times New Roman" w:cs="Times New Roman"/>
          <w:sz w:val="24"/>
          <w:szCs w:val="24"/>
        </w:rPr>
        <w:t xml:space="preserve"> to control for bank’s size, </w:t>
      </w:r>
      <w:r w:rsidRPr="0059184B">
        <w:rPr>
          <w:rFonts w:ascii="Times New Roman" w:hAnsi="Times New Roman" w:cs="Times New Roman"/>
          <w:i/>
          <w:sz w:val="24"/>
          <w:szCs w:val="24"/>
        </w:rPr>
        <w:t>return on average assets</w:t>
      </w:r>
      <w:r w:rsidRPr="0059184B">
        <w:rPr>
          <w:rFonts w:ascii="Times New Roman" w:hAnsi="Times New Roman" w:cs="Times New Roman"/>
          <w:sz w:val="24"/>
          <w:szCs w:val="24"/>
        </w:rPr>
        <w:t xml:space="preserve"> to account for profitability, and </w:t>
      </w:r>
      <w:r w:rsidRPr="0059184B">
        <w:rPr>
          <w:rFonts w:ascii="Times New Roman" w:hAnsi="Times New Roman" w:cs="Times New Roman"/>
          <w:i/>
          <w:sz w:val="24"/>
          <w:szCs w:val="24"/>
        </w:rPr>
        <w:t>short-term borrowings</w:t>
      </w:r>
      <w:r w:rsidRPr="0059184B">
        <w:rPr>
          <w:rFonts w:ascii="Times New Roman" w:hAnsi="Times New Roman" w:cs="Times New Roman"/>
          <w:sz w:val="24"/>
          <w:szCs w:val="24"/>
        </w:rPr>
        <w:t xml:space="preserve"> (scaled by assets)</w:t>
      </w:r>
      <w:r w:rsidRPr="0059184B">
        <w:rPr>
          <w:rFonts w:ascii="Times New Roman" w:hAnsi="Times New Roman" w:cs="Times New Roman"/>
          <w:sz w:val="24"/>
          <w:szCs w:val="24"/>
          <w:shd w:val="clear" w:color="auto" w:fill="FFFFFF"/>
        </w:rPr>
        <w:t xml:space="preserve"> which have often been blamed for precipitating financial crises. We also add </w:t>
      </w:r>
      <w:r w:rsidRPr="0059184B">
        <w:rPr>
          <w:rFonts w:ascii="Times New Roman" w:hAnsi="Times New Roman" w:cs="Times New Roman"/>
          <w:i/>
          <w:sz w:val="24"/>
          <w:szCs w:val="24"/>
        </w:rPr>
        <w:t>book-to-market</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equity return volatility</w:t>
      </w:r>
      <w:r w:rsidRPr="0059184B">
        <w:rPr>
          <w:rFonts w:ascii="Times New Roman" w:hAnsi="Times New Roman" w:cs="Times New Roman"/>
          <w:sz w:val="24"/>
          <w:szCs w:val="24"/>
        </w:rPr>
        <w:t xml:space="preserve"> in our models to capture bank’s health and uncertainty.</w:t>
      </w:r>
    </w:p>
    <w:p w:rsidR="006129F4" w:rsidRPr="0059184B" w:rsidRDefault="006129F4" w:rsidP="0087140C">
      <w:pPr>
        <w:pStyle w:val="ab"/>
        <w:shd w:val="clear" w:color="auto" w:fill="FFFFFF"/>
        <w:spacing w:before="120" w:after="120" w:line="360" w:lineRule="auto"/>
        <w:rPr>
          <w:rFonts w:ascii="Times New Roman" w:hAnsi="Times New Roman" w:cs="Times New Roman"/>
          <w:sz w:val="24"/>
          <w:szCs w:val="24"/>
        </w:rPr>
      </w:pPr>
      <w:proofErr w:type="spellStart"/>
      <w:r w:rsidRPr="0059184B">
        <w:rPr>
          <w:rFonts w:ascii="Times New Roman" w:eastAsia="AdvGulliv-R" w:hAnsi="Times New Roman" w:cs="Times New Roman"/>
          <w:sz w:val="24"/>
          <w:szCs w:val="24"/>
        </w:rPr>
        <w:t>Mayordomo</w:t>
      </w:r>
      <w:proofErr w:type="spellEnd"/>
      <w:r w:rsidRPr="0059184B">
        <w:rPr>
          <w:rFonts w:ascii="Times New Roman" w:hAnsi="Times New Roman" w:cs="Times New Roman"/>
          <w:sz w:val="24"/>
          <w:szCs w:val="24"/>
        </w:rPr>
        <w:t xml:space="preserve"> et al (2014) present evidence that </w:t>
      </w:r>
      <w:r w:rsidRPr="0059184B">
        <w:rPr>
          <w:rFonts w:ascii="Times New Roman" w:eastAsia="AdvGulliv-R" w:hAnsi="Times New Roman" w:cs="Times New Roman"/>
          <w:i/>
          <w:sz w:val="24"/>
          <w:szCs w:val="24"/>
        </w:rPr>
        <w:t>Non-performing loans</w:t>
      </w:r>
      <w:r w:rsidRPr="0059184B">
        <w:rPr>
          <w:rFonts w:ascii="Times New Roman" w:eastAsia="AdvGulliv-R" w:hAnsi="Times New Roman" w:cs="Times New Roman"/>
          <w:sz w:val="24"/>
          <w:szCs w:val="24"/>
        </w:rPr>
        <w:t xml:space="preserve"> and </w:t>
      </w:r>
      <w:r w:rsidRPr="0059184B">
        <w:rPr>
          <w:rFonts w:ascii="Times New Roman" w:eastAsia="AdvGulliv-R" w:hAnsi="Times New Roman" w:cs="Times New Roman"/>
          <w:i/>
          <w:sz w:val="24"/>
          <w:szCs w:val="24"/>
        </w:rPr>
        <w:t>Leverage ratio</w:t>
      </w:r>
      <w:r w:rsidRPr="0059184B">
        <w:rPr>
          <w:rFonts w:ascii="Times New Roman" w:eastAsia="AdvGulliv-R" w:hAnsi="Times New Roman" w:cs="Times New Roman"/>
          <w:sz w:val="24"/>
          <w:szCs w:val="24"/>
        </w:rPr>
        <w:t xml:space="preserve"> have greater impacts on systemic risk than derivatives holdings</w:t>
      </w:r>
      <w:r w:rsidRPr="0059184B">
        <w:rPr>
          <w:rFonts w:ascii="Times New Roman" w:hAnsi="Times New Roman" w:cs="Times New Roman"/>
          <w:sz w:val="24"/>
          <w:szCs w:val="24"/>
        </w:rPr>
        <w:t xml:space="preserve">. In light of their findings, we incorporate </w:t>
      </w:r>
      <w:r w:rsidRPr="0059184B">
        <w:rPr>
          <w:rFonts w:ascii="Times New Roman" w:hAnsi="Times New Roman" w:cs="Times New Roman"/>
          <w:i/>
          <w:sz w:val="24"/>
          <w:szCs w:val="24"/>
        </w:rPr>
        <w:t>Loan loss provisions and Tier 1 risk ratio</w:t>
      </w:r>
      <w:r w:rsidRPr="0059184B">
        <w:rPr>
          <w:rFonts w:ascii="Times New Roman" w:hAnsi="Times New Roman" w:cs="Times New Roman"/>
          <w:sz w:val="24"/>
          <w:szCs w:val="24"/>
        </w:rPr>
        <w:t xml:space="preserve"> in our models. We use </w:t>
      </w:r>
      <w:r w:rsidRPr="0059184B">
        <w:rPr>
          <w:rFonts w:ascii="Times New Roman" w:hAnsi="Times New Roman" w:cs="Times New Roman"/>
          <w:i/>
          <w:sz w:val="24"/>
          <w:szCs w:val="24"/>
        </w:rPr>
        <w:t>Loan loss provisions</w:t>
      </w:r>
      <w:r w:rsidRPr="0059184B">
        <w:rPr>
          <w:rFonts w:ascii="Times New Roman" w:hAnsi="Times New Roman" w:cs="Times New Roman"/>
          <w:sz w:val="24"/>
          <w:szCs w:val="24"/>
        </w:rPr>
        <w:t xml:space="preserve"> as this measure is an allowance for potential loan losses whereas </w:t>
      </w:r>
      <w:r w:rsidRPr="0059184B">
        <w:rPr>
          <w:rFonts w:ascii="Times New Roman" w:hAnsi="Times New Roman" w:cs="Times New Roman"/>
          <w:i/>
          <w:sz w:val="24"/>
          <w:szCs w:val="24"/>
        </w:rPr>
        <w:t>Non-performing loan</w:t>
      </w:r>
      <w:r w:rsidRPr="0059184B">
        <w:rPr>
          <w:rFonts w:ascii="Times New Roman" w:hAnsi="Times New Roman" w:cs="Times New Roman"/>
          <w:sz w:val="24"/>
          <w:szCs w:val="24"/>
        </w:rPr>
        <w:t xml:space="preserve"> only accounts for uncollected loans in the past. </w:t>
      </w:r>
      <w:r w:rsidRPr="0059184B">
        <w:rPr>
          <w:rFonts w:ascii="Times New Roman" w:hAnsi="Times New Roman" w:cs="Times New Roman"/>
          <w:i/>
          <w:sz w:val="24"/>
          <w:szCs w:val="24"/>
        </w:rPr>
        <w:t>Tier 1 risk ratio</w:t>
      </w:r>
      <w:r w:rsidRPr="0059184B">
        <w:rPr>
          <w:rFonts w:ascii="Times New Roman" w:hAnsi="Times New Roman" w:cs="Times New Roman"/>
          <w:sz w:val="24"/>
          <w:szCs w:val="24"/>
        </w:rPr>
        <w:t xml:space="preserve"> is also a better measure than </w:t>
      </w:r>
      <w:r w:rsidRPr="0059184B">
        <w:rPr>
          <w:rFonts w:ascii="Times New Roman" w:hAnsi="Times New Roman" w:cs="Times New Roman"/>
          <w:i/>
          <w:sz w:val="24"/>
          <w:szCs w:val="24"/>
        </w:rPr>
        <w:t>Leverage ratio</w:t>
      </w:r>
      <w:r w:rsidRPr="0059184B">
        <w:rPr>
          <w:rFonts w:ascii="Times New Roman" w:hAnsi="Times New Roman" w:cs="Times New Roman"/>
          <w:sz w:val="24"/>
          <w:szCs w:val="24"/>
        </w:rPr>
        <w:t xml:space="preserve">. The latter simply sets the same risk weight across all assets while </w:t>
      </w:r>
      <w:r w:rsidRPr="0059184B">
        <w:rPr>
          <w:rFonts w:ascii="Times New Roman" w:hAnsi="Times New Roman" w:cs="Times New Roman"/>
          <w:i/>
          <w:sz w:val="24"/>
          <w:szCs w:val="24"/>
        </w:rPr>
        <w:t>Tier 1 risk ratio</w:t>
      </w:r>
      <w:r w:rsidRPr="0059184B">
        <w:rPr>
          <w:rFonts w:ascii="Times New Roman" w:hAnsi="Times New Roman" w:cs="Times New Roman"/>
          <w:sz w:val="24"/>
          <w:szCs w:val="24"/>
        </w:rPr>
        <w:t xml:space="preserve"> is derived based on risk weighted assets, that is, it captures the quality of bank’s asset portfolio.</w:t>
      </w:r>
      <w:r w:rsidRPr="0059184B">
        <w:rPr>
          <w:rStyle w:val="a5"/>
          <w:rFonts w:ascii="Times New Roman" w:hAnsi="Times New Roman" w:cs="Times New Roman"/>
          <w:sz w:val="24"/>
          <w:szCs w:val="24"/>
        </w:rPr>
        <w:footnoteReference w:id="9"/>
      </w:r>
    </w:p>
    <w:p w:rsidR="003D3E3B" w:rsidRPr="0059184B" w:rsidRDefault="003D3E3B" w:rsidP="0087140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The study period witness</w:t>
      </w:r>
      <w:r w:rsidR="002D5AE1" w:rsidRPr="0059184B">
        <w:rPr>
          <w:rFonts w:ascii="Times New Roman" w:hAnsi="Times New Roman" w:cs="Times New Roman"/>
          <w:sz w:val="24"/>
          <w:szCs w:val="24"/>
        </w:rPr>
        <w:t>es</w:t>
      </w:r>
      <w:r w:rsidRPr="0059184B">
        <w:rPr>
          <w:rFonts w:ascii="Times New Roman" w:hAnsi="Times New Roman" w:cs="Times New Roman"/>
          <w:sz w:val="24"/>
          <w:szCs w:val="24"/>
        </w:rPr>
        <w:t xml:space="preserve"> several failures and a number of mergers among financial institutions. We include merged banks in the sample as long as SNL report</w:t>
      </w:r>
      <w:r w:rsidR="002D5AE1" w:rsidRPr="0059184B">
        <w:rPr>
          <w:rFonts w:ascii="Times New Roman" w:hAnsi="Times New Roman" w:cs="Times New Roman"/>
          <w:sz w:val="24"/>
          <w:szCs w:val="24"/>
        </w:rPr>
        <w:t>s</w:t>
      </w:r>
      <w:r w:rsidRPr="0059184B">
        <w:rPr>
          <w:rFonts w:ascii="Times New Roman" w:hAnsi="Times New Roman" w:cs="Times New Roman"/>
          <w:sz w:val="24"/>
          <w:szCs w:val="24"/>
        </w:rPr>
        <w:t xml:space="preserve"> its balance sheet </w:t>
      </w:r>
      <w:r w:rsidRPr="0059184B">
        <w:rPr>
          <w:rFonts w:ascii="Times New Roman" w:hAnsi="Times New Roman" w:cs="Times New Roman"/>
          <w:sz w:val="24"/>
          <w:szCs w:val="24"/>
        </w:rPr>
        <w:lastRenderedPageBreak/>
        <w:t xml:space="preserve">and income items. For an acquirer, taking over near failed firms will </w:t>
      </w:r>
      <w:r w:rsidR="006F6FEC" w:rsidRPr="0059184B">
        <w:rPr>
          <w:rFonts w:ascii="Times New Roman" w:hAnsi="Times New Roman" w:cs="Times New Roman"/>
          <w:sz w:val="24"/>
          <w:szCs w:val="24"/>
        </w:rPr>
        <w:t>substa</w:t>
      </w:r>
      <w:r w:rsidRPr="0059184B">
        <w:rPr>
          <w:rFonts w:ascii="Times New Roman" w:hAnsi="Times New Roman" w:cs="Times New Roman"/>
          <w:sz w:val="24"/>
          <w:szCs w:val="24"/>
        </w:rPr>
        <w:t>ntia</w:t>
      </w:r>
      <w:r w:rsidR="003C1FA8" w:rsidRPr="0059184B">
        <w:rPr>
          <w:rFonts w:ascii="Times New Roman" w:hAnsi="Times New Roman" w:cs="Times New Roman"/>
          <w:sz w:val="24"/>
          <w:szCs w:val="24"/>
        </w:rPr>
        <w:t>lly</w:t>
      </w:r>
      <w:r w:rsidRPr="0059184B">
        <w:rPr>
          <w:rFonts w:ascii="Times New Roman" w:hAnsi="Times New Roman" w:cs="Times New Roman"/>
          <w:sz w:val="24"/>
          <w:szCs w:val="24"/>
        </w:rPr>
        <w:t xml:space="preserve"> raise its leverage and loan loss provisions. To capture this effect, we </w:t>
      </w:r>
      <w:r w:rsidR="006F6FEC" w:rsidRPr="0059184B">
        <w:rPr>
          <w:rFonts w:ascii="Times New Roman" w:hAnsi="Times New Roman" w:cs="Times New Roman"/>
          <w:sz w:val="24"/>
          <w:szCs w:val="24"/>
        </w:rPr>
        <w:t xml:space="preserve">create </w:t>
      </w:r>
      <w:r w:rsidRPr="0059184B">
        <w:rPr>
          <w:rFonts w:ascii="Times New Roman" w:hAnsi="Times New Roman" w:cs="Times New Roman"/>
          <w:sz w:val="24"/>
          <w:szCs w:val="24"/>
        </w:rPr>
        <w:t xml:space="preserve">a dummy variable for banks that made an acquisition in the quarter examined. </w:t>
      </w:r>
    </w:p>
    <w:p w:rsidR="006063CD" w:rsidRPr="0059184B" w:rsidRDefault="008864CA" w:rsidP="0087140C">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During the</w:t>
      </w:r>
      <w:r w:rsidR="003B1937" w:rsidRPr="0059184B">
        <w:rPr>
          <w:rFonts w:ascii="Times New Roman" w:hAnsi="Times New Roman" w:cs="Times New Roman"/>
        </w:rPr>
        <w:t xml:space="preserve"> subprime crisis</w:t>
      </w:r>
      <w:r w:rsidRPr="0059184B">
        <w:rPr>
          <w:rFonts w:ascii="Times New Roman" w:hAnsi="Times New Roman" w:cs="Times New Roman"/>
        </w:rPr>
        <w:t xml:space="preserve"> many banks experienced financial distress due to </w:t>
      </w:r>
      <w:r w:rsidR="006063CD" w:rsidRPr="0059184B">
        <w:rPr>
          <w:rFonts w:ascii="Times New Roman" w:hAnsi="Times New Roman" w:cs="Times New Roman"/>
        </w:rPr>
        <w:t>their</w:t>
      </w:r>
      <w:r w:rsidRPr="0059184B">
        <w:rPr>
          <w:rFonts w:ascii="Times New Roman" w:hAnsi="Times New Roman" w:cs="Times New Roman"/>
        </w:rPr>
        <w:t xml:space="preserve"> exposures to </w:t>
      </w:r>
      <w:r w:rsidR="006063CD" w:rsidRPr="0059184B">
        <w:rPr>
          <w:rFonts w:ascii="Times New Roman" w:hAnsi="Times New Roman" w:cs="Times New Roman"/>
        </w:rPr>
        <w:t xml:space="preserve">housing bust </w:t>
      </w:r>
      <w:r w:rsidRPr="0059184B">
        <w:rPr>
          <w:rFonts w:ascii="Times New Roman" w:hAnsi="Times New Roman" w:cs="Times New Roman"/>
        </w:rPr>
        <w:t xml:space="preserve">and </w:t>
      </w:r>
      <w:r w:rsidR="003C1FA8" w:rsidRPr="0059184B">
        <w:rPr>
          <w:rFonts w:ascii="Times New Roman" w:hAnsi="Times New Roman" w:cs="Times New Roman"/>
        </w:rPr>
        <w:t xml:space="preserve">their </w:t>
      </w:r>
      <w:r w:rsidR="006063CD" w:rsidRPr="0059184B">
        <w:rPr>
          <w:rFonts w:ascii="Times New Roman" w:hAnsi="Times New Roman" w:cs="Times New Roman"/>
        </w:rPr>
        <w:t>substantial</w:t>
      </w:r>
      <w:r w:rsidRPr="0059184B">
        <w:rPr>
          <w:rFonts w:ascii="Times New Roman" w:hAnsi="Times New Roman" w:cs="Times New Roman"/>
        </w:rPr>
        <w:t xml:space="preserve"> losses on real-estate related investments (Cole and White, 2012). We account for bank’s exposure to the downturn in</w:t>
      </w:r>
      <w:r w:rsidR="003C1FA8" w:rsidRPr="0059184B">
        <w:rPr>
          <w:rFonts w:ascii="Times New Roman" w:hAnsi="Times New Roman" w:cs="Times New Roman"/>
        </w:rPr>
        <w:t xml:space="preserve"> the</w:t>
      </w:r>
      <w:r w:rsidRPr="0059184B">
        <w:rPr>
          <w:rFonts w:ascii="Times New Roman" w:hAnsi="Times New Roman" w:cs="Times New Roman"/>
        </w:rPr>
        <w:t xml:space="preserve"> real estate market in each state where it operates</w:t>
      </w:r>
      <w:r w:rsidR="003C1FA8" w:rsidRPr="0059184B">
        <w:rPr>
          <w:rFonts w:ascii="Times New Roman" w:hAnsi="Times New Roman" w:cs="Times New Roman"/>
        </w:rPr>
        <w:t>. We</w:t>
      </w:r>
      <w:r w:rsidR="006063CD" w:rsidRPr="0059184B">
        <w:rPr>
          <w:rFonts w:ascii="Times New Roman" w:hAnsi="Times New Roman" w:cs="Times New Roman"/>
        </w:rPr>
        <w:t xml:space="preserve"> calculat</w:t>
      </w:r>
      <w:r w:rsidR="003C1FA8" w:rsidRPr="0059184B">
        <w:rPr>
          <w:rFonts w:ascii="Times New Roman" w:hAnsi="Times New Roman" w:cs="Times New Roman"/>
        </w:rPr>
        <w:t>e</w:t>
      </w:r>
      <w:r w:rsidRPr="0059184B">
        <w:rPr>
          <w:rFonts w:ascii="Times New Roman" w:hAnsi="Times New Roman" w:cs="Times New Roman"/>
        </w:rPr>
        <w:t xml:space="preserve"> a weighted average housing return </w:t>
      </w:r>
      <w:r w:rsidR="006063CD" w:rsidRPr="0059184B">
        <w:rPr>
          <w:rFonts w:ascii="Times New Roman" w:hAnsi="Times New Roman" w:cs="Times New Roman"/>
        </w:rPr>
        <w:t xml:space="preserve">index </w:t>
      </w:r>
      <w:r w:rsidRPr="0059184B">
        <w:rPr>
          <w:rFonts w:ascii="Times New Roman" w:hAnsi="Times New Roman" w:cs="Times New Roman"/>
        </w:rPr>
        <w:t>for each bank-</w:t>
      </w:r>
      <w:r w:rsidR="00396AA6" w:rsidRPr="0059184B">
        <w:rPr>
          <w:rFonts w:ascii="Times New Roman" w:hAnsi="Times New Roman" w:cs="Times New Roman"/>
        </w:rPr>
        <w:t>quarter</w:t>
      </w:r>
      <w:r w:rsidRPr="0059184B">
        <w:rPr>
          <w:rFonts w:ascii="Times New Roman" w:hAnsi="Times New Roman" w:cs="Times New Roman"/>
        </w:rPr>
        <w:t xml:space="preserve">. Housing returns are derived from the Fannie Mae house price index for each state. The weighted average is </w:t>
      </w:r>
      <w:r w:rsidR="006248DD" w:rsidRPr="0059184B">
        <w:rPr>
          <w:rFonts w:ascii="Times New Roman" w:hAnsi="Times New Roman" w:cs="Times New Roman"/>
        </w:rPr>
        <w:t>derived</w:t>
      </w:r>
      <w:r w:rsidR="006063CD" w:rsidRPr="0059184B">
        <w:rPr>
          <w:rFonts w:ascii="Times New Roman" w:hAnsi="Times New Roman" w:cs="Times New Roman"/>
        </w:rPr>
        <w:t xml:space="preserve"> by using the proportion of deposits a bank has in each state</w:t>
      </w:r>
      <w:r w:rsidR="00967A50" w:rsidRPr="0059184B">
        <w:rPr>
          <w:rFonts w:ascii="Times New Roman" w:hAnsi="Times New Roman" w:cs="Times New Roman"/>
        </w:rPr>
        <w:t>, which is available</w:t>
      </w:r>
      <w:r w:rsidR="006063CD" w:rsidRPr="0059184B">
        <w:rPr>
          <w:rFonts w:ascii="Times New Roman" w:hAnsi="Times New Roman" w:cs="Times New Roman"/>
        </w:rPr>
        <w:t xml:space="preserve"> from </w:t>
      </w:r>
      <w:r w:rsidRPr="0059184B">
        <w:rPr>
          <w:rFonts w:ascii="Times New Roman" w:hAnsi="Times New Roman" w:cs="Times New Roman"/>
        </w:rPr>
        <w:t xml:space="preserve">branch deposit </w:t>
      </w:r>
      <w:r w:rsidR="00967A50" w:rsidRPr="0059184B">
        <w:rPr>
          <w:rFonts w:ascii="Times New Roman" w:hAnsi="Times New Roman" w:cs="Times New Roman"/>
        </w:rPr>
        <w:t xml:space="preserve">and branch location </w:t>
      </w:r>
      <w:r w:rsidRPr="0059184B">
        <w:rPr>
          <w:rFonts w:ascii="Times New Roman" w:hAnsi="Times New Roman" w:cs="Times New Roman"/>
        </w:rPr>
        <w:t xml:space="preserve">data </w:t>
      </w:r>
      <w:r w:rsidR="00967A50" w:rsidRPr="0059184B">
        <w:rPr>
          <w:rFonts w:ascii="Times New Roman" w:hAnsi="Times New Roman" w:cs="Times New Roman"/>
        </w:rPr>
        <w:t xml:space="preserve">in </w:t>
      </w:r>
      <w:r w:rsidRPr="0059184B">
        <w:rPr>
          <w:rFonts w:ascii="Times New Roman" w:hAnsi="Times New Roman" w:cs="Times New Roman"/>
        </w:rPr>
        <w:t>SNL.</w:t>
      </w:r>
    </w:p>
    <w:p w:rsidR="006063CD" w:rsidRPr="0059184B" w:rsidRDefault="006063CD" w:rsidP="00C61C16">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To capture the degree of </w:t>
      </w:r>
      <w:r w:rsidR="00017A73" w:rsidRPr="0059184B">
        <w:rPr>
          <w:rFonts w:ascii="Times New Roman" w:hAnsi="Times New Roman" w:cs="Times New Roman"/>
          <w:sz w:val="24"/>
          <w:szCs w:val="24"/>
        </w:rPr>
        <w:t>market concentration</w:t>
      </w:r>
      <w:r w:rsidRPr="0059184B">
        <w:rPr>
          <w:rFonts w:ascii="Times New Roman" w:hAnsi="Times New Roman" w:cs="Times New Roman"/>
          <w:sz w:val="24"/>
          <w:szCs w:val="24"/>
        </w:rPr>
        <w:t xml:space="preserve"> in the banking sector</w:t>
      </w:r>
      <w:r w:rsidR="006248DD" w:rsidRPr="0059184B">
        <w:rPr>
          <w:rFonts w:ascii="Times New Roman" w:hAnsi="Times New Roman" w:cs="Times New Roman"/>
          <w:sz w:val="24"/>
          <w:szCs w:val="24"/>
        </w:rPr>
        <w:t xml:space="preserve">, we construct a weighted average </w:t>
      </w:r>
      <w:proofErr w:type="spellStart"/>
      <w:r w:rsidR="006248DD" w:rsidRPr="0059184B">
        <w:rPr>
          <w:rFonts w:ascii="Times New Roman" w:hAnsi="Times New Roman" w:cs="Times New Roman"/>
          <w:sz w:val="24"/>
          <w:szCs w:val="24"/>
        </w:rPr>
        <w:t>Herfindahl</w:t>
      </w:r>
      <w:proofErr w:type="spellEnd"/>
      <w:r w:rsidR="006248DD" w:rsidRPr="0059184B">
        <w:rPr>
          <w:rFonts w:ascii="Times New Roman" w:hAnsi="Times New Roman" w:cs="Times New Roman"/>
          <w:sz w:val="24"/>
          <w:szCs w:val="24"/>
        </w:rPr>
        <w:t xml:space="preserve">-Hirschman Index (HHI) </w:t>
      </w:r>
      <w:r w:rsidR="00D636F7" w:rsidRPr="0059184B">
        <w:rPr>
          <w:rFonts w:ascii="Times New Roman" w:hAnsi="Times New Roman" w:cs="Times New Roman"/>
          <w:sz w:val="24"/>
          <w:szCs w:val="24"/>
        </w:rPr>
        <w:t xml:space="preserve">following Berger and Roman (2015) </w:t>
      </w:r>
      <w:r w:rsidR="006248DD" w:rsidRPr="0059184B">
        <w:rPr>
          <w:rFonts w:ascii="Times New Roman" w:hAnsi="Times New Roman" w:cs="Times New Roman"/>
          <w:sz w:val="24"/>
          <w:szCs w:val="24"/>
        </w:rPr>
        <w:t>for each bank-year in a similar manner. The weighted average HHI for each bank-year is derived by using the proportion of deposits a bank has in each state.</w:t>
      </w:r>
    </w:p>
    <w:p w:rsidR="003C1FA8" w:rsidRPr="0059184B" w:rsidRDefault="006116E2" w:rsidP="0087778B">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We also consider bank</w:t>
      </w:r>
      <w:r w:rsidR="00DA0790" w:rsidRPr="0059184B">
        <w:rPr>
          <w:rFonts w:ascii="Times New Roman" w:hAnsi="Times New Roman" w:cs="Times New Roman"/>
          <w:sz w:val="24"/>
          <w:szCs w:val="24"/>
        </w:rPr>
        <w:t>s’</w:t>
      </w:r>
      <w:r w:rsidRPr="0059184B">
        <w:rPr>
          <w:rFonts w:ascii="Times New Roman" w:hAnsi="Times New Roman" w:cs="Times New Roman"/>
          <w:sz w:val="24"/>
          <w:szCs w:val="24"/>
        </w:rPr>
        <w:t xml:space="preserve"> </w:t>
      </w:r>
      <w:r w:rsidR="002D5AE1" w:rsidRPr="0059184B">
        <w:rPr>
          <w:rFonts w:ascii="Times New Roman" w:hAnsi="Times New Roman" w:cs="Times New Roman"/>
          <w:sz w:val="24"/>
          <w:szCs w:val="24"/>
        </w:rPr>
        <w:t>usage</w:t>
      </w:r>
      <w:r w:rsidRPr="0059184B">
        <w:rPr>
          <w:rFonts w:ascii="Times New Roman" w:hAnsi="Times New Roman" w:cs="Times New Roman"/>
          <w:sz w:val="24"/>
          <w:szCs w:val="24"/>
        </w:rPr>
        <w:t xml:space="preserve"> of </w:t>
      </w:r>
      <w:r w:rsidR="00DA0790" w:rsidRPr="0059184B">
        <w:rPr>
          <w:rFonts w:ascii="Times New Roman" w:hAnsi="Times New Roman" w:cs="Times New Roman"/>
          <w:sz w:val="24"/>
          <w:szCs w:val="24"/>
        </w:rPr>
        <w:t xml:space="preserve">the </w:t>
      </w:r>
      <w:r w:rsidRPr="0059184B">
        <w:rPr>
          <w:rFonts w:ascii="Times New Roman" w:hAnsi="Times New Roman" w:cs="Times New Roman"/>
          <w:sz w:val="24"/>
          <w:szCs w:val="24"/>
        </w:rPr>
        <w:t>discount window borrowing and four special capital programs namely troubled asset re</w:t>
      </w:r>
      <w:r w:rsidR="00DA0790" w:rsidRPr="0059184B">
        <w:rPr>
          <w:rFonts w:ascii="Times New Roman" w:hAnsi="Times New Roman" w:cs="Times New Roman"/>
          <w:sz w:val="24"/>
          <w:szCs w:val="24"/>
        </w:rPr>
        <w:t>lief program (TARP), t</w:t>
      </w:r>
      <w:r w:rsidRPr="0059184B">
        <w:rPr>
          <w:rFonts w:ascii="Times New Roman" w:hAnsi="Times New Roman" w:cs="Times New Roman"/>
          <w:sz w:val="24"/>
          <w:szCs w:val="24"/>
        </w:rPr>
        <w:t xml:space="preserve">erm securities lending facility, term auction facility and primary dealer credit facility. The data on special capital programs and discount window borrowing were collected from the Federal Reserve </w:t>
      </w:r>
      <w:r w:rsidR="00396AA6" w:rsidRPr="0059184B">
        <w:rPr>
          <w:rFonts w:ascii="Times New Roman" w:hAnsi="Times New Roman" w:cs="Times New Roman"/>
          <w:sz w:val="24"/>
          <w:szCs w:val="24"/>
        </w:rPr>
        <w:t>System</w:t>
      </w:r>
      <w:r w:rsidR="00396AA6" w:rsidRPr="0059184B">
        <w:rPr>
          <w:rStyle w:val="a5"/>
          <w:rFonts w:ascii="Times New Roman" w:hAnsi="Times New Roman" w:cs="Times New Roman"/>
          <w:sz w:val="24"/>
          <w:szCs w:val="24"/>
        </w:rPr>
        <w:footnoteReference w:id="10"/>
      </w:r>
      <w:r w:rsidR="00AE4E9C" w:rsidRPr="0059184B">
        <w:rPr>
          <w:rFonts w:ascii="Times New Roman" w:hAnsi="Times New Roman" w:cs="Times New Roman"/>
          <w:sz w:val="24"/>
          <w:szCs w:val="24"/>
        </w:rPr>
        <w:t>.</w:t>
      </w:r>
      <w:r w:rsidRPr="0059184B">
        <w:rPr>
          <w:rFonts w:ascii="Times New Roman" w:hAnsi="Times New Roman" w:cs="Times New Roman"/>
          <w:sz w:val="24"/>
          <w:szCs w:val="24"/>
        </w:rPr>
        <w:t xml:space="preserve"> </w:t>
      </w:r>
    </w:p>
    <w:p w:rsidR="0048282B" w:rsidRPr="0059184B" w:rsidRDefault="0048282B" w:rsidP="0087778B">
      <w:pPr>
        <w:spacing w:before="120" w:after="120" w:line="360" w:lineRule="auto"/>
        <w:rPr>
          <w:rFonts w:ascii="Times New Roman" w:hAnsi="Times New Roman" w:cs="Times New Roman"/>
          <w:sz w:val="24"/>
          <w:szCs w:val="24"/>
        </w:rPr>
      </w:pPr>
    </w:p>
    <w:p w:rsidR="006116E2" w:rsidRPr="0059184B" w:rsidRDefault="00C61C16" w:rsidP="00C61C16">
      <w:pPr>
        <w:pStyle w:val="3"/>
        <w:rPr>
          <w:rFonts w:ascii="Times New Roman" w:hAnsi="Times New Roman" w:cs="Times New Roman"/>
          <w:sz w:val="24"/>
          <w:szCs w:val="24"/>
        </w:rPr>
      </w:pPr>
      <w:r w:rsidRPr="0059184B">
        <w:rPr>
          <w:rFonts w:ascii="Times New Roman" w:hAnsi="Times New Roman" w:cs="Times New Roman"/>
          <w:sz w:val="24"/>
          <w:szCs w:val="24"/>
        </w:rPr>
        <w:t>4.3</w:t>
      </w:r>
      <w:r w:rsidR="006116E2" w:rsidRPr="0059184B">
        <w:rPr>
          <w:rFonts w:ascii="Times New Roman" w:hAnsi="Times New Roman" w:cs="Times New Roman"/>
          <w:sz w:val="24"/>
          <w:szCs w:val="24"/>
        </w:rPr>
        <w:t xml:space="preserve">. Statistics </w:t>
      </w:r>
    </w:p>
    <w:p w:rsidR="007C3B5B" w:rsidRPr="0059184B" w:rsidRDefault="007C3B5B" w:rsidP="0087140C">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 xml:space="preserve">Figure 1 features the average derivative holdings (scaled by total assets) across quarters for the main sample of </w:t>
      </w:r>
      <w:r w:rsidR="007143FF" w:rsidRPr="0059184B">
        <w:rPr>
          <w:rFonts w:ascii="Times New Roman" w:hAnsi="Times New Roman" w:cs="Times New Roman"/>
        </w:rPr>
        <w:t xml:space="preserve">151 </w:t>
      </w:r>
      <w:r w:rsidRPr="0059184B">
        <w:rPr>
          <w:rFonts w:ascii="Times New Roman" w:hAnsi="Times New Roman" w:cs="Times New Roman"/>
        </w:rPr>
        <w:t xml:space="preserve">banks (Panel A, B, C) and the alternative sample of 18 stress test banks (Panel D, E, F). Panel A and Panel D feature the average derivative holdings for trading and for hedging purpose while Panel B and Panel E show the average derivatives </w:t>
      </w:r>
      <w:r w:rsidRPr="0059184B">
        <w:rPr>
          <w:rFonts w:ascii="Times New Roman" w:hAnsi="Times New Roman" w:cs="Times New Roman"/>
        </w:rPr>
        <w:lastRenderedPageBreak/>
        <w:t>traded in the OTC market and in the Exchange.</w:t>
      </w:r>
      <w:r w:rsidRPr="0059184B">
        <w:rPr>
          <w:rStyle w:val="a5"/>
          <w:rFonts w:ascii="Times New Roman" w:hAnsi="Times New Roman" w:cs="Times New Roman"/>
        </w:rPr>
        <w:footnoteReference w:id="11"/>
      </w:r>
      <w:r w:rsidRPr="0059184B">
        <w:rPr>
          <w:rFonts w:ascii="Times New Roman" w:hAnsi="Times New Roman" w:cs="Times New Roman"/>
        </w:rPr>
        <w:t xml:space="preserve"> Panel C and Panel F depict the average net credit derivative holdings. </w:t>
      </w:r>
    </w:p>
    <w:p w:rsidR="007C3B5B" w:rsidRPr="0059184B" w:rsidRDefault="007C3B5B" w:rsidP="007C3B5B">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FIGURE 1 HERE</w:t>
      </w:r>
    </w:p>
    <w:p w:rsidR="007C3B5B" w:rsidRPr="0059184B" w:rsidRDefault="007C3B5B" w:rsidP="0087140C">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 xml:space="preserve">As presented in Figure 1, banks in both samples use a greater proportion of interest rate derivatives for trading than for hedging, and most of interest rate derivatives were traded in the OTC market. From mid-to-end 2011 onwards, interest rate derivatives </w:t>
      </w:r>
      <w:r w:rsidR="002D5AE1" w:rsidRPr="0059184B">
        <w:rPr>
          <w:rFonts w:ascii="Times New Roman" w:hAnsi="Times New Roman" w:cs="Times New Roman"/>
        </w:rPr>
        <w:t>held</w:t>
      </w:r>
      <w:r w:rsidRPr="0059184B">
        <w:rPr>
          <w:rFonts w:ascii="Times New Roman" w:hAnsi="Times New Roman" w:cs="Times New Roman"/>
        </w:rPr>
        <w:t xml:space="preserve"> for trading and interest rate derivatives traded in the OTC market declined while interest rate derivatives in the Exchange increased, particularly for the main sample. Credit derivative holdings increased substantially during 2007-2008 but were markedly lower as of 2009, the trend is more pronounced for stress test banks. </w:t>
      </w:r>
    </w:p>
    <w:p w:rsidR="007C3B5B" w:rsidRPr="0059184B" w:rsidRDefault="007C3B5B" w:rsidP="007C3B5B">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 xml:space="preserve">On average, a stress test bank holds substantially larger derivative positions than a typical bank in the main sample. Stress test bank’s interest rate derivatives held for trading and derivatives traded in the OTC increased sharply in the last two quarters of 2008 and leveled off afterwards. </w:t>
      </w:r>
    </w:p>
    <w:p w:rsidR="007C3B5B" w:rsidRPr="0059184B" w:rsidRDefault="007C3B5B" w:rsidP="0087140C">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 xml:space="preserve">The statistics of the dependent variables and key independent variables are presented in Panel A and Panel B of Table 1 respectively. </w:t>
      </w:r>
    </w:p>
    <w:p w:rsidR="007C3B5B" w:rsidRPr="0059184B" w:rsidRDefault="007C3B5B" w:rsidP="007C3B5B">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TABLE 1 HERE</w:t>
      </w:r>
    </w:p>
    <w:p w:rsidR="007C3B5B" w:rsidRPr="0059184B" w:rsidRDefault="007C3B5B" w:rsidP="0087140C">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 xml:space="preserve">Due to the data availability of </w:t>
      </w:r>
      <w:r w:rsidR="007143FF" w:rsidRPr="0059184B">
        <w:rPr>
          <w:rFonts w:ascii="Times New Roman" w:hAnsi="Times New Roman" w:cs="Times New Roman"/>
        </w:rPr>
        <w:t xml:space="preserve">151 </w:t>
      </w:r>
      <w:r w:rsidRPr="0059184B">
        <w:rPr>
          <w:rFonts w:ascii="Times New Roman" w:hAnsi="Times New Roman" w:cs="Times New Roman"/>
        </w:rPr>
        <w:t xml:space="preserve">banks in the main sample, the sample used for systemic risk analysis includes </w:t>
      </w:r>
      <w:r w:rsidR="007143FF" w:rsidRPr="0059184B">
        <w:rPr>
          <w:rFonts w:ascii="Times New Roman" w:hAnsi="Times New Roman" w:cs="Times New Roman"/>
        </w:rPr>
        <w:t xml:space="preserve">3414 </w:t>
      </w:r>
      <w:r w:rsidRPr="0059184B">
        <w:rPr>
          <w:rFonts w:ascii="Times New Roman" w:hAnsi="Times New Roman" w:cs="Times New Roman"/>
        </w:rPr>
        <w:t xml:space="preserve">quarter-bank observations while the sample used for bank-risk and bank-performance analysis includes </w:t>
      </w:r>
      <w:r w:rsidR="007143FF" w:rsidRPr="0059184B">
        <w:rPr>
          <w:rFonts w:ascii="Times New Roman" w:hAnsi="Times New Roman" w:cs="Times New Roman"/>
        </w:rPr>
        <w:t xml:space="preserve">3724 </w:t>
      </w:r>
      <w:r w:rsidRPr="0059184B">
        <w:rPr>
          <w:rFonts w:ascii="Times New Roman" w:hAnsi="Times New Roman" w:cs="Times New Roman"/>
        </w:rPr>
        <w:t xml:space="preserve">quarter-bank observations. As presented in Panel </w:t>
      </w:r>
      <w:proofErr w:type="gramStart"/>
      <w:r w:rsidRPr="0059184B">
        <w:rPr>
          <w:rFonts w:ascii="Times New Roman" w:hAnsi="Times New Roman" w:cs="Times New Roman"/>
        </w:rPr>
        <w:t>A</w:t>
      </w:r>
      <w:proofErr w:type="gramEnd"/>
      <w:r w:rsidRPr="0059184B">
        <w:rPr>
          <w:rFonts w:ascii="Times New Roman" w:hAnsi="Times New Roman" w:cs="Times New Roman"/>
        </w:rPr>
        <w:t xml:space="preserve"> of Table 1, on average, a bank in the main sample has </w:t>
      </w:r>
      <w:r w:rsidR="00913C59" w:rsidRPr="0059184B">
        <w:rPr>
          <w:rFonts w:ascii="Times New Roman" w:hAnsi="Times New Roman" w:cs="Times New Roman"/>
        </w:rPr>
        <w:t xml:space="preserve">a </w:t>
      </w:r>
      <w:r w:rsidRPr="0059184B">
        <w:rPr>
          <w:rFonts w:ascii="Cambria Math" w:hAnsi="Cambria Math" w:cs="Cambria Math"/>
        </w:rPr>
        <w:t>△</w:t>
      </w:r>
      <w:proofErr w:type="spellStart"/>
      <w:r w:rsidRPr="0059184B">
        <w:rPr>
          <w:rFonts w:ascii="Times New Roman" w:hAnsi="Times New Roman" w:cs="Times New Roman"/>
        </w:rPr>
        <w:t>CoVaR</w:t>
      </w:r>
      <w:proofErr w:type="spellEnd"/>
      <w:r w:rsidRPr="0059184B">
        <w:rPr>
          <w:rFonts w:ascii="Times New Roman" w:hAnsi="Times New Roman" w:cs="Times New Roman"/>
        </w:rPr>
        <w:t xml:space="preserve"> of -2.8 percent, marginal expected shortfall (MES) of -3.5 percent and a beta of 0.8</w:t>
      </w:r>
      <w:r w:rsidR="007143FF" w:rsidRPr="0059184B">
        <w:rPr>
          <w:rFonts w:ascii="Times New Roman" w:hAnsi="Times New Roman" w:cs="Times New Roman"/>
        </w:rPr>
        <w:t xml:space="preserve"> </w:t>
      </w:r>
      <w:r w:rsidRPr="0059184B">
        <w:rPr>
          <w:rFonts w:ascii="Times New Roman" w:hAnsi="Times New Roman" w:cs="Times New Roman"/>
        </w:rPr>
        <w:t xml:space="preserve"> </w:t>
      </w:r>
      <w:r w:rsidR="007143FF" w:rsidRPr="0059184B">
        <w:rPr>
          <w:rFonts w:ascii="Times New Roman" w:hAnsi="Times New Roman" w:cs="Times New Roman"/>
        </w:rPr>
        <w:t xml:space="preserve"> </w:t>
      </w:r>
      <w:r w:rsidRPr="0059184B">
        <w:rPr>
          <w:rFonts w:ascii="Times New Roman" w:hAnsi="Times New Roman" w:cs="Times New Roman"/>
        </w:rPr>
        <w:t xml:space="preserve">(benchmarked against </w:t>
      </w:r>
      <w:r w:rsidR="009B75E5" w:rsidRPr="0059184B">
        <w:rPr>
          <w:rFonts w:ascii="Times New Roman" w:hAnsi="Times New Roman" w:cs="Times New Roman"/>
        </w:rPr>
        <w:t>S&amp;P Banks Selected Industry Index</w:t>
      </w:r>
      <w:r w:rsidRPr="0059184B">
        <w:rPr>
          <w:rFonts w:ascii="Times New Roman" w:hAnsi="Times New Roman" w:cs="Times New Roman"/>
        </w:rPr>
        <w:t xml:space="preserve">). </w:t>
      </w:r>
      <w:r w:rsidRPr="0059184B">
        <w:rPr>
          <w:rFonts w:ascii="Cambria Math" w:hAnsi="Cambria Math" w:cs="Cambria Math"/>
        </w:rPr>
        <w:t>△</w:t>
      </w:r>
      <w:proofErr w:type="spellStart"/>
      <w:r w:rsidRPr="0059184B">
        <w:rPr>
          <w:rFonts w:ascii="Times New Roman" w:hAnsi="Times New Roman" w:cs="Times New Roman"/>
        </w:rPr>
        <w:t>CoVaR</w:t>
      </w:r>
      <w:proofErr w:type="spellEnd"/>
      <w:r w:rsidRPr="0059184B">
        <w:rPr>
          <w:rFonts w:ascii="Times New Roman" w:hAnsi="Times New Roman" w:cs="Times New Roman"/>
        </w:rPr>
        <w:t xml:space="preserve"> varies between -19.4 and 7.3 percent while MES spread over a wider range between -26.3 percent and </w:t>
      </w:r>
      <w:r w:rsidR="007143FF" w:rsidRPr="0059184B">
        <w:rPr>
          <w:rFonts w:ascii="Times New Roman" w:hAnsi="Times New Roman" w:cs="Times New Roman"/>
        </w:rPr>
        <w:t>16.3</w:t>
      </w:r>
      <w:r w:rsidRPr="0059184B">
        <w:rPr>
          <w:rFonts w:ascii="Times New Roman" w:hAnsi="Times New Roman" w:cs="Times New Roman"/>
        </w:rPr>
        <w:t xml:space="preserve"> percent. </w:t>
      </w:r>
    </w:p>
    <w:p w:rsidR="007C3B5B" w:rsidRPr="0059184B" w:rsidRDefault="007C3B5B" w:rsidP="007C3B5B">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lastRenderedPageBreak/>
        <w:t xml:space="preserve">In terms of bank’s risk and bank performance, a typical bank, on average, has a Z-score of 3.5, 95% </w:t>
      </w:r>
      <w:proofErr w:type="spellStart"/>
      <w:r w:rsidRPr="0059184B">
        <w:rPr>
          <w:rFonts w:ascii="Times New Roman" w:hAnsi="Times New Roman" w:cs="Times New Roman"/>
        </w:rPr>
        <w:t>VaR</w:t>
      </w:r>
      <w:proofErr w:type="spellEnd"/>
      <w:r w:rsidRPr="0059184B">
        <w:rPr>
          <w:rFonts w:ascii="Times New Roman" w:hAnsi="Times New Roman" w:cs="Times New Roman"/>
        </w:rPr>
        <w:t xml:space="preserve"> of -7.</w:t>
      </w:r>
      <w:r w:rsidR="0030136B" w:rsidRPr="0059184B">
        <w:rPr>
          <w:rFonts w:ascii="Times New Roman" w:hAnsi="Times New Roman" w:cs="Times New Roman"/>
        </w:rPr>
        <w:t xml:space="preserve">92 </w:t>
      </w:r>
      <w:r w:rsidRPr="0059184B">
        <w:rPr>
          <w:rFonts w:ascii="Times New Roman" w:hAnsi="Times New Roman" w:cs="Times New Roman"/>
        </w:rPr>
        <w:t>percent, equity return volatility of 2.74 percent, return on assets of 0.</w:t>
      </w:r>
      <w:r w:rsidR="0030136B" w:rsidRPr="0059184B">
        <w:rPr>
          <w:rFonts w:ascii="Times New Roman" w:hAnsi="Times New Roman" w:cs="Times New Roman"/>
        </w:rPr>
        <w:t xml:space="preserve">7 </w:t>
      </w:r>
      <w:r w:rsidRPr="0059184B">
        <w:rPr>
          <w:rFonts w:ascii="Times New Roman" w:hAnsi="Times New Roman" w:cs="Times New Roman"/>
        </w:rPr>
        <w:t>percent and Tobin Q of 23. These measures also vary widely. For example, Z score ranges between -</w:t>
      </w:r>
      <w:r w:rsidR="0030136B" w:rsidRPr="0059184B">
        <w:rPr>
          <w:rFonts w:ascii="Times New Roman" w:hAnsi="Times New Roman" w:cs="Times New Roman"/>
        </w:rPr>
        <w:t>0.86</w:t>
      </w:r>
      <w:r w:rsidRPr="0059184B">
        <w:rPr>
          <w:rFonts w:ascii="Times New Roman" w:hAnsi="Times New Roman" w:cs="Times New Roman"/>
        </w:rPr>
        <w:t xml:space="preserve"> and 32.6, </w:t>
      </w:r>
      <w:proofErr w:type="spellStart"/>
      <w:r w:rsidRPr="0059184B">
        <w:rPr>
          <w:rFonts w:ascii="Times New Roman" w:hAnsi="Times New Roman" w:cs="Times New Roman"/>
          <w:i/>
        </w:rPr>
        <w:t>VaR</w:t>
      </w:r>
      <w:proofErr w:type="spellEnd"/>
      <w:r w:rsidRPr="0059184B">
        <w:rPr>
          <w:rFonts w:ascii="Times New Roman" w:hAnsi="Times New Roman" w:cs="Times New Roman"/>
        </w:rPr>
        <w:t xml:space="preserve"> varies between -42.5 and -0.</w:t>
      </w:r>
      <w:r w:rsidR="009975D9" w:rsidRPr="0059184B">
        <w:rPr>
          <w:rFonts w:ascii="Times New Roman" w:hAnsi="Times New Roman" w:cs="Times New Roman"/>
        </w:rPr>
        <w:t xml:space="preserve">9 </w:t>
      </w:r>
      <w:r w:rsidRPr="0059184B">
        <w:rPr>
          <w:rFonts w:ascii="Times New Roman" w:hAnsi="Times New Roman" w:cs="Times New Roman"/>
        </w:rPr>
        <w:t xml:space="preserve">percent, and Tobin Q spread over a larger range between 3.7 and </w:t>
      </w:r>
      <w:r w:rsidR="009975D9" w:rsidRPr="0059184B">
        <w:rPr>
          <w:rFonts w:ascii="Times New Roman" w:hAnsi="Times New Roman" w:cs="Times New Roman"/>
        </w:rPr>
        <w:t>62.5</w:t>
      </w:r>
      <w:r w:rsidRPr="0059184B">
        <w:rPr>
          <w:rFonts w:ascii="Times New Roman" w:hAnsi="Times New Roman" w:cs="Times New Roman"/>
        </w:rPr>
        <w:t xml:space="preserve">. In an </w:t>
      </w:r>
      <w:proofErr w:type="spellStart"/>
      <w:r w:rsidRPr="0059184B">
        <w:rPr>
          <w:rFonts w:ascii="Times New Roman" w:hAnsi="Times New Roman" w:cs="Times New Roman"/>
        </w:rPr>
        <w:t>untabulated</w:t>
      </w:r>
      <w:proofErr w:type="spellEnd"/>
      <w:r w:rsidRPr="0059184B">
        <w:rPr>
          <w:rFonts w:ascii="Times New Roman" w:hAnsi="Times New Roman" w:cs="Times New Roman"/>
        </w:rPr>
        <w:t xml:space="preserve"> analysis, we find that the means and medians of </w:t>
      </w:r>
      <w:r w:rsidR="000D55D8" w:rsidRPr="0059184B">
        <w:rPr>
          <w:rFonts w:ascii="Times New Roman" w:hAnsi="Times New Roman" w:cs="Times New Roman"/>
        </w:rPr>
        <w:t xml:space="preserve">all </w:t>
      </w:r>
      <w:r w:rsidRPr="0059184B">
        <w:rPr>
          <w:rFonts w:ascii="Times New Roman" w:hAnsi="Times New Roman" w:cs="Times New Roman"/>
        </w:rPr>
        <w:t xml:space="preserve">dependent variables in Panel A, except </w:t>
      </w:r>
      <w:r w:rsidRPr="0059184B">
        <w:rPr>
          <w:rFonts w:ascii="Times New Roman" w:hAnsi="Times New Roman" w:cs="Times New Roman"/>
          <w:i/>
        </w:rPr>
        <w:t>Net interest rate margin,</w:t>
      </w:r>
      <w:r w:rsidRPr="0059184B">
        <w:rPr>
          <w:rFonts w:ascii="Times New Roman" w:hAnsi="Times New Roman" w:cs="Times New Roman"/>
        </w:rPr>
        <w:t xml:space="preserve"> are statistically different for the two sub-periods: prior to and after the signing of the DFA. </w:t>
      </w:r>
    </w:p>
    <w:p w:rsidR="007C3B5B" w:rsidRPr="0059184B" w:rsidRDefault="007C3B5B" w:rsidP="007C3B5B">
      <w:pPr>
        <w:pStyle w:val="a3"/>
        <w:shd w:val="clear" w:color="auto" w:fill="FFFFFF"/>
        <w:spacing w:before="120" w:beforeAutospacing="0" w:after="120" w:afterAutospacing="0" w:line="360" w:lineRule="auto"/>
        <w:jc w:val="both"/>
        <w:rPr>
          <w:rFonts w:ascii="Times New Roman" w:hAnsi="Times New Roman" w:cs="Times New Roman"/>
        </w:rPr>
      </w:pPr>
      <w:r w:rsidRPr="0059184B">
        <w:rPr>
          <w:rFonts w:ascii="Times New Roman" w:hAnsi="Times New Roman" w:cs="Times New Roman"/>
        </w:rPr>
        <w:t xml:space="preserve">As shown in Panel B of Table 1, on average, a bank has USD </w:t>
      </w:r>
      <w:r w:rsidR="009A2124" w:rsidRPr="0059184B">
        <w:rPr>
          <w:rFonts w:ascii="Times New Roman" w:hAnsi="Times New Roman" w:cs="Times New Roman"/>
        </w:rPr>
        <w:t>58</w:t>
      </w:r>
      <w:r w:rsidR="009975D9" w:rsidRPr="0059184B">
        <w:rPr>
          <w:rFonts w:ascii="Times New Roman" w:hAnsi="Times New Roman" w:cs="Times New Roman"/>
        </w:rPr>
        <w:t>.9</w:t>
      </w:r>
      <w:r w:rsidRPr="0059184B">
        <w:rPr>
          <w:rFonts w:ascii="Times New Roman" w:hAnsi="Times New Roman" w:cs="Times New Roman"/>
        </w:rPr>
        <w:t xml:space="preserve"> billion in assets, a tier 1 risk capital ratio of 9.</w:t>
      </w:r>
      <w:r w:rsidR="009975D9" w:rsidRPr="0059184B">
        <w:rPr>
          <w:rFonts w:ascii="Times New Roman" w:hAnsi="Times New Roman" w:cs="Times New Roman"/>
        </w:rPr>
        <w:t xml:space="preserve">24 </w:t>
      </w:r>
      <w:r w:rsidRPr="0059184B">
        <w:rPr>
          <w:rFonts w:ascii="Times New Roman" w:hAnsi="Times New Roman" w:cs="Times New Roman"/>
        </w:rPr>
        <w:t>percent and loan loss provision of 19.</w:t>
      </w:r>
      <w:r w:rsidR="009975D9" w:rsidRPr="0059184B">
        <w:rPr>
          <w:rFonts w:ascii="Times New Roman" w:hAnsi="Times New Roman" w:cs="Times New Roman"/>
        </w:rPr>
        <w:t xml:space="preserve">4 </w:t>
      </w:r>
      <w:r w:rsidRPr="0059184B">
        <w:rPr>
          <w:rFonts w:ascii="Times New Roman" w:hAnsi="Times New Roman" w:cs="Times New Roman"/>
        </w:rPr>
        <w:t>percent.</w:t>
      </w:r>
      <w:r w:rsidR="0060279E" w:rsidRPr="0059184B">
        <w:rPr>
          <w:rFonts w:ascii="Times New Roman" w:hAnsi="Times New Roman" w:cs="Times New Roman"/>
        </w:rPr>
        <w:t xml:space="preserve"> The average loan to depository institutions is </w:t>
      </w:r>
      <w:r w:rsidR="0088571B" w:rsidRPr="0059184B">
        <w:rPr>
          <w:rFonts w:ascii="Times New Roman" w:hAnsi="Times New Roman" w:cs="Times New Roman"/>
        </w:rPr>
        <w:t>USD</w:t>
      </w:r>
      <w:r w:rsidR="009975D9" w:rsidRPr="0059184B">
        <w:rPr>
          <w:rFonts w:ascii="Times New Roman" w:hAnsi="Times New Roman" w:cs="Times New Roman"/>
        </w:rPr>
        <w:t xml:space="preserve"> 349.3 </w:t>
      </w:r>
      <w:r w:rsidR="0088571B" w:rsidRPr="0059184B">
        <w:rPr>
          <w:rFonts w:ascii="Times New Roman" w:hAnsi="Times New Roman" w:cs="Times New Roman"/>
        </w:rPr>
        <w:t>million</w:t>
      </w:r>
      <w:r w:rsidR="0060279E" w:rsidRPr="0059184B">
        <w:rPr>
          <w:rFonts w:ascii="Times New Roman" w:hAnsi="Times New Roman" w:cs="Times New Roman"/>
        </w:rPr>
        <w:t xml:space="preserve"> and the average Balance due from depository institutions is</w:t>
      </w:r>
      <w:r w:rsidR="0088571B" w:rsidRPr="0059184B">
        <w:rPr>
          <w:rFonts w:ascii="Times New Roman" w:hAnsi="Times New Roman" w:cs="Times New Roman"/>
        </w:rPr>
        <w:t xml:space="preserve"> USD</w:t>
      </w:r>
      <w:r w:rsidR="009975D9" w:rsidRPr="0059184B">
        <w:rPr>
          <w:rFonts w:ascii="Times New Roman" w:hAnsi="Times New Roman" w:cs="Times New Roman"/>
        </w:rPr>
        <w:t xml:space="preserve"> </w:t>
      </w:r>
      <w:r w:rsidR="0060279E" w:rsidRPr="0059184B">
        <w:rPr>
          <w:rFonts w:ascii="Times New Roman" w:hAnsi="Times New Roman" w:cs="Times New Roman"/>
        </w:rPr>
        <w:t>6</w:t>
      </w:r>
      <w:r w:rsidR="009975D9" w:rsidRPr="0059184B">
        <w:rPr>
          <w:rFonts w:ascii="Times New Roman" w:hAnsi="Times New Roman" w:cs="Times New Roman"/>
        </w:rPr>
        <w:t>.3</w:t>
      </w:r>
      <w:r w:rsidR="0060279E" w:rsidRPr="0059184B">
        <w:rPr>
          <w:rFonts w:ascii="Times New Roman" w:hAnsi="Times New Roman" w:cs="Times New Roman"/>
        </w:rPr>
        <w:t xml:space="preserve"> </w:t>
      </w:r>
      <w:r w:rsidR="0088571B" w:rsidRPr="0059184B">
        <w:rPr>
          <w:rFonts w:ascii="Times New Roman" w:hAnsi="Times New Roman" w:cs="Times New Roman"/>
        </w:rPr>
        <w:t>million.</w:t>
      </w:r>
    </w:p>
    <w:p w:rsidR="007C3B5B" w:rsidRPr="0059184B" w:rsidRDefault="007C3B5B" w:rsidP="007C3B5B">
      <w:pPr>
        <w:pStyle w:val="a3"/>
        <w:shd w:val="clear" w:color="auto" w:fill="FFFFFF"/>
        <w:spacing w:before="120" w:beforeAutospacing="0" w:after="120" w:afterAutospacing="0" w:line="360" w:lineRule="auto"/>
        <w:jc w:val="both"/>
        <w:rPr>
          <w:rFonts w:ascii="Times New Roman" w:hAnsi="Times New Roman" w:cs="Times New Roman"/>
          <w:b/>
        </w:rPr>
      </w:pPr>
      <w:r w:rsidRPr="0059184B">
        <w:rPr>
          <w:rFonts w:ascii="Times New Roman" w:hAnsi="Times New Roman" w:cs="Times New Roman"/>
        </w:rPr>
        <w:t xml:space="preserve">The average interest rate derivative holdings for hedging and for trading (scaled by bank’s assets) are </w:t>
      </w:r>
      <w:r w:rsidR="009975D9" w:rsidRPr="0059184B">
        <w:rPr>
          <w:rFonts w:ascii="Times New Roman" w:hAnsi="Times New Roman" w:cs="Times New Roman"/>
        </w:rPr>
        <w:t xml:space="preserve">4.6 </w:t>
      </w:r>
      <w:r w:rsidRPr="0059184B">
        <w:rPr>
          <w:rFonts w:ascii="Times New Roman" w:hAnsi="Times New Roman" w:cs="Times New Roman"/>
        </w:rPr>
        <w:t xml:space="preserve">percent and </w:t>
      </w:r>
      <w:r w:rsidR="009975D9" w:rsidRPr="0059184B">
        <w:rPr>
          <w:rFonts w:ascii="Times New Roman" w:hAnsi="Times New Roman" w:cs="Times New Roman"/>
        </w:rPr>
        <w:t>48</w:t>
      </w:r>
      <w:r w:rsidRPr="0059184B">
        <w:rPr>
          <w:rFonts w:ascii="Times New Roman" w:hAnsi="Times New Roman" w:cs="Times New Roman"/>
        </w:rPr>
        <w:t xml:space="preserve"> percent. Derivatives held for trading varies markedly between 0 and </w:t>
      </w:r>
      <w:r w:rsidR="009975D9" w:rsidRPr="0059184B">
        <w:rPr>
          <w:rFonts w:ascii="Times New Roman" w:hAnsi="Times New Roman" w:cs="Times New Roman"/>
        </w:rPr>
        <w:t>51.2</w:t>
      </w:r>
      <w:r w:rsidRPr="0059184B">
        <w:rPr>
          <w:rFonts w:ascii="Times New Roman" w:hAnsi="Times New Roman" w:cs="Times New Roman"/>
        </w:rPr>
        <w:t xml:space="preserve"> percent while net credit derivatives spread between -6.4 and </w:t>
      </w:r>
      <w:r w:rsidR="009975D9" w:rsidRPr="0059184B">
        <w:rPr>
          <w:rFonts w:ascii="Times New Roman" w:hAnsi="Times New Roman" w:cs="Times New Roman"/>
        </w:rPr>
        <w:t>12.2</w:t>
      </w:r>
      <w:r w:rsidRPr="0059184B">
        <w:rPr>
          <w:rFonts w:ascii="Times New Roman" w:hAnsi="Times New Roman" w:cs="Times New Roman"/>
        </w:rPr>
        <w:t xml:space="preserve"> percent. In an </w:t>
      </w:r>
      <w:proofErr w:type="spellStart"/>
      <w:r w:rsidRPr="0059184B">
        <w:rPr>
          <w:rFonts w:ascii="Times New Roman" w:hAnsi="Times New Roman" w:cs="Times New Roman"/>
        </w:rPr>
        <w:t>untabulated</w:t>
      </w:r>
      <w:proofErr w:type="spellEnd"/>
      <w:r w:rsidRPr="0059184B">
        <w:rPr>
          <w:rFonts w:ascii="Times New Roman" w:hAnsi="Times New Roman" w:cs="Times New Roman"/>
        </w:rPr>
        <w:t xml:space="preserve"> analysis, we document that the mean and median derivatives held for trading, the median derivatives held for hedging, and the mean credit derivatives are statistically different for the two sub-periods: prior to and after the signing of the DFA. </w:t>
      </w:r>
    </w:p>
    <w:p w:rsidR="007C3B5B" w:rsidRPr="0059184B" w:rsidRDefault="007C3B5B" w:rsidP="00C61C16">
      <w:pPr>
        <w:pStyle w:val="2"/>
        <w:rPr>
          <w:rFonts w:ascii="Times New Roman" w:hAnsi="Times New Roman" w:cs="Times New Roman"/>
          <w:sz w:val="24"/>
          <w:szCs w:val="24"/>
        </w:rPr>
      </w:pPr>
      <w:r w:rsidRPr="0059184B">
        <w:br w:type="column"/>
      </w:r>
      <w:r w:rsidRPr="0059184B">
        <w:rPr>
          <w:rFonts w:ascii="Times New Roman" w:hAnsi="Times New Roman" w:cs="Times New Roman"/>
          <w:sz w:val="24"/>
          <w:szCs w:val="24"/>
        </w:rPr>
        <w:lastRenderedPageBreak/>
        <w:t>5. Results</w:t>
      </w:r>
    </w:p>
    <w:p w:rsidR="007C3B5B" w:rsidRPr="0059184B" w:rsidRDefault="00C61C16" w:rsidP="00C61C16">
      <w:pPr>
        <w:pStyle w:val="3"/>
        <w:rPr>
          <w:rFonts w:ascii="Times New Roman" w:hAnsi="Times New Roman" w:cs="Times New Roman"/>
          <w:sz w:val="24"/>
          <w:szCs w:val="24"/>
        </w:rPr>
      </w:pPr>
      <w:r w:rsidRPr="0059184B">
        <w:rPr>
          <w:rFonts w:ascii="Times New Roman" w:hAnsi="Times New Roman" w:cs="Times New Roman"/>
          <w:sz w:val="24"/>
          <w:szCs w:val="24"/>
        </w:rPr>
        <w:t xml:space="preserve">5.1. </w:t>
      </w:r>
      <w:r w:rsidR="007C3B5B" w:rsidRPr="0059184B">
        <w:rPr>
          <w:rFonts w:ascii="Times New Roman" w:hAnsi="Times New Roman" w:cs="Times New Roman"/>
          <w:sz w:val="24"/>
          <w:szCs w:val="24"/>
        </w:rPr>
        <w:t>Derivatives, DFA, and systemic risk</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eastAsia="宋体" w:hAnsi="Times New Roman" w:cs="Times New Roman"/>
          <w:sz w:val="24"/>
          <w:szCs w:val="24"/>
        </w:rPr>
        <w:t>We investigate (H1), (H1a), and (H1b) with three measures of systemic risk: (1</w:t>
      </w:r>
      <w:proofErr w:type="gramStart"/>
      <w:r w:rsidRPr="0059184B">
        <w:rPr>
          <w:rFonts w:ascii="Times New Roman" w:eastAsia="宋体" w:hAnsi="Times New Roman" w:cs="Times New Roman"/>
          <w:sz w:val="24"/>
          <w:szCs w:val="24"/>
        </w:rPr>
        <w:t>)</w:t>
      </w:r>
      <w:r w:rsidRPr="0059184B">
        <w:rPr>
          <w:rFonts w:ascii="Cambria Math" w:eastAsia="宋体" w:hAnsi="Cambria Math" w:cs="Cambria Math"/>
          <w:i/>
          <w:sz w:val="24"/>
          <w:szCs w:val="24"/>
        </w:rPr>
        <w:t>△</w:t>
      </w:r>
      <w:proofErr w:type="spellStart"/>
      <w:proofErr w:type="gramEnd"/>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(2) </w:t>
      </w:r>
      <w:r w:rsidRPr="0059184B">
        <w:rPr>
          <w:rFonts w:ascii="Times New Roman" w:eastAsia="宋体" w:hAnsi="Times New Roman" w:cs="Times New Roman"/>
          <w:i/>
          <w:sz w:val="24"/>
          <w:szCs w:val="24"/>
        </w:rPr>
        <w:t xml:space="preserve">Marginal Expected Shortfall </w:t>
      </w:r>
      <w:r w:rsidRPr="0059184B">
        <w:rPr>
          <w:rFonts w:ascii="Times New Roman" w:eastAsia="宋体" w:hAnsi="Times New Roman" w:cs="Times New Roman"/>
          <w:sz w:val="24"/>
          <w:szCs w:val="24"/>
        </w:rPr>
        <w:t>(</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and (3)</w:t>
      </w:r>
      <w:r w:rsidRPr="0059184B">
        <w:rPr>
          <w:rFonts w:ascii="Times New Roman" w:eastAsia="宋体" w:hAnsi="Times New Roman" w:cs="Times New Roman"/>
          <w:i/>
          <w:sz w:val="24"/>
          <w:szCs w:val="24"/>
        </w:rPr>
        <w:t xml:space="preserve"> industry beta.</w:t>
      </w:r>
      <w:r w:rsidRPr="0059184B">
        <w:rPr>
          <w:rFonts w:ascii="Times New Roman" w:eastAsia="宋体" w:hAnsi="Times New Roman" w:cs="Times New Roman"/>
          <w:sz w:val="24"/>
          <w:szCs w:val="24"/>
        </w:rPr>
        <w:t xml:space="preserve">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is the difference between the financial system’s </w:t>
      </w:r>
      <w:proofErr w:type="spellStart"/>
      <w:r w:rsidRPr="0059184B">
        <w:rPr>
          <w:rFonts w:ascii="Times New Roman" w:eastAsia="宋体" w:hAnsi="Times New Roman" w:cs="Times New Roman"/>
          <w:i/>
          <w:sz w:val="24"/>
          <w:szCs w:val="24"/>
        </w:rPr>
        <w:t>VaR</w:t>
      </w:r>
      <w:proofErr w:type="spellEnd"/>
      <w:r w:rsidRPr="0059184B">
        <w:rPr>
          <w:rFonts w:ascii="Times New Roman" w:eastAsia="宋体" w:hAnsi="Times New Roman" w:cs="Times New Roman"/>
          <w:i/>
          <w:sz w:val="24"/>
          <w:szCs w:val="24"/>
        </w:rPr>
        <w:t xml:space="preserve"> </w:t>
      </w:r>
      <w:r w:rsidRPr="0059184B">
        <w:rPr>
          <w:rFonts w:ascii="Times New Roman" w:eastAsia="宋体" w:hAnsi="Times New Roman" w:cs="Times New Roman"/>
          <w:sz w:val="24"/>
          <w:szCs w:val="24"/>
        </w:rPr>
        <w:t xml:space="preserve">conditional on bank </w:t>
      </w:r>
      <w:proofErr w:type="gramStart"/>
      <w:r w:rsidRPr="0059184B">
        <w:rPr>
          <w:rFonts w:ascii="Times New Roman" w:eastAsia="宋体" w:hAnsi="Times New Roman" w:cs="Times New Roman"/>
          <w:i/>
          <w:sz w:val="24"/>
          <w:szCs w:val="24"/>
        </w:rPr>
        <w:t>i’</w:t>
      </w:r>
      <w:r w:rsidRPr="0059184B">
        <w:rPr>
          <w:rFonts w:ascii="Times New Roman" w:eastAsia="宋体" w:hAnsi="Times New Roman" w:cs="Times New Roman"/>
          <w:sz w:val="24"/>
          <w:szCs w:val="24"/>
        </w:rPr>
        <w:t>s</w:t>
      </w:r>
      <w:proofErr w:type="gramEnd"/>
      <w:r w:rsidRPr="0059184B">
        <w:rPr>
          <w:rFonts w:ascii="Times New Roman" w:eastAsia="宋体" w:hAnsi="Times New Roman" w:cs="Times New Roman"/>
          <w:sz w:val="24"/>
          <w:szCs w:val="24"/>
        </w:rPr>
        <w:t xml:space="preserve"> being in distress and the financial system’s </w:t>
      </w:r>
      <w:proofErr w:type="spellStart"/>
      <w:r w:rsidRPr="0059184B">
        <w:rPr>
          <w:rFonts w:ascii="Times New Roman" w:eastAsia="宋体" w:hAnsi="Times New Roman" w:cs="Times New Roman"/>
          <w:i/>
          <w:sz w:val="24"/>
          <w:szCs w:val="24"/>
        </w:rPr>
        <w:t>VaR</w:t>
      </w:r>
      <w:proofErr w:type="spellEnd"/>
      <w:r w:rsidRPr="0059184B">
        <w:rPr>
          <w:rFonts w:ascii="Times New Roman" w:eastAsia="宋体" w:hAnsi="Times New Roman" w:cs="Times New Roman"/>
          <w:sz w:val="24"/>
          <w:szCs w:val="24"/>
        </w:rPr>
        <w:t xml:space="preserve"> in the median state of bank </w:t>
      </w:r>
      <w:proofErr w:type="spellStart"/>
      <w:r w:rsidRPr="0059184B">
        <w:rPr>
          <w:rFonts w:ascii="Times New Roman" w:eastAsia="宋体" w:hAnsi="Times New Roman" w:cs="Times New Roman"/>
          <w:i/>
          <w:sz w:val="24"/>
          <w:szCs w:val="24"/>
        </w:rPr>
        <w:t>i</w:t>
      </w:r>
      <w:proofErr w:type="spellEnd"/>
      <w:r w:rsidRPr="0059184B">
        <w:rPr>
          <w:rFonts w:ascii="Times New Roman" w:eastAsia="宋体" w:hAnsi="Times New Roman" w:cs="Times New Roman"/>
          <w:i/>
          <w:sz w:val="24"/>
          <w:szCs w:val="24"/>
        </w:rPr>
        <w:t xml:space="preserve">. </w:t>
      </w:r>
      <w:r w:rsidRPr="0059184B">
        <w:rPr>
          <w:rFonts w:ascii="Times New Roman" w:eastAsia="宋体" w:hAnsi="Times New Roman" w:cs="Times New Roman"/>
          <w:sz w:val="24"/>
          <w:szCs w:val="24"/>
        </w:rPr>
        <w:t>Bank</w:t>
      </w:r>
      <w:r w:rsidRPr="0059184B">
        <w:rPr>
          <w:rFonts w:ascii="Times New Roman" w:eastAsia="宋体" w:hAnsi="Times New Roman" w:cs="Times New Roman"/>
          <w:i/>
          <w:sz w:val="24"/>
          <w:szCs w:val="24"/>
        </w:rPr>
        <w:t xml:space="preserve"> i’</w:t>
      </w:r>
      <w:r w:rsidRPr="0059184B">
        <w:rPr>
          <w:rFonts w:ascii="Times New Roman" w:eastAsia="宋体" w:hAnsi="Times New Roman" w:cs="Times New Roman"/>
          <w:sz w:val="24"/>
          <w:szCs w:val="24"/>
        </w:rPr>
        <w:t xml:space="preserve">s </w:t>
      </w:r>
      <w:r w:rsidRPr="0059184B">
        <w:rPr>
          <w:rFonts w:ascii="Times New Roman" w:eastAsia="宋体" w:hAnsi="Times New Roman" w:cs="Times New Roman"/>
          <w:i/>
          <w:sz w:val="24"/>
          <w:szCs w:val="24"/>
        </w:rPr>
        <w:t xml:space="preserve">MES </w:t>
      </w:r>
      <w:r w:rsidRPr="0059184B">
        <w:rPr>
          <w:rFonts w:ascii="Times New Roman" w:eastAsia="宋体" w:hAnsi="Times New Roman" w:cs="Times New Roman"/>
          <w:sz w:val="24"/>
          <w:szCs w:val="24"/>
        </w:rPr>
        <w:t xml:space="preserve">is its mean return on days when the </w:t>
      </w:r>
      <w:r w:rsidRPr="0059184B">
        <w:rPr>
          <w:rFonts w:ascii="Times New Roman" w:hAnsi="Times New Roman" w:cs="Times New Roman"/>
          <w:sz w:val="24"/>
          <w:szCs w:val="24"/>
        </w:rPr>
        <w:t>S&amp;P Banks Selected Industry Index</w:t>
      </w:r>
      <w:r w:rsidRPr="0059184B">
        <w:rPr>
          <w:rFonts w:ascii="Times New Roman" w:eastAsia="宋体" w:hAnsi="Times New Roman" w:cs="Times New Roman"/>
          <w:sz w:val="24"/>
          <w:szCs w:val="24"/>
        </w:rPr>
        <w:t xml:space="preserve"> return reaches its lowest 5 percent level over a quarter period. Bank</w:t>
      </w:r>
      <w:r w:rsidRPr="0059184B">
        <w:rPr>
          <w:rFonts w:ascii="Times New Roman" w:eastAsia="宋体" w:hAnsi="Times New Roman" w:cs="Times New Roman"/>
          <w:i/>
          <w:sz w:val="24"/>
          <w:szCs w:val="24"/>
        </w:rPr>
        <w:t xml:space="preserve"> i’</w:t>
      </w:r>
      <w:r w:rsidRPr="0059184B">
        <w:rPr>
          <w:rFonts w:ascii="Times New Roman" w:eastAsia="宋体" w:hAnsi="Times New Roman" w:cs="Times New Roman"/>
          <w:sz w:val="24"/>
          <w:szCs w:val="24"/>
        </w:rPr>
        <w:t xml:space="preserve">s industry beta captures the sensitivity of its stock returns to the returns of the </w:t>
      </w:r>
      <w:r w:rsidRPr="0059184B">
        <w:rPr>
          <w:rFonts w:ascii="Times New Roman" w:hAnsi="Times New Roman" w:cs="Times New Roman"/>
          <w:sz w:val="24"/>
          <w:szCs w:val="24"/>
        </w:rPr>
        <w:t xml:space="preserve">S&amp;P Banks Selected Industry </w:t>
      </w:r>
      <w:r w:rsidRPr="0059184B">
        <w:rPr>
          <w:rFonts w:ascii="Times New Roman" w:hAnsi="Times New Roman" w:cs="Times New Roman"/>
        </w:rPr>
        <w:t>Index</w:t>
      </w:r>
      <w:r w:rsidRPr="0059184B">
        <w:rPr>
          <w:rFonts w:ascii="Times New Roman" w:eastAsia="宋体" w:hAnsi="Times New Roman" w:cs="Times New Roman"/>
          <w:sz w:val="24"/>
          <w:szCs w:val="24"/>
        </w:rPr>
        <w:t xml:space="preserve"> over a one-year period. Recall that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and </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xml:space="preserve"> have negative values on average (Panel </w:t>
      </w:r>
      <w:proofErr w:type="gramStart"/>
      <w:r w:rsidRPr="0059184B">
        <w:rPr>
          <w:rFonts w:ascii="Times New Roman" w:eastAsia="宋体" w:hAnsi="Times New Roman" w:cs="Times New Roman"/>
          <w:sz w:val="24"/>
          <w:szCs w:val="24"/>
        </w:rPr>
        <w:t>A</w:t>
      </w:r>
      <w:proofErr w:type="gramEnd"/>
      <w:r w:rsidRPr="0059184B">
        <w:rPr>
          <w:rFonts w:ascii="Times New Roman" w:eastAsia="宋体" w:hAnsi="Times New Roman" w:cs="Times New Roman"/>
          <w:sz w:val="24"/>
          <w:szCs w:val="24"/>
        </w:rPr>
        <w:t xml:space="preserve"> Table 1). A lower negative value of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and </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xml:space="preserve"> and a higher </w:t>
      </w:r>
      <w:r w:rsidRPr="0059184B">
        <w:rPr>
          <w:rFonts w:ascii="Times New Roman" w:eastAsia="宋体" w:hAnsi="Times New Roman" w:cs="Times New Roman"/>
          <w:i/>
          <w:sz w:val="24"/>
          <w:szCs w:val="24"/>
        </w:rPr>
        <w:t>industry beta</w:t>
      </w:r>
      <w:r w:rsidRPr="0059184B">
        <w:rPr>
          <w:rFonts w:ascii="Times New Roman" w:eastAsia="宋体" w:hAnsi="Times New Roman" w:cs="Times New Roman"/>
          <w:sz w:val="24"/>
          <w:szCs w:val="24"/>
        </w:rPr>
        <w:t xml:space="preserve"> indicate a higher marginal contribution by bank </w:t>
      </w:r>
      <w:proofErr w:type="spellStart"/>
      <w:r w:rsidRPr="0059184B">
        <w:rPr>
          <w:rFonts w:ascii="Times New Roman" w:eastAsia="宋体" w:hAnsi="Times New Roman" w:cs="Times New Roman"/>
          <w:i/>
          <w:sz w:val="24"/>
          <w:szCs w:val="24"/>
        </w:rPr>
        <w:t>i</w:t>
      </w:r>
      <w:proofErr w:type="spellEnd"/>
      <w:r w:rsidRPr="0059184B">
        <w:rPr>
          <w:rFonts w:ascii="Times New Roman" w:eastAsia="宋体" w:hAnsi="Times New Roman" w:cs="Times New Roman"/>
          <w:sz w:val="24"/>
          <w:szCs w:val="24"/>
        </w:rPr>
        <w:t xml:space="preserve"> to systemic risk.</w:t>
      </w: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eastAsia="宋体" w:hAnsi="Times New Roman" w:cs="Times New Roman"/>
          <w:sz w:val="24"/>
          <w:szCs w:val="24"/>
        </w:rPr>
        <w:t>Table 2 and Table 3 report the systemic regression results for Equation (4). Bank-quarter observations have both a time series and a cross-sectional dimension. We estimate Equation (4) as a panel regression with firm and time fixed effects. We control for clustering in standard errors at the bank level. In each regression in Table 2, t</w:t>
      </w:r>
      <w:r w:rsidRPr="0059184B">
        <w:rPr>
          <w:rFonts w:ascii="Times New Roman" w:hAnsi="Times New Roman" w:cs="Times New Roman"/>
          <w:sz w:val="24"/>
          <w:szCs w:val="24"/>
        </w:rPr>
        <w:t xml:space="preserve">hree measures of derivatives </w:t>
      </w:r>
      <w:proofErr w:type="spellStart"/>
      <w:r w:rsidRPr="0059184B">
        <w:rPr>
          <w:rFonts w:ascii="Times New Roman" w:hAnsi="Times New Roman" w:cs="Times New Roman"/>
          <w:sz w:val="24"/>
          <w:szCs w:val="24"/>
        </w:rPr>
        <w:t>catergorised</w:t>
      </w:r>
      <w:proofErr w:type="spellEnd"/>
      <w:r w:rsidRPr="0059184B">
        <w:rPr>
          <w:rFonts w:ascii="Times New Roman" w:hAnsi="Times New Roman" w:cs="Times New Roman"/>
          <w:sz w:val="24"/>
          <w:szCs w:val="24"/>
        </w:rPr>
        <w:t xml:space="preserve"> by holding purposes (then scaled by bank’s assets) are employed, while each regression in Table 3 reports regressions with measures of derivatives </w:t>
      </w:r>
      <w:proofErr w:type="spellStart"/>
      <w:r w:rsidRPr="0059184B">
        <w:rPr>
          <w:rFonts w:ascii="Times New Roman" w:hAnsi="Times New Roman" w:cs="Times New Roman"/>
          <w:sz w:val="24"/>
          <w:szCs w:val="24"/>
        </w:rPr>
        <w:t>catergorised</w:t>
      </w:r>
      <w:proofErr w:type="spellEnd"/>
      <w:r w:rsidRPr="0059184B">
        <w:rPr>
          <w:rFonts w:ascii="Times New Roman" w:hAnsi="Times New Roman" w:cs="Times New Roman"/>
          <w:sz w:val="24"/>
          <w:szCs w:val="24"/>
        </w:rPr>
        <w:t xml:space="preserve"> by trading approaches (then scaled by bank’s assets). In both Table 2 and Table 3, Columns (1), (2) and (3) respectively show the effects of derivative holdings, without considering the DFA, on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w:t>
      </w:r>
      <w:r w:rsidRPr="0059184B">
        <w:rPr>
          <w:rFonts w:ascii="Times New Roman" w:eastAsia="宋体" w:hAnsi="Times New Roman" w:cs="Times New Roman"/>
          <w:i/>
          <w:sz w:val="24"/>
          <w:szCs w:val="24"/>
        </w:rPr>
        <w:t xml:space="preserve"> MES</w:t>
      </w:r>
      <w:r w:rsidRPr="0059184B">
        <w:rPr>
          <w:rFonts w:ascii="Times New Roman" w:eastAsia="宋体" w:hAnsi="Times New Roman" w:cs="Times New Roman"/>
          <w:sz w:val="24"/>
          <w:szCs w:val="24"/>
        </w:rPr>
        <w:t xml:space="preserve"> and </w:t>
      </w:r>
      <w:r w:rsidRPr="0059184B">
        <w:rPr>
          <w:rFonts w:ascii="Times New Roman" w:eastAsia="宋体" w:hAnsi="Times New Roman" w:cs="Times New Roman"/>
          <w:i/>
          <w:sz w:val="24"/>
          <w:szCs w:val="24"/>
        </w:rPr>
        <w:t>industry beta</w:t>
      </w:r>
      <w:r w:rsidRPr="0059184B">
        <w:rPr>
          <w:rFonts w:ascii="Times New Roman" w:eastAsia="宋体" w:hAnsi="Times New Roman" w:cs="Times New Roman"/>
          <w:sz w:val="24"/>
          <w:szCs w:val="24"/>
        </w:rPr>
        <w:t xml:space="preserve">. </w:t>
      </w:r>
      <w:r w:rsidRPr="0059184B">
        <w:rPr>
          <w:rFonts w:ascii="Times New Roman" w:hAnsi="Times New Roman" w:cs="Times New Roman"/>
          <w:sz w:val="24"/>
          <w:szCs w:val="24"/>
        </w:rPr>
        <w:t xml:space="preserve">Columns (4), (5) and (6) respectively extend columns (1), (2) and (3); each features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and three interaction terms between derivative categories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w:t>
      </w: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eastAsia="宋体" w:hAnsi="Times New Roman" w:cs="Times New Roman"/>
          <w:sz w:val="24"/>
          <w:szCs w:val="24"/>
        </w:rPr>
        <w:t>TABLE 2 HERE</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As shown in Table 2, interest rate (IR) derivative holdings for hedging is significant in every estimated model. Its negative (positive) coefficients when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and </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xml:space="preserve"> (</w:t>
      </w:r>
      <w:r w:rsidRPr="0059184B">
        <w:rPr>
          <w:rFonts w:ascii="Times New Roman" w:eastAsia="宋体" w:hAnsi="Times New Roman" w:cs="Times New Roman"/>
          <w:i/>
          <w:sz w:val="24"/>
          <w:szCs w:val="24"/>
        </w:rPr>
        <w:t>industry beta</w:t>
      </w:r>
      <w:r w:rsidRPr="0059184B">
        <w:rPr>
          <w:rFonts w:ascii="Times New Roman" w:eastAsia="宋体" w:hAnsi="Times New Roman" w:cs="Times New Roman"/>
          <w:sz w:val="24"/>
          <w:szCs w:val="24"/>
        </w:rPr>
        <w:t>) were used to capture systemic risk indicate</w:t>
      </w:r>
      <w:r w:rsidRPr="0059184B">
        <w:rPr>
          <w:rFonts w:ascii="Times New Roman" w:hAnsi="Times New Roman" w:cs="Times New Roman"/>
          <w:sz w:val="24"/>
          <w:szCs w:val="24"/>
        </w:rPr>
        <w:t xml:space="preserve"> that its usage results in a larger contribution to systemic risk. This finding is consistent with hypothesis (H1). The magnitudes of its </w:t>
      </w:r>
      <w:r w:rsidRPr="0059184B">
        <w:rPr>
          <w:rFonts w:ascii="Times New Roman" w:hAnsi="Times New Roman" w:cs="Times New Roman"/>
          <w:sz w:val="24"/>
          <w:szCs w:val="24"/>
        </w:rPr>
        <w:lastRenderedPageBreak/>
        <w:t xml:space="preserve">coefficients are quite large in models (3) and (6) where systemic risk is </w:t>
      </w:r>
      <w:proofErr w:type="spellStart"/>
      <w:r w:rsidRPr="0059184B">
        <w:rPr>
          <w:rFonts w:ascii="Times New Roman" w:hAnsi="Times New Roman" w:cs="Times New Roman"/>
          <w:sz w:val="24"/>
          <w:szCs w:val="24"/>
        </w:rPr>
        <w:t>proxied</w:t>
      </w:r>
      <w:proofErr w:type="spellEnd"/>
      <w:r w:rsidRPr="0059184B">
        <w:rPr>
          <w:rFonts w:ascii="Times New Roman" w:hAnsi="Times New Roman" w:cs="Times New Roman"/>
          <w:sz w:val="24"/>
          <w:szCs w:val="24"/>
        </w:rPr>
        <w:t xml:space="preserve"> by </w:t>
      </w:r>
      <w:r w:rsidRPr="0059184B">
        <w:rPr>
          <w:rFonts w:ascii="Times New Roman" w:hAnsi="Times New Roman" w:cs="Times New Roman"/>
          <w:i/>
          <w:sz w:val="24"/>
          <w:szCs w:val="24"/>
        </w:rPr>
        <w:t>industry beta</w:t>
      </w:r>
      <w:r w:rsidRPr="0059184B">
        <w:rPr>
          <w:rFonts w:ascii="Times New Roman" w:hAnsi="Times New Roman" w:cs="Times New Roman"/>
          <w:sz w:val="24"/>
          <w:szCs w:val="24"/>
        </w:rPr>
        <w:t xml:space="preserve">. </w:t>
      </w: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is marginal significant when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is the dependent variable (model (1)) and is not significant when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added to the models. </w:t>
      </w:r>
      <w:r w:rsidRPr="0059184B">
        <w:rPr>
          <w:rFonts w:ascii="Times New Roman" w:eastAsia="宋体" w:hAnsi="Times New Roman" w:cs="Times New Roman"/>
          <w:sz w:val="24"/>
          <w:szCs w:val="24"/>
        </w:rPr>
        <w:t xml:space="preserve">Using </w:t>
      </w:r>
      <w:r w:rsidRPr="0059184B">
        <w:rPr>
          <w:rFonts w:ascii="Times New Roman" w:eastAsia="宋体" w:hAnsi="Times New Roman" w:cs="Times New Roman"/>
          <w:i/>
          <w:sz w:val="24"/>
          <w:szCs w:val="24"/>
        </w:rPr>
        <w:t>IR derivatives for trading</w:t>
      </w:r>
      <w:r w:rsidRPr="0059184B">
        <w:rPr>
          <w:rFonts w:ascii="Times New Roman" w:eastAsia="宋体" w:hAnsi="Times New Roman" w:cs="Times New Roman"/>
          <w:sz w:val="24"/>
          <w:szCs w:val="24"/>
        </w:rPr>
        <w:t xml:space="preserve"> also increases systemic risk but its effect is much smaller compared with the effect of </w:t>
      </w:r>
      <w:r w:rsidRPr="0059184B">
        <w:rPr>
          <w:rFonts w:ascii="Times New Roman" w:eastAsia="宋体" w:hAnsi="Times New Roman" w:cs="Times New Roman"/>
          <w:i/>
          <w:sz w:val="24"/>
          <w:szCs w:val="24"/>
        </w:rPr>
        <w:t>IR derivatives for hedging</w:t>
      </w:r>
      <w:r w:rsidRPr="0059184B">
        <w:rPr>
          <w:rFonts w:ascii="Times New Roman" w:eastAsia="宋体" w:hAnsi="Times New Roman" w:cs="Times New Roman"/>
          <w:sz w:val="24"/>
          <w:szCs w:val="24"/>
        </w:rPr>
        <w:t xml:space="preserve">.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eastAsia="宋体" w:hAnsi="Times New Roman" w:cs="Times New Roman"/>
          <w:sz w:val="24"/>
          <w:szCs w:val="24"/>
        </w:rPr>
        <w:t xml:space="preserve">Without considering the DFA, </w:t>
      </w:r>
      <w:r w:rsidRPr="0059184B">
        <w:rPr>
          <w:rFonts w:ascii="Times New Roman" w:eastAsia="宋体" w:hAnsi="Times New Roman" w:cs="Times New Roman"/>
          <w:i/>
          <w:sz w:val="24"/>
          <w:szCs w:val="24"/>
        </w:rPr>
        <w:t>net credit derivatives</w:t>
      </w:r>
      <w:r w:rsidRPr="0059184B">
        <w:rPr>
          <w:rFonts w:ascii="Times New Roman" w:eastAsia="宋体" w:hAnsi="Times New Roman" w:cs="Times New Roman"/>
          <w:sz w:val="24"/>
          <w:szCs w:val="24"/>
        </w:rPr>
        <w:t xml:space="preserve"> is marginal significant in model (2) when </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xml:space="preserve"> is employed to capture systemic risk. However, </w:t>
      </w:r>
      <w:r w:rsidRPr="0059184B">
        <w:rPr>
          <w:rFonts w:ascii="Times New Roman" w:hAnsi="Times New Roman" w:cs="Times New Roman"/>
          <w:sz w:val="24"/>
          <w:szCs w:val="24"/>
        </w:rPr>
        <w:t xml:space="preserve">it is significant in models (4) and (5) which feature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and the interaction terms. Consistent with hypothesis (H1), the use of credit derivatives raises bank’s contribution to systemic risk. The effects of credit derivatives are stronger than the effects of interest rate derivatives, and become more pronounced in the presence of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sz w:val="24"/>
          <w:szCs w:val="24"/>
        </w:rPr>
        <w:t xml:space="preserve"> and the interaction terms (models (4) and (5)).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Overall, </w:t>
      </w:r>
      <w:r w:rsidRPr="0059184B">
        <w:rPr>
          <w:rFonts w:ascii="Times New Roman" w:hAnsi="Times New Roman" w:cs="Times New Roman"/>
          <w:i/>
          <w:sz w:val="24"/>
          <w:szCs w:val="24"/>
        </w:rPr>
        <w:t>IR derivatives held for hedging</w:t>
      </w:r>
      <w:r w:rsidRPr="0059184B">
        <w:rPr>
          <w:rFonts w:ascii="Times New Roman" w:hAnsi="Times New Roman" w:cs="Times New Roman"/>
          <w:sz w:val="24"/>
          <w:szCs w:val="24"/>
        </w:rPr>
        <w:t xml:space="preserve"> is the only category which is significant in every estimated model.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exhibits the strongest effect while </w:t>
      </w:r>
      <w:r w:rsidRPr="0059184B">
        <w:rPr>
          <w:rFonts w:ascii="Times New Roman" w:hAnsi="Times New Roman" w:cs="Times New Roman"/>
          <w:i/>
          <w:sz w:val="24"/>
          <w:szCs w:val="24"/>
        </w:rPr>
        <w:t>IR derivatives held for trading</w:t>
      </w:r>
      <w:r w:rsidRPr="0059184B">
        <w:rPr>
          <w:rFonts w:ascii="Times New Roman" w:hAnsi="Times New Roman" w:cs="Times New Roman"/>
          <w:sz w:val="24"/>
          <w:szCs w:val="24"/>
        </w:rPr>
        <w:t xml:space="preserve"> shows the weakest impact on systemic risk. The effects of significant derivative variables are consistent with hypothesis (H1) and in line with the findings of </w:t>
      </w:r>
      <w:proofErr w:type="spellStart"/>
      <w:r w:rsidRPr="0059184B">
        <w:rPr>
          <w:rFonts w:ascii="Times New Roman" w:eastAsia="AdvGulliv-R" w:hAnsi="Times New Roman" w:cs="Times New Roman"/>
          <w:kern w:val="0"/>
          <w:sz w:val="24"/>
          <w:szCs w:val="24"/>
        </w:rPr>
        <w:t>Calm</w:t>
      </w:r>
      <w:r w:rsidRPr="0059184B">
        <w:rPr>
          <w:rFonts w:ascii="Times New Roman" w:eastAsia="AdvGulliv-R" w:hAnsi="Times New Roman" w:cs="Times New Roman" w:hint="eastAsia"/>
          <w:kern w:val="0"/>
          <w:sz w:val="24"/>
          <w:szCs w:val="24"/>
        </w:rPr>
        <w:t>e</w:t>
      </w:r>
      <w:r w:rsidRPr="0059184B">
        <w:rPr>
          <w:rFonts w:ascii="Times New Roman" w:eastAsia="AdvGulliv-R" w:hAnsi="Times New Roman" w:cs="Times New Roman"/>
          <w:kern w:val="0"/>
          <w:sz w:val="24"/>
          <w:szCs w:val="24"/>
        </w:rPr>
        <w:t>s</w:t>
      </w:r>
      <w:proofErr w:type="spellEnd"/>
      <w:r w:rsidRPr="0059184B">
        <w:rPr>
          <w:rFonts w:ascii="Times New Roman" w:eastAsia="AdvGulliv-R" w:hAnsi="Times New Roman" w:cs="Times New Roman"/>
          <w:kern w:val="0"/>
          <w:sz w:val="24"/>
          <w:szCs w:val="24"/>
        </w:rPr>
        <w:t xml:space="preserve"> and </w:t>
      </w:r>
      <w:proofErr w:type="spellStart"/>
      <w:r w:rsidRPr="0059184B">
        <w:rPr>
          <w:rFonts w:ascii="Times New Roman" w:eastAsia="AdvGulliv-R" w:hAnsi="Times New Roman" w:cs="Times New Roman"/>
          <w:kern w:val="0"/>
          <w:sz w:val="24"/>
          <w:szCs w:val="24"/>
        </w:rPr>
        <w:t>Th</w:t>
      </w:r>
      <w:r w:rsidRPr="0059184B">
        <w:rPr>
          <w:rFonts w:ascii="Times New Roman" w:eastAsia="AdvGulliv-R" w:hAnsi="Times New Roman" w:cs="Times New Roman" w:hint="eastAsia"/>
          <w:kern w:val="0"/>
          <w:sz w:val="24"/>
          <w:szCs w:val="24"/>
        </w:rPr>
        <w:t>e</w:t>
      </w:r>
      <w:r w:rsidRPr="0059184B">
        <w:rPr>
          <w:rFonts w:ascii="Times New Roman" w:eastAsia="AdvGulliv-R" w:hAnsi="Times New Roman" w:cs="Times New Roman"/>
          <w:kern w:val="0"/>
          <w:sz w:val="24"/>
          <w:szCs w:val="24"/>
        </w:rPr>
        <w:t>oret</w:t>
      </w:r>
      <w:proofErr w:type="spellEnd"/>
      <w:r w:rsidRPr="0059184B">
        <w:rPr>
          <w:rFonts w:ascii="Times New Roman" w:eastAsia="AdvGulliv-R" w:hAnsi="Times New Roman" w:cs="Times New Roman"/>
          <w:kern w:val="0"/>
          <w:sz w:val="24"/>
          <w:szCs w:val="24"/>
        </w:rPr>
        <w:t xml:space="preserve"> (2010), </w:t>
      </w:r>
      <w:proofErr w:type="spellStart"/>
      <w:r w:rsidRPr="0059184B">
        <w:rPr>
          <w:rFonts w:ascii="Times New Roman" w:eastAsia="AdvGulliv-R" w:hAnsi="Times New Roman" w:cs="Times New Roman"/>
          <w:kern w:val="0"/>
          <w:sz w:val="24"/>
          <w:szCs w:val="24"/>
        </w:rPr>
        <w:t>Nijskens</w:t>
      </w:r>
      <w:proofErr w:type="spellEnd"/>
      <w:r w:rsidRPr="0059184B">
        <w:rPr>
          <w:rFonts w:ascii="Times New Roman" w:eastAsia="AdvGulliv-R" w:hAnsi="Times New Roman" w:cs="Times New Roman"/>
          <w:kern w:val="0"/>
          <w:sz w:val="24"/>
          <w:szCs w:val="24"/>
        </w:rPr>
        <w:t xml:space="preserve"> and Wagner (2010) that banks’ use of derivatives led to higher systemic risk.</w:t>
      </w:r>
    </w:p>
    <w:p w:rsidR="0088048C" w:rsidRPr="0059184B" w:rsidRDefault="0088048C" w:rsidP="0088048C">
      <w:pPr>
        <w:spacing w:before="120" w:after="120" w:line="360" w:lineRule="auto"/>
        <w:rPr>
          <w:rFonts w:ascii="Times New Roman" w:eastAsia="宋体" w:hAnsi="Times New Roman" w:cs="Times New Roman"/>
          <w:sz w:val="24"/>
          <w:szCs w:val="24"/>
        </w:rPr>
      </w:pP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sz w:val="24"/>
          <w:szCs w:val="24"/>
        </w:rPr>
        <w:t xml:space="preserve"> represents the period after the DFA came into effect. It</w:t>
      </w:r>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is significant in all three models (4), (5), and (6)</w:t>
      </w:r>
      <w:r w:rsidRPr="0059184B">
        <w:rPr>
          <w:rFonts w:ascii="Times New Roman" w:eastAsia="宋体" w:hAnsi="Times New Roman" w:cs="Times New Roman"/>
          <w:sz w:val="24"/>
          <w:szCs w:val="24"/>
        </w:rPr>
        <w:t xml:space="preserve">. Consistent with hypothesis (H1a), the implementation of the DFA lowers bank’s contribution to systemic risk which is measured by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(model (4)) and </w:t>
      </w:r>
      <w:r w:rsidRPr="0059184B">
        <w:rPr>
          <w:rFonts w:ascii="Times New Roman" w:eastAsia="宋体" w:hAnsi="Times New Roman" w:cs="Times New Roman"/>
          <w:i/>
          <w:sz w:val="24"/>
          <w:szCs w:val="24"/>
        </w:rPr>
        <w:t>industry beta</w:t>
      </w:r>
      <w:r w:rsidRPr="0059184B">
        <w:rPr>
          <w:rFonts w:ascii="Times New Roman" w:eastAsia="宋体" w:hAnsi="Times New Roman" w:cs="Times New Roman"/>
          <w:sz w:val="24"/>
          <w:szCs w:val="24"/>
        </w:rPr>
        <w:t xml:space="preserve"> (model (6)). However, the coefficient of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 xml:space="preserve"> </w:t>
      </w:r>
      <w:r w:rsidRPr="0059184B">
        <w:rPr>
          <w:rFonts w:ascii="Times New Roman" w:eastAsia="宋体" w:hAnsi="Times New Roman" w:cs="Times New Roman"/>
          <w:sz w:val="24"/>
          <w:szCs w:val="24"/>
        </w:rPr>
        <w:t xml:space="preserve">flips sign when </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xml:space="preserve"> is the dependent variable (model (5)). </w:t>
      </w: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hAnsi="Times New Roman" w:cs="Times New Roman"/>
          <w:sz w:val="24"/>
          <w:szCs w:val="24"/>
        </w:rPr>
        <w:t xml:space="preserve">None of models (4), (5) and (6) </w:t>
      </w:r>
      <w:proofErr w:type="gramStart"/>
      <w:r w:rsidRPr="0059184B">
        <w:rPr>
          <w:rFonts w:ascii="Times New Roman" w:hAnsi="Times New Roman" w:cs="Times New Roman"/>
          <w:sz w:val="24"/>
          <w:szCs w:val="24"/>
        </w:rPr>
        <w:t>features</w:t>
      </w:r>
      <w:proofErr w:type="gramEnd"/>
      <w:r w:rsidRPr="0059184B">
        <w:rPr>
          <w:rFonts w:ascii="Times New Roman" w:hAnsi="Times New Roman" w:cs="Times New Roman"/>
          <w:sz w:val="24"/>
          <w:szCs w:val="24"/>
        </w:rPr>
        <w:t xml:space="preserve"> all three significant interaction terms between derivative holdings and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w:t>
      </w:r>
      <w:r w:rsidRPr="0059184B">
        <w:rPr>
          <w:rFonts w:ascii="Times New Roman" w:hAnsi="Times New Roman" w:cs="Times New Roman"/>
          <w:sz w:val="24"/>
          <w:szCs w:val="24"/>
        </w:rPr>
        <w:t xml:space="preserve"> The two interaction terms between </w:t>
      </w:r>
      <w:r w:rsidRPr="0059184B">
        <w:rPr>
          <w:rFonts w:ascii="Times New Roman" w:hAnsi="Times New Roman" w:cs="Times New Roman"/>
          <w:i/>
          <w:sz w:val="24"/>
          <w:szCs w:val="24"/>
        </w:rPr>
        <w:t>net credit derivatives, IR derivatives held for hedging</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are significant when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and </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xml:space="preserve"> are used to capture systemic risk. The positive coefficient signs </w:t>
      </w:r>
      <w:r w:rsidRPr="0059184B">
        <w:rPr>
          <w:rFonts w:ascii="Times New Roman" w:hAnsi="Times New Roman" w:cs="Times New Roman"/>
          <w:sz w:val="24"/>
          <w:szCs w:val="24"/>
        </w:rPr>
        <w:t xml:space="preserve">in models (4) and (5) </w:t>
      </w:r>
      <w:r w:rsidRPr="0059184B">
        <w:rPr>
          <w:rFonts w:ascii="Times New Roman" w:eastAsia="宋体" w:hAnsi="Times New Roman" w:cs="Times New Roman"/>
          <w:sz w:val="24"/>
          <w:szCs w:val="24"/>
        </w:rPr>
        <w:t xml:space="preserve">support hypothesis (H1b) that the implementation of the DFA reduces the hampering effects of these </w:t>
      </w:r>
      <w:r w:rsidRPr="0059184B">
        <w:rPr>
          <w:rFonts w:ascii="Times New Roman" w:eastAsia="宋体" w:hAnsi="Times New Roman" w:cs="Times New Roman"/>
          <w:sz w:val="24"/>
          <w:szCs w:val="24"/>
        </w:rPr>
        <w:lastRenderedPageBreak/>
        <w:t>derivatives on systemic risk, although t</w:t>
      </w:r>
      <w:r w:rsidRPr="0059184B">
        <w:rPr>
          <w:rFonts w:ascii="Times New Roman" w:hAnsi="Times New Roman" w:cs="Times New Roman"/>
          <w:kern w:val="0"/>
          <w:sz w:val="24"/>
          <w:szCs w:val="24"/>
        </w:rPr>
        <w:t xml:space="preserve">he interaction terms between </w:t>
      </w:r>
      <w:r w:rsidRPr="0059184B">
        <w:rPr>
          <w:rFonts w:ascii="Times New Roman" w:hAnsi="Times New Roman" w:cs="Times New Roman"/>
          <w:i/>
          <w:kern w:val="0"/>
          <w:sz w:val="24"/>
          <w:szCs w:val="24"/>
        </w:rPr>
        <w:t>IR derivatives held for trading</w:t>
      </w:r>
      <w:r w:rsidRPr="0059184B">
        <w:rPr>
          <w:rFonts w:ascii="Times New Roman" w:hAnsi="Times New Roman" w:cs="Times New Roman"/>
          <w:kern w:val="0"/>
          <w:sz w:val="24"/>
          <w:szCs w:val="24"/>
        </w:rPr>
        <w:t xml:space="preserve"> and </w:t>
      </w:r>
      <w:proofErr w:type="spellStart"/>
      <w:r w:rsidRPr="0059184B">
        <w:rPr>
          <w:rFonts w:ascii="Times New Roman" w:hAnsi="Times New Roman" w:cs="Times New Roman"/>
          <w:i/>
          <w:kern w:val="0"/>
          <w:sz w:val="24"/>
          <w:szCs w:val="24"/>
        </w:rPr>
        <w:t>PostDFA</w:t>
      </w:r>
      <w:proofErr w:type="spellEnd"/>
      <w:r w:rsidRPr="0059184B">
        <w:rPr>
          <w:rFonts w:ascii="Times New Roman" w:hAnsi="Times New Roman" w:cs="Times New Roman"/>
          <w:i/>
          <w:kern w:val="0"/>
          <w:sz w:val="24"/>
          <w:szCs w:val="24"/>
        </w:rPr>
        <w:t xml:space="preserve"> </w:t>
      </w:r>
      <w:r w:rsidRPr="0059184B">
        <w:rPr>
          <w:rFonts w:ascii="Times New Roman" w:hAnsi="Times New Roman" w:cs="Times New Roman"/>
          <w:kern w:val="0"/>
          <w:sz w:val="24"/>
          <w:szCs w:val="24"/>
        </w:rPr>
        <w:t xml:space="preserve">feature no significant coefficients. </w:t>
      </w:r>
      <w:r w:rsidRPr="0059184B">
        <w:rPr>
          <w:rFonts w:ascii="Times New Roman" w:hAnsi="Times New Roman" w:cs="Times New Roman"/>
          <w:sz w:val="24"/>
          <w:szCs w:val="24"/>
        </w:rPr>
        <w:t xml:space="preserve">The results on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are consistent with </w:t>
      </w:r>
      <w:r w:rsidRPr="0059184B">
        <w:rPr>
          <w:rFonts w:ascii="Times New Roman" w:hAnsi="Times New Roman" w:cs="Times New Roman"/>
          <w:kern w:val="0"/>
          <w:sz w:val="24"/>
          <w:szCs w:val="24"/>
        </w:rPr>
        <w:t xml:space="preserve">Li and </w:t>
      </w:r>
      <w:proofErr w:type="spellStart"/>
      <w:r w:rsidRPr="0059184B">
        <w:rPr>
          <w:rFonts w:ascii="Times New Roman" w:hAnsi="Times New Roman" w:cs="Times New Roman"/>
          <w:kern w:val="0"/>
          <w:sz w:val="24"/>
          <w:szCs w:val="24"/>
        </w:rPr>
        <w:t>Marinč</w:t>
      </w:r>
      <w:proofErr w:type="spellEnd"/>
      <w:r w:rsidRPr="0059184B">
        <w:rPr>
          <w:rFonts w:ascii="Times New Roman" w:hAnsi="Times New Roman" w:cs="Times New Roman"/>
          <w:kern w:val="0"/>
          <w:sz w:val="24"/>
          <w:szCs w:val="24"/>
        </w:rPr>
        <w:t xml:space="preserve"> (2017) while the findings on </w:t>
      </w:r>
      <w:r w:rsidRPr="0059184B">
        <w:rPr>
          <w:rFonts w:ascii="Times New Roman" w:hAnsi="Times New Roman" w:cs="Times New Roman"/>
          <w:i/>
          <w:kern w:val="0"/>
          <w:sz w:val="24"/>
          <w:szCs w:val="24"/>
        </w:rPr>
        <w:t>credit derivatives</w:t>
      </w:r>
      <w:r w:rsidRPr="0059184B">
        <w:rPr>
          <w:rFonts w:ascii="Times New Roman" w:hAnsi="Times New Roman" w:cs="Times New Roman"/>
          <w:kern w:val="0"/>
          <w:sz w:val="24"/>
          <w:szCs w:val="24"/>
        </w:rPr>
        <w:t xml:space="preserve"> and the DFA show contrary results.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eastAsiaTheme="minorHAnsi" w:hAnsi="Times New Roman" w:cs="Times New Roman"/>
          <w:sz w:val="24"/>
          <w:szCs w:val="24"/>
          <w:lang w:val="en-NZ" w:eastAsia="en-US"/>
        </w:rPr>
        <w:t>Overall, the results in Table 2 confirm hypothesis (H1), (H1a) and partly support hypothesis (H1b) for two out of the three derivative categorises examined (</w:t>
      </w:r>
      <w:r w:rsidRPr="0059184B">
        <w:rPr>
          <w:rFonts w:ascii="Times New Roman" w:eastAsiaTheme="minorHAnsi" w:hAnsi="Times New Roman" w:cs="Times New Roman"/>
          <w:i/>
          <w:sz w:val="24"/>
          <w:szCs w:val="24"/>
          <w:lang w:val="en-NZ" w:eastAsia="en-US"/>
        </w:rPr>
        <w:t>credit derivatives</w:t>
      </w:r>
      <w:r w:rsidRPr="0059184B">
        <w:rPr>
          <w:rFonts w:ascii="Times New Roman" w:eastAsiaTheme="minorHAnsi" w:hAnsi="Times New Roman" w:cs="Times New Roman"/>
          <w:sz w:val="24"/>
          <w:szCs w:val="24"/>
          <w:lang w:val="en-NZ" w:eastAsia="en-US"/>
        </w:rPr>
        <w:t xml:space="preserve"> and </w:t>
      </w:r>
      <w:r w:rsidRPr="0059184B">
        <w:rPr>
          <w:rFonts w:ascii="Times New Roman" w:eastAsiaTheme="minorHAnsi" w:hAnsi="Times New Roman" w:cs="Times New Roman"/>
          <w:i/>
          <w:sz w:val="24"/>
          <w:szCs w:val="24"/>
          <w:lang w:val="en-NZ" w:eastAsia="en-US"/>
        </w:rPr>
        <w:t>IR derivatives for hedging</w:t>
      </w:r>
      <w:r w:rsidRPr="0059184B">
        <w:rPr>
          <w:rFonts w:ascii="Times New Roman" w:eastAsiaTheme="minorHAnsi" w:hAnsi="Times New Roman" w:cs="Times New Roman"/>
          <w:sz w:val="24"/>
          <w:szCs w:val="24"/>
          <w:lang w:val="en-NZ" w:eastAsia="en-US"/>
        </w:rPr>
        <w:t>).</w:t>
      </w:r>
      <w:r w:rsidRPr="0059184B">
        <w:rPr>
          <w:rFonts w:ascii="Times New Roman" w:hAnsi="Times New Roman" w:cs="Times New Roman"/>
          <w:sz w:val="24"/>
          <w:szCs w:val="24"/>
        </w:rPr>
        <w:t xml:space="preserve"> However, the insignificant results on </w:t>
      </w:r>
      <w:r w:rsidRPr="0059184B">
        <w:rPr>
          <w:rFonts w:ascii="Times New Roman" w:hAnsi="Times New Roman" w:cs="Times New Roman"/>
          <w:i/>
          <w:sz w:val="24"/>
          <w:szCs w:val="24"/>
        </w:rPr>
        <w:t>IR derivative for trading</w:t>
      </w:r>
      <w:r w:rsidRPr="0059184B">
        <w:rPr>
          <w:rFonts w:ascii="Times New Roman" w:hAnsi="Times New Roman" w:cs="Times New Roman"/>
          <w:sz w:val="24"/>
          <w:szCs w:val="24"/>
        </w:rPr>
        <w:t xml:space="preserve"> as well as the interaction terms between </w:t>
      </w:r>
      <w:r w:rsidRPr="0059184B">
        <w:rPr>
          <w:rFonts w:ascii="Times New Roman" w:hAnsi="Times New Roman" w:cs="Times New Roman"/>
          <w:i/>
          <w:sz w:val="24"/>
          <w:szCs w:val="24"/>
        </w:rPr>
        <w:t>IR derivative for trading</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kern w:val="0"/>
          <w:sz w:val="24"/>
          <w:szCs w:val="24"/>
        </w:rPr>
        <w:t>PostDFA</w:t>
      </w:r>
      <w:proofErr w:type="spellEnd"/>
      <w:r w:rsidRPr="0059184B">
        <w:rPr>
          <w:rFonts w:ascii="Times New Roman" w:hAnsi="Times New Roman" w:cs="Times New Roman"/>
          <w:sz w:val="24"/>
          <w:szCs w:val="24"/>
        </w:rPr>
        <w:t xml:space="preserve"> did not provide supportive evidences for the effectiveness of proprietary trading approach by Volcker rule of the DFA.  </w:t>
      </w: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hAnsi="Times New Roman" w:cs="Times New Roman"/>
          <w:sz w:val="24"/>
          <w:szCs w:val="24"/>
        </w:rPr>
        <w:t xml:space="preserve">In addition to the three derivative variables discussed above, </w:t>
      </w:r>
      <w:r w:rsidRPr="0059184B">
        <w:rPr>
          <w:rFonts w:ascii="Times New Roman" w:hAnsi="Times New Roman" w:cs="Times New Roman"/>
          <w:i/>
          <w:sz w:val="24"/>
          <w:szCs w:val="24"/>
        </w:rPr>
        <w:t>loan to depositary institutions</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balances due from depository institutions</w:t>
      </w:r>
      <w:r w:rsidRPr="0059184B">
        <w:rPr>
          <w:rFonts w:ascii="Times New Roman" w:hAnsi="Times New Roman" w:cs="Times New Roman"/>
          <w:sz w:val="24"/>
          <w:szCs w:val="24"/>
        </w:rPr>
        <w:t xml:space="preserve"> also capture the extent of interconnectedness among banks. </w:t>
      </w:r>
      <w:r w:rsidRPr="0059184B">
        <w:rPr>
          <w:rFonts w:ascii="Times New Roman" w:hAnsi="Times New Roman" w:cs="Times New Roman"/>
          <w:i/>
          <w:sz w:val="24"/>
          <w:szCs w:val="24"/>
        </w:rPr>
        <w:t>Loan to depositary institutions</w:t>
      </w:r>
      <w:r w:rsidRPr="0059184B">
        <w:rPr>
          <w:rFonts w:ascii="Times New Roman" w:hAnsi="Times New Roman" w:cs="Times New Roman"/>
          <w:sz w:val="24"/>
          <w:szCs w:val="24"/>
        </w:rPr>
        <w:t xml:space="preserve"> is not significant in any models which is consistent with </w:t>
      </w:r>
      <w:proofErr w:type="spellStart"/>
      <w:r w:rsidRPr="0059184B">
        <w:rPr>
          <w:rFonts w:ascii="Times New Roman" w:hAnsi="Times New Roman" w:cs="Times New Roman"/>
          <w:sz w:val="24"/>
          <w:szCs w:val="24"/>
        </w:rPr>
        <w:t>Mayordomo</w:t>
      </w:r>
      <w:proofErr w:type="spellEnd"/>
      <w:r w:rsidRPr="0059184B">
        <w:rPr>
          <w:rFonts w:ascii="Times New Roman" w:hAnsi="Times New Roman" w:cs="Times New Roman"/>
          <w:sz w:val="24"/>
          <w:szCs w:val="24"/>
        </w:rPr>
        <w:t xml:space="preserve">, Rodriguez-Moreno and Pena (2014), while </w:t>
      </w:r>
      <w:r w:rsidRPr="0059184B">
        <w:rPr>
          <w:rFonts w:ascii="Times New Roman" w:hAnsi="Times New Roman" w:cs="Times New Roman"/>
          <w:i/>
          <w:sz w:val="24"/>
          <w:szCs w:val="24"/>
        </w:rPr>
        <w:t>balances due from depository institutions</w:t>
      </w:r>
      <w:r w:rsidRPr="0059184B">
        <w:rPr>
          <w:rFonts w:ascii="Times New Roman" w:hAnsi="Times New Roman" w:cs="Times New Roman"/>
          <w:sz w:val="24"/>
          <w:szCs w:val="24"/>
        </w:rPr>
        <w:t xml:space="preserve"> is significant in four out of six models (models (1), (2), (4), (5)). However, the coefficient sign in models (1) and (4) is not consistent with the coefficient sign in models (2) and (5)</w:t>
      </w:r>
      <w:r w:rsidRPr="0059184B">
        <w:rPr>
          <w:rFonts w:ascii="Times New Roman" w:eastAsia="宋体" w:hAnsi="Times New Roman" w:cs="Times New Roman"/>
          <w:sz w:val="24"/>
          <w:szCs w:val="24"/>
        </w:rPr>
        <w:t xml:space="preserve">. If </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xml:space="preserve"> is a more relevant measure to capture systemic risk then its negative sign </w:t>
      </w:r>
      <w:r w:rsidRPr="0059184B">
        <w:rPr>
          <w:rFonts w:ascii="Times New Roman" w:hAnsi="Times New Roman" w:cs="Times New Roman"/>
          <w:sz w:val="24"/>
          <w:szCs w:val="24"/>
        </w:rPr>
        <w:t xml:space="preserve">in models (2) and (5) suggests a higher degree of systemic risk. </w:t>
      </w: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eastAsia="宋体" w:hAnsi="Times New Roman" w:cs="Times New Roman"/>
          <w:sz w:val="24"/>
          <w:szCs w:val="24"/>
        </w:rPr>
        <w:t xml:space="preserve">Adding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and</w:t>
      </w:r>
      <w:r w:rsidRPr="0059184B">
        <w:rPr>
          <w:rFonts w:ascii="Times New Roman" w:eastAsia="宋体" w:hAnsi="Times New Roman" w:cs="Times New Roman"/>
          <w:sz w:val="24"/>
          <w:szCs w:val="24"/>
        </w:rPr>
        <w:t xml:space="preserve"> the interaction terms in models (4), (5), (6) in Table 2 does not change the significance of any control variables (compared with models (1), (2), (3)). The </w:t>
      </w:r>
      <w:r w:rsidRPr="0059184B">
        <w:rPr>
          <w:rFonts w:ascii="Times New Roman" w:eastAsia="宋体" w:hAnsi="Times New Roman" w:cs="Times New Roman"/>
          <w:i/>
          <w:sz w:val="24"/>
          <w:szCs w:val="24"/>
        </w:rPr>
        <w:t>standard deviation of stock returns</w:t>
      </w:r>
      <w:r w:rsidRPr="0059184B">
        <w:rPr>
          <w:rFonts w:ascii="Times New Roman" w:eastAsia="宋体" w:hAnsi="Times New Roman" w:cs="Times New Roman"/>
          <w:sz w:val="24"/>
          <w:szCs w:val="24"/>
        </w:rPr>
        <w:t xml:space="preserve"> is the only variable which is significant in every model in Table 2. </w:t>
      </w:r>
      <w:r w:rsidRPr="0059184B">
        <w:rPr>
          <w:rFonts w:ascii="Times New Roman" w:eastAsia="宋体" w:hAnsi="Times New Roman" w:cs="Times New Roman"/>
          <w:i/>
          <w:sz w:val="24"/>
          <w:szCs w:val="24"/>
        </w:rPr>
        <w:t>Short-term borrowing</w:t>
      </w:r>
      <w:r w:rsidRPr="0059184B">
        <w:rPr>
          <w:rFonts w:ascii="Times New Roman" w:eastAsia="宋体" w:hAnsi="Times New Roman" w:cs="Times New Roman"/>
          <w:sz w:val="24"/>
          <w:szCs w:val="24"/>
        </w:rPr>
        <w:t xml:space="preserve"> and </w:t>
      </w:r>
      <w:r w:rsidRPr="0059184B">
        <w:rPr>
          <w:rFonts w:ascii="Times New Roman" w:eastAsia="宋体" w:hAnsi="Times New Roman" w:cs="Times New Roman"/>
          <w:i/>
          <w:sz w:val="24"/>
          <w:szCs w:val="24"/>
        </w:rPr>
        <w:t>loan loss provision</w:t>
      </w:r>
      <w:r w:rsidRPr="0059184B">
        <w:rPr>
          <w:rFonts w:ascii="Times New Roman" w:eastAsia="宋体" w:hAnsi="Times New Roman" w:cs="Times New Roman"/>
          <w:sz w:val="24"/>
          <w:szCs w:val="24"/>
        </w:rPr>
        <w:t xml:space="preserve"> are significant in four out of six models </w:t>
      </w:r>
      <w:r w:rsidRPr="0059184B">
        <w:rPr>
          <w:rFonts w:ascii="Times New Roman" w:hAnsi="Times New Roman" w:cs="Times New Roman"/>
          <w:sz w:val="24"/>
          <w:szCs w:val="24"/>
        </w:rPr>
        <w:t>(models (1), (2), (4), (5)). As expected, t</w:t>
      </w:r>
      <w:r w:rsidRPr="0059184B">
        <w:rPr>
          <w:rFonts w:ascii="Times New Roman" w:eastAsia="宋体" w:hAnsi="Times New Roman" w:cs="Times New Roman"/>
          <w:sz w:val="24"/>
          <w:szCs w:val="24"/>
        </w:rPr>
        <w:t xml:space="preserve">he negative sign of the coefficients of these three variables, when significant, indicates that a higher degree of uncertainty, insufficient liquid assets and poor asset quality increase systemic risk. Bank’s </w:t>
      </w:r>
      <w:r w:rsidRPr="0059184B">
        <w:rPr>
          <w:rFonts w:ascii="Times New Roman" w:eastAsia="宋体" w:hAnsi="Times New Roman" w:cs="Times New Roman"/>
          <w:i/>
          <w:sz w:val="24"/>
          <w:szCs w:val="24"/>
        </w:rPr>
        <w:t>size</w:t>
      </w:r>
      <w:r w:rsidRPr="0059184B">
        <w:rPr>
          <w:rFonts w:ascii="Times New Roman" w:eastAsia="宋体" w:hAnsi="Times New Roman" w:cs="Times New Roman"/>
          <w:sz w:val="24"/>
          <w:szCs w:val="24"/>
        </w:rPr>
        <w:t xml:space="preserve"> is significant in four out of six models (models (2), (3), (5), (6)). </w:t>
      </w:r>
      <w:r w:rsidRPr="0059184B">
        <w:rPr>
          <w:rFonts w:ascii="Times New Roman" w:eastAsia="宋体" w:hAnsi="Times New Roman" w:cs="Times New Roman"/>
          <w:i/>
          <w:sz w:val="24"/>
          <w:szCs w:val="24"/>
        </w:rPr>
        <w:t>Book to market ratio, Tier 1 risk ratio</w:t>
      </w:r>
      <w:r w:rsidRPr="0059184B">
        <w:rPr>
          <w:rFonts w:ascii="Times New Roman" w:eastAsia="宋体" w:hAnsi="Times New Roman" w:cs="Times New Roman"/>
          <w:sz w:val="24"/>
          <w:szCs w:val="24"/>
        </w:rPr>
        <w:t xml:space="preserve"> and dummy </w:t>
      </w:r>
      <w:r w:rsidRPr="0059184B">
        <w:rPr>
          <w:rFonts w:ascii="Times New Roman" w:eastAsia="宋体" w:hAnsi="Times New Roman" w:cs="Times New Roman"/>
          <w:i/>
          <w:sz w:val="24"/>
          <w:szCs w:val="24"/>
        </w:rPr>
        <w:t>acquisition</w:t>
      </w:r>
      <w:r w:rsidRPr="0059184B">
        <w:rPr>
          <w:rFonts w:ascii="Times New Roman" w:eastAsia="宋体" w:hAnsi="Times New Roman" w:cs="Times New Roman"/>
          <w:sz w:val="24"/>
          <w:szCs w:val="24"/>
        </w:rPr>
        <w:t xml:space="preserve"> are significant in models (3) and (6) while </w:t>
      </w:r>
      <w:r w:rsidRPr="0059184B">
        <w:rPr>
          <w:rFonts w:ascii="Times New Roman" w:eastAsia="宋体" w:hAnsi="Times New Roman" w:cs="Times New Roman"/>
          <w:i/>
          <w:sz w:val="24"/>
          <w:szCs w:val="24"/>
        </w:rPr>
        <w:t>real estate exposure</w:t>
      </w:r>
      <w:r w:rsidRPr="0059184B">
        <w:rPr>
          <w:rFonts w:ascii="Times New Roman" w:eastAsia="宋体" w:hAnsi="Times New Roman" w:cs="Times New Roman"/>
          <w:sz w:val="24"/>
          <w:szCs w:val="24"/>
        </w:rPr>
        <w:t xml:space="preserve"> is significant in model (2) and (5). The results suggest that large banks, healthier banks (higher </w:t>
      </w:r>
      <w:r w:rsidRPr="0059184B">
        <w:rPr>
          <w:rFonts w:ascii="Times New Roman" w:eastAsia="宋体" w:hAnsi="Times New Roman" w:cs="Times New Roman"/>
          <w:i/>
          <w:sz w:val="24"/>
          <w:szCs w:val="24"/>
        </w:rPr>
        <w:t>Tier 1 risk ratio</w:t>
      </w:r>
      <w:r w:rsidRPr="0059184B">
        <w:rPr>
          <w:rFonts w:ascii="Times New Roman" w:eastAsia="宋体" w:hAnsi="Times New Roman" w:cs="Times New Roman"/>
          <w:sz w:val="24"/>
          <w:szCs w:val="24"/>
        </w:rPr>
        <w:t xml:space="preserve">), or those with a small </w:t>
      </w:r>
      <w:r w:rsidRPr="0059184B">
        <w:rPr>
          <w:rFonts w:ascii="Times New Roman" w:eastAsia="宋体" w:hAnsi="Times New Roman" w:cs="Times New Roman"/>
          <w:i/>
          <w:sz w:val="24"/>
          <w:szCs w:val="24"/>
        </w:rPr>
        <w:t>book-to market ratio</w:t>
      </w:r>
      <w:r w:rsidRPr="0059184B">
        <w:rPr>
          <w:rFonts w:ascii="Times New Roman" w:eastAsia="宋体" w:hAnsi="Times New Roman" w:cs="Times New Roman"/>
          <w:sz w:val="24"/>
          <w:szCs w:val="24"/>
        </w:rPr>
        <w:t xml:space="preserve"> are more likely to do business with a </w:t>
      </w:r>
      <w:r w:rsidRPr="0059184B">
        <w:rPr>
          <w:rFonts w:ascii="Times New Roman" w:eastAsia="宋体" w:hAnsi="Times New Roman" w:cs="Times New Roman"/>
          <w:sz w:val="24"/>
          <w:szCs w:val="24"/>
        </w:rPr>
        <w:lastRenderedPageBreak/>
        <w:t xml:space="preserve">number of financial institutions and thereby raise systemic risk. In contrast, </w:t>
      </w:r>
      <w:r w:rsidRPr="0059184B">
        <w:rPr>
          <w:rFonts w:ascii="Times New Roman" w:eastAsia="宋体" w:hAnsi="Times New Roman" w:cs="Times New Roman"/>
          <w:i/>
          <w:sz w:val="24"/>
          <w:szCs w:val="24"/>
        </w:rPr>
        <w:t>acquisitions</w:t>
      </w:r>
      <w:r w:rsidRPr="0059184B">
        <w:rPr>
          <w:rFonts w:ascii="Times New Roman" w:eastAsia="宋体" w:hAnsi="Times New Roman" w:cs="Times New Roman"/>
          <w:sz w:val="24"/>
          <w:szCs w:val="24"/>
        </w:rPr>
        <w:t xml:space="preserve"> or a large exposure to the real estate market diminish bank’s contribution to systemic risk.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TABLE 3 HERE</w:t>
      </w:r>
    </w:p>
    <w:p w:rsidR="0088048C" w:rsidRPr="0059184B" w:rsidRDefault="0088048C" w:rsidP="0088048C">
      <w:pPr>
        <w:spacing w:before="120" w:after="120" w:line="360" w:lineRule="auto"/>
        <w:rPr>
          <w:rFonts w:ascii="Times New Roman" w:eastAsia="宋体" w:hAnsi="Times New Roman" w:cs="Times New Roman"/>
          <w:sz w:val="24"/>
          <w:szCs w:val="24"/>
        </w:rPr>
      </w:pP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eastAsia="宋体" w:hAnsi="Times New Roman" w:cs="Times New Roman"/>
          <w:sz w:val="24"/>
          <w:szCs w:val="24"/>
        </w:rPr>
        <w:t xml:space="preserve">Table 3 presents the results with derivatives </w:t>
      </w:r>
      <w:proofErr w:type="spellStart"/>
      <w:r w:rsidRPr="0059184B">
        <w:rPr>
          <w:rFonts w:ascii="Times New Roman" w:eastAsia="宋体" w:hAnsi="Times New Roman" w:cs="Times New Roman"/>
          <w:sz w:val="24"/>
          <w:szCs w:val="24"/>
        </w:rPr>
        <w:t>catergorised</w:t>
      </w:r>
      <w:proofErr w:type="spellEnd"/>
      <w:r w:rsidRPr="0059184B">
        <w:rPr>
          <w:rFonts w:ascii="Times New Roman" w:eastAsia="宋体" w:hAnsi="Times New Roman" w:cs="Times New Roman"/>
          <w:sz w:val="24"/>
          <w:szCs w:val="24"/>
        </w:rPr>
        <w:t xml:space="preserve"> by trading approaches of OTC or exchanges. </w:t>
      </w:r>
      <w:r w:rsidRPr="0059184B">
        <w:rPr>
          <w:rFonts w:ascii="Times New Roman" w:hAnsi="Times New Roman" w:cs="Times New Roman"/>
          <w:sz w:val="24"/>
          <w:szCs w:val="24"/>
        </w:rPr>
        <w:t xml:space="preserve">As shown in Table 3, </w:t>
      </w:r>
      <w:r w:rsidRPr="0059184B">
        <w:rPr>
          <w:rFonts w:ascii="Times New Roman" w:eastAsia="宋体" w:hAnsi="Times New Roman" w:cs="Times New Roman"/>
          <w:sz w:val="24"/>
          <w:szCs w:val="24"/>
        </w:rPr>
        <w:t xml:space="preserve">without considering the DFA, </w:t>
      </w:r>
      <w:r w:rsidRPr="0059184B">
        <w:rPr>
          <w:rFonts w:ascii="Times New Roman" w:hAnsi="Times New Roman" w:cs="Times New Roman"/>
          <w:i/>
          <w:sz w:val="24"/>
          <w:szCs w:val="24"/>
        </w:rPr>
        <w:t>IR derivatives traded on exchanges</w:t>
      </w:r>
      <w:r w:rsidRPr="0059184B">
        <w:rPr>
          <w:rFonts w:ascii="Times New Roman" w:hAnsi="Times New Roman" w:cs="Times New Roman"/>
          <w:sz w:val="24"/>
          <w:szCs w:val="24"/>
        </w:rPr>
        <w:t xml:space="preserve"> is significant when </w:t>
      </w:r>
      <w:r w:rsidRPr="0059184B">
        <w:rPr>
          <w:rFonts w:ascii="Times New Roman" w:eastAsia="宋体" w:hAnsi="Times New Roman" w:cs="Times New Roman"/>
          <w:sz w:val="24"/>
          <w:szCs w:val="24"/>
        </w:rPr>
        <w:t>industry beta is used to capture systemic risk (model 3). I</w:t>
      </w:r>
      <w:r w:rsidRPr="0059184B">
        <w:rPr>
          <w:rFonts w:ascii="Times New Roman" w:hAnsi="Times New Roman" w:cs="Times New Roman"/>
          <w:sz w:val="24"/>
          <w:szCs w:val="24"/>
        </w:rPr>
        <w:t xml:space="preserve">t is significant in all models (4), (5) and (6) when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and the interaction terms were added. Its negative (positive) coefficients when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and </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xml:space="preserve"> (</w:t>
      </w:r>
      <w:r w:rsidRPr="0059184B">
        <w:rPr>
          <w:rFonts w:ascii="Times New Roman" w:eastAsia="宋体" w:hAnsi="Times New Roman" w:cs="Times New Roman"/>
          <w:i/>
          <w:sz w:val="24"/>
          <w:szCs w:val="24"/>
        </w:rPr>
        <w:t>industry beta</w:t>
      </w:r>
      <w:r w:rsidRPr="0059184B">
        <w:rPr>
          <w:rFonts w:ascii="Times New Roman" w:eastAsia="宋体" w:hAnsi="Times New Roman" w:cs="Times New Roman"/>
          <w:sz w:val="24"/>
          <w:szCs w:val="24"/>
        </w:rPr>
        <w:t xml:space="preserve">) were used to capture systemic risk indicate that derivatives traded on exchanges results in a larger </w:t>
      </w:r>
      <w:r w:rsidRPr="0059184B">
        <w:rPr>
          <w:rFonts w:ascii="Times New Roman" w:hAnsi="Times New Roman" w:cs="Times New Roman"/>
          <w:sz w:val="24"/>
          <w:szCs w:val="24"/>
        </w:rPr>
        <w:t>contribution to systemic risk. This finding is consistent with hypothesis (H1). On the other hand, n</w:t>
      </w:r>
      <w:r w:rsidRPr="0059184B">
        <w:rPr>
          <w:rFonts w:ascii="Times New Roman" w:eastAsia="宋体" w:hAnsi="Times New Roman" w:cs="Times New Roman"/>
          <w:sz w:val="24"/>
          <w:szCs w:val="24"/>
        </w:rPr>
        <w:t xml:space="preserve">one of models in Table 3 features significance for the coefficient of </w:t>
      </w:r>
      <w:r w:rsidRPr="0059184B">
        <w:rPr>
          <w:rFonts w:ascii="Times New Roman" w:eastAsia="宋体" w:hAnsi="Times New Roman" w:cs="Times New Roman"/>
          <w:i/>
          <w:sz w:val="24"/>
          <w:szCs w:val="24"/>
        </w:rPr>
        <w:t>IR derivatives traded OTC</w:t>
      </w:r>
      <w:r w:rsidRPr="0059184B">
        <w:rPr>
          <w:rFonts w:ascii="Times New Roman" w:eastAsia="宋体" w:hAnsi="Times New Roman" w:cs="Times New Roman"/>
          <w:sz w:val="24"/>
          <w:szCs w:val="24"/>
        </w:rPr>
        <w:t>.</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eastAsia="宋体" w:hAnsi="Times New Roman" w:cs="Times New Roman"/>
          <w:i/>
          <w:sz w:val="24"/>
          <w:szCs w:val="24"/>
        </w:rPr>
        <w:t>Net credit derivatives</w:t>
      </w:r>
      <w:r w:rsidRPr="0059184B">
        <w:rPr>
          <w:rFonts w:ascii="Times New Roman" w:eastAsia="宋体" w:hAnsi="Times New Roman" w:cs="Times New Roman"/>
          <w:sz w:val="24"/>
          <w:szCs w:val="24"/>
        </w:rPr>
        <w:t xml:space="preserve"> (traded OTC) is significant </w:t>
      </w:r>
      <w:r w:rsidRPr="0059184B">
        <w:rPr>
          <w:rFonts w:ascii="Times New Roman" w:hAnsi="Times New Roman" w:cs="Times New Roman"/>
          <w:sz w:val="24"/>
          <w:szCs w:val="24"/>
        </w:rPr>
        <w:t>in models (4) and (5)</w:t>
      </w:r>
      <w:r w:rsidRPr="0059184B">
        <w:rPr>
          <w:rFonts w:ascii="Times New Roman" w:eastAsia="宋体" w:hAnsi="Times New Roman" w:cs="Times New Roman"/>
          <w:sz w:val="24"/>
          <w:szCs w:val="24"/>
        </w:rPr>
        <w:t xml:space="preserve"> in Table 3,</w:t>
      </w:r>
      <w:r w:rsidRPr="0059184B">
        <w:rPr>
          <w:rFonts w:ascii="Times New Roman" w:hAnsi="Times New Roman" w:cs="Times New Roman"/>
          <w:sz w:val="24"/>
          <w:szCs w:val="24"/>
        </w:rPr>
        <w:t xml:space="preserve"> where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dummy and the interaction terms are added. In addition, </w:t>
      </w:r>
      <w:proofErr w:type="gramStart"/>
      <w:r w:rsidRPr="0059184B">
        <w:rPr>
          <w:rFonts w:ascii="Times New Roman" w:eastAsia="宋体" w:hAnsi="Times New Roman" w:cs="Times New Roman"/>
          <w:i/>
          <w:sz w:val="24"/>
          <w:szCs w:val="24"/>
        </w:rPr>
        <w:t>Net credit derivatives</w:t>
      </w:r>
      <w:r w:rsidRPr="0059184B">
        <w:rPr>
          <w:rFonts w:ascii="Times New Roman" w:eastAsia="宋体" w:hAnsi="Times New Roman" w:cs="Times New Roman"/>
          <w:sz w:val="24"/>
          <w:szCs w:val="24"/>
        </w:rPr>
        <w:t xml:space="preserve"> shows</w:t>
      </w:r>
      <w:proofErr w:type="gramEnd"/>
      <w:r w:rsidRPr="0059184B">
        <w:rPr>
          <w:rFonts w:ascii="Times New Roman" w:eastAsia="宋体" w:hAnsi="Times New Roman" w:cs="Times New Roman"/>
          <w:sz w:val="24"/>
          <w:szCs w:val="24"/>
        </w:rPr>
        <w:t xml:space="preserve"> marginal significance in both model (2) and (6). Its negative </w:t>
      </w:r>
      <w:r w:rsidRPr="0059184B">
        <w:rPr>
          <w:rFonts w:ascii="Times New Roman" w:hAnsi="Times New Roman" w:cs="Times New Roman"/>
          <w:sz w:val="24"/>
          <w:szCs w:val="24"/>
        </w:rPr>
        <w:t>coefficient sign</w:t>
      </w:r>
      <w:r w:rsidRPr="0059184B">
        <w:rPr>
          <w:rFonts w:ascii="Times New Roman" w:eastAsia="宋体" w:hAnsi="Times New Roman" w:cs="Times New Roman"/>
          <w:sz w:val="24"/>
          <w:szCs w:val="24"/>
        </w:rPr>
        <w:t xml:space="preserve"> in models (2) (4) (5) and positive coefficient sign in models (6) suggest that </w:t>
      </w:r>
      <w:r w:rsidRPr="0059184B">
        <w:rPr>
          <w:rFonts w:ascii="Times New Roman" w:hAnsi="Times New Roman" w:cs="Times New Roman"/>
          <w:sz w:val="24"/>
          <w:szCs w:val="24"/>
        </w:rPr>
        <w:t>the use of OTC-traded credit derivatives raises bank’s contribution to systemic risk, which is c</w:t>
      </w:r>
      <w:r w:rsidRPr="0059184B">
        <w:rPr>
          <w:rFonts w:ascii="Times New Roman" w:eastAsia="宋体" w:hAnsi="Times New Roman" w:cs="Times New Roman"/>
          <w:sz w:val="24"/>
          <w:szCs w:val="24"/>
        </w:rPr>
        <w:t xml:space="preserve">onsist with the findings in Table 2 and </w:t>
      </w:r>
      <w:r w:rsidRPr="0059184B">
        <w:rPr>
          <w:rFonts w:ascii="Times New Roman" w:hAnsi="Times New Roman" w:cs="Times New Roman"/>
          <w:sz w:val="24"/>
          <w:szCs w:val="24"/>
        </w:rPr>
        <w:t>hypothesis (H1).</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Overall, </w:t>
      </w:r>
      <w:r w:rsidRPr="0059184B">
        <w:rPr>
          <w:rFonts w:ascii="Times New Roman" w:hAnsi="Times New Roman" w:cs="Times New Roman"/>
          <w:i/>
          <w:sz w:val="24"/>
          <w:szCs w:val="24"/>
        </w:rPr>
        <w:t>IR derivatives traded on exchanges</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credit derivatives traded OTC</w:t>
      </w:r>
      <w:r w:rsidRPr="0059184B">
        <w:rPr>
          <w:rFonts w:ascii="Times New Roman" w:hAnsi="Times New Roman" w:cs="Times New Roman"/>
          <w:sz w:val="24"/>
          <w:szCs w:val="24"/>
        </w:rPr>
        <w:t xml:space="preserve"> show significant impact on banks’ contribution to systemic risk while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xml:space="preserve"> presents insignificant effects.</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As shown in Table 3, the interaction term between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marginal significant only when </w:t>
      </w:r>
      <w:r w:rsidRPr="0059184B">
        <w:rPr>
          <w:rFonts w:ascii="Times New Roman" w:hAnsi="Times New Roman" w:cs="Times New Roman"/>
          <w:i/>
          <w:sz w:val="24"/>
          <w:szCs w:val="24"/>
        </w:rPr>
        <w:t>industry beta</w:t>
      </w:r>
      <w:r w:rsidRPr="0059184B">
        <w:rPr>
          <w:rFonts w:ascii="Times New Roman" w:hAnsi="Times New Roman" w:cs="Times New Roman"/>
          <w:sz w:val="24"/>
          <w:szCs w:val="24"/>
        </w:rPr>
        <w:t xml:space="preserve"> is used the capture systemic risk (model (6)). The positive coefficient sign, however, suggests after the implementation of the DFA</w:t>
      </w:r>
      <w:r w:rsidRPr="0059184B">
        <w:rPr>
          <w:rFonts w:ascii="Times New Roman" w:eastAsia="宋体" w:hAnsi="Times New Roman" w:cs="Times New Roman"/>
          <w:sz w:val="24"/>
          <w:szCs w:val="24"/>
        </w:rPr>
        <w:t xml:space="preserve">, </w:t>
      </w:r>
      <w:r w:rsidRPr="0059184B">
        <w:rPr>
          <w:rFonts w:ascii="Times New Roman" w:eastAsia="宋体" w:hAnsi="Times New Roman" w:cs="Times New Roman"/>
          <w:i/>
          <w:sz w:val="24"/>
          <w:szCs w:val="24"/>
        </w:rPr>
        <w:t>IR derivatives trade OTC</w:t>
      </w:r>
      <w:r w:rsidRPr="0059184B">
        <w:rPr>
          <w:rFonts w:ascii="Times New Roman" w:eastAsia="宋体" w:hAnsi="Times New Roman" w:cs="Times New Roman"/>
          <w:sz w:val="24"/>
          <w:szCs w:val="24"/>
        </w:rPr>
        <w:t xml:space="preserve"> marginally increases systemic risk, which is contrary to hypothesis (H1b). </w:t>
      </w:r>
      <w:r w:rsidRPr="0059184B">
        <w:rPr>
          <w:rFonts w:ascii="Times New Roman" w:hAnsi="Times New Roman" w:cs="Times New Roman"/>
          <w:sz w:val="24"/>
          <w:szCs w:val="24"/>
        </w:rPr>
        <w:t xml:space="preserve">The interaction term between </w:t>
      </w:r>
      <w:r w:rsidRPr="0059184B">
        <w:rPr>
          <w:rFonts w:ascii="Times New Roman" w:hAnsi="Times New Roman" w:cs="Times New Roman"/>
          <w:i/>
          <w:sz w:val="24"/>
          <w:szCs w:val="24"/>
        </w:rPr>
        <w:t>IR derivatives traded on exchanges</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also marginal significant in model (6) but with a negative sign, which suggests that the </w:t>
      </w:r>
      <w:r w:rsidRPr="0059184B">
        <w:rPr>
          <w:rFonts w:ascii="Times New Roman" w:hAnsi="Times New Roman" w:cs="Times New Roman"/>
          <w:sz w:val="24"/>
          <w:szCs w:val="24"/>
        </w:rPr>
        <w:lastRenderedPageBreak/>
        <w:t>implementation of the DFA marginally</w:t>
      </w:r>
      <w:r w:rsidRPr="0059184B">
        <w:rPr>
          <w:rFonts w:ascii="Times New Roman" w:eastAsia="宋体" w:hAnsi="Times New Roman" w:cs="Times New Roman"/>
          <w:sz w:val="24"/>
          <w:szCs w:val="24"/>
        </w:rPr>
        <w:t xml:space="preserve"> migrated the hampering effect of I</w:t>
      </w:r>
      <w:r w:rsidRPr="0059184B">
        <w:rPr>
          <w:rFonts w:ascii="Times New Roman" w:eastAsia="宋体" w:hAnsi="Times New Roman" w:cs="Times New Roman"/>
          <w:i/>
          <w:sz w:val="24"/>
          <w:szCs w:val="24"/>
        </w:rPr>
        <w:t>R derivatives trade on exchanges</w:t>
      </w:r>
      <w:r w:rsidRPr="0059184B">
        <w:rPr>
          <w:rFonts w:ascii="Times New Roman" w:eastAsia="宋体" w:hAnsi="Times New Roman" w:cs="Times New Roman"/>
          <w:sz w:val="24"/>
          <w:szCs w:val="24"/>
        </w:rPr>
        <w:t xml:space="preserve"> on systemic risk. T</w:t>
      </w:r>
      <w:r w:rsidRPr="0059184B">
        <w:rPr>
          <w:rFonts w:ascii="Times New Roman" w:hAnsi="Times New Roman" w:cs="Times New Roman"/>
          <w:sz w:val="24"/>
          <w:szCs w:val="24"/>
        </w:rPr>
        <w:t xml:space="preserve">he two interaction term between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Post_DFA</w:t>
      </w:r>
      <w:proofErr w:type="spellEnd"/>
      <w:r w:rsidRPr="0059184B">
        <w:rPr>
          <w:rFonts w:ascii="Times New Roman" w:hAnsi="Times New Roman" w:cs="Times New Roman"/>
          <w:sz w:val="24"/>
          <w:szCs w:val="24"/>
        </w:rPr>
        <w:t xml:space="preserve"> is significant when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eastAsia="宋体" w:hAnsi="Times New Roman" w:cs="Times New Roman"/>
          <w:sz w:val="24"/>
          <w:szCs w:val="24"/>
        </w:rPr>
        <w:t xml:space="preserve"> and </w:t>
      </w:r>
      <w:r w:rsidRPr="0059184B">
        <w:rPr>
          <w:rFonts w:ascii="Times New Roman" w:eastAsia="宋体" w:hAnsi="Times New Roman" w:cs="Times New Roman"/>
          <w:i/>
          <w:sz w:val="24"/>
          <w:szCs w:val="24"/>
        </w:rPr>
        <w:t>MES</w:t>
      </w:r>
      <w:r w:rsidRPr="0059184B">
        <w:rPr>
          <w:rFonts w:ascii="Times New Roman" w:eastAsia="宋体" w:hAnsi="Times New Roman" w:cs="Times New Roman"/>
          <w:sz w:val="24"/>
          <w:szCs w:val="24"/>
        </w:rPr>
        <w:t xml:space="preserve"> are used to capture systemic risk. The positive coefficient signs </w:t>
      </w:r>
      <w:r w:rsidRPr="0059184B">
        <w:rPr>
          <w:rFonts w:ascii="Times New Roman" w:hAnsi="Times New Roman" w:cs="Times New Roman"/>
          <w:sz w:val="24"/>
          <w:szCs w:val="24"/>
        </w:rPr>
        <w:t xml:space="preserve">in models (4) and (5) </w:t>
      </w:r>
      <w:r w:rsidRPr="0059184B">
        <w:rPr>
          <w:rFonts w:ascii="Times New Roman" w:eastAsia="宋体" w:hAnsi="Times New Roman" w:cs="Times New Roman"/>
          <w:sz w:val="24"/>
          <w:szCs w:val="24"/>
        </w:rPr>
        <w:t xml:space="preserve">support hypothesis (H1b) that the implementation of the DFA reduces the hampering effects of </w:t>
      </w:r>
      <w:r w:rsidRPr="0059184B">
        <w:rPr>
          <w:rFonts w:ascii="Times New Roman" w:eastAsia="宋体" w:hAnsi="Times New Roman" w:cs="Times New Roman"/>
          <w:i/>
          <w:sz w:val="24"/>
          <w:szCs w:val="24"/>
        </w:rPr>
        <w:t>credit derivatives trade OTC</w:t>
      </w:r>
      <w:r w:rsidRPr="0059184B">
        <w:rPr>
          <w:rFonts w:ascii="Times New Roman" w:eastAsia="宋体" w:hAnsi="Times New Roman" w:cs="Times New Roman"/>
          <w:sz w:val="24"/>
          <w:szCs w:val="24"/>
        </w:rPr>
        <w:t xml:space="preserve"> on systemic risk.</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eastAsiaTheme="minorHAnsi" w:hAnsi="Times New Roman" w:cs="Times New Roman"/>
          <w:sz w:val="24"/>
          <w:szCs w:val="24"/>
          <w:lang w:val="en-NZ" w:eastAsia="en-US"/>
        </w:rPr>
        <w:t xml:space="preserve">Overall, the results on </w:t>
      </w:r>
      <w:r w:rsidRPr="0059184B">
        <w:rPr>
          <w:rFonts w:ascii="Times New Roman" w:eastAsiaTheme="minorHAnsi" w:hAnsi="Times New Roman" w:cs="Times New Roman"/>
          <w:i/>
          <w:sz w:val="24"/>
          <w:szCs w:val="24"/>
          <w:lang w:val="en-NZ" w:eastAsia="en-US"/>
        </w:rPr>
        <w:t>IR derivative traded on exchanges,</w:t>
      </w:r>
      <w:r w:rsidRPr="0059184B">
        <w:rPr>
          <w:rFonts w:ascii="Times New Roman" w:eastAsiaTheme="minorHAnsi" w:hAnsi="Times New Roman" w:cs="Times New Roman"/>
          <w:sz w:val="24"/>
          <w:szCs w:val="24"/>
          <w:lang w:val="en-NZ" w:eastAsia="en-US"/>
        </w:rPr>
        <w:t xml:space="preserve"> </w:t>
      </w:r>
      <w:r w:rsidRPr="0059184B">
        <w:rPr>
          <w:rFonts w:ascii="Times New Roman" w:eastAsiaTheme="minorHAnsi" w:hAnsi="Times New Roman" w:cs="Times New Roman"/>
          <w:i/>
          <w:sz w:val="24"/>
          <w:szCs w:val="24"/>
          <w:lang w:val="en-NZ" w:eastAsia="en-US"/>
        </w:rPr>
        <w:t>credit derivatives</w:t>
      </w:r>
      <w:r w:rsidRPr="0059184B">
        <w:rPr>
          <w:rFonts w:ascii="Times New Roman" w:eastAsiaTheme="minorHAnsi" w:hAnsi="Times New Roman" w:cs="Times New Roman"/>
          <w:sz w:val="24"/>
          <w:szCs w:val="24"/>
          <w:lang w:val="en-NZ" w:eastAsia="en-US"/>
        </w:rPr>
        <w:t xml:space="preserve"> (</w:t>
      </w:r>
      <w:r w:rsidRPr="0059184B">
        <w:rPr>
          <w:rFonts w:ascii="Times New Roman" w:eastAsiaTheme="minorHAnsi" w:hAnsi="Times New Roman" w:cs="Times New Roman"/>
          <w:i/>
          <w:sz w:val="24"/>
          <w:szCs w:val="24"/>
          <w:lang w:val="en-NZ" w:eastAsia="en-US"/>
        </w:rPr>
        <w:t>traded OTC</w:t>
      </w:r>
      <w:r w:rsidRPr="0059184B">
        <w:rPr>
          <w:rFonts w:ascii="Times New Roman" w:eastAsiaTheme="minorHAnsi" w:hAnsi="Times New Roman" w:cs="Times New Roman"/>
          <w:sz w:val="24"/>
          <w:szCs w:val="24"/>
          <w:lang w:val="en-NZ" w:eastAsia="en-US"/>
        </w:rPr>
        <w:t xml:space="preserve">) and their interaction terms in Table 3 confirm hypothesis (H1), (H1a) and (H1b), while </w:t>
      </w:r>
      <w:r w:rsidRPr="0059184B">
        <w:rPr>
          <w:rFonts w:ascii="Times New Roman" w:hAnsi="Times New Roman" w:cs="Times New Roman"/>
          <w:sz w:val="24"/>
          <w:szCs w:val="24"/>
        </w:rPr>
        <w:t xml:space="preserve">the results on </w:t>
      </w:r>
      <w:r w:rsidRPr="0059184B">
        <w:rPr>
          <w:rFonts w:ascii="Times New Roman" w:hAnsi="Times New Roman" w:cs="Times New Roman"/>
          <w:i/>
          <w:sz w:val="24"/>
          <w:szCs w:val="24"/>
        </w:rPr>
        <w:t>IR derivative traded OTC</w:t>
      </w:r>
      <w:r w:rsidRPr="0059184B">
        <w:rPr>
          <w:rFonts w:ascii="Times New Roman" w:hAnsi="Times New Roman" w:cs="Times New Roman"/>
          <w:sz w:val="24"/>
          <w:szCs w:val="24"/>
        </w:rPr>
        <w:t xml:space="preserve"> show it has insignificant impacts on systemic </w:t>
      </w:r>
      <w:proofErr w:type="spellStart"/>
      <w:r w:rsidRPr="0059184B">
        <w:rPr>
          <w:rFonts w:ascii="Times New Roman" w:hAnsi="Times New Roman" w:cs="Times New Roman"/>
          <w:sz w:val="24"/>
          <w:szCs w:val="24"/>
        </w:rPr>
        <w:t>rik</w:t>
      </w:r>
      <w:proofErr w:type="spellEnd"/>
      <w:r w:rsidRPr="0059184B">
        <w:rPr>
          <w:rFonts w:ascii="Times New Roman" w:hAnsi="Times New Roman" w:cs="Times New Roman"/>
          <w:sz w:val="24"/>
          <w:szCs w:val="24"/>
        </w:rPr>
        <w:t xml:space="preserve">. However, interaction term between </w:t>
      </w:r>
      <w:r w:rsidRPr="0059184B">
        <w:rPr>
          <w:rFonts w:ascii="Times New Roman" w:hAnsi="Times New Roman" w:cs="Times New Roman"/>
          <w:i/>
          <w:sz w:val="24"/>
          <w:szCs w:val="24"/>
        </w:rPr>
        <w:t>IR derivative traded OTC</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kern w:val="0"/>
          <w:sz w:val="24"/>
          <w:szCs w:val="24"/>
        </w:rPr>
        <w:t>PostDFA</w:t>
      </w:r>
      <w:proofErr w:type="spellEnd"/>
      <w:r w:rsidRPr="0059184B">
        <w:rPr>
          <w:rFonts w:ascii="Times New Roman" w:hAnsi="Times New Roman" w:cs="Times New Roman"/>
          <w:sz w:val="24"/>
          <w:szCs w:val="24"/>
        </w:rPr>
        <w:t xml:space="preserve"> indicates, after the signing of the DFA</w:t>
      </w:r>
      <w:r w:rsidRPr="0059184B">
        <w:rPr>
          <w:rFonts w:ascii="Times New Roman" w:eastAsia="宋体" w:hAnsi="Times New Roman" w:cs="Times New Roman"/>
          <w:sz w:val="24"/>
          <w:szCs w:val="24"/>
        </w:rPr>
        <w:t xml:space="preserve">, </w:t>
      </w:r>
      <w:r w:rsidRPr="0059184B">
        <w:rPr>
          <w:rFonts w:ascii="Times New Roman" w:eastAsia="宋体" w:hAnsi="Times New Roman" w:cs="Times New Roman"/>
          <w:i/>
          <w:sz w:val="24"/>
          <w:szCs w:val="24"/>
        </w:rPr>
        <w:t>IR derivatives trade OTC</w:t>
      </w:r>
      <w:r w:rsidRPr="0059184B">
        <w:rPr>
          <w:rFonts w:ascii="Times New Roman" w:eastAsia="宋体" w:hAnsi="Times New Roman" w:cs="Times New Roman"/>
          <w:sz w:val="24"/>
          <w:szCs w:val="24"/>
        </w:rPr>
        <w:t xml:space="preserve"> marginally increases systemic risk when </w:t>
      </w:r>
      <w:r w:rsidRPr="0059184B">
        <w:rPr>
          <w:rFonts w:ascii="Times New Roman" w:eastAsia="宋体" w:hAnsi="Times New Roman" w:cs="Times New Roman"/>
          <w:i/>
          <w:sz w:val="24"/>
          <w:szCs w:val="24"/>
        </w:rPr>
        <w:t>industry beta</w:t>
      </w:r>
      <w:r w:rsidRPr="0059184B">
        <w:rPr>
          <w:rFonts w:ascii="Times New Roman" w:eastAsia="宋体" w:hAnsi="Times New Roman" w:cs="Times New Roman"/>
          <w:sz w:val="24"/>
          <w:szCs w:val="24"/>
        </w:rPr>
        <w:t xml:space="preserve"> in used to capture systemic risk. The findings on </w:t>
      </w:r>
      <w:r w:rsidRPr="0059184B">
        <w:rPr>
          <w:rFonts w:ascii="Times New Roman" w:eastAsia="宋体" w:hAnsi="Times New Roman" w:cs="Times New Roman"/>
          <w:i/>
          <w:sz w:val="24"/>
          <w:szCs w:val="24"/>
        </w:rPr>
        <w:t xml:space="preserve">credit derivatives </w:t>
      </w:r>
      <w:r w:rsidRPr="0059184B">
        <w:rPr>
          <w:rFonts w:ascii="Times New Roman" w:eastAsia="宋体" w:hAnsi="Times New Roman" w:cs="Times New Roman"/>
          <w:sz w:val="24"/>
          <w:szCs w:val="24"/>
        </w:rPr>
        <w:t>(</w:t>
      </w:r>
      <w:r w:rsidRPr="0059184B">
        <w:rPr>
          <w:rFonts w:ascii="Times New Roman" w:eastAsia="宋体" w:hAnsi="Times New Roman" w:cs="Times New Roman"/>
          <w:i/>
          <w:sz w:val="24"/>
          <w:szCs w:val="24"/>
        </w:rPr>
        <w:t>traded OTC</w:t>
      </w:r>
      <w:r w:rsidRPr="0059184B">
        <w:rPr>
          <w:rFonts w:ascii="Times New Roman" w:eastAsia="宋体" w:hAnsi="Times New Roman" w:cs="Times New Roman"/>
          <w:sz w:val="24"/>
          <w:szCs w:val="24"/>
        </w:rPr>
        <w:t xml:space="preserve">) </w:t>
      </w:r>
      <w:r w:rsidRPr="0059184B">
        <w:rPr>
          <w:rFonts w:ascii="Times New Roman" w:hAnsi="Times New Roman" w:cs="Times New Roman"/>
          <w:sz w:val="24"/>
          <w:szCs w:val="24"/>
        </w:rPr>
        <w:t xml:space="preserve">provide supportive evidences that the central clearing channel of the DFA effectively lower banks’ systemic risk associated with OTC </w:t>
      </w:r>
      <w:r w:rsidRPr="0059184B">
        <w:rPr>
          <w:rFonts w:ascii="Times New Roman" w:eastAsia="宋体" w:hAnsi="Times New Roman" w:cs="Times New Roman"/>
          <w:sz w:val="24"/>
          <w:szCs w:val="24"/>
        </w:rPr>
        <w:t xml:space="preserve">credit derivatives. On the other hand, the findings on </w:t>
      </w:r>
      <w:r w:rsidRPr="0059184B">
        <w:rPr>
          <w:rFonts w:ascii="Times New Roman" w:eastAsia="宋体" w:hAnsi="Times New Roman" w:cs="Times New Roman"/>
          <w:i/>
          <w:sz w:val="24"/>
          <w:szCs w:val="24"/>
        </w:rPr>
        <w:t>IR derivative traded OTC</w:t>
      </w:r>
      <w:r w:rsidRPr="0059184B">
        <w:rPr>
          <w:rFonts w:ascii="Times New Roman" w:eastAsia="宋体" w:hAnsi="Times New Roman" w:cs="Times New Roman"/>
          <w:sz w:val="24"/>
          <w:szCs w:val="24"/>
        </w:rPr>
        <w:t xml:space="preserve"> suggest that the</w:t>
      </w:r>
      <w:r w:rsidRPr="0059184B">
        <w:rPr>
          <w:rFonts w:ascii="Times New Roman" w:hAnsi="Times New Roman" w:cs="Times New Roman"/>
          <w:sz w:val="24"/>
          <w:szCs w:val="24"/>
        </w:rPr>
        <w:t xml:space="preserve"> central clearing channel of the DFA might not work out appropriately for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All the other control variables in Table 3 present consistent significance and signs as in Table 2.</w:t>
      </w:r>
    </w:p>
    <w:p w:rsidR="0088048C" w:rsidRPr="0059184B" w:rsidRDefault="0088048C" w:rsidP="0088048C">
      <w:pPr>
        <w:spacing w:before="120" w:after="120" w:line="360" w:lineRule="auto"/>
        <w:rPr>
          <w:rFonts w:ascii="Times New Roman" w:hAnsi="Times New Roman" w:cs="Times New Roman"/>
          <w:sz w:val="24"/>
          <w:szCs w:val="24"/>
        </w:rPr>
      </w:pPr>
    </w:p>
    <w:p w:rsidR="0088048C" w:rsidRPr="0059184B" w:rsidRDefault="0088048C" w:rsidP="0088048C">
      <w:pPr>
        <w:pStyle w:val="3"/>
        <w:rPr>
          <w:rFonts w:ascii="Times New Roman" w:hAnsi="Times New Roman" w:cs="Times New Roman"/>
          <w:sz w:val="24"/>
          <w:szCs w:val="24"/>
        </w:rPr>
      </w:pPr>
      <w:r w:rsidRPr="0059184B">
        <w:rPr>
          <w:rFonts w:ascii="Times New Roman" w:hAnsi="Times New Roman" w:cs="Times New Roman"/>
          <w:sz w:val="24"/>
          <w:szCs w:val="24"/>
        </w:rPr>
        <w:t>5.2. Derivatives, DFA and bank’s risk.</w:t>
      </w: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eastAsia="宋体" w:hAnsi="Times New Roman" w:cs="Times New Roman"/>
          <w:sz w:val="24"/>
          <w:szCs w:val="24"/>
        </w:rPr>
        <w:t xml:space="preserve">We investigate (H2a), (H2b), (H2c), (H3a) and (H3b) with three measures of bank risk: (1) </w:t>
      </w:r>
      <w:r w:rsidRPr="0059184B">
        <w:rPr>
          <w:rFonts w:ascii="Times New Roman" w:eastAsia="宋体" w:hAnsi="Times New Roman" w:cs="Times New Roman"/>
          <w:i/>
          <w:sz w:val="24"/>
          <w:szCs w:val="24"/>
        </w:rPr>
        <w:t>Z-score</w:t>
      </w:r>
      <w:r w:rsidRPr="0059184B">
        <w:rPr>
          <w:rFonts w:ascii="Times New Roman" w:eastAsia="宋体" w:hAnsi="Times New Roman" w:cs="Times New Roman"/>
          <w:sz w:val="24"/>
          <w:szCs w:val="24"/>
        </w:rPr>
        <w:t xml:space="preserve">, as calculated by </w:t>
      </w:r>
      <w:proofErr w:type="spellStart"/>
      <w:r w:rsidRPr="0059184B">
        <w:rPr>
          <w:rFonts w:ascii="Times New Roman" w:eastAsia="宋体" w:hAnsi="Times New Roman" w:cs="Times New Roman"/>
          <w:sz w:val="24"/>
          <w:szCs w:val="24"/>
        </w:rPr>
        <w:t>Laeven</w:t>
      </w:r>
      <w:proofErr w:type="spellEnd"/>
      <w:r w:rsidRPr="0059184B">
        <w:rPr>
          <w:rFonts w:ascii="Times New Roman" w:eastAsia="宋体" w:hAnsi="Times New Roman" w:cs="Times New Roman"/>
          <w:sz w:val="24"/>
          <w:szCs w:val="24"/>
        </w:rPr>
        <w:t xml:space="preserve"> and Levine (2009), (2) </w:t>
      </w:r>
      <w:r w:rsidRPr="0059184B">
        <w:rPr>
          <w:rFonts w:ascii="Times New Roman" w:eastAsia="宋体" w:hAnsi="Times New Roman" w:cs="Times New Roman"/>
          <w:i/>
          <w:sz w:val="24"/>
          <w:szCs w:val="24"/>
        </w:rPr>
        <w:t>distance to default</w:t>
      </w:r>
      <w:r w:rsidRPr="0059184B">
        <w:rPr>
          <w:rFonts w:ascii="Times New Roman" w:eastAsia="宋体" w:hAnsi="Times New Roman" w:cs="Times New Roman"/>
          <w:sz w:val="24"/>
          <w:szCs w:val="24"/>
        </w:rPr>
        <w:t xml:space="preserve">, (3) </w:t>
      </w:r>
      <w:proofErr w:type="spellStart"/>
      <w:r w:rsidRPr="0059184B">
        <w:rPr>
          <w:rFonts w:ascii="Times New Roman" w:eastAsia="宋体" w:hAnsi="Times New Roman" w:cs="Times New Roman"/>
          <w:i/>
          <w:sz w:val="24"/>
          <w:szCs w:val="24"/>
        </w:rPr>
        <w:t>VaR</w:t>
      </w:r>
      <w:proofErr w:type="spellEnd"/>
      <w:r w:rsidRPr="0059184B">
        <w:rPr>
          <w:rFonts w:ascii="Times New Roman" w:eastAsia="宋体" w:hAnsi="Times New Roman" w:cs="Times New Roman"/>
          <w:i/>
          <w:sz w:val="24"/>
          <w:szCs w:val="24"/>
        </w:rPr>
        <w:t xml:space="preserve"> </w:t>
      </w:r>
      <w:r w:rsidRPr="0059184B">
        <w:rPr>
          <w:rFonts w:ascii="Times New Roman" w:eastAsia="宋体" w:hAnsi="Times New Roman" w:cs="Times New Roman"/>
          <w:sz w:val="24"/>
          <w:szCs w:val="24"/>
        </w:rPr>
        <w:t xml:space="preserve">and (4) </w:t>
      </w:r>
      <w:r w:rsidRPr="0059184B">
        <w:rPr>
          <w:rFonts w:ascii="Times New Roman" w:eastAsia="宋体" w:hAnsi="Times New Roman" w:cs="Times New Roman"/>
          <w:i/>
          <w:sz w:val="24"/>
          <w:szCs w:val="24"/>
        </w:rPr>
        <w:t>stock return volatility</w:t>
      </w:r>
      <w:r w:rsidRPr="0059184B">
        <w:rPr>
          <w:rFonts w:ascii="Times New Roman" w:eastAsia="宋体" w:hAnsi="Times New Roman" w:cs="Times New Roman"/>
          <w:sz w:val="24"/>
          <w:szCs w:val="24"/>
        </w:rPr>
        <w:t xml:space="preserve">,. </w:t>
      </w:r>
      <w:r w:rsidRPr="0059184B">
        <w:rPr>
          <w:rFonts w:ascii="Times New Roman" w:eastAsia="宋体" w:hAnsi="Times New Roman" w:cs="Times New Roman"/>
          <w:i/>
          <w:sz w:val="24"/>
          <w:szCs w:val="24"/>
        </w:rPr>
        <w:t>Z-score</w:t>
      </w:r>
      <w:r w:rsidRPr="0059184B">
        <w:rPr>
          <w:rFonts w:ascii="Times New Roman" w:eastAsia="宋体" w:hAnsi="Times New Roman" w:cs="Times New Roman"/>
          <w:sz w:val="24"/>
          <w:szCs w:val="24"/>
        </w:rPr>
        <w:t xml:space="preserve"> and </w:t>
      </w:r>
      <w:r w:rsidRPr="0059184B">
        <w:rPr>
          <w:rFonts w:ascii="Times New Roman" w:eastAsia="宋体" w:hAnsi="Times New Roman" w:cs="Times New Roman"/>
          <w:i/>
          <w:sz w:val="24"/>
          <w:szCs w:val="24"/>
        </w:rPr>
        <w:t xml:space="preserve">distance to default </w:t>
      </w:r>
      <w:r w:rsidRPr="0059184B">
        <w:rPr>
          <w:rFonts w:ascii="Times New Roman" w:eastAsia="宋体" w:hAnsi="Times New Roman" w:cs="Times New Roman"/>
          <w:sz w:val="24"/>
          <w:szCs w:val="24"/>
        </w:rPr>
        <w:t xml:space="preserve">captures bank’s credit risk and </w:t>
      </w:r>
      <w:r w:rsidRPr="0059184B">
        <w:rPr>
          <w:rFonts w:ascii="Times New Roman" w:eastAsia="宋体" w:hAnsi="Times New Roman" w:cs="Times New Roman"/>
          <w:i/>
          <w:sz w:val="24"/>
          <w:szCs w:val="24"/>
        </w:rPr>
        <w:t>Z-score</w:t>
      </w:r>
      <w:r w:rsidRPr="0059184B">
        <w:rPr>
          <w:rFonts w:ascii="Times New Roman" w:eastAsia="宋体" w:hAnsi="Times New Roman" w:cs="Times New Roman"/>
          <w:sz w:val="24"/>
          <w:szCs w:val="24"/>
        </w:rPr>
        <w:t xml:space="preserve"> is calculated using the past 16 quarters of data. Standard deviation of stock return and 95% </w:t>
      </w:r>
      <w:proofErr w:type="spellStart"/>
      <w:r w:rsidRPr="0059184B">
        <w:rPr>
          <w:rFonts w:ascii="Times New Roman" w:eastAsia="宋体" w:hAnsi="Times New Roman" w:cs="Times New Roman"/>
          <w:i/>
          <w:sz w:val="24"/>
          <w:szCs w:val="24"/>
        </w:rPr>
        <w:t>VaR</w:t>
      </w:r>
      <w:proofErr w:type="spellEnd"/>
      <w:r w:rsidRPr="0059184B">
        <w:rPr>
          <w:rFonts w:ascii="Times New Roman" w:eastAsia="宋体" w:hAnsi="Times New Roman" w:cs="Times New Roman"/>
          <w:sz w:val="24"/>
          <w:szCs w:val="24"/>
        </w:rPr>
        <w:t xml:space="preserve"> capture bank’s overall risk and bank’s worst loss respectively. </w:t>
      </w:r>
      <w:r w:rsidRPr="0059184B">
        <w:rPr>
          <w:rFonts w:ascii="Times New Roman" w:eastAsia="宋体" w:hAnsi="Times New Roman" w:cs="Times New Roman"/>
          <w:i/>
          <w:sz w:val="24"/>
          <w:szCs w:val="24"/>
        </w:rPr>
        <w:t>Stock return volatility</w:t>
      </w:r>
      <w:r w:rsidRPr="0059184B">
        <w:rPr>
          <w:rFonts w:ascii="Times New Roman" w:eastAsia="宋体" w:hAnsi="Times New Roman" w:cs="Times New Roman"/>
          <w:sz w:val="24"/>
          <w:szCs w:val="24"/>
        </w:rPr>
        <w:t xml:space="preserve"> and </w:t>
      </w:r>
      <w:proofErr w:type="spellStart"/>
      <w:r w:rsidRPr="0059184B">
        <w:rPr>
          <w:rFonts w:ascii="Times New Roman" w:eastAsia="宋体" w:hAnsi="Times New Roman" w:cs="Times New Roman"/>
          <w:i/>
          <w:sz w:val="24"/>
          <w:szCs w:val="24"/>
        </w:rPr>
        <w:t>VaR</w:t>
      </w:r>
      <w:proofErr w:type="spellEnd"/>
      <w:r w:rsidRPr="0059184B">
        <w:rPr>
          <w:rFonts w:ascii="Times New Roman" w:eastAsia="宋体" w:hAnsi="Times New Roman" w:cs="Times New Roman"/>
          <w:sz w:val="24"/>
          <w:szCs w:val="24"/>
        </w:rPr>
        <w:t xml:space="preserve"> are calculated using six months and three months of daily stock return data, respectively.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eastAsia="宋体" w:hAnsi="Times New Roman" w:cs="Times New Roman"/>
          <w:sz w:val="24"/>
          <w:szCs w:val="24"/>
        </w:rPr>
        <w:t xml:space="preserve">Table 4 and Table 5 report the regression results for Equation (8). </w:t>
      </w:r>
      <w:r w:rsidRPr="0059184B">
        <w:rPr>
          <w:rFonts w:ascii="Times New Roman" w:hAnsi="Times New Roman" w:cs="Times New Roman"/>
          <w:sz w:val="24"/>
          <w:szCs w:val="24"/>
        </w:rPr>
        <w:t xml:space="preserve">Models (1), (2), (3) and (4) respectively show the effects of derivative categories, without considering the DFA, on </w:t>
      </w:r>
      <w:r w:rsidRPr="0059184B">
        <w:rPr>
          <w:rFonts w:ascii="Times New Roman" w:hAnsi="Times New Roman" w:cs="Times New Roman"/>
          <w:i/>
          <w:sz w:val="24"/>
          <w:szCs w:val="24"/>
        </w:rPr>
        <w:lastRenderedPageBreak/>
        <w:t>Z-score</w:t>
      </w:r>
      <w:r w:rsidRPr="0059184B">
        <w:rPr>
          <w:rFonts w:ascii="Times New Roman" w:hAnsi="Times New Roman" w:cs="Times New Roman"/>
          <w:sz w:val="24"/>
          <w:szCs w:val="24"/>
        </w:rPr>
        <w:t xml:space="preserve">, </w:t>
      </w:r>
      <w:r w:rsidRPr="0059184B">
        <w:rPr>
          <w:rFonts w:ascii="Times New Roman" w:eastAsia="宋体" w:hAnsi="Times New Roman" w:cs="Times New Roman"/>
          <w:i/>
          <w:sz w:val="24"/>
          <w:szCs w:val="24"/>
        </w:rPr>
        <w:t xml:space="preserve">distance to default, </w:t>
      </w:r>
      <w:r w:rsidRPr="0059184B">
        <w:rPr>
          <w:rFonts w:ascii="Times New Roman" w:hAnsi="Times New Roman" w:cs="Times New Roman"/>
          <w:sz w:val="24"/>
          <w:szCs w:val="24"/>
        </w:rPr>
        <w:t xml:space="preserve">95% </w:t>
      </w:r>
      <w:proofErr w:type="spellStart"/>
      <w:r w:rsidRPr="0059184B">
        <w:rPr>
          <w:rFonts w:ascii="Times New Roman" w:hAnsi="Times New Roman" w:cs="Times New Roman"/>
          <w:i/>
          <w:sz w:val="24"/>
          <w:szCs w:val="24"/>
        </w:rPr>
        <w:t>VaR</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and</w:t>
      </w:r>
      <w:r w:rsidRPr="0059184B">
        <w:rPr>
          <w:rFonts w:ascii="Times New Roman" w:hAnsi="Times New Roman" w:cs="Times New Roman"/>
          <w:i/>
          <w:sz w:val="24"/>
          <w:szCs w:val="24"/>
        </w:rPr>
        <w:t xml:space="preserve"> stock return volatility</w:t>
      </w:r>
      <w:r w:rsidRPr="0059184B">
        <w:rPr>
          <w:rFonts w:ascii="Times New Roman" w:hAnsi="Times New Roman" w:cs="Times New Roman"/>
          <w:sz w:val="24"/>
          <w:szCs w:val="24"/>
        </w:rPr>
        <w:t>,</w:t>
      </w:r>
      <w:r w:rsidRPr="0059184B">
        <w:rPr>
          <w:rFonts w:ascii="Times New Roman" w:eastAsia="宋体" w:hAnsi="Times New Roman" w:cs="Times New Roman"/>
          <w:sz w:val="24"/>
          <w:szCs w:val="24"/>
        </w:rPr>
        <w:t xml:space="preserve">. </w:t>
      </w:r>
      <w:r w:rsidRPr="0059184B">
        <w:rPr>
          <w:rFonts w:ascii="Times New Roman" w:hAnsi="Times New Roman" w:cs="Times New Roman"/>
          <w:sz w:val="24"/>
          <w:szCs w:val="24"/>
        </w:rPr>
        <w:t xml:space="preserve">Models  (5), (6), (7) and (8) respectively extend models (1), (2), (3) and (4) by adding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and three interaction terms between three derivative categories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w:t>
      </w: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hAnsi="Times New Roman" w:cs="Times New Roman"/>
          <w:sz w:val="24"/>
          <w:szCs w:val="24"/>
        </w:rPr>
        <w:t>TABLE 4 HERE</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As shown in Table 4, without considering the DFA, net credit derivatives is significant in model (1) and model (4).The negative sign of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coefficient in model (1) suggests that the use of credit derivatives lowers banks’ </w:t>
      </w:r>
      <w:r w:rsidRPr="0059184B">
        <w:rPr>
          <w:rFonts w:ascii="Times New Roman" w:hAnsi="Times New Roman" w:cs="Times New Roman"/>
          <w:i/>
          <w:sz w:val="24"/>
          <w:szCs w:val="24"/>
        </w:rPr>
        <w:t>Z-score</w:t>
      </w:r>
      <w:r w:rsidRPr="0059184B">
        <w:rPr>
          <w:rFonts w:ascii="Times New Roman" w:hAnsi="Times New Roman" w:cs="Times New Roman"/>
          <w:sz w:val="24"/>
          <w:szCs w:val="24"/>
        </w:rPr>
        <w:t xml:space="preserve">, and raises bank’s credit risk. Consistently, the positive sign of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coefficient in model (4) suggests the use of credit derivatives increases stock volatility and overall risk. There findings are consistent with hypothesis (H2b) and in line with </w:t>
      </w:r>
      <w:proofErr w:type="spellStart"/>
      <w:r w:rsidRPr="0059184B">
        <w:rPr>
          <w:rFonts w:ascii="Times New Roman" w:eastAsia="AdvGulliv-R" w:hAnsi="Times New Roman" w:cs="Times New Roman" w:hint="eastAsia"/>
          <w:kern w:val="0"/>
          <w:sz w:val="24"/>
          <w:szCs w:val="24"/>
        </w:rPr>
        <w:t>Keppo</w:t>
      </w:r>
      <w:proofErr w:type="spellEnd"/>
      <w:r w:rsidRPr="0059184B">
        <w:rPr>
          <w:rFonts w:ascii="Times New Roman" w:eastAsia="AdvGulliv-R" w:hAnsi="Times New Roman" w:cs="Times New Roman" w:hint="eastAsia"/>
          <w:kern w:val="0"/>
          <w:sz w:val="24"/>
          <w:szCs w:val="24"/>
        </w:rPr>
        <w:t xml:space="preserve"> and </w:t>
      </w:r>
      <w:proofErr w:type="spellStart"/>
      <w:r w:rsidRPr="0059184B">
        <w:rPr>
          <w:rFonts w:ascii="Times New Roman" w:eastAsia="AdvGulliv-R" w:hAnsi="Times New Roman" w:cs="Times New Roman" w:hint="eastAsia"/>
          <w:kern w:val="0"/>
          <w:sz w:val="24"/>
          <w:szCs w:val="24"/>
        </w:rPr>
        <w:t>Korte</w:t>
      </w:r>
      <w:proofErr w:type="spellEnd"/>
      <w:r w:rsidRPr="0059184B">
        <w:rPr>
          <w:rFonts w:ascii="Times New Roman" w:eastAsia="AdvGulliv-R" w:hAnsi="Times New Roman" w:cs="Times New Roman" w:hint="eastAsia"/>
          <w:kern w:val="0"/>
          <w:sz w:val="24"/>
          <w:szCs w:val="24"/>
        </w:rPr>
        <w:t xml:space="preserve"> (2016)</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is significant in model (4) with a negative coefficient sign, which suggests the use of IR derivatives for trading somehow lowers banks’ </w:t>
      </w:r>
      <w:r w:rsidRPr="0059184B">
        <w:rPr>
          <w:rFonts w:ascii="Times New Roman" w:hAnsi="Times New Roman" w:cs="Times New Roman"/>
          <w:i/>
          <w:sz w:val="24"/>
          <w:szCs w:val="24"/>
        </w:rPr>
        <w:t>stock return volatility</w:t>
      </w:r>
      <w:r w:rsidRPr="0059184B">
        <w:rPr>
          <w:rFonts w:ascii="Times New Roman" w:hAnsi="Times New Roman" w:cs="Times New Roman"/>
          <w:sz w:val="24"/>
          <w:szCs w:val="24"/>
        </w:rPr>
        <w:t xml:space="preserve"> and overall risks. The negative sign of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in model (2) indicates that holdings of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decreases banks’ </w:t>
      </w:r>
      <w:r w:rsidRPr="0059184B">
        <w:rPr>
          <w:rFonts w:ascii="Times New Roman" w:hAnsi="Times New Roman" w:cs="Times New Roman"/>
          <w:i/>
          <w:sz w:val="24"/>
          <w:szCs w:val="24"/>
        </w:rPr>
        <w:t>distance to default</w:t>
      </w:r>
      <w:r w:rsidRPr="0059184B">
        <w:rPr>
          <w:rFonts w:ascii="Times New Roman" w:hAnsi="Times New Roman" w:cs="Times New Roman"/>
          <w:sz w:val="24"/>
          <w:szCs w:val="24"/>
        </w:rPr>
        <w:t xml:space="preserve"> and therefore increases banks’ credit risk. These findings on IR derivatives for trading or hedging do not support hypothesis (H2a).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As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and the three interaction terms are added in models (5), (6), (7) and (8) in Table 4,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is significantly negative (</w:t>
      </w:r>
      <w:proofErr w:type="spellStart"/>
      <w:r w:rsidRPr="0059184B">
        <w:rPr>
          <w:rFonts w:ascii="Times New Roman" w:hAnsi="Times New Roman" w:cs="Times New Roman"/>
          <w:sz w:val="24"/>
          <w:szCs w:val="24"/>
        </w:rPr>
        <w:t>posiotive</w:t>
      </w:r>
      <w:proofErr w:type="spellEnd"/>
      <w:r w:rsidRPr="0059184B">
        <w:rPr>
          <w:rFonts w:ascii="Times New Roman" w:hAnsi="Times New Roman" w:cs="Times New Roman"/>
          <w:sz w:val="24"/>
          <w:szCs w:val="24"/>
        </w:rPr>
        <w:t xml:space="preserve">) in model (6) (model (8)), suggesting the use of credit derivatives increases banks’ </w:t>
      </w:r>
      <w:r w:rsidRPr="0059184B">
        <w:rPr>
          <w:rFonts w:ascii="Times New Roman" w:hAnsi="Times New Roman" w:cs="Times New Roman"/>
          <w:i/>
          <w:sz w:val="24"/>
          <w:szCs w:val="24"/>
        </w:rPr>
        <w:t xml:space="preserve">distance to default </w:t>
      </w:r>
      <w:r w:rsidRPr="0059184B">
        <w:rPr>
          <w:rFonts w:ascii="Times New Roman" w:hAnsi="Times New Roman" w:cs="Times New Roman"/>
          <w:sz w:val="24"/>
          <w:szCs w:val="24"/>
        </w:rPr>
        <w:t>(</w:t>
      </w:r>
      <w:r w:rsidRPr="0059184B">
        <w:rPr>
          <w:rFonts w:ascii="Times New Roman" w:hAnsi="Times New Roman" w:cs="Times New Roman"/>
          <w:i/>
          <w:sz w:val="24"/>
          <w:szCs w:val="24"/>
        </w:rPr>
        <w:t>stock return volatility</w:t>
      </w:r>
      <w:r w:rsidRPr="0059184B">
        <w:rPr>
          <w:rFonts w:ascii="Times New Roman" w:hAnsi="Times New Roman" w:cs="Times New Roman"/>
          <w:sz w:val="24"/>
          <w:szCs w:val="24"/>
        </w:rPr>
        <w:t xml:space="preserve">) and credit risk (overall risk) </w:t>
      </w:r>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is significant in model (8) while </w:t>
      </w:r>
      <w:r w:rsidRPr="0059184B">
        <w:rPr>
          <w:rFonts w:ascii="Times New Roman" w:hAnsi="Times New Roman" w:cs="Times New Roman"/>
          <w:i/>
          <w:sz w:val="24"/>
          <w:szCs w:val="24"/>
        </w:rPr>
        <w:t xml:space="preserve">IR derivatives for hedging </w:t>
      </w:r>
      <w:r w:rsidRPr="0059184B">
        <w:rPr>
          <w:rFonts w:ascii="Times New Roman" w:hAnsi="Times New Roman" w:cs="Times New Roman"/>
          <w:sz w:val="24"/>
          <w:szCs w:val="24"/>
        </w:rPr>
        <w:t xml:space="preserve">becomes significant in models (6), (7) and (8). The negative coefficient sign of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in model (6) and (7), and its positive coefficient sign in model (8) suggest that holdings of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hamper bank’s credit risk, worst loss and overall risk, as measured by </w:t>
      </w:r>
      <w:r w:rsidRPr="0059184B">
        <w:rPr>
          <w:rFonts w:ascii="Times New Roman" w:hAnsi="Times New Roman" w:cs="Times New Roman"/>
          <w:i/>
          <w:sz w:val="24"/>
          <w:szCs w:val="24"/>
        </w:rPr>
        <w:t xml:space="preserve">distance to default, </w:t>
      </w:r>
      <w:proofErr w:type="spellStart"/>
      <w:r w:rsidRPr="0059184B">
        <w:rPr>
          <w:rFonts w:ascii="Times New Roman" w:hAnsi="Times New Roman" w:cs="Times New Roman"/>
          <w:i/>
          <w:sz w:val="24"/>
          <w:szCs w:val="24"/>
        </w:rPr>
        <w:t>VaR</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and </w:t>
      </w:r>
      <w:r w:rsidRPr="0059184B">
        <w:rPr>
          <w:rFonts w:ascii="Times New Roman" w:hAnsi="Times New Roman" w:cs="Times New Roman"/>
          <w:i/>
          <w:sz w:val="24"/>
          <w:szCs w:val="24"/>
        </w:rPr>
        <w:t>stock return volatility</w:t>
      </w:r>
      <w:r w:rsidRPr="0059184B">
        <w:rPr>
          <w:rFonts w:ascii="Times New Roman" w:hAnsi="Times New Roman" w:cs="Times New Roman"/>
          <w:sz w:val="24"/>
          <w:szCs w:val="24"/>
        </w:rPr>
        <w:t xml:space="preserve"> respectively. In contrast, the use of </w:t>
      </w:r>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lowers bank’s overall risk, as evidenced by its significant negative coefficient in model (8). The significant effects of both IR derivative categories do not support hypothesis (H2a). </w:t>
      </w:r>
    </w:p>
    <w:p w:rsidR="0088048C" w:rsidRPr="0059184B" w:rsidRDefault="0088048C" w:rsidP="0088048C">
      <w:pPr>
        <w:spacing w:before="120" w:after="120" w:line="360" w:lineRule="auto"/>
        <w:rPr>
          <w:rFonts w:ascii="Times New Roman" w:hAnsi="Times New Roman" w:cs="Times New Roman"/>
          <w:sz w:val="24"/>
          <w:szCs w:val="24"/>
        </w:rPr>
      </w:pP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significant in all four models in Table 4 (models (5), (6), (7), (8)). The positive sign of its coefficient in model (7) implies that the signing of the DFA lowers the extent of </w:t>
      </w:r>
      <w:r w:rsidRPr="0059184B">
        <w:rPr>
          <w:rFonts w:ascii="Times New Roman" w:hAnsi="Times New Roman" w:cs="Times New Roman"/>
          <w:sz w:val="24"/>
          <w:szCs w:val="24"/>
        </w:rPr>
        <w:lastRenderedPageBreak/>
        <w:t xml:space="preserve">bank’s worst loss. In contrast, its significant negative coefficient in model (5) (6) and its significant positive coefficient in model (8) confirm hypothesis (H3a). In line with </w:t>
      </w:r>
      <w:r w:rsidRPr="0059184B">
        <w:rPr>
          <w:rFonts w:ascii="Times New Roman" w:eastAsia="AdvGulliv-R" w:hAnsi="Times New Roman" w:cs="Times New Roman"/>
          <w:kern w:val="0"/>
          <w:sz w:val="24"/>
          <w:szCs w:val="24"/>
        </w:rPr>
        <w:t xml:space="preserve">Chung, </w:t>
      </w:r>
      <w:proofErr w:type="spellStart"/>
      <w:r w:rsidRPr="0059184B">
        <w:rPr>
          <w:rFonts w:ascii="Times New Roman" w:eastAsia="AdvGulliv-R" w:hAnsi="Times New Roman" w:cs="Times New Roman"/>
          <w:kern w:val="0"/>
          <w:sz w:val="24"/>
          <w:szCs w:val="24"/>
        </w:rPr>
        <w:t>Keppo</w:t>
      </w:r>
      <w:proofErr w:type="spellEnd"/>
      <w:r w:rsidRPr="0059184B">
        <w:rPr>
          <w:rFonts w:ascii="Times New Roman" w:eastAsia="AdvGulliv-R" w:hAnsi="Times New Roman" w:cs="Times New Roman"/>
          <w:kern w:val="0"/>
          <w:sz w:val="24"/>
          <w:szCs w:val="24"/>
        </w:rPr>
        <w:t xml:space="preserve"> and Yuan (2016), these results indicate that t</w:t>
      </w:r>
      <w:r w:rsidRPr="0059184B">
        <w:rPr>
          <w:rFonts w:ascii="Times New Roman" w:hAnsi="Times New Roman" w:cs="Times New Roman"/>
          <w:sz w:val="24"/>
          <w:szCs w:val="24"/>
        </w:rPr>
        <w:t xml:space="preserve">he coming into effect of the DFA raises bank’s credit risk, as measured by </w:t>
      </w:r>
      <w:r w:rsidRPr="0059184B">
        <w:rPr>
          <w:rFonts w:ascii="Times New Roman" w:hAnsi="Times New Roman" w:cs="Times New Roman"/>
          <w:i/>
          <w:sz w:val="24"/>
          <w:szCs w:val="24"/>
        </w:rPr>
        <w:t>Z-score</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distance to default</w:t>
      </w:r>
      <w:r w:rsidRPr="0059184B">
        <w:rPr>
          <w:rFonts w:ascii="Times New Roman" w:hAnsi="Times New Roman" w:cs="Times New Roman"/>
          <w:sz w:val="24"/>
          <w:szCs w:val="24"/>
        </w:rPr>
        <w:t>, and bank’s overall risk, as measured by bank’s</w:t>
      </w:r>
      <w:r w:rsidRPr="0059184B">
        <w:rPr>
          <w:rFonts w:ascii="Times New Roman" w:hAnsi="Times New Roman" w:cs="Times New Roman"/>
          <w:i/>
          <w:sz w:val="24"/>
          <w:szCs w:val="24"/>
        </w:rPr>
        <w:t xml:space="preserve"> stock return volatility</w:t>
      </w:r>
      <w:r w:rsidRPr="0059184B">
        <w:rPr>
          <w:rFonts w:ascii="Times New Roman" w:hAnsi="Times New Roman" w:cs="Times New Roman"/>
          <w:sz w:val="24"/>
          <w:szCs w:val="24"/>
        </w:rPr>
        <w:t xml:space="preserve">.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In Table 4, the interaction terms between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significant in models (7) and (8). Its coefficient signs in these two models confirm hypothesis (H3b) that the signing of the DFA reduces the hampering effects of IR derivatives for hedging on bank’s volatility and the extent of bank’s worst loss. The interaction term between </w:t>
      </w:r>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is significant in models (6) and the negative coefficient sign suggests that signing of the DFA even worsened the hampering effects of </w:t>
      </w:r>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on credit risk, as measured by </w:t>
      </w:r>
      <w:r w:rsidRPr="0059184B">
        <w:rPr>
          <w:rFonts w:ascii="Times New Roman" w:hAnsi="Times New Roman" w:cs="Times New Roman"/>
          <w:i/>
          <w:sz w:val="24"/>
          <w:szCs w:val="24"/>
        </w:rPr>
        <w:t>distance to default</w:t>
      </w:r>
      <w:r w:rsidRPr="0059184B">
        <w:rPr>
          <w:rFonts w:ascii="Times New Roman" w:hAnsi="Times New Roman" w:cs="Times New Roman"/>
          <w:sz w:val="24"/>
          <w:szCs w:val="24"/>
        </w:rPr>
        <w:t xml:space="preserve">. The interaction term between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is significant in model (6), (7) and (8)and its coefficient signs confirm hypothesis (H3b) that implementation of the DFA lessened the hampering effects of credit derivatives on banks risk as well. The magnitudes of the coefficients for credit derivatives and its interaction term with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are found much larger than the magnitudes of the coefficients for IR derivatives and their interaction terms.</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Overall, the empirical evidence in Table 4 are consistent with hypothesis (H2b), (H3a) and partially support hypothesis (H3b) for two out of the three derivative categories examined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The results on </w:t>
      </w:r>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and its interaction term with </w:t>
      </w:r>
      <w:proofErr w:type="spellStart"/>
      <w:proofErr w:type="gram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do</w:t>
      </w:r>
      <w:proofErr w:type="gramEnd"/>
      <w:r w:rsidRPr="0059184B">
        <w:rPr>
          <w:rFonts w:ascii="Times New Roman" w:hAnsi="Times New Roman" w:cs="Times New Roman"/>
          <w:sz w:val="24"/>
          <w:szCs w:val="24"/>
        </w:rPr>
        <w:t xml:space="preserve"> not support hypothesis (H2a) and (H3b)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eastAsia="宋体" w:hAnsi="Times New Roman" w:cs="Times New Roman"/>
          <w:sz w:val="24"/>
          <w:szCs w:val="24"/>
        </w:rPr>
        <w:t xml:space="preserve">Adding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and</w:t>
      </w:r>
      <w:r w:rsidRPr="0059184B">
        <w:rPr>
          <w:rFonts w:ascii="Times New Roman" w:eastAsia="宋体" w:hAnsi="Times New Roman" w:cs="Times New Roman"/>
          <w:sz w:val="24"/>
          <w:szCs w:val="24"/>
        </w:rPr>
        <w:t xml:space="preserve"> the interaction terms in models (5), (6), (7) and (8) in Table 4 does not change the significance of any control variables (compared with models (1), (2), (3) and (4)). Table 4</w:t>
      </w:r>
      <w:r w:rsidRPr="0059184B">
        <w:rPr>
          <w:rFonts w:ascii="Times New Roman" w:hAnsi="Times New Roman" w:cs="Times New Roman"/>
          <w:sz w:val="24"/>
          <w:szCs w:val="24"/>
        </w:rPr>
        <w:t xml:space="preserve"> features only one significant control variable in all models, which is </w:t>
      </w:r>
      <w:r w:rsidRPr="0059184B">
        <w:rPr>
          <w:rFonts w:ascii="Times New Roman" w:hAnsi="Times New Roman" w:cs="Times New Roman"/>
          <w:i/>
          <w:sz w:val="24"/>
          <w:szCs w:val="24"/>
        </w:rPr>
        <w:t>short-term borrowing.</w:t>
      </w:r>
      <w:r w:rsidRPr="0059184B">
        <w:rPr>
          <w:rFonts w:ascii="Times New Roman" w:hAnsi="Times New Roman" w:cs="Times New Roman"/>
          <w:sz w:val="24"/>
          <w:szCs w:val="24"/>
        </w:rPr>
        <w:t xml:space="preserve"> However, the positive coefficient sign in models (1) and (5) are not consistent with the findings in other models. Results in models (2), (3), (4), (6), (7) and (8) suggest that </w:t>
      </w:r>
      <w:r w:rsidRPr="0059184B">
        <w:rPr>
          <w:rFonts w:ascii="Times New Roman" w:hAnsi="Times New Roman" w:cs="Times New Roman"/>
          <w:i/>
          <w:sz w:val="24"/>
          <w:szCs w:val="24"/>
        </w:rPr>
        <w:t xml:space="preserve">short-term borrowing </w:t>
      </w:r>
      <w:r w:rsidRPr="0059184B">
        <w:rPr>
          <w:rFonts w:ascii="Times New Roman" w:hAnsi="Times New Roman" w:cs="Times New Roman"/>
          <w:sz w:val="24"/>
          <w:szCs w:val="24"/>
        </w:rPr>
        <w:t xml:space="preserve">hampers bank’s credit risk, worst loss, and overall risk as measured by </w:t>
      </w:r>
      <w:r w:rsidRPr="0059184B">
        <w:rPr>
          <w:rFonts w:ascii="Times New Roman" w:hAnsi="Times New Roman" w:cs="Times New Roman"/>
          <w:i/>
          <w:sz w:val="24"/>
          <w:szCs w:val="24"/>
        </w:rPr>
        <w:t xml:space="preserve">distance to default, </w:t>
      </w:r>
      <w:proofErr w:type="spellStart"/>
      <w:r w:rsidRPr="0059184B">
        <w:rPr>
          <w:rFonts w:ascii="Times New Roman" w:hAnsi="Times New Roman" w:cs="Times New Roman"/>
          <w:i/>
          <w:sz w:val="24"/>
          <w:szCs w:val="24"/>
        </w:rPr>
        <w:t>VaR</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and </w:t>
      </w:r>
      <w:r w:rsidRPr="0059184B">
        <w:rPr>
          <w:rFonts w:ascii="Times New Roman" w:hAnsi="Times New Roman" w:cs="Times New Roman"/>
          <w:i/>
          <w:sz w:val="24"/>
          <w:szCs w:val="24"/>
        </w:rPr>
        <w:t xml:space="preserve">stock return volatility </w:t>
      </w:r>
      <w:r w:rsidRPr="0059184B">
        <w:rPr>
          <w:rFonts w:ascii="Times New Roman" w:hAnsi="Times New Roman" w:cs="Times New Roman"/>
          <w:sz w:val="24"/>
          <w:szCs w:val="24"/>
        </w:rPr>
        <w:t xml:space="preserve">respectively. </w:t>
      </w:r>
      <w:r w:rsidRPr="0059184B">
        <w:rPr>
          <w:rFonts w:ascii="Times New Roman" w:hAnsi="Times New Roman" w:cs="Times New Roman"/>
          <w:i/>
          <w:sz w:val="24"/>
          <w:szCs w:val="24"/>
        </w:rPr>
        <w:t xml:space="preserve">Loan loss provisions </w:t>
      </w:r>
      <w:r w:rsidRPr="0059184B">
        <w:rPr>
          <w:rFonts w:ascii="Times New Roman" w:hAnsi="Times New Roman" w:cs="Times New Roman"/>
          <w:sz w:val="24"/>
          <w:szCs w:val="24"/>
        </w:rPr>
        <w:t xml:space="preserve">and </w:t>
      </w:r>
      <w:r w:rsidRPr="0059184B">
        <w:rPr>
          <w:rFonts w:ascii="Times New Roman" w:hAnsi="Times New Roman" w:cs="Times New Roman"/>
          <w:i/>
          <w:sz w:val="24"/>
          <w:szCs w:val="24"/>
        </w:rPr>
        <w:t>book to market ratio</w:t>
      </w:r>
      <w:r w:rsidRPr="0059184B">
        <w:rPr>
          <w:rFonts w:ascii="Times New Roman" w:hAnsi="Times New Roman" w:cs="Times New Roman"/>
          <w:sz w:val="24"/>
          <w:szCs w:val="24"/>
        </w:rPr>
        <w:t xml:space="preserve"> are significant in models (2), (3), (4), (6), (7), (8). Their negative </w:t>
      </w:r>
      <w:r w:rsidRPr="0059184B">
        <w:rPr>
          <w:rFonts w:ascii="Times New Roman" w:hAnsi="Times New Roman" w:cs="Times New Roman"/>
          <w:sz w:val="24"/>
          <w:szCs w:val="24"/>
        </w:rPr>
        <w:lastRenderedPageBreak/>
        <w:t>coefficient sign in models (2), (3), (6), (7) and positive sign in (4), (8) suggest that banks with poor asset quality (</w:t>
      </w:r>
      <w:r w:rsidRPr="0059184B">
        <w:rPr>
          <w:rFonts w:ascii="Times New Roman" w:hAnsi="Times New Roman" w:cs="Times New Roman"/>
          <w:i/>
          <w:sz w:val="24"/>
          <w:szCs w:val="24"/>
        </w:rPr>
        <w:t>loan loss provisions</w:t>
      </w:r>
      <w:r w:rsidRPr="0059184B">
        <w:rPr>
          <w:rFonts w:ascii="Times New Roman" w:hAnsi="Times New Roman" w:cs="Times New Roman"/>
          <w:sz w:val="24"/>
          <w:szCs w:val="24"/>
        </w:rPr>
        <w:t xml:space="preserve">) and higher </w:t>
      </w:r>
      <w:r w:rsidRPr="0059184B">
        <w:rPr>
          <w:rFonts w:ascii="Times New Roman" w:hAnsi="Times New Roman" w:cs="Times New Roman"/>
          <w:i/>
          <w:sz w:val="24"/>
          <w:szCs w:val="24"/>
        </w:rPr>
        <w:t>book to market ratio</w:t>
      </w:r>
      <w:r w:rsidRPr="0059184B">
        <w:rPr>
          <w:rFonts w:ascii="Times New Roman" w:hAnsi="Times New Roman" w:cs="Times New Roman"/>
          <w:sz w:val="24"/>
          <w:szCs w:val="24"/>
        </w:rPr>
        <w:t xml:space="preserve"> tend to experience higher credit risk, worst loss and overall risk. Similarly, the significantly negative coefficient sign of </w:t>
      </w:r>
      <w:r w:rsidRPr="0059184B">
        <w:rPr>
          <w:rFonts w:ascii="Times New Roman" w:hAnsi="Times New Roman" w:cs="Times New Roman"/>
          <w:i/>
          <w:sz w:val="24"/>
          <w:szCs w:val="24"/>
        </w:rPr>
        <w:t>stock volatility in 6 months</w:t>
      </w:r>
      <w:r w:rsidRPr="0059184B">
        <w:rPr>
          <w:rFonts w:ascii="Times New Roman" w:hAnsi="Times New Roman" w:cs="Times New Roman"/>
          <w:sz w:val="24"/>
          <w:szCs w:val="24"/>
        </w:rPr>
        <w:t xml:space="preserve"> in models (2), (3), (6), (7) indicates that banks with higher </w:t>
      </w:r>
      <w:r w:rsidRPr="0059184B">
        <w:rPr>
          <w:rFonts w:ascii="Times New Roman" w:hAnsi="Times New Roman" w:cs="Times New Roman"/>
          <w:i/>
          <w:sz w:val="24"/>
          <w:szCs w:val="24"/>
        </w:rPr>
        <w:t>stock returns volatility</w:t>
      </w:r>
      <w:r w:rsidRPr="0059184B">
        <w:rPr>
          <w:rFonts w:ascii="Times New Roman" w:hAnsi="Times New Roman" w:cs="Times New Roman"/>
          <w:sz w:val="24"/>
          <w:szCs w:val="24"/>
        </w:rPr>
        <w:t xml:space="preserve"> are likely to get higher credit risk and worst loss. </w:t>
      </w:r>
      <w:r w:rsidRPr="0059184B">
        <w:rPr>
          <w:rFonts w:ascii="Times New Roman" w:hAnsi="Times New Roman" w:cs="Times New Roman"/>
          <w:i/>
          <w:sz w:val="24"/>
          <w:szCs w:val="24"/>
        </w:rPr>
        <w:t xml:space="preserve">Return on assets </w:t>
      </w:r>
      <w:r w:rsidRPr="0059184B">
        <w:rPr>
          <w:rFonts w:ascii="Times New Roman" w:hAnsi="Times New Roman" w:cs="Times New Roman"/>
          <w:sz w:val="24"/>
          <w:szCs w:val="24"/>
        </w:rPr>
        <w:t>and</w:t>
      </w:r>
      <w:r w:rsidRPr="0059184B">
        <w:rPr>
          <w:rFonts w:ascii="Times New Roman" w:hAnsi="Times New Roman" w:cs="Times New Roman"/>
          <w:i/>
          <w:sz w:val="24"/>
          <w:szCs w:val="24"/>
        </w:rPr>
        <w:t xml:space="preserve"> special capital program</w:t>
      </w:r>
      <w:r w:rsidRPr="0059184B">
        <w:rPr>
          <w:rFonts w:ascii="Times New Roman" w:hAnsi="Times New Roman" w:cs="Times New Roman"/>
          <w:sz w:val="24"/>
          <w:szCs w:val="24"/>
        </w:rPr>
        <w:t xml:space="preserve"> dummy are significant only in models (4) and (8) when </w:t>
      </w:r>
      <w:r w:rsidRPr="0059184B">
        <w:rPr>
          <w:rFonts w:ascii="Times New Roman" w:hAnsi="Times New Roman" w:cs="Times New Roman"/>
          <w:i/>
          <w:sz w:val="24"/>
          <w:szCs w:val="24"/>
        </w:rPr>
        <w:t>stock return volatility</w:t>
      </w:r>
      <w:r w:rsidRPr="0059184B">
        <w:rPr>
          <w:rFonts w:ascii="Times New Roman" w:hAnsi="Times New Roman" w:cs="Times New Roman"/>
          <w:sz w:val="24"/>
          <w:szCs w:val="24"/>
        </w:rPr>
        <w:t xml:space="preserve"> is used to capture banks’ risk. Banks which achieve lower profitability (</w:t>
      </w:r>
      <w:r w:rsidRPr="0059184B">
        <w:rPr>
          <w:rFonts w:ascii="Times New Roman" w:hAnsi="Times New Roman" w:cs="Times New Roman"/>
          <w:i/>
          <w:sz w:val="24"/>
          <w:szCs w:val="24"/>
        </w:rPr>
        <w:t>return on assets</w:t>
      </w:r>
      <w:r w:rsidRPr="0059184B">
        <w:rPr>
          <w:rFonts w:ascii="Times New Roman" w:hAnsi="Times New Roman" w:cs="Times New Roman"/>
          <w:sz w:val="24"/>
          <w:szCs w:val="24"/>
        </w:rPr>
        <w:t xml:space="preserve">) and those who use one of the special capital programs or the discount window borrowing show more volatility and higher overall risk. </w:t>
      </w:r>
      <w:r w:rsidRPr="0059184B">
        <w:rPr>
          <w:rFonts w:ascii="Times New Roman" w:hAnsi="Times New Roman" w:cs="Times New Roman"/>
          <w:i/>
          <w:sz w:val="24"/>
          <w:szCs w:val="24"/>
        </w:rPr>
        <w:t>Tier 1 risk capital</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ratio</w:t>
      </w:r>
      <w:r w:rsidRPr="0059184B">
        <w:rPr>
          <w:rFonts w:ascii="Times New Roman" w:hAnsi="Times New Roman" w:cs="Times New Roman"/>
          <w:sz w:val="24"/>
          <w:szCs w:val="24"/>
        </w:rPr>
        <w:t xml:space="preserve"> is significant in (2), (4), (6), (8) and assets (</w:t>
      </w:r>
      <w:r w:rsidRPr="0059184B">
        <w:rPr>
          <w:rFonts w:ascii="Times New Roman" w:hAnsi="Times New Roman" w:cs="Times New Roman"/>
          <w:i/>
          <w:sz w:val="24"/>
          <w:szCs w:val="24"/>
        </w:rPr>
        <w:t>size</w:t>
      </w:r>
      <w:r w:rsidRPr="0059184B">
        <w:rPr>
          <w:rFonts w:ascii="Times New Roman" w:hAnsi="Times New Roman" w:cs="Times New Roman"/>
          <w:sz w:val="24"/>
          <w:szCs w:val="24"/>
        </w:rPr>
        <w:t>) significant in (2) and (6). In contrast, large banks and healthy banks with strong capital (</w:t>
      </w:r>
      <w:r w:rsidRPr="0059184B">
        <w:rPr>
          <w:rFonts w:ascii="Times New Roman" w:hAnsi="Times New Roman" w:cs="Times New Roman"/>
          <w:i/>
          <w:sz w:val="24"/>
          <w:szCs w:val="24"/>
        </w:rPr>
        <w:t>Tier 1 risk ratio</w:t>
      </w:r>
      <w:r w:rsidRPr="0059184B">
        <w:rPr>
          <w:rFonts w:ascii="Times New Roman" w:hAnsi="Times New Roman" w:cs="Times New Roman"/>
          <w:sz w:val="24"/>
          <w:szCs w:val="24"/>
        </w:rPr>
        <w:t xml:space="preserve">) exhibit less credit risk measured by </w:t>
      </w:r>
      <w:r w:rsidRPr="0059184B">
        <w:rPr>
          <w:rFonts w:ascii="Times New Roman" w:hAnsi="Times New Roman" w:cs="Times New Roman"/>
          <w:i/>
          <w:sz w:val="24"/>
          <w:szCs w:val="24"/>
        </w:rPr>
        <w:t>distance to default</w:t>
      </w:r>
      <w:r w:rsidRPr="0059184B">
        <w:rPr>
          <w:rFonts w:ascii="Times New Roman" w:hAnsi="Times New Roman" w:cs="Times New Roman"/>
          <w:sz w:val="24"/>
          <w:szCs w:val="24"/>
        </w:rPr>
        <w:t xml:space="preserve"> and large banks show a lower degree of volatility in their stock returns. </w:t>
      </w:r>
      <w:r w:rsidRPr="0059184B">
        <w:rPr>
          <w:rFonts w:ascii="Times New Roman" w:hAnsi="Times New Roman" w:cs="Times New Roman"/>
          <w:i/>
          <w:sz w:val="24"/>
          <w:szCs w:val="24"/>
        </w:rPr>
        <w:t>Exposures to real estate market</w:t>
      </w:r>
      <w:r w:rsidRPr="0059184B">
        <w:rPr>
          <w:rFonts w:ascii="Times New Roman" w:hAnsi="Times New Roman" w:cs="Times New Roman"/>
          <w:sz w:val="24"/>
          <w:szCs w:val="24"/>
        </w:rPr>
        <w:t xml:space="preserve"> is significant in (3), (7) and the positive sign suggests that banks with higher </w:t>
      </w:r>
      <w:r w:rsidRPr="0059184B">
        <w:rPr>
          <w:rFonts w:ascii="Times New Roman" w:hAnsi="Times New Roman" w:cs="Times New Roman"/>
          <w:i/>
          <w:sz w:val="24"/>
          <w:szCs w:val="24"/>
        </w:rPr>
        <w:t xml:space="preserve">exposures to real estate market </w:t>
      </w:r>
      <w:r w:rsidRPr="0059184B">
        <w:rPr>
          <w:rFonts w:ascii="Times New Roman" w:hAnsi="Times New Roman" w:cs="Times New Roman"/>
          <w:sz w:val="24"/>
          <w:szCs w:val="24"/>
        </w:rPr>
        <w:t xml:space="preserve">tend to experience lower </w:t>
      </w:r>
      <w:r w:rsidRPr="0059184B">
        <w:rPr>
          <w:rFonts w:ascii="Times New Roman" w:hAnsi="Times New Roman" w:cs="Times New Roman"/>
          <w:i/>
          <w:sz w:val="24"/>
          <w:szCs w:val="24"/>
        </w:rPr>
        <w:t xml:space="preserve">worst loss.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TABLE 5 HERE</w:t>
      </w:r>
    </w:p>
    <w:p w:rsidR="0088048C" w:rsidRPr="0059184B" w:rsidRDefault="0088048C" w:rsidP="0088048C">
      <w:pPr>
        <w:spacing w:before="120" w:after="120" w:line="360" w:lineRule="auto"/>
        <w:rPr>
          <w:rFonts w:ascii="Times New Roman" w:eastAsia="宋体" w:hAnsi="Times New Roman" w:cs="Times New Roman"/>
          <w:sz w:val="24"/>
          <w:szCs w:val="24"/>
        </w:rPr>
      </w:pP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eastAsia="宋体" w:hAnsi="Times New Roman" w:cs="Times New Roman"/>
          <w:sz w:val="24"/>
          <w:szCs w:val="24"/>
        </w:rPr>
        <w:t xml:space="preserve">Table 5 presents results on bank’s risk with derivatives </w:t>
      </w:r>
      <w:proofErr w:type="spellStart"/>
      <w:r w:rsidRPr="0059184B">
        <w:rPr>
          <w:rFonts w:ascii="Times New Roman" w:eastAsia="宋体" w:hAnsi="Times New Roman" w:cs="Times New Roman"/>
          <w:sz w:val="24"/>
          <w:szCs w:val="24"/>
        </w:rPr>
        <w:t>categorised</w:t>
      </w:r>
      <w:proofErr w:type="spellEnd"/>
      <w:r w:rsidRPr="0059184B">
        <w:rPr>
          <w:rFonts w:ascii="Times New Roman" w:eastAsia="宋体" w:hAnsi="Times New Roman" w:cs="Times New Roman"/>
          <w:sz w:val="24"/>
          <w:szCs w:val="24"/>
        </w:rPr>
        <w:t xml:space="preserve"> by trading approach of OTC-traded and exchange-traded. </w:t>
      </w:r>
      <w:r w:rsidRPr="0059184B">
        <w:rPr>
          <w:rFonts w:ascii="Times New Roman" w:hAnsi="Times New Roman" w:cs="Times New Roman"/>
          <w:sz w:val="24"/>
          <w:szCs w:val="24"/>
        </w:rPr>
        <w:t>Without considering the DFA,</w:t>
      </w:r>
      <w:r w:rsidRPr="0059184B">
        <w:rPr>
          <w:rFonts w:ascii="Times New Roman" w:eastAsia="宋体" w:hAnsi="Times New Roman" w:cs="Times New Roman"/>
          <w:sz w:val="24"/>
          <w:szCs w:val="24"/>
        </w:rPr>
        <w:t xml:space="preserve"> </w:t>
      </w:r>
      <w:r w:rsidRPr="0059184B">
        <w:rPr>
          <w:rFonts w:ascii="Times New Roman" w:eastAsia="宋体" w:hAnsi="Times New Roman" w:cs="Times New Roman"/>
          <w:i/>
          <w:sz w:val="24"/>
          <w:szCs w:val="24"/>
        </w:rPr>
        <w:t>IR derivatives traded OTC</w:t>
      </w:r>
      <w:r w:rsidRPr="0059184B">
        <w:rPr>
          <w:rFonts w:ascii="Times New Roman" w:eastAsia="宋体" w:hAnsi="Times New Roman" w:cs="Times New Roman"/>
          <w:sz w:val="24"/>
          <w:szCs w:val="24"/>
        </w:rPr>
        <w:t xml:space="preserve"> is significant in model (4) with a negative coefficient sign, which suggests banks with more </w:t>
      </w:r>
      <w:r w:rsidRPr="0059184B">
        <w:rPr>
          <w:rFonts w:ascii="Times New Roman" w:eastAsia="宋体" w:hAnsi="Times New Roman" w:cs="Times New Roman"/>
          <w:i/>
          <w:sz w:val="24"/>
          <w:szCs w:val="24"/>
        </w:rPr>
        <w:t>IR derivatives traded OTC</w:t>
      </w:r>
      <w:r w:rsidRPr="0059184B">
        <w:rPr>
          <w:rFonts w:ascii="Times New Roman" w:eastAsia="宋体" w:hAnsi="Times New Roman" w:cs="Times New Roman"/>
          <w:sz w:val="24"/>
          <w:szCs w:val="24"/>
        </w:rPr>
        <w:t xml:space="preserve"> exhibit less </w:t>
      </w:r>
      <w:r w:rsidRPr="0059184B">
        <w:rPr>
          <w:rFonts w:ascii="Times New Roman" w:eastAsia="宋体" w:hAnsi="Times New Roman" w:cs="Times New Roman"/>
          <w:i/>
          <w:sz w:val="24"/>
          <w:szCs w:val="24"/>
        </w:rPr>
        <w:t>stock return volatility</w:t>
      </w:r>
      <w:r w:rsidRPr="0059184B">
        <w:rPr>
          <w:rFonts w:ascii="Times New Roman" w:eastAsia="宋体" w:hAnsi="Times New Roman" w:cs="Times New Roman"/>
          <w:sz w:val="24"/>
          <w:szCs w:val="24"/>
        </w:rPr>
        <w:t xml:space="preserve"> and overall risk.</w:t>
      </w:r>
      <w:r w:rsidRPr="0059184B">
        <w:rPr>
          <w:rFonts w:ascii="Times New Roman" w:eastAsia="宋体" w:hAnsi="Times New Roman" w:cs="Times New Roman"/>
          <w:i/>
          <w:sz w:val="24"/>
          <w:szCs w:val="24"/>
        </w:rPr>
        <w:t xml:space="preserve"> IR derivative trade on exchanges</w:t>
      </w:r>
      <w:r w:rsidRPr="0059184B">
        <w:rPr>
          <w:rFonts w:ascii="Times New Roman" w:eastAsia="宋体" w:hAnsi="Times New Roman" w:cs="Times New Roman"/>
          <w:sz w:val="24"/>
          <w:szCs w:val="24"/>
        </w:rPr>
        <w:t xml:space="preserve"> is significant in models (2) and (3) and its negative coefficient sign indicates that the use of exchange-traded IR derivative hampers bank’s credit risk (</w:t>
      </w:r>
      <w:r w:rsidRPr="0059184B">
        <w:rPr>
          <w:rFonts w:ascii="Times New Roman" w:eastAsia="宋体" w:hAnsi="Times New Roman" w:cs="Times New Roman"/>
          <w:i/>
          <w:sz w:val="24"/>
          <w:szCs w:val="24"/>
        </w:rPr>
        <w:t>distance to default</w:t>
      </w:r>
      <w:r w:rsidRPr="0059184B">
        <w:rPr>
          <w:rFonts w:ascii="Times New Roman" w:hAnsi="Times New Roman" w:cs="Times New Roman"/>
          <w:sz w:val="24"/>
          <w:szCs w:val="24"/>
        </w:rPr>
        <w:t>)</w:t>
      </w:r>
      <w:r w:rsidRPr="0059184B">
        <w:rPr>
          <w:rFonts w:ascii="Times New Roman" w:eastAsia="宋体" w:hAnsi="Times New Roman" w:cs="Times New Roman"/>
          <w:sz w:val="24"/>
          <w:szCs w:val="24"/>
        </w:rPr>
        <w:t xml:space="preserve"> and worst loss (</w:t>
      </w:r>
      <w:proofErr w:type="spellStart"/>
      <w:r w:rsidRPr="0059184B">
        <w:rPr>
          <w:rFonts w:ascii="Times New Roman" w:eastAsia="宋体" w:hAnsi="Times New Roman" w:cs="Times New Roman"/>
          <w:i/>
          <w:sz w:val="24"/>
          <w:szCs w:val="24"/>
        </w:rPr>
        <w:t>VaR</w:t>
      </w:r>
      <w:proofErr w:type="spellEnd"/>
      <w:r w:rsidRPr="0059184B">
        <w:rPr>
          <w:rFonts w:ascii="Times New Roman" w:eastAsia="宋体" w:hAnsi="Times New Roman" w:cs="Times New Roman"/>
          <w:sz w:val="24"/>
          <w:szCs w:val="24"/>
        </w:rPr>
        <w:t>)</w:t>
      </w:r>
      <w:r w:rsidRPr="0059184B">
        <w:rPr>
          <w:rFonts w:ascii="Times New Roman" w:eastAsia="宋体" w:hAnsi="Times New Roman" w:cs="Times New Roman"/>
          <w:i/>
          <w:sz w:val="24"/>
          <w:szCs w:val="24"/>
        </w:rPr>
        <w:t>.</w:t>
      </w:r>
      <w:r w:rsidRPr="0059184B">
        <w:rPr>
          <w:rFonts w:ascii="Times New Roman" w:eastAsia="宋体" w:hAnsi="Times New Roman" w:cs="Times New Roman"/>
          <w:sz w:val="24"/>
          <w:szCs w:val="24"/>
        </w:rPr>
        <w:t xml:space="preserve"> The findings on IR derivative provide evidences against hypothesis (H2c).</w:t>
      </w:r>
      <w:r w:rsidRPr="0059184B">
        <w:rPr>
          <w:rFonts w:ascii="Times New Roman" w:eastAsia="宋体" w:hAnsi="Times New Roman" w:cs="Times New Roman"/>
          <w:i/>
          <w:sz w:val="24"/>
          <w:szCs w:val="24"/>
        </w:rPr>
        <w:t xml:space="preserve"> Credit derivatives</w:t>
      </w:r>
      <w:r w:rsidRPr="0059184B">
        <w:rPr>
          <w:rFonts w:ascii="Times New Roman" w:eastAsia="宋体" w:hAnsi="Times New Roman" w:cs="Times New Roman"/>
          <w:sz w:val="24"/>
          <w:szCs w:val="24"/>
        </w:rPr>
        <w:t xml:space="preserve"> (</w:t>
      </w:r>
      <w:r w:rsidRPr="0059184B">
        <w:rPr>
          <w:rFonts w:ascii="Times New Roman" w:eastAsia="宋体" w:hAnsi="Times New Roman" w:cs="Times New Roman"/>
          <w:i/>
          <w:sz w:val="24"/>
          <w:szCs w:val="24"/>
        </w:rPr>
        <w:t>traded OTC</w:t>
      </w:r>
      <w:r w:rsidRPr="0059184B">
        <w:rPr>
          <w:rFonts w:ascii="Times New Roman" w:eastAsia="宋体" w:hAnsi="Times New Roman" w:cs="Times New Roman"/>
          <w:sz w:val="24"/>
          <w:szCs w:val="24"/>
        </w:rPr>
        <w:t xml:space="preserve">) is significantly negative in model (1) and significantly positive in model (4), suggesting that banks’ use of </w:t>
      </w:r>
      <w:r w:rsidRPr="0059184B">
        <w:rPr>
          <w:rFonts w:ascii="Times New Roman" w:eastAsia="宋体" w:hAnsi="Times New Roman" w:cs="Times New Roman"/>
          <w:i/>
          <w:sz w:val="24"/>
          <w:szCs w:val="24"/>
        </w:rPr>
        <w:t>credit derivative traded OTC</w:t>
      </w:r>
      <w:r w:rsidRPr="0059184B">
        <w:rPr>
          <w:rFonts w:ascii="Times New Roman" w:eastAsia="宋体" w:hAnsi="Times New Roman" w:cs="Times New Roman"/>
          <w:sz w:val="24"/>
          <w:szCs w:val="24"/>
        </w:rPr>
        <w:t xml:space="preserve"> raises credit risk (</w:t>
      </w:r>
      <w:r w:rsidRPr="0059184B">
        <w:rPr>
          <w:rFonts w:ascii="Times New Roman" w:hAnsi="Times New Roman" w:cs="Times New Roman"/>
          <w:i/>
          <w:sz w:val="24"/>
          <w:szCs w:val="24"/>
        </w:rPr>
        <w:t>Z-score</w:t>
      </w:r>
      <w:r w:rsidRPr="0059184B">
        <w:rPr>
          <w:rFonts w:ascii="Times New Roman" w:hAnsi="Times New Roman" w:cs="Times New Roman"/>
          <w:sz w:val="24"/>
          <w:szCs w:val="24"/>
        </w:rPr>
        <w:t>)</w:t>
      </w:r>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and overall risk (</w:t>
      </w:r>
      <w:r w:rsidRPr="0059184B">
        <w:rPr>
          <w:rFonts w:ascii="Times New Roman" w:eastAsia="宋体" w:hAnsi="Times New Roman" w:cs="Times New Roman"/>
          <w:i/>
          <w:sz w:val="24"/>
          <w:szCs w:val="24"/>
        </w:rPr>
        <w:t>stock return volatility</w:t>
      </w:r>
      <w:r w:rsidRPr="0059184B">
        <w:rPr>
          <w:rFonts w:ascii="Times New Roman" w:eastAsia="宋体" w:hAnsi="Times New Roman" w:cs="Times New Roman"/>
          <w:sz w:val="24"/>
          <w:szCs w:val="24"/>
        </w:rPr>
        <w:t>)</w:t>
      </w:r>
      <w:r w:rsidRPr="0059184B">
        <w:rPr>
          <w:rFonts w:ascii="Times New Roman" w:eastAsia="宋体" w:hAnsi="Times New Roman" w:cs="Times New Roman"/>
          <w:i/>
          <w:sz w:val="24"/>
          <w:szCs w:val="24"/>
        </w:rPr>
        <w:t xml:space="preserve">. </w:t>
      </w:r>
      <w:r w:rsidRPr="0059184B">
        <w:rPr>
          <w:rFonts w:ascii="Times New Roman" w:eastAsia="宋体" w:hAnsi="Times New Roman" w:cs="Times New Roman"/>
          <w:sz w:val="24"/>
          <w:szCs w:val="24"/>
        </w:rPr>
        <w:t>These findings on credit derivatives support hypothesis (H2c).</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Adding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and the three interaction terms in Table 5 does not change the significance and sign for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xml:space="preserve"> or </w:t>
      </w:r>
      <w:r w:rsidRPr="0059184B">
        <w:rPr>
          <w:rFonts w:ascii="Times New Roman" w:hAnsi="Times New Roman" w:cs="Times New Roman"/>
          <w:i/>
          <w:sz w:val="24"/>
          <w:szCs w:val="24"/>
        </w:rPr>
        <w:t>on exchanges</w:t>
      </w:r>
      <w:r w:rsidRPr="0059184B">
        <w:rPr>
          <w:rFonts w:ascii="Times New Roman" w:hAnsi="Times New Roman" w:cs="Times New Roman"/>
          <w:sz w:val="24"/>
          <w:szCs w:val="24"/>
        </w:rPr>
        <w:t>, while</w:t>
      </w:r>
      <w:r w:rsidRPr="0059184B">
        <w:rPr>
          <w:rFonts w:ascii="Times New Roman" w:hAnsi="Times New Roman" w:cs="Times New Roman"/>
          <w:i/>
          <w:sz w:val="24"/>
          <w:szCs w:val="24"/>
        </w:rPr>
        <w:t xml:space="preserve"> credit derivatives</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 xml:space="preserve">traded </w:t>
      </w:r>
      <w:r w:rsidRPr="0059184B">
        <w:rPr>
          <w:rFonts w:ascii="Times New Roman" w:hAnsi="Times New Roman" w:cs="Times New Roman"/>
          <w:i/>
          <w:sz w:val="24"/>
          <w:szCs w:val="24"/>
        </w:rPr>
        <w:lastRenderedPageBreak/>
        <w:t>OTC</w:t>
      </w:r>
      <w:r w:rsidRPr="0059184B">
        <w:rPr>
          <w:rFonts w:ascii="Times New Roman" w:hAnsi="Times New Roman" w:cs="Times New Roman"/>
          <w:sz w:val="24"/>
          <w:szCs w:val="24"/>
        </w:rPr>
        <w:t xml:space="preserve">) becomes significant in models (6), (7) and (8). The negative sign in models (6), (7) and positive sign in model (8) again show that the use of </w:t>
      </w:r>
      <w:r w:rsidRPr="0059184B">
        <w:rPr>
          <w:rFonts w:ascii="Times New Roman" w:hAnsi="Times New Roman" w:cs="Times New Roman"/>
          <w:i/>
          <w:sz w:val="24"/>
          <w:szCs w:val="24"/>
        </w:rPr>
        <w:t>credit derivatives traded OTC</w:t>
      </w:r>
      <w:r w:rsidRPr="0059184B">
        <w:rPr>
          <w:rFonts w:ascii="Times New Roman" w:hAnsi="Times New Roman" w:cs="Times New Roman"/>
          <w:sz w:val="24"/>
          <w:szCs w:val="24"/>
        </w:rPr>
        <w:t xml:space="preserve"> lowers banks’ credit risk, worst loss and overall risk.</w:t>
      </w:r>
      <w:r w:rsidRPr="0059184B">
        <w:rPr>
          <w:rFonts w:ascii="Times New Roman" w:hAnsi="Times New Roman" w:cs="Times New Roman"/>
          <w:i/>
          <w:sz w:val="24"/>
          <w:szCs w:val="24"/>
        </w:rPr>
        <w:t xml:space="preserve">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dummy is significant in all four models in Table 5 (models (5), (6), (7), (8)), and the results on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dummy is consistent with those in Table 4, that </w:t>
      </w:r>
      <w:r w:rsidRPr="0059184B">
        <w:rPr>
          <w:rFonts w:ascii="Times New Roman" w:eastAsia="AdvGulliv-R" w:hAnsi="Times New Roman" w:cs="Times New Roman"/>
          <w:kern w:val="0"/>
          <w:sz w:val="24"/>
          <w:szCs w:val="24"/>
        </w:rPr>
        <w:t>signing</w:t>
      </w:r>
      <w:r w:rsidRPr="0059184B">
        <w:rPr>
          <w:rFonts w:ascii="Times New Roman" w:hAnsi="Times New Roman" w:cs="Times New Roman"/>
          <w:sz w:val="24"/>
          <w:szCs w:val="24"/>
        </w:rPr>
        <w:t xml:space="preserve"> of the DFA raises bank’s credit risk, as measured by </w:t>
      </w:r>
      <w:r w:rsidRPr="0059184B">
        <w:rPr>
          <w:rFonts w:ascii="Times New Roman" w:hAnsi="Times New Roman" w:cs="Times New Roman"/>
          <w:i/>
          <w:sz w:val="24"/>
          <w:szCs w:val="24"/>
        </w:rPr>
        <w:t>Z-score</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distance to default</w:t>
      </w:r>
      <w:r w:rsidRPr="0059184B">
        <w:rPr>
          <w:rFonts w:ascii="Times New Roman" w:hAnsi="Times New Roman" w:cs="Times New Roman"/>
          <w:sz w:val="24"/>
          <w:szCs w:val="24"/>
        </w:rPr>
        <w:t>, and bank’s overall risk, as measured by bank’s</w:t>
      </w:r>
      <w:r w:rsidRPr="0059184B">
        <w:rPr>
          <w:rFonts w:ascii="Times New Roman" w:hAnsi="Times New Roman" w:cs="Times New Roman"/>
          <w:i/>
          <w:sz w:val="24"/>
          <w:szCs w:val="24"/>
        </w:rPr>
        <w:t xml:space="preserve"> stock return volatility</w:t>
      </w:r>
      <w:r w:rsidRPr="0059184B">
        <w:rPr>
          <w:rFonts w:ascii="Times New Roman" w:hAnsi="Times New Roman" w:cs="Times New Roman"/>
          <w:sz w:val="24"/>
          <w:szCs w:val="24"/>
        </w:rPr>
        <w:t xml:space="preserve">, while lowers worst loss measured by </w:t>
      </w:r>
      <w:proofErr w:type="spellStart"/>
      <w:r w:rsidRPr="0059184B">
        <w:rPr>
          <w:rFonts w:ascii="Times New Roman" w:hAnsi="Times New Roman" w:cs="Times New Roman"/>
          <w:i/>
          <w:sz w:val="24"/>
          <w:szCs w:val="24"/>
        </w:rPr>
        <w:t>VaR.</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The results on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dummy in models (5), (6), (8) support hypothesis (H3a).</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As shown in Table 5, the interaction terms between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significant in models (6) and (7). Its negative coefficient sign suggests that the coming into effect of the DFA even increased the hampering effects of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xml:space="preserve"> on bank’s credit risk (</w:t>
      </w:r>
      <w:r w:rsidRPr="0059184B">
        <w:rPr>
          <w:rFonts w:ascii="Times New Roman" w:hAnsi="Times New Roman" w:cs="Times New Roman"/>
          <w:i/>
          <w:sz w:val="24"/>
          <w:szCs w:val="24"/>
        </w:rPr>
        <w:t>distance to default</w:t>
      </w:r>
      <w:r w:rsidRPr="0059184B">
        <w:rPr>
          <w:rFonts w:ascii="Times New Roman" w:hAnsi="Times New Roman" w:cs="Times New Roman"/>
          <w:sz w:val="24"/>
          <w:szCs w:val="24"/>
        </w:rPr>
        <w:t>) and the extent of bank’s worst loss (</w:t>
      </w:r>
      <w:proofErr w:type="spellStart"/>
      <w:r w:rsidRPr="0059184B">
        <w:rPr>
          <w:rFonts w:ascii="Times New Roman" w:hAnsi="Times New Roman" w:cs="Times New Roman"/>
          <w:i/>
          <w:sz w:val="24"/>
          <w:szCs w:val="24"/>
        </w:rPr>
        <w:t>VaR</w:t>
      </w:r>
      <w:proofErr w:type="spellEnd"/>
      <w:r w:rsidRPr="0059184B">
        <w:rPr>
          <w:rFonts w:ascii="Times New Roman" w:hAnsi="Times New Roman" w:cs="Times New Roman"/>
          <w:sz w:val="24"/>
          <w:szCs w:val="24"/>
        </w:rPr>
        <w:t xml:space="preserve">). These findings do not support hypothesis (H3b). The interaction terms between </w:t>
      </w:r>
      <w:r w:rsidRPr="0059184B">
        <w:rPr>
          <w:rFonts w:ascii="Times New Roman" w:hAnsi="Times New Roman" w:cs="Times New Roman"/>
          <w:i/>
          <w:sz w:val="24"/>
          <w:szCs w:val="24"/>
        </w:rPr>
        <w:t>IR derivatives traded on exchanges</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significantly positive in model (7), showing that the DFA lessens the hampering impact of exchange-traded IR derivatives on bank’s worst loss. The interaction terms between </w:t>
      </w:r>
      <w:r w:rsidRPr="0059184B">
        <w:rPr>
          <w:rFonts w:ascii="Times New Roman" w:hAnsi="Times New Roman" w:cs="Times New Roman"/>
          <w:i/>
          <w:sz w:val="24"/>
          <w:szCs w:val="24"/>
        </w:rPr>
        <w:t>credit derivatives</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traded OTC</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significant in models (6), (7) and (8). Its positive coefficient sign in (6), (7) and positive coefficient sign in (8) suggest that the signing of the DFA lessens the hampering effects of </w:t>
      </w:r>
      <w:r w:rsidRPr="0059184B">
        <w:rPr>
          <w:rFonts w:ascii="Times New Roman" w:hAnsi="Times New Roman" w:cs="Times New Roman"/>
          <w:i/>
          <w:sz w:val="24"/>
          <w:szCs w:val="24"/>
        </w:rPr>
        <w:t>credit derivatives traded OTC</w:t>
      </w:r>
      <w:r w:rsidRPr="0059184B">
        <w:rPr>
          <w:rFonts w:ascii="Times New Roman" w:hAnsi="Times New Roman" w:cs="Times New Roman"/>
          <w:sz w:val="24"/>
          <w:szCs w:val="24"/>
        </w:rPr>
        <w:t xml:space="preserve"> on banks’ risk. These findings on interaction terms between </w:t>
      </w:r>
      <w:r w:rsidRPr="0059184B">
        <w:rPr>
          <w:rFonts w:ascii="Times New Roman" w:hAnsi="Times New Roman" w:cs="Times New Roman"/>
          <w:i/>
          <w:sz w:val="24"/>
          <w:szCs w:val="24"/>
        </w:rPr>
        <w:t>IR derivatives traded on exchanges</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traded OTC</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confirm hypothesis (H3b).</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Overall, the empirical evidences from </w:t>
      </w:r>
      <w:r w:rsidRPr="0059184B">
        <w:rPr>
          <w:rFonts w:ascii="Times New Roman" w:hAnsi="Times New Roman" w:cs="Times New Roman"/>
          <w:i/>
          <w:sz w:val="24"/>
          <w:szCs w:val="24"/>
        </w:rPr>
        <w:t>credit derivatives</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traded OTC</w:t>
      </w:r>
      <w:r w:rsidRPr="0059184B">
        <w:rPr>
          <w:rFonts w:ascii="Times New Roman" w:hAnsi="Times New Roman" w:cs="Times New Roman"/>
          <w:sz w:val="24"/>
          <w:szCs w:val="24"/>
        </w:rPr>
        <w:t>) in Table 5 are consistent with hypothesis (H3a), and partially support hypothesis (H3b) for two out of the three derivative categories examined (</w:t>
      </w:r>
      <w:r w:rsidRPr="0059184B">
        <w:rPr>
          <w:rFonts w:ascii="Times New Roman" w:hAnsi="Times New Roman" w:cs="Times New Roman"/>
          <w:i/>
          <w:sz w:val="24"/>
          <w:szCs w:val="24"/>
        </w:rPr>
        <w:t>credit derivatives</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traded OTC</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IR derivatives traded on exchanges</w:t>
      </w:r>
      <w:r w:rsidRPr="0059184B">
        <w:rPr>
          <w:rFonts w:ascii="Times New Roman" w:hAnsi="Times New Roman" w:cs="Times New Roman"/>
          <w:sz w:val="24"/>
          <w:szCs w:val="24"/>
        </w:rPr>
        <w:t xml:space="preserve">). The findings on interaction term between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xml:space="preserve"> do not support (H3b). Although the results on </w:t>
      </w:r>
      <w:r w:rsidRPr="0059184B">
        <w:rPr>
          <w:rFonts w:ascii="Times New Roman" w:hAnsi="Times New Roman" w:cs="Times New Roman"/>
          <w:i/>
          <w:sz w:val="24"/>
          <w:szCs w:val="24"/>
        </w:rPr>
        <w:t>credit derivative</w:t>
      </w:r>
      <w:r w:rsidRPr="0059184B">
        <w:rPr>
          <w:rFonts w:ascii="Times New Roman" w:hAnsi="Times New Roman" w:cs="Times New Roman"/>
          <w:sz w:val="24"/>
          <w:szCs w:val="24"/>
        </w:rPr>
        <w:t xml:space="preserve"> confirm hypothesis (H2c), those on </w:t>
      </w:r>
      <w:r w:rsidRPr="0059184B">
        <w:rPr>
          <w:rFonts w:ascii="Times New Roman" w:hAnsi="Times New Roman" w:cs="Times New Roman"/>
          <w:i/>
          <w:sz w:val="24"/>
          <w:szCs w:val="24"/>
        </w:rPr>
        <w:t>IR derivatives trade OTC</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on exchanges</w:t>
      </w:r>
      <w:r w:rsidRPr="0059184B">
        <w:rPr>
          <w:rFonts w:ascii="Times New Roman" w:hAnsi="Times New Roman" w:cs="Times New Roman"/>
          <w:sz w:val="24"/>
          <w:szCs w:val="24"/>
        </w:rPr>
        <w:t xml:space="preserve"> do not support hypothesis (H2c). Other control variables are found with consistent significance and signs as in Table 4.</w:t>
      </w:r>
    </w:p>
    <w:p w:rsidR="0088048C" w:rsidRPr="0059184B" w:rsidRDefault="0088048C" w:rsidP="0088048C">
      <w:pPr>
        <w:spacing w:before="120" w:after="120" w:line="360" w:lineRule="auto"/>
        <w:rPr>
          <w:rFonts w:ascii="Times New Roman" w:eastAsia="宋体" w:hAnsi="Times New Roman" w:cs="Times New Roman"/>
          <w:sz w:val="24"/>
          <w:szCs w:val="24"/>
        </w:rPr>
      </w:pPr>
    </w:p>
    <w:p w:rsidR="0088048C" w:rsidRPr="0059184B" w:rsidRDefault="0088048C" w:rsidP="0088048C">
      <w:pPr>
        <w:pStyle w:val="3"/>
        <w:rPr>
          <w:rFonts w:ascii="Times New Roman" w:hAnsi="Times New Roman" w:cs="Times New Roman"/>
          <w:sz w:val="24"/>
          <w:szCs w:val="24"/>
        </w:rPr>
      </w:pPr>
      <w:r w:rsidRPr="0059184B">
        <w:rPr>
          <w:rFonts w:ascii="Times New Roman" w:hAnsi="Times New Roman" w:cs="Times New Roman"/>
          <w:sz w:val="24"/>
          <w:szCs w:val="24"/>
        </w:rPr>
        <w:lastRenderedPageBreak/>
        <w:t>5.3. Derivatives, DFA and bank’s performance</w:t>
      </w:r>
    </w:p>
    <w:p w:rsidR="0088048C" w:rsidRPr="0059184B" w:rsidRDefault="0088048C" w:rsidP="0088048C">
      <w:pPr>
        <w:spacing w:before="120" w:after="120" w:line="360" w:lineRule="auto"/>
        <w:rPr>
          <w:rFonts w:ascii="Times New Roman" w:eastAsia="宋体" w:hAnsi="Times New Roman" w:cs="Times New Roman"/>
          <w:sz w:val="24"/>
          <w:szCs w:val="24"/>
        </w:rPr>
      </w:pPr>
      <w:r w:rsidRPr="0059184B">
        <w:rPr>
          <w:rFonts w:ascii="Times New Roman" w:eastAsia="宋体" w:hAnsi="Times New Roman" w:cs="Times New Roman"/>
          <w:sz w:val="24"/>
          <w:szCs w:val="24"/>
        </w:rPr>
        <w:t xml:space="preserve">We investigate (H4), (H5a) and (H5b) with </w:t>
      </w:r>
      <w:r w:rsidRPr="0059184B">
        <w:rPr>
          <w:rFonts w:ascii="Times New Roman" w:eastAsia="宋体" w:hAnsi="Times New Roman" w:cs="Times New Roman"/>
          <w:i/>
          <w:sz w:val="24"/>
          <w:szCs w:val="24"/>
        </w:rPr>
        <w:t>Tobin’s Q, return on asset, cost to income ratio, and market equity returns</w:t>
      </w:r>
      <w:r w:rsidRPr="0059184B">
        <w:rPr>
          <w:rFonts w:ascii="Times New Roman" w:eastAsia="宋体" w:hAnsi="Times New Roman" w:cs="Times New Roman"/>
          <w:sz w:val="24"/>
          <w:szCs w:val="24"/>
        </w:rPr>
        <w:t xml:space="preserve">. Table 6 and Table 7 report the regression results for Equation (9). Similarly, </w:t>
      </w:r>
      <w:r w:rsidRPr="0059184B">
        <w:rPr>
          <w:rFonts w:ascii="Times New Roman" w:hAnsi="Times New Roman" w:cs="Times New Roman"/>
          <w:sz w:val="24"/>
          <w:szCs w:val="24"/>
        </w:rPr>
        <w:t xml:space="preserve">models (1), (2), (3) report the effects of derivative holdings, without considering the DFA and </w:t>
      </w:r>
      <w:proofErr w:type="gramStart"/>
      <w:r w:rsidRPr="0059184B">
        <w:rPr>
          <w:rFonts w:ascii="Times New Roman" w:hAnsi="Times New Roman" w:cs="Times New Roman"/>
          <w:sz w:val="24"/>
          <w:szCs w:val="24"/>
        </w:rPr>
        <w:t>models  (</w:t>
      </w:r>
      <w:proofErr w:type="gramEnd"/>
      <w:r w:rsidRPr="0059184B">
        <w:rPr>
          <w:rFonts w:ascii="Times New Roman" w:hAnsi="Times New Roman" w:cs="Times New Roman"/>
          <w:sz w:val="24"/>
          <w:szCs w:val="24"/>
        </w:rPr>
        <w:t xml:space="preserve">4), (5), (6) extend by adding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and interaction terms between three derivative categories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dummy.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TABLE 6 HERE</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As shown in Table 6, without considering the DFA and interaction terms, only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is significant in models (1) when </w:t>
      </w:r>
      <w:r w:rsidRPr="0059184B">
        <w:rPr>
          <w:rFonts w:ascii="Times New Roman" w:hAnsi="Times New Roman" w:cs="Times New Roman"/>
          <w:i/>
          <w:sz w:val="24"/>
          <w:szCs w:val="24"/>
        </w:rPr>
        <w:t>Tobin’s Q</w:t>
      </w:r>
      <w:r w:rsidRPr="0059184B">
        <w:rPr>
          <w:rFonts w:ascii="Times New Roman" w:hAnsi="Times New Roman" w:cs="Times New Roman"/>
          <w:sz w:val="24"/>
          <w:szCs w:val="24"/>
        </w:rPr>
        <w:t xml:space="preserve"> is used to capture banks’ performance. The positive coefficient sign suggests that the use of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improves bank’s performance. As the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dummy and interaction terms added in models (4), (5), (6),</w:t>
      </w:r>
      <w:r w:rsidRPr="0059184B">
        <w:rPr>
          <w:rFonts w:ascii="Times New Roman" w:hAnsi="Times New Roman" w:cs="Times New Roman"/>
          <w:i/>
          <w:sz w:val="24"/>
          <w:szCs w:val="24"/>
        </w:rPr>
        <w:t xml:space="preserve"> IR derivatives for hedging</w:t>
      </w:r>
      <w:r w:rsidRPr="0059184B">
        <w:rPr>
          <w:rFonts w:ascii="Times New Roman" w:hAnsi="Times New Roman" w:cs="Times New Roman"/>
          <w:sz w:val="24"/>
          <w:szCs w:val="24"/>
        </w:rPr>
        <w:t xml:space="preserve"> still exhibits positive significance when </w:t>
      </w:r>
      <w:r w:rsidRPr="0059184B">
        <w:rPr>
          <w:rFonts w:ascii="Times New Roman" w:hAnsi="Times New Roman" w:cs="Times New Roman"/>
          <w:i/>
          <w:sz w:val="24"/>
          <w:szCs w:val="24"/>
        </w:rPr>
        <w:t>Tobin’s Q</w:t>
      </w:r>
      <w:r w:rsidRPr="0059184B">
        <w:rPr>
          <w:rFonts w:ascii="Times New Roman" w:hAnsi="Times New Roman" w:cs="Times New Roman"/>
          <w:sz w:val="24"/>
          <w:szCs w:val="24"/>
        </w:rPr>
        <w:t xml:space="preserve"> is used to capture banks’ performance (model (4)), and confirms hypothesis (H4).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becomes significant in model (4) and its negative coefficient sign indicates that use of credit derivatives hampers banks’ performance, which is contrary to hypothesis (H4), however, in line with the findings from </w:t>
      </w:r>
      <w:proofErr w:type="spellStart"/>
      <w:r w:rsidRPr="0059184B">
        <w:rPr>
          <w:rFonts w:ascii="Times New Roman" w:eastAsia="AdvGulliv-R" w:hAnsi="Times New Roman" w:cs="Times New Roman"/>
          <w:kern w:val="0"/>
          <w:sz w:val="24"/>
          <w:szCs w:val="24"/>
        </w:rPr>
        <w:t>Keffala</w:t>
      </w:r>
      <w:proofErr w:type="spellEnd"/>
      <w:r w:rsidRPr="0059184B">
        <w:rPr>
          <w:rFonts w:ascii="Times New Roman" w:eastAsia="AdvGulliv-R" w:hAnsi="Times New Roman" w:cs="Times New Roman"/>
          <w:kern w:val="0"/>
          <w:sz w:val="24"/>
          <w:szCs w:val="24"/>
        </w:rPr>
        <w:t xml:space="preserve"> and De </w:t>
      </w:r>
      <w:proofErr w:type="spellStart"/>
      <w:r w:rsidRPr="0059184B">
        <w:rPr>
          <w:rFonts w:ascii="Times New Roman" w:eastAsia="AdvGulliv-R" w:hAnsi="Times New Roman" w:cs="Times New Roman"/>
          <w:kern w:val="0"/>
          <w:sz w:val="24"/>
          <w:szCs w:val="24"/>
        </w:rPr>
        <w:t>Peretti</w:t>
      </w:r>
      <w:proofErr w:type="spellEnd"/>
      <w:r w:rsidRPr="0059184B">
        <w:rPr>
          <w:rFonts w:ascii="Times New Roman" w:eastAsia="AdvGulliv-R" w:hAnsi="Times New Roman" w:cs="Times New Roman"/>
          <w:kern w:val="0"/>
          <w:sz w:val="24"/>
          <w:szCs w:val="24"/>
        </w:rPr>
        <w:t xml:space="preserve"> (2016)</w:t>
      </w:r>
      <w:r w:rsidRPr="0059184B">
        <w:rPr>
          <w:rFonts w:ascii="Times New Roman" w:hAnsi="Times New Roman" w:cs="Times New Roman"/>
          <w:sz w:val="24"/>
          <w:szCs w:val="24"/>
        </w:rPr>
        <w:t xml:space="preserve">. </w:t>
      </w:r>
      <w:proofErr w:type="gramStart"/>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is</w:t>
      </w:r>
      <w:proofErr w:type="gramEnd"/>
      <w:r w:rsidRPr="0059184B">
        <w:rPr>
          <w:rFonts w:ascii="Times New Roman" w:hAnsi="Times New Roman" w:cs="Times New Roman"/>
          <w:sz w:val="24"/>
          <w:szCs w:val="24"/>
        </w:rPr>
        <w:t xml:space="preserve"> not found significant in any models in Table 6.</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As noted in model (4) Table 6, </w:t>
      </w:r>
      <w:r w:rsidRPr="0059184B">
        <w:rPr>
          <w:rFonts w:ascii="Times New Roman" w:hAnsi="Times New Roman" w:cs="Times New Roman"/>
          <w:i/>
          <w:sz w:val="24"/>
          <w:szCs w:val="24"/>
        </w:rPr>
        <w:t>Tobin’s Q</w:t>
      </w:r>
      <w:r w:rsidRPr="0059184B">
        <w:rPr>
          <w:rFonts w:ascii="Times New Roman" w:hAnsi="Times New Roman" w:cs="Times New Roman"/>
          <w:sz w:val="24"/>
          <w:szCs w:val="24"/>
        </w:rPr>
        <w:t xml:space="preserve"> is negatively affected by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which is consistent with hypothesis (H5a).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also found marginal significant in model (5), however its positive sign does not support hypothesis (H5a). Of the three interaction terms included in models (4), (5), (6), the interaction term between </w:t>
      </w:r>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is the only one that presents significance. The negative sign of this interaction term coefficient in models (4) (5) and positive sign in model (6) suggest after the signing of the DFA, the use of </w:t>
      </w:r>
      <w:r w:rsidRPr="0059184B">
        <w:rPr>
          <w:rFonts w:ascii="Times New Roman" w:hAnsi="Times New Roman" w:cs="Times New Roman"/>
          <w:i/>
          <w:sz w:val="24"/>
          <w:szCs w:val="24"/>
        </w:rPr>
        <w:t>IR derivatives held for trading</w:t>
      </w:r>
      <w:r w:rsidRPr="0059184B">
        <w:rPr>
          <w:rFonts w:ascii="Times New Roman" w:hAnsi="Times New Roman" w:cs="Times New Roman"/>
          <w:sz w:val="24"/>
          <w:szCs w:val="24"/>
        </w:rPr>
        <w:t xml:space="preserve"> hampers bank’s performance (</w:t>
      </w:r>
      <w:r w:rsidRPr="0059184B">
        <w:rPr>
          <w:rFonts w:ascii="Times New Roman" w:hAnsi="Times New Roman" w:cs="Times New Roman"/>
          <w:i/>
          <w:sz w:val="24"/>
          <w:szCs w:val="24"/>
        </w:rPr>
        <w:t>Tobin’s Q</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ROA</w:t>
      </w:r>
      <w:r w:rsidRPr="0059184B">
        <w:rPr>
          <w:rFonts w:ascii="Times New Roman" w:hAnsi="Times New Roman" w:cs="Times New Roman"/>
          <w:sz w:val="24"/>
          <w:szCs w:val="24"/>
        </w:rPr>
        <w:t>), and operating efficiency (</w:t>
      </w:r>
      <w:r w:rsidRPr="0059184B">
        <w:rPr>
          <w:rFonts w:ascii="Times New Roman" w:hAnsi="Times New Roman" w:cs="Times New Roman"/>
          <w:i/>
          <w:sz w:val="24"/>
          <w:szCs w:val="24"/>
        </w:rPr>
        <w:t>cost to income ratio</w:t>
      </w:r>
      <w:r w:rsidRPr="0059184B">
        <w:rPr>
          <w:rFonts w:ascii="Times New Roman" w:hAnsi="Times New Roman" w:cs="Times New Roman"/>
          <w:sz w:val="24"/>
          <w:szCs w:val="24"/>
        </w:rPr>
        <w:t xml:space="preserve">). These evidences from </w:t>
      </w:r>
      <w:r w:rsidRPr="0059184B">
        <w:rPr>
          <w:rFonts w:ascii="Times New Roman" w:hAnsi="Times New Roman" w:cs="Times New Roman"/>
          <w:i/>
          <w:sz w:val="24"/>
          <w:szCs w:val="24"/>
        </w:rPr>
        <w:t>IR derivatives held for trading</w:t>
      </w:r>
      <w:r w:rsidRPr="0059184B">
        <w:rPr>
          <w:rFonts w:ascii="Times New Roman" w:hAnsi="Times New Roman" w:cs="Times New Roman"/>
          <w:sz w:val="24"/>
          <w:szCs w:val="24"/>
        </w:rPr>
        <w:t xml:space="preserve"> partly support hypothesis (H5b).</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The results of other control variables suggest that large banks with poor asset quality (</w:t>
      </w:r>
      <w:r w:rsidRPr="0059184B">
        <w:rPr>
          <w:rFonts w:ascii="Times New Roman" w:hAnsi="Times New Roman" w:cs="Times New Roman"/>
          <w:i/>
          <w:sz w:val="24"/>
          <w:szCs w:val="24"/>
        </w:rPr>
        <w:t>loan loss provisions</w:t>
      </w:r>
      <w:r w:rsidRPr="0059184B">
        <w:rPr>
          <w:rFonts w:ascii="Times New Roman" w:hAnsi="Times New Roman" w:cs="Times New Roman"/>
          <w:sz w:val="24"/>
          <w:szCs w:val="24"/>
        </w:rPr>
        <w:t xml:space="preserve">), high </w:t>
      </w:r>
      <w:r w:rsidRPr="0059184B">
        <w:rPr>
          <w:rFonts w:ascii="Times New Roman" w:hAnsi="Times New Roman" w:cs="Times New Roman"/>
          <w:i/>
          <w:sz w:val="24"/>
          <w:szCs w:val="24"/>
        </w:rPr>
        <w:t>book to market ratio</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stock return volatility</w:t>
      </w:r>
      <w:r w:rsidRPr="0059184B">
        <w:rPr>
          <w:rFonts w:ascii="Times New Roman" w:hAnsi="Times New Roman" w:cs="Times New Roman"/>
          <w:sz w:val="24"/>
          <w:szCs w:val="24"/>
        </w:rPr>
        <w:t>, market competition (</w:t>
      </w:r>
      <w:r w:rsidRPr="0059184B">
        <w:rPr>
          <w:rFonts w:ascii="Times New Roman" w:hAnsi="Times New Roman" w:cs="Times New Roman"/>
          <w:i/>
          <w:sz w:val="24"/>
          <w:szCs w:val="24"/>
        </w:rPr>
        <w:t>HHI</w:t>
      </w:r>
      <w:r w:rsidRPr="0059184B">
        <w:rPr>
          <w:rFonts w:ascii="Times New Roman" w:hAnsi="Times New Roman" w:cs="Times New Roman"/>
          <w:sz w:val="24"/>
          <w:szCs w:val="24"/>
        </w:rPr>
        <w:t xml:space="preserve">), </w:t>
      </w:r>
      <w:r w:rsidRPr="0059184B">
        <w:rPr>
          <w:rFonts w:ascii="Times New Roman" w:hAnsi="Times New Roman" w:cs="Times New Roman"/>
          <w:sz w:val="24"/>
          <w:szCs w:val="24"/>
        </w:rPr>
        <w:lastRenderedPageBreak/>
        <w:t xml:space="preserve">and low </w:t>
      </w:r>
      <w:r w:rsidRPr="0059184B">
        <w:rPr>
          <w:rFonts w:ascii="Times New Roman" w:hAnsi="Times New Roman" w:cs="Times New Roman"/>
          <w:i/>
          <w:sz w:val="24"/>
          <w:szCs w:val="24"/>
        </w:rPr>
        <w:t>exposure to real estate market</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short-term borrowings</w:t>
      </w:r>
      <w:r w:rsidRPr="0059184B">
        <w:rPr>
          <w:rFonts w:ascii="Times New Roman" w:hAnsi="Times New Roman" w:cs="Times New Roman"/>
          <w:sz w:val="24"/>
          <w:szCs w:val="24"/>
        </w:rPr>
        <w:t xml:space="preserve"> tend to exhibit worse performance. Overall, the results in Table 6 weakly support hypothesis (H5b) for t </w:t>
      </w:r>
      <w:r w:rsidRPr="0059184B">
        <w:rPr>
          <w:rFonts w:ascii="Times New Roman" w:hAnsi="Times New Roman" w:cs="Times New Roman"/>
          <w:i/>
          <w:sz w:val="24"/>
          <w:szCs w:val="24"/>
        </w:rPr>
        <w:t>IR derivatives for trading</w:t>
      </w:r>
      <w:r w:rsidRPr="0059184B">
        <w:rPr>
          <w:rFonts w:ascii="Times New Roman" w:hAnsi="Times New Roman" w:cs="Times New Roman"/>
          <w:sz w:val="24"/>
          <w:szCs w:val="24"/>
        </w:rPr>
        <w:t xml:space="preserve">, but not for </w:t>
      </w:r>
      <w:r w:rsidRPr="0059184B">
        <w:rPr>
          <w:rFonts w:ascii="Times New Roman" w:hAnsi="Times New Roman" w:cs="Times New Roman"/>
          <w:i/>
          <w:sz w:val="24"/>
          <w:szCs w:val="24"/>
        </w:rPr>
        <w:t>IR derivatives for hedging</w:t>
      </w:r>
      <w:r w:rsidRPr="0059184B">
        <w:rPr>
          <w:rFonts w:ascii="Times New Roman" w:hAnsi="Times New Roman" w:cs="Times New Roman"/>
          <w:sz w:val="24"/>
          <w:szCs w:val="24"/>
        </w:rPr>
        <w:t xml:space="preserve"> or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However, empirical findings for hypothesis (H4) and (H5a) are mixed.</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eastAsia="宋体" w:hAnsi="Times New Roman" w:cs="Times New Roman"/>
          <w:sz w:val="24"/>
          <w:szCs w:val="24"/>
        </w:rPr>
        <w:t xml:space="preserve">Table 7 presents results on bank’s performance with derivatives </w:t>
      </w:r>
      <w:proofErr w:type="spellStart"/>
      <w:r w:rsidRPr="0059184B">
        <w:rPr>
          <w:rFonts w:ascii="Times New Roman" w:eastAsia="宋体" w:hAnsi="Times New Roman" w:cs="Times New Roman"/>
          <w:sz w:val="24"/>
          <w:szCs w:val="24"/>
        </w:rPr>
        <w:t>categorised</w:t>
      </w:r>
      <w:proofErr w:type="spellEnd"/>
      <w:r w:rsidRPr="0059184B">
        <w:rPr>
          <w:rFonts w:ascii="Times New Roman" w:eastAsia="宋体" w:hAnsi="Times New Roman" w:cs="Times New Roman"/>
          <w:sz w:val="24"/>
          <w:szCs w:val="24"/>
        </w:rPr>
        <w:t xml:space="preserve"> by trading approach of OTC-traded and exchange-traded. </w:t>
      </w:r>
      <w:r w:rsidRPr="0059184B">
        <w:rPr>
          <w:rFonts w:ascii="Times New Roman" w:hAnsi="Times New Roman" w:cs="Times New Roman"/>
          <w:sz w:val="24"/>
          <w:szCs w:val="24"/>
        </w:rPr>
        <w:t>Without considering the DFA,</w:t>
      </w:r>
      <w:r w:rsidRPr="0059184B">
        <w:rPr>
          <w:rFonts w:ascii="Times New Roman" w:eastAsia="宋体" w:hAnsi="Times New Roman" w:cs="Times New Roman"/>
          <w:i/>
          <w:sz w:val="24"/>
          <w:szCs w:val="24"/>
        </w:rPr>
        <w:t xml:space="preserve"> </w:t>
      </w:r>
      <w:r w:rsidRPr="0059184B">
        <w:rPr>
          <w:rFonts w:ascii="Times New Roman" w:hAnsi="Times New Roman" w:cs="Times New Roman"/>
          <w:i/>
          <w:sz w:val="24"/>
          <w:szCs w:val="24"/>
        </w:rPr>
        <w:t>IR derivatives traded on exchanges</w:t>
      </w:r>
      <w:r w:rsidRPr="0059184B">
        <w:rPr>
          <w:rFonts w:ascii="Times New Roman" w:hAnsi="Times New Roman" w:cs="Times New Roman"/>
          <w:sz w:val="24"/>
          <w:szCs w:val="24"/>
        </w:rPr>
        <w:t xml:space="preserve"> is the only significant. Its negative coefficient sign in model (2) suggest that the use of exchange-traded IR derivatives hampers bank’s performance, although the significance is marginal. As the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dummy and interaction terms added in models (4), (5), (6), </w:t>
      </w:r>
      <w:r w:rsidRPr="0059184B">
        <w:rPr>
          <w:rFonts w:ascii="Times New Roman" w:hAnsi="Times New Roman" w:cs="Times New Roman"/>
          <w:i/>
          <w:sz w:val="24"/>
          <w:szCs w:val="24"/>
        </w:rPr>
        <w:t>IR derivatives traded on exchange</w:t>
      </w:r>
      <w:r w:rsidRPr="0059184B">
        <w:rPr>
          <w:rFonts w:ascii="Times New Roman" w:hAnsi="Times New Roman" w:cs="Times New Roman"/>
          <w:sz w:val="24"/>
          <w:szCs w:val="24"/>
        </w:rPr>
        <w:t xml:space="preserve"> becomes significantly positive when </w:t>
      </w:r>
      <w:r w:rsidRPr="0059184B">
        <w:rPr>
          <w:rFonts w:ascii="Times New Roman" w:hAnsi="Times New Roman" w:cs="Times New Roman"/>
          <w:i/>
          <w:sz w:val="24"/>
          <w:szCs w:val="24"/>
        </w:rPr>
        <w:t xml:space="preserve">Tobin’s Q </w:t>
      </w:r>
      <w:r w:rsidRPr="0059184B">
        <w:rPr>
          <w:rFonts w:ascii="Times New Roman" w:hAnsi="Times New Roman" w:cs="Times New Roman"/>
          <w:sz w:val="24"/>
          <w:szCs w:val="24"/>
        </w:rPr>
        <w:t xml:space="preserve">is used to capture banks’ performance (model (4)), and confirms hypothesis (H4). </w:t>
      </w:r>
      <w:r w:rsidRPr="0059184B">
        <w:rPr>
          <w:rFonts w:ascii="Times New Roman" w:hAnsi="Times New Roman" w:cs="Times New Roman"/>
          <w:i/>
          <w:sz w:val="24"/>
          <w:szCs w:val="24"/>
        </w:rPr>
        <w:t>Net credit derivatives</w:t>
      </w:r>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traded OTC</w:t>
      </w:r>
      <w:r w:rsidRPr="0059184B">
        <w:rPr>
          <w:rFonts w:ascii="Times New Roman" w:hAnsi="Times New Roman" w:cs="Times New Roman"/>
          <w:sz w:val="24"/>
          <w:szCs w:val="24"/>
        </w:rPr>
        <w:t xml:space="preserve">) becomes significant in model 4 and its negative coefficient sign indicates that use of credit derivatives hampers banks’ performance, which is contrary to hypothesis (H4).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xml:space="preserve"> is not significant in any models in Table 7.</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As shown in model (4) Table 7,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negatively affects </w:t>
      </w:r>
      <w:r w:rsidRPr="0059184B">
        <w:rPr>
          <w:rFonts w:ascii="Times New Roman" w:hAnsi="Times New Roman" w:cs="Times New Roman"/>
          <w:i/>
          <w:sz w:val="24"/>
          <w:szCs w:val="24"/>
        </w:rPr>
        <w:t xml:space="preserve">Tobin’s </w:t>
      </w:r>
      <w:proofErr w:type="gramStart"/>
      <w:r w:rsidRPr="0059184B">
        <w:rPr>
          <w:rFonts w:ascii="Times New Roman" w:hAnsi="Times New Roman" w:cs="Times New Roman"/>
          <w:i/>
          <w:sz w:val="24"/>
          <w:szCs w:val="24"/>
        </w:rPr>
        <w:t xml:space="preserve">Q </w:t>
      </w:r>
      <w:r w:rsidRPr="0059184B">
        <w:rPr>
          <w:rFonts w:ascii="Times New Roman" w:hAnsi="Times New Roman" w:cs="Times New Roman"/>
          <w:sz w:val="24"/>
          <w:szCs w:val="24"/>
        </w:rPr>
        <w:t>,</w:t>
      </w:r>
      <w:proofErr w:type="gramEnd"/>
      <w:r w:rsidRPr="0059184B">
        <w:rPr>
          <w:rFonts w:ascii="Times New Roman" w:hAnsi="Times New Roman" w:cs="Times New Roman"/>
          <w:sz w:val="24"/>
          <w:szCs w:val="24"/>
        </w:rPr>
        <w:t xml:space="preserve"> which is in line with hypothesis (H5a). It</w:t>
      </w:r>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marginal significant in model (5) when </w:t>
      </w:r>
      <w:proofErr w:type="spellStart"/>
      <w:r w:rsidRPr="0059184B">
        <w:rPr>
          <w:rFonts w:ascii="Times New Roman" w:hAnsi="Times New Roman" w:cs="Times New Roman"/>
          <w:i/>
          <w:sz w:val="24"/>
          <w:szCs w:val="24"/>
        </w:rPr>
        <w:t>VaR</w:t>
      </w:r>
      <w:proofErr w:type="spellEnd"/>
      <w:r w:rsidRPr="0059184B">
        <w:rPr>
          <w:rFonts w:ascii="Times New Roman" w:hAnsi="Times New Roman" w:cs="Times New Roman"/>
          <w:sz w:val="24"/>
          <w:szCs w:val="24"/>
        </w:rPr>
        <w:t xml:space="preserve"> is used to capture banks’ worst loss. The positive sign of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in model (5) does not support hypothesis (H5a). The interaction term between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sz w:val="24"/>
          <w:szCs w:val="24"/>
        </w:rPr>
        <w:t xml:space="preserve"> is the significant in models (5), (6), and the negative sign in model (5) with the positive sign in model (6) indicate that after the DFA came into effect, banks’ use of </w:t>
      </w:r>
      <w:r w:rsidRPr="0059184B">
        <w:rPr>
          <w:rFonts w:ascii="Times New Roman" w:hAnsi="Times New Roman" w:cs="Times New Roman"/>
          <w:i/>
          <w:sz w:val="24"/>
          <w:szCs w:val="24"/>
        </w:rPr>
        <w:t>IR derivatives traded OTC</w:t>
      </w:r>
      <w:r w:rsidRPr="0059184B">
        <w:rPr>
          <w:rFonts w:ascii="Times New Roman" w:hAnsi="Times New Roman" w:cs="Times New Roman"/>
          <w:sz w:val="24"/>
          <w:szCs w:val="24"/>
        </w:rPr>
        <w:t xml:space="preserve"> hampers bank’s performance (</w:t>
      </w:r>
      <w:r w:rsidRPr="0059184B">
        <w:rPr>
          <w:rFonts w:ascii="Times New Roman" w:hAnsi="Times New Roman" w:cs="Times New Roman"/>
          <w:i/>
          <w:sz w:val="24"/>
          <w:szCs w:val="24"/>
        </w:rPr>
        <w:t>ROA</w:t>
      </w:r>
      <w:r w:rsidRPr="0059184B">
        <w:rPr>
          <w:rFonts w:ascii="Times New Roman" w:hAnsi="Times New Roman" w:cs="Times New Roman"/>
          <w:sz w:val="24"/>
          <w:szCs w:val="24"/>
        </w:rPr>
        <w:t>) and operation efficiency (</w:t>
      </w:r>
      <w:r w:rsidRPr="0059184B">
        <w:rPr>
          <w:rFonts w:ascii="Times New Roman" w:hAnsi="Times New Roman" w:cs="Times New Roman"/>
          <w:i/>
          <w:sz w:val="24"/>
          <w:szCs w:val="24"/>
        </w:rPr>
        <w:t>cost to income ratio</w:t>
      </w:r>
      <w:r w:rsidRPr="0059184B">
        <w:rPr>
          <w:rFonts w:ascii="Times New Roman" w:hAnsi="Times New Roman" w:cs="Times New Roman"/>
          <w:sz w:val="24"/>
          <w:szCs w:val="24"/>
        </w:rPr>
        <w:t xml:space="preserve">). These evidences are partly in line with hypothesis (H5b). The interaction term between </w:t>
      </w:r>
      <w:r w:rsidRPr="0059184B">
        <w:rPr>
          <w:rFonts w:ascii="Times New Roman" w:hAnsi="Times New Roman" w:cs="Times New Roman"/>
          <w:i/>
          <w:sz w:val="24"/>
          <w:szCs w:val="24"/>
        </w:rPr>
        <w:t>IR derivatives traded on exchanges</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PostDFA</w:t>
      </w:r>
      <w:proofErr w:type="spellEnd"/>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is significant in model (6) and the negatives sign suggests that the use of exchanged-traded IR derivatives in post-DFA period improves banks’ operation efficiency as measured by </w:t>
      </w:r>
      <w:r w:rsidRPr="0059184B">
        <w:rPr>
          <w:rFonts w:ascii="Times New Roman" w:hAnsi="Times New Roman" w:cs="Times New Roman"/>
          <w:i/>
          <w:sz w:val="24"/>
          <w:szCs w:val="24"/>
        </w:rPr>
        <w:t>cost to income ratio</w:t>
      </w:r>
      <w:r w:rsidRPr="0059184B">
        <w:rPr>
          <w:rFonts w:ascii="Times New Roman" w:hAnsi="Times New Roman" w:cs="Times New Roman"/>
          <w:sz w:val="24"/>
          <w:szCs w:val="24"/>
        </w:rPr>
        <w:t>, which does not support hypothesis (H5b)</w:t>
      </w:r>
      <w:r w:rsidRPr="0059184B">
        <w:rPr>
          <w:rFonts w:ascii="Times New Roman" w:hAnsi="Times New Roman" w:cs="Times New Roman"/>
          <w:i/>
          <w:sz w:val="24"/>
          <w:szCs w:val="24"/>
        </w:rPr>
        <w:t xml:space="preserve">. </w:t>
      </w:r>
      <w:r w:rsidRPr="0059184B">
        <w:rPr>
          <w:rFonts w:ascii="Times New Roman" w:hAnsi="Times New Roman" w:cs="Times New Roman"/>
          <w:sz w:val="24"/>
          <w:szCs w:val="24"/>
        </w:rPr>
        <w:t xml:space="preserve">Other control variables are consistent as in Table 6 in terms of significance and signs. Overall, the empirical results in Table 7 present mixed evidences for hypothesis (H4), (H5a) and (H5b) with derivatives categorized by traded approach. </w:t>
      </w:r>
    </w:p>
    <w:p w:rsidR="0088048C" w:rsidRPr="0059184B" w:rsidRDefault="0088048C" w:rsidP="0088048C">
      <w:pPr>
        <w:spacing w:line="360" w:lineRule="auto"/>
        <w:rPr>
          <w:rFonts w:ascii="Times New Roman" w:hAnsi="Times New Roman" w:cs="Times New Roman"/>
          <w:sz w:val="24"/>
          <w:szCs w:val="24"/>
        </w:rPr>
      </w:pPr>
    </w:p>
    <w:p w:rsidR="0088048C" w:rsidRPr="0059184B" w:rsidRDefault="0088048C" w:rsidP="0088048C">
      <w:pPr>
        <w:pStyle w:val="2"/>
        <w:rPr>
          <w:rFonts w:ascii="Times New Roman" w:hAnsi="Times New Roman" w:cs="Times New Roman"/>
          <w:sz w:val="24"/>
          <w:szCs w:val="24"/>
        </w:rPr>
      </w:pPr>
      <w:r w:rsidRPr="0059184B">
        <w:rPr>
          <w:rFonts w:ascii="Times New Roman" w:hAnsi="Times New Roman" w:cs="Times New Roman"/>
          <w:sz w:val="24"/>
          <w:szCs w:val="24"/>
        </w:rPr>
        <w:lastRenderedPageBreak/>
        <w:t xml:space="preserve">6. Robustness Test </w:t>
      </w:r>
    </w:p>
    <w:p w:rsidR="0088048C" w:rsidRPr="0059184B" w:rsidRDefault="0088048C" w:rsidP="0088048C">
      <w:pPr>
        <w:spacing w:line="360" w:lineRule="auto"/>
        <w:rPr>
          <w:rFonts w:ascii="Times New Roman" w:hAnsi="Times New Roman" w:cs="Times New Roman"/>
          <w:sz w:val="24"/>
          <w:szCs w:val="24"/>
        </w:rPr>
      </w:pPr>
      <w:r w:rsidRPr="0059184B">
        <w:rPr>
          <w:rFonts w:ascii="Times New Roman" w:hAnsi="Times New Roman" w:cs="Times New Roman"/>
          <w:sz w:val="24"/>
          <w:szCs w:val="24"/>
        </w:rPr>
        <w:t xml:space="preserve">In this section, we discuss several sensitivity tests to check the robustness of results presented above. First, we test our results in another sample with the criterion applied by </w:t>
      </w:r>
      <w:proofErr w:type="spellStart"/>
      <w:r w:rsidRPr="0059184B">
        <w:rPr>
          <w:rFonts w:ascii="Times New Roman" w:eastAsia="AdvGulliv-R" w:hAnsi="Times New Roman" w:cs="Times New Roman"/>
          <w:kern w:val="0"/>
          <w:sz w:val="24"/>
          <w:szCs w:val="24"/>
        </w:rPr>
        <w:t>Mayordomo</w:t>
      </w:r>
      <w:proofErr w:type="spellEnd"/>
      <w:r w:rsidRPr="0059184B">
        <w:rPr>
          <w:rFonts w:ascii="Times New Roman" w:eastAsia="AdvGulliv-R" w:hAnsi="Times New Roman" w:cs="Times New Roman"/>
          <w:kern w:val="0"/>
          <w:sz w:val="24"/>
          <w:szCs w:val="24"/>
        </w:rPr>
        <w:t>, Rodriguez-Moreno and Pena, (2014)</w:t>
      </w:r>
      <w:r w:rsidRPr="0059184B">
        <w:rPr>
          <w:rFonts w:ascii="Times New Roman" w:hAnsi="Times New Roman" w:cs="Times New Roman"/>
          <w:sz w:val="24"/>
          <w:szCs w:val="24"/>
        </w:rPr>
        <w:t>. Second, we test our results for banks that are involved in the Stress Test by Federal Reserve. Third, we apply alternative measurements for several important variables.</w:t>
      </w:r>
    </w:p>
    <w:p w:rsidR="0088048C" w:rsidRPr="0059184B" w:rsidRDefault="0088048C" w:rsidP="0088048C">
      <w:pPr>
        <w:spacing w:line="360" w:lineRule="auto"/>
        <w:rPr>
          <w:rFonts w:ascii="Times New Roman" w:hAnsi="Times New Roman" w:cs="Times New Roman"/>
          <w:sz w:val="24"/>
          <w:szCs w:val="24"/>
        </w:rPr>
      </w:pPr>
    </w:p>
    <w:p w:rsidR="0088048C" w:rsidRPr="0059184B" w:rsidRDefault="0088048C" w:rsidP="0088048C">
      <w:pPr>
        <w:spacing w:line="360" w:lineRule="auto"/>
        <w:rPr>
          <w:rFonts w:ascii="Times New Roman" w:hAnsi="Times New Roman" w:cs="Times New Roman"/>
          <w:b/>
          <w:sz w:val="24"/>
          <w:szCs w:val="24"/>
        </w:rPr>
      </w:pPr>
      <w:r w:rsidRPr="0059184B">
        <w:rPr>
          <w:rFonts w:ascii="Times New Roman" w:hAnsi="Times New Roman" w:cs="Times New Roman"/>
          <w:b/>
          <w:sz w:val="24"/>
          <w:szCs w:val="24"/>
        </w:rPr>
        <w:t>6.1. Sample of bigger banks</w:t>
      </w:r>
    </w:p>
    <w:p w:rsidR="0088048C" w:rsidRPr="0059184B" w:rsidRDefault="0088048C" w:rsidP="0088048C">
      <w:pPr>
        <w:spacing w:line="360" w:lineRule="auto"/>
        <w:rPr>
          <w:rFonts w:ascii="Times New Roman" w:hAnsi="Times New Roman" w:cs="Times New Roman"/>
          <w:sz w:val="24"/>
          <w:szCs w:val="24"/>
        </w:rPr>
      </w:pPr>
      <w:r w:rsidRPr="0059184B">
        <w:rPr>
          <w:rFonts w:ascii="Times New Roman" w:hAnsi="Times New Roman" w:cs="Times New Roman"/>
          <w:sz w:val="24"/>
          <w:szCs w:val="24"/>
        </w:rPr>
        <w:t xml:space="preserve">We set up the main threshold as $1 billion in total assets as of year-end 2006, by which we can capture the effects of derivatives for more BHCs and also for those banks that got defunct during the GFC. We could instead raise the size threshold and add more time spots in the criterion. Similar to the approach of </w:t>
      </w:r>
      <w:proofErr w:type="spellStart"/>
      <w:r w:rsidRPr="0059184B">
        <w:rPr>
          <w:rFonts w:ascii="Times New Roman" w:eastAsia="AdvGulliv-R" w:hAnsi="Times New Roman" w:cs="Times New Roman"/>
          <w:kern w:val="0"/>
          <w:sz w:val="24"/>
          <w:szCs w:val="24"/>
        </w:rPr>
        <w:t>Mayordomo</w:t>
      </w:r>
      <w:proofErr w:type="spellEnd"/>
      <w:r w:rsidRPr="0059184B">
        <w:rPr>
          <w:rFonts w:ascii="Times New Roman" w:eastAsia="AdvGulliv-R" w:hAnsi="Times New Roman" w:cs="Times New Roman"/>
          <w:kern w:val="0"/>
          <w:sz w:val="24"/>
          <w:szCs w:val="24"/>
        </w:rPr>
        <w:t>, Rodriguez-Moreno and Pena, (2014), we construct another sample consist of 52 BHCs with total assets above $5billion in both the first quarter of 2006 and the first quarter of 2009. One benefit of this criterion is to avoid potential bias as it incorporates both pre-crisis and ongoing crisis-period time spot.</w:t>
      </w:r>
      <w:r w:rsidRPr="0059184B">
        <w:rPr>
          <w:rFonts w:ascii="Times New Roman" w:hAnsi="Times New Roman" w:cs="Times New Roman"/>
          <w:sz w:val="24"/>
          <w:szCs w:val="24"/>
        </w:rPr>
        <w:t xml:space="preserve"> The </w:t>
      </w:r>
      <w:proofErr w:type="spellStart"/>
      <w:r w:rsidRPr="0059184B">
        <w:rPr>
          <w:rFonts w:ascii="Times New Roman" w:hAnsi="Times New Roman" w:cs="Times New Roman"/>
          <w:sz w:val="24"/>
          <w:szCs w:val="24"/>
        </w:rPr>
        <w:t>untabulated</w:t>
      </w:r>
      <w:proofErr w:type="spellEnd"/>
      <w:r w:rsidRPr="0059184B">
        <w:rPr>
          <w:rFonts w:ascii="Times New Roman" w:hAnsi="Times New Roman" w:cs="Times New Roman"/>
          <w:sz w:val="24"/>
          <w:szCs w:val="24"/>
        </w:rPr>
        <w:t xml:space="preserve"> results with those 52 Banks indicate that the </w:t>
      </w:r>
      <w:r w:rsidRPr="0059184B">
        <w:rPr>
          <w:rFonts w:ascii="Times New Roman" w:hAnsi="Times New Roman" w:cs="Times New Roman" w:hint="eastAsia"/>
          <w:sz w:val="24"/>
          <w:szCs w:val="24"/>
        </w:rPr>
        <w:t>findings</w:t>
      </w:r>
      <w:r w:rsidRPr="0059184B">
        <w:rPr>
          <w:rFonts w:ascii="Times New Roman" w:hAnsi="Times New Roman" w:cs="Times New Roman"/>
          <w:sz w:val="24"/>
          <w:szCs w:val="24"/>
        </w:rPr>
        <w:t xml:space="preserve"> on systemic risk are not changed by </w:t>
      </w:r>
      <w:r w:rsidRPr="0059184B">
        <w:rPr>
          <w:rFonts w:ascii="Times New Roman" w:hAnsi="Times New Roman" w:cs="Times New Roman" w:hint="eastAsia"/>
          <w:sz w:val="24"/>
          <w:szCs w:val="24"/>
        </w:rPr>
        <w:t xml:space="preserve">a different </w:t>
      </w:r>
      <w:r w:rsidRPr="0059184B">
        <w:rPr>
          <w:rFonts w:ascii="Times New Roman" w:hAnsi="Times New Roman" w:cs="Times New Roman"/>
          <w:sz w:val="24"/>
          <w:szCs w:val="24"/>
        </w:rPr>
        <w:t>sample</w:t>
      </w:r>
      <w:r w:rsidRPr="0059184B">
        <w:rPr>
          <w:rFonts w:ascii="Times New Roman" w:hAnsi="Times New Roman" w:cs="Times New Roman" w:hint="eastAsia"/>
          <w:sz w:val="24"/>
          <w:szCs w:val="24"/>
        </w:rPr>
        <w:t xml:space="preserve"> </w:t>
      </w:r>
      <w:r w:rsidRPr="0059184B">
        <w:rPr>
          <w:rFonts w:ascii="Times New Roman" w:hAnsi="Times New Roman" w:cs="Times New Roman"/>
          <w:sz w:val="24"/>
          <w:szCs w:val="24"/>
        </w:rPr>
        <w:t xml:space="preserve">criterion. </w:t>
      </w:r>
      <w:r w:rsidRPr="0059184B">
        <w:rPr>
          <w:rFonts w:ascii="Times New Roman" w:hAnsi="Times New Roman" w:cs="Times New Roman" w:hint="eastAsia"/>
          <w:sz w:val="24"/>
          <w:szCs w:val="24"/>
        </w:rPr>
        <w:t>The results</w:t>
      </w:r>
      <w:r w:rsidRPr="0059184B">
        <w:rPr>
          <w:rFonts w:ascii="Times New Roman" w:hAnsi="Times New Roman" w:cs="Times New Roman"/>
          <w:sz w:val="24"/>
          <w:szCs w:val="24"/>
        </w:rPr>
        <w:t xml:space="preserve"> still </w:t>
      </w:r>
      <w:r w:rsidRPr="0059184B">
        <w:rPr>
          <w:rFonts w:ascii="Times New Roman" w:hAnsi="Times New Roman" w:cs="Times New Roman" w:hint="eastAsia"/>
          <w:sz w:val="24"/>
          <w:szCs w:val="24"/>
        </w:rPr>
        <w:t>show that</w:t>
      </w:r>
      <w:r w:rsidRPr="0059184B">
        <w:rPr>
          <w:rFonts w:ascii="Times New Roman" w:hAnsi="Times New Roman" w:cs="Times New Roman"/>
          <w:sz w:val="24"/>
          <w:szCs w:val="24"/>
        </w:rPr>
        <w:t xml:space="preserve"> banks’ use of interest rate derivatives for hedging and credit derivatives increases their contribution to systemic risk, and the DFA effectively mitigates the effectiveness of those derivatives. The results of tests on banks’ individual overall risk and performance also remain consistent with the main results presented in section 5. </w:t>
      </w:r>
    </w:p>
    <w:p w:rsidR="0088048C" w:rsidRPr="0059184B" w:rsidRDefault="0088048C" w:rsidP="0088048C">
      <w:pPr>
        <w:spacing w:line="360" w:lineRule="auto"/>
        <w:rPr>
          <w:rFonts w:ascii="Times New Roman" w:hAnsi="Times New Roman" w:cs="Times New Roman"/>
          <w:sz w:val="24"/>
          <w:szCs w:val="24"/>
        </w:rPr>
      </w:pPr>
    </w:p>
    <w:p w:rsidR="0088048C" w:rsidRPr="0059184B" w:rsidRDefault="0088048C" w:rsidP="0088048C">
      <w:pPr>
        <w:spacing w:line="360" w:lineRule="auto"/>
        <w:rPr>
          <w:rFonts w:ascii="Times New Roman" w:hAnsi="Times New Roman" w:cs="Times New Roman"/>
          <w:b/>
          <w:sz w:val="24"/>
          <w:szCs w:val="24"/>
        </w:rPr>
      </w:pPr>
      <w:r w:rsidRPr="0059184B">
        <w:rPr>
          <w:rFonts w:ascii="Times New Roman" w:hAnsi="Times New Roman" w:cs="Times New Roman"/>
          <w:b/>
          <w:sz w:val="24"/>
          <w:szCs w:val="24"/>
        </w:rPr>
        <w:t>6.2. Stress Tested Banks</w:t>
      </w:r>
    </w:p>
    <w:p w:rsidR="0088048C" w:rsidRPr="0059184B" w:rsidRDefault="0088048C" w:rsidP="0088048C">
      <w:pPr>
        <w:spacing w:line="360" w:lineRule="auto"/>
        <w:rPr>
          <w:rFonts w:ascii="Times New Roman" w:hAnsi="Times New Roman" w:cs="Times New Roman"/>
          <w:sz w:val="24"/>
          <w:szCs w:val="24"/>
        </w:rPr>
      </w:pPr>
      <w:r w:rsidRPr="0059184B">
        <w:rPr>
          <w:rFonts w:ascii="Times New Roman" w:hAnsi="Times New Roman" w:cs="Times New Roman"/>
          <w:sz w:val="24"/>
          <w:szCs w:val="24"/>
        </w:rPr>
        <w:t xml:space="preserve">As a response to the “too-big-to-fail’ issue, the DFA requires the Federal Reserve to conduct an annual supervisory stress test for those systemically important financial institution (SIFIs). Meanwhile, those institutions subject to the supervisory stress test are also required to conduct their own stress tests and report the test results to the Federal Reserve twice a year. Considering the importance of monitoring the financial health of those SIFIs, our second sensitivity test examines the impacts of derivatives use and the DFA among those stress tested </w:t>
      </w:r>
      <w:r w:rsidRPr="0059184B">
        <w:rPr>
          <w:rFonts w:ascii="Times New Roman" w:hAnsi="Times New Roman" w:cs="Times New Roman"/>
          <w:sz w:val="24"/>
          <w:szCs w:val="24"/>
        </w:rPr>
        <w:lastRenderedPageBreak/>
        <w:t xml:space="preserve">banks. We include banks that are required to report the stress test results as year-end 2015 and get another sample of 18 BHCs. Findings on systemic risk and banks’ risk and performance for stress tested banks present similar impacts of interest rate derivatives for hedging and credit derivatives, although the results are slightly weaker. </w:t>
      </w:r>
    </w:p>
    <w:p w:rsidR="0088048C" w:rsidRPr="0059184B" w:rsidRDefault="0088048C" w:rsidP="0088048C">
      <w:pPr>
        <w:spacing w:line="360" w:lineRule="auto"/>
        <w:rPr>
          <w:rFonts w:ascii="Times New Roman" w:hAnsi="Times New Roman" w:cs="Times New Roman"/>
          <w:sz w:val="24"/>
          <w:szCs w:val="24"/>
        </w:rPr>
      </w:pPr>
    </w:p>
    <w:p w:rsidR="0088048C" w:rsidRPr="0059184B" w:rsidRDefault="0088048C" w:rsidP="0088048C">
      <w:pPr>
        <w:spacing w:line="360" w:lineRule="auto"/>
        <w:rPr>
          <w:rFonts w:ascii="Times New Roman" w:hAnsi="Times New Roman" w:cs="Times New Roman"/>
          <w:b/>
          <w:sz w:val="24"/>
          <w:szCs w:val="24"/>
        </w:rPr>
      </w:pPr>
      <w:r w:rsidRPr="0059184B">
        <w:rPr>
          <w:rFonts w:ascii="Times New Roman" w:hAnsi="Times New Roman" w:cs="Times New Roman"/>
          <w:b/>
          <w:sz w:val="24"/>
          <w:szCs w:val="24"/>
        </w:rPr>
        <w:t>6.3. Alternative measurements</w:t>
      </w:r>
    </w:p>
    <w:p w:rsidR="0088048C" w:rsidRPr="0059184B" w:rsidRDefault="0088048C" w:rsidP="0088048C">
      <w:pPr>
        <w:spacing w:line="360" w:lineRule="auto"/>
        <w:rPr>
          <w:rFonts w:ascii="Times New Roman" w:hAnsi="Times New Roman" w:cs="Times New Roman"/>
          <w:sz w:val="22"/>
          <w:szCs w:val="24"/>
          <w:vertAlign w:val="superscript"/>
        </w:rPr>
      </w:pPr>
      <w:r w:rsidRPr="0059184B">
        <w:rPr>
          <w:rFonts w:ascii="Times New Roman" w:hAnsi="Times New Roman" w:cs="Times New Roman"/>
          <w:sz w:val="24"/>
          <w:szCs w:val="24"/>
        </w:rPr>
        <w:t xml:space="preserve">In our models, we employ </w:t>
      </w:r>
      <w:r w:rsidRPr="0059184B">
        <w:rPr>
          <w:rFonts w:ascii="Times New Roman" w:hAnsi="Times New Roman" w:cs="Times New Roman"/>
          <w:i/>
          <w:sz w:val="24"/>
          <w:szCs w:val="24"/>
        </w:rPr>
        <w:t>tier 1 ratio</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loan loss provision</w:t>
      </w:r>
      <w:r w:rsidRPr="0059184B">
        <w:rPr>
          <w:rFonts w:ascii="Times New Roman" w:hAnsi="Times New Roman" w:cs="Times New Roman"/>
          <w:sz w:val="24"/>
          <w:szCs w:val="24"/>
        </w:rPr>
        <w:t xml:space="preserve"> as proxies for banks’ capital adequacy and loan loss risk respectively. Alternative measures for those two are the </w:t>
      </w:r>
      <w:r w:rsidRPr="0059184B">
        <w:rPr>
          <w:rFonts w:ascii="Times New Roman" w:hAnsi="Times New Roman" w:cs="Times New Roman"/>
          <w:i/>
          <w:sz w:val="24"/>
          <w:szCs w:val="24"/>
        </w:rPr>
        <w:t>leverage ratio</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non-performing loans.</w:t>
      </w:r>
      <w:r w:rsidRPr="0059184B">
        <w:rPr>
          <w:rFonts w:ascii="Times New Roman" w:hAnsi="Times New Roman" w:cs="Times New Roman"/>
          <w:sz w:val="24"/>
          <w:szCs w:val="24"/>
        </w:rPr>
        <w:t xml:space="preserve"> As reported by </w:t>
      </w:r>
      <w:proofErr w:type="spellStart"/>
      <w:r w:rsidRPr="0059184B">
        <w:rPr>
          <w:rFonts w:ascii="Times New Roman" w:hAnsi="Times New Roman" w:cs="Times New Roman"/>
          <w:sz w:val="24"/>
          <w:szCs w:val="24"/>
        </w:rPr>
        <w:t>Mayordomo</w:t>
      </w:r>
      <w:proofErr w:type="spellEnd"/>
      <w:r w:rsidRPr="0059184B">
        <w:rPr>
          <w:rFonts w:ascii="Times New Roman" w:hAnsi="Times New Roman" w:cs="Times New Roman"/>
          <w:sz w:val="24"/>
          <w:szCs w:val="24"/>
        </w:rPr>
        <w:t xml:space="preserve">, Rodriguez-Moreno and Pena, (2014), </w:t>
      </w:r>
      <w:r w:rsidRPr="0059184B">
        <w:rPr>
          <w:rFonts w:ascii="Times New Roman" w:hAnsi="Times New Roman" w:cs="Times New Roman"/>
          <w:i/>
          <w:sz w:val="24"/>
          <w:szCs w:val="24"/>
        </w:rPr>
        <w:t>leverage</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non-performing loans</w:t>
      </w:r>
      <w:r w:rsidRPr="0059184B">
        <w:rPr>
          <w:rFonts w:ascii="Times New Roman" w:hAnsi="Times New Roman" w:cs="Times New Roman"/>
          <w:sz w:val="24"/>
          <w:szCs w:val="24"/>
        </w:rPr>
        <w:t xml:space="preserve"> have much stronger impact on systemic risk than derivatives holdings. Following </w:t>
      </w:r>
      <w:proofErr w:type="spellStart"/>
      <w:r w:rsidRPr="0059184B">
        <w:rPr>
          <w:rFonts w:ascii="Times New Roman" w:hAnsi="Times New Roman" w:cs="Times New Roman"/>
          <w:sz w:val="24"/>
          <w:szCs w:val="24"/>
        </w:rPr>
        <w:t>Mayordomo</w:t>
      </w:r>
      <w:proofErr w:type="spellEnd"/>
      <w:r w:rsidRPr="0059184B">
        <w:rPr>
          <w:rFonts w:ascii="Times New Roman" w:hAnsi="Times New Roman" w:cs="Times New Roman"/>
          <w:sz w:val="24"/>
          <w:szCs w:val="24"/>
        </w:rPr>
        <w:t xml:space="preserve">, Rodriguez-Moreno and Pena, (2014), we replace </w:t>
      </w:r>
      <w:r w:rsidRPr="0059184B">
        <w:rPr>
          <w:rFonts w:ascii="Times New Roman" w:hAnsi="Times New Roman" w:cs="Times New Roman"/>
          <w:i/>
          <w:sz w:val="24"/>
          <w:szCs w:val="24"/>
        </w:rPr>
        <w:t>tier 1 ratio</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loan loss provision</w:t>
      </w:r>
      <w:r w:rsidRPr="0059184B">
        <w:rPr>
          <w:rFonts w:ascii="Times New Roman" w:hAnsi="Times New Roman" w:cs="Times New Roman"/>
          <w:sz w:val="24"/>
          <w:szCs w:val="24"/>
        </w:rPr>
        <w:t xml:space="preserve"> with </w:t>
      </w:r>
      <w:r w:rsidRPr="0059184B">
        <w:rPr>
          <w:rFonts w:ascii="Times New Roman" w:hAnsi="Times New Roman" w:cs="Times New Roman"/>
          <w:i/>
          <w:sz w:val="24"/>
          <w:szCs w:val="24"/>
        </w:rPr>
        <w:t>leverage</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non-performing loans</w:t>
      </w:r>
      <w:r w:rsidRPr="0059184B">
        <w:rPr>
          <w:rFonts w:ascii="Times New Roman" w:hAnsi="Times New Roman" w:cs="Times New Roman"/>
          <w:sz w:val="24"/>
          <w:szCs w:val="24"/>
        </w:rPr>
        <w:t xml:space="preserve"> respectively in each model as a third sensitivity test. In addition, we replace </w:t>
      </w:r>
      <w:r w:rsidRPr="0059184B">
        <w:rPr>
          <w:rFonts w:ascii="Times New Roman" w:hAnsi="Times New Roman" w:cs="Times New Roman"/>
          <w:i/>
          <w:sz w:val="24"/>
          <w:szCs w:val="24"/>
        </w:rPr>
        <w:t>return on assets</w:t>
      </w:r>
      <w:r w:rsidRPr="0059184B">
        <w:rPr>
          <w:rFonts w:ascii="Times New Roman" w:hAnsi="Times New Roman" w:cs="Times New Roman"/>
          <w:sz w:val="24"/>
          <w:szCs w:val="24"/>
        </w:rPr>
        <w:t xml:space="preserve"> with </w:t>
      </w:r>
      <w:r w:rsidRPr="0059184B">
        <w:rPr>
          <w:rFonts w:ascii="Times New Roman" w:hAnsi="Times New Roman" w:cs="Times New Roman"/>
          <w:i/>
          <w:sz w:val="24"/>
          <w:szCs w:val="24"/>
        </w:rPr>
        <w:t>return on equity</w:t>
      </w:r>
      <w:r w:rsidRPr="0059184B">
        <w:rPr>
          <w:rFonts w:ascii="Times New Roman" w:hAnsi="Times New Roman" w:cs="Times New Roman"/>
          <w:sz w:val="24"/>
          <w:szCs w:val="24"/>
        </w:rPr>
        <w:t>, both of which are proxies for banks’ performance. We also test with variables calculated with different confidence levels (</w:t>
      </w:r>
      <w:r w:rsidRPr="0059184B">
        <w:rPr>
          <w:rFonts w:ascii="Cambria Math" w:eastAsia="宋体" w:hAnsi="Cambria Math" w:cs="Cambria Math"/>
          <w:i/>
          <w:sz w:val="24"/>
          <w:szCs w:val="24"/>
        </w:rPr>
        <w:t>△</w:t>
      </w:r>
      <w:proofErr w:type="spellStart"/>
      <w:r w:rsidRPr="0059184B">
        <w:rPr>
          <w:rFonts w:ascii="Times New Roman" w:eastAsia="宋体" w:hAnsi="Times New Roman" w:cs="Times New Roman"/>
          <w:i/>
          <w:sz w:val="24"/>
          <w:szCs w:val="24"/>
        </w:rPr>
        <w:t>CoVaR</w:t>
      </w:r>
      <w:proofErr w:type="spellEnd"/>
      <w:r w:rsidRPr="0059184B">
        <w:rPr>
          <w:rFonts w:ascii="Times New Roman" w:hAnsi="Times New Roman" w:cs="Times New Roman"/>
          <w:sz w:val="24"/>
          <w:szCs w:val="24"/>
        </w:rPr>
        <w:t xml:space="preserve">, </w:t>
      </w:r>
      <w:r w:rsidRPr="0059184B">
        <w:rPr>
          <w:rFonts w:ascii="Times New Roman" w:hAnsi="Times New Roman" w:cs="Times New Roman"/>
          <w:i/>
          <w:sz w:val="24"/>
          <w:szCs w:val="24"/>
        </w:rPr>
        <w:t>MES</w:t>
      </w:r>
      <w:r w:rsidRPr="0059184B">
        <w:rPr>
          <w:rFonts w:ascii="Times New Roman" w:hAnsi="Times New Roman" w:cs="Times New Roman"/>
          <w:sz w:val="24"/>
          <w:szCs w:val="24"/>
        </w:rPr>
        <w:t xml:space="preserve"> and </w:t>
      </w:r>
      <w:proofErr w:type="spellStart"/>
      <w:r w:rsidRPr="0059184B">
        <w:rPr>
          <w:rFonts w:ascii="Times New Roman" w:hAnsi="Times New Roman" w:cs="Times New Roman"/>
          <w:i/>
          <w:sz w:val="24"/>
          <w:szCs w:val="24"/>
        </w:rPr>
        <w:t>VaR</w:t>
      </w:r>
      <w:proofErr w:type="spellEnd"/>
      <w:r w:rsidRPr="0059184B">
        <w:rPr>
          <w:rFonts w:ascii="Times New Roman" w:hAnsi="Times New Roman" w:cs="Times New Roman"/>
          <w:sz w:val="24"/>
          <w:szCs w:val="24"/>
        </w:rPr>
        <w:t>) and different time window (</w:t>
      </w:r>
      <w:r w:rsidRPr="0059184B">
        <w:rPr>
          <w:rFonts w:ascii="Times New Roman" w:hAnsi="Times New Roman" w:cs="Times New Roman"/>
          <w:i/>
          <w:sz w:val="24"/>
          <w:szCs w:val="24"/>
        </w:rPr>
        <w:t>Z-score</w:t>
      </w:r>
      <w:r w:rsidRPr="0059184B">
        <w:rPr>
          <w:rFonts w:ascii="Times New Roman" w:hAnsi="Times New Roman" w:cs="Times New Roman"/>
          <w:sz w:val="24"/>
          <w:szCs w:val="24"/>
        </w:rPr>
        <w:t xml:space="preserve"> and </w:t>
      </w:r>
      <w:r w:rsidRPr="0059184B">
        <w:rPr>
          <w:rFonts w:ascii="Times New Roman" w:hAnsi="Times New Roman" w:cs="Times New Roman"/>
          <w:i/>
          <w:sz w:val="24"/>
          <w:szCs w:val="24"/>
        </w:rPr>
        <w:t>stock return volatility</w:t>
      </w:r>
      <w:r w:rsidRPr="0059184B">
        <w:rPr>
          <w:rFonts w:ascii="Times New Roman" w:hAnsi="Times New Roman" w:cs="Times New Roman"/>
          <w:sz w:val="24"/>
          <w:szCs w:val="24"/>
        </w:rPr>
        <w:t xml:space="preserve">). We find consistent results on derivatives use and the DFA in </w:t>
      </w:r>
      <w:proofErr w:type="spellStart"/>
      <w:r w:rsidRPr="0059184B">
        <w:rPr>
          <w:rFonts w:ascii="Times New Roman" w:hAnsi="Times New Roman" w:cs="Times New Roman"/>
          <w:sz w:val="24"/>
          <w:szCs w:val="24"/>
        </w:rPr>
        <w:t>untabulated</w:t>
      </w:r>
      <w:proofErr w:type="spellEnd"/>
      <w:r w:rsidRPr="0059184B">
        <w:rPr>
          <w:rFonts w:ascii="Times New Roman" w:hAnsi="Times New Roman" w:cs="Times New Roman"/>
          <w:sz w:val="24"/>
          <w:szCs w:val="24"/>
        </w:rPr>
        <w:t xml:space="preserve"> tests.</w:t>
      </w:r>
      <w:r w:rsidRPr="0059184B">
        <w:rPr>
          <w:rFonts w:ascii="Times New Roman" w:hAnsi="Times New Roman" w:cs="Times New Roman"/>
          <w:sz w:val="22"/>
          <w:szCs w:val="24"/>
          <w:vertAlign w:val="superscript"/>
        </w:rPr>
        <w:footnoteReference w:id="12"/>
      </w:r>
      <w:r w:rsidRPr="0059184B">
        <w:rPr>
          <w:rFonts w:ascii="Times New Roman" w:hAnsi="Times New Roman" w:cs="Times New Roman"/>
          <w:sz w:val="22"/>
          <w:szCs w:val="24"/>
          <w:vertAlign w:val="superscript"/>
        </w:rPr>
        <w:t xml:space="preserve"> </w:t>
      </w:r>
    </w:p>
    <w:p w:rsidR="0088048C" w:rsidRPr="0059184B" w:rsidRDefault="0088048C" w:rsidP="0088048C">
      <w:pPr>
        <w:spacing w:line="360" w:lineRule="auto"/>
        <w:rPr>
          <w:rFonts w:ascii="Times New Roman" w:hAnsi="Times New Roman" w:cs="Times New Roman"/>
          <w:sz w:val="22"/>
          <w:szCs w:val="24"/>
        </w:rPr>
      </w:pPr>
    </w:p>
    <w:p w:rsidR="0088048C" w:rsidRPr="0059184B" w:rsidRDefault="0088048C" w:rsidP="0088048C">
      <w:pPr>
        <w:pStyle w:val="2"/>
        <w:rPr>
          <w:rFonts w:ascii="Times New Roman" w:hAnsi="Times New Roman" w:cs="Times New Roman"/>
          <w:sz w:val="24"/>
          <w:szCs w:val="24"/>
        </w:rPr>
      </w:pPr>
      <w:r w:rsidRPr="0059184B">
        <w:rPr>
          <w:rFonts w:ascii="Times New Roman" w:hAnsi="Times New Roman" w:cs="Times New Roman"/>
          <w:sz w:val="24"/>
          <w:szCs w:val="24"/>
        </w:rPr>
        <w:t xml:space="preserve">7. Conclusions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Our study provides comprehensive examination of The Dodd-Frank Wall Street Reform and Consumer Protection Act (DFA) and how it impacted the usage of derivative products by U.S. banks. Our sample consists of 151 U.S. bank holding companies with total asset higher than 1 billion at the end of 2006. We cover the period from the first quarter 2007 to the last quarter 2014.</w:t>
      </w:r>
      <w:r w:rsidRPr="0059184B">
        <w:rPr>
          <w:rFonts w:ascii="Times New Roman" w:hAnsi="Times New Roman" w:cs="Times New Roman"/>
        </w:rPr>
        <w:t xml:space="preserve"> </w:t>
      </w:r>
      <w:r w:rsidRPr="0059184B">
        <w:rPr>
          <w:rFonts w:ascii="Times New Roman" w:hAnsi="Times New Roman" w:cs="Times New Roman"/>
          <w:sz w:val="24"/>
          <w:szCs w:val="24"/>
        </w:rPr>
        <w:t xml:space="preserve">In the line of past studies prior to the DFA, we find that excessive usage of interest rate derivatives held for hedging, exchange-traded interest rate derivatives and credit derivatives (traded OTC), substantially increased banks’ contribution to systemic risk. We also find that in post-DFA periods, banks’ contribution to systemic risk was substantially reduced. </w:t>
      </w:r>
      <w:r w:rsidRPr="0059184B">
        <w:rPr>
          <w:rFonts w:ascii="Times New Roman" w:hAnsi="Times New Roman" w:cs="Times New Roman"/>
          <w:sz w:val="24"/>
          <w:szCs w:val="24"/>
        </w:rPr>
        <w:lastRenderedPageBreak/>
        <w:t>Moreover, we find usage of credit derivatives (traded OTC) and interest rate derivatives held for hedging have weakened impact on systemic risk in post-DFA periods. These findings provide supportive evidences on the effectiveness of central clearing channel, showing that the implementation of the DFA mitigated systemic risk associated with credit derivatives (traded OTC). However, the effectiveness of proprietary trading channel in the DFA might be questioned with the results on interest rate derivatives held for trading.</w:t>
      </w:r>
    </w:p>
    <w:p w:rsidR="0088048C" w:rsidRPr="0059184B" w:rsidRDefault="0088048C" w:rsidP="0088048C">
      <w:pPr>
        <w:spacing w:before="120" w:after="120" w:line="360" w:lineRule="auto"/>
        <w:rPr>
          <w:rFonts w:ascii="Times New Roman" w:hAnsi="Times New Roman" w:cs="Times New Roman"/>
          <w:sz w:val="24"/>
          <w:szCs w:val="24"/>
        </w:rPr>
      </w:pP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Our paper is an important voice in the debate about consequences of the implementation of the DFA on banking sector. There are empirical findings showing that </w:t>
      </w:r>
      <w:r w:rsidRPr="0059184B">
        <w:rPr>
          <w:rFonts w:ascii="Times New Roman" w:eastAsia="AdvGulliv-R" w:hAnsi="Times New Roman" w:cs="Times New Roman"/>
          <w:kern w:val="0"/>
          <w:sz w:val="24"/>
          <w:szCs w:val="24"/>
        </w:rPr>
        <w:t>banks reduce the size of their trading books</w:t>
      </w:r>
      <w:r w:rsidRPr="0059184B">
        <w:rPr>
          <w:rFonts w:ascii="Times New Roman" w:hAnsi="Times New Roman" w:cs="Times New Roman"/>
          <w:sz w:val="24"/>
          <w:szCs w:val="24"/>
        </w:rPr>
        <w:t xml:space="preserve"> as a response to the introduction of the DFA, while empirical evidences also show that the DFA made individual banks risker. Therefore, we move on to examine bank’s individual risk and performance. Our analysis reviews the usage of credit derivatives (traded OTC), exchange-traded interest rate derivatives and interest rate derivatives held for hedging increased banks’ individual risks. We show that in post-DFA time, those effects are weaker.</w:t>
      </w:r>
    </w:p>
    <w:p w:rsidR="0088048C" w:rsidRPr="0059184B" w:rsidRDefault="0088048C" w:rsidP="0088048C">
      <w:pPr>
        <w:spacing w:before="120" w:after="120" w:line="360" w:lineRule="auto"/>
        <w:rPr>
          <w:rFonts w:ascii="Times New Roman" w:hAnsi="Times New Roman" w:cs="Times New Roman"/>
          <w:sz w:val="24"/>
          <w:szCs w:val="24"/>
        </w:rPr>
      </w:pP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In order to shed the light on risk-return profile of U.S. banking sector, we scrutinize banks’ performance measured by </w:t>
      </w:r>
      <w:r w:rsidRPr="0059184B">
        <w:rPr>
          <w:rFonts w:ascii="Times New Roman" w:eastAsia="宋体" w:hAnsi="Times New Roman" w:cs="Times New Roman"/>
          <w:i/>
          <w:sz w:val="24"/>
          <w:szCs w:val="24"/>
        </w:rPr>
        <w:t>Tobin’s Q, return on asset, cost to income ratio, and market equity returns</w:t>
      </w:r>
      <w:proofErr w:type="gramStart"/>
      <w:r w:rsidRPr="0059184B">
        <w:rPr>
          <w:rFonts w:ascii="Times New Roman" w:eastAsia="宋体" w:hAnsi="Times New Roman" w:cs="Times New Roman"/>
          <w:sz w:val="24"/>
          <w:szCs w:val="24"/>
        </w:rPr>
        <w:t>.</w:t>
      </w:r>
      <w:r w:rsidRPr="0059184B">
        <w:rPr>
          <w:rFonts w:ascii="Times New Roman" w:hAnsi="Times New Roman" w:cs="Times New Roman"/>
          <w:sz w:val="24"/>
          <w:szCs w:val="24"/>
        </w:rPr>
        <w:t>.</w:t>
      </w:r>
      <w:proofErr w:type="gramEnd"/>
      <w:r w:rsidRPr="0059184B">
        <w:rPr>
          <w:rFonts w:ascii="Times New Roman" w:hAnsi="Times New Roman" w:cs="Times New Roman"/>
          <w:sz w:val="24"/>
          <w:szCs w:val="24"/>
        </w:rPr>
        <w:t xml:space="preserve"> We find that usage of interest rate derivatives enhances bank’s performance while usage of credit derivatives hampered bank’s performance. In addition, there are mixed evidences that post-crisis period combined with the DFA regulatory environment resulted in a lower performance for holding companies from banking sector.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Our results remain robust for alternative measurements and sample selection of U.S. bank holding companies. For example the reported results are consistent for banks that are subject of DFA stress testing and big banks that reported asset higher than 5 billion at the first quarter of 2006, and the first quarter of 2009. </w:t>
      </w:r>
    </w:p>
    <w:p w:rsidR="0088048C" w:rsidRPr="0059184B" w:rsidRDefault="0088048C" w:rsidP="0088048C">
      <w:pPr>
        <w:spacing w:before="120" w:after="120" w:line="360" w:lineRule="auto"/>
        <w:rPr>
          <w:rFonts w:ascii="Times New Roman" w:hAnsi="Times New Roman" w:cs="Times New Roman"/>
          <w:sz w:val="24"/>
          <w:szCs w:val="24"/>
        </w:rPr>
      </w:pP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 xml:space="preserve">Overall, the DFA achieved one of its objectives, namely, mitigating the impact of derivatives </w:t>
      </w:r>
      <w:r w:rsidRPr="0059184B">
        <w:rPr>
          <w:rFonts w:ascii="Times New Roman" w:hAnsi="Times New Roman" w:cs="Times New Roman"/>
          <w:sz w:val="24"/>
          <w:szCs w:val="24"/>
        </w:rPr>
        <w:lastRenderedPageBreak/>
        <w:t xml:space="preserve">usage on systemic risk. Post-DFA periods show less interconnectedness between banks caused by credit derivatives. On the other hand, introduction of the DFA seemed to be a great illustration for well-known statement that the “risks do not disappear”, as we show that bank’s individual risks increased at the same time when systemic risk goes down. The regulators face a tradeoff between the decreasing systemic risk and the increase of individual bank risks. </w:t>
      </w:r>
    </w:p>
    <w:p w:rsidR="0088048C" w:rsidRPr="0059184B" w:rsidRDefault="0088048C" w:rsidP="0088048C">
      <w:pPr>
        <w:spacing w:before="120" w:after="120" w:line="360" w:lineRule="auto"/>
        <w:rPr>
          <w:rFonts w:ascii="Times New Roman" w:hAnsi="Times New Roman" w:cs="Times New Roman"/>
          <w:sz w:val="24"/>
          <w:szCs w:val="24"/>
        </w:rPr>
      </w:pPr>
      <w:r w:rsidRPr="0059184B">
        <w:rPr>
          <w:rFonts w:ascii="Times New Roman" w:hAnsi="Times New Roman" w:cs="Times New Roman"/>
          <w:sz w:val="24"/>
          <w:szCs w:val="24"/>
        </w:rPr>
        <w:t>Our results are tangible and important to banking regulators around the world. However, we have no doubt the debate on optional regulation of financial market (banking sector) is far from over. As a natural extension of our study, further research should examine the channels in which banks’ systemic risks affect and interact with their individual risks.</w:t>
      </w:r>
    </w:p>
    <w:p w:rsidR="00A1792D" w:rsidRPr="0059184B" w:rsidRDefault="00803BF8" w:rsidP="0088048C">
      <w:pPr>
        <w:spacing w:line="360" w:lineRule="auto"/>
        <w:rPr>
          <w:rFonts w:ascii="Times New Roman" w:hAnsi="Times New Roman" w:cs="Times New Roman"/>
          <w:sz w:val="24"/>
          <w:szCs w:val="24"/>
        </w:rPr>
      </w:pPr>
      <w:r w:rsidRPr="0059184B">
        <w:rPr>
          <w:rFonts w:ascii="Times New Roman" w:hAnsi="Times New Roman" w:cs="Times New Roman"/>
          <w:kern w:val="0"/>
          <w:sz w:val="24"/>
          <w:szCs w:val="24"/>
        </w:rPr>
        <w:t xml:space="preserve"> </w:t>
      </w:r>
    </w:p>
    <w:p w:rsidR="008F16F1" w:rsidRPr="0059184B" w:rsidRDefault="0039338C" w:rsidP="0039338C">
      <w:r w:rsidRPr="0059184B">
        <w:br w:type="page"/>
      </w:r>
    </w:p>
    <w:p w:rsidR="00B451F8" w:rsidRPr="0059184B" w:rsidRDefault="008F16F1" w:rsidP="008F16F1">
      <w:pPr>
        <w:pStyle w:val="2"/>
        <w:rPr>
          <w:rFonts w:ascii="Times New Roman" w:hAnsi="Times New Roman" w:cs="Times New Roman"/>
        </w:rPr>
      </w:pPr>
      <w:r w:rsidRPr="0059184B">
        <w:rPr>
          <w:rFonts w:ascii="Times New Roman" w:hAnsi="Times New Roman" w:cs="Times New Roman"/>
        </w:rPr>
        <w:lastRenderedPageBreak/>
        <w:t>Reference</w:t>
      </w:r>
    </w:p>
    <w:p w:rsidR="00B451F8" w:rsidRPr="0059184B" w:rsidRDefault="00B451F8" w:rsidP="00B451F8">
      <w:pPr>
        <w:widowControl/>
        <w:rPr>
          <w:rFonts w:ascii="Times New Roman" w:eastAsia="宋体" w:hAnsi="Times New Roman" w:cs="Times New Roman"/>
          <w:kern w:val="0"/>
          <w:szCs w:val="24"/>
        </w:rPr>
      </w:pPr>
      <w:r w:rsidRPr="0059184B">
        <w:rPr>
          <w:rFonts w:ascii="Times New Roman" w:eastAsia="微软雅黑" w:hAnsi="Times New Roman" w:cs="Times New Roman"/>
          <w:kern w:val="0"/>
          <w:sz w:val="22"/>
          <w:szCs w:val="27"/>
        </w:rPr>
        <w:t xml:space="preserve">Acharya, Viral, and Hassan Naqvi, 2012, </w:t>
      </w:r>
      <w:proofErr w:type="gramStart"/>
      <w:r w:rsidRPr="0059184B">
        <w:rPr>
          <w:rFonts w:ascii="Times New Roman" w:eastAsia="微软雅黑" w:hAnsi="Times New Roman" w:cs="Times New Roman"/>
          <w:kern w:val="0"/>
          <w:sz w:val="22"/>
          <w:szCs w:val="27"/>
        </w:rPr>
        <w:t>The</w:t>
      </w:r>
      <w:proofErr w:type="gramEnd"/>
      <w:r w:rsidRPr="0059184B">
        <w:rPr>
          <w:rFonts w:ascii="Times New Roman" w:eastAsia="微软雅黑" w:hAnsi="Times New Roman" w:cs="Times New Roman"/>
          <w:kern w:val="0"/>
          <w:sz w:val="22"/>
          <w:szCs w:val="27"/>
        </w:rPr>
        <w:t xml:space="preserve"> seeds of a crisis: A theory of bank liquidity and risk taking over the business cycle, </w:t>
      </w:r>
      <w:r w:rsidRPr="0059184B">
        <w:rPr>
          <w:rFonts w:ascii="Times New Roman" w:eastAsia="微软雅黑" w:hAnsi="Times New Roman" w:cs="Times New Roman"/>
          <w:i/>
          <w:iCs/>
          <w:kern w:val="0"/>
          <w:sz w:val="22"/>
          <w:szCs w:val="27"/>
        </w:rPr>
        <w:t>Journal of Financial Economics</w:t>
      </w:r>
      <w:r w:rsidRPr="0059184B">
        <w:rPr>
          <w:rFonts w:ascii="Times New Roman" w:eastAsia="微软雅黑" w:hAnsi="Times New Roman" w:cs="Times New Roman"/>
          <w:kern w:val="0"/>
          <w:sz w:val="22"/>
          <w:szCs w:val="27"/>
        </w:rPr>
        <w:t> 106, 349-366.</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gramStart"/>
      <w:r w:rsidRPr="0059184B">
        <w:rPr>
          <w:rFonts w:ascii="Times New Roman" w:eastAsia="微软雅黑" w:hAnsi="Times New Roman" w:cs="Times New Roman"/>
          <w:kern w:val="0"/>
          <w:sz w:val="22"/>
          <w:szCs w:val="27"/>
        </w:rPr>
        <w:t xml:space="preserve">Adrian, Tobias, and Markus K </w:t>
      </w:r>
      <w:proofErr w:type="spellStart"/>
      <w:r w:rsidRPr="0059184B">
        <w:rPr>
          <w:rFonts w:ascii="Times New Roman" w:eastAsia="微软雅黑" w:hAnsi="Times New Roman" w:cs="Times New Roman"/>
          <w:kern w:val="0"/>
          <w:sz w:val="22"/>
          <w:szCs w:val="27"/>
        </w:rPr>
        <w:t>Brunnermeier</w:t>
      </w:r>
      <w:proofErr w:type="spellEnd"/>
      <w:r w:rsidRPr="0059184B">
        <w:rPr>
          <w:rFonts w:ascii="Times New Roman" w:eastAsia="微软雅黑" w:hAnsi="Times New Roman" w:cs="Times New Roman"/>
          <w:kern w:val="0"/>
          <w:sz w:val="22"/>
          <w:szCs w:val="27"/>
        </w:rPr>
        <w:t xml:space="preserve">, 2011, </w:t>
      </w:r>
      <w:proofErr w:type="spellStart"/>
      <w:r w:rsidRPr="0059184B">
        <w:rPr>
          <w:rFonts w:ascii="Times New Roman" w:eastAsia="微软雅黑" w:hAnsi="Times New Roman" w:cs="Times New Roman"/>
          <w:kern w:val="0"/>
          <w:sz w:val="22"/>
          <w:szCs w:val="27"/>
        </w:rPr>
        <w:t>CoVaR</w:t>
      </w:r>
      <w:proofErr w:type="spellEnd"/>
      <w:r w:rsidRPr="0059184B">
        <w:rPr>
          <w:rFonts w:ascii="Times New Roman" w:eastAsia="微软雅黑" w:hAnsi="Times New Roman" w:cs="Times New Roman"/>
          <w:kern w:val="0"/>
          <w:sz w:val="22"/>
          <w:szCs w:val="27"/>
        </w:rPr>
        <w:t>, (National Bureau of Economic Research).</w:t>
      </w:r>
      <w:proofErr w:type="gramEnd"/>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Balasubramnian</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Bhanu</w:t>
      </w:r>
      <w:proofErr w:type="spellEnd"/>
      <w:r w:rsidRPr="0059184B">
        <w:rPr>
          <w:rFonts w:ascii="Times New Roman" w:eastAsia="微软雅黑" w:hAnsi="Times New Roman" w:cs="Times New Roman"/>
          <w:kern w:val="0"/>
          <w:sz w:val="22"/>
          <w:szCs w:val="27"/>
        </w:rPr>
        <w:t xml:space="preserve">, and Ken B </w:t>
      </w:r>
      <w:proofErr w:type="spellStart"/>
      <w:r w:rsidRPr="0059184B">
        <w:rPr>
          <w:rFonts w:ascii="Times New Roman" w:eastAsia="微软雅黑" w:hAnsi="Times New Roman" w:cs="Times New Roman"/>
          <w:kern w:val="0"/>
          <w:sz w:val="22"/>
          <w:szCs w:val="27"/>
        </w:rPr>
        <w:t>Cyree</w:t>
      </w:r>
      <w:proofErr w:type="spellEnd"/>
      <w:r w:rsidRPr="0059184B">
        <w:rPr>
          <w:rFonts w:ascii="Times New Roman" w:eastAsia="微软雅黑" w:hAnsi="Times New Roman" w:cs="Times New Roman"/>
          <w:kern w:val="0"/>
          <w:sz w:val="22"/>
          <w:szCs w:val="27"/>
        </w:rPr>
        <w:t>, 2014, Has market discipline on banks improved after the Dodd–Frank Act</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Journal of Banking &amp; Finance</w:t>
      </w:r>
      <w:r w:rsidRPr="0059184B">
        <w:rPr>
          <w:rFonts w:ascii="Times New Roman" w:eastAsia="微软雅黑" w:hAnsi="Times New Roman" w:cs="Times New Roman"/>
          <w:kern w:val="0"/>
          <w:sz w:val="22"/>
          <w:szCs w:val="27"/>
        </w:rPr>
        <w:t> 41, 155-166.</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gramStart"/>
      <w:r w:rsidRPr="0059184B">
        <w:rPr>
          <w:rFonts w:ascii="Times New Roman" w:eastAsia="微软雅黑" w:hAnsi="Times New Roman" w:cs="Times New Roman"/>
          <w:kern w:val="0"/>
          <w:sz w:val="22"/>
          <w:szCs w:val="27"/>
        </w:rPr>
        <w:t xml:space="preserve">Bartram, </w:t>
      </w:r>
      <w:proofErr w:type="spellStart"/>
      <w:r w:rsidRPr="0059184B">
        <w:rPr>
          <w:rFonts w:ascii="Times New Roman" w:eastAsia="微软雅黑" w:hAnsi="Times New Roman" w:cs="Times New Roman"/>
          <w:kern w:val="0"/>
          <w:sz w:val="22"/>
          <w:szCs w:val="27"/>
        </w:rPr>
        <w:t>Söhnke</w:t>
      </w:r>
      <w:proofErr w:type="spellEnd"/>
      <w:r w:rsidRPr="0059184B">
        <w:rPr>
          <w:rFonts w:ascii="Times New Roman" w:eastAsia="微软雅黑" w:hAnsi="Times New Roman" w:cs="Times New Roman"/>
          <w:kern w:val="0"/>
          <w:sz w:val="22"/>
          <w:szCs w:val="27"/>
        </w:rPr>
        <w:t xml:space="preserve"> M., 2017, Corporate hedging and speculation with derivatives, </w:t>
      </w:r>
      <w:r w:rsidRPr="0059184B">
        <w:rPr>
          <w:rFonts w:ascii="Times New Roman" w:eastAsia="微软雅黑" w:hAnsi="Times New Roman" w:cs="Times New Roman"/>
          <w:i/>
          <w:iCs/>
          <w:kern w:val="0"/>
          <w:sz w:val="22"/>
          <w:szCs w:val="27"/>
        </w:rPr>
        <w:t>Journal of Corporate Finance</w:t>
      </w:r>
      <w:r w:rsidRPr="0059184B">
        <w:rPr>
          <w:rFonts w:ascii="Times New Roman" w:eastAsia="微软雅黑" w:hAnsi="Times New Roman" w:cs="Times New Roman"/>
          <w:kern w:val="0"/>
          <w:sz w:val="22"/>
          <w:szCs w:val="27"/>
        </w:rPr>
        <w:t>.</w:t>
      </w:r>
      <w:proofErr w:type="gramEnd"/>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Bedendo</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Mascia</w:t>
      </w:r>
      <w:proofErr w:type="spellEnd"/>
      <w:r w:rsidRPr="0059184B">
        <w:rPr>
          <w:rFonts w:ascii="Times New Roman" w:eastAsia="微软雅黑" w:hAnsi="Times New Roman" w:cs="Times New Roman"/>
          <w:kern w:val="0"/>
          <w:sz w:val="22"/>
          <w:szCs w:val="27"/>
        </w:rPr>
        <w:t xml:space="preserve">, and </w:t>
      </w:r>
      <w:proofErr w:type="spellStart"/>
      <w:r w:rsidRPr="0059184B">
        <w:rPr>
          <w:rFonts w:ascii="Times New Roman" w:eastAsia="微软雅黑" w:hAnsi="Times New Roman" w:cs="Times New Roman"/>
          <w:kern w:val="0"/>
          <w:sz w:val="22"/>
          <w:szCs w:val="27"/>
        </w:rPr>
        <w:t>Brunella</w:t>
      </w:r>
      <w:proofErr w:type="spellEnd"/>
      <w:r w:rsidRPr="0059184B">
        <w:rPr>
          <w:rFonts w:ascii="Times New Roman" w:eastAsia="微软雅黑" w:hAnsi="Times New Roman" w:cs="Times New Roman"/>
          <w:kern w:val="0"/>
          <w:sz w:val="22"/>
          <w:szCs w:val="27"/>
        </w:rPr>
        <w:t xml:space="preserve"> Bruno, 2012, Credit risk transfer in us commercial banks: What changed during the 2007–2009 crisis</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Journal of Banking &amp; Finance</w:t>
      </w:r>
      <w:r w:rsidRPr="0059184B">
        <w:rPr>
          <w:rFonts w:ascii="Times New Roman" w:eastAsia="微软雅黑" w:hAnsi="Times New Roman" w:cs="Times New Roman"/>
          <w:kern w:val="0"/>
          <w:sz w:val="22"/>
          <w:szCs w:val="27"/>
        </w:rPr>
        <w:t> 36, 3260-3273.</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Berger, Allen N, Lamont K Black, Christa HS </w:t>
      </w:r>
      <w:proofErr w:type="spellStart"/>
      <w:r w:rsidRPr="0059184B">
        <w:rPr>
          <w:rFonts w:ascii="Times New Roman" w:eastAsia="微软雅黑" w:hAnsi="Times New Roman" w:cs="Times New Roman"/>
          <w:kern w:val="0"/>
          <w:sz w:val="22"/>
          <w:szCs w:val="27"/>
        </w:rPr>
        <w:t>Bouwman</w:t>
      </w:r>
      <w:proofErr w:type="spellEnd"/>
      <w:r w:rsidRPr="0059184B">
        <w:rPr>
          <w:rFonts w:ascii="Times New Roman" w:eastAsia="微软雅黑" w:hAnsi="Times New Roman" w:cs="Times New Roman"/>
          <w:kern w:val="0"/>
          <w:sz w:val="22"/>
          <w:szCs w:val="27"/>
        </w:rPr>
        <w:t xml:space="preserve">, and Jennifer </w:t>
      </w:r>
      <w:proofErr w:type="spellStart"/>
      <w:r w:rsidRPr="0059184B">
        <w:rPr>
          <w:rFonts w:ascii="Times New Roman" w:eastAsia="微软雅黑" w:hAnsi="Times New Roman" w:cs="Times New Roman"/>
          <w:kern w:val="0"/>
          <w:sz w:val="22"/>
          <w:szCs w:val="27"/>
        </w:rPr>
        <w:t>Dlugosz</w:t>
      </w:r>
      <w:proofErr w:type="spellEnd"/>
      <w:r w:rsidRPr="0059184B">
        <w:rPr>
          <w:rFonts w:ascii="Times New Roman" w:eastAsia="微软雅黑" w:hAnsi="Times New Roman" w:cs="Times New Roman"/>
          <w:kern w:val="0"/>
          <w:sz w:val="22"/>
          <w:szCs w:val="27"/>
        </w:rPr>
        <w:t>, 2014, The federal reserve’s discount window and TAF programs: “Pushing on a string?</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Available at SSRN</w:t>
      </w:r>
      <w:r w:rsidRPr="0059184B">
        <w:rPr>
          <w:rFonts w:ascii="Times New Roman" w:eastAsia="微软雅黑" w:hAnsi="Times New Roman" w:cs="Times New Roman"/>
          <w:kern w:val="0"/>
          <w:sz w:val="22"/>
          <w:szCs w:val="27"/>
        </w:rPr>
        <w:t>.</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Berger, Allen N, and </w:t>
      </w:r>
      <w:proofErr w:type="spellStart"/>
      <w:r w:rsidRPr="0059184B">
        <w:rPr>
          <w:rFonts w:ascii="Times New Roman" w:eastAsia="微软雅黑" w:hAnsi="Times New Roman" w:cs="Times New Roman"/>
          <w:kern w:val="0"/>
          <w:sz w:val="22"/>
          <w:szCs w:val="27"/>
        </w:rPr>
        <w:t>Raluca</w:t>
      </w:r>
      <w:proofErr w:type="spellEnd"/>
      <w:r w:rsidRPr="0059184B">
        <w:rPr>
          <w:rFonts w:ascii="Times New Roman" w:eastAsia="微软雅黑" w:hAnsi="Times New Roman" w:cs="Times New Roman"/>
          <w:kern w:val="0"/>
          <w:sz w:val="22"/>
          <w:szCs w:val="27"/>
        </w:rPr>
        <w:t xml:space="preserve"> A Roman, 2015, Did TARP banks get competitive advantages</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Journal of Financial and Quantitative Analysis</w:t>
      </w:r>
      <w:r w:rsidRPr="0059184B">
        <w:rPr>
          <w:rFonts w:ascii="Times New Roman" w:eastAsia="微软雅黑" w:hAnsi="Times New Roman" w:cs="Times New Roman"/>
          <w:kern w:val="0"/>
          <w:sz w:val="22"/>
          <w:szCs w:val="27"/>
        </w:rPr>
        <w:t> 50, 1199-1236.</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Biais</w:t>
      </w:r>
      <w:proofErr w:type="spellEnd"/>
      <w:r w:rsidRPr="0059184B">
        <w:rPr>
          <w:rFonts w:ascii="Times New Roman" w:eastAsia="微软雅黑" w:hAnsi="Times New Roman" w:cs="Times New Roman"/>
          <w:kern w:val="0"/>
          <w:sz w:val="22"/>
          <w:szCs w:val="27"/>
        </w:rPr>
        <w:t xml:space="preserve">, Bruno, Florian </w:t>
      </w:r>
      <w:proofErr w:type="spellStart"/>
      <w:r w:rsidRPr="0059184B">
        <w:rPr>
          <w:rFonts w:ascii="Times New Roman" w:eastAsia="微软雅黑" w:hAnsi="Times New Roman" w:cs="Times New Roman"/>
          <w:kern w:val="0"/>
          <w:sz w:val="22"/>
          <w:szCs w:val="27"/>
        </w:rPr>
        <w:t>Heider</w:t>
      </w:r>
      <w:proofErr w:type="spellEnd"/>
      <w:r w:rsidRPr="0059184B">
        <w:rPr>
          <w:rFonts w:ascii="Times New Roman" w:eastAsia="微软雅黑" w:hAnsi="Times New Roman" w:cs="Times New Roman"/>
          <w:kern w:val="0"/>
          <w:sz w:val="22"/>
          <w:szCs w:val="27"/>
        </w:rPr>
        <w:t xml:space="preserve">, and Marie </w:t>
      </w:r>
      <w:proofErr w:type="spellStart"/>
      <w:r w:rsidRPr="0059184B">
        <w:rPr>
          <w:rFonts w:ascii="Times New Roman" w:eastAsia="微软雅黑" w:hAnsi="Times New Roman" w:cs="Times New Roman"/>
          <w:kern w:val="0"/>
          <w:sz w:val="22"/>
          <w:szCs w:val="27"/>
        </w:rPr>
        <w:t>Hoerova</w:t>
      </w:r>
      <w:proofErr w:type="spellEnd"/>
      <w:r w:rsidRPr="0059184B">
        <w:rPr>
          <w:rFonts w:ascii="Times New Roman" w:eastAsia="微软雅黑" w:hAnsi="Times New Roman" w:cs="Times New Roman"/>
          <w:kern w:val="0"/>
          <w:sz w:val="22"/>
          <w:szCs w:val="27"/>
        </w:rPr>
        <w:t xml:space="preserve">, 2012, </w:t>
      </w:r>
      <w:proofErr w:type="gramStart"/>
      <w:r w:rsidRPr="0059184B">
        <w:rPr>
          <w:rFonts w:ascii="Times New Roman" w:eastAsia="微软雅黑" w:hAnsi="Times New Roman" w:cs="Times New Roman"/>
          <w:kern w:val="0"/>
          <w:sz w:val="22"/>
          <w:szCs w:val="27"/>
        </w:rPr>
        <w:t>Clearing</w:t>
      </w:r>
      <w:proofErr w:type="gramEnd"/>
      <w:r w:rsidRPr="0059184B">
        <w:rPr>
          <w:rFonts w:ascii="Times New Roman" w:eastAsia="微软雅黑" w:hAnsi="Times New Roman" w:cs="Times New Roman"/>
          <w:kern w:val="0"/>
          <w:sz w:val="22"/>
          <w:szCs w:val="27"/>
        </w:rPr>
        <w:t>, counterparty risk, and aggregate risk, </w:t>
      </w:r>
      <w:r w:rsidRPr="0059184B">
        <w:rPr>
          <w:rFonts w:ascii="Times New Roman" w:eastAsia="微软雅黑" w:hAnsi="Times New Roman" w:cs="Times New Roman"/>
          <w:i/>
          <w:iCs/>
          <w:kern w:val="0"/>
          <w:sz w:val="22"/>
          <w:szCs w:val="27"/>
        </w:rPr>
        <w:t>IMF Economic Review</w:t>
      </w:r>
      <w:r w:rsidRPr="0059184B">
        <w:rPr>
          <w:rFonts w:ascii="Times New Roman" w:eastAsia="微软雅黑" w:hAnsi="Times New Roman" w:cs="Times New Roman"/>
          <w:kern w:val="0"/>
          <w:sz w:val="22"/>
          <w:szCs w:val="27"/>
        </w:rPr>
        <w:t> 60, 193-222.</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gramStart"/>
      <w:r w:rsidRPr="0059184B">
        <w:rPr>
          <w:rFonts w:ascii="Times New Roman" w:eastAsia="微软雅黑" w:hAnsi="Times New Roman" w:cs="Times New Roman"/>
          <w:kern w:val="0"/>
          <w:sz w:val="22"/>
          <w:szCs w:val="27"/>
        </w:rPr>
        <w:t xml:space="preserve">Brewer, Elijah, Sanjay </w:t>
      </w:r>
      <w:proofErr w:type="spellStart"/>
      <w:r w:rsidRPr="0059184B">
        <w:rPr>
          <w:rFonts w:ascii="Times New Roman" w:eastAsia="微软雅黑" w:hAnsi="Times New Roman" w:cs="Times New Roman"/>
          <w:kern w:val="0"/>
          <w:sz w:val="22"/>
          <w:szCs w:val="27"/>
        </w:rPr>
        <w:t>Deshmukh</w:t>
      </w:r>
      <w:proofErr w:type="spellEnd"/>
      <w:r w:rsidRPr="0059184B">
        <w:rPr>
          <w:rFonts w:ascii="Times New Roman" w:eastAsia="微软雅黑" w:hAnsi="Times New Roman" w:cs="Times New Roman"/>
          <w:kern w:val="0"/>
          <w:sz w:val="22"/>
          <w:szCs w:val="27"/>
        </w:rPr>
        <w:t xml:space="preserve">, and Timothy P </w:t>
      </w:r>
      <w:proofErr w:type="spellStart"/>
      <w:r w:rsidRPr="0059184B">
        <w:rPr>
          <w:rFonts w:ascii="Times New Roman" w:eastAsia="微软雅黑" w:hAnsi="Times New Roman" w:cs="Times New Roman"/>
          <w:kern w:val="0"/>
          <w:sz w:val="22"/>
          <w:szCs w:val="27"/>
        </w:rPr>
        <w:t>Opiela</w:t>
      </w:r>
      <w:proofErr w:type="spellEnd"/>
      <w:r w:rsidRPr="0059184B">
        <w:rPr>
          <w:rFonts w:ascii="Times New Roman" w:eastAsia="微软雅黑" w:hAnsi="Times New Roman" w:cs="Times New Roman"/>
          <w:kern w:val="0"/>
          <w:sz w:val="22"/>
          <w:szCs w:val="27"/>
        </w:rPr>
        <w:t>, 2014, Interest-rate uncertainty, derivatives usage, and loan growth in bank holding companies, </w:t>
      </w:r>
      <w:r w:rsidRPr="0059184B">
        <w:rPr>
          <w:rFonts w:ascii="Times New Roman" w:eastAsia="微软雅黑" w:hAnsi="Times New Roman" w:cs="Times New Roman"/>
          <w:i/>
          <w:iCs/>
          <w:kern w:val="0"/>
          <w:sz w:val="22"/>
          <w:szCs w:val="27"/>
        </w:rPr>
        <w:t>Journal of Financial Stability</w:t>
      </w:r>
      <w:r w:rsidRPr="0059184B">
        <w:rPr>
          <w:rFonts w:ascii="Times New Roman" w:eastAsia="微软雅黑" w:hAnsi="Times New Roman" w:cs="Times New Roman"/>
          <w:kern w:val="0"/>
          <w:sz w:val="22"/>
          <w:szCs w:val="27"/>
        </w:rPr>
        <w:t> 15, 230-240.</w:t>
      </w:r>
      <w:proofErr w:type="gramEnd"/>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Calmès</w:t>
      </w:r>
      <w:proofErr w:type="spellEnd"/>
      <w:r w:rsidRPr="0059184B">
        <w:rPr>
          <w:rFonts w:ascii="Times New Roman" w:eastAsia="微软雅黑" w:hAnsi="Times New Roman" w:cs="Times New Roman"/>
          <w:kern w:val="0"/>
          <w:sz w:val="22"/>
          <w:szCs w:val="27"/>
        </w:rPr>
        <w:t xml:space="preserve">, Christian, and Raymond </w:t>
      </w:r>
      <w:proofErr w:type="spellStart"/>
      <w:r w:rsidRPr="0059184B">
        <w:rPr>
          <w:rFonts w:ascii="Times New Roman" w:eastAsia="微软雅黑" w:hAnsi="Times New Roman" w:cs="Times New Roman"/>
          <w:kern w:val="0"/>
          <w:sz w:val="22"/>
          <w:szCs w:val="27"/>
        </w:rPr>
        <w:t>Théoret</w:t>
      </w:r>
      <w:proofErr w:type="spellEnd"/>
      <w:r w:rsidRPr="0059184B">
        <w:rPr>
          <w:rFonts w:ascii="Times New Roman" w:eastAsia="微软雅黑" w:hAnsi="Times New Roman" w:cs="Times New Roman"/>
          <w:kern w:val="0"/>
          <w:sz w:val="22"/>
          <w:szCs w:val="27"/>
        </w:rPr>
        <w:t xml:space="preserve">, 2010, </w:t>
      </w:r>
      <w:proofErr w:type="gramStart"/>
      <w:r w:rsidRPr="0059184B">
        <w:rPr>
          <w:rFonts w:ascii="Times New Roman" w:eastAsia="微软雅黑" w:hAnsi="Times New Roman" w:cs="Times New Roman"/>
          <w:kern w:val="0"/>
          <w:sz w:val="22"/>
          <w:szCs w:val="27"/>
        </w:rPr>
        <w:t>The</w:t>
      </w:r>
      <w:proofErr w:type="gramEnd"/>
      <w:r w:rsidRPr="0059184B">
        <w:rPr>
          <w:rFonts w:ascii="Times New Roman" w:eastAsia="微软雅黑" w:hAnsi="Times New Roman" w:cs="Times New Roman"/>
          <w:kern w:val="0"/>
          <w:sz w:val="22"/>
          <w:szCs w:val="27"/>
        </w:rPr>
        <w:t xml:space="preserve"> impact of off-balance-sheet activities on banks returns: An application of the arch-m to </w:t>
      </w:r>
      <w:proofErr w:type="spellStart"/>
      <w:r w:rsidRPr="0059184B">
        <w:rPr>
          <w:rFonts w:ascii="Times New Roman" w:eastAsia="微软雅黑" w:hAnsi="Times New Roman" w:cs="Times New Roman"/>
          <w:kern w:val="0"/>
          <w:sz w:val="22"/>
          <w:szCs w:val="27"/>
        </w:rPr>
        <w:t>canadian</w:t>
      </w:r>
      <w:proofErr w:type="spellEnd"/>
      <w:r w:rsidRPr="0059184B">
        <w:rPr>
          <w:rFonts w:ascii="Times New Roman" w:eastAsia="微软雅黑" w:hAnsi="Times New Roman" w:cs="Times New Roman"/>
          <w:kern w:val="0"/>
          <w:sz w:val="22"/>
          <w:szCs w:val="27"/>
        </w:rPr>
        <w:t xml:space="preserve"> data, </w:t>
      </w:r>
      <w:r w:rsidRPr="0059184B">
        <w:rPr>
          <w:rFonts w:ascii="Times New Roman" w:eastAsia="微软雅黑" w:hAnsi="Times New Roman" w:cs="Times New Roman"/>
          <w:i/>
          <w:iCs/>
          <w:kern w:val="0"/>
          <w:sz w:val="22"/>
          <w:szCs w:val="27"/>
        </w:rPr>
        <w:t>Journal of Banking &amp; Finance</w:t>
      </w:r>
      <w:r w:rsidRPr="0059184B">
        <w:rPr>
          <w:rFonts w:ascii="Times New Roman" w:eastAsia="微软雅黑" w:hAnsi="Times New Roman" w:cs="Times New Roman"/>
          <w:kern w:val="0"/>
          <w:sz w:val="22"/>
          <w:szCs w:val="27"/>
        </w:rPr>
        <w:t> 34, 1719-1728.</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Calomiris</w:t>
      </w:r>
      <w:proofErr w:type="spellEnd"/>
      <w:r w:rsidRPr="0059184B">
        <w:rPr>
          <w:rFonts w:ascii="Times New Roman" w:eastAsia="微软雅黑" w:hAnsi="Times New Roman" w:cs="Times New Roman"/>
          <w:kern w:val="0"/>
          <w:sz w:val="22"/>
          <w:szCs w:val="27"/>
        </w:rPr>
        <w:t xml:space="preserve">, Charles W., 2017, </w:t>
      </w:r>
      <w:proofErr w:type="gramStart"/>
      <w:r w:rsidRPr="0059184B">
        <w:rPr>
          <w:rFonts w:ascii="Times New Roman" w:eastAsia="微软雅黑" w:hAnsi="Times New Roman" w:cs="Times New Roman"/>
          <w:kern w:val="0"/>
          <w:sz w:val="22"/>
          <w:szCs w:val="27"/>
        </w:rPr>
        <w:t>Four</w:t>
      </w:r>
      <w:proofErr w:type="gramEnd"/>
      <w:r w:rsidRPr="0059184B">
        <w:rPr>
          <w:rFonts w:ascii="Times New Roman" w:eastAsia="微软雅黑" w:hAnsi="Times New Roman" w:cs="Times New Roman"/>
          <w:kern w:val="0"/>
          <w:sz w:val="22"/>
          <w:szCs w:val="27"/>
        </w:rPr>
        <w:t xml:space="preserve"> principles for replacing Dodd-Frank, (The Wall Street Journal).</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gramStart"/>
      <w:r w:rsidRPr="0059184B">
        <w:rPr>
          <w:rFonts w:ascii="Times New Roman" w:eastAsia="微软雅黑" w:hAnsi="Times New Roman" w:cs="Times New Roman"/>
          <w:kern w:val="0"/>
          <w:sz w:val="22"/>
          <w:szCs w:val="27"/>
        </w:rPr>
        <w:t xml:space="preserve">Chow, </w:t>
      </w:r>
      <w:proofErr w:type="spellStart"/>
      <w:r w:rsidRPr="0059184B">
        <w:rPr>
          <w:rFonts w:ascii="Times New Roman" w:eastAsia="微软雅黑" w:hAnsi="Times New Roman" w:cs="Times New Roman"/>
          <w:kern w:val="0"/>
          <w:sz w:val="22"/>
          <w:szCs w:val="27"/>
        </w:rPr>
        <w:t>Mr</w:t>
      </w:r>
      <w:proofErr w:type="spellEnd"/>
      <w:r w:rsidRPr="0059184B">
        <w:rPr>
          <w:rFonts w:ascii="Times New Roman" w:eastAsia="微软雅黑" w:hAnsi="Times New Roman" w:cs="Times New Roman"/>
          <w:kern w:val="0"/>
          <w:sz w:val="22"/>
          <w:szCs w:val="27"/>
        </w:rPr>
        <w:t xml:space="preserve"> Julian TS, and Jay </w:t>
      </w:r>
      <w:proofErr w:type="spellStart"/>
      <w:r w:rsidRPr="0059184B">
        <w:rPr>
          <w:rFonts w:ascii="Times New Roman" w:eastAsia="微软雅黑" w:hAnsi="Times New Roman" w:cs="Times New Roman"/>
          <w:kern w:val="0"/>
          <w:sz w:val="22"/>
          <w:szCs w:val="27"/>
        </w:rPr>
        <w:t>Surti</w:t>
      </w:r>
      <w:proofErr w:type="spellEnd"/>
      <w:r w:rsidRPr="0059184B">
        <w:rPr>
          <w:rFonts w:ascii="Times New Roman" w:eastAsia="微软雅黑" w:hAnsi="Times New Roman" w:cs="Times New Roman"/>
          <w:kern w:val="0"/>
          <w:sz w:val="22"/>
          <w:szCs w:val="27"/>
        </w:rPr>
        <w:t>, 2011.</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 xml:space="preserve">Making banks safer: Can Volcker and </w:t>
      </w:r>
      <w:proofErr w:type="spellStart"/>
      <w:proofErr w:type="gramStart"/>
      <w:r w:rsidRPr="0059184B">
        <w:rPr>
          <w:rFonts w:ascii="Times New Roman" w:eastAsia="微软雅黑" w:hAnsi="Times New Roman" w:cs="Times New Roman"/>
          <w:i/>
          <w:iCs/>
          <w:kern w:val="0"/>
          <w:sz w:val="22"/>
          <w:szCs w:val="27"/>
        </w:rPr>
        <w:t>vickers</w:t>
      </w:r>
      <w:proofErr w:type="spellEnd"/>
      <w:proofErr w:type="gramEnd"/>
      <w:r w:rsidRPr="0059184B">
        <w:rPr>
          <w:rFonts w:ascii="Times New Roman" w:eastAsia="微软雅黑" w:hAnsi="Times New Roman" w:cs="Times New Roman"/>
          <w:i/>
          <w:iCs/>
          <w:kern w:val="0"/>
          <w:sz w:val="22"/>
          <w:szCs w:val="27"/>
        </w:rPr>
        <w:t xml:space="preserve"> do it?</w:t>
      </w:r>
      <w:r w:rsidRPr="0059184B">
        <w:rPr>
          <w:rFonts w:ascii="Times New Roman" w:eastAsia="微软雅黑" w:hAnsi="Times New Roman" w:cs="Times New Roman"/>
          <w:kern w:val="0"/>
          <w:sz w:val="22"/>
          <w:szCs w:val="27"/>
        </w:rPr>
        <w:t> </w:t>
      </w:r>
      <w:proofErr w:type="gramStart"/>
      <w:r w:rsidRPr="0059184B">
        <w:rPr>
          <w:rFonts w:ascii="Times New Roman" w:eastAsia="微软雅黑" w:hAnsi="Times New Roman" w:cs="Times New Roman"/>
          <w:kern w:val="0"/>
          <w:sz w:val="22"/>
          <w:szCs w:val="27"/>
        </w:rPr>
        <w:t>(International Monetary Fund).</w:t>
      </w:r>
      <w:proofErr w:type="gramEnd"/>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Chung, </w:t>
      </w:r>
      <w:proofErr w:type="spellStart"/>
      <w:r w:rsidRPr="0059184B">
        <w:rPr>
          <w:rFonts w:ascii="Times New Roman" w:eastAsia="微软雅黑" w:hAnsi="Times New Roman" w:cs="Times New Roman"/>
          <w:kern w:val="0"/>
          <w:sz w:val="22"/>
          <w:szCs w:val="27"/>
        </w:rPr>
        <w:t>Sohhyun</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Jussi</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Keppo</w:t>
      </w:r>
      <w:proofErr w:type="spellEnd"/>
      <w:r w:rsidRPr="0059184B">
        <w:rPr>
          <w:rFonts w:ascii="Times New Roman" w:eastAsia="微软雅黑" w:hAnsi="Times New Roman" w:cs="Times New Roman"/>
          <w:kern w:val="0"/>
          <w:sz w:val="22"/>
          <w:szCs w:val="27"/>
        </w:rPr>
        <w:t xml:space="preserve">, and </w:t>
      </w:r>
      <w:proofErr w:type="spellStart"/>
      <w:r w:rsidRPr="0059184B">
        <w:rPr>
          <w:rFonts w:ascii="Times New Roman" w:eastAsia="微软雅黑" w:hAnsi="Times New Roman" w:cs="Times New Roman"/>
          <w:kern w:val="0"/>
          <w:sz w:val="22"/>
          <w:szCs w:val="27"/>
        </w:rPr>
        <w:t>Xuchuan</w:t>
      </w:r>
      <w:proofErr w:type="spellEnd"/>
      <w:r w:rsidRPr="0059184B">
        <w:rPr>
          <w:rFonts w:ascii="Times New Roman" w:eastAsia="微软雅黑" w:hAnsi="Times New Roman" w:cs="Times New Roman"/>
          <w:kern w:val="0"/>
          <w:sz w:val="22"/>
          <w:szCs w:val="27"/>
        </w:rPr>
        <w:t xml:space="preserve"> Yuan, 2016, </w:t>
      </w:r>
      <w:proofErr w:type="gramStart"/>
      <w:r w:rsidRPr="0059184B">
        <w:rPr>
          <w:rFonts w:ascii="Times New Roman" w:eastAsia="微软雅黑" w:hAnsi="Times New Roman" w:cs="Times New Roman"/>
          <w:kern w:val="0"/>
          <w:sz w:val="22"/>
          <w:szCs w:val="27"/>
        </w:rPr>
        <w:t>The</w:t>
      </w:r>
      <w:proofErr w:type="gramEnd"/>
      <w:r w:rsidRPr="0059184B">
        <w:rPr>
          <w:rFonts w:ascii="Times New Roman" w:eastAsia="微软雅黑" w:hAnsi="Times New Roman" w:cs="Times New Roman"/>
          <w:kern w:val="0"/>
          <w:sz w:val="22"/>
          <w:szCs w:val="27"/>
        </w:rPr>
        <w:t xml:space="preserve"> impact of Volcker Rule on bank profits and default probabilities.</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Cole, Rebel A, and Lawrence J White, 2012, Déjà vu all over again: The causes of us commercial bank failures this time around, </w:t>
      </w:r>
      <w:r w:rsidRPr="0059184B">
        <w:rPr>
          <w:rFonts w:ascii="Times New Roman" w:eastAsia="微软雅黑" w:hAnsi="Times New Roman" w:cs="Times New Roman"/>
          <w:i/>
          <w:iCs/>
          <w:kern w:val="0"/>
          <w:sz w:val="22"/>
          <w:szCs w:val="27"/>
        </w:rPr>
        <w:t>Journal of Financial Services Research</w:t>
      </w:r>
      <w:r w:rsidRPr="0059184B">
        <w:rPr>
          <w:rFonts w:ascii="Times New Roman" w:eastAsia="微软雅黑" w:hAnsi="Times New Roman" w:cs="Times New Roman"/>
          <w:kern w:val="0"/>
          <w:sz w:val="22"/>
          <w:szCs w:val="27"/>
        </w:rPr>
        <w:t> 42, 5-29.</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Commission, Financial Crisis Inquiry, 2011, </w:t>
      </w:r>
      <w:proofErr w:type="gramStart"/>
      <w:r w:rsidRPr="0059184B">
        <w:rPr>
          <w:rFonts w:ascii="Times New Roman" w:eastAsia="微软雅黑" w:hAnsi="Times New Roman" w:cs="Times New Roman"/>
          <w:kern w:val="0"/>
          <w:sz w:val="22"/>
          <w:szCs w:val="27"/>
        </w:rPr>
        <w:t>The</w:t>
      </w:r>
      <w:proofErr w:type="gramEnd"/>
      <w:r w:rsidRPr="0059184B">
        <w:rPr>
          <w:rFonts w:ascii="Times New Roman" w:eastAsia="微软雅黑" w:hAnsi="Times New Roman" w:cs="Times New Roman"/>
          <w:kern w:val="0"/>
          <w:sz w:val="22"/>
          <w:szCs w:val="27"/>
        </w:rPr>
        <w:t xml:space="preserve"> financial crisis inquiry report, final report of the national commission on the causes of the financial and economic crisis in the united states.</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lastRenderedPageBreak/>
        <w:t xml:space="preserve">Deng, </w:t>
      </w:r>
      <w:proofErr w:type="spellStart"/>
      <w:r w:rsidRPr="0059184B">
        <w:rPr>
          <w:rFonts w:ascii="Times New Roman" w:eastAsia="微软雅黑" w:hAnsi="Times New Roman" w:cs="Times New Roman"/>
          <w:kern w:val="0"/>
          <w:sz w:val="22"/>
          <w:szCs w:val="27"/>
        </w:rPr>
        <w:t>Saiying</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Elyas</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Elyasiani</w:t>
      </w:r>
      <w:proofErr w:type="spellEnd"/>
      <w:r w:rsidRPr="0059184B">
        <w:rPr>
          <w:rFonts w:ascii="Times New Roman" w:eastAsia="微软雅黑" w:hAnsi="Times New Roman" w:cs="Times New Roman"/>
          <w:kern w:val="0"/>
          <w:sz w:val="22"/>
          <w:szCs w:val="27"/>
        </w:rPr>
        <w:t>, and Connie X. Mao, 2017, Derivatives-hedging, risk allocation and the cost of debt: Evidence from bank holding companies, </w:t>
      </w:r>
      <w:r w:rsidRPr="0059184B">
        <w:rPr>
          <w:rFonts w:ascii="Times New Roman" w:eastAsia="微软雅黑" w:hAnsi="Times New Roman" w:cs="Times New Roman"/>
          <w:i/>
          <w:iCs/>
          <w:kern w:val="0"/>
          <w:sz w:val="22"/>
          <w:szCs w:val="27"/>
        </w:rPr>
        <w:t>The Quarterly Review of Economics and Finance</w:t>
      </w:r>
      <w:r w:rsidRPr="0059184B">
        <w:rPr>
          <w:rFonts w:ascii="Times New Roman" w:eastAsia="微软雅黑" w:hAnsi="Times New Roman" w:cs="Times New Roman"/>
          <w:kern w:val="0"/>
          <w:sz w:val="22"/>
          <w:szCs w:val="27"/>
        </w:rPr>
        <w:t> 65, 114-127.</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Dimitrov</w:t>
      </w:r>
      <w:proofErr w:type="spellEnd"/>
      <w:r w:rsidRPr="0059184B">
        <w:rPr>
          <w:rFonts w:ascii="Times New Roman" w:eastAsia="微软雅黑" w:hAnsi="Times New Roman" w:cs="Times New Roman"/>
          <w:kern w:val="0"/>
          <w:sz w:val="22"/>
          <w:szCs w:val="27"/>
        </w:rPr>
        <w:t xml:space="preserve">, Valentin, Darius </w:t>
      </w:r>
      <w:proofErr w:type="spellStart"/>
      <w:r w:rsidRPr="0059184B">
        <w:rPr>
          <w:rFonts w:ascii="Times New Roman" w:eastAsia="微软雅黑" w:hAnsi="Times New Roman" w:cs="Times New Roman"/>
          <w:kern w:val="0"/>
          <w:sz w:val="22"/>
          <w:szCs w:val="27"/>
        </w:rPr>
        <w:t>Palia</w:t>
      </w:r>
      <w:proofErr w:type="spellEnd"/>
      <w:r w:rsidRPr="0059184B">
        <w:rPr>
          <w:rFonts w:ascii="Times New Roman" w:eastAsia="微软雅黑" w:hAnsi="Times New Roman" w:cs="Times New Roman"/>
          <w:kern w:val="0"/>
          <w:sz w:val="22"/>
          <w:szCs w:val="27"/>
        </w:rPr>
        <w:t>, and Leo Tang, 2014, Impact of the Dodd-Frank Act on credit ratings, </w:t>
      </w:r>
      <w:r w:rsidRPr="0059184B">
        <w:rPr>
          <w:rFonts w:ascii="Times New Roman" w:eastAsia="微软雅黑" w:hAnsi="Times New Roman" w:cs="Times New Roman"/>
          <w:i/>
          <w:iCs/>
          <w:kern w:val="0"/>
          <w:sz w:val="22"/>
          <w:szCs w:val="27"/>
        </w:rPr>
        <w:t>Journal of Financial Economics</w:t>
      </w:r>
      <w:r w:rsidRPr="0059184B">
        <w:rPr>
          <w:rFonts w:ascii="Times New Roman" w:eastAsia="微软雅黑" w:hAnsi="Times New Roman" w:cs="Times New Roman"/>
          <w:kern w:val="0"/>
          <w:sz w:val="22"/>
          <w:szCs w:val="27"/>
        </w:rPr>
        <w:t>.</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Duffee</w:t>
      </w:r>
      <w:proofErr w:type="spellEnd"/>
      <w:r w:rsidRPr="0059184B">
        <w:rPr>
          <w:rFonts w:ascii="Times New Roman" w:eastAsia="微软雅黑" w:hAnsi="Times New Roman" w:cs="Times New Roman"/>
          <w:kern w:val="0"/>
          <w:sz w:val="22"/>
          <w:szCs w:val="27"/>
        </w:rPr>
        <w:t xml:space="preserve">, Gregory R, and </w:t>
      </w:r>
      <w:proofErr w:type="spellStart"/>
      <w:r w:rsidRPr="0059184B">
        <w:rPr>
          <w:rFonts w:ascii="Times New Roman" w:eastAsia="微软雅黑" w:hAnsi="Times New Roman" w:cs="Times New Roman"/>
          <w:kern w:val="0"/>
          <w:sz w:val="22"/>
          <w:szCs w:val="27"/>
        </w:rPr>
        <w:t>Chunsheng</w:t>
      </w:r>
      <w:proofErr w:type="spellEnd"/>
      <w:r w:rsidRPr="0059184B">
        <w:rPr>
          <w:rFonts w:ascii="Times New Roman" w:eastAsia="微软雅黑" w:hAnsi="Times New Roman" w:cs="Times New Roman"/>
          <w:kern w:val="0"/>
          <w:sz w:val="22"/>
          <w:szCs w:val="27"/>
        </w:rPr>
        <w:t xml:space="preserve"> Zhou, 2001, Credit derivatives in banking: Useful tools for managing risk</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Journal of Monetary Economics</w:t>
      </w:r>
      <w:r w:rsidRPr="0059184B">
        <w:rPr>
          <w:rFonts w:ascii="Times New Roman" w:eastAsia="微软雅黑" w:hAnsi="Times New Roman" w:cs="Times New Roman"/>
          <w:kern w:val="0"/>
          <w:sz w:val="22"/>
          <w:szCs w:val="27"/>
        </w:rPr>
        <w:t> 48, 25-54.</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Duffie</w:t>
      </w:r>
      <w:proofErr w:type="spellEnd"/>
      <w:r w:rsidRPr="0059184B">
        <w:rPr>
          <w:rFonts w:ascii="Times New Roman" w:eastAsia="微软雅黑" w:hAnsi="Times New Roman" w:cs="Times New Roman"/>
          <w:kern w:val="0"/>
          <w:sz w:val="22"/>
          <w:szCs w:val="27"/>
        </w:rPr>
        <w:t>, Darrell, 2012, Market making under the proposed Volcker Rule, </w:t>
      </w:r>
      <w:r w:rsidRPr="0059184B">
        <w:rPr>
          <w:rFonts w:ascii="Times New Roman" w:eastAsia="微软雅黑" w:hAnsi="Times New Roman" w:cs="Times New Roman"/>
          <w:i/>
          <w:iCs/>
          <w:kern w:val="0"/>
          <w:sz w:val="22"/>
          <w:szCs w:val="27"/>
        </w:rPr>
        <w:t>Rock Center for Corporate Governance at Stanford University Working Paper</w:t>
      </w:r>
      <w:r w:rsidRPr="0059184B">
        <w:rPr>
          <w:rFonts w:ascii="Times New Roman" w:eastAsia="微软雅黑" w:hAnsi="Times New Roman" w:cs="Times New Roman"/>
          <w:kern w:val="0"/>
          <w:sz w:val="22"/>
          <w:szCs w:val="27"/>
        </w:rPr>
        <w:t>.</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Egly</w:t>
      </w:r>
      <w:proofErr w:type="spellEnd"/>
      <w:r w:rsidRPr="0059184B">
        <w:rPr>
          <w:rFonts w:ascii="Times New Roman" w:eastAsia="微软雅黑" w:hAnsi="Times New Roman" w:cs="Times New Roman"/>
          <w:kern w:val="0"/>
          <w:sz w:val="22"/>
          <w:szCs w:val="27"/>
        </w:rPr>
        <w:t>, Peter V., and Jun Sun, 2014, Trading income and bank charter value during the financial crisis: Does derivatives dealer designation matter</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The Quarterly Review of Economics and Finance</w:t>
      </w:r>
      <w:r w:rsidRPr="0059184B">
        <w:rPr>
          <w:rFonts w:ascii="Times New Roman" w:eastAsia="微软雅黑" w:hAnsi="Times New Roman" w:cs="Times New Roman"/>
          <w:kern w:val="0"/>
          <w:sz w:val="22"/>
          <w:szCs w:val="27"/>
        </w:rPr>
        <w:t> 54, 355-370.</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Froot</w:t>
      </w:r>
      <w:proofErr w:type="spellEnd"/>
      <w:r w:rsidRPr="0059184B">
        <w:rPr>
          <w:rFonts w:ascii="Times New Roman" w:eastAsia="微软雅黑" w:hAnsi="Times New Roman" w:cs="Times New Roman"/>
          <w:kern w:val="0"/>
          <w:sz w:val="22"/>
          <w:szCs w:val="27"/>
        </w:rPr>
        <w:t xml:space="preserve">, Kenneth A, David S </w:t>
      </w:r>
      <w:proofErr w:type="spellStart"/>
      <w:r w:rsidRPr="0059184B">
        <w:rPr>
          <w:rFonts w:ascii="Times New Roman" w:eastAsia="微软雅黑" w:hAnsi="Times New Roman" w:cs="Times New Roman"/>
          <w:kern w:val="0"/>
          <w:sz w:val="22"/>
          <w:szCs w:val="27"/>
        </w:rPr>
        <w:t>Scharfstein</w:t>
      </w:r>
      <w:proofErr w:type="spellEnd"/>
      <w:r w:rsidRPr="0059184B">
        <w:rPr>
          <w:rFonts w:ascii="Times New Roman" w:eastAsia="微软雅黑" w:hAnsi="Times New Roman" w:cs="Times New Roman"/>
          <w:kern w:val="0"/>
          <w:sz w:val="22"/>
          <w:szCs w:val="27"/>
        </w:rPr>
        <w:t>, and Jeremy C Stein, 1993, Risk management: Coordinating corporate investment and financing policies, </w:t>
      </w:r>
      <w:r w:rsidRPr="0059184B">
        <w:rPr>
          <w:rFonts w:ascii="Times New Roman" w:eastAsia="微软雅黑" w:hAnsi="Times New Roman" w:cs="Times New Roman"/>
          <w:i/>
          <w:iCs/>
          <w:kern w:val="0"/>
          <w:sz w:val="22"/>
          <w:szCs w:val="27"/>
        </w:rPr>
        <w:t>the Journal of Finance</w:t>
      </w:r>
      <w:r w:rsidRPr="0059184B">
        <w:rPr>
          <w:rFonts w:ascii="Times New Roman" w:eastAsia="微软雅黑" w:hAnsi="Times New Roman" w:cs="Times New Roman"/>
          <w:kern w:val="0"/>
          <w:sz w:val="22"/>
          <w:szCs w:val="27"/>
        </w:rPr>
        <w:t> 48, 1629-1658.</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Gao, Yu, Scott Liao, and </w:t>
      </w:r>
      <w:proofErr w:type="spellStart"/>
      <w:r w:rsidRPr="0059184B">
        <w:rPr>
          <w:rFonts w:ascii="Times New Roman" w:eastAsia="微软雅黑" w:hAnsi="Times New Roman" w:cs="Times New Roman"/>
          <w:kern w:val="0"/>
          <w:sz w:val="22"/>
          <w:szCs w:val="27"/>
        </w:rPr>
        <w:t>Xue</w:t>
      </w:r>
      <w:proofErr w:type="spellEnd"/>
      <w:r w:rsidRPr="0059184B">
        <w:rPr>
          <w:rFonts w:ascii="Times New Roman" w:eastAsia="微软雅黑" w:hAnsi="Times New Roman" w:cs="Times New Roman"/>
          <w:kern w:val="0"/>
          <w:sz w:val="22"/>
          <w:szCs w:val="27"/>
        </w:rPr>
        <w:t xml:space="preserve"> Wang, 2016, Capital markets’ assessment of the economic impact of the Dodd-Frank Act on systemically important financial firms, </w:t>
      </w:r>
      <w:r w:rsidRPr="0059184B">
        <w:rPr>
          <w:rFonts w:ascii="Times New Roman" w:eastAsia="微软雅黑" w:hAnsi="Times New Roman" w:cs="Times New Roman"/>
          <w:i/>
          <w:iCs/>
          <w:kern w:val="0"/>
          <w:sz w:val="22"/>
          <w:szCs w:val="27"/>
        </w:rPr>
        <w:t>Journal of Banking &amp; Finance</w:t>
      </w:r>
      <w:r w:rsidRPr="0059184B">
        <w:rPr>
          <w:rFonts w:ascii="Times New Roman" w:eastAsia="微软雅黑" w:hAnsi="Times New Roman" w:cs="Times New Roman"/>
          <w:kern w:val="0"/>
          <w:sz w:val="22"/>
          <w:szCs w:val="27"/>
        </w:rPr>
        <w:t>.</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Giancarlo, J Christopher, 2015, Pro-reform reconsideration of the CFTC swaps trading rules: Return to </w:t>
      </w:r>
      <w:proofErr w:type="spellStart"/>
      <w:r w:rsidRPr="0059184B">
        <w:rPr>
          <w:rFonts w:ascii="Times New Roman" w:eastAsia="微软雅黑" w:hAnsi="Times New Roman" w:cs="Times New Roman"/>
          <w:kern w:val="0"/>
          <w:sz w:val="22"/>
          <w:szCs w:val="27"/>
        </w:rPr>
        <w:t>dodd</w:t>
      </w:r>
      <w:proofErr w:type="spellEnd"/>
      <w:r w:rsidRPr="0059184B">
        <w:rPr>
          <w:rFonts w:ascii="Times New Roman" w:eastAsia="微软雅黑" w:hAnsi="Times New Roman" w:cs="Times New Roman"/>
          <w:kern w:val="0"/>
          <w:sz w:val="22"/>
          <w:szCs w:val="27"/>
        </w:rPr>
        <w:t>-frank, </w:t>
      </w:r>
      <w:r w:rsidRPr="0059184B">
        <w:rPr>
          <w:rFonts w:ascii="Times New Roman" w:eastAsia="微软雅黑" w:hAnsi="Times New Roman" w:cs="Times New Roman"/>
          <w:i/>
          <w:iCs/>
          <w:kern w:val="0"/>
          <w:sz w:val="22"/>
          <w:szCs w:val="27"/>
        </w:rPr>
        <w:t>White paper</w:t>
      </w:r>
      <w:r w:rsidRPr="0059184B">
        <w:rPr>
          <w:rFonts w:ascii="Times New Roman" w:eastAsia="微软雅黑" w:hAnsi="Times New Roman" w:cs="Times New Roman"/>
          <w:kern w:val="0"/>
          <w:sz w:val="22"/>
          <w:szCs w:val="27"/>
        </w:rPr>
        <w:t>.</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Gorman, James 2017, Dodd-frank is complex and overburdens the financial sector, (Financial Times).</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Gunther, Jeffery W, and Thomas F </w:t>
      </w:r>
      <w:proofErr w:type="spellStart"/>
      <w:r w:rsidRPr="0059184B">
        <w:rPr>
          <w:rFonts w:ascii="Times New Roman" w:eastAsia="微软雅黑" w:hAnsi="Times New Roman" w:cs="Times New Roman"/>
          <w:kern w:val="0"/>
          <w:sz w:val="22"/>
          <w:szCs w:val="27"/>
        </w:rPr>
        <w:t>Siems</w:t>
      </w:r>
      <w:proofErr w:type="spellEnd"/>
      <w:r w:rsidRPr="0059184B">
        <w:rPr>
          <w:rFonts w:ascii="Times New Roman" w:eastAsia="微软雅黑" w:hAnsi="Times New Roman" w:cs="Times New Roman"/>
          <w:kern w:val="0"/>
          <w:sz w:val="22"/>
          <w:szCs w:val="27"/>
        </w:rPr>
        <w:t xml:space="preserve">, 2002, </w:t>
      </w:r>
      <w:proofErr w:type="gramStart"/>
      <w:r w:rsidRPr="0059184B">
        <w:rPr>
          <w:rFonts w:ascii="Times New Roman" w:eastAsia="微软雅黑" w:hAnsi="Times New Roman" w:cs="Times New Roman"/>
          <w:kern w:val="0"/>
          <w:sz w:val="22"/>
          <w:szCs w:val="27"/>
        </w:rPr>
        <w:t>The</w:t>
      </w:r>
      <w:proofErr w:type="gramEnd"/>
      <w:r w:rsidRPr="0059184B">
        <w:rPr>
          <w:rFonts w:ascii="Times New Roman" w:eastAsia="微软雅黑" w:hAnsi="Times New Roman" w:cs="Times New Roman"/>
          <w:kern w:val="0"/>
          <w:sz w:val="22"/>
          <w:szCs w:val="27"/>
        </w:rPr>
        <w:t xml:space="preserve"> likelihood and extent of banks' involvement with interest rate derivatives as end users, in </w:t>
      </w:r>
      <w:r w:rsidRPr="0059184B">
        <w:rPr>
          <w:rFonts w:ascii="Times New Roman" w:eastAsia="微软雅黑" w:hAnsi="Times New Roman" w:cs="Times New Roman"/>
          <w:i/>
          <w:iCs/>
          <w:kern w:val="0"/>
          <w:sz w:val="22"/>
          <w:szCs w:val="27"/>
        </w:rPr>
        <w:t>Research in finance</w:t>
      </w:r>
      <w:r w:rsidRPr="0059184B">
        <w:rPr>
          <w:rFonts w:ascii="Times New Roman" w:eastAsia="微软雅黑" w:hAnsi="Times New Roman" w:cs="Times New Roman"/>
          <w:kern w:val="0"/>
          <w:sz w:val="22"/>
          <w:szCs w:val="27"/>
        </w:rPr>
        <w:t> (Emerald Group Publishing Limited).</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Huang, </w:t>
      </w:r>
      <w:proofErr w:type="spellStart"/>
      <w:r w:rsidRPr="0059184B">
        <w:rPr>
          <w:rFonts w:ascii="Times New Roman" w:eastAsia="微软雅黑" w:hAnsi="Times New Roman" w:cs="Times New Roman"/>
          <w:kern w:val="0"/>
          <w:sz w:val="22"/>
          <w:szCs w:val="27"/>
        </w:rPr>
        <w:t>Pinghsun</w:t>
      </w:r>
      <w:proofErr w:type="spellEnd"/>
      <w:r w:rsidRPr="0059184B">
        <w:rPr>
          <w:rFonts w:ascii="Times New Roman" w:eastAsia="微软雅黑" w:hAnsi="Times New Roman" w:cs="Times New Roman"/>
          <w:kern w:val="0"/>
          <w:sz w:val="22"/>
          <w:szCs w:val="27"/>
        </w:rPr>
        <w:t xml:space="preserve">, M. </w:t>
      </w:r>
      <w:proofErr w:type="spellStart"/>
      <w:r w:rsidRPr="0059184B">
        <w:rPr>
          <w:rFonts w:ascii="Times New Roman" w:eastAsia="微软雅黑" w:hAnsi="Times New Roman" w:cs="Times New Roman"/>
          <w:kern w:val="0"/>
          <w:sz w:val="22"/>
          <w:szCs w:val="27"/>
        </w:rPr>
        <w:t>Humayun</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Kabir</w:t>
      </w:r>
      <w:proofErr w:type="spellEnd"/>
      <w:r w:rsidRPr="0059184B">
        <w:rPr>
          <w:rFonts w:ascii="Times New Roman" w:eastAsia="微软雅黑" w:hAnsi="Times New Roman" w:cs="Times New Roman"/>
          <w:kern w:val="0"/>
          <w:sz w:val="22"/>
          <w:szCs w:val="27"/>
        </w:rPr>
        <w:t xml:space="preserve">, and Yan Zhang, 2017, </w:t>
      </w:r>
      <w:proofErr w:type="gramStart"/>
      <w:r w:rsidRPr="0059184B">
        <w:rPr>
          <w:rFonts w:ascii="Times New Roman" w:eastAsia="微软雅黑" w:hAnsi="Times New Roman" w:cs="Times New Roman"/>
          <w:kern w:val="0"/>
          <w:sz w:val="22"/>
          <w:szCs w:val="27"/>
        </w:rPr>
        <w:t>Does</w:t>
      </w:r>
      <w:proofErr w:type="gramEnd"/>
      <w:r w:rsidRPr="0059184B">
        <w:rPr>
          <w:rFonts w:ascii="Times New Roman" w:eastAsia="微软雅黑" w:hAnsi="Times New Roman" w:cs="Times New Roman"/>
          <w:kern w:val="0"/>
          <w:sz w:val="22"/>
          <w:szCs w:val="27"/>
        </w:rPr>
        <w:t xml:space="preserve"> corporate derivative use reduce stock price exposure? Evidence from </w:t>
      </w:r>
      <w:proofErr w:type="spellStart"/>
      <w:proofErr w:type="gramStart"/>
      <w:r w:rsidRPr="0059184B">
        <w:rPr>
          <w:rFonts w:ascii="Times New Roman" w:eastAsia="微软雅黑" w:hAnsi="Times New Roman" w:cs="Times New Roman"/>
          <w:kern w:val="0"/>
          <w:sz w:val="22"/>
          <w:szCs w:val="27"/>
        </w:rPr>
        <w:t>uk</w:t>
      </w:r>
      <w:proofErr w:type="spellEnd"/>
      <w:proofErr w:type="gramEnd"/>
      <w:r w:rsidRPr="0059184B">
        <w:rPr>
          <w:rFonts w:ascii="Times New Roman" w:eastAsia="微软雅黑" w:hAnsi="Times New Roman" w:cs="Times New Roman"/>
          <w:kern w:val="0"/>
          <w:sz w:val="22"/>
          <w:szCs w:val="27"/>
        </w:rPr>
        <w:t xml:space="preserve"> firms, </w:t>
      </w:r>
      <w:r w:rsidRPr="0059184B">
        <w:rPr>
          <w:rFonts w:ascii="Times New Roman" w:eastAsia="微软雅黑" w:hAnsi="Times New Roman" w:cs="Times New Roman"/>
          <w:i/>
          <w:iCs/>
          <w:kern w:val="0"/>
          <w:sz w:val="22"/>
          <w:szCs w:val="27"/>
        </w:rPr>
        <w:t>The Quarterly Review of Economics and Finance</w:t>
      </w:r>
      <w:r w:rsidRPr="0059184B">
        <w:rPr>
          <w:rFonts w:ascii="Times New Roman" w:eastAsia="微软雅黑" w:hAnsi="Times New Roman" w:cs="Times New Roman"/>
          <w:kern w:val="0"/>
          <w:sz w:val="22"/>
          <w:szCs w:val="27"/>
        </w:rPr>
        <w:t> 65, 128-136.</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Instefjord</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Norvald</w:t>
      </w:r>
      <w:proofErr w:type="spellEnd"/>
      <w:r w:rsidRPr="0059184B">
        <w:rPr>
          <w:rFonts w:ascii="Times New Roman" w:eastAsia="微软雅黑" w:hAnsi="Times New Roman" w:cs="Times New Roman"/>
          <w:kern w:val="0"/>
          <w:sz w:val="22"/>
          <w:szCs w:val="27"/>
        </w:rPr>
        <w:t>, 2005, Risk and hedging: Do credit derivatives increase bank risk</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Journal of Banking &amp; Finance</w:t>
      </w:r>
      <w:r w:rsidRPr="0059184B">
        <w:rPr>
          <w:rFonts w:ascii="Times New Roman" w:eastAsia="微软雅黑" w:hAnsi="Times New Roman" w:cs="Times New Roman"/>
          <w:kern w:val="0"/>
          <w:sz w:val="22"/>
          <w:szCs w:val="27"/>
        </w:rPr>
        <w:t> 29, 333-345.</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Kane, Edward J, 2012, </w:t>
      </w:r>
      <w:proofErr w:type="gramStart"/>
      <w:r w:rsidRPr="0059184B">
        <w:rPr>
          <w:rFonts w:ascii="Times New Roman" w:eastAsia="微软雅黑" w:hAnsi="Times New Roman" w:cs="Times New Roman"/>
          <w:kern w:val="0"/>
          <w:sz w:val="22"/>
          <w:szCs w:val="27"/>
        </w:rPr>
        <w:t>Missing</w:t>
      </w:r>
      <w:proofErr w:type="gramEnd"/>
      <w:r w:rsidRPr="0059184B">
        <w:rPr>
          <w:rFonts w:ascii="Times New Roman" w:eastAsia="微软雅黑" w:hAnsi="Times New Roman" w:cs="Times New Roman"/>
          <w:kern w:val="0"/>
          <w:sz w:val="22"/>
          <w:szCs w:val="27"/>
        </w:rPr>
        <w:t xml:space="preserve"> elements in us financial reform: A </w:t>
      </w:r>
      <w:proofErr w:type="spellStart"/>
      <w:r w:rsidRPr="0059184B">
        <w:rPr>
          <w:rFonts w:ascii="Times New Roman" w:eastAsia="微软雅黑" w:hAnsi="Times New Roman" w:cs="Times New Roman"/>
          <w:kern w:val="0"/>
          <w:sz w:val="22"/>
          <w:szCs w:val="27"/>
        </w:rPr>
        <w:t>kübler</w:t>
      </w:r>
      <w:proofErr w:type="spellEnd"/>
      <w:r w:rsidRPr="0059184B">
        <w:rPr>
          <w:rFonts w:ascii="Times New Roman" w:eastAsia="微软雅黑" w:hAnsi="Times New Roman" w:cs="Times New Roman"/>
          <w:kern w:val="0"/>
          <w:sz w:val="22"/>
          <w:szCs w:val="27"/>
        </w:rPr>
        <w:t>-ross interpretation of the inadequacy of the Dodd-Frank Act, </w:t>
      </w:r>
      <w:r w:rsidRPr="0059184B">
        <w:rPr>
          <w:rFonts w:ascii="Times New Roman" w:eastAsia="微软雅黑" w:hAnsi="Times New Roman" w:cs="Times New Roman"/>
          <w:i/>
          <w:iCs/>
          <w:kern w:val="0"/>
          <w:sz w:val="22"/>
          <w:szCs w:val="27"/>
        </w:rPr>
        <w:t>Journal of Banking &amp; Finance</w:t>
      </w:r>
      <w:r w:rsidRPr="0059184B">
        <w:rPr>
          <w:rFonts w:ascii="Times New Roman" w:eastAsia="微软雅黑" w:hAnsi="Times New Roman" w:cs="Times New Roman"/>
          <w:kern w:val="0"/>
          <w:sz w:val="22"/>
          <w:szCs w:val="27"/>
        </w:rPr>
        <w:t> 36, 654-661.</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Keffala</w:t>
      </w:r>
      <w:proofErr w:type="spellEnd"/>
      <w:r w:rsidRPr="0059184B">
        <w:rPr>
          <w:rFonts w:ascii="Times New Roman" w:eastAsia="微软雅黑" w:hAnsi="Times New Roman" w:cs="Times New Roman"/>
          <w:kern w:val="0"/>
          <w:sz w:val="22"/>
          <w:szCs w:val="27"/>
        </w:rPr>
        <w:t xml:space="preserve">, Mohamed </w:t>
      </w:r>
      <w:proofErr w:type="spellStart"/>
      <w:r w:rsidRPr="0059184B">
        <w:rPr>
          <w:rFonts w:ascii="Times New Roman" w:eastAsia="微软雅黑" w:hAnsi="Times New Roman" w:cs="Times New Roman"/>
          <w:kern w:val="0"/>
          <w:sz w:val="22"/>
          <w:szCs w:val="27"/>
        </w:rPr>
        <w:t>Rochdi</w:t>
      </w:r>
      <w:proofErr w:type="spellEnd"/>
      <w:r w:rsidRPr="0059184B">
        <w:rPr>
          <w:rFonts w:ascii="Times New Roman" w:eastAsia="微软雅黑" w:hAnsi="Times New Roman" w:cs="Times New Roman"/>
          <w:kern w:val="0"/>
          <w:sz w:val="22"/>
          <w:szCs w:val="27"/>
        </w:rPr>
        <w:t xml:space="preserve">, and </w:t>
      </w:r>
      <w:proofErr w:type="spellStart"/>
      <w:r w:rsidRPr="0059184B">
        <w:rPr>
          <w:rFonts w:ascii="Times New Roman" w:eastAsia="微软雅黑" w:hAnsi="Times New Roman" w:cs="Times New Roman"/>
          <w:kern w:val="0"/>
          <w:sz w:val="22"/>
          <w:szCs w:val="27"/>
        </w:rPr>
        <w:t>Christinan</w:t>
      </w:r>
      <w:proofErr w:type="spellEnd"/>
      <w:r w:rsidRPr="0059184B">
        <w:rPr>
          <w:rFonts w:ascii="Times New Roman" w:eastAsia="微软雅黑" w:hAnsi="Times New Roman" w:cs="Times New Roman"/>
          <w:kern w:val="0"/>
          <w:sz w:val="22"/>
          <w:szCs w:val="27"/>
        </w:rPr>
        <w:t xml:space="preserve"> De </w:t>
      </w:r>
      <w:proofErr w:type="spellStart"/>
      <w:r w:rsidRPr="0059184B">
        <w:rPr>
          <w:rFonts w:ascii="Times New Roman" w:eastAsia="微软雅黑" w:hAnsi="Times New Roman" w:cs="Times New Roman"/>
          <w:kern w:val="0"/>
          <w:sz w:val="22"/>
          <w:szCs w:val="27"/>
        </w:rPr>
        <w:t>Peretti</w:t>
      </w:r>
      <w:proofErr w:type="spellEnd"/>
      <w:r w:rsidRPr="0059184B">
        <w:rPr>
          <w:rFonts w:ascii="Times New Roman" w:eastAsia="微软雅黑" w:hAnsi="Times New Roman" w:cs="Times New Roman"/>
          <w:kern w:val="0"/>
          <w:sz w:val="22"/>
          <w:szCs w:val="27"/>
        </w:rPr>
        <w:t xml:space="preserve">, 2016, </w:t>
      </w:r>
      <w:proofErr w:type="gramStart"/>
      <w:r w:rsidRPr="0059184B">
        <w:rPr>
          <w:rFonts w:ascii="Times New Roman" w:eastAsia="微软雅黑" w:hAnsi="Times New Roman" w:cs="Times New Roman"/>
          <w:kern w:val="0"/>
          <w:sz w:val="22"/>
          <w:szCs w:val="27"/>
        </w:rPr>
        <w:t>Does</w:t>
      </w:r>
      <w:proofErr w:type="gramEnd"/>
      <w:r w:rsidRPr="0059184B">
        <w:rPr>
          <w:rFonts w:ascii="Times New Roman" w:eastAsia="微软雅黑" w:hAnsi="Times New Roman" w:cs="Times New Roman"/>
          <w:kern w:val="0"/>
          <w:sz w:val="22"/>
          <w:szCs w:val="27"/>
        </w:rPr>
        <w:t xml:space="preserve"> derivative instruments use increase accounting performance of banks in emerging and recently developed countries, </w:t>
      </w:r>
      <w:r w:rsidRPr="0059184B">
        <w:rPr>
          <w:rFonts w:ascii="Times New Roman" w:eastAsia="微软雅黑" w:hAnsi="Times New Roman" w:cs="Times New Roman"/>
          <w:i/>
          <w:iCs/>
          <w:kern w:val="0"/>
          <w:sz w:val="22"/>
          <w:szCs w:val="27"/>
        </w:rPr>
        <w:t>Savings and Development</w:t>
      </w:r>
      <w:r w:rsidRPr="0059184B">
        <w:rPr>
          <w:rFonts w:ascii="Times New Roman" w:eastAsia="微软雅黑" w:hAnsi="Times New Roman" w:cs="Times New Roman"/>
          <w:kern w:val="0"/>
          <w:sz w:val="22"/>
          <w:szCs w:val="27"/>
        </w:rPr>
        <w:t> 40, 75.</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lastRenderedPageBreak/>
        <w:t>Keppo</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Jussi</w:t>
      </w:r>
      <w:proofErr w:type="spellEnd"/>
      <w:r w:rsidRPr="0059184B">
        <w:rPr>
          <w:rFonts w:ascii="Times New Roman" w:eastAsia="微软雅黑" w:hAnsi="Times New Roman" w:cs="Times New Roman"/>
          <w:kern w:val="0"/>
          <w:sz w:val="22"/>
          <w:szCs w:val="27"/>
        </w:rPr>
        <w:t xml:space="preserve">, and Josef </w:t>
      </w:r>
      <w:proofErr w:type="spellStart"/>
      <w:r w:rsidRPr="0059184B">
        <w:rPr>
          <w:rFonts w:ascii="Times New Roman" w:eastAsia="微软雅黑" w:hAnsi="Times New Roman" w:cs="Times New Roman"/>
          <w:kern w:val="0"/>
          <w:sz w:val="22"/>
          <w:szCs w:val="27"/>
        </w:rPr>
        <w:t>Korte</w:t>
      </w:r>
      <w:proofErr w:type="spellEnd"/>
      <w:r w:rsidRPr="0059184B">
        <w:rPr>
          <w:rFonts w:ascii="Times New Roman" w:eastAsia="微软雅黑" w:hAnsi="Times New Roman" w:cs="Times New Roman"/>
          <w:kern w:val="0"/>
          <w:sz w:val="22"/>
          <w:szCs w:val="27"/>
        </w:rPr>
        <w:t>, 2016, Risk targeting and policy illusions–evidence from the announcement of the Volcker Rule.</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Koppenhaver, Gary D, 1985, Bank funding risks, risk aversion, and the choice of futures hedging instrument, </w:t>
      </w:r>
      <w:r w:rsidRPr="0059184B">
        <w:rPr>
          <w:rFonts w:ascii="Times New Roman" w:eastAsia="微软雅黑" w:hAnsi="Times New Roman" w:cs="Times New Roman"/>
          <w:i/>
          <w:iCs/>
          <w:kern w:val="0"/>
          <w:sz w:val="22"/>
          <w:szCs w:val="27"/>
        </w:rPr>
        <w:t>The Journal of Finance</w:t>
      </w:r>
      <w:r w:rsidRPr="0059184B">
        <w:rPr>
          <w:rFonts w:ascii="Times New Roman" w:eastAsia="微软雅黑" w:hAnsi="Times New Roman" w:cs="Times New Roman"/>
          <w:kern w:val="0"/>
          <w:sz w:val="22"/>
          <w:szCs w:val="27"/>
        </w:rPr>
        <w:t> 40, 241-255.</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Krainer</w:t>
      </w:r>
      <w:proofErr w:type="spellEnd"/>
      <w:r w:rsidRPr="0059184B">
        <w:rPr>
          <w:rFonts w:ascii="Times New Roman" w:eastAsia="微软雅黑" w:hAnsi="Times New Roman" w:cs="Times New Roman"/>
          <w:kern w:val="0"/>
          <w:sz w:val="22"/>
          <w:szCs w:val="27"/>
        </w:rPr>
        <w:t xml:space="preserve">, Robert E, 2012, </w:t>
      </w:r>
      <w:proofErr w:type="gramStart"/>
      <w:r w:rsidRPr="0059184B">
        <w:rPr>
          <w:rFonts w:ascii="Times New Roman" w:eastAsia="微软雅黑" w:hAnsi="Times New Roman" w:cs="Times New Roman"/>
          <w:kern w:val="0"/>
          <w:sz w:val="22"/>
          <w:szCs w:val="27"/>
        </w:rPr>
        <w:t>Regulating</w:t>
      </w:r>
      <w:proofErr w:type="gramEnd"/>
      <w:r w:rsidRPr="0059184B">
        <w:rPr>
          <w:rFonts w:ascii="Times New Roman" w:eastAsia="微软雅黑" w:hAnsi="Times New Roman" w:cs="Times New Roman"/>
          <w:kern w:val="0"/>
          <w:sz w:val="22"/>
          <w:szCs w:val="27"/>
        </w:rPr>
        <w:t xml:space="preserve"> wall street: The </w:t>
      </w:r>
      <w:proofErr w:type="spellStart"/>
      <w:r w:rsidRPr="0059184B">
        <w:rPr>
          <w:rFonts w:ascii="Times New Roman" w:eastAsia="微软雅黑" w:hAnsi="Times New Roman" w:cs="Times New Roman"/>
          <w:kern w:val="0"/>
          <w:sz w:val="22"/>
          <w:szCs w:val="27"/>
        </w:rPr>
        <w:t>dodd</w:t>
      </w:r>
      <w:proofErr w:type="spellEnd"/>
      <w:r w:rsidRPr="0059184B">
        <w:rPr>
          <w:rFonts w:ascii="Times New Roman" w:eastAsia="微软雅黑" w:hAnsi="Times New Roman" w:cs="Times New Roman"/>
          <w:kern w:val="0"/>
          <w:sz w:val="22"/>
          <w:szCs w:val="27"/>
        </w:rPr>
        <w:t>–frank act and the new architecture of global finance, a review, </w:t>
      </w:r>
      <w:r w:rsidRPr="0059184B">
        <w:rPr>
          <w:rFonts w:ascii="Times New Roman" w:eastAsia="微软雅黑" w:hAnsi="Times New Roman" w:cs="Times New Roman"/>
          <w:i/>
          <w:iCs/>
          <w:kern w:val="0"/>
          <w:sz w:val="22"/>
          <w:szCs w:val="27"/>
        </w:rPr>
        <w:t>Journal of Financial Stability</w:t>
      </w:r>
      <w:r w:rsidRPr="0059184B">
        <w:rPr>
          <w:rFonts w:ascii="Times New Roman" w:eastAsia="微软雅黑" w:hAnsi="Times New Roman" w:cs="Times New Roman"/>
          <w:kern w:val="0"/>
          <w:sz w:val="22"/>
          <w:szCs w:val="27"/>
        </w:rPr>
        <w:t> 8, 121-133.</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Lau, Chee </w:t>
      </w:r>
      <w:proofErr w:type="spellStart"/>
      <w:r w:rsidRPr="0059184B">
        <w:rPr>
          <w:rFonts w:ascii="Times New Roman" w:eastAsia="微软雅黑" w:hAnsi="Times New Roman" w:cs="Times New Roman"/>
          <w:kern w:val="0"/>
          <w:sz w:val="22"/>
          <w:szCs w:val="27"/>
        </w:rPr>
        <w:t>Kwong</w:t>
      </w:r>
      <w:proofErr w:type="spellEnd"/>
      <w:r w:rsidRPr="0059184B">
        <w:rPr>
          <w:rFonts w:ascii="Times New Roman" w:eastAsia="微软雅黑" w:hAnsi="Times New Roman" w:cs="Times New Roman"/>
          <w:kern w:val="0"/>
          <w:sz w:val="22"/>
          <w:szCs w:val="27"/>
        </w:rPr>
        <w:t>, 2016, How corporate derivatives use impact firm performance</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Pacific-Basin Finance Journal</w:t>
      </w:r>
      <w:r w:rsidRPr="0059184B">
        <w:rPr>
          <w:rFonts w:ascii="Times New Roman" w:eastAsia="微软雅黑" w:hAnsi="Times New Roman" w:cs="Times New Roman"/>
          <w:kern w:val="0"/>
          <w:sz w:val="22"/>
          <w:szCs w:val="27"/>
        </w:rPr>
        <w:t> 40, 102-114.</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Li, Li, and Zhang Yu, 2010, </w:t>
      </w:r>
      <w:proofErr w:type="gramStart"/>
      <w:r w:rsidRPr="0059184B">
        <w:rPr>
          <w:rFonts w:ascii="Times New Roman" w:eastAsia="微软雅黑" w:hAnsi="Times New Roman" w:cs="Times New Roman"/>
          <w:kern w:val="0"/>
          <w:sz w:val="22"/>
          <w:szCs w:val="27"/>
        </w:rPr>
        <w:t>The</w:t>
      </w:r>
      <w:proofErr w:type="gramEnd"/>
      <w:r w:rsidRPr="0059184B">
        <w:rPr>
          <w:rFonts w:ascii="Times New Roman" w:eastAsia="微软雅黑" w:hAnsi="Times New Roman" w:cs="Times New Roman"/>
          <w:kern w:val="0"/>
          <w:sz w:val="22"/>
          <w:szCs w:val="27"/>
        </w:rPr>
        <w:t xml:space="preserve"> impact of derivatives activity on commercial banks: Evidence from us bank holding companies, </w:t>
      </w:r>
      <w:r w:rsidRPr="0059184B">
        <w:rPr>
          <w:rFonts w:ascii="Times New Roman" w:eastAsia="微软雅黑" w:hAnsi="Times New Roman" w:cs="Times New Roman"/>
          <w:i/>
          <w:iCs/>
          <w:kern w:val="0"/>
          <w:sz w:val="22"/>
          <w:szCs w:val="27"/>
        </w:rPr>
        <w:t>Asia-Pacific Financial Markets</w:t>
      </w:r>
      <w:r w:rsidRPr="0059184B">
        <w:rPr>
          <w:rFonts w:ascii="Times New Roman" w:eastAsia="微软雅黑" w:hAnsi="Times New Roman" w:cs="Times New Roman"/>
          <w:kern w:val="0"/>
          <w:sz w:val="22"/>
          <w:szCs w:val="27"/>
        </w:rPr>
        <w:t> 17, 303-322.</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gramStart"/>
      <w:r w:rsidRPr="0059184B">
        <w:rPr>
          <w:rFonts w:ascii="Times New Roman" w:eastAsia="微软雅黑" w:hAnsi="Times New Roman" w:cs="Times New Roman"/>
          <w:kern w:val="0"/>
          <w:sz w:val="22"/>
          <w:szCs w:val="27"/>
        </w:rPr>
        <w:t xml:space="preserve">Li, </w:t>
      </w:r>
      <w:proofErr w:type="spellStart"/>
      <w:r w:rsidRPr="0059184B">
        <w:rPr>
          <w:rFonts w:ascii="Times New Roman" w:eastAsia="微软雅黑" w:hAnsi="Times New Roman" w:cs="Times New Roman"/>
          <w:kern w:val="0"/>
          <w:sz w:val="22"/>
          <w:szCs w:val="27"/>
        </w:rPr>
        <w:t>Shaofang</w:t>
      </w:r>
      <w:proofErr w:type="spellEnd"/>
      <w:r w:rsidRPr="0059184B">
        <w:rPr>
          <w:rFonts w:ascii="Times New Roman" w:eastAsia="微软雅黑" w:hAnsi="Times New Roman" w:cs="Times New Roman"/>
          <w:kern w:val="0"/>
          <w:sz w:val="22"/>
          <w:szCs w:val="27"/>
        </w:rPr>
        <w:t xml:space="preserve">, and </w:t>
      </w:r>
      <w:proofErr w:type="spellStart"/>
      <w:r w:rsidRPr="0059184B">
        <w:rPr>
          <w:rFonts w:ascii="Times New Roman" w:eastAsia="微软雅黑" w:hAnsi="Times New Roman" w:cs="Times New Roman"/>
          <w:kern w:val="0"/>
          <w:sz w:val="22"/>
          <w:szCs w:val="27"/>
        </w:rPr>
        <w:t>Matej</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Marinc</w:t>
      </w:r>
      <w:proofErr w:type="spellEnd"/>
      <w:r w:rsidRPr="0059184B">
        <w:rPr>
          <w:rFonts w:ascii="Times New Roman" w:eastAsia="微软雅黑" w:hAnsi="Times New Roman" w:cs="Times New Roman"/>
          <w:kern w:val="0"/>
          <w:sz w:val="22"/>
          <w:szCs w:val="27"/>
        </w:rPr>
        <w:t>, 2017, Mandatory clearing of derivatives and systemic risk of bank holding companies.</w:t>
      </w:r>
      <w:proofErr w:type="gramEnd"/>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Li, </w:t>
      </w:r>
      <w:proofErr w:type="spellStart"/>
      <w:r w:rsidRPr="0059184B">
        <w:rPr>
          <w:rFonts w:ascii="Times New Roman" w:eastAsia="微软雅黑" w:hAnsi="Times New Roman" w:cs="Times New Roman"/>
          <w:kern w:val="0"/>
          <w:sz w:val="22"/>
          <w:szCs w:val="27"/>
        </w:rPr>
        <w:t>Shaofang</w:t>
      </w:r>
      <w:proofErr w:type="spellEnd"/>
      <w:r w:rsidRPr="0059184B">
        <w:rPr>
          <w:rFonts w:ascii="Times New Roman" w:eastAsia="微软雅黑" w:hAnsi="Times New Roman" w:cs="Times New Roman"/>
          <w:kern w:val="0"/>
          <w:sz w:val="22"/>
          <w:szCs w:val="27"/>
        </w:rPr>
        <w:t xml:space="preserve">, and </w:t>
      </w:r>
      <w:proofErr w:type="spellStart"/>
      <w:r w:rsidRPr="0059184B">
        <w:rPr>
          <w:rFonts w:ascii="Times New Roman" w:eastAsia="微软雅黑" w:hAnsi="Times New Roman" w:cs="Times New Roman"/>
          <w:kern w:val="0"/>
          <w:sz w:val="22"/>
          <w:szCs w:val="27"/>
        </w:rPr>
        <w:t>Matej</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Marinč</w:t>
      </w:r>
      <w:proofErr w:type="spellEnd"/>
      <w:r w:rsidRPr="0059184B">
        <w:rPr>
          <w:rFonts w:ascii="Times New Roman" w:eastAsia="微软雅黑" w:hAnsi="Times New Roman" w:cs="Times New Roman"/>
          <w:kern w:val="0"/>
          <w:sz w:val="22"/>
          <w:szCs w:val="27"/>
        </w:rPr>
        <w:t xml:space="preserve">, 2014, </w:t>
      </w:r>
      <w:proofErr w:type="gramStart"/>
      <w:r w:rsidRPr="0059184B">
        <w:rPr>
          <w:rFonts w:ascii="Times New Roman" w:eastAsia="微软雅黑" w:hAnsi="Times New Roman" w:cs="Times New Roman"/>
          <w:kern w:val="0"/>
          <w:sz w:val="22"/>
          <w:szCs w:val="27"/>
        </w:rPr>
        <w:t>The</w:t>
      </w:r>
      <w:proofErr w:type="gramEnd"/>
      <w:r w:rsidRPr="0059184B">
        <w:rPr>
          <w:rFonts w:ascii="Times New Roman" w:eastAsia="微软雅黑" w:hAnsi="Times New Roman" w:cs="Times New Roman"/>
          <w:kern w:val="0"/>
          <w:sz w:val="22"/>
          <w:szCs w:val="27"/>
        </w:rPr>
        <w:t xml:space="preserve"> use of financial derivatives and risks of us bank holding companies, </w:t>
      </w:r>
      <w:r w:rsidRPr="0059184B">
        <w:rPr>
          <w:rFonts w:ascii="Times New Roman" w:eastAsia="微软雅黑" w:hAnsi="Times New Roman" w:cs="Times New Roman"/>
          <w:i/>
          <w:iCs/>
          <w:kern w:val="0"/>
          <w:sz w:val="22"/>
          <w:szCs w:val="27"/>
        </w:rPr>
        <w:t>International Review of Financial Analysis</w:t>
      </w:r>
      <w:r w:rsidRPr="0059184B">
        <w:rPr>
          <w:rFonts w:ascii="Times New Roman" w:eastAsia="微软雅黑" w:hAnsi="Times New Roman" w:cs="Times New Roman"/>
          <w:kern w:val="0"/>
          <w:sz w:val="22"/>
          <w:szCs w:val="27"/>
        </w:rPr>
        <w:t> 35, 46-71.</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Mayordomo</w:t>
      </w:r>
      <w:proofErr w:type="spellEnd"/>
      <w:r w:rsidRPr="0059184B">
        <w:rPr>
          <w:rFonts w:ascii="Times New Roman" w:eastAsia="微软雅黑" w:hAnsi="Times New Roman" w:cs="Times New Roman"/>
          <w:kern w:val="0"/>
          <w:sz w:val="22"/>
          <w:szCs w:val="27"/>
        </w:rPr>
        <w:t xml:space="preserve">, Sergio, Maria Rodriguez-Moreno, and Juan Ignacio Peña, 2014, Derivatives holdings and systemic risk in </w:t>
      </w:r>
      <w:proofErr w:type="gramStart"/>
      <w:r w:rsidRPr="0059184B">
        <w:rPr>
          <w:rFonts w:ascii="Times New Roman" w:eastAsia="微软雅黑" w:hAnsi="Times New Roman" w:cs="Times New Roman"/>
          <w:kern w:val="0"/>
          <w:sz w:val="22"/>
          <w:szCs w:val="27"/>
        </w:rPr>
        <w:t>the us</w:t>
      </w:r>
      <w:proofErr w:type="gramEnd"/>
      <w:r w:rsidRPr="0059184B">
        <w:rPr>
          <w:rFonts w:ascii="Times New Roman" w:eastAsia="微软雅黑" w:hAnsi="Times New Roman" w:cs="Times New Roman"/>
          <w:kern w:val="0"/>
          <w:sz w:val="22"/>
          <w:szCs w:val="27"/>
        </w:rPr>
        <w:t xml:space="preserve"> banking sector, </w:t>
      </w:r>
      <w:r w:rsidRPr="0059184B">
        <w:rPr>
          <w:rFonts w:ascii="Times New Roman" w:eastAsia="微软雅黑" w:hAnsi="Times New Roman" w:cs="Times New Roman"/>
          <w:i/>
          <w:iCs/>
          <w:kern w:val="0"/>
          <w:sz w:val="22"/>
          <w:szCs w:val="27"/>
        </w:rPr>
        <w:t>Journal of Banking &amp; Finance</w:t>
      </w:r>
      <w:r w:rsidRPr="0059184B">
        <w:rPr>
          <w:rFonts w:ascii="Times New Roman" w:eastAsia="微软雅黑" w:hAnsi="Times New Roman" w:cs="Times New Roman"/>
          <w:kern w:val="0"/>
          <w:sz w:val="22"/>
          <w:szCs w:val="27"/>
        </w:rPr>
        <w:t> 45, 84-104.</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Minton, Bernadette A, René </w:t>
      </w:r>
      <w:proofErr w:type="spellStart"/>
      <w:r w:rsidRPr="0059184B">
        <w:rPr>
          <w:rFonts w:ascii="Times New Roman" w:eastAsia="微软雅黑" w:hAnsi="Times New Roman" w:cs="Times New Roman"/>
          <w:kern w:val="0"/>
          <w:sz w:val="22"/>
          <w:szCs w:val="27"/>
        </w:rPr>
        <w:t>Stulz</w:t>
      </w:r>
      <w:proofErr w:type="spellEnd"/>
      <w:r w:rsidRPr="0059184B">
        <w:rPr>
          <w:rFonts w:ascii="Times New Roman" w:eastAsia="微软雅黑" w:hAnsi="Times New Roman" w:cs="Times New Roman"/>
          <w:kern w:val="0"/>
          <w:sz w:val="22"/>
          <w:szCs w:val="27"/>
        </w:rPr>
        <w:t>, and Rohan Williamson, 2005, How much do banks use credit derivatives to reduce risk?, (National Bureau of Economic Research).</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Nijskens</w:t>
      </w:r>
      <w:proofErr w:type="spellEnd"/>
      <w:r w:rsidRPr="0059184B">
        <w:rPr>
          <w:rFonts w:ascii="Times New Roman" w:eastAsia="微软雅黑" w:hAnsi="Times New Roman" w:cs="Times New Roman"/>
          <w:kern w:val="0"/>
          <w:sz w:val="22"/>
          <w:szCs w:val="27"/>
        </w:rPr>
        <w:t>, Rob, and Wolf Wagner, 2011, Credit risk transfer activities and systemic risk: How banks became less risky individually but posed greater risks to the financial system at the same time, </w:t>
      </w:r>
      <w:r w:rsidRPr="0059184B">
        <w:rPr>
          <w:rFonts w:ascii="Times New Roman" w:eastAsia="微软雅黑" w:hAnsi="Times New Roman" w:cs="Times New Roman"/>
          <w:i/>
          <w:iCs/>
          <w:kern w:val="0"/>
          <w:sz w:val="22"/>
          <w:szCs w:val="27"/>
        </w:rPr>
        <w:t>Journal of Banking &amp; Finance</w:t>
      </w:r>
      <w:r w:rsidRPr="0059184B">
        <w:rPr>
          <w:rFonts w:ascii="Times New Roman" w:eastAsia="微软雅黑" w:hAnsi="Times New Roman" w:cs="Times New Roman"/>
          <w:kern w:val="0"/>
          <w:sz w:val="22"/>
          <w:szCs w:val="27"/>
        </w:rPr>
        <w:t> 35, 1391-1398.</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Norden</w:t>
      </w:r>
      <w:proofErr w:type="spellEnd"/>
      <w:r w:rsidRPr="0059184B">
        <w:rPr>
          <w:rFonts w:ascii="Times New Roman" w:eastAsia="微软雅黑" w:hAnsi="Times New Roman" w:cs="Times New Roman"/>
          <w:kern w:val="0"/>
          <w:sz w:val="22"/>
          <w:szCs w:val="27"/>
        </w:rPr>
        <w:t xml:space="preserve">, Lars, Consuelo Silva </w:t>
      </w:r>
      <w:proofErr w:type="spellStart"/>
      <w:r w:rsidRPr="0059184B">
        <w:rPr>
          <w:rFonts w:ascii="Times New Roman" w:eastAsia="微软雅黑" w:hAnsi="Times New Roman" w:cs="Times New Roman"/>
          <w:kern w:val="0"/>
          <w:sz w:val="22"/>
          <w:szCs w:val="27"/>
        </w:rPr>
        <w:t>Buston</w:t>
      </w:r>
      <w:proofErr w:type="spellEnd"/>
      <w:r w:rsidRPr="0059184B">
        <w:rPr>
          <w:rFonts w:ascii="Times New Roman" w:eastAsia="微软雅黑" w:hAnsi="Times New Roman" w:cs="Times New Roman"/>
          <w:kern w:val="0"/>
          <w:sz w:val="22"/>
          <w:szCs w:val="27"/>
        </w:rPr>
        <w:t xml:space="preserve">, and Wolf Wagner, 2014, </w:t>
      </w:r>
      <w:proofErr w:type="gramStart"/>
      <w:r w:rsidRPr="0059184B">
        <w:rPr>
          <w:rFonts w:ascii="Times New Roman" w:eastAsia="微软雅黑" w:hAnsi="Times New Roman" w:cs="Times New Roman"/>
          <w:kern w:val="0"/>
          <w:sz w:val="22"/>
          <w:szCs w:val="27"/>
        </w:rPr>
        <w:t>Financial</w:t>
      </w:r>
      <w:proofErr w:type="gramEnd"/>
      <w:r w:rsidRPr="0059184B">
        <w:rPr>
          <w:rFonts w:ascii="Times New Roman" w:eastAsia="微软雅黑" w:hAnsi="Times New Roman" w:cs="Times New Roman"/>
          <w:kern w:val="0"/>
          <w:sz w:val="22"/>
          <w:szCs w:val="27"/>
        </w:rPr>
        <w:t xml:space="preserve"> innovation and bank behavior: Evidence from credit markets, </w:t>
      </w:r>
      <w:r w:rsidRPr="0059184B">
        <w:rPr>
          <w:rFonts w:ascii="Times New Roman" w:eastAsia="微软雅黑" w:hAnsi="Times New Roman" w:cs="Times New Roman"/>
          <w:i/>
          <w:iCs/>
          <w:kern w:val="0"/>
          <w:sz w:val="22"/>
          <w:szCs w:val="27"/>
        </w:rPr>
        <w:t>Journal of Economic Dynamics and Control</w:t>
      </w:r>
      <w:r w:rsidRPr="0059184B">
        <w:rPr>
          <w:rFonts w:ascii="Times New Roman" w:eastAsia="微软雅黑" w:hAnsi="Times New Roman" w:cs="Times New Roman"/>
          <w:kern w:val="0"/>
          <w:sz w:val="22"/>
          <w:szCs w:val="27"/>
        </w:rPr>
        <w:t> 43, 130-145.</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Parlour</w:t>
      </w:r>
      <w:proofErr w:type="spellEnd"/>
      <w:r w:rsidRPr="0059184B">
        <w:rPr>
          <w:rFonts w:ascii="Times New Roman" w:eastAsia="微软雅黑" w:hAnsi="Times New Roman" w:cs="Times New Roman"/>
          <w:kern w:val="0"/>
          <w:sz w:val="22"/>
          <w:szCs w:val="27"/>
        </w:rPr>
        <w:t xml:space="preserve">, Christine A, and Andrew Winton, 2013, </w:t>
      </w:r>
      <w:proofErr w:type="gramStart"/>
      <w:r w:rsidRPr="0059184B">
        <w:rPr>
          <w:rFonts w:ascii="Times New Roman" w:eastAsia="微软雅黑" w:hAnsi="Times New Roman" w:cs="Times New Roman"/>
          <w:kern w:val="0"/>
          <w:sz w:val="22"/>
          <w:szCs w:val="27"/>
        </w:rPr>
        <w:t>Laying</w:t>
      </w:r>
      <w:proofErr w:type="gramEnd"/>
      <w:r w:rsidRPr="0059184B">
        <w:rPr>
          <w:rFonts w:ascii="Times New Roman" w:eastAsia="微软雅黑" w:hAnsi="Times New Roman" w:cs="Times New Roman"/>
          <w:kern w:val="0"/>
          <w:sz w:val="22"/>
          <w:szCs w:val="27"/>
        </w:rPr>
        <w:t xml:space="preserve"> off credit risk: Loan sales versus credit default swaps, </w:t>
      </w:r>
      <w:r w:rsidRPr="0059184B">
        <w:rPr>
          <w:rFonts w:ascii="Times New Roman" w:eastAsia="微软雅黑" w:hAnsi="Times New Roman" w:cs="Times New Roman"/>
          <w:i/>
          <w:iCs/>
          <w:kern w:val="0"/>
          <w:sz w:val="22"/>
          <w:szCs w:val="27"/>
        </w:rPr>
        <w:t>Journal of Financial Economics</w:t>
      </w:r>
      <w:r w:rsidRPr="0059184B">
        <w:rPr>
          <w:rFonts w:ascii="Times New Roman" w:eastAsia="微软雅黑" w:hAnsi="Times New Roman" w:cs="Times New Roman"/>
          <w:kern w:val="0"/>
          <w:sz w:val="22"/>
          <w:szCs w:val="27"/>
        </w:rPr>
        <w:t> 107, 25-45.</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Said, </w:t>
      </w:r>
      <w:proofErr w:type="spellStart"/>
      <w:r w:rsidRPr="0059184B">
        <w:rPr>
          <w:rFonts w:ascii="Times New Roman" w:eastAsia="微软雅黑" w:hAnsi="Times New Roman" w:cs="Times New Roman"/>
          <w:kern w:val="0"/>
          <w:sz w:val="22"/>
          <w:szCs w:val="27"/>
        </w:rPr>
        <w:t>Dr</w:t>
      </w:r>
      <w:proofErr w:type="spellEnd"/>
      <w:r w:rsidRPr="0059184B">
        <w:rPr>
          <w:rFonts w:ascii="Times New Roman" w:eastAsia="微软雅黑" w:hAnsi="Times New Roman" w:cs="Times New Roman"/>
          <w:kern w:val="0"/>
          <w:sz w:val="22"/>
          <w:szCs w:val="27"/>
        </w:rPr>
        <w:t xml:space="preserve">, 2002, </w:t>
      </w:r>
      <w:proofErr w:type="gramStart"/>
      <w:r w:rsidRPr="0059184B">
        <w:rPr>
          <w:rFonts w:ascii="Times New Roman" w:eastAsia="微软雅黑" w:hAnsi="Times New Roman" w:cs="Times New Roman"/>
          <w:kern w:val="0"/>
          <w:sz w:val="22"/>
          <w:szCs w:val="27"/>
        </w:rPr>
        <w:t>Does</w:t>
      </w:r>
      <w:proofErr w:type="gramEnd"/>
      <w:r w:rsidRPr="0059184B">
        <w:rPr>
          <w:rFonts w:ascii="Times New Roman" w:eastAsia="微软雅黑" w:hAnsi="Times New Roman" w:cs="Times New Roman"/>
          <w:kern w:val="0"/>
          <w:sz w:val="22"/>
          <w:szCs w:val="27"/>
        </w:rPr>
        <w:t xml:space="preserve"> the use of derivatives impact bank performance? </w:t>
      </w:r>
      <w:proofErr w:type="gramStart"/>
      <w:r w:rsidRPr="0059184B">
        <w:rPr>
          <w:rFonts w:ascii="Times New Roman" w:eastAsia="微软雅黑" w:hAnsi="Times New Roman" w:cs="Times New Roman"/>
          <w:kern w:val="0"/>
          <w:sz w:val="22"/>
          <w:szCs w:val="27"/>
        </w:rPr>
        <w:t>A case study of relative performance during 2002-2009, </w:t>
      </w:r>
      <w:r w:rsidRPr="0059184B">
        <w:rPr>
          <w:rFonts w:ascii="Times New Roman" w:eastAsia="微软雅黑" w:hAnsi="Times New Roman" w:cs="Times New Roman"/>
          <w:i/>
          <w:iCs/>
          <w:kern w:val="0"/>
          <w:sz w:val="22"/>
          <w:szCs w:val="27"/>
        </w:rPr>
        <w:t>A Case Study of Relative Performance during</w:t>
      </w:r>
      <w:r w:rsidRPr="0059184B">
        <w:rPr>
          <w:rFonts w:ascii="Times New Roman" w:eastAsia="微软雅黑" w:hAnsi="Times New Roman" w:cs="Times New Roman"/>
          <w:kern w:val="0"/>
          <w:sz w:val="22"/>
          <w:szCs w:val="27"/>
        </w:rPr>
        <w:t>2009, 77-88.</w:t>
      </w:r>
      <w:proofErr w:type="gramEnd"/>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Schäfer</w:t>
      </w:r>
      <w:proofErr w:type="spellEnd"/>
      <w:r w:rsidRPr="0059184B">
        <w:rPr>
          <w:rFonts w:ascii="Times New Roman" w:eastAsia="微软雅黑" w:hAnsi="Times New Roman" w:cs="Times New Roman"/>
          <w:kern w:val="0"/>
          <w:sz w:val="22"/>
          <w:szCs w:val="27"/>
        </w:rPr>
        <w:t xml:space="preserve">, Alexander, Isabel Schnabel, and Beatrice </w:t>
      </w:r>
      <w:proofErr w:type="spellStart"/>
      <w:r w:rsidRPr="0059184B">
        <w:rPr>
          <w:rFonts w:ascii="Times New Roman" w:eastAsia="微软雅黑" w:hAnsi="Times New Roman" w:cs="Times New Roman"/>
          <w:kern w:val="0"/>
          <w:sz w:val="22"/>
          <w:szCs w:val="27"/>
        </w:rPr>
        <w:t>Weder</w:t>
      </w:r>
      <w:proofErr w:type="spellEnd"/>
      <w:r w:rsidRPr="0059184B">
        <w:rPr>
          <w:rFonts w:ascii="Times New Roman" w:eastAsia="微软雅黑" w:hAnsi="Times New Roman" w:cs="Times New Roman"/>
          <w:kern w:val="0"/>
          <w:sz w:val="22"/>
          <w:szCs w:val="27"/>
        </w:rPr>
        <w:t xml:space="preserve"> di Mauro, 2015, Financial sector reform after the subprime crisis: Has anything happened</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Review of Finance</w:t>
      </w:r>
      <w:r w:rsidRPr="0059184B">
        <w:rPr>
          <w:rFonts w:ascii="Times New Roman" w:eastAsia="微软雅黑" w:hAnsi="Times New Roman" w:cs="Times New Roman"/>
          <w:kern w:val="0"/>
          <w:sz w:val="22"/>
          <w:szCs w:val="27"/>
        </w:rPr>
        <w:t> 20, 77-125.</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Schmidt, </w:t>
      </w:r>
      <w:proofErr w:type="gramStart"/>
      <w:r w:rsidRPr="0059184B">
        <w:rPr>
          <w:rFonts w:ascii="Times New Roman" w:eastAsia="微软雅黑" w:hAnsi="Times New Roman" w:cs="Times New Roman"/>
          <w:kern w:val="0"/>
          <w:sz w:val="22"/>
          <w:szCs w:val="27"/>
        </w:rPr>
        <w:t>Robert ,</w:t>
      </w:r>
      <w:proofErr w:type="gramEnd"/>
      <w:r w:rsidRPr="0059184B">
        <w:rPr>
          <w:rFonts w:ascii="Times New Roman" w:eastAsia="微软雅黑" w:hAnsi="Times New Roman" w:cs="Times New Roman"/>
          <w:kern w:val="0"/>
          <w:sz w:val="22"/>
          <w:szCs w:val="27"/>
        </w:rPr>
        <w:t xml:space="preserve"> and Elizabeth </w:t>
      </w:r>
      <w:proofErr w:type="spellStart"/>
      <w:r w:rsidRPr="0059184B">
        <w:rPr>
          <w:rFonts w:ascii="Times New Roman" w:eastAsia="微软雅黑" w:hAnsi="Times New Roman" w:cs="Times New Roman"/>
          <w:kern w:val="0"/>
          <w:sz w:val="22"/>
          <w:szCs w:val="27"/>
        </w:rPr>
        <w:t>Dexheimer</w:t>
      </w:r>
      <w:proofErr w:type="spellEnd"/>
      <w:r w:rsidRPr="0059184B">
        <w:rPr>
          <w:rFonts w:ascii="Times New Roman" w:eastAsia="微软雅黑" w:hAnsi="Times New Roman" w:cs="Times New Roman"/>
          <w:kern w:val="0"/>
          <w:sz w:val="22"/>
          <w:szCs w:val="27"/>
        </w:rPr>
        <w:t>, 2017, Trump administration calls for overhaul of wall street rules, (Bloomberg Politics).</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lastRenderedPageBreak/>
        <w:t xml:space="preserve">Shan, Susan </w:t>
      </w:r>
      <w:proofErr w:type="spellStart"/>
      <w:r w:rsidRPr="0059184B">
        <w:rPr>
          <w:rFonts w:ascii="Times New Roman" w:eastAsia="微软雅黑" w:hAnsi="Times New Roman" w:cs="Times New Roman"/>
          <w:kern w:val="0"/>
          <w:sz w:val="22"/>
          <w:szCs w:val="27"/>
        </w:rPr>
        <w:t>Chenyu</w:t>
      </w:r>
      <w:proofErr w:type="spellEnd"/>
      <w:r w:rsidRPr="0059184B">
        <w:rPr>
          <w:rFonts w:ascii="Times New Roman" w:eastAsia="微软雅黑" w:hAnsi="Times New Roman" w:cs="Times New Roman"/>
          <w:kern w:val="0"/>
          <w:sz w:val="22"/>
          <w:szCs w:val="27"/>
        </w:rPr>
        <w:t xml:space="preserve">, Dragon </w:t>
      </w:r>
      <w:proofErr w:type="spellStart"/>
      <w:r w:rsidRPr="0059184B">
        <w:rPr>
          <w:rFonts w:ascii="Times New Roman" w:eastAsia="微软雅黑" w:hAnsi="Times New Roman" w:cs="Times New Roman"/>
          <w:kern w:val="0"/>
          <w:sz w:val="22"/>
          <w:szCs w:val="27"/>
        </w:rPr>
        <w:t>Yongjun</w:t>
      </w:r>
      <w:proofErr w:type="spellEnd"/>
      <w:r w:rsidRPr="0059184B">
        <w:rPr>
          <w:rFonts w:ascii="Times New Roman" w:eastAsia="微软雅黑" w:hAnsi="Times New Roman" w:cs="Times New Roman"/>
          <w:kern w:val="0"/>
          <w:sz w:val="22"/>
          <w:szCs w:val="27"/>
        </w:rPr>
        <w:t xml:space="preserve"> Tang, and Hong Yan, 2014, Credit default swaps and bank risk taking, 2014 Financial Markets &amp; Corporate Governance Conference.</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 xml:space="preserve">Singh, </w:t>
      </w:r>
      <w:proofErr w:type="spellStart"/>
      <w:r w:rsidRPr="0059184B">
        <w:rPr>
          <w:rFonts w:ascii="Times New Roman" w:eastAsia="微软雅黑" w:hAnsi="Times New Roman" w:cs="Times New Roman"/>
          <w:kern w:val="0"/>
          <w:sz w:val="22"/>
          <w:szCs w:val="27"/>
        </w:rPr>
        <w:t>Mr</w:t>
      </w:r>
      <w:proofErr w:type="spellEnd"/>
      <w:r w:rsidRPr="0059184B">
        <w:rPr>
          <w:rFonts w:ascii="Times New Roman" w:eastAsia="微软雅黑" w:hAnsi="Times New Roman" w:cs="Times New Roman"/>
          <w:kern w:val="0"/>
          <w:sz w:val="22"/>
          <w:szCs w:val="27"/>
        </w:rPr>
        <w:t xml:space="preserve"> Manmohan, 2010. </w:t>
      </w:r>
      <w:r w:rsidRPr="0059184B">
        <w:rPr>
          <w:rFonts w:ascii="Times New Roman" w:eastAsia="微软雅黑" w:hAnsi="Times New Roman" w:cs="Times New Roman"/>
          <w:i/>
          <w:iCs/>
          <w:kern w:val="0"/>
          <w:sz w:val="22"/>
          <w:szCs w:val="27"/>
        </w:rPr>
        <w:t xml:space="preserve">Collateral, netting and systemic risk in the </w:t>
      </w:r>
      <w:proofErr w:type="spellStart"/>
      <w:proofErr w:type="gramStart"/>
      <w:r w:rsidRPr="0059184B">
        <w:rPr>
          <w:rFonts w:ascii="Times New Roman" w:eastAsia="微软雅黑" w:hAnsi="Times New Roman" w:cs="Times New Roman"/>
          <w:i/>
          <w:iCs/>
          <w:kern w:val="0"/>
          <w:sz w:val="22"/>
          <w:szCs w:val="27"/>
        </w:rPr>
        <w:t>otc</w:t>
      </w:r>
      <w:proofErr w:type="spellEnd"/>
      <w:proofErr w:type="gramEnd"/>
      <w:r w:rsidRPr="0059184B">
        <w:rPr>
          <w:rFonts w:ascii="Times New Roman" w:eastAsia="微软雅黑" w:hAnsi="Times New Roman" w:cs="Times New Roman"/>
          <w:i/>
          <w:iCs/>
          <w:kern w:val="0"/>
          <w:sz w:val="22"/>
          <w:szCs w:val="27"/>
        </w:rPr>
        <w:t xml:space="preserve"> derivatives market</w:t>
      </w:r>
      <w:r w:rsidRPr="0059184B">
        <w:rPr>
          <w:rFonts w:ascii="Times New Roman" w:eastAsia="微软雅黑" w:hAnsi="Times New Roman" w:cs="Times New Roman"/>
          <w:kern w:val="0"/>
          <w:sz w:val="22"/>
          <w:szCs w:val="27"/>
        </w:rPr>
        <w:t> (International Monetary Fund).</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Weiß</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Gregor</w:t>
      </w:r>
      <w:proofErr w:type="spellEnd"/>
      <w:r w:rsidRPr="0059184B">
        <w:rPr>
          <w:rFonts w:ascii="Times New Roman" w:eastAsia="微软雅黑" w:hAnsi="Times New Roman" w:cs="Times New Roman"/>
          <w:kern w:val="0"/>
          <w:sz w:val="22"/>
          <w:szCs w:val="27"/>
        </w:rPr>
        <w:t xml:space="preserve"> NF, </w:t>
      </w:r>
      <w:proofErr w:type="spellStart"/>
      <w:r w:rsidRPr="0059184B">
        <w:rPr>
          <w:rFonts w:ascii="Times New Roman" w:eastAsia="微软雅黑" w:hAnsi="Times New Roman" w:cs="Times New Roman"/>
          <w:kern w:val="0"/>
          <w:sz w:val="22"/>
          <w:szCs w:val="27"/>
        </w:rPr>
        <w:t>Denefa</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Bostandzic</w:t>
      </w:r>
      <w:proofErr w:type="spellEnd"/>
      <w:r w:rsidRPr="0059184B">
        <w:rPr>
          <w:rFonts w:ascii="Times New Roman" w:eastAsia="微软雅黑" w:hAnsi="Times New Roman" w:cs="Times New Roman"/>
          <w:kern w:val="0"/>
          <w:sz w:val="22"/>
          <w:szCs w:val="27"/>
        </w:rPr>
        <w:t xml:space="preserve">, and </w:t>
      </w:r>
      <w:proofErr w:type="spellStart"/>
      <w:r w:rsidRPr="0059184B">
        <w:rPr>
          <w:rFonts w:ascii="Times New Roman" w:eastAsia="微软雅黑" w:hAnsi="Times New Roman" w:cs="Times New Roman"/>
          <w:kern w:val="0"/>
          <w:sz w:val="22"/>
          <w:szCs w:val="27"/>
        </w:rPr>
        <w:t>Sascha</w:t>
      </w:r>
      <w:proofErr w:type="spellEnd"/>
      <w:r w:rsidRPr="0059184B">
        <w:rPr>
          <w:rFonts w:ascii="Times New Roman" w:eastAsia="微软雅黑" w:hAnsi="Times New Roman" w:cs="Times New Roman"/>
          <w:kern w:val="0"/>
          <w:sz w:val="22"/>
          <w:szCs w:val="27"/>
        </w:rPr>
        <w:t xml:space="preserve"> Neumann, 2014, What factors drive systemic risk during international financial crises</w:t>
      </w:r>
      <w:proofErr w:type="gramStart"/>
      <w:r w:rsidRPr="0059184B">
        <w:rPr>
          <w:rFonts w:ascii="Times New Roman" w:eastAsia="微软雅黑" w:hAnsi="Times New Roman" w:cs="Times New Roman"/>
          <w:kern w:val="0"/>
          <w:sz w:val="22"/>
          <w:szCs w:val="27"/>
        </w:rPr>
        <w:t>?,</w:t>
      </w:r>
      <w:proofErr w:type="gramEnd"/>
      <w:r w:rsidRPr="0059184B">
        <w:rPr>
          <w:rFonts w:ascii="Times New Roman" w:eastAsia="微软雅黑" w:hAnsi="Times New Roman" w:cs="Times New Roman"/>
          <w:kern w:val="0"/>
          <w:sz w:val="22"/>
          <w:szCs w:val="27"/>
        </w:rPr>
        <w:t> </w:t>
      </w:r>
      <w:r w:rsidRPr="0059184B">
        <w:rPr>
          <w:rFonts w:ascii="Times New Roman" w:eastAsia="微软雅黑" w:hAnsi="Times New Roman" w:cs="Times New Roman"/>
          <w:i/>
          <w:iCs/>
          <w:kern w:val="0"/>
          <w:sz w:val="22"/>
          <w:szCs w:val="27"/>
        </w:rPr>
        <w:t>Journal of Banking &amp; Finance</w:t>
      </w:r>
      <w:r w:rsidRPr="0059184B">
        <w:rPr>
          <w:rFonts w:ascii="Times New Roman" w:eastAsia="微软雅黑" w:hAnsi="Times New Roman" w:cs="Times New Roman"/>
          <w:kern w:val="0"/>
          <w:sz w:val="22"/>
          <w:szCs w:val="27"/>
        </w:rPr>
        <w:t> 41, 78-96.</w:t>
      </w:r>
    </w:p>
    <w:p w:rsidR="00B451F8"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r w:rsidRPr="0059184B">
        <w:rPr>
          <w:rFonts w:ascii="Times New Roman" w:eastAsia="微软雅黑" w:hAnsi="Times New Roman" w:cs="Times New Roman"/>
          <w:kern w:val="0"/>
          <w:sz w:val="22"/>
          <w:szCs w:val="27"/>
        </w:rPr>
        <w:t>Whitehead, Charles K, 2011, The Volcker Rule and evolving financial markets, </w:t>
      </w:r>
      <w:proofErr w:type="spellStart"/>
      <w:r w:rsidRPr="0059184B">
        <w:rPr>
          <w:rFonts w:ascii="Times New Roman" w:eastAsia="微软雅黑" w:hAnsi="Times New Roman" w:cs="Times New Roman"/>
          <w:i/>
          <w:iCs/>
          <w:kern w:val="0"/>
          <w:sz w:val="22"/>
          <w:szCs w:val="27"/>
        </w:rPr>
        <w:t>Harv</w:t>
      </w:r>
      <w:proofErr w:type="spellEnd"/>
      <w:r w:rsidRPr="0059184B">
        <w:rPr>
          <w:rFonts w:ascii="Times New Roman" w:eastAsia="微软雅黑" w:hAnsi="Times New Roman" w:cs="Times New Roman"/>
          <w:i/>
          <w:iCs/>
          <w:kern w:val="0"/>
          <w:sz w:val="22"/>
          <w:szCs w:val="27"/>
        </w:rPr>
        <w:t>. Bus. L. Rev.</w:t>
      </w:r>
      <w:r w:rsidRPr="0059184B">
        <w:rPr>
          <w:rFonts w:ascii="Times New Roman" w:eastAsia="微软雅黑" w:hAnsi="Times New Roman" w:cs="Times New Roman"/>
          <w:kern w:val="0"/>
          <w:sz w:val="22"/>
          <w:szCs w:val="27"/>
        </w:rPr>
        <w:t> 1, 39.</w:t>
      </w:r>
    </w:p>
    <w:p w:rsidR="008F16F1" w:rsidRPr="0059184B" w:rsidRDefault="00B451F8" w:rsidP="00B451F8">
      <w:pPr>
        <w:widowControl/>
        <w:spacing w:before="100" w:beforeAutospacing="1" w:after="100" w:afterAutospacing="1"/>
        <w:rPr>
          <w:rFonts w:ascii="Times New Roman" w:eastAsia="微软雅黑" w:hAnsi="Times New Roman" w:cs="Times New Roman"/>
          <w:kern w:val="0"/>
          <w:sz w:val="22"/>
          <w:szCs w:val="27"/>
        </w:rPr>
      </w:pPr>
      <w:proofErr w:type="spellStart"/>
      <w:r w:rsidRPr="0059184B">
        <w:rPr>
          <w:rFonts w:ascii="Times New Roman" w:eastAsia="微软雅黑" w:hAnsi="Times New Roman" w:cs="Times New Roman"/>
          <w:kern w:val="0"/>
          <w:sz w:val="22"/>
          <w:szCs w:val="27"/>
        </w:rPr>
        <w:t>Yorulmazer</w:t>
      </w:r>
      <w:proofErr w:type="spellEnd"/>
      <w:r w:rsidRPr="0059184B">
        <w:rPr>
          <w:rFonts w:ascii="Times New Roman" w:eastAsia="微软雅黑" w:hAnsi="Times New Roman" w:cs="Times New Roman"/>
          <w:kern w:val="0"/>
          <w:sz w:val="22"/>
          <w:szCs w:val="27"/>
        </w:rPr>
        <w:t xml:space="preserve">, </w:t>
      </w:r>
      <w:proofErr w:type="spellStart"/>
      <w:r w:rsidRPr="0059184B">
        <w:rPr>
          <w:rFonts w:ascii="Times New Roman" w:eastAsia="微软雅黑" w:hAnsi="Times New Roman" w:cs="Times New Roman"/>
          <w:kern w:val="0"/>
          <w:sz w:val="22"/>
          <w:szCs w:val="27"/>
        </w:rPr>
        <w:t>Tanju</w:t>
      </w:r>
      <w:proofErr w:type="spellEnd"/>
      <w:r w:rsidRPr="0059184B">
        <w:rPr>
          <w:rFonts w:ascii="Times New Roman" w:eastAsia="微软雅黑" w:hAnsi="Times New Roman" w:cs="Times New Roman"/>
          <w:kern w:val="0"/>
          <w:sz w:val="22"/>
          <w:szCs w:val="27"/>
        </w:rPr>
        <w:t xml:space="preserve">, 2013, </w:t>
      </w:r>
      <w:proofErr w:type="gramStart"/>
      <w:r w:rsidRPr="0059184B">
        <w:rPr>
          <w:rFonts w:ascii="Times New Roman" w:eastAsia="微软雅黑" w:hAnsi="Times New Roman" w:cs="Times New Roman"/>
          <w:kern w:val="0"/>
          <w:sz w:val="22"/>
          <w:szCs w:val="27"/>
        </w:rPr>
        <w:t>Has</w:t>
      </w:r>
      <w:proofErr w:type="gramEnd"/>
      <w:r w:rsidRPr="0059184B">
        <w:rPr>
          <w:rFonts w:ascii="Times New Roman" w:eastAsia="微软雅黑" w:hAnsi="Times New Roman" w:cs="Times New Roman"/>
          <w:kern w:val="0"/>
          <w:sz w:val="22"/>
          <w:szCs w:val="27"/>
        </w:rPr>
        <w:t xml:space="preserve"> financial innovation made the world riskier? </w:t>
      </w:r>
      <w:proofErr w:type="gramStart"/>
      <w:r w:rsidRPr="0059184B">
        <w:rPr>
          <w:rFonts w:ascii="Times New Roman" w:eastAsia="微软雅黑" w:hAnsi="Times New Roman" w:cs="Times New Roman"/>
          <w:kern w:val="0"/>
          <w:sz w:val="22"/>
          <w:szCs w:val="27"/>
        </w:rPr>
        <w:t>CDS, regulatory arbitrage and systemic risk.</w:t>
      </w:r>
      <w:proofErr w:type="gramEnd"/>
      <w:r w:rsidR="008F16F1" w:rsidRPr="0059184B">
        <w:rPr>
          <w:rFonts w:ascii="Times New Roman" w:hAnsi="Times New Roman" w:cs="Times New Roman"/>
        </w:rPr>
        <w:tab/>
      </w:r>
      <w:r w:rsidR="008F16F1" w:rsidRPr="0059184B">
        <w:rPr>
          <w:rFonts w:ascii="Times New Roman" w:hAnsi="Times New Roman" w:cs="Times New Roman"/>
        </w:rPr>
        <w:br w:type="page"/>
      </w:r>
    </w:p>
    <w:p w:rsidR="0039338C" w:rsidRPr="0059184B" w:rsidRDefault="0039338C" w:rsidP="0039338C"/>
    <w:p w:rsidR="0074400B" w:rsidRPr="0059184B" w:rsidRDefault="0074400B" w:rsidP="008F16F1">
      <w:pPr>
        <w:pStyle w:val="3"/>
        <w:jc w:val="center"/>
        <w:rPr>
          <w:rFonts w:ascii="Times New Roman" w:hAnsi="Times New Roman" w:cs="Times New Roman"/>
          <w:sz w:val="24"/>
          <w:szCs w:val="24"/>
        </w:rPr>
      </w:pPr>
      <w:r w:rsidRPr="0059184B">
        <w:rPr>
          <w:rStyle w:val="2Char"/>
          <w:rFonts w:ascii="Times New Roman" w:hAnsi="Times New Roman" w:cs="Times New Roman"/>
          <w:b/>
          <w:sz w:val="24"/>
          <w:szCs w:val="24"/>
        </w:rPr>
        <w:t>Table</w:t>
      </w:r>
      <w:r w:rsidR="008F16F1" w:rsidRPr="0059184B">
        <w:rPr>
          <w:rStyle w:val="2Char"/>
          <w:rFonts w:ascii="Times New Roman" w:hAnsi="Times New Roman" w:cs="Times New Roman"/>
          <w:b/>
          <w:sz w:val="24"/>
          <w:szCs w:val="24"/>
        </w:rPr>
        <w:t xml:space="preserve"> </w:t>
      </w:r>
      <w:r w:rsidR="001308E6" w:rsidRPr="0059184B">
        <w:rPr>
          <w:rStyle w:val="2Char"/>
          <w:rFonts w:ascii="Times New Roman" w:hAnsi="Times New Roman" w:cs="Times New Roman"/>
          <w:b/>
          <w:sz w:val="24"/>
          <w:szCs w:val="24"/>
        </w:rPr>
        <w:t>1</w:t>
      </w:r>
      <w:r w:rsidRPr="0059184B">
        <w:rPr>
          <w:rFonts w:ascii="Times New Roman" w:hAnsi="Times New Roman" w:cs="Times New Roman"/>
          <w:sz w:val="24"/>
          <w:szCs w:val="24"/>
        </w:rPr>
        <w:t xml:space="preserve"> Summary Statistics</w:t>
      </w:r>
    </w:p>
    <w:p w:rsidR="002724A4" w:rsidRPr="0059184B" w:rsidRDefault="002724A4" w:rsidP="0074400B">
      <w:pPr>
        <w:spacing w:line="360" w:lineRule="auto"/>
        <w:jc w:val="center"/>
        <w:rPr>
          <w:rFonts w:ascii="Times New Roman" w:hAnsi="Times New Roman" w:cs="Times New Roman"/>
          <w:b/>
          <w:sz w:val="24"/>
          <w:szCs w:val="24"/>
        </w:rPr>
      </w:pPr>
    </w:p>
    <w:p w:rsidR="00B451F8" w:rsidRPr="0059184B" w:rsidRDefault="00B451F8" w:rsidP="00B451F8">
      <w:pPr>
        <w:rPr>
          <w:rFonts w:ascii="Times New Roman" w:eastAsia="宋体" w:hAnsi="Times New Roman" w:cs="Times New Roman"/>
          <w:kern w:val="0"/>
          <w:sz w:val="20"/>
          <w:szCs w:val="18"/>
        </w:rPr>
      </w:pPr>
      <w:r w:rsidRPr="0059184B">
        <w:rPr>
          <w:rFonts w:ascii="Times New Roman" w:hAnsi="Times New Roman" w:cs="Times New Roman"/>
          <w:sz w:val="20"/>
          <w:szCs w:val="20"/>
        </w:rPr>
        <w:t xml:space="preserve">This able present the statistics of variables calculated from the 151 banks in the sample using quarterly data from 2007Q1 to 2014Q4. Statistics of depend variables are presented in Panel A. </w:t>
      </w:r>
      <w:r w:rsidRPr="0059184B">
        <w:rPr>
          <w:rFonts w:ascii="Cambria Math" w:eastAsia="宋体" w:hAnsi="Cambria Math" w:cs="Cambria Math"/>
          <w:i/>
          <w:kern w:val="0"/>
          <w:sz w:val="20"/>
          <w:szCs w:val="20"/>
        </w:rPr>
        <w:t>△</w:t>
      </w:r>
      <w:proofErr w:type="spellStart"/>
      <w:r w:rsidRPr="0059184B">
        <w:rPr>
          <w:rFonts w:ascii="Times New Roman" w:eastAsia="宋体" w:hAnsi="Times New Roman" w:cs="Times New Roman"/>
          <w:i/>
          <w:kern w:val="0"/>
          <w:sz w:val="20"/>
          <w:szCs w:val="20"/>
        </w:rPr>
        <w:t>CoVaR</w:t>
      </w:r>
      <w:proofErr w:type="spellEnd"/>
      <w:r w:rsidRPr="0059184B">
        <w:rPr>
          <w:rFonts w:ascii="Times New Roman" w:hAnsi="Times New Roman" w:cs="Times New Roman"/>
          <w:sz w:val="20"/>
          <w:szCs w:val="20"/>
        </w:rPr>
        <w:t xml:space="preserve"> is the difference between </w:t>
      </w:r>
      <w:r w:rsidRPr="0059184B">
        <w:rPr>
          <w:rFonts w:ascii="Times New Roman" w:hAnsi="Times New Roman" w:cs="Times New Roman"/>
          <w:i/>
          <w:sz w:val="20"/>
          <w:szCs w:val="20"/>
        </w:rPr>
        <w:t>Value at Risk</w:t>
      </w:r>
      <w:r w:rsidRPr="0059184B">
        <w:rPr>
          <w:rFonts w:ascii="Times New Roman" w:hAnsi="Times New Roman" w:cs="Times New Roman"/>
          <w:sz w:val="20"/>
          <w:szCs w:val="20"/>
        </w:rPr>
        <w:t xml:space="preserve"> of banking system </w:t>
      </w:r>
      <w:r w:rsidRPr="0059184B">
        <w:rPr>
          <w:rFonts w:ascii="Times New Roman" w:hAnsi="Times New Roman" w:cs="Times New Roman" w:hint="eastAsia"/>
          <w:sz w:val="20"/>
          <w:szCs w:val="20"/>
        </w:rPr>
        <w:t>c</w:t>
      </w:r>
      <w:r w:rsidRPr="0059184B">
        <w:rPr>
          <w:rFonts w:ascii="Times New Roman" w:hAnsi="Times New Roman" w:cs="Times New Roman"/>
          <w:sz w:val="20"/>
          <w:szCs w:val="20"/>
        </w:rPr>
        <w:t>onditional on the distress of a bank</w:t>
      </w:r>
      <w:r w:rsidRPr="0059184B">
        <w:rPr>
          <w:rFonts w:ascii="Times New Roman" w:hAnsi="Times New Roman" w:cs="Times New Roman" w:hint="eastAsia"/>
          <w:sz w:val="20"/>
          <w:szCs w:val="20"/>
        </w:rPr>
        <w:t xml:space="preserve"> </w:t>
      </w:r>
      <w:r w:rsidRPr="0059184B">
        <w:rPr>
          <w:rFonts w:ascii="Times New Roman" w:hAnsi="Times New Roman" w:cs="Times New Roman"/>
          <w:sz w:val="20"/>
          <w:szCs w:val="20"/>
        </w:rPr>
        <w:t xml:space="preserve">and </w:t>
      </w:r>
      <w:r w:rsidRPr="0059184B">
        <w:rPr>
          <w:rFonts w:ascii="Times New Roman" w:hAnsi="Times New Roman" w:cs="Times New Roman"/>
          <w:i/>
          <w:sz w:val="20"/>
          <w:szCs w:val="20"/>
        </w:rPr>
        <w:t>Value at Risk</w:t>
      </w:r>
      <w:r w:rsidRPr="0059184B">
        <w:rPr>
          <w:rFonts w:ascii="Times New Roman" w:hAnsi="Times New Roman" w:cs="Times New Roman"/>
          <w:sz w:val="20"/>
          <w:szCs w:val="20"/>
        </w:rPr>
        <w:t xml:space="preserve"> of banking system </w:t>
      </w:r>
      <w:r w:rsidRPr="0059184B">
        <w:rPr>
          <w:rFonts w:ascii="Times New Roman" w:hAnsi="Times New Roman" w:cs="Times New Roman" w:hint="eastAsia"/>
          <w:sz w:val="20"/>
          <w:szCs w:val="20"/>
        </w:rPr>
        <w:t>c</w:t>
      </w:r>
      <w:r w:rsidRPr="0059184B">
        <w:rPr>
          <w:rFonts w:ascii="Times New Roman" w:hAnsi="Times New Roman" w:cs="Times New Roman"/>
          <w:sz w:val="20"/>
          <w:szCs w:val="20"/>
        </w:rPr>
        <w:t xml:space="preserve">onditional on the </w:t>
      </w:r>
      <w:r w:rsidRPr="0059184B">
        <w:rPr>
          <w:rFonts w:ascii="Times New Roman" w:hAnsi="Times New Roman" w:cs="Times New Roman" w:hint="eastAsia"/>
          <w:sz w:val="20"/>
          <w:szCs w:val="20"/>
        </w:rPr>
        <w:t xml:space="preserve">median </w:t>
      </w:r>
      <w:r w:rsidRPr="0059184B">
        <w:rPr>
          <w:rFonts w:ascii="Times New Roman" w:hAnsi="Times New Roman" w:cs="Times New Roman"/>
          <w:sz w:val="20"/>
          <w:szCs w:val="20"/>
        </w:rPr>
        <w:t xml:space="preserve">state of the bank. </w:t>
      </w:r>
      <w:r w:rsidRPr="0059184B">
        <w:rPr>
          <w:rFonts w:ascii="Times New Roman" w:hAnsi="Times New Roman" w:cs="Times New Roman" w:hint="eastAsia"/>
          <w:i/>
          <w:sz w:val="20"/>
          <w:szCs w:val="20"/>
        </w:rPr>
        <w:t>MES</w:t>
      </w:r>
      <w:r w:rsidRPr="0059184B">
        <w:rPr>
          <w:rFonts w:ascii="Times New Roman" w:hAnsi="Times New Roman" w:cs="Times New Roman" w:hint="eastAsia"/>
          <w:sz w:val="20"/>
          <w:szCs w:val="20"/>
        </w:rPr>
        <w:t xml:space="preserve"> </w:t>
      </w:r>
      <w:r w:rsidRPr="0059184B">
        <w:rPr>
          <w:rFonts w:ascii="Times New Roman" w:hAnsi="Times New Roman" w:cs="Times New Roman"/>
          <w:sz w:val="20"/>
          <w:szCs w:val="20"/>
        </w:rPr>
        <w:t>is bank’s marginal expected shortfall calculated as</w:t>
      </w:r>
      <w:r w:rsidRPr="0059184B">
        <w:rPr>
          <w:rFonts w:ascii="Times New Roman" w:hAnsi="Times New Roman" w:cs="Times New Roman" w:hint="eastAsia"/>
          <w:sz w:val="20"/>
          <w:szCs w:val="20"/>
        </w:rPr>
        <w:t xml:space="preserve"> the </w:t>
      </w:r>
      <w:r w:rsidRPr="0059184B">
        <w:rPr>
          <w:rFonts w:ascii="Times New Roman" w:hAnsi="Times New Roman" w:cs="Times New Roman"/>
          <w:sz w:val="20"/>
          <w:szCs w:val="20"/>
        </w:rPr>
        <w:t>average</w:t>
      </w:r>
      <w:r w:rsidRPr="0059184B">
        <w:rPr>
          <w:rFonts w:ascii="Times New Roman" w:hAnsi="Times New Roman" w:cs="Times New Roman" w:hint="eastAsia"/>
          <w:sz w:val="20"/>
          <w:szCs w:val="20"/>
        </w:rPr>
        <w:t xml:space="preserve"> return of </w:t>
      </w:r>
      <w:r w:rsidRPr="0059184B">
        <w:rPr>
          <w:rFonts w:ascii="Times New Roman" w:hAnsi="Times New Roman" w:cs="Times New Roman"/>
          <w:sz w:val="20"/>
          <w:szCs w:val="20"/>
        </w:rPr>
        <w:t xml:space="preserve">a </w:t>
      </w:r>
      <w:r w:rsidRPr="0059184B">
        <w:rPr>
          <w:rFonts w:ascii="Times New Roman" w:hAnsi="Times New Roman" w:cs="Times New Roman" w:hint="eastAsia"/>
          <w:sz w:val="20"/>
          <w:szCs w:val="20"/>
        </w:rPr>
        <w:t xml:space="preserve">bank on days when the </w:t>
      </w:r>
      <w:r w:rsidRPr="0059184B">
        <w:rPr>
          <w:rFonts w:ascii="Times New Roman" w:hAnsi="Times New Roman" w:cs="Times New Roman"/>
          <w:sz w:val="20"/>
          <w:szCs w:val="20"/>
        </w:rPr>
        <w:t>S&amp;P Banks Selected Industry Index</w:t>
      </w:r>
      <w:r w:rsidRPr="0059184B">
        <w:rPr>
          <w:rFonts w:ascii="Times New Roman" w:hAnsi="Times New Roman" w:cs="Times New Roman" w:hint="eastAsia"/>
          <w:sz w:val="20"/>
          <w:szCs w:val="20"/>
        </w:rPr>
        <w:t xml:space="preserve"> return</w:t>
      </w:r>
      <w:r w:rsidRPr="0059184B">
        <w:rPr>
          <w:rFonts w:ascii="Times New Roman" w:hAnsi="Times New Roman" w:cs="Times New Roman"/>
          <w:sz w:val="20"/>
          <w:szCs w:val="20"/>
        </w:rPr>
        <w:t xml:space="preserve"> </w:t>
      </w:r>
      <w:r w:rsidRPr="0059184B">
        <w:rPr>
          <w:rFonts w:ascii="Times New Roman" w:hAnsi="Times New Roman" w:cs="Times New Roman" w:hint="eastAsia"/>
          <w:sz w:val="20"/>
          <w:szCs w:val="20"/>
        </w:rPr>
        <w:t>is among its lowest 5% level</w:t>
      </w:r>
      <w:r w:rsidRPr="0059184B">
        <w:rPr>
          <w:rFonts w:ascii="Times New Roman" w:hAnsi="Times New Roman" w:cs="Times New Roman"/>
          <w:sz w:val="20"/>
          <w:szCs w:val="20"/>
        </w:rPr>
        <w:t xml:space="preserve">. </w:t>
      </w:r>
      <w:r w:rsidRPr="0059184B">
        <w:rPr>
          <w:rFonts w:ascii="Times New Roman" w:hAnsi="Times New Roman" w:cs="Times New Roman"/>
          <w:i/>
          <w:sz w:val="20"/>
          <w:szCs w:val="20"/>
        </w:rPr>
        <w:t xml:space="preserve">Banking </w:t>
      </w:r>
      <w:r w:rsidRPr="0059184B">
        <w:rPr>
          <w:rFonts w:ascii="Times New Roman" w:hAnsi="Times New Roman" w:cs="Times New Roman" w:hint="eastAsia"/>
          <w:i/>
          <w:sz w:val="20"/>
          <w:szCs w:val="20"/>
        </w:rPr>
        <w:t>industry beta</w:t>
      </w:r>
      <w:r w:rsidRPr="0059184B">
        <w:rPr>
          <w:rFonts w:ascii="Times New Roman" w:hAnsi="Times New Roman" w:cs="Times New Roman" w:hint="eastAsia"/>
          <w:sz w:val="20"/>
          <w:szCs w:val="20"/>
        </w:rPr>
        <w:t xml:space="preserve"> is calculated as the sensitivity of stock return to the return of banking industry index in one-year time window.</w:t>
      </w:r>
      <w:r w:rsidRPr="0059184B">
        <w:rPr>
          <w:rFonts w:ascii="Times New Roman" w:hAnsi="Times New Roman" w:cs="Times New Roman"/>
          <w:sz w:val="20"/>
          <w:szCs w:val="20"/>
        </w:rPr>
        <w:t xml:space="preserve"> The </w:t>
      </w:r>
      <w:r w:rsidRPr="0059184B">
        <w:rPr>
          <w:rFonts w:ascii="Times New Roman" w:hAnsi="Times New Roman" w:cs="Times New Roman"/>
          <w:i/>
          <w:sz w:val="20"/>
          <w:szCs w:val="20"/>
        </w:rPr>
        <w:t>Z-score</w:t>
      </w:r>
      <w:r w:rsidRPr="0059184B">
        <w:rPr>
          <w:rFonts w:ascii="Times New Roman" w:hAnsi="Times New Roman" w:cs="Times New Roman"/>
          <w:sz w:val="20"/>
          <w:szCs w:val="20"/>
        </w:rPr>
        <w:t xml:space="preserve"> is the sum of the mean return on assets and the mean ratios of equity to assets, divided by the standard deviation of the return on assets. </w:t>
      </w:r>
      <w:r w:rsidRPr="0059184B">
        <w:rPr>
          <w:rFonts w:ascii="Times New Roman" w:hAnsi="Times New Roman" w:cs="Times New Roman"/>
          <w:i/>
          <w:sz w:val="20"/>
          <w:szCs w:val="20"/>
        </w:rPr>
        <w:t>Distance to default</w:t>
      </w:r>
      <w:r w:rsidRPr="0059184B">
        <w:rPr>
          <w:rFonts w:ascii="Times New Roman" w:hAnsi="Times New Roman" w:cs="Times New Roman"/>
          <w:sz w:val="20"/>
          <w:szCs w:val="20"/>
        </w:rPr>
        <w:t xml:space="preserve"> is the ratio of market capitalization to the product of </w:t>
      </w:r>
      <w:r w:rsidRPr="0059184B">
        <w:rPr>
          <w:rFonts w:ascii="Times New Roman" w:hAnsi="Times New Roman" w:cs="Times New Roman" w:hint="eastAsia"/>
          <w:sz w:val="20"/>
          <w:szCs w:val="20"/>
        </w:rPr>
        <w:t>market value of assets.</w:t>
      </w:r>
      <w:r w:rsidRPr="0059184B">
        <w:rPr>
          <w:rFonts w:ascii="Times New Roman" w:hAnsi="Times New Roman" w:cs="Times New Roman"/>
          <w:sz w:val="20"/>
          <w:szCs w:val="20"/>
        </w:rPr>
        <w:t xml:space="preserve"> </w:t>
      </w:r>
      <w:r w:rsidRPr="0059184B">
        <w:rPr>
          <w:rFonts w:ascii="Times New Roman" w:hAnsi="Times New Roman" w:cs="Times New Roman"/>
          <w:i/>
          <w:sz w:val="20"/>
          <w:szCs w:val="20"/>
        </w:rPr>
        <w:t>Volatility</w:t>
      </w:r>
      <w:r w:rsidRPr="0059184B">
        <w:rPr>
          <w:rFonts w:ascii="Times New Roman" w:hAnsi="Times New Roman" w:cs="Times New Roman"/>
          <w:sz w:val="20"/>
          <w:szCs w:val="20"/>
        </w:rPr>
        <w:t xml:space="preserve"> is the</w:t>
      </w:r>
      <w:r w:rsidRPr="0059184B">
        <w:rPr>
          <w:rFonts w:ascii="Times New Roman" w:hAnsi="Times New Roman" w:cs="Times New Roman" w:hint="eastAsia"/>
          <w:sz w:val="20"/>
          <w:szCs w:val="20"/>
        </w:rPr>
        <w:t xml:space="preserve"> volatility of daily stock return with a six-month rolling window</w:t>
      </w:r>
      <w:r w:rsidRPr="0059184B">
        <w:rPr>
          <w:rFonts w:ascii="Times New Roman" w:hAnsi="Times New Roman" w:cs="Times New Roman"/>
          <w:sz w:val="20"/>
          <w:szCs w:val="20"/>
        </w:rPr>
        <w:t xml:space="preserve">. </w:t>
      </w:r>
      <w:proofErr w:type="spellStart"/>
      <w:r w:rsidRPr="0059184B">
        <w:rPr>
          <w:rFonts w:ascii="Times New Roman" w:hAnsi="Times New Roman" w:cs="Times New Roman"/>
          <w:i/>
          <w:sz w:val="20"/>
          <w:szCs w:val="20"/>
        </w:rPr>
        <w:t>Tobin’Q</w:t>
      </w:r>
      <w:proofErr w:type="spellEnd"/>
      <w:r w:rsidRPr="0059184B">
        <w:rPr>
          <w:rFonts w:ascii="Times New Roman" w:hAnsi="Times New Roman" w:cs="Times New Roman"/>
          <w:sz w:val="20"/>
          <w:szCs w:val="20"/>
        </w:rPr>
        <w:t xml:space="preserve"> is defined as the market value of a bank’s assets over the book value of assets.</w:t>
      </w:r>
      <w:r w:rsidRPr="0059184B">
        <w:rPr>
          <w:rFonts w:ascii="Times New Roman" w:hAnsi="Times New Roman" w:cs="Times New Roman"/>
          <w:i/>
          <w:sz w:val="20"/>
          <w:szCs w:val="20"/>
        </w:rPr>
        <w:t xml:space="preserve"> Net interest margin</w:t>
      </w:r>
      <w:r w:rsidRPr="0059184B">
        <w:rPr>
          <w:rFonts w:ascii="Times New Roman" w:hAnsi="Times New Roman" w:cs="Times New Roman"/>
          <w:sz w:val="20"/>
          <w:szCs w:val="20"/>
        </w:rPr>
        <w:t xml:space="preserve"> is calculated as the ratio of interest margin to average earning assets. </w:t>
      </w:r>
      <w:r w:rsidRPr="0059184B">
        <w:rPr>
          <w:rFonts w:ascii="Times New Roman" w:eastAsia="宋体" w:hAnsi="Times New Roman" w:cs="Times New Roman"/>
          <w:i/>
          <w:kern w:val="0"/>
          <w:sz w:val="20"/>
          <w:szCs w:val="20"/>
        </w:rPr>
        <w:t>Return on Asset</w:t>
      </w:r>
      <w:r w:rsidRPr="0059184B">
        <w:rPr>
          <w:rFonts w:ascii="Times New Roman" w:eastAsia="宋体" w:hAnsi="Times New Roman" w:cs="Times New Roman"/>
          <w:kern w:val="0"/>
          <w:sz w:val="20"/>
          <w:szCs w:val="20"/>
        </w:rPr>
        <w:t xml:space="preserve"> is the ratio of net income to book value of total assets. </w:t>
      </w:r>
      <w:r w:rsidRPr="0059184B">
        <w:rPr>
          <w:rFonts w:ascii="Times New Roman" w:eastAsia="宋体" w:hAnsi="Times New Roman" w:cs="Times New Roman"/>
          <w:i/>
          <w:kern w:val="0"/>
          <w:sz w:val="20"/>
          <w:szCs w:val="20"/>
        </w:rPr>
        <w:t>Cost to Income</w:t>
      </w:r>
      <w:r w:rsidRPr="0059184B">
        <w:rPr>
          <w:rFonts w:ascii="Times New Roman" w:eastAsia="宋体" w:hAnsi="Times New Roman" w:cs="Times New Roman"/>
          <w:kern w:val="0"/>
          <w:sz w:val="20"/>
          <w:szCs w:val="20"/>
        </w:rPr>
        <w:t xml:space="preserve"> is the ratio of operating cost to net interest income, which measures banks’ operating efficiency. </w:t>
      </w:r>
      <w:r w:rsidRPr="0059184B">
        <w:rPr>
          <w:rFonts w:ascii="Times New Roman" w:eastAsia="宋体" w:hAnsi="Times New Roman" w:cs="Times New Roman"/>
          <w:i/>
          <w:kern w:val="0"/>
          <w:sz w:val="20"/>
          <w:szCs w:val="18"/>
        </w:rPr>
        <w:t>Market cap Return</w:t>
      </w:r>
      <w:r w:rsidRPr="0059184B">
        <w:rPr>
          <w:rFonts w:ascii="Times New Roman" w:eastAsia="宋体" w:hAnsi="Times New Roman" w:cs="Times New Roman"/>
          <w:kern w:val="0"/>
          <w:sz w:val="20"/>
          <w:szCs w:val="18"/>
        </w:rPr>
        <w:t xml:space="preserve"> is the quarterly percentage change in market capitalization.</w:t>
      </w:r>
    </w:p>
    <w:p w:rsidR="002724A4" w:rsidRPr="0059184B" w:rsidRDefault="002724A4" w:rsidP="00067D46">
      <w:pPr>
        <w:rPr>
          <w:rFonts w:ascii="Times New Roman" w:hAnsi="Times New Roman" w:cs="Times New Roman"/>
          <w:sz w:val="20"/>
          <w:szCs w:val="20"/>
        </w:rPr>
      </w:pPr>
    </w:p>
    <w:tbl>
      <w:tblPr>
        <w:tblW w:w="0" w:type="auto"/>
        <w:jc w:val="center"/>
        <w:tblInd w:w="93" w:type="dxa"/>
        <w:tblLook w:val="04A0" w:firstRow="1" w:lastRow="0" w:firstColumn="1" w:lastColumn="0" w:noHBand="0" w:noVBand="1"/>
      </w:tblPr>
      <w:tblGrid>
        <w:gridCol w:w="2011"/>
        <w:gridCol w:w="616"/>
        <w:gridCol w:w="833"/>
        <w:gridCol w:w="833"/>
        <w:gridCol w:w="766"/>
        <w:gridCol w:w="833"/>
        <w:gridCol w:w="866"/>
      </w:tblGrid>
      <w:tr w:rsidR="002724A4" w:rsidRPr="0059184B" w:rsidTr="002724A4">
        <w:trPr>
          <w:trHeight w:val="374"/>
          <w:jc w:val="center"/>
        </w:trPr>
        <w:tc>
          <w:tcPr>
            <w:tcW w:w="0" w:type="auto"/>
            <w:tcBorders>
              <w:left w:val="nil"/>
              <w:bottom w:val="single" w:sz="4" w:space="0" w:color="auto"/>
              <w:right w:val="nil"/>
            </w:tcBorders>
            <w:shd w:val="clear" w:color="auto" w:fill="auto"/>
            <w:noWrap/>
            <w:vAlign w:val="center"/>
          </w:tcPr>
          <w:p w:rsidR="002724A4" w:rsidRPr="0059184B" w:rsidRDefault="002724A4" w:rsidP="00E13D15">
            <w:pPr>
              <w:widowControl/>
              <w:jc w:val="left"/>
              <w:rPr>
                <w:rFonts w:ascii="Times New Roman" w:eastAsia="宋体" w:hAnsi="Times New Roman" w:cs="Times New Roman"/>
                <w:b/>
                <w:bCs/>
                <w:kern w:val="0"/>
                <w:sz w:val="20"/>
                <w:szCs w:val="20"/>
              </w:rPr>
            </w:pPr>
            <w:r w:rsidRPr="0059184B">
              <w:rPr>
                <w:rFonts w:ascii="Times New Roman" w:eastAsia="宋体" w:hAnsi="Times New Roman" w:cs="Times New Roman"/>
                <w:b/>
                <w:bCs/>
                <w:kern w:val="0"/>
                <w:sz w:val="20"/>
                <w:szCs w:val="20"/>
              </w:rPr>
              <w:t>Panel A</w:t>
            </w:r>
          </w:p>
        </w:tc>
        <w:tc>
          <w:tcPr>
            <w:tcW w:w="0" w:type="auto"/>
            <w:tcBorders>
              <w:left w:val="nil"/>
              <w:bottom w:val="single" w:sz="4" w:space="0" w:color="auto"/>
              <w:right w:val="nil"/>
            </w:tcBorders>
            <w:shd w:val="clear" w:color="auto" w:fill="auto"/>
            <w:noWrap/>
            <w:vAlign w:val="center"/>
          </w:tcPr>
          <w:p w:rsidR="002724A4" w:rsidRPr="0059184B" w:rsidRDefault="002724A4" w:rsidP="00E13D15">
            <w:pPr>
              <w:widowControl/>
              <w:jc w:val="center"/>
              <w:rPr>
                <w:rFonts w:ascii="Times New Roman" w:eastAsia="宋体" w:hAnsi="Times New Roman" w:cs="Times New Roman"/>
                <w:kern w:val="0"/>
                <w:sz w:val="20"/>
                <w:szCs w:val="20"/>
              </w:rPr>
            </w:pPr>
          </w:p>
        </w:tc>
        <w:tc>
          <w:tcPr>
            <w:tcW w:w="0" w:type="auto"/>
            <w:tcBorders>
              <w:left w:val="nil"/>
              <w:bottom w:val="single" w:sz="4" w:space="0" w:color="auto"/>
              <w:right w:val="nil"/>
            </w:tcBorders>
            <w:shd w:val="clear" w:color="auto" w:fill="auto"/>
            <w:noWrap/>
            <w:vAlign w:val="center"/>
          </w:tcPr>
          <w:p w:rsidR="002724A4" w:rsidRPr="0059184B" w:rsidRDefault="002724A4" w:rsidP="00E13D15">
            <w:pPr>
              <w:widowControl/>
              <w:jc w:val="center"/>
              <w:rPr>
                <w:rFonts w:ascii="Times New Roman" w:eastAsia="宋体" w:hAnsi="Times New Roman" w:cs="Times New Roman"/>
                <w:kern w:val="0"/>
                <w:sz w:val="20"/>
                <w:szCs w:val="20"/>
              </w:rPr>
            </w:pPr>
          </w:p>
        </w:tc>
        <w:tc>
          <w:tcPr>
            <w:tcW w:w="0" w:type="auto"/>
            <w:tcBorders>
              <w:left w:val="nil"/>
              <w:bottom w:val="single" w:sz="4" w:space="0" w:color="auto"/>
              <w:right w:val="nil"/>
            </w:tcBorders>
            <w:shd w:val="clear" w:color="auto" w:fill="auto"/>
            <w:vAlign w:val="center"/>
          </w:tcPr>
          <w:p w:rsidR="002724A4" w:rsidRPr="0059184B" w:rsidRDefault="002724A4" w:rsidP="00E13D15">
            <w:pPr>
              <w:widowControl/>
              <w:jc w:val="center"/>
              <w:rPr>
                <w:rFonts w:ascii="Times New Roman" w:eastAsia="宋体" w:hAnsi="Times New Roman" w:cs="Times New Roman"/>
                <w:kern w:val="0"/>
                <w:sz w:val="20"/>
                <w:szCs w:val="20"/>
              </w:rPr>
            </w:pPr>
          </w:p>
        </w:tc>
        <w:tc>
          <w:tcPr>
            <w:tcW w:w="0" w:type="auto"/>
            <w:tcBorders>
              <w:left w:val="nil"/>
              <w:bottom w:val="single" w:sz="4" w:space="0" w:color="auto"/>
              <w:right w:val="nil"/>
            </w:tcBorders>
            <w:shd w:val="clear" w:color="auto" w:fill="auto"/>
            <w:noWrap/>
            <w:vAlign w:val="center"/>
          </w:tcPr>
          <w:p w:rsidR="002724A4" w:rsidRPr="0059184B" w:rsidRDefault="002724A4" w:rsidP="00E13D15">
            <w:pPr>
              <w:widowControl/>
              <w:jc w:val="center"/>
              <w:rPr>
                <w:rFonts w:ascii="Times New Roman" w:eastAsia="宋体" w:hAnsi="Times New Roman" w:cs="Times New Roman"/>
                <w:kern w:val="0"/>
                <w:sz w:val="20"/>
                <w:szCs w:val="20"/>
              </w:rPr>
            </w:pPr>
          </w:p>
        </w:tc>
        <w:tc>
          <w:tcPr>
            <w:tcW w:w="0" w:type="auto"/>
            <w:tcBorders>
              <w:left w:val="nil"/>
              <w:bottom w:val="single" w:sz="4" w:space="0" w:color="auto"/>
              <w:right w:val="nil"/>
            </w:tcBorders>
            <w:shd w:val="clear" w:color="auto" w:fill="auto"/>
            <w:noWrap/>
            <w:vAlign w:val="center"/>
          </w:tcPr>
          <w:p w:rsidR="002724A4" w:rsidRPr="0059184B" w:rsidRDefault="002724A4" w:rsidP="00E13D15">
            <w:pPr>
              <w:widowControl/>
              <w:jc w:val="center"/>
              <w:rPr>
                <w:rFonts w:ascii="Times New Roman" w:eastAsia="宋体" w:hAnsi="Times New Roman" w:cs="Times New Roman"/>
                <w:kern w:val="0"/>
                <w:sz w:val="20"/>
                <w:szCs w:val="20"/>
              </w:rPr>
            </w:pPr>
          </w:p>
        </w:tc>
        <w:tc>
          <w:tcPr>
            <w:tcW w:w="0" w:type="auto"/>
            <w:tcBorders>
              <w:left w:val="nil"/>
              <w:bottom w:val="single" w:sz="4" w:space="0" w:color="auto"/>
              <w:right w:val="nil"/>
            </w:tcBorders>
            <w:shd w:val="clear" w:color="auto" w:fill="auto"/>
            <w:noWrap/>
            <w:vAlign w:val="center"/>
          </w:tcPr>
          <w:p w:rsidR="002724A4" w:rsidRPr="0059184B" w:rsidRDefault="002724A4" w:rsidP="00E13D15">
            <w:pPr>
              <w:widowControl/>
              <w:jc w:val="center"/>
              <w:rPr>
                <w:rFonts w:ascii="Times New Roman" w:eastAsia="宋体" w:hAnsi="Times New Roman" w:cs="Times New Roman"/>
                <w:kern w:val="0"/>
                <w:sz w:val="20"/>
                <w:szCs w:val="20"/>
              </w:rPr>
            </w:pPr>
          </w:p>
        </w:tc>
      </w:tr>
      <w:tr w:rsidR="005C2C8D" w:rsidRPr="0059184B" w:rsidTr="002724A4">
        <w:trPr>
          <w:trHeight w:val="374"/>
          <w:jc w:val="center"/>
        </w:trPr>
        <w:tc>
          <w:tcPr>
            <w:tcW w:w="0" w:type="auto"/>
            <w:tcBorders>
              <w:top w:val="single" w:sz="4" w:space="0" w:color="auto"/>
              <w:left w:val="nil"/>
              <w:bottom w:val="single" w:sz="4" w:space="0" w:color="auto"/>
              <w:right w:val="nil"/>
            </w:tcBorders>
            <w:shd w:val="clear" w:color="auto" w:fill="auto"/>
            <w:noWrap/>
            <w:vAlign w:val="center"/>
            <w:hideMark/>
          </w:tcPr>
          <w:p w:rsidR="00E13D15" w:rsidRPr="0059184B" w:rsidRDefault="00E13D15" w:rsidP="00E13D15">
            <w:pPr>
              <w:widowControl/>
              <w:jc w:val="left"/>
              <w:rPr>
                <w:rFonts w:ascii="Times New Roman" w:eastAsia="宋体" w:hAnsi="Times New Roman" w:cs="Times New Roman"/>
                <w:b/>
                <w:bCs/>
                <w:kern w:val="0"/>
                <w:sz w:val="20"/>
                <w:szCs w:val="20"/>
              </w:rPr>
            </w:pPr>
            <w:r w:rsidRPr="0059184B">
              <w:rPr>
                <w:rFonts w:ascii="Times New Roman" w:eastAsia="宋体" w:hAnsi="Times New Roman" w:cs="Times New Roman"/>
                <w:b/>
                <w:bCs/>
                <w:kern w:val="0"/>
                <w:sz w:val="20"/>
                <w:szCs w:val="20"/>
              </w:rPr>
              <w:t>Dependent Variables</w:t>
            </w:r>
          </w:p>
        </w:tc>
        <w:tc>
          <w:tcPr>
            <w:tcW w:w="0" w:type="auto"/>
            <w:tcBorders>
              <w:top w:val="single" w:sz="4" w:space="0" w:color="auto"/>
              <w:left w:val="nil"/>
              <w:bottom w:val="single" w:sz="4" w:space="0" w:color="auto"/>
              <w:right w:val="nil"/>
            </w:tcBorders>
            <w:shd w:val="clear" w:color="auto" w:fill="auto"/>
            <w:noWrap/>
            <w:vAlign w:val="center"/>
            <w:hideMark/>
          </w:tcPr>
          <w:p w:rsidR="00E13D15" w:rsidRPr="0059184B" w:rsidRDefault="00E13D15" w:rsidP="00E13D15">
            <w:pPr>
              <w:widowControl/>
              <w:jc w:val="center"/>
              <w:rPr>
                <w:rFonts w:ascii="Times New Roman" w:eastAsia="宋体" w:hAnsi="Times New Roman" w:cs="Times New Roman"/>
                <w:kern w:val="0"/>
                <w:sz w:val="20"/>
                <w:szCs w:val="20"/>
              </w:rPr>
            </w:pPr>
            <w:proofErr w:type="spellStart"/>
            <w:r w:rsidRPr="0059184B">
              <w:rPr>
                <w:rFonts w:ascii="Times New Roman" w:eastAsia="宋体" w:hAnsi="Times New Roman" w:cs="Times New Roman"/>
                <w:kern w:val="0"/>
                <w:sz w:val="20"/>
                <w:szCs w:val="20"/>
              </w:rPr>
              <w:t>Obs</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E13D15" w:rsidRPr="0059184B" w:rsidRDefault="00E13D15" w:rsidP="00E13D15">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Mean</w:t>
            </w:r>
          </w:p>
        </w:tc>
        <w:tc>
          <w:tcPr>
            <w:tcW w:w="0" w:type="auto"/>
            <w:tcBorders>
              <w:top w:val="single" w:sz="4" w:space="0" w:color="auto"/>
              <w:left w:val="nil"/>
              <w:bottom w:val="single" w:sz="4" w:space="0" w:color="auto"/>
              <w:right w:val="nil"/>
            </w:tcBorders>
            <w:shd w:val="clear" w:color="auto" w:fill="auto"/>
            <w:vAlign w:val="center"/>
            <w:hideMark/>
          </w:tcPr>
          <w:p w:rsidR="00E13D15" w:rsidRPr="0059184B" w:rsidRDefault="00E13D15" w:rsidP="00E13D15">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Median</w:t>
            </w:r>
          </w:p>
        </w:tc>
        <w:tc>
          <w:tcPr>
            <w:tcW w:w="0" w:type="auto"/>
            <w:tcBorders>
              <w:top w:val="single" w:sz="4" w:space="0" w:color="auto"/>
              <w:left w:val="nil"/>
              <w:bottom w:val="single" w:sz="4" w:space="0" w:color="auto"/>
              <w:right w:val="nil"/>
            </w:tcBorders>
            <w:shd w:val="clear" w:color="auto" w:fill="auto"/>
            <w:noWrap/>
            <w:vAlign w:val="center"/>
            <w:hideMark/>
          </w:tcPr>
          <w:p w:rsidR="00E13D15" w:rsidRPr="0059184B" w:rsidRDefault="00E13D15" w:rsidP="00E13D15">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SD</w:t>
            </w:r>
          </w:p>
        </w:tc>
        <w:tc>
          <w:tcPr>
            <w:tcW w:w="0" w:type="auto"/>
            <w:tcBorders>
              <w:top w:val="single" w:sz="4" w:space="0" w:color="auto"/>
              <w:left w:val="nil"/>
              <w:bottom w:val="single" w:sz="4" w:space="0" w:color="auto"/>
              <w:right w:val="nil"/>
            </w:tcBorders>
            <w:shd w:val="clear" w:color="auto" w:fill="auto"/>
            <w:noWrap/>
            <w:vAlign w:val="center"/>
            <w:hideMark/>
          </w:tcPr>
          <w:p w:rsidR="00E13D15" w:rsidRPr="0059184B" w:rsidRDefault="00E13D15" w:rsidP="00E13D15">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Min</w:t>
            </w:r>
          </w:p>
        </w:tc>
        <w:tc>
          <w:tcPr>
            <w:tcW w:w="0" w:type="auto"/>
            <w:tcBorders>
              <w:top w:val="single" w:sz="4" w:space="0" w:color="auto"/>
              <w:left w:val="nil"/>
              <w:bottom w:val="single" w:sz="4" w:space="0" w:color="auto"/>
              <w:right w:val="nil"/>
            </w:tcBorders>
            <w:shd w:val="clear" w:color="auto" w:fill="auto"/>
            <w:noWrap/>
            <w:vAlign w:val="center"/>
            <w:hideMark/>
          </w:tcPr>
          <w:p w:rsidR="00E13D15" w:rsidRPr="0059184B" w:rsidRDefault="00E13D15" w:rsidP="00E13D15">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Max</w:t>
            </w:r>
          </w:p>
        </w:tc>
      </w:tr>
      <w:tr w:rsidR="005C2C8D" w:rsidRPr="0059184B" w:rsidTr="005C2C8D">
        <w:trPr>
          <w:trHeight w:val="428"/>
          <w:jc w:val="center"/>
        </w:trPr>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left"/>
              <w:rPr>
                <w:rFonts w:ascii="Times New Roman" w:eastAsia="宋体" w:hAnsi="Times New Roman" w:cs="Times New Roman"/>
                <w:kern w:val="0"/>
                <w:sz w:val="20"/>
                <w:szCs w:val="20"/>
              </w:rPr>
            </w:pPr>
            <w:r w:rsidRPr="0059184B">
              <w:rPr>
                <w:rFonts w:ascii="宋体" w:eastAsia="宋体" w:hAnsi="宋体" w:cs="Times New Roman" w:hint="eastAsia"/>
                <w:kern w:val="0"/>
                <w:sz w:val="20"/>
                <w:szCs w:val="20"/>
              </w:rPr>
              <w:t>△</w:t>
            </w:r>
            <w:proofErr w:type="spellStart"/>
            <w:r w:rsidRPr="0059184B">
              <w:rPr>
                <w:rFonts w:ascii="Times New Roman" w:eastAsia="宋体" w:hAnsi="Times New Roman" w:cs="Times New Roman"/>
                <w:kern w:val="0"/>
                <w:sz w:val="20"/>
                <w:szCs w:val="20"/>
              </w:rPr>
              <w:t>CoVaR</w:t>
            </w:r>
            <w:proofErr w:type="spellEnd"/>
            <w:r w:rsidRPr="0059184B">
              <w:rPr>
                <w:rFonts w:ascii="Times New Roman" w:eastAsia="宋体" w:hAnsi="Times New Roman" w:cs="Times New Roman"/>
                <w:kern w:val="0"/>
                <w:sz w:val="20"/>
                <w:szCs w:val="20"/>
              </w:rPr>
              <w:t xml:space="preserve"> </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3414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-0.0279</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-0.0229</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0.0216</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-0.1942</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0.0726</w:t>
            </w:r>
          </w:p>
        </w:tc>
      </w:tr>
      <w:tr w:rsidR="005C2C8D" w:rsidRPr="0059184B" w:rsidTr="005C2C8D">
        <w:trPr>
          <w:trHeight w:val="428"/>
          <w:jc w:val="center"/>
        </w:trPr>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MES</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3414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-0.0348</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-0.0261</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0.0329</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-0.2626</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0.1626</w:t>
            </w:r>
          </w:p>
        </w:tc>
      </w:tr>
      <w:tr w:rsidR="005C2C8D" w:rsidRPr="0059184B" w:rsidTr="005C2C8D">
        <w:trPr>
          <w:trHeight w:val="428"/>
          <w:jc w:val="center"/>
        </w:trPr>
        <w:tc>
          <w:tcPr>
            <w:tcW w:w="0" w:type="auto"/>
            <w:tcBorders>
              <w:top w:val="nil"/>
              <w:left w:val="nil"/>
              <w:bottom w:val="nil"/>
              <w:right w:val="nil"/>
            </w:tcBorders>
            <w:shd w:val="clear" w:color="auto" w:fill="auto"/>
            <w:vAlign w:val="center"/>
            <w:hideMark/>
          </w:tcPr>
          <w:p w:rsidR="00E13D15" w:rsidRPr="0059184B" w:rsidRDefault="00E13D15" w:rsidP="00E13D15">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Banking industry beta</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3414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0.7865</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0.8197</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0.3044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0.0016</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1.9287</w:t>
            </w:r>
          </w:p>
        </w:tc>
      </w:tr>
      <w:tr w:rsidR="005C2C8D" w:rsidRPr="0059184B" w:rsidTr="005C2C8D">
        <w:trPr>
          <w:trHeight w:val="428"/>
          <w:jc w:val="center"/>
        </w:trPr>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Z-score</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3.5242</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2.1242</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4.3596</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-0.8562</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32.5934</w:t>
            </w:r>
          </w:p>
        </w:tc>
      </w:tr>
      <w:tr w:rsidR="005C2C8D" w:rsidRPr="0059184B" w:rsidTr="005C2C8D">
        <w:trPr>
          <w:trHeight w:val="428"/>
          <w:jc w:val="center"/>
        </w:trPr>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Distance to Default</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2.9855</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2.7561</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1.6730</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0.0671</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14.6817</w:t>
            </w:r>
          </w:p>
        </w:tc>
      </w:tr>
      <w:tr w:rsidR="005C2C8D" w:rsidRPr="0059184B" w:rsidTr="005C2C8D">
        <w:trPr>
          <w:trHeight w:val="428"/>
          <w:jc w:val="center"/>
        </w:trPr>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Value at Risk</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-0.0792</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-0.0689</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0.0424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-0.4248</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-0.0090</w:t>
            </w:r>
          </w:p>
        </w:tc>
      </w:tr>
      <w:tr w:rsidR="005C2C8D" w:rsidRPr="0059184B" w:rsidTr="005C2C8D">
        <w:trPr>
          <w:trHeight w:val="428"/>
          <w:jc w:val="center"/>
        </w:trPr>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Volatility</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0.0270</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0.0211</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0.0174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0.0052</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0.1310</w:t>
            </w:r>
          </w:p>
        </w:tc>
      </w:tr>
      <w:tr w:rsidR="005C2C8D" w:rsidRPr="0059184B" w:rsidTr="005C2C8D">
        <w:trPr>
          <w:trHeight w:val="428"/>
          <w:jc w:val="center"/>
        </w:trPr>
        <w:tc>
          <w:tcPr>
            <w:tcW w:w="0" w:type="auto"/>
            <w:tcBorders>
              <w:top w:val="nil"/>
              <w:left w:val="nil"/>
              <w:bottom w:val="nil"/>
              <w:right w:val="nil"/>
            </w:tcBorders>
            <w:shd w:val="clear" w:color="auto" w:fill="auto"/>
            <w:vAlign w:val="center"/>
            <w:hideMark/>
          </w:tcPr>
          <w:p w:rsidR="00E13D15" w:rsidRPr="0059184B" w:rsidRDefault="00E13D15" w:rsidP="00E13D15">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Tobin’s Q</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0.2310</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0.2213</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0.0813</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0.0372</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0.6251</w:t>
            </w:r>
          </w:p>
        </w:tc>
      </w:tr>
      <w:tr w:rsidR="005C2C8D" w:rsidRPr="0059184B" w:rsidTr="005C2C8D">
        <w:trPr>
          <w:trHeight w:val="428"/>
          <w:jc w:val="center"/>
        </w:trPr>
        <w:tc>
          <w:tcPr>
            <w:tcW w:w="0" w:type="auto"/>
            <w:tcBorders>
              <w:top w:val="nil"/>
              <w:left w:val="nil"/>
              <w:bottom w:val="nil"/>
              <w:right w:val="nil"/>
            </w:tcBorders>
            <w:shd w:val="clear" w:color="auto" w:fill="auto"/>
            <w:vAlign w:val="center"/>
            <w:hideMark/>
          </w:tcPr>
          <w:p w:rsidR="00E13D15" w:rsidRPr="0059184B" w:rsidRDefault="00E13D15" w:rsidP="005F6BCE">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 xml:space="preserve">Net interest margin </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3.6439</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3.6178</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0.7337</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-0.4457</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8.9082</w:t>
            </w:r>
          </w:p>
        </w:tc>
      </w:tr>
      <w:tr w:rsidR="005C2C8D" w:rsidRPr="0059184B" w:rsidTr="005C2C8D">
        <w:trPr>
          <w:trHeight w:val="428"/>
          <w:jc w:val="center"/>
        </w:trPr>
        <w:tc>
          <w:tcPr>
            <w:tcW w:w="0" w:type="auto"/>
            <w:tcBorders>
              <w:top w:val="nil"/>
              <w:left w:val="nil"/>
              <w:bottom w:val="nil"/>
              <w:right w:val="nil"/>
            </w:tcBorders>
            <w:shd w:val="clear" w:color="auto" w:fill="auto"/>
            <w:vAlign w:val="center"/>
            <w:hideMark/>
          </w:tcPr>
          <w:p w:rsidR="00E13D15" w:rsidRPr="0059184B" w:rsidRDefault="00E13D15" w:rsidP="00E13D15">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Return on Asset</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0.0066</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0.0088</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0.0143</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-0.1511</w:t>
            </w:r>
          </w:p>
        </w:tc>
        <w:tc>
          <w:tcPr>
            <w:tcW w:w="0" w:type="auto"/>
            <w:tcBorders>
              <w:top w:val="nil"/>
              <w:left w:val="nil"/>
              <w:bottom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0.1779</w:t>
            </w:r>
          </w:p>
        </w:tc>
      </w:tr>
      <w:tr w:rsidR="005C2C8D" w:rsidRPr="0059184B" w:rsidTr="005C2C8D">
        <w:trPr>
          <w:trHeight w:val="428"/>
          <w:jc w:val="center"/>
        </w:trPr>
        <w:tc>
          <w:tcPr>
            <w:tcW w:w="0" w:type="auto"/>
            <w:tcBorders>
              <w:top w:val="nil"/>
              <w:left w:val="nil"/>
              <w:right w:val="nil"/>
            </w:tcBorders>
            <w:shd w:val="clear" w:color="auto" w:fill="auto"/>
            <w:noWrap/>
            <w:vAlign w:val="center"/>
            <w:hideMark/>
          </w:tcPr>
          <w:p w:rsidR="00E13D15" w:rsidRPr="0059184B" w:rsidRDefault="00E13D15" w:rsidP="00E13D15">
            <w:pPr>
              <w:widowControl/>
              <w:jc w:val="left"/>
              <w:rPr>
                <w:rFonts w:ascii="Times New Roman" w:eastAsia="宋体" w:hAnsi="Times New Roman" w:cs="Times New Roman"/>
                <w:kern w:val="0"/>
                <w:sz w:val="20"/>
                <w:szCs w:val="18"/>
              </w:rPr>
            </w:pPr>
            <w:r w:rsidRPr="0059184B">
              <w:rPr>
                <w:rFonts w:ascii="Times New Roman" w:eastAsia="宋体" w:hAnsi="Times New Roman" w:cs="Times New Roman"/>
                <w:kern w:val="0"/>
                <w:sz w:val="20"/>
                <w:szCs w:val="18"/>
              </w:rPr>
              <w:t>Cost to Income</w:t>
            </w:r>
          </w:p>
        </w:tc>
        <w:tc>
          <w:tcPr>
            <w:tcW w:w="0" w:type="auto"/>
            <w:tcBorders>
              <w:top w:val="nil"/>
              <w:left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0" w:type="auto"/>
            <w:tcBorders>
              <w:top w:val="nil"/>
              <w:left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0.6705</w:t>
            </w:r>
          </w:p>
        </w:tc>
        <w:tc>
          <w:tcPr>
            <w:tcW w:w="0" w:type="auto"/>
            <w:tcBorders>
              <w:top w:val="nil"/>
              <w:left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0.6461</w:t>
            </w:r>
          </w:p>
        </w:tc>
        <w:tc>
          <w:tcPr>
            <w:tcW w:w="0" w:type="auto"/>
            <w:tcBorders>
              <w:top w:val="nil"/>
              <w:left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0.2194</w:t>
            </w:r>
          </w:p>
        </w:tc>
        <w:tc>
          <w:tcPr>
            <w:tcW w:w="0" w:type="auto"/>
            <w:tcBorders>
              <w:top w:val="nil"/>
              <w:left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0.2500</w:t>
            </w:r>
          </w:p>
        </w:tc>
        <w:tc>
          <w:tcPr>
            <w:tcW w:w="0" w:type="auto"/>
            <w:tcBorders>
              <w:top w:val="nil"/>
              <w:left w:val="nil"/>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3.9750</w:t>
            </w:r>
          </w:p>
        </w:tc>
      </w:tr>
      <w:tr w:rsidR="005C2C8D" w:rsidRPr="0059184B" w:rsidTr="005C2C8D">
        <w:trPr>
          <w:trHeight w:val="428"/>
          <w:jc w:val="center"/>
        </w:trPr>
        <w:tc>
          <w:tcPr>
            <w:tcW w:w="0" w:type="auto"/>
            <w:tcBorders>
              <w:top w:val="nil"/>
              <w:left w:val="nil"/>
              <w:bottom w:val="single" w:sz="4" w:space="0" w:color="auto"/>
              <w:right w:val="nil"/>
            </w:tcBorders>
            <w:shd w:val="clear" w:color="auto" w:fill="auto"/>
            <w:noWrap/>
            <w:vAlign w:val="center"/>
            <w:hideMark/>
          </w:tcPr>
          <w:p w:rsidR="00E13D15" w:rsidRPr="0059184B" w:rsidRDefault="002724A4" w:rsidP="002724A4">
            <w:pPr>
              <w:widowControl/>
              <w:jc w:val="left"/>
              <w:rPr>
                <w:rFonts w:ascii="Times New Roman" w:eastAsia="宋体" w:hAnsi="Times New Roman" w:cs="Times New Roman"/>
                <w:kern w:val="0"/>
                <w:sz w:val="20"/>
                <w:szCs w:val="18"/>
              </w:rPr>
            </w:pPr>
            <w:r w:rsidRPr="0059184B">
              <w:rPr>
                <w:rFonts w:ascii="宋体" w:eastAsia="宋体" w:hAnsi="宋体" w:cs="Times New Roman" w:hint="eastAsia"/>
                <w:kern w:val="0"/>
                <w:sz w:val="20"/>
                <w:szCs w:val="20"/>
              </w:rPr>
              <w:t>△</w:t>
            </w:r>
            <w:r w:rsidR="00E13D15" w:rsidRPr="0059184B">
              <w:rPr>
                <w:rFonts w:ascii="Times New Roman" w:eastAsia="宋体" w:hAnsi="Times New Roman" w:cs="Times New Roman"/>
                <w:kern w:val="0"/>
                <w:sz w:val="20"/>
                <w:szCs w:val="18"/>
              </w:rPr>
              <w:t xml:space="preserve">Market cap </w:t>
            </w:r>
          </w:p>
        </w:tc>
        <w:tc>
          <w:tcPr>
            <w:tcW w:w="0" w:type="auto"/>
            <w:tcBorders>
              <w:top w:val="nil"/>
              <w:left w:val="nil"/>
              <w:bottom w:val="single" w:sz="4" w:space="0" w:color="auto"/>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0" w:type="auto"/>
            <w:tcBorders>
              <w:top w:val="nil"/>
              <w:left w:val="nil"/>
              <w:bottom w:val="single" w:sz="4" w:space="0" w:color="auto"/>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0.0495</w:t>
            </w:r>
          </w:p>
        </w:tc>
        <w:tc>
          <w:tcPr>
            <w:tcW w:w="0" w:type="auto"/>
            <w:tcBorders>
              <w:top w:val="nil"/>
              <w:left w:val="nil"/>
              <w:bottom w:val="single" w:sz="4" w:space="0" w:color="auto"/>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0.0151</w:t>
            </w:r>
          </w:p>
        </w:tc>
        <w:tc>
          <w:tcPr>
            <w:tcW w:w="0" w:type="auto"/>
            <w:tcBorders>
              <w:top w:val="nil"/>
              <w:left w:val="nil"/>
              <w:bottom w:val="single" w:sz="4" w:space="0" w:color="auto"/>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0.4215</w:t>
            </w:r>
          </w:p>
        </w:tc>
        <w:tc>
          <w:tcPr>
            <w:tcW w:w="0" w:type="auto"/>
            <w:tcBorders>
              <w:top w:val="nil"/>
              <w:left w:val="nil"/>
              <w:bottom w:val="single" w:sz="4" w:space="0" w:color="auto"/>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-0.7801</w:t>
            </w:r>
          </w:p>
        </w:tc>
        <w:tc>
          <w:tcPr>
            <w:tcW w:w="0" w:type="auto"/>
            <w:tcBorders>
              <w:top w:val="nil"/>
              <w:left w:val="nil"/>
              <w:bottom w:val="single" w:sz="4" w:space="0" w:color="auto"/>
              <w:right w:val="nil"/>
            </w:tcBorders>
            <w:shd w:val="clear" w:color="auto" w:fill="auto"/>
            <w:noWrap/>
            <w:vAlign w:val="center"/>
            <w:hideMark/>
          </w:tcPr>
          <w:p w:rsidR="00E13D15" w:rsidRPr="0059184B" w:rsidRDefault="00E13D15" w:rsidP="00E13D15">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18.2456</w:t>
            </w:r>
          </w:p>
        </w:tc>
      </w:tr>
    </w:tbl>
    <w:p w:rsidR="005C2C8D" w:rsidRPr="0059184B" w:rsidRDefault="005C2C8D" w:rsidP="00067D46">
      <w:pPr>
        <w:rPr>
          <w:rFonts w:ascii="Times New Roman" w:eastAsia="宋体" w:hAnsi="Times New Roman" w:cs="Times New Roman"/>
          <w:kern w:val="0"/>
          <w:sz w:val="20"/>
          <w:szCs w:val="20"/>
        </w:rPr>
      </w:pPr>
    </w:p>
    <w:p w:rsidR="005C2C8D" w:rsidRPr="0059184B" w:rsidRDefault="005C2C8D">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br w:type="page"/>
      </w:r>
    </w:p>
    <w:p w:rsidR="001308E6" w:rsidRPr="0059184B" w:rsidRDefault="001308E6" w:rsidP="001308E6">
      <w:pPr>
        <w:spacing w:line="360" w:lineRule="auto"/>
        <w:jc w:val="center"/>
        <w:rPr>
          <w:rFonts w:ascii="Times New Roman" w:hAnsi="Times New Roman" w:cs="Times New Roman"/>
          <w:b/>
          <w:sz w:val="24"/>
          <w:szCs w:val="24"/>
        </w:rPr>
      </w:pPr>
      <w:r w:rsidRPr="0059184B">
        <w:rPr>
          <w:rFonts w:ascii="Times New Roman" w:hAnsi="Times New Roman" w:cs="Times New Roman"/>
          <w:b/>
          <w:sz w:val="24"/>
          <w:szCs w:val="24"/>
        </w:rPr>
        <w:lastRenderedPageBreak/>
        <w:t>Table</w:t>
      </w:r>
      <w:r w:rsidR="008F16F1" w:rsidRPr="0059184B">
        <w:rPr>
          <w:rFonts w:ascii="Times New Roman" w:hAnsi="Times New Roman" w:cs="Times New Roman"/>
          <w:b/>
          <w:sz w:val="24"/>
          <w:szCs w:val="24"/>
        </w:rPr>
        <w:t xml:space="preserve"> </w:t>
      </w:r>
      <w:r w:rsidRPr="0059184B">
        <w:rPr>
          <w:rFonts w:ascii="Times New Roman" w:hAnsi="Times New Roman" w:cs="Times New Roman"/>
          <w:b/>
          <w:sz w:val="24"/>
          <w:szCs w:val="24"/>
        </w:rPr>
        <w:t>1 Summary Statistics (Cont’d)</w:t>
      </w:r>
    </w:p>
    <w:p w:rsidR="001308E6" w:rsidRPr="0059184B" w:rsidRDefault="001308E6">
      <w:pPr>
        <w:widowControl/>
        <w:jc w:val="left"/>
        <w:rPr>
          <w:rFonts w:ascii="Times New Roman" w:eastAsia="宋体" w:hAnsi="Times New Roman" w:cs="Times New Roman"/>
          <w:kern w:val="0"/>
          <w:sz w:val="20"/>
          <w:szCs w:val="20"/>
        </w:rPr>
      </w:pPr>
    </w:p>
    <w:p w:rsidR="00067D46" w:rsidRPr="0059184B" w:rsidRDefault="002724A4" w:rsidP="00067D46">
      <w:pPr>
        <w:rPr>
          <w:rFonts w:ascii="Times New Roman" w:eastAsia="宋体" w:hAnsi="Times New Roman" w:cs="Times New Roman"/>
          <w:kern w:val="0"/>
          <w:sz w:val="20"/>
          <w:szCs w:val="20"/>
        </w:rPr>
      </w:pPr>
      <w:r w:rsidRPr="0059184B">
        <w:rPr>
          <w:rFonts w:ascii="Times New Roman" w:hAnsi="Times New Roman" w:cs="Times New Roman"/>
          <w:sz w:val="20"/>
          <w:szCs w:val="20"/>
        </w:rPr>
        <w:t xml:space="preserve">Statistics of key explanatory variables are presented in Panel B. </w:t>
      </w:r>
      <w:r w:rsidRPr="0059184B">
        <w:rPr>
          <w:rFonts w:ascii="Times New Roman" w:hAnsi="Times New Roman" w:cs="Times New Roman"/>
          <w:i/>
          <w:sz w:val="20"/>
          <w:szCs w:val="20"/>
        </w:rPr>
        <w:t>IR derivatives held for trading</w:t>
      </w:r>
      <w:r w:rsidRPr="0059184B">
        <w:rPr>
          <w:rFonts w:ascii="Times New Roman" w:hAnsi="Times New Roman" w:cs="Times New Roman"/>
          <w:sz w:val="20"/>
          <w:szCs w:val="20"/>
        </w:rPr>
        <w:t xml:space="preserve"> is defined as </w:t>
      </w:r>
      <w:r w:rsidR="005C2C8D" w:rsidRPr="0059184B">
        <w:rPr>
          <w:rFonts w:ascii="Times New Roman" w:hAnsi="Times New Roman" w:cs="Times New Roman"/>
          <w:sz w:val="20"/>
          <w:szCs w:val="20"/>
        </w:rPr>
        <w:t xml:space="preserve">the notional amount </w:t>
      </w:r>
      <w:r w:rsidRPr="0059184B">
        <w:rPr>
          <w:rFonts w:ascii="Times New Roman" w:hAnsi="Times New Roman" w:cs="Times New Roman"/>
          <w:sz w:val="20"/>
          <w:szCs w:val="20"/>
        </w:rPr>
        <w:t xml:space="preserve">of interest rate derivatives </w:t>
      </w:r>
      <w:r w:rsidR="006F3C4B" w:rsidRPr="0059184B">
        <w:rPr>
          <w:rFonts w:ascii="Times New Roman" w:hAnsi="Times New Roman" w:cs="Times New Roman"/>
          <w:sz w:val="20"/>
          <w:szCs w:val="20"/>
        </w:rPr>
        <w:t xml:space="preserve">held </w:t>
      </w:r>
      <w:r w:rsidRPr="0059184B">
        <w:rPr>
          <w:rFonts w:ascii="Times New Roman" w:hAnsi="Times New Roman" w:cs="Times New Roman"/>
          <w:sz w:val="20"/>
          <w:szCs w:val="20"/>
        </w:rPr>
        <w:t xml:space="preserve">for trading purpose </w:t>
      </w:r>
      <w:r w:rsidR="005C2C8D" w:rsidRPr="0059184B">
        <w:rPr>
          <w:rFonts w:ascii="Times New Roman" w:hAnsi="Times New Roman" w:cs="Times New Roman"/>
          <w:sz w:val="20"/>
          <w:szCs w:val="20"/>
        </w:rPr>
        <w:t xml:space="preserve">scaled by asset. </w:t>
      </w:r>
      <w:r w:rsidRPr="0059184B">
        <w:rPr>
          <w:rFonts w:ascii="Times New Roman" w:hAnsi="Times New Roman" w:cs="Times New Roman"/>
          <w:i/>
          <w:sz w:val="20"/>
          <w:szCs w:val="20"/>
        </w:rPr>
        <w:t>IR derivatives held for hed</w:t>
      </w:r>
      <w:r w:rsidR="006F3C4B" w:rsidRPr="0059184B">
        <w:rPr>
          <w:rFonts w:ascii="Times New Roman" w:hAnsi="Times New Roman" w:cs="Times New Roman"/>
          <w:i/>
          <w:sz w:val="20"/>
          <w:szCs w:val="20"/>
        </w:rPr>
        <w:t>g</w:t>
      </w:r>
      <w:r w:rsidRPr="0059184B">
        <w:rPr>
          <w:rFonts w:ascii="Times New Roman" w:hAnsi="Times New Roman" w:cs="Times New Roman"/>
          <w:i/>
          <w:sz w:val="20"/>
          <w:szCs w:val="20"/>
        </w:rPr>
        <w:t>ing</w:t>
      </w:r>
      <w:r w:rsidRPr="0059184B">
        <w:rPr>
          <w:rFonts w:ascii="Times New Roman" w:hAnsi="Times New Roman" w:cs="Times New Roman"/>
          <w:sz w:val="20"/>
          <w:szCs w:val="20"/>
        </w:rPr>
        <w:t xml:space="preserve"> is defined as the notional amount of interest rate derivatives </w:t>
      </w:r>
      <w:r w:rsidR="006F3C4B" w:rsidRPr="0059184B">
        <w:rPr>
          <w:rFonts w:ascii="Times New Roman" w:hAnsi="Times New Roman" w:cs="Times New Roman"/>
          <w:sz w:val="20"/>
          <w:szCs w:val="20"/>
        </w:rPr>
        <w:t xml:space="preserve">held not </w:t>
      </w:r>
      <w:r w:rsidRPr="0059184B">
        <w:rPr>
          <w:rFonts w:ascii="Times New Roman" w:hAnsi="Times New Roman" w:cs="Times New Roman"/>
          <w:sz w:val="20"/>
          <w:szCs w:val="20"/>
        </w:rPr>
        <w:t xml:space="preserve">for trading </w:t>
      </w:r>
      <w:r w:rsidR="006F3C4B" w:rsidRPr="0059184B">
        <w:rPr>
          <w:rFonts w:ascii="Times New Roman" w:hAnsi="Times New Roman" w:cs="Times New Roman"/>
          <w:sz w:val="20"/>
          <w:szCs w:val="20"/>
        </w:rPr>
        <w:t xml:space="preserve">purpose </w:t>
      </w:r>
      <w:r w:rsidRPr="0059184B">
        <w:rPr>
          <w:rFonts w:ascii="Times New Roman" w:hAnsi="Times New Roman" w:cs="Times New Roman"/>
          <w:sz w:val="20"/>
          <w:szCs w:val="20"/>
        </w:rPr>
        <w:t>scaled by asset.</w:t>
      </w:r>
      <w:r w:rsidR="006F3C4B" w:rsidRPr="0059184B">
        <w:rPr>
          <w:rFonts w:ascii="Times New Roman" w:eastAsia="宋体" w:hAnsi="Times New Roman" w:cs="Times New Roman"/>
          <w:kern w:val="0"/>
          <w:sz w:val="20"/>
          <w:szCs w:val="20"/>
        </w:rPr>
        <w:t xml:space="preserve"> </w:t>
      </w:r>
      <w:r w:rsidR="006F3C4B" w:rsidRPr="0059184B">
        <w:rPr>
          <w:rFonts w:ascii="Times New Roman" w:eastAsia="宋体" w:hAnsi="Times New Roman" w:cs="Times New Roman"/>
          <w:i/>
          <w:kern w:val="0"/>
          <w:sz w:val="20"/>
          <w:szCs w:val="20"/>
        </w:rPr>
        <w:t>Net credit derivatives</w:t>
      </w:r>
      <w:r w:rsidR="006F3C4B" w:rsidRPr="0059184B">
        <w:rPr>
          <w:rFonts w:ascii="Times New Roman" w:eastAsia="宋体" w:hAnsi="Times New Roman" w:cs="Times New Roman"/>
          <w:kern w:val="0"/>
          <w:sz w:val="20"/>
          <w:szCs w:val="20"/>
        </w:rPr>
        <w:t xml:space="preserve"> is </w:t>
      </w:r>
      <w:r w:rsidR="005C2C8D" w:rsidRPr="0059184B">
        <w:rPr>
          <w:rFonts w:ascii="Times New Roman" w:eastAsia="宋体" w:hAnsi="Times New Roman" w:cs="Times New Roman"/>
          <w:kern w:val="0"/>
          <w:sz w:val="20"/>
          <w:szCs w:val="20"/>
        </w:rPr>
        <w:t>defined as the credit derivatives bought minus credits derivative sold, then scaled by asset.</w:t>
      </w:r>
      <w:r w:rsidR="005C2C8D" w:rsidRPr="0059184B">
        <w:rPr>
          <w:rFonts w:ascii="Times New Roman" w:hAnsi="Times New Roman" w:cs="Times New Roman"/>
          <w:sz w:val="20"/>
          <w:szCs w:val="20"/>
        </w:rPr>
        <w:t xml:space="preserve"> </w:t>
      </w:r>
      <w:r w:rsidR="006F3C4B" w:rsidRPr="0059184B">
        <w:rPr>
          <w:rFonts w:ascii="Times New Roman" w:eastAsia="宋体" w:hAnsi="Times New Roman" w:cs="Times New Roman"/>
          <w:i/>
          <w:kern w:val="0"/>
          <w:sz w:val="20"/>
          <w:szCs w:val="18"/>
        </w:rPr>
        <w:t>IR Derivatives OTC</w:t>
      </w:r>
      <w:r w:rsidR="006F3C4B" w:rsidRPr="0059184B">
        <w:rPr>
          <w:rFonts w:ascii="Times New Roman" w:eastAsia="宋体" w:hAnsi="Times New Roman" w:cs="Times New Roman"/>
          <w:kern w:val="0"/>
          <w:sz w:val="20"/>
          <w:szCs w:val="18"/>
        </w:rPr>
        <w:t xml:space="preserve"> </w:t>
      </w:r>
      <w:r w:rsidR="006F3C4B" w:rsidRPr="0059184B">
        <w:rPr>
          <w:rFonts w:ascii="Times New Roman" w:hAnsi="Times New Roman" w:cs="Times New Roman"/>
          <w:sz w:val="20"/>
          <w:szCs w:val="20"/>
        </w:rPr>
        <w:t xml:space="preserve">is </w:t>
      </w:r>
      <w:r w:rsidRPr="0059184B">
        <w:rPr>
          <w:rFonts w:ascii="Times New Roman" w:hAnsi="Times New Roman" w:cs="Times New Roman"/>
          <w:sz w:val="20"/>
          <w:szCs w:val="20"/>
        </w:rPr>
        <w:t xml:space="preserve">the notional amount </w:t>
      </w:r>
      <w:r w:rsidR="006F3C4B" w:rsidRPr="0059184B">
        <w:rPr>
          <w:rFonts w:ascii="Times New Roman" w:hAnsi="Times New Roman" w:cs="Times New Roman"/>
          <w:sz w:val="20"/>
          <w:szCs w:val="20"/>
        </w:rPr>
        <w:t xml:space="preserve">of net long positions in interest rate derivatives </w:t>
      </w:r>
      <w:r w:rsidR="001535D2" w:rsidRPr="0059184B">
        <w:rPr>
          <w:rFonts w:ascii="Times New Roman" w:hAnsi="Times New Roman" w:cs="Times New Roman"/>
          <w:sz w:val="20"/>
          <w:szCs w:val="20"/>
        </w:rPr>
        <w:t xml:space="preserve">traded OTC </w:t>
      </w:r>
      <w:r w:rsidRPr="0059184B">
        <w:rPr>
          <w:rFonts w:ascii="Times New Roman" w:hAnsi="Times New Roman" w:cs="Times New Roman"/>
          <w:sz w:val="20"/>
          <w:szCs w:val="20"/>
        </w:rPr>
        <w:t>scaled by asset</w:t>
      </w:r>
      <w:r w:rsidR="006F3C4B" w:rsidRPr="0059184B">
        <w:rPr>
          <w:rFonts w:ascii="Times New Roman" w:hAnsi="Times New Roman" w:cs="Times New Roman"/>
          <w:sz w:val="20"/>
          <w:szCs w:val="20"/>
        </w:rPr>
        <w:t xml:space="preserve">. </w:t>
      </w:r>
      <w:r w:rsidR="006F3C4B" w:rsidRPr="0059184B">
        <w:rPr>
          <w:rFonts w:ascii="Times New Roman" w:eastAsia="宋体" w:hAnsi="Times New Roman" w:cs="Times New Roman"/>
          <w:i/>
          <w:kern w:val="0"/>
          <w:sz w:val="20"/>
          <w:szCs w:val="18"/>
        </w:rPr>
        <w:t>IR Derivatives exchange</w:t>
      </w:r>
      <w:r w:rsidR="006F3C4B" w:rsidRPr="0059184B">
        <w:rPr>
          <w:rFonts w:ascii="Times New Roman" w:eastAsia="宋体" w:hAnsi="Times New Roman" w:cs="Times New Roman"/>
          <w:kern w:val="0"/>
          <w:sz w:val="20"/>
          <w:szCs w:val="18"/>
        </w:rPr>
        <w:t xml:space="preserve"> </w:t>
      </w:r>
      <w:r w:rsidR="006F3C4B" w:rsidRPr="0059184B">
        <w:rPr>
          <w:rFonts w:ascii="Times New Roman" w:hAnsi="Times New Roman" w:cs="Times New Roman"/>
          <w:sz w:val="20"/>
          <w:szCs w:val="20"/>
        </w:rPr>
        <w:t>is the notional amount of net long positions in interest rate derivatives</w:t>
      </w:r>
      <w:r w:rsidR="001535D2" w:rsidRPr="0059184B">
        <w:rPr>
          <w:rFonts w:ascii="Times New Roman" w:hAnsi="Times New Roman" w:cs="Times New Roman"/>
          <w:sz w:val="20"/>
          <w:szCs w:val="20"/>
        </w:rPr>
        <w:t xml:space="preserve"> traded on exchange </w:t>
      </w:r>
      <w:r w:rsidR="006F3C4B" w:rsidRPr="0059184B">
        <w:rPr>
          <w:rFonts w:ascii="Times New Roman" w:hAnsi="Times New Roman" w:cs="Times New Roman"/>
          <w:sz w:val="20"/>
          <w:szCs w:val="20"/>
        </w:rPr>
        <w:t>scaled by asset</w:t>
      </w:r>
      <w:r w:rsidR="001535D2" w:rsidRPr="0059184B">
        <w:rPr>
          <w:rFonts w:ascii="Times New Roman" w:hAnsi="Times New Roman" w:cs="Times New Roman"/>
          <w:sz w:val="20"/>
          <w:szCs w:val="20"/>
        </w:rPr>
        <w:t xml:space="preserve">. </w:t>
      </w:r>
      <w:r w:rsidR="001535D2" w:rsidRPr="0059184B">
        <w:rPr>
          <w:rFonts w:ascii="Times New Roman" w:eastAsia="宋体" w:hAnsi="Times New Roman" w:cs="Times New Roman"/>
          <w:i/>
          <w:kern w:val="0"/>
          <w:sz w:val="20"/>
          <w:szCs w:val="18"/>
        </w:rPr>
        <w:t>Credit Derivatives OTC</w:t>
      </w:r>
      <w:r w:rsidR="001535D2" w:rsidRPr="0059184B">
        <w:rPr>
          <w:rFonts w:ascii="Times New Roman" w:eastAsia="宋体" w:hAnsi="Times New Roman" w:cs="Times New Roman"/>
          <w:kern w:val="0"/>
          <w:sz w:val="20"/>
          <w:szCs w:val="18"/>
        </w:rPr>
        <w:t xml:space="preserve"> </w:t>
      </w:r>
      <w:r w:rsidR="001535D2" w:rsidRPr="0059184B">
        <w:rPr>
          <w:rFonts w:ascii="Times New Roman" w:hAnsi="Times New Roman" w:cs="Times New Roman"/>
          <w:sz w:val="20"/>
          <w:szCs w:val="20"/>
        </w:rPr>
        <w:t xml:space="preserve">is the notional amount of net long positions in credit derivatives traded OTC scaled by asset. </w:t>
      </w:r>
      <w:r w:rsidR="001535D2" w:rsidRPr="0059184B">
        <w:rPr>
          <w:rFonts w:ascii="Times New Roman" w:eastAsia="宋体" w:hAnsi="Times New Roman" w:cs="Times New Roman"/>
          <w:i/>
          <w:kern w:val="0"/>
          <w:sz w:val="20"/>
          <w:szCs w:val="18"/>
        </w:rPr>
        <w:t>Credit Derivatives Exchange</w:t>
      </w:r>
      <w:r w:rsidR="001535D2" w:rsidRPr="0059184B">
        <w:rPr>
          <w:rFonts w:ascii="Times New Roman" w:eastAsia="宋体" w:hAnsi="Times New Roman" w:cs="Times New Roman"/>
          <w:kern w:val="0"/>
          <w:sz w:val="20"/>
          <w:szCs w:val="18"/>
        </w:rPr>
        <w:t xml:space="preserve"> </w:t>
      </w:r>
      <w:r w:rsidR="001535D2" w:rsidRPr="0059184B">
        <w:rPr>
          <w:rFonts w:ascii="Times New Roman" w:hAnsi="Times New Roman" w:cs="Times New Roman"/>
          <w:sz w:val="20"/>
          <w:szCs w:val="20"/>
        </w:rPr>
        <w:t xml:space="preserve">is the notional amount of net long positions in credit rate derivatives traded on exchange scaled by asset. </w:t>
      </w:r>
      <w:r w:rsidR="006F3C4B" w:rsidRPr="0059184B">
        <w:rPr>
          <w:rFonts w:ascii="Times New Roman" w:hAnsi="Times New Roman" w:cs="Times New Roman"/>
          <w:sz w:val="20"/>
          <w:szCs w:val="20"/>
        </w:rPr>
        <w:t xml:space="preserve"> </w:t>
      </w:r>
      <w:r w:rsidR="005C2C8D" w:rsidRPr="0059184B">
        <w:rPr>
          <w:rFonts w:ascii="Times New Roman" w:hAnsi="Times New Roman" w:cs="Times New Roman"/>
          <w:i/>
          <w:sz w:val="20"/>
          <w:szCs w:val="20"/>
        </w:rPr>
        <w:t>Total asset</w:t>
      </w:r>
      <w:r w:rsidR="005C2C8D" w:rsidRPr="0059184B">
        <w:rPr>
          <w:rFonts w:ascii="Times New Roman" w:hAnsi="Times New Roman" w:cs="Times New Roman"/>
          <w:sz w:val="20"/>
          <w:szCs w:val="20"/>
        </w:rPr>
        <w:t xml:space="preserve">, </w:t>
      </w:r>
      <w:r w:rsidR="005C2C8D" w:rsidRPr="0059184B">
        <w:rPr>
          <w:rFonts w:ascii="Times New Roman" w:eastAsia="宋体" w:hAnsi="Times New Roman" w:cs="Times New Roman"/>
          <w:i/>
          <w:kern w:val="0"/>
          <w:sz w:val="20"/>
          <w:szCs w:val="20"/>
        </w:rPr>
        <w:t>Loan to depository institutions</w:t>
      </w:r>
      <w:r w:rsidR="005C2C8D" w:rsidRPr="0059184B">
        <w:rPr>
          <w:rFonts w:ascii="Times New Roman" w:eastAsia="宋体" w:hAnsi="Times New Roman" w:cs="Times New Roman"/>
          <w:kern w:val="0"/>
          <w:sz w:val="20"/>
          <w:szCs w:val="20"/>
        </w:rPr>
        <w:t xml:space="preserve"> and </w:t>
      </w:r>
      <w:r w:rsidR="005C2C8D" w:rsidRPr="0059184B">
        <w:rPr>
          <w:rFonts w:ascii="Times New Roman" w:eastAsia="宋体" w:hAnsi="Times New Roman" w:cs="Times New Roman"/>
          <w:i/>
          <w:kern w:val="0"/>
          <w:sz w:val="20"/>
          <w:szCs w:val="20"/>
        </w:rPr>
        <w:t>Balance due from depository institutions</w:t>
      </w:r>
      <w:r w:rsidR="005C2C8D" w:rsidRPr="0059184B">
        <w:rPr>
          <w:rFonts w:ascii="Times New Roman" w:eastAsia="宋体" w:hAnsi="Times New Roman" w:cs="Times New Roman"/>
          <w:kern w:val="0"/>
          <w:sz w:val="20"/>
          <w:szCs w:val="20"/>
        </w:rPr>
        <w:t xml:space="preserve"> are reported in billion USD</w:t>
      </w:r>
      <w:r w:rsidR="005C2C8D" w:rsidRPr="0059184B">
        <w:rPr>
          <w:rStyle w:val="a5"/>
          <w:rFonts w:ascii="Times New Roman" w:eastAsia="宋体" w:hAnsi="Times New Roman" w:cs="Times New Roman"/>
          <w:kern w:val="0"/>
          <w:sz w:val="20"/>
          <w:szCs w:val="20"/>
        </w:rPr>
        <w:footnoteReference w:id="13"/>
      </w:r>
      <w:r w:rsidR="005C2C8D" w:rsidRPr="0059184B">
        <w:rPr>
          <w:rFonts w:ascii="Times New Roman" w:eastAsia="宋体" w:hAnsi="Times New Roman" w:cs="Times New Roman"/>
          <w:kern w:val="0"/>
          <w:sz w:val="20"/>
          <w:szCs w:val="20"/>
        </w:rPr>
        <w:t xml:space="preserve">. </w:t>
      </w:r>
      <w:r w:rsidR="001535D2" w:rsidRPr="0059184B">
        <w:rPr>
          <w:rFonts w:ascii="Times New Roman" w:eastAsia="宋体" w:hAnsi="Times New Roman" w:cs="Times New Roman"/>
          <w:i/>
          <w:kern w:val="0"/>
          <w:sz w:val="20"/>
          <w:szCs w:val="20"/>
        </w:rPr>
        <w:t>Loan loss provision</w:t>
      </w:r>
      <w:r w:rsidR="001535D2" w:rsidRPr="0059184B">
        <w:rPr>
          <w:rFonts w:ascii="Times New Roman" w:eastAsia="宋体" w:hAnsi="Times New Roman" w:cs="Times New Roman"/>
          <w:kern w:val="0"/>
          <w:sz w:val="20"/>
          <w:szCs w:val="20"/>
        </w:rPr>
        <w:t xml:space="preserve"> is </w:t>
      </w:r>
      <w:r w:rsidR="001535D2" w:rsidRPr="0059184B">
        <w:rPr>
          <w:rFonts w:ascii="Times New Roman" w:hAnsi="Times New Roman" w:cs="Times New Roman"/>
          <w:sz w:val="20"/>
          <w:szCs w:val="20"/>
        </w:rPr>
        <w:t xml:space="preserve">the ratio of loan loss provision to net interest income. </w:t>
      </w:r>
      <w:r w:rsidR="001535D2" w:rsidRPr="0059184B">
        <w:rPr>
          <w:rFonts w:ascii="Times New Roman" w:hAnsi="Times New Roman" w:cs="Times New Roman"/>
          <w:i/>
          <w:sz w:val="20"/>
          <w:szCs w:val="20"/>
        </w:rPr>
        <w:t>Tier 1 ratio</w:t>
      </w:r>
      <w:r w:rsidR="001535D2" w:rsidRPr="0059184B">
        <w:rPr>
          <w:rFonts w:ascii="Times New Roman" w:hAnsi="Times New Roman" w:cs="Times New Roman"/>
          <w:sz w:val="20"/>
          <w:szCs w:val="20"/>
        </w:rPr>
        <w:t xml:space="preserve"> is tier 1 capital as a percent of total risk-weighted assets. </w:t>
      </w:r>
      <w:r w:rsidR="005C2C8D" w:rsidRPr="0059184B">
        <w:rPr>
          <w:rFonts w:ascii="Times New Roman" w:hAnsi="Times New Roman" w:cs="Times New Roman"/>
          <w:i/>
          <w:sz w:val="20"/>
          <w:szCs w:val="20"/>
        </w:rPr>
        <w:t>Exposure to housing price change</w:t>
      </w:r>
      <w:r w:rsidR="005C2C8D" w:rsidRPr="0059184B">
        <w:rPr>
          <w:rFonts w:ascii="Times New Roman" w:hAnsi="Times New Roman" w:cs="Times New Roman"/>
          <w:sz w:val="20"/>
          <w:szCs w:val="20"/>
        </w:rPr>
        <w:t xml:space="preserve"> is calculated as average weighted housing </w:t>
      </w:r>
      <w:r w:rsidR="001535D2" w:rsidRPr="0059184B">
        <w:rPr>
          <w:rFonts w:ascii="Times New Roman" w:hAnsi="Times New Roman" w:cs="Times New Roman"/>
          <w:sz w:val="20"/>
          <w:szCs w:val="20"/>
        </w:rPr>
        <w:t>price changes</w:t>
      </w:r>
      <w:r w:rsidR="005C2C8D" w:rsidRPr="0059184B">
        <w:rPr>
          <w:rFonts w:ascii="Times New Roman" w:hAnsi="Times New Roman" w:cs="Times New Roman"/>
          <w:sz w:val="20"/>
          <w:szCs w:val="20"/>
        </w:rPr>
        <w:t xml:space="preserve"> derived by using the </w:t>
      </w:r>
      <w:r w:rsidR="005C2C8D" w:rsidRPr="0059184B">
        <w:rPr>
          <w:rFonts w:ascii="Times New Roman" w:eastAsia="宋体" w:hAnsi="Times New Roman" w:cs="Times New Roman"/>
          <w:kern w:val="0"/>
          <w:sz w:val="20"/>
          <w:szCs w:val="20"/>
        </w:rPr>
        <w:t xml:space="preserve">proportion of deposits a bank has in each state. </w:t>
      </w:r>
      <w:r w:rsidR="005C2C8D" w:rsidRPr="0059184B">
        <w:rPr>
          <w:rFonts w:ascii="Times New Roman" w:eastAsia="宋体" w:hAnsi="Times New Roman" w:cs="Times New Roman"/>
          <w:i/>
          <w:kern w:val="0"/>
          <w:sz w:val="20"/>
          <w:szCs w:val="20"/>
        </w:rPr>
        <w:t>HHI index</w:t>
      </w:r>
      <w:r w:rsidR="005C2C8D" w:rsidRPr="0059184B">
        <w:rPr>
          <w:rFonts w:ascii="Times New Roman" w:eastAsia="宋体" w:hAnsi="Times New Roman" w:cs="Times New Roman"/>
          <w:kern w:val="0"/>
          <w:sz w:val="20"/>
          <w:szCs w:val="20"/>
        </w:rPr>
        <w:t xml:space="preserve"> is the logarithm value of the average weighted </w:t>
      </w:r>
      <w:proofErr w:type="spellStart"/>
      <w:r w:rsidR="005C2C8D" w:rsidRPr="0059184B">
        <w:rPr>
          <w:rFonts w:ascii="Times New Roman" w:eastAsia="宋体" w:hAnsi="Times New Roman" w:cs="Times New Roman"/>
          <w:kern w:val="0"/>
          <w:sz w:val="20"/>
          <w:szCs w:val="20"/>
        </w:rPr>
        <w:t>Herfindahl</w:t>
      </w:r>
      <w:proofErr w:type="spellEnd"/>
      <w:r w:rsidR="005C2C8D" w:rsidRPr="0059184B">
        <w:rPr>
          <w:rFonts w:ascii="Times New Roman" w:eastAsia="宋体" w:hAnsi="Times New Roman" w:cs="Times New Roman"/>
          <w:kern w:val="0"/>
          <w:sz w:val="20"/>
          <w:szCs w:val="20"/>
        </w:rPr>
        <w:t>-Hirschman Index derived by using the proportion of deposits a bank has in each state</w:t>
      </w:r>
      <w:r w:rsidR="001535D2" w:rsidRPr="0059184B">
        <w:rPr>
          <w:rFonts w:ascii="Times New Roman" w:eastAsia="宋体" w:hAnsi="Times New Roman" w:cs="Times New Roman"/>
          <w:kern w:val="0"/>
          <w:sz w:val="20"/>
          <w:szCs w:val="20"/>
        </w:rPr>
        <w:t>.</w:t>
      </w:r>
    </w:p>
    <w:p w:rsidR="005C2C8D" w:rsidRPr="0059184B" w:rsidRDefault="005C2C8D" w:rsidP="00067D46">
      <w:pPr>
        <w:rPr>
          <w:rFonts w:ascii="Times New Roman" w:eastAsia="宋体" w:hAnsi="Times New Roman" w:cs="Times New Roman"/>
          <w:kern w:val="0"/>
          <w:sz w:val="20"/>
          <w:szCs w:val="20"/>
        </w:rPr>
      </w:pPr>
    </w:p>
    <w:tbl>
      <w:tblPr>
        <w:tblW w:w="9485" w:type="dxa"/>
        <w:jc w:val="center"/>
        <w:tblInd w:w="93" w:type="dxa"/>
        <w:tblLook w:val="04A0" w:firstRow="1" w:lastRow="0" w:firstColumn="1" w:lastColumn="0" w:noHBand="0" w:noVBand="1"/>
      </w:tblPr>
      <w:tblGrid>
        <w:gridCol w:w="3651"/>
        <w:gridCol w:w="863"/>
        <w:gridCol w:w="943"/>
        <w:gridCol w:w="927"/>
        <w:gridCol w:w="1039"/>
        <w:gridCol w:w="927"/>
        <w:gridCol w:w="1135"/>
      </w:tblGrid>
      <w:tr w:rsidR="002724A4" w:rsidRPr="0059184B" w:rsidTr="001535D2">
        <w:trPr>
          <w:trHeight w:val="426"/>
          <w:jc w:val="center"/>
        </w:trPr>
        <w:tc>
          <w:tcPr>
            <w:tcW w:w="3651" w:type="dxa"/>
            <w:tcBorders>
              <w:left w:val="nil"/>
              <w:bottom w:val="single" w:sz="4" w:space="0" w:color="auto"/>
              <w:right w:val="nil"/>
            </w:tcBorders>
            <w:shd w:val="clear" w:color="auto" w:fill="auto"/>
            <w:noWrap/>
            <w:vAlign w:val="center"/>
          </w:tcPr>
          <w:p w:rsidR="002724A4" w:rsidRPr="0059184B" w:rsidRDefault="002724A4" w:rsidP="005C2C8D">
            <w:pPr>
              <w:widowControl/>
              <w:jc w:val="left"/>
              <w:rPr>
                <w:rFonts w:ascii="Times New Roman" w:eastAsia="宋体" w:hAnsi="Times New Roman" w:cs="Times New Roman"/>
                <w:b/>
                <w:bCs/>
                <w:kern w:val="0"/>
                <w:sz w:val="20"/>
                <w:szCs w:val="20"/>
              </w:rPr>
            </w:pPr>
            <w:r w:rsidRPr="0059184B">
              <w:rPr>
                <w:rFonts w:ascii="Times New Roman" w:eastAsia="宋体" w:hAnsi="Times New Roman" w:cs="Times New Roman"/>
                <w:b/>
                <w:bCs/>
                <w:kern w:val="0"/>
                <w:sz w:val="20"/>
                <w:szCs w:val="20"/>
              </w:rPr>
              <w:t>Panel B</w:t>
            </w:r>
          </w:p>
        </w:tc>
        <w:tc>
          <w:tcPr>
            <w:tcW w:w="863" w:type="dxa"/>
            <w:tcBorders>
              <w:left w:val="nil"/>
              <w:bottom w:val="single" w:sz="4" w:space="0" w:color="auto"/>
              <w:right w:val="nil"/>
            </w:tcBorders>
            <w:shd w:val="clear" w:color="auto" w:fill="auto"/>
            <w:noWrap/>
            <w:vAlign w:val="center"/>
          </w:tcPr>
          <w:p w:rsidR="002724A4" w:rsidRPr="0059184B" w:rsidRDefault="002724A4" w:rsidP="005C2C8D">
            <w:pPr>
              <w:widowControl/>
              <w:jc w:val="center"/>
              <w:rPr>
                <w:rFonts w:ascii="Times New Roman" w:eastAsia="宋体" w:hAnsi="Times New Roman" w:cs="Times New Roman"/>
                <w:kern w:val="0"/>
                <w:sz w:val="20"/>
                <w:szCs w:val="20"/>
              </w:rPr>
            </w:pPr>
          </w:p>
        </w:tc>
        <w:tc>
          <w:tcPr>
            <w:tcW w:w="943" w:type="dxa"/>
            <w:tcBorders>
              <w:left w:val="nil"/>
              <w:bottom w:val="single" w:sz="4" w:space="0" w:color="auto"/>
              <w:right w:val="nil"/>
            </w:tcBorders>
            <w:shd w:val="clear" w:color="auto" w:fill="auto"/>
            <w:vAlign w:val="center"/>
          </w:tcPr>
          <w:p w:rsidR="002724A4" w:rsidRPr="0059184B" w:rsidRDefault="002724A4" w:rsidP="005C2C8D">
            <w:pPr>
              <w:widowControl/>
              <w:jc w:val="center"/>
              <w:rPr>
                <w:rFonts w:ascii="Times New Roman" w:eastAsia="宋体" w:hAnsi="Times New Roman" w:cs="Times New Roman"/>
                <w:kern w:val="0"/>
                <w:sz w:val="20"/>
                <w:szCs w:val="20"/>
              </w:rPr>
            </w:pPr>
          </w:p>
        </w:tc>
        <w:tc>
          <w:tcPr>
            <w:tcW w:w="927" w:type="dxa"/>
            <w:tcBorders>
              <w:left w:val="nil"/>
              <w:bottom w:val="single" w:sz="4" w:space="0" w:color="auto"/>
              <w:right w:val="nil"/>
            </w:tcBorders>
            <w:shd w:val="clear" w:color="auto" w:fill="auto"/>
            <w:noWrap/>
            <w:vAlign w:val="center"/>
          </w:tcPr>
          <w:p w:rsidR="002724A4" w:rsidRPr="0059184B" w:rsidRDefault="002724A4" w:rsidP="005C2C8D">
            <w:pPr>
              <w:widowControl/>
              <w:jc w:val="left"/>
              <w:rPr>
                <w:rFonts w:ascii="Times New Roman" w:eastAsia="宋体" w:hAnsi="Times New Roman" w:cs="Times New Roman"/>
                <w:kern w:val="0"/>
                <w:sz w:val="20"/>
              </w:rPr>
            </w:pPr>
          </w:p>
        </w:tc>
        <w:tc>
          <w:tcPr>
            <w:tcW w:w="1039" w:type="dxa"/>
            <w:tcBorders>
              <w:left w:val="nil"/>
              <w:bottom w:val="single" w:sz="4" w:space="0" w:color="auto"/>
              <w:right w:val="nil"/>
            </w:tcBorders>
            <w:shd w:val="clear" w:color="auto" w:fill="auto"/>
            <w:noWrap/>
            <w:vAlign w:val="center"/>
          </w:tcPr>
          <w:p w:rsidR="002724A4" w:rsidRPr="0059184B" w:rsidRDefault="002724A4" w:rsidP="005C2C8D">
            <w:pPr>
              <w:widowControl/>
              <w:jc w:val="center"/>
              <w:rPr>
                <w:rFonts w:ascii="Times New Roman" w:eastAsia="宋体" w:hAnsi="Times New Roman" w:cs="Times New Roman"/>
                <w:kern w:val="0"/>
                <w:sz w:val="20"/>
                <w:szCs w:val="20"/>
              </w:rPr>
            </w:pPr>
          </w:p>
        </w:tc>
        <w:tc>
          <w:tcPr>
            <w:tcW w:w="927" w:type="dxa"/>
            <w:tcBorders>
              <w:left w:val="nil"/>
              <w:bottom w:val="single" w:sz="4" w:space="0" w:color="auto"/>
              <w:right w:val="nil"/>
            </w:tcBorders>
            <w:shd w:val="clear" w:color="auto" w:fill="auto"/>
            <w:noWrap/>
            <w:vAlign w:val="center"/>
          </w:tcPr>
          <w:p w:rsidR="002724A4" w:rsidRPr="0059184B" w:rsidRDefault="002724A4" w:rsidP="005C2C8D">
            <w:pPr>
              <w:widowControl/>
              <w:jc w:val="center"/>
              <w:rPr>
                <w:rFonts w:ascii="Times New Roman" w:eastAsia="宋体" w:hAnsi="Times New Roman" w:cs="Times New Roman"/>
                <w:kern w:val="0"/>
                <w:sz w:val="20"/>
                <w:szCs w:val="20"/>
              </w:rPr>
            </w:pPr>
          </w:p>
        </w:tc>
        <w:tc>
          <w:tcPr>
            <w:tcW w:w="1135" w:type="dxa"/>
            <w:tcBorders>
              <w:left w:val="nil"/>
              <w:bottom w:val="single" w:sz="4" w:space="0" w:color="auto"/>
              <w:right w:val="nil"/>
            </w:tcBorders>
            <w:shd w:val="clear" w:color="auto" w:fill="auto"/>
            <w:noWrap/>
            <w:vAlign w:val="center"/>
          </w:tcPr>
          <w:p w:rsidR="002724A4" w:rsidRPr="0059184B" w:rsidRDefault="002724A4" w:rsidP="005C2C8D">
            <w:pPr>
              <w:widowControl/>
              <w:jc w:val="center"/>
              <w:rPr>
                <w:rFonts w:ascii="Times New Roman" w:eastAsia="宋体" w:hAnsi="Times New Roman" w:cs="Times New Roman"/>
                <w:kern w:val="0"/>
                <w:sz w:val="20"/>
                <w:szCs w:val="20"/>
              </w:rPr>
            </w:pPr>
          </w:p>
        </w:tc>
      </w:tr>
      <w:tr w:rsidR="005C2C8D" w:rsidRPr="0059184B" w:rsidTr="001535D2">
        <w:trPr>
          <w:trHeight w:val="426"/>
          <w:jc w:val="center"/>
        </w:trPr>
        <w:tc>
          <w:tcPr>
            <w:tcW w:w="3651" w:type="dxa"/>
            <w:tcBorders>
              <w:top w:val="single" w:sz="4" w:space="0" w:color="auto"/>
              <w:left w:val="nil"/>
              <w:bottom w:val="single" w:sz="4" w:space="0" w:color="auto"/>
              <w:right w:val="nil"/>
            </w:tcBorders>
            <w:shd w:val="clear" w:color="auto" w:fill="auto"/>
            <w:noWrap/>
            <w:vAlign w:val="center"/>
            <w:hideMark/>
          </w:tcPr>
          <w:p w:rsidR="005C2C8D" w:rsidRPr="0059184B" w:rsidRDefault="005C2C8D" w:rsidP="005C2C8D">
            <w:pPr>
              <w:widowControl/>
              <w:jc w:val="left"/>
              <w:rPr>
                <w:rFonts w:ascii="Times New Roman" w:eastAsia="宋体" w:hAnsi="Times New Roman" w:cs="Times New Roman"/>
                <w:b/>
                <w:bCs/>
                <w:kern w:val="0"/>
                <w:sz w:val="20"/>
                <w:szCs w:val="20"/>
              </w:rPr>
            </w:pPr>
            <w:r w:rsidRPr="0059184B">
              <w:rPr>
                <w:rFonts w:ascii="Times New Roman" w:eastAsia="宋体" w:hAnsi="Times New Roman" w:cs="Times New Roman"/>
                <w:b/>
                <w:bCs/>
                <w:kern w:val="0"/>
                <w:sz w:val="20"/>
                <w:szCs w:val="20"/>
              </w:rPr>
              <w:t>Key Independent Variables</w:t>
            </w:r>
          </w:p>
        </w:tc>
        <w:tc>
          <w:tcPr>
            <w:tcW w:w="863" w:type="dxa"/>
            <w:tcBorders>
              <w:top w:val="single" w:sz="4" w:space="0" w:color="auto"/>
              <w:left w:val="nil"/>
              <w:bottom w:val="single" w:sz="4" w:space="0" w:color="auto"/>
              <w:right w:val="nil"/>
            </w:tcBorders>
            <w:shd w:val="clear" w:color="auto" w:fill="auto"/>
            <w:noWrap/>
            <w:vAlign w:val="center"/>
            <w:hideMark/>
          </w:tcPr>
          <w:p w:rsidR="005C2C8D" w:rsidRPr="0059184B" w:rsidRDefault="005C2C8D" w:rsidP="005C2C8D">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 xml:space="preserve">　</w:t>
            </w:r>
          </w:p>
        </w:tc>
        <w:tc>
          <w:tcPr>
            <w:tcW w:w="943" w:type="dxa"/>
            <w:tcBorders>
              <w:top w:val="single" w:sz="4" w:space="0" w:color="auto"/>
              <w:left w:val="nil"/>
              <w:bottom w:val="single" w:sz="4" w:space="0" w:color="auto"/>
              <w:right w:val="nil"/>
            </w:tcBorders>
            <w:shd w:val="clear" w:color="auto" w:fill="auto"/>
            <w:vAlign w:val="center"/>
            <w:hideMark/>
          </w:tcPr>
          <w:p w:rsidR="005C2C8D" w:rsidRPr="0059184B" w:rsidRDefault="005C2C8D" w:rsidP="005C2C8D">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 xml:space="preserve">　</w:t>
            </w:r>
          </w:p>
        </w:tc>
        <w:tc>
          <w:tcPr>
            <w:tcW w:w="927" w:type="dxa"/>
            <w:tcBorders>
              <w:top w:val="single" w:sz="4" w:space="0" w:color="auto"/>
              <w:left w:val="nil"/>
              <w:bottom w:val="single" w:sz="4" w:space="0" w:color="auto"/>
              <w:right w:val="nil"/>
            </w:tcBorders>
            <w:shd w:val="clear" w:color="auto" w:fill="auto"/>
            <w:noWrap/>
            <w:vAlign w:val="center"/>
            <w:hideMark/>
          </w:tcPr>
          <w:p w:rsidR="005C2C8D" w:rsidRPr="0059184B" w:rsidRDefault="005C2C8D" w:rsidP="005C2C8D">
            <w:pPr>
              <w:widowControl/>
              <w:jc w:val="left"/>
              <w:rPr>
                <w:rFonts w:ascii="Times New Roman" w:eastAsia="宋体" w:hAnsi="Times New Roman" w:cs="Times New Roman"/>
                <w:kern w:val="0"/>
                <w:sz w:val="20"/>
              </w:rPr>
            </w:pPr>
            <w:r w:rsidRPr="0059184B">
              <w:rPr>
                <w:rFonts w:ascii="Times New Roman" w:eastAsia="宋体" w:hAnsi="Times New Roman" w:cs="Times New Roman"/>
                <w:kern w:val="0"/>
                <w:sz w:val="20"/>
              </w:rPr>
              <w:t xml:space="preserve">　</w:t>
            </w:r>
          </w:p>
        </w:tc>
        <w:tc>
          <w:tcPr>
            <w:tcW w:w="1039" w:type="dxa"/>
            <w:tcBorders>
              <w:top w:val="single" w:sz="4" w:space="0" w:color="auto"/>
              <w:left w:val="nil"/>
              <w:bottom w:val="single" w:sz="4" w:space="0" w:color="auto"/>
              <w:right w:val="nil"/>
            </w:tcBorders>
            <w:shd w:val="clear" w:color="auto" w:fill="auto"/>
            <w:noWrap/>
            <w:vAlign w:val="center"/>
            <w:hideMark/>
          </w:tcPr>
          <w:p w:rsidR="005C2C8D" w:rsidRPr="0059184B" w:rsidRDefault="005C2C8D" w:rsidP="005C2C8D">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 xml:space="preserve">　</w:t>
            </w:r>
          </w:p>
        </w:tc>
        <w:tc>
          <w:tcPr>
            <w:tcW w:w="927" w:type="dxa"/>
            <w:tcBorders>
              <w:top w:val="single" w:sz="4" w:space="0" w:color="auto"/>
              <w:left w:val="nil"/>
              <w:bottom w:val="single" w:sz="4" w:space="0" w:color="auto"/>
              <w:right w:val="nil"/>
            </w:tcBorders>
            <w:shd w:val="clear" w:color="auto" w:fill="auto"/>
            <w:noWrap/>
            <w:vAlign w:val="center"/>
            <w:hideMark/>
          </w:tcPr>
          <w:p w:rsidR="005C2C8D" w:rsidRPr="0059184B" w:rsidRDefault="005C2C8D" w:rsidP="005C2C8D">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 xml:space="preserve">　</w:t>
            </w:r>
          </w:p>
        </w:tc>
        <w:tc>
          <w:tcPr>
            <w:tcW w:w="1135" w:type="dxa"/>
            <w:tcBorders>
              <w:top w:val="single" w:sz="4" w:space="0" w:color="auto"/>
              <w:left w:val="nil"/>
              <w:bottom w:val="single" w:sz="4" w:space="0" w:color="auto"/>
              <w:right w:val="nil"/>
            </w:tcBorders>
            <w:shd w:val="clear" w:color="auto" w:fill="auto"/>
            <w:noWrap/>
            <w:vAlign w:val="center"/>
            <w:hideMark/>
          </w:tcPr>
          <w:p w:rsidR="005C2C8D" w:rsidRPr="0059184B" w:rsidRDefault="005C2C8D" w:rsidP="005C2C8D">
            <w:pPr>
              <w:widowControl/>
              <w:jc w:val="center"/>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 xml:space="preserve">　</w:t>
            </w:r>
          </w:p>
        </w:tc>
      </w:tr>
      <w:tr w:rsidR="005C2C8D" w:rsidRPr="0059184B" w:rsidTr="001535D2">
        <w:trPr>
          <w:trHeight w:val="426"/>
          <w:jc w:val="center"/>
        </w:trPr>
        <w:tc>
          <w:tcPr>
            <w:tcW w:w="3651" w:type="dxa"/>
            <w:tcBorders>
              <w:top w:val="nil"/>
              <w:left w:val="nil"/>
              <w:bottom w:val="nil"/>
              <w:right w:val="nil"/>
            </w:tcBorders>
            <w:shd w:val="clear" w:color="auto" w:fill="auto"/>
            <w:vAlign w:val="center"/>
            <w:hideMark/>
          </w:tcPr>
          <w:p w:rsidR="005C2C8D" w:rsidRPr="0059184B" w:rsidRDefault="005C2C8D" w:rsidP="003872BF">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IR Derivatives</w:t>
            </w:r>
            <w:r w:rsidR="003872BF" w:rsidRPr="0059184B">
              <w:rPr>
                <w:rFonts w:ascii="Times New Roman" w:eastAsia="宋体" w:hAnsi="Times New Roman" w:cs="Times New Roman"/>
                <w:kern w:val="0"/>
                <w:sz w:val="20"/>
                <w:szCs w:val="20"/>
              </w:rPr>
              <w:t xml:space="preserve"> </w:t>
            </w:r>
            <w:r w:rsidRPr="0059184B">
              <w:rPr>
                <w:rFonts w:ascii="Times New Roman" w:eastAsia="宋体" w:hAnsi="Times New Roman" w:cs="Times New Roman"/>
                <w:kern w:val="0"/>
                <w:sz w:val="20"/>
                <w:szCs w:val="20"/>
              </w:rPr>
              <w:t>trading</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0.4804</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3.3438</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51.1553</w:t>
            </w:r>
          </w:p>
        </w:tc>
      </w:tr>
      <w:tr w:rsidR="005C2C8D" w:rsidRPr="0059184B" w:rsidTr="001535D2">
        <w:trPr>
          <w:trHeight w:val="426"/>
          <w:jc w:val="center"/>
        </w:trPr>
        <w:tc>
          <w:tcPr>
            <w:tcW w:w="3651" w:type="dxa"/>
            <w:tcBorders>
              <w:top w:val="nil"/>
              <w:left w:val="nil"/>
              <w:bottom w:val="nil"/>
              <w:right w:val="nil"/>
            </w:tcBorders>
            <w:shd w:val="clear" w:color="auto" w:fill="auto"/>
            <w:vAlign w:val="center"/>
            <w:hideMark/>
          </w:tcPr>
          <w:p w:rsidR="005C2C8D" w:rsidRPr="0059184B" w:rsidRDefault="005C2C8D" w:rsidP="003872BF">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IR Derivatives hedging</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0.0456</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0.0103</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0.1044</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1.5314</w:t>
            </w:r>
          </w:p>
        </w:tc>
      </w:tr>
      <w:tr w:rsidR="005C2C8D" w:rsidRPr="0059184B" w:rsidTr="001535D2">
        <w:trPr>
          <w:trHeight w:val="426"/>
          <w:jc w:val="center"/>
        </w:trPr>
        <w:tc>
          <w:tcPr>
            <w:tcW w:w="3651" w:type="dxa"/>
            <w:tcBorders>
              <w:top w:val="nil"/>
              <w:left w:val="nil"/>
              <w:bottom w:val="nil"/>
              <w:right w:val="nil"/>
            </w:tcBorders>
            <w:shd w:val="clear" w:color="auto" w:fill="auto"/>
            <w:vAlign w:val="center"/>
            <w:hideMark/>
          </w:tcPr>
          <w:p w:rsidR="005C2C8D" w:rsidRPr="0059184B" w:rsidRDefault="005C2C8D" w:rsidP="005C2C8D">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Net credit derivatives</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0.0002</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0.0059</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-0.0640</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0.1217</w:t>
            </w:r>
          </w:p>
        </w:tc>
      </w:tr>
      <w:tr w:rsidR="005C2C8D" w:rsidRPr="0059184B" w:rsidTr="001535D2">
        <w:trPr>
          <w:trHeight w:val="426"/>
          <w:jc w:val="center"/>
        </w:trPr>
        <w:tc>
          <w:tcPr>
            <w:tcW w:w="3651" w:type="dxa"/>
            <w:tcBorders>
              <w:top w:val="nil"/>
              <w:left w:val="nil"/>
              <w:bottom w:val="nil"/>
              <w:right w:val="nil"/>
            </w:tcBorders>
            <w:shd w:val="clear" w:color="auto" w:fill="auto"/>
            <w:vAlign w:val="center"/>
            <w:hideMark/>
          </w:tcPr>
          <w:p w:rsidR="005C2C8D" w:rsidRPr="0059184B" w:rsidRDefault="005C2C8D" w:rsidP="006F3C4B">
            <w:pPr>
              <w:widowControl/>
              <w:jc w:val="left"/>
              <w:rPr>
                <w:rFonts w:ascii="Times New Roman" w:eastAsia="宋体" w:hAnsi="Times New Roman" w:cs="Times New Roman"/>
                <w:kern w:val="0"/>
                <w:sz w:val="20"/>
                <w:szCs w:val="18"/>
              </w:rPr>
            </w:pPr>
            <w:r w:rsidRPr="0059184B">
              <w:rPr>
                <w:rFonts w:ascii="Times New Roman" w:eastAsia="宋体" w:hAnsi="Times New Roman" w:cs="Times New Roman"/>
                <w:kern w:val="0"/>
                <w:sz w:val="20"/>
                <w:szCs w:val="18"/>
              </w:rPr>
              <w:t>IR Derivatives OTC</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0.4267</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0.0110</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2.8096</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-0.0329</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42.3556</w:t>
            </w:r>
          </w:p>
        </w:tc>
      </w:tr>
      <w:tr w:rsidR="005C2C8D" w:rsidRPr="0059184B" w:rsidTr="001535D2">
        <w:trPr>
          <w:trHeight w:val="426"/>
          <w:jc w:val="center"/>
        </w:trPr>
        <w:tc>
          <w:tcPr>
            <w:tcW w:w="3651" w:type="dxa"/>
            <w:tcBorders>
              <w:top w:val="nil"/>
              <w:left w:val="nil"/>
              <w:bottom w:val="nil"/>
              <w:right w:val="nil"/>
            </w:tcBorders>
            <w:shd w:val="clear" w:color="auto" w:fill="auto"/>
            <w:vAlign w:val="center"/>
            <w:hideMark/>
          </w:tcPr>
          <w:p w:rsidR="005C2C8D" w:rsidRPr="0059184B" w:rsidRDefault="005C2C8D" w:rsidP="001535D2">
            <w:pPr>
              <w:widowControl/>
              <w:jc w:val="left"/>
              <w:rPr>
                <w:rFonts w:ascii="Times New Roman" w:eastAsia="宋体" w:hAnsi="Times New Roman" w:cs="Times New Roman"/>
                <w:kern w:val="0"/>
                <w:sz w:val="20"/>
                <w:szCs w:val="18"/>
              </w:rPr>
            </w:pPr>
            <w:r w:rsidRPr="0059184B">
              <w:rPr>
                <w:rFonts w:ascii="Times New Roman" w:eastAsia="宋体" w:hAnsi="Times New Roman" w:cs="Times New Roman"/>
                <w:kern w:val="0"/>
                <w:sz w:val="20"/>
                <w:szCs w:val="18"/>
              </w:rPr>
              <w:t xml:space="preserve">IR Derivatives </w:t>
            </w:r>
            <w:r w:rsidR="001535D2" w:rsidRPr="0059184B">
              <w:rPr>
                <w:rFonts w:ascii="Times New Roman" w:eastAsia="宋体" w:hAnsi="Times New Roman" w:cs="Times New Roman"/>
                <w:kern w:val="0"/>
                <w:sz w:val="20"/>
                <w:szCs w:val="18"/>
              </w:rPr>
              <w:t>E</w:t>
            </w:r>
            <w:r w:rsidRPr="0059184B">
              <w:rPr>
                <w:rFonts w:ascii="Times New Roman" w:eastAsia="宋体" w:hAnsi="Times New Roman" w:cs="Times New Roman"/>
                <w:kern w:val="0"/>
                <w:sz w:val="20"/>
                <w:szCs w:val="18"/>
              </w:rPr>
              <w:t>xchange</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0.0193</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0.1052</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-0.0359</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1.4426</w:t>
            </w:r>
          </w:p>
        </w:tc>
      </w:tr>
      <w:tr w:rsidR="005C2C8D" w:rsidRPr="0059184B" w:rsidTr="001535D2">
        <w:trPr>
          <w:trHeight w:val="426"/>
          <w:jc w:val="center"/>
        </w:trPr>
        <w:tc>
          <w:tcPr>
            <w:tcW w:w="3651" w:type="dxa"/>
            <w:tcBorders>
              <w:top w:val="nil"/>
              <w:left w:val="nil"/>
              <w:bottom w:val="nil"/>
              <w:right w:val="nil"/>
            </w:tcBorders>
            <w:shd w:val="clear" w:color="auto" w:fill="auto"/>
            <w:vAlign w:val="center"/>
            <w:hideMark/>
          </w:tcPr>
          <w:p w:rsidR="005C2C8D" w:rsidRPr="0059184B" w:rsidRDefault="005C2C8D" w:rsidP="006F3C4B">
            <w:pPr>
              <w:widowControl/>
              <w:jc w:val="left"/>
              <w:rPr>
                <w:rFonts w:ascii="Times New Roman" w:eastAsia="宋体" w:hAnsi="Times New Roman" w:cs="Times New Roman"/>
                <w:kern w:val="0"/>
                <w:sz w:val="20"/>
                <w:szCs w:val="18"/>
              </w:rPr>
            </w:pPr>
            <w:r w:rsidRPr="0059184B">
              <w:rPr>
                <w:rFonts w:ascii="Times New Roman" w:eastAsia="宋体" w:hAnsi="Times New Roman" w:cs="Times New Roman"/>
                <w:kern w:val="0"/>
                <w:sz w:val="20"/>
                <w:szCs w:val="18"/>
              </w:rPr>
              <w:t xml:space="preserve">Credit Derivatives OTC </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0.0005</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0.0055</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-0.0540</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0.1118</w:t>
            </w:r>
          </w:p>
        </w:tc>
      </w:tr>
      <w:tr w:rsidR="005C2C8D" w:rsidRPr="0059184B" w:rsidTr="001535D2">
        <w:trPr>
          <w:trHeight w:val="426"/>
          <w:jc w:val="center"/>
        </w:trPr>
        <w:tc>
          <w:tcPr>
            <w:tcW w:w="3651" w:type="dxa"/>
            <w:tcBorders>
              <w:top w:val="nil"/>
              <w:left w:val="nil"/>
              <w:bottom w:val="nil"/>
              <w:right w:val="nil"/>
            </w:tcBorders>
            <w:shd w:val="clear" w:color="auto" w:fill="auto"/>
            <w:vAlign w:val="center"/>
            <w:hideMark/>
          </w:tcPr>
          <w:p w:rsidR="005C2C8D" w:rsidRPr="0059184B" w:rsidRDefault="005C2C8D" w:rsidP="006F3C4B">
            <w:pPr>
              <w:widowControl/>
              <w:jc w:val="left"/>
              <w:rPr>
                <w:rFonts w:ascii="Times New Roman" w:eastAsia="宋体" w:hAnsi="Times New Roman" w:cs="Times New Roman"/>
                <w:kern w:val="0"/>
                <w:sz w:val="20"/>
                <w:szCs w:val="18"/>
              </w:rPr>
            </w:pPr>
            <w:r w:rsidRPr="0059184B">
              <w:rPr>
                <w:rFonts w:ascii="Times New Roman" w:eastAsia="宋体" w:hAnsi="Times New Roman" w:cs="Times New Roman"/>
                <w:kern w:val="0"/>
                <w:sz w:val="20"/>
                <w:szCs w:val="18"/>
              </w:rPr>
              <w:t>Credit Derivatives exchange</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0.0004</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-0.0113</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0.0088</w:t>
            </w:r>
          </w:p>
        </w:tc>
      </w:tr>
      <w:tr w:rsidR="005C2C8D" w:rsidRPr="0059184B" w:rsidTr="001535D2">
        <w:trPr>
          <w:trHeight w:val="426"/>
          <w:jc w:val="center"/>
        </w:trPr>
        <w:tc>
          <w:tcPr>
            <w:tcW w:w="3651" w:type="dxa"/>
            <w:tcBorders>
              <w:top w:val="nil"/>
              <w:left w:val="nil"/>
              <w:bottom w:val="nil"/>
              <w:right w:val="nil"/>
            </w:tcBorders>
            <w:shd w:val="clear" w:color="auto" w:fill="auto"/>
            <w:vAlign w:val="center"/>
            <w:hideMark/>
          </w:tcPr>
          <w:p w:rsidR="005C2C8D" w:rsidRPr="0059184B" w:rsidRDefault="005C2C8D" w:rsidP="005C2C8D">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Loan to depository institutions</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3414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0.3493</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2.2351</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0.0000</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25.8000</w:t>
            </w:r>
          </w:p>
        </w:tc>
      </w:tr>
      <w:tr w:rsidR="005C2C8D" w:rsidRPr="0059184B" w:rsidTr="001535D2">
        <w:trPr>
          <w:trHeight w:val="426"/>
          <w:jc w:val="center"/>
        </w:trPr>
        <w:tc>
          <w:tcPr>
            <w:tcW w:w="3651" w:type="dxa"/>
            <w:tcBorders>
              <w:top w:val="nil"/>
              <w:left w:val="nil"/>
              <w:bottom w:val="nil"/>
              <w:right w:val="nil"/>
            </w:tcBorders>
            <w:shd w:val="clear" w:color="auto" w:fill="auto"/>
            <w:vAlign w:val="center"/>
            <w:hideMark/>
          </w:tcPr>
          <w:p w:rsidR="005C2C8D" w:rsidRPr="0059184B" w:rsidRDefault="005C2C8D" w:rsidP="005C2C8D">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Balance due from depository institutions</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3414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0.0063</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0.0001</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0.0424</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-0.0202</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1.0370</w:t>
            </w:r>
          </w:p>
        </w:tc>
      </w:tr>
      <w:tr w:rsidR="005C2C8D" w:rsidRPr="0059184B" w:rsidTr="001535D2">
        <w:trPr>
          <w:trHeight w:val="426"/>
          <w:jc w:val="center"/>
        </w:trPr>
        <w:tc>
          <w:tcPr>
            <w:tcW w:w="3651" w:type="dxa"/>
            <w:tcBorders>
              <w:top w:val="nil"/>
              <w:left w:val="nil"/>
              <w:bottom w:val="nil"/>
              <w:right w:val="nil"/>
            </w:tcBorders>
            <w:shd w:val="clear" w:color="auto" w:fill="auto"/>
            <w:noWrap/>
            <w:vAlign w:val="center"/>
            <w:hideMark/>
          </w:tcPr>
          <w:p w:rsidR="005C2C8D" w:rsidRPr="0059184B" w:rsidRDefault="005C2C8D" w:rsidP="005C2C8D">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Total asset</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58.9375</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4.4191</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279.0158</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0.8761</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2572.2740</w:t>
            </w:r>
          </w:p>
        </w:tc>
      </w:tr>
      <w:tr w:rsidR="005C2C8D" w:rsidRPr="0059184B" w:rsidTr="001535D2">
        <w:trPr>
          <w:trHeight w:val="426"/>
          <w:jc w:val="center"/>
        </w:trPr>
        <w:tc>
          <w:tcPr>
            <w:tcW w:w="3651" w:type="dxa"/>
            <w:tcBorders>
              <w:top w:val="nil"/>
              <w:left w:val="nil"/>
              <w:bottom w:val="nil"/>
              <w:right w:val="nil"/>
            </w:tcBorders>
            <w:shd w:val="clear" w:color="auto" w:fill="auto"/>
            <w:noWrap/>
            <w:vAlign w:val="center"/>
            <w:hideMark/>
          </w:tcPr>
          <w:p w:rsidR="005C2C8D" w:rsidRPr="0059184B" w:rsidRDefault="005C2C8D" w:rsidP="005C2C8D">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Loan loss provision</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0.1937</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0.0883</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0.3284</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-0.6409</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4.9213</w:t>
            </w:r>
          </w:p>
        </w:tc>
      </w:tr>
      <w:tr w:rsidR="005C2C8D" w:rsidRPr="0059184B" w:rsidTr="001535D2">
        <w:trPr>
          <w:trHeight w:val="426"/>
          <w:jc w:val="center"/>
        </w:trPr>
        <w:tc>
          <w:tcPr>
            <w:tcW w:w="3651" w:type="dxa"/>
            <w:tcBorders>
              <w:top w:val="nil"/>
              <w:left w:val="nil"/>
              <w:bottom w:val="nil"/>
              <w:right w:val="nil"/>
            </w:tcBorders>
            <w:shd w:val="clear" w:color="auto" w:fill="auto"/>
            <w:noWrap/>
            <w:vAlign w:val="center"/>
            <w:hideMark/>
          </w:tcPr>
          <w:p w:rsidR="005C2C8D" w:rsidRPr="0059184B" w:rsidRDefault="005C2C8D" w:rsidP="005C2C8D">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Tier 1 ratio</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0.0924</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0.0910</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0.0188</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0.0313</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0.1937</w:t>
            </w:r>
          </w:p>
        </w:tc>
      </w:tr>
      <w:tr w:rsidR="005C2C8D" w:rsidRPr="0059184B" w:rsidTr="001535D2">
        <w:trPr>
          <w:trHeight w:val="426"/>
          <w:jc w:val="center"/>
        </w:trPr>
        <w:tc>
          <w:tcPr>
            <w:tcW w:w="3651" w:type="dxa"/>
            <w:tcBorders>
              <w:top w:val="nil"/>
              <w:left w:val="nil"/>
              <w:bottom w:val="nil"/>
              <w:right w:val="nil"/>
            </w:tcBorders>
            <w:shd w:val="clear" w:color="auto" w:fill="auto"/>
            <w:noWrap/>
            <w:vAlign w:val="center"/>
            <w:hideMark/>
          </w:tcPr>
          <w:p w:rsidR="005C2C8D" w:rsidRPr="0059184B" w:rsidRDefault="005C2C8D" w:rsidP="005C2C8D">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Exposure to housing price change</w:t>
            </w:r>
          </w:p>
        </w:tc>
        <w:tc>
          <w:tcPr>
            <w:tcW w:w="86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-0.0015</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-0.0015</w:t>
            </w:r>
          </w:p>
        </w:tc>
        <w:tc>
          <w:tcPr>
            <w:tcW w:w="1039"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0.0241</w:t>
            </w:r>
          </w:p>
        </w:tc>
        <w:tc>
          <w:tcPr>
            <w:tcW w:w="927"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-0.0989</w:t>
            </w:r>
          </w:p>
        </w:tc>
        <w:tc>
          <w:tcPr>
            <w:tcW w:w="1135" w:type="dxa"/>
            <w:tcBorders>
              <w:top w:val="nil"/>
              <w:left w:val="nil"/>
              <w:bottom w:val="nil"/>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0.0849</w:t>
            </w:r>
          </w:p>
        </w:tc>
      </w:tr>
      <w:tr w:rsidR="005C2C8D" w:rsidRPr="0059184B" w:rsidTr="001535D2">
        <w:trPr>
          <w:trHeight w:val="426"/>
          <w:jc w:val="center"/>
        </w:trPr>
        <w:tc>
          <w:tcPr>
            <w:tcW w:w="3651" w:type="dxa"/>
            <w:tcBorders>
              <w:top w:val="nil"/>
              <w:left w:val="nil"/>
              <w:bottom w:val="single" w:sz="4" w:space="0" w:color="auto"/>
              <w:right w:val="nil"/>
            </w:tcBorders>
            <w:shd w:val="clear" w:color="auto" w:fill="auto"/>
            <w:noWrap/>
            <w:vAlign w:val="center"/>
            <w:hideMark/>
          </w:tcPr>
          <w:p w:rsidR="005C2C8D" w:rsidRPr="0059184B" w:rsidRDefault="005C2C8D" w:rsidP="005C2C8D">
            <w:pPr>
              <w:widowControl/>
              <w:jc w:val="left"/>
              <w:rPr>
                <w:rFonts w:ascii="Times New Roman" w:eastAsia="宋体" w:hAnsi="Times New Roman" w:cs="Times New Roman"/>
                <w:kern w:val="0"/>
                <w:sz w:val="20"/>
                <w:szCs w:val="20"/>
              </w:rPr>
            </w:pPr>
            <w:r w:rsidRPr="0059184B">
              <w:rPr>
                <w:rFonts w:ascii="Times New Roman" w:eastAsia="宋体" w:hAnsi="Times New Roman" w:cs="Times New Roman"/>
                <w:kern w:val="0"/>
                <w:sz w:val="20"/>
                <w:szCs w:val="20"/>
              </w:rPr>
              <w:t>HHI index</w:t>
            </w:r>
          </w:p>
        </w:tc>
        <w:tc>
          <w:tcPr>
            <w:tcW w:w="863" w:type="dxa"/>
            <w:tcBorders>
              <w:top w:val="nil"/>
              <w:left w:val="nil"/>
              <w:bottom w:val="single" w:sz="4" w:space="0" w:color="auto"/>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3724</w:t>
            </w:r>
          </w:p>
        </w:tc>
        <w:tc>
          <w:tcPr>
            <w:tcW w:w="943" w:type="dxa"/>
            <w:tcBorders>
              <w:top w:val="nil"/>
              <w:left w:val="nil"/>
              <w:bottom w:val="single" w:sz="4" w:space="0" w:color="auto"/>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6.5846</w:t>
            </w:r>
          </w:p>
        </w:tc>
        <w:tc>
          <w:tcPr>
            <w:tcW w:w="927" w:type="dxa"/>
            <w:tcBorders>
              <w:top w:val="nil"/>
              <w:left w:val="nil"/>
              <w:bottom w:val="single" w:sz="4" w:space="0" w:color="auto"/>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6.6281</w:t>
            </w:r>
          </w:p>
        </w:tc>
        <w:tc>
          <w:tcPr>
            <w:tcW w:w="1039" w:type="dxa"/>
            <w:tcBorders>
              <w:top w:val="nil"/>
              <w:left w:val="nil"/>
              <w:bottom w:val="single" w:sz="4" w:space="0" w:color="auto"/>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0.5303</w:t>
            </w:r>
          </w:p>
        </w:tc>
        <w:tc>
          <w:tcPr>
            <w:tcW w:w="927" w:type="dxa"/>
            <w:tcBorders>
              <w:top w:val="nil"/>
              <w:left w:val="nil"/>
              <w:bottom w:val="single" w:sz="4" w:space="0" w:color="auto"/>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3.4417</w:t>
            </w:r>
          </w:p>
        </w:tc>
        <w:tc>
          <w:tcPr>
            <w:tcW w:w="1135" w:type="dxa"/>
            <w:tcBorders>
              <w:top w:val="nil"/>
              <w:left w:val="nil"/>
              <w:bottom w:val="single" w:sz="4" w:space="0" w:color="auto"/>
              <w:right w:val="nil"/>
            </w:tcBorders>
            <w:shd w:val="clear" w:color="auto" w:fill="auto"/>
            <w:noWrap/>
            <w:vAlign w:val="center"/>
            <w:hideMark/>
          </w:tcPr>
          <w:p w:rsidR="005C2C8D" w:rsidRPr="0059184B" w:rsidRDefault="005C2C8D" w:rsidP="005C2C8D">
            <w:pPr>
              <w:widowControl/>
              <w:jc w:val="right"/>
              <w:rPr>
                <w:rFonts w:ascii="Times New Roman" w:eastAsia="宋体" w:hAnsi="Times New Roman" w:cs="Times New Roman"/>
                <w:kern w:val="0"/>
                <w:sz w:val="20"/>
              </w:rPr>
            </w:pPr>
            <w:r w:rsidRPr="0059184B">
              <w:rPr>
                <w:rFonts w:ascii="Times New Roman" w:eastAsia="宋体" w:hAnsi="Times New Roman" w:cs="Times New Roman"/>
                <w:kern w:val="0"/>
                <w:sz w:val="20"/>
              </w:rPr>
              <w:t>8.0995</w:t>
            </w:r>
          </w:p>
        </w:tc>
      </w:tr>
    </w:tbl>
    <w:p w:rsidR="0074400B" w:rsidRPr="0059184B" w:rsidRDefault="0074400B" w:rsidP="0074400B">
      <w:pPr>
        <w:rPr>
          <w:rFonts w:ascii="Times New Roman" w:hAnsi="Times New Roman" w:cs="Times New Roman"/>
          <w:sz w:val="20"/>
          <w:szCs w:val="20"/>
        </w:rPr>
      </w:pPr>
    </w:p>
    <w:p w:rsidR="0039338C" w:rsidRPr="0059184B" w:rsidRDefault="0074400B" w:rsidP="0042609F">
      <w:pPr>
        <w:jc w:val="center"/>
      </w:pPr>
      <w:r w:rsidRPr="0059184B">
        <w:br w:type="page"/>
      </w:r>
    </w:p>
    <w:p w:rsidR="001E66F6" w:rsidRPr="0059184B" w:rsidRDefault="0065696A" w:rsidP="008F16F1">
      <w:pPr>
        <w:pStyle w:val="3"/>
        <w:jc w:val="center"/>
        <w:rPr>
          <w:rFonts w:ascii="Times New Roman" w:hAnsi="Times New Roman" w:cs="Times New Roman"/>
          <w:sz w:val="24"/>
          <w:szCs w:val="24"/>
        </w:rPr>
      </w:pPr>
      <w:r w:rsidRPr="0059184B">
        <w:rPr>
          <w:rFonts w:ascii="Times New Roman" w:hAnsi="Times New Roman" w:cs="Times New Roman"/>
          <w:sz w:val="24"/>
          <w:szCs w:val="24"/>
        </w:rPr>
        <w:lastRenderedPageBreak/>
        <w:t xml:space="preserve">Table 2 </w:t>
      </w:r>
      <w:proofErr w:type="gramStart"/>
      <w:r w:rsidR="001E66F6" w:rsidRPr="0059184B">
        <w:rPr>
          <w:rFonts w:ascii="Times New Roman" w:hAnsi="Times New Roman" w:cs="Times New Roman"/>
          <w:sz w:val="24"/>
          <w:szCs w:val="24"/>
        </w:rPr>
        <w:t>The</w:t>
      </w:r>
      <w:proofErr w:type="gramEnd"/>
      <w:r w:rsidR="001E66F6" w:rsidRPr="0059184B">
        <w:rPr>
          <w:rFonts w:ascii="Times New Roman" w:hAnsi="Times New Roman" w:cs="Times New Roman"/>
          <w:sz w:val="24"/>
          <w:szCs w:val="24"/>
        </w:rPr>
        <w:t xml:space="preserve"> Effects of Derivative Use</w:t>
      </w:r>
      <w:r w:rsidRPr="0059184B">
        <w:rPr>
          <w:rFonts w:ascii="Times New Roman" w:hAnsi="Times New Roman" w:cs="Times New Roman"/>
          <w:sz w:val="24"/>
          <w:szCs w:val="24"/>
        </w:rPr>
        <w:t xml:space="preserve"> </w:t>
      </w:r>
      <w:r w:rsidR="001E66F6" w:rsidRPr="0059184B">
        <w:rPr>
          <w:rFonts w:ascii="Times New Roman" w:hAnsi="Times New Roman" w:cs="Times New Roman"/>
          <w:sz w:val="24"/>
          <w:szCs w:val="24"/>
        </w:rPr>
        <w:t>and DFA on Systemic Risk</w:t>
      </w:r>
    </w:p>
    <w:p w:rsidR="001E66F6" w:rsidRPr="0059184B" w:rsidRDefault="001E66F6" w:rsidP="001E66F6">
      <w:pPr>
        <w:pStyle w:val="Default"/>
        <w:jc w:val="both"/>
        <w:rPr>
          <w:color w:val="auto"/>
          <w:sz w:val="18"/>
          <w:szCs w:val="18"/>
        </w:rPr>
      </w:pPr>
      <w:r w:rsidRPr="0059184B">
        <w:rPr>
          <w:color w:val="auto"/>
          <w:sz w:val="18"/>
          <w:szCs w:val="18"/>
        </w:rPr>
        <w:t xml:space="preserve">The dependent variables in the regressions are change in conditional Value at Risk at 95%, marginal expected shortfall at 95% and banking industry beta calculated using 1 year of daily stock price. All regressions include unreported time fixed effects and firm fixed effects. </w:t>
      </w:r>
      <w:proofErr w:type="spellStart"/>
      <w:r w:rsidRPr="0059184B">
        <w:rPr>
          <w:i/>
          <w:color w:val="auto"/>
          <w:sz w:val="18"/>
          <w:szCs w:val="18"/>
        </w:rPr>
        <w:t>PostDFA</w:t>
      </w:r>
      <w:proofErr w:type="spellEnd"/>
      <w:r w:rsidRPr="0059184B">
        <w:rPr>
          <w:color w:val="auto"/>
          <w:sz w:val="18"/>
          <w:szCs w:val="18"/>
        </w:rPr>
        <w:t xml:space="preserve"> is a dummy set to one after Dodd-Frank Act is issued and zero otherwise. </w:t>
      </w:r>
      <w:r w:rsidRPr="0059184B">
        <w:rPr>
          <w:i/>
          <w:color w:val="auto"/>
          <w:sz w:val="18"/>
          <w:szCs w:val="18"/>
        </w:rPr>
        <w:t>Size</w:t>
      </w:r>
      <w:r w:rsidRPr="0059184B">
        <w:rPr>
          <w:color w:val="auto"/>
          <w:sz w:val="18"/>
          <w:szCs w:val="18"/>
        </w:rPr>
        <w:t xml:space="preserve"> is calculated as the logarithm of total asset. </w:t>
      </w:r>
      <w:r w:rsidRPr="0059184B">
        <w:rPr>
          <w:i/>
          <w:color w:val="auto"/>
          <w:sz w:val="18"/>
          <w:szCs w:val="18"/>
        </w:rPr>
        <w:t>Exposure to housing price change</w:t>
      </w:r>
      <w:r w:rsidRPr="0059184B">
        <w:rPr>
          <w:color w:val="auto"/>
          <w:sz w:val="18"/>
          <w:szCs w:val="18"/>
        </w:rPr>
        <w:t xml:space="preserve"> is a weighted average of the returns on the state-specific Fannie Mae real estate index where the weights are the fraction of bank deposits in the various states. </w:t>
      </w:r>
      <w:r w:rsidRPr="0059184B">
        <w:rPr>
          <w:i/>
          <w:color w:val="auto"/>
          <w:sz w:val="18"/>
          <w:szCs w:val="18"/>
        </w:rPr>
        <w:t>HHI</w:t>
      </w:r>
      <w:r w:rsidRPr="0059184B">
        <w:rPr>
          <w:color w:val="auto"/>
          <w:sz w:val="18"/>
          <w:szCs w:val="18"/>
        </w:rPr>
        <w:t xml:space="preserve"> is a weighted average of the </w:t>
      </w:r>
      <w:proofErr w:type="spellStart"/>
      <w:r w:rsidRPr="0059184B">
        <w:rPr>
          <w:color w:val="auto"/>
          <w:sz w:val="18"/>
          <w:szCs w:val="18"/>
        </w:rPr>
        <w:t>Herfindahl</w:t>
      </w:r>
      <w:proofErr w:type="spellEnd"/>
      <w:r w:rsidRPr="0059184B">
        <w:rPr>
          <w:color w:val="auto"/>
          <w:sz w:val="18"/>
          <w:szCs w:val="18"/>
        </w:rPr>
        <w:t xml:space="preserve">-Hirschman index where the weights are the fraction of bank deposits in the various states. </w:t>
      </w:r>
      <w:r w:rsidRPr="0059184B">
        <w:rPr>
          <w:i/>
          <w:color w:val="auto"/>
          <w:sz w:val="18"/>
          <w:szCs w:val="18"/>
        </w:rPr>
        <w:t>Special capital</w:t>
      </w:r>
      <w:r w:rsidRPr="0059184B">
        <w:rPr>
          <w:color w:val="auto"/>
          <w:sz w:val="18"/>
          <w:szCs w:val="18"/>
        </w:rPr>
        <w:t xml:space="preserve"> is a dummy set to one if the bank uses any of the government bailout special capital programs. </w:t>
      </w:r>
      <w:r w:rsidRPr="0059184B">
        <w:rPr>
          <w:i/>
          <w:color w:val="auto"/>
          <w:sz w:val="18"/>
          <w:szCs w:val="18"/>
        </w:rPr>
        <w:t xml:space="preserve">Acquisition </w:t>
      </w:r>
      <w:r w:rsidRPr="0059184B">
        <w:rPr>
          <w:color w:val="auto"/>
          <w:sz w:val="18"/>
          <w:szCs w:val="18"/>
        </w:rPr>
        <w:t xml:space="preserve">is a dummy set to one if the bank acquires other banks in that quarter. Standard errors are </w:t>
      </w:r>
      <w:proofErr w:type="spellStart"/>
      <w:r w:rsidRPr="0059184B">
        <w:rPr>
          <w:color w:val="auto"/>
          <w:sz w:val="18"/>
          <w:szCs w:val="18"/>
        </w:rPr>
        <w:t>heteroskedasticity</w:t>
      </w:r>
      <w:proofErr w:type="spellEnd"/>
      <w:r w:rsidRPr="0059184B">
        <w:rPr>
          <w:color w:val="auto"/>
          <w:sz w:val="18"/>
          <w:szCs w:val="18"/>
        </w:rPr>
        <w:t>-consistent</w:t>
      </w:r>
    </w:p>
    <w:p w:rsidR="00933A1B" w:rsidRPr="0059184B" w:rsidRDefault="00933A1B" w:rsidP="001E66F6">
      <w:pPr>
        <w:pStyle w:val="Default"/>
        <w:jc w:val="both"/>
        <w:rPr>
          <w:color w:val="auto"/>
          <w:sz w:val="18"/>
          <w:szCs w:val="18"/>
        </w:rPr>
      </w:pPr>
    </w:p>
    <w:tbl>
      <w:tblPr>
        <w:tblW w:w="9589" w:type="dxa"/>
        <w:jc w:val="center"/>
        <w:tblInd w:w="93" w:type="dxa"/>
        <w:tblLook w:val="04A0" w:firstRow="1" w:lastRow="0" w:firstColumn="1" w:lastColumn="0" w:noHBand="0" w:noVBand="1"/>
      </w:tblPr>
      <w:tblGrid>
        <w:gridCol w:w="3355"/>
        <w:gridCol w:w="1041"/>
        <w:gridCol w:w="1041"/>
        <w:gridCol w:w="1041"/>
        <w:gridCol w:w="1041"/>
        <w:gridCol w:w="1041"/>
        <w:gridCol w:w="1041"/>
      </w:tblGrid>
      <w:tr w:rsidR="0065696A" w:rsidRPr="0059184B" w:rsidTr="0065696A">
        <w:trPr>
          <w:trHeight w:val="270"/>
          <w:jc w:val="center"/>
        </w:trPr>
        <w:tc>
          <w:tcPr>
            <w:tcW w:w="3355"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宋体" w:eastAsia="宋体" w:hAnsi="宋体" w:cs="宋体"/>
                <w:kern w:val="0"/>
                <w:sz w:val="22"/>
              </w:rPr>
            </w:pPr>
            <w:r w:rsidRPr="0059184B">
              <w:rPr>
                <w:rFonts w:ascii="宋体" w:eastAsia="宋体" w:hAnsi="宋体" w:cs="宋体" w:hint="eastAsia"/>
                <w:kern w:val="0"/>
                <w:sz w:val="22"/>
              </w:rPr>
              <w:t xml:space="preserve">　</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(1)</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(2)</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(3)</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(4)</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(5)</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(6)</w:t>
            </w:r>
          </w:p>
        </w:tc>
      </w:tr>
      <w:tr w:rsidR="0065696A" w:rsidRPr="0059184B" w:rsidTr="0065696A">
        <w:trPr>
          <w:trHeight w:val="300"/>
          <w:jc w:val="center"/>
        </w:trPr>
        <w:tc>
          <w:tcPr>
            <w:tcW w:w="3355"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22"/>
              </w:rPr>
            </w:pP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宋体" w:eastAsia="宋体" w:hAnsi="宋体" w:cs="Times New Roman" w:hint="eastAsia"/>
                <w:kern w:val="0"/>
                <w:sz w:val="18"/>
                <w:szCs w:val="18"/>
              </w:rPr>
              <w:t>△</w:t>
            </w:r>
            <w:proofErr w:type="spellStart"/>
            <w:r w:rsidRPr="0059184B">
              <w:rPr>
                <w:rFonts w:ascii="Times New Roman" w:eastAsia="宋体" w:hAnsi="Times New Roman" w:cs="Times New Roman"/>
                <w:kern w:val="0"/>
                <w:sz w:val="18"/>
                <w:szCs w:val="18"/>
              </w:rPr>
              <w:t>CoVaR</w:t>
            </w:r>
            <w:proofErr w:type="spellEnd"/>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MES</w:t>
            </w: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Bank beta</w:t>
            </w: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宋体" w:eastAsia="宋体" w:hAnsi="宋体" w:cs="Times New Roman" w:hint="eastAsia"/>
                <w:kern w:val="0"/>
                <w:sz w:val="18"/>
                <w:szCs w:val="18"/>
              </w:rPr>
              <w:t>△</w:t>
            </w:r>
            <w:proofErr w:type="spellStart"/>
            <w:r w:rsidRPr="0059184B">
              <w:rPr>
                <w:rFonts w:ascii="Times New Roman" w:eastAsia="宋体" w:hAnsi="Times New Roman" w:cs="Times New Roman"/>
                <w:kern w:val="0"/>
                <w:sz w:val="18"/>
                <w:szCs w:val="18"/>
              </w:rPr>
              <w:t>CoVaR</w:t>
            </w:r>
            <w:proofErr w:type="spellEnd"/>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MES</w:t>
            </w: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Bank beta</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5A46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 Derivatives trading</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0.0046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0.0043</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5A46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 Derivatives hedging</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-0.0121*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-0.0134**</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0.2269***</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-0.0155***</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-0.0209***</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0.2248***</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5A46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Net credit derivatives</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-0.0643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-0.1139*</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0.5826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-0.2027***</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-0.2199***</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1.2956</w:t>
            </w:r>
          </w:p>
        </w:tc>
      </w:tr>
      <w:tr w:rsidR="0065696A" w:rsidRPr="0059184B" w:rsidTr="0065696A">
        <w:trPr>
          <w:trHeight w:val="300"/>
          <w:jc w:val="center"/>
        </w:trPr>
        <w:tc>
          <w:tcPr>
            <w:tcW w:w="3355"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Loan to depository institutions</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0.1013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0.0920</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1.1042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0.0740</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0.0242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0.9290</w:t>
            </w:r>
          </w:p>
        </w:tc>
      </w:tr>
      <w:tr w:rsidR="0065696A" w:rsidRPr="0059184B" w:rsidTr="0065696A">
        <w:trPr>
          <w:trHeight w:val="300"/>
          <w:jc w:val="center"/>
        </w:trPr>
        <w:tc>
          <w:tcPr>
            <w:tcW w:w="3355"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Balance due from depository institutions</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0.6468**</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-1.4026***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3.5906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0.7120**</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-1.4006***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2.8682</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Post DFA dummy</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0.0112***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-0.0050***</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-0.4275***</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5B5A0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 Derivatives trading</w:t>
            </w:r>
            <w:r w:rsidR="0065696A" w:rsidRPr="0059184B">
              <w:rPr>
                <w:rFonts w:ascii="Times New Roman" w:eastAsia="宋体" w:hAnsi="Times New Roman" w:cs="Times New Roman"/>
                <w:kern w:val="0"/>
                <w:sz w:val="18"/>
                <w:szCs w:val="18"/>
              </w:rPr>
              <w:t xml:space="preserve"> * </w:t>
            </w:r>
            <w:proofErr w:type="spellStart"/>
            <w:r w:rsidR="0065696A" w:rsidRPr="0059184B">
              <w:rPr>
                <w:rFonts w:ascii="Times New Roman" w:eastAsia="宋体" w:hAnsi="Times New Roman" w:cs="Times New Roman"/>
                <w:kern w:val="0"/>
                <w:sz w:val="18"/>
                <w:szCs w:val="18"/>
              </w:rPr>
              <w:t>PostDFA</w:t>
            </w:r>
            <w:proofErr w:type="spellEnd"/>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0.0028</w:t>
            </w:r>
          </w:p>
        </w:tc>
      </w:tr>
      <w:tr w:rsidR="0065696A" w:rsidRPr="0059184B" w:rsidTr="003D7F71">
        <w:trPr>
          <w:trHeight w:val="117"/>
          <w:jc w:val="center"/>
        </w:trPr>
        <w:tc>
          <w:tcPr>
            <w:tcW w:w="3355" w:type="dxa"/>
            <w:tcBorders>
              <w:top w:val="nil"/>
              <w:left w:val="nil"/>
              <w:bottom w:val="nil"/>
              <w:right w:val="nil"/>
            </w:tcBorders>
            <w:shd w:val="clear" w:color="auto" w:fill="auto"/>
            <w:vAlign w:val="center"/>
            <w:hideMark/>
          </w:tcPr>
          <w:p w:rsidR="0065696A" w:rsidRPr="0059184B" w:rsidRDefault="005B5A0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 Derivatives hedging</w:t>
            </w:r>
            <w:r w:rsidR="0065696A" w:rsidRPr="0059184B">
              <w:rPr>
                <w:rFonts w:ascii="Times New Roman" w:eastAsia="宋体" w:hAnsi="Times New Roman" w:cs="Times New Roman"/>
                <w:kern w:val="0"/>
                <w:sz w:val="18"/>
                <w:szCs w:val="18"/>
              </w:rPr>
              <w:t xml:space="preserve"> * </w:t>
            </w:r>
            <w:proofErr w:type="spellStart"/>
            <w:r w:rsidR="0065696A" w:rsidRPr="0059184B">
              <w:rPr>
                <w:rFonts w:ascii="Times New Roman" w:eastAsia="宋体" w:hAnsi="Times New Roman" w:cs="Times New Roman"/>
                <w:kern w:val="0"/>
                <w:sz w:val="18"/>
                <w:szCs w:val="18"/>
              </w:rPr>
              <w:t>PostDFA</w:t>
            </w:r>
            <w:proofErr w:type="spellEnd"/>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0.0115***</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0.0282***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-0.0456</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Net Credit Derivatives * </w:t>
            </w:r>
            <w:proofErr w:type="spellStart"/>
            <w:r w:rsidRPr="0059184B">
              <w:rPr>
                <w:rFonts w:ascii="Times New Roman" w:eastAsia="宋体" w:hAnsi="Times New Roman" w:cs="Times New Roman"/>
                <w:kern w:val="0"/>
                <w:sz w:val="18"/>
                <w:szCs w:val="18"/>
              </w:rPr>
              <w:t>PostDFA</w:t>
            </w:r>
            <w:proofErr w:type="spellEnd"/>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0.4773***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0.2911***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-2.1118</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Size</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-0.0062**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0.2211***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-0.0005</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-0.0065**</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0.2215***</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Tier 1 ratio</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-0.0293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-0.0638</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1.7109***</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-0.0309</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-0.0673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1.7191***</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Loan Loss Provision</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-0.0050***</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0.0089</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-0.0020***</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-0.0045**</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0.0086</w:t>
            </w:r>
          </w:p>
        </w:tc>
      </w:tr>
      <w:tr w:rsidR="0065696A" w:rsidRPr="0059184B" w:rsidTr="0065696A">
        <w:trPr>
          <w:trHeight w:val="300"/>
          <w:jc w:val="center"/>
        </w:trPr>
        <w:tc>
          <w:tcPr>
            <w:tcW w:w="3355"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Book to market ratio</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-0.0322***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-0.0323***</w:t>
            </w:r>
          </w:p>
        </w:tc>
      </w:tr>
      <w:tr w:rsidR="0065696A" w:rsidRPr="0059184B" w:rsidTr="0065696A">
        <w:trPr>
          <w:trHeight w:val="300"/>
          <w:jc w:val="center"/>
        </w:trPr>
        <w:tc>
          <w:tcPr>
            <w:tcW w:w="3355"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Return on average assets</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-0.0148</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0.2833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-0.0127</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0.0025</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0.2818</w:t>
            </w:r>
          </w:p>
        </w:tc>
      </w:tr>
      <w:tr w:rsidR="0065696A" w:rsidRPr="0059184B" w:rsidTr="0065696A">
        <w:trPr>
          <w:trHeight w:val="300"/>
          <w:jc w:val="center"/>
        </w:trPr>
        <w:tc>
          <w:tcPr>
            <w:tcW w:w="3355"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Short-term borrowing</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-0.0841***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-0.0771**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-0.1128</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-0.0803***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-0.0673**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-0.1068</w:t>
            </w:r>
          </w:p>
        </w:tc>
      </w:tr>
      <w:tr w:rsidR="0065696A" w:rsidRPr="0059184B" w:rsidTr="0065696A">
        <w:trPr>
          <w:trHeight w:val="300"/>
          <w:jc w:val="center"/>
        </w:trPr>
        <w:tc>
          <w:tcPr>
            <w:tcW w:w="3355"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Stock price volatility in 6 months</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-0.1448***</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-0.4982***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9.7276***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-0.1310***</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-0.4756***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9.6896***</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Acquisition</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-0.0422***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-0.0004</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-0.0422***</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Special capital users dummy</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-0.0008</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-0.0005</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-0.0024</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Exposure to housing price change</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0.0077</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0.0706*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-0.1144</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0.0062</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0.0685*</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-0.1093</w:t>
            </w:r>
          </w:p>
        </w:tc>
      </w:tr>
      <w:tr w:rsidR="0065696A" w:rsidRPr="0059184B" w:rsidTr="0065696A">
        <w:trPr>
          <w:trHeight w:val="300"/>
          <w:jc w:val="center"/>
        </w:trPr>
        <w:tc>
          <w:tcPr>
            <w:tcW w:w="3355"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HHI index</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0.0050</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0.0059</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0.0011</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0.0044</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0.0054</w:t>
            </w:r>
          </w:p>
        </w:tc>
      </w:tr>
      <w:tr w:rsidR="0065696A" w:rsidRPr="0059184B" w:rsidTr="0065696A">
        <w:trPr>
          <w:trHeight w:val="300"/>
          <w:jc w:val="center"/>
        </w:trPr>
        <w:tc>
          <w:tcPr>
            <w:tcW w:w="3355"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Intercept</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-0.0287</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0.0243</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-1.1709**</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-0.0236</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0.0310</w:t>
            </w:r>
          </w:p>
        </w:tc>
        <w:tc>
          <w:tcPr>
            <w:tcW w:w="1039"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-1.1708**</w:t>
            </w:r>
          </w:p>
        </w:tc>
      </w:tr>
      <w:tr w:rsidR="0065696A" w:rsidRPr="0059184B" w:rsidTr="0065696A">
        <w:trPr>
          <w:trHeight w:val="300"/>
          <w:jc w:val="center"/>
        </w:trPr>
        <w:tc>
          <w:tcPr>
            <w:tcW w:w="3355"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Adj.R</w:t>
            </w:r>
            <w:proofErr w:type="spellEnd"/>
            <w:r w:rsidRPr="0059184B">
              <w:rPr>
                <w:rFonts w:ascii="Times New Roman" w:eastAsia="宋体" w:hAnsi="Times New Roman" w:cs="Times New Roman"/>
                <w:kern w:val="0"/>
                <w:sz w:val="18"/>
                <w:szCs w:val="18"/>
              </w:rPr>
              <w:t>-squared</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0.627</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0.641</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0.404</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0.631</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0.642</w:t>
            </w:r>
          </w:p>
        </w:tc>
        <w:tc>
          <w:tcPr>
            <w:tcW w:w="1039"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0.404</w:t>
            </w:r>
          </w:p>
        </w:tc>
      </w:tr>
      <w:tr w:rsidR="0065696A" w:rsidRPr="0059184B" w:rsidTr="0065696A">
        <w:trPr>
          <w:trHeight w:val="300"/>
          <w:jc w:val="center"/>
        </w:trPr>
        <w:tc>
          <w:tcPr>
            <w:tcW w:w="3355"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N</w:t>
            </w: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3414</w:t>
            </w: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3414</w:t>
            </w: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3414</w:t>
            </w: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3414</w:t>
            </w: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3414</w:t>
            </w:r>
          </w:p>
        </w:tc>
        <w:tc>
          <w:tcPr>
            <w:tcW w:w="1039"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3414</w:t>
            </w:r>
          </w:p>
        </w:tc>
      </w:tr>
    </w:tbl>
    <w:p w:rsidR="0065696A" w:rsidRPr="0059184B" w:rsidRDefault="0065696A" w:rsidP="001E66F6">
      <w:pPr>
        <w:widowControl/>
        <w:jc w:val="center"/>
        <w:rPr>
          <w:b/>
          <w:sz w:val="24"/>
          <w:szCs w:val="24"/>
        </w:rPr>
      </w:pPr>
    </w:p>
    <w:p w:rsidR="0065696A" w:rsidRPr="0059184B" w:rsidRDefault="0065696A">
      <w:pPr>
        <w:widowControl/>
        <w:jc w:val="left"/>
        <w:rPr>
          <w:b/>
          <w:sz w:val="24"/>
          <w:szCs w:val="24"/>
        </w:rPr>
      </w:pPr>
      <w:r w:rsidRPr="0059184B">
        <w:rPr>
          <w:b/>
          <w:sz w:val="24"/>
          <w:szCs w:val="24"/>
        </w:rPr>
        <w:br w:type="page"/>
      </w:r>
    </w:p>
    <w:p w:rsidR="0065696A" w:rsidRPr="0059184B" w:rsidRDefault="0065696A" w:rsidP="008F16F1">
      <w:pPr>
        <w:pStyle w:val="3"/>
        <w:jc w:val="center"/>
        <w:rPr>
          <w:rFonts w:ascii="Times New Roman" w:hAnsi="Times New Roman" w:cs="Times New Roman"/>
          <w:sz w:val="24"/>
          <w:szCs w:val="24"/>
        </w:rPr>
      </w:pPr>
      <w:r w:rsidRPr="0059184B">
        <w:rPr>
          <w:rFonts w:ascii="Times New Roman" w:hAnsi="Times New Roman" w:cs="Times New Roman"/>
          <w:sz w:val="24"/>
          <w:szCs w:val="24"/>
        </w:rPr>
        <w:lastRenderedPageBreak/>
        <w:t xml:space="preserve">Table 3 </w:t>
      </w:r>
      <w:proofErr w:type="gramStart"/>
      <w:r w:rsidRPr="0059184B">
        <w:rPr>
          <w:rFonts w:ascii="Times New Roman" w:hAnsi="Times New Roman" w:cs="Times New Roman"/>
          <w:sz w:val="24"/>
          <w:szCs w:val="24"/>
        </w:rPr>
        <w:t>The</w:t>
      </w:r>
      <w:proofErr w:type="gramEnd"/>
      <w:r w:rsidRPr="0059184B">
        <w:rPr>
          <w:rFonts w:ascii="Times New Roman" w:hAnsi="Times New Roman" w:cs="Times New Roman"/>
          <w:sz w:val="24"/>
          <w:szCs w:val="24"/>
        </w:rPr>
        <w:t xml:space="preserve"> Effects of Derivative Use and DFA on Systemic Risk</w:t>
      </w:r>
    </w:p>
    <w:p w:rsidR="0065696A" w:rsidRPr="0059184B" w:rsidRDefault="0065696A" w:rsidP="0065696A">
      <w:pPr>
        <w:pStyle w:val="Default"/>
        <w:jc w:val="both"/>
        <w:rPr>
          <w:color w:val="auto"/>
          <w:sz w:val="18"/>
          <w:szCs w:val="18"/>
        </w:rPr>
      </w:pPr>
      <w:r w:rsidRPr="0059184B">
        <w:rPr>
          <w:color w:val="auto"/>
          <w:sz w:val="18"/>
          <w:szCs w:val="18"/>
        </w:rPr>
        <w:t xml:space="preserve">The dependent variables in the regressions are change in conditional Value at Risk at 95%, marginal expected shortfall at 95% and banking industry beta calculated using 1 year of daily stock price. All regressions include unreported time fixed effects and firm fixed effects. </w:t>
      </w:r>
      <w:proofErr w:type="spellStart"/>
      <w:r w:rsidRPr="0059184B">
        <w:rPr>
          <w:color w:val="auto"/>
          <w:sz w:val="18"/>
          <w:szCs w:val="18"/>
        </w:rPr>
        <w:t>PostDFA</w:t>
      </w:r>
      <w:proofErr w:type="spellEnd"/>
      <w:r w:rsidRPr="0059184B">
        <w:rPr>
          <w:color w:val="auto"/>
          <w:sz w:val="18"/>
          <w:szCs w:val="18"/>
        </w:rPr>
        <w:t xml:space="preserve"> is a dummy set to one after Dodd-Frank Act is issued and zero otherwise. Size is calculated as the logarithm of total asset. Exposure to housing price change is a weighted average of the returns on the state-specific Fannie Mae real estate index where the weights are the fraction of bank deposits in the various states. HHI is a weighted average of the </w:t>
      </w:r>
      <w:proofErr w:type="spellStart"/>
      <w:r w:rsidRPr="0059184B">
        <w:rPr>
          <w:color w:val="auto"/>
          <w:sz w:val="18"/>
          <w:szCs w:val="18"/>
        </w:rPr>
        <w:t>Herfindahl</w:t>
      </w:r>
      <w:proofErr w:type="spellEnd"/>
      <w:r w:rsidRPr="0059184B">
        <w:rPr>
          <w:color w:val="auto"/>
          <w:sz w:val="18"/>
          <w:szCs w:val="18"/>
        </w:rPr>
        <w:t xml:space="preserve">-Hirschman index where the weights are the fraction of bank deposits in the various states. Special capital is a dummy set to one if the bank uses any of the government bailout special capital programs. Acquisition is a dummy set to one if the bank acquires other banks in that quarter. Standard errors are </w:t>
      </w:r>
      <w:proofErr w:type="spellStart"/>
      <w:r w:rsidRPr="0059184B">
        <w:rPr>
          <w:color w:val="auto"/>
          <w:sz w:val="18"/>
          <w:szCs w:val="18"/>
        </w:rPr>
        <w:t>heteroskedasticity</w:t>
      </w:r>
      <w:proofErr w:type="spellEnd"/>
      <w:r w:rsidRPr="0059184B">
        <w:rPr>
          <w:color w:val="auto"/>
          <w:sz w:val="18"/>
          <w:szCs w:val="18"/>
        </w:rPr>
        <w:t>-consistent</w:t>
      </w:r>
    </w:p>
    <w:p w:rsidR="0065696A" w:rsidRPr="0059184B" w:rsidRDefault="0065696A" w:rsidP="0065696A">
      <w:pPr>
        <w:pStyle w:val="Default"/>
        <w:jc w:val="both"/>
        <w:rPr>
          <w:color w:val="auto"/>
          <w:sz w:val="18"/>
          <w:szCs w:val="18"/>
        </w:rPr>
      </w:pPr>
    </w:p>
    <w:tbl>
      <w:tblPr>
        <w:tblW w:w="9861" w:type="dxa"/>
        <w:jc w:val="center"/>
        <w:tblInd w:w="93" w:type="dxa"/>
        <w:tblLook w:val="04A0" w:firstRow="1" w:lastRow="0" w:firstColumn="1" w:lastColumn="0" w:noHBand="0" w:noVBand="1"/>
      </w:tblPr>
      <w:tblGrid>
        <w:gridCol w:w="3575"/>
        <w:gridCol w:w="1041"/>
        <w:gridCol w:w="1041"/>
        <w:gridCol w:w="1081"/>
        <w:gridCol w:w="1041"/>
        <w:gridCol w:w="1041"/>
        <w:gridCol w:w="1041"/>
      </w:tblGrid>
      <w:tr w:rsidR="0065696A" w:rsidRPr="0059184B" w:rsidTr="005F3017">
        <w:trPr>
          <w:trHeight w:val="278"/>
          <w:jc w:val="center"/>
        </w:trPr>
        <w:tc>
          <w:tcPr>
            <w:tcW w:w="3575"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宋体" w:eastAsia="宋体" w:hAnsi="宋体" w:cs="宋体"/>
                <w:kern w:val="0"/>
                <w:sz w:val="22"/>
              </w:rPr>
            </w:pPr>
            <w:r w:rsidRPr="0059184B">
              <w:rPr>
                <w:rFonts w:ascii="宋体" w:eastAsia="宋体" w:hAnsi="宋体" w:cs="宋体" w:hint="eastAsia"/>
                <w:kern w:val="0"/>
                <w:sz w:val="22"/>
              </w:rPr>
              <w:t xml:space="preserve">　</w:t>
            </w:r>
          </w:p>
        </w:tc>
        <w:tc>
          <w:tcPr>
            <w:tcW w:w="104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(1)</w:t>
            </w:r>
          </w:p>
        </w:tc>
        <w:tc>
          <w:tcPr>
            <w:tcW w:w="104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(2)</w:t>
            </w:r>
          </w:p>
        </w:tc>
        <w:tc>
          <w:tcPr>
            <w:tcW w:w="108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(3)</w:t>
            </w:r>
          </w:p>
        </w:tc>
        <w:tc>
          <w:tcPr>
            <w:tcW w:w="104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(4)</w:t>
            </w:r>
          </w:p>
        </w:tc>
        <w:tc>
          <w:tcPr>
            <w:tcW w:w="104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(5)</w:t>
            </w:r>
          </w:p>
        </w:tc>
        <w:tc>
          <w:tcPr>
            <w:tcW w:w="104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(6)</w:t>
            </w:r>
          </w:p>
        </w:tc>
      </w:tr>
      <w:tr w:rsidR="0065696A" w:rsidRPr="0059184B" w:rsidTr="005F3017">
        <w:trPr>
          <w:trHeight w:val="278"/>
          <w:jc w:val="center"/>
        </w:trPr>
        <w:tc>
          <w:tcPr>
            <w:tcW w:w="3575"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宋体" w:eastAsia="宋体" w:hAnsi="宋体" w:cs="宋体"/>
                <w:kern w:val="0"/>
                <w:sz w:val="22"/>
              </w:rPr>
            </w:pPr>
          </w:p>
        </w:tc>
        <w:tc>
          <w:tcPr>
            <w:tcW w:w="104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宋体" w:eastAsia="宋体" w:hAnsi="宋体" w:cs="Times New Roman" w:hint="eastAsia"/>
                <w:kern w:val="0"/>
                <w:sz w:val="18"/>
                <w:szCs w:val="18"/>
              </w:rPr>
              <w:t>△</w:t>
            </w:r>
            <w:proofErr w:type="spellStart"/>
            <w:r w:rsidRPr="0059184B">
              <w:rPr>
                <w:rFonts w:ascii="Times New Roman" w:eastAsia="宋体" w:hAnsi="Times New Roman" w:cs="Times New Roman"/>
                <w:kern w:val="0"/>
                <w:sz w:val="18"/>
                <w:szCs w:val="18"/>
              </w:rPr>
              <w:t>CoVaR</w:t>
            </w:r>
            <w:proofErr w:type="spellEnd"/>
          </w:p>
        </w:tc>
        <w:tc>
          <w:tcPr>
            <w:tcW w:w="104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MES</w:t>
            </w:r>
          </w:p>
        </w:tc>
        <w:tc>
          <w:tcPr>
            <w:tcW w:w="108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Bank beta</w:t>
            </w:r>
          </w:p>
        </w:tc>
        <w:tc>
          <w:tcPr>
            <w:tcW w:w="104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宋体" w:eastAsia="宋体" w:hAnsi="宋体" w:cs="Times New Roman" w:hint="eastAsia"/>
                <w:kern w:val="0"/>
                <w:sz w:val="18"/>
                <w:szCs w:val="18"/>
              </w:rPr>
              <w:t>△</w:t>
            </w:r>
            <w:proofErr w:type="spellStart"/>
            <w:r w:rsidRPr="0059184B">
              <w:rPr>
                <w:rFonts w:ascii="Times New Roman" w:eastAsia="宋体" w:hAnsi="Times New Roman" w:cs="Times New Roman"/>
                <w:kern w:val="0"/>
                <w:sz w:val="18"/>
                <w:szCs w:val="18"/>
              </w:rPr>
              <w:t>CoVaR</w:t>
            </w:r>
            <w:proofErr w:type="spellEnd"/>
          </w:p>
        </w:tc>
        <w:tc>
          <w:tcPr>
            <w:tcW w:w="104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MES</w:t>
            </w:r>
          </w:p>
        </w:tc>
        <w:tc>
          <w:tcPr>
            <w:tcW w:w="104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Bank beta</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5B5A0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 Derivatives OTC</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0.0001</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0.0034</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0.0074</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 Derivatives exchange</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-0.0141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-0.0130</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0.2062**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-0.0225**</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-0.0210*</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0.2804**</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5B5A0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Credit Derivatives OTC </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-0.0683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-0.1299*</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0.7001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-0.1801***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-0.1932***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0.9645*</w:t>
            </w:r>
          </w:p>
        </w:tc>
      </w:tr>
      <w:tr w:rsidR="005F3017" w:rsidRPr="0059184B" w:rsidTr="005F3017">
        <w:trPr>
          <w:trHeight w:val="278"/>
          <w:jc w:val="center"/>
        </w:trPr>
        <w:tc>
          <w:tcPr>
            <w:tcW w:w="3575" w:type="dxa"/>
            <w:tcBorders>
              <w:top w:val="nil"/>
              <w:left w:val="nil"/>
              <w:bottom w:val="nil"/>
              <w:right w:val="nil"/>
            </w:tcBorders>
            <w:shd w:val="clear" w:color="auto" w:fill="auto"/>
            <w:noWrap/>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Loan to depository institutions</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0.1206</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0.1111</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0.7647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0.1066</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0.0857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0.5596</w:t>
            </w:r>
          </w:p>
        </w:tc>
      </w:tr>
      <w:tr w:rsidR="005F3017" w:rsidRPr="0059184B" w:rsidTr="005F3017">
        <w:trPr>
          <w:trHeight w:val="278"/>
          <w:jc w:val="center"/>
        </w:trPr>
        <w:tc>
          <w:tcPr>
            <w:tcW w:w="3575" w:type="dxa"/>
            <w:tcBorders>
              <w:top w:val="nil"/>
              <w:left w:val="nil"/>
              <w:bottom w:val="nil"/>
              <w:right w:val="nil"/>
            </w:tcBorders>
            <w:shd w:val="clear" w:color="auto" w:fill="auto"/>
            <w:noWrap/>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Balance due from depository institutions</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0.6788*</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-1.3582***</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2.9534</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0.7714**</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-1.3156***</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1.9640</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Post DFA dummy</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0.0117***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-0.0039**</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-0.4286***</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 Derivatives OTC * </w:t>
            </w:r>
            <w:proofErr w:type="spellStart"/>
            <w:r w:rsidRPr="0059184B">
              <w:rPr>
                <w:rFonts w:ascii="Times New Roman" w:eastAsia="宋体" w:hAnsi="Times New Roman" w:cs="Times New Roman"/>
                <w:kern w:val="0"/>
                <w:sz w:val="18"/>
                <w:szCs w:val="18"/>
              </w:rPr>
              <w:t>PostDFA</w:t>
            </w:r>
            <w:proofErr w:type="spellEnd"/>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-0.0005</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0.0128*</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 Derivatives exchange * </w:t>
            </w:r>
            <w:proofErr w:type="spellStart"/>
            <w:r w:rsidRPr="0059184B">
              <w:rPr>
                <w:rFonts w:ascii="Times New Roman" w:eastAsia="宋体" w:hAnsi="Times New Roman" w:cs="Times New Roman"/>
                <w:kern w:val="0"/>
                <w:sz w:val="18"/>
                <w:szCs w:val="18"/>
              </w:rPr>
              <w:t>PostDFA</w:t>
            </w:r>
            <w:proofErr w:type="spellEnd"/>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0.0091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0.0082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-0.1748*</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Credit Derivatives OTC * </w:t>
            </w:r>
            <w:proofErr w:type="spellStart"/>
            <w:r w:rsidRPr="0059184B">
              <w:rPr>
                <w:rFonts w:ascii="Times New Roman" w:eastAsia="宋体" w:hAnsi="Times New Roman" w:cs="Times New Roman"/>
                <w:kern w:val="0"/>
                <w:sz w:val="18"/>
                <w:szCs w:val="18"/>
              </w:rPr>
              <w:t>PostDFA</w:t>
            </w:r>
            <w:proofErr w:type="spellEnd"/>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0.4436***</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0.2790**</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-1.1274</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Size</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-0.0004</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-0.0063**</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0.2223***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-0.0005</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-0.0063**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0.2204***</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Tier 1 ratio</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-0.0290</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-0.0635</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1.6993***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-0.0300</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-0.0642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1.7100***</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Loan Loss Provision</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-0.0022***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-0.0050**</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0.0082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-0.0021***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-0.0049**</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0.0093</w:t>
            </w:r>
          </w:p>
        </w:tc>
      </w:tr>
      <w:tr w:rsidR="005F3017" w:rsidRPr="0059184B" w:rsidTr="005F3017">
        <w:trPr>
          <w:trHeight w:val="278"/>
          <w:jc w:val="center"/>
        </w:trPr>
        <w:tc>
          <w:tcPr>
            <w:tcW w:w="3575" w:type="dxa"/>
            <w:tcBorders>
              <w:top w:val="nil"/>
              <w:left w:val="nil"/>
              <w:bottom w:val="nil"/>
              <w:right w:val="nil"/>
            </w:tcBorders>
            <w:shd w:val="clear" w:color="auto" w:fill="auto"/>
            <w:noWrap/>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Book to market ratio</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0.0013</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-0.0325***</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0.0012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-0.0330***</w:t>
            </w:r>
          </w:p>
        </w:tc>
      </w:tr>
      <w:tr w:rsidR="005F3017" w:rsidRPr="0059184B" w:rsidTr="005F3017">
        <w:trPr>
          <w:trHeight w:val="278"/>
          <w:jc w:val="center"/>
        </w:trPr>
        <w:tc>
          <w:tcPr>
            <w:tcW w:w="3575" w:type="dxa"/>
            <w:tcBorders>
              <w:top w:val="nil"/>
              <w:left w:val="nil"/>
              <w:bottom w:val="nil"/>
              <w:right w:val="nil"/>
            </w:tcBorders>
            <w:shd w:val="clear" w:color="auto" w:fill="auto"/>
            <w:noWrap/>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Return on average assets</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-0.0141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-0.0009</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0.2711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-0.0134</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0.2808</w:t>
            </w:r>
          </w:p>
        </w:tc>
      </w:tr>
      <w:tr w:rsidR="005F3017" w:rsidRPr="0059184B" w:rsidTr="005F3017">
        <w:trPr>
          <w:trHeight w:val="278"/>
          <w:jc w:val="center"/>
        </w:trPr>
        <w:tc>
          <w:tcPr>
            <w:tcW w:w="3575" w:type="dxa"/>
            <w:tcBorders>
              <w:top w:val="nil"/>
              <w:left w:val="nil"/>
              <w:bottom w:val="nil"/>
              <w:right w:val="nil"/>
            </w:tcBorders>
            <w:shd w:val="clear" w:color="auto" w:fill="auto"/>
            <w:noWrap/>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Short-term borrowing</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-0.0861***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-0.0789**</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-0.0757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-0.0864***</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-0.0782**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-0.0375</w:t>
            </w:r>
          </w:p>
        </w:tc>
      </w:tr>
      <w:tr w:rsidR="005F3017" w:rsidRPr="0059184B" w:rsidTr="005F3017">
        <w:trPr>
          <w:trHeight w:val="278"/>
          <w:jc w:val="center"/>
        </w:trPr>
        <w:tc>
          <w:tcPr>
            <w:tcW w:w="3575" w:type="dxa"/>
            <w:tcBorders>
              <w:top w:val="nil"/>
              <w:left w:val="nil"/>
              <w:bottom w:val="nil"/>
              <w:right w:val="nil"/>
            </w:tcBorders>
            <w:shd w:val="clear" w:color="auto" w:fill="auto"/>
            <w:noWrap/>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Stock price volatility in 6m</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-0.1457***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-0.4993***</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9.7403***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-0.1386***</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-0.4935***</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9.7227***</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Acquisition</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0.0008</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0.0000</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-0.0463***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0.0009</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-0.0462***</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Special capital users dummy</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-0.0008</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-0.0005</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-0.0019</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-0.0004</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-0.0016</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Exposure to housing price change</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0.0064</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0.0693*</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-0.0926</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0.0688*</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-0.1006</w:t>
            </w:r>
          </w:p>
        </w:tc>
      </w:tr>
      <w:tr w:rsidR="005F3017" w:rsidRPr="0059184B" w:rsidTr="005F3017">
        <w:trPr>
          <w:trHeight w:val="278"/>
          <w:jc w:val="center"/>
        </w:trPr>
        <w:tc>
          <w:tcPr>
            <w:tcW w:w="3575" w:type="dxa"/>
            <w:tcBorders>
              <w:top w:val="nil"/>
              <w:left w:val="nil"/>
              <w:bottom w:val="nil"/>
              <w:right w:val="nil"/>
            </w:tcBorders>
            <w:shd w:val="clear" w:color="auto" w:fill="auto"/>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HHI index</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0.0017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0.0051</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0.0037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0.0012</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0.0047</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0.0019</w:t>
            </w:r>
          </w:p>
        </w:tc>
      </w:tr>
      <w:tr w:rsidR="005F3017" w:rsidRPr="0059184B" w:rsidTr="005F3017">
        <w:trPr>
          <w:trHeight w:val="278"/>
          <w:jc w:val="center"/>
        </w:trPr>
        <w:tc>
          <w:tcPr>
            <w:tcW w:w="3575" w:type="dxa"/>
            <w:tcBorders>
              <w:top w:val="nil"/>
              <w:left w:val="nil"/>
              <w:bottom w:val="nil"/>
              <w:right w:val="nil"/>
            </w:tcBorders>
            <w:shd w:val="clear" w:color="auto" w:fill="auto"/>
            <w:noWrap/>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Intercept</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-0.0291</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0.0239</w:t>
            </w:r>
          </w:p>
        </w:tc>
        <w:tc>
          <w:tcPr>
            <w:tcW w:w="108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-1.1583**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-0.0253</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0.0275</w:t>
            </w:r>
          </w:p>
        </w:tc>
        <w:tc>
          <w:tcPr>
            <w:tcW w:w="1041" w:type="dxa"/>
            <w:tcBorders>
              <w:top w:val="nil"/>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-1.1344**</w:t>
            </w:r>
          </w:p>
        </w:tc>
      </w:tr>
      <w:tr w:rsidR="005F3017" w:rsidRPr="0059184B" w:rsidTr="005F3017">
        <w:trPr>
          <w:trHeight w:val="278"/>
          <w:jc w:val="center"/>
        </w:trPr>
        <w:tc>
          <w:tcPr>
            <w:tcW w:w="3575" w:type="dxa"/>
            <w:tcBorders>
              <w:top w:val="single" w:sz="4" w:space="0" w:color="auto"/>
              <w:left w:val="nil"/>
              <w:bottom w:val="nil"/>
              <w:right w:val="nil"/>
            </w:tcBorders>
            <w:shd w:val="clear" w:color="auto" w:fill="auto"/>
            <w:noWrap/>
            <w:vAlign w:val="center"/>
            <w:hideMark/>
          </w:tcPr>
          <w:p w:rsidR="005F3017" w:rsidRPr="0059184B" w:rsidRDefault="005F3017" w:rsidP="0065696A">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Adj.R</w:t>
            </w:r>
            <w:proofErr w:type="spellEnd"/>
            <w:r w:rsidRPr="0059184B">
              <w:rPr>
                <w:rFonts w:ascii="Times New Roman" w:eastAsia="宋体" w:hAnsi="Times New Roman" w:cs="Times New Roman"/>
                <w:kern w:val="0"/>
                <w:sz w:val="18"/>
                <w:szCs w:val="18"/>
              </w:rPr>
              <w:t>-squared</w:t>
            </w:r>
          </w:p>
        </w:tc>
        <w:tc>
          <w:tcPr>
            <w:tcW w:w="1041" w:type="dxa"/>
            <w:tcBorders>
              <w:top w:val="single" w:sz="4" w:space="0" w:color="auto"/>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0.627</w:t>
            </w:r>
          </w:p>
        </w:tc>
        <w:tc>
          <w:tcPr>
            <w:tcW w:w="1041" w:type="dxa"/>
            <w:tcBorders>
              <w:top w:val="single" w:sz="4" w:space="0" w:color="auto"/>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0.640</w:t>
            </w:r>
          </w:p>
        </w:tc>
        <w:tc>
          <w:tcPr>
            <w:tcW w:w="1081" w:type="dxa"/>
            <w:tcBorders>
              <w:top w:val="single" w:sz="4" w:space="0" w:color="auto"/>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0.401</w:t>
            </w:r>
          </w:p>
        </w:tc>
        <w:tc>
          <w:tcPr>
            <w:tcW w:w="1041" w:type="dxa"/>
            <w:tcBorders>
              <w:top w:val="single" w:sz="4" w:space="0" w:color="auto"/>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0.630</w:t>
            </w:r>
          </w:p>
        </w:tc>
        <w:tc>
          <w:tcPr>
            <w:tcW w:w="1041" w:type="dxa"/>
            <w:tcBorders>
              <w:top w:val="single" w:sz="4" w:space="0" w:color="auto"/>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0.640</w:t>
            </w:r>
          </w:p>
        </w:tc>
        <w:tc>
          <w:tcPr>
            <w:tcW w:w="1041" w:type="dxa"/>
            <w:tcBorders>
              <w:top w:val="single" w:sz="4" w:space="0" w:color="auto"/>
              <w:left w:val="nil"/>
              <w:bottom w:val="nil"/>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0.402</w:t>
            </w:r>
          </w:p>
        </w:tc>
      </w:tr>
      <w:tr w:rsidR="005F3017" w:rsidRPr="0059184B" w:rsidTr="005F3017">
        <w:trPr>
          <w:trHeight w:val="278"/>
          <w:jc w:val="center"/>
        </w:trPr>
        <w:tc>
          <w:tcPr>
            <w:tcW w:w="3575" w:type="dxa"/>
            <w:tcBorders>
              <w:top w:val="nil"/>
              <w:left w:val="nil"/>
              <w:bottom w:val="single" w:sz="4" w:space="0" w:color="auto"/>
              <w:right w:val="nil"/>
            </w:tcBorders>
            <w:shd w:val="clear" w:color="auto" w:fill="auto"/>
            <w:noWrap/>
            <w:vAlign w:val="center"/>
            <w:hideMark/>
          </w:tcPr>
          <w:p w:rsidR="005F3017" w:rsidRPr="0059184B" w:rsidRDefault="005F3017"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N</w:t>
            </w:r>
          </w:p>
        </w:tc>
        <w:tc>
          <w:tcPr>
            <w:tcW w:w="1041" w:type="dxa"/>
            <w:tcBorders>
              <w:top w:val="nil"/>
              <w:left w:val="nil"/>
              <w:bottom w:val="single" w:sz="4" w:space="0" w:color="auto"/>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3414</w:t>
            </w:r>
          </w:p>
        </w:tc>
        <w:tc>
          <w:tcPr>
            <w:tcW w:w="1041" w:type="dxa"/>
            <w:tcBorders>
              <w:top w:val="nil"/>
              <w:left w:val="nil"/>
              <w:bottom w:val="single" w:sz="4" w:space="0" w:color="auto"/>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3414</w:t>
            </w:r>
          </w:p>
        </w:tc>
        <w:tc>
          <w:tcPr>
            <w:tcW w:w="1081" w:type="dxa"/>
            <w:tcBorders>
              <w:top w:val="nil"/>
              <w:left w:val="nil"/>
              <w:bottom w:val="single" w:sz="4" w:space="0" w:color="auto"/>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3414</w:t>
            </w:r>
          </w:p>
        </w:tc>
        <w:tc>
          <w:tcPr>
            <w:tcW w:w="1041" w:type="dxa"/>
            <w:tcBorders>
              <w:top w:val="nil"/>
              <w:left w:val="nil"/>
              <w:bottom w:val="single" w:sz="4" w:space="0" w:color="auto"/>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3414</w:t>
            </w:r>
          </w:p>
        </w:tc>
        <w:tc>
          <w:tcPr>
            <w:tcW w:w="1041" w:type="dxa"/>
            <w:tcBorders>
              <w:top w:val="nil"/>
              <w:left w:val="nil"/>
              <w:bottom w:val="single" w:sz="4" w:space="0" w:color="auto"/>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3414</w:t>
            </w:r>
          </w:p>
        </w:tc>
        <w:tc>
          <w:tcPr>
            <w:tcW w:w="1041" w:type="dxa"/>
            <w:tcBorders>
              <w:top w:val="nil"/>
              <w:left w:val="nil"/>
              <w:bottom w:val="single" w:sz="4" w:space="0" w:color="auto"/>
              <w:right w:val="nil"/>
            </w:tcBorders>
            <w:shd w:val="clear" w:color="auto" w:fill="auto"/>
            <w:noWrap/>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3414</w:t>
            </w:r>
          </w:p>
        </w:tc>
      </w:tr>
    </w:tbl>
    <w:p w:rsidR="0031714E" w:rsidRPr="0059184B" w:rsidRDefault="0031714E" w:rsidP="001E66F6">
      <w:pPr>
        <w:widowControl/>
        <w:jc w:val="center"/>
        <w:rPr>
          <w:b/>
          <w:sz w:val="24"/>
          <w:szCs w:val="24"/>
        </w:rPr>
      </w:pPr>
    </w:p>
    <w:p w:rsidR="0065696A" w:rsidRPr="0059184B" w:rsidRDefault="0031714E" w:rsidP="0031714E">
      <w:pPr>
        <w:sectPr w:rsidR="0065696A" w:rsidRPr="0059184B" w:rsidSect="00D16014">
          <w:footerReference w:type="default" r:id="rId32"/>
          <w:pgSz w:w="11906" w:h="16838"/>
          <w:pgMar w:top="1440" w:right="1440" w:bottom="1440" w:left="1440" w:header="851" w:footer="992" w:gutter="0"/>
          <w:cols w:space="425"/>
          <w:docGrid w:type="lines" w:linePitch="312"/>
        </w:sectPr>
      </w:pPr>
      <w:r w:rsidRPr="0059184B">
        <w:br w:type="page"/>
      </w:r>
    </w:p>
    <w:p w:rsidR="0031714E" w:rsidRPr="0059184B" w:rsidRDefault="0031714E" w:rsidP="0031714E"/>
    <w:p w:rsidR="001E66F6" w:rsidRPr="0059184B" w:rsidRDefault="00DA0D35" w:rsidP="008F16F1">
      <w:pPr>
        <w:pStyle w:val="3"/>
        <w:jc w:val="center"/>
        <w:rPr>
          <w:rFonts w:ascii="Times New Roman" w:hAnsi="Times New Roman" w:cs="Times New Roman"/>
          <w:sz w:val="24"/>
          <w:szCs w:val="24"/>
        </w:rPr>
      </w:pPr>
      <w:r w:rsidRPr="0059184B">
        <w:rPr>
          <w:rFonts w:ascii="Times New Roman" w:hAnsi="Times New Roman" w:cs="Times New Roman"/>
          <w:sz w:val="24"/>
          <w:szCs w:val="24"/>
        </w:rPr>
        <w:t xml:space="preserve">Table 4 </w:t>
      </w:r>
      <w:r w:rsidR="001E66F6" w:rsidRPr="0059184B">
        <w:rPr>
          <w:rFonts w:ascii="Times New Roman" w:hAnsi="Times New Roman" w:cs="Times New Roman"/>
          <w:sz w:val="24"/>
          <w:szCs w:val="24"/>
        </w:rPr>
        <w:t>The Effects of Derivative Use and DFA on individual Risk</w:t>
      </w:r>
    </w:p>
    <w:p w:rsidR="001E66F6" w:rsidRPr="0059184B" w:rsidRDefault="001E66F6" w:rsidP="001E66F6">
      <w:pPr>
        <w:pStyle w:val="Default"/>
        <w:jc w:val="both"/>
        <w:rPr>
          <w:color w:val="auto"/>
          <w:sz w:val="18"/>
          <w:szCs w:val="18"/>
        </w:rPr>
      </w:pPr>
      <w:r w:rsidRPr="0059184B">
        <w:rPr>
          <w:color w:val="auto"/>
          <w:sz w:val="18"/>
          <w:szCs w:val="18"/>
        </w:rPr>
        <w:t xml:space="preserve">The dependent variables in the regressions are change in conditional Z-score, distance to default, 95% value at risk and 6-month volatility stock price. All regressions include unreported time fixed effects and firm fixed effects. </w:t>
      </w:r>
      <w:proofErr w:type="spellStart"/>
      <w:r w:rsidRPr="0059184B">
        <w:rPr>
          <w:color w:val="auto"/>
          <w:sz w:val="18"/>
          <w:szCs w:val="18"/>
        </w:rPr>
        <w:t>PostDFA</w:t>
      </w:r>
      <w:proofErr w:type="spellEnd"/>
      <w:r w:rsidRPr="0059184B">
        <w:rPr>
          <w:color w:val="auto"/>
          <w:sz w:val="18"/>
          <w:szCs w:val="18"/>
        </w:rPr>
        <w:t xml:space="preserve"> is a dummy set to one after Dodd-Frank Act is issued and zero otherwise. Size is calculated as the logarithm of total asset. Exposure to housing price change is a weighted average of the returns on the state-specific Fannie Mae real estate index where the weights are the fraction of bank deposits in the various states. HHI is a weighted average of the </w:t>
      </w:r>
      <w:proofErr w:type="spellStart"/>
      <w:r w:rsidRPr="0059184B">
        <w:rPr>
          <w:color w:val="auto"/>
          <w:sz w:val="18"/>
          <w:szCs w:val="18"/>
        </w:rPr>
        <w:t>Herfindahl</w:t>
      </w:r>
      <w:proofErr w:type="spellEnd"/>
      <w:r w:rsidRPr="0059184B">
        <w:rPr>
          <w:color w:val="auto"/>
          <w:sz w:val="18"/>
          <w:szCs w:val="18"/>
        </w:rPr>
        <w:t xml:space="preserve">-Hirschman index where the weights are the fraction of bank deposits in the various states. Special capital is a dummy set to one if the bank uses any of the government bailout special capital programs. Acquisition is a dummy set to one if the bank acquires other banks in that quarter. Liquid is calculated as cash and cash equivalent scaled by total assets. Beta is the market beta calculated using 1 year of daily </w:t>
      </w:r>
      <w:r w:rsidR="00933A1B" w:rsidRPr="0059184B">
        <w:rPr>
          <w:color w:val="auto"/>
          <w:sz w:val="18"/>
          <w:szCs w:val="18"/>
        </w:rPr>
        <w:t>stock</w:t>
      </w:r>
      <w:r w:rsidRPr="0059184B">
        <w:rPr>
          <w:color w:val="auto"/>
          <w:sz w:val="18"/>
          <w:szCs w:val="18"/>
        </w:rPr>
        <w:t xml:space="preserve"> price. Standard errors are </w:t>
      </w:r>
      <w:proofErr w:type="spellStart"/>
      <w:r w:rsidRPr="0059184B">
        <w:rPr>
          <w:color w:val="auto"/>
          <w:sz w:val="18"/>
          <w:szCs w:val="18"/>
        </w:rPr>
        <w:t>heteroskedasticity</w:t>
      </w:r>
      <w:proofErr w:type="spellEnd"/>
      <w:r w:rsidRPr="0059184B">
        <w:rPr>
          <w:color w:val="auto"/>
          <w:sz w:val="18"/>
          <w:szCs w:val="18"/>
        </w:rPr>
        <w:t>-consistent.</w:t>
      </w:r>
    </w:p>
    <w:p w:rsidR="001E66F6" w:rsidRPr="0059184B" w:rsidRDefault="001E66F6" w:rsidP="001E66F6">
      <w:pPr>
        <w:pStyle w:val="Default"/>
        <w:jc w:val="both"/>
        <w:rPr>
          <w:color w:val="auto"/>
          <w:sz w:val="18"/>
          <w:szCs w:val="18"/>
        </w:rPr>
      </w:pPr>
    </w:p>
    <w:tbl>
      <w:tblPr>
        <w:tblW w:w="11055" w:type="dxa"/>
        <w:jc w:val="center"/>
        <w:tblLook w:val="04A0" w:firstRow="1" w:lastRow="0" w:firstColumn="1" w:lastColumn="0" w:noHBand="0" w:noVBand="1"/>
      </w:tblPr>
      <w:tblGrid>
        <w:gridCol w:w="2754"/>
        <w:gridCol w:w="964"/>
        <w:gridCol w:w="1111"/>
        <w:gridCol w:w="1023"/>
        <w:gridCol w:w="1023"/>
        <w:gridCol w:w="1023"/>
        <w:gridCol w:w="1111"/>
        <w:gridCol w:w="1023"/>
        <w:gridCol w:w="1023"/>
      </w:tblGrid>
      <w:tr w:rsidR="0065696A" w:rsidRPr="0059184B" w:rsidTr="003D7F71">
        <w:trPr>
          <w:trHeight w:val="302"/>
          <w:jc w:val="center"/>
        </w:trPr>
        <w:tc>
          <w:tcPr>
            <w:tcW w:w="2754"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22"/>
              </w:rPr>
            </w:pPr>
            <w:r w:rsidRPr="0059184B">
              <w:rPr>
                <w:rFonts w:ascii="Times New Roman" w:eastAsia="宋体" w:hAnsi="Times New Roman" w:cs="Times New Roman"/>
                <w:kern w:val="0"/>
                <w:sz w:val="22"/>
              </w:rPr>
              <w:t xml:space="preserve">　</w:t>
            </w:r>
          </w:p>
        </w:tc>
        <w:tc>
          <w:tcPr>
            <w:tcW w:w="964"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(1)</w:t>
            </w:r>
          </w:p>
        </w:tc>
        <w:tc>
          <w:tcPr>
            <w:tcW w:w="111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(2)</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(3)</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(4)</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(5)</w:t>
            </w:r>
          </w:p>
        </w:tc>
        <w:tc>
          <w:tcPr>
            <w:tcW w:w="111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(6)</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(7)</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(8)</w:t>
            </w:r>
          </w:p>
        </w:tc>
      </w:tr>
      <w:tr w:rsidR="0065696A" w:rsidRPr="0059184B" w:rsidTr="003D7F71">
        <w:trPr>
          <w:trHeight w:val="302"/>
          <w:jc w:val="center"/>
        </w:trPr>
        <w:tc>
          <w:tcPr>
            <w:tcW w:w="2754"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22"/>
              </w:rPr>
            </w:pPr>
            <w:r w:rsidRPr="0059184B">
              <w:rPr>
                <w:rFonts w:ascii="Times New Roman" w:eastAsia="宋体" w:hAnsi="Times New Roman" w:cs="Times New Roman"/>
                <w:kern w:val="0"/>
                <w:sz w:val="22"/>
              </w:rPr>
              <w:t xml:space="preserve">　</w:t>
            </w:r>
          </w:p>
        </w:tc>
        <w:tc>
          <w:tcPr>
            <w:tcW w:w="964" w:type="dxa"/>
            <w:tcBorders>
              <w:top w:val="nil"/>
              <w:left w:val="nil"/>
              <w:bottom w:val="single" w:sz="4" w:space="0" w:color="auto"/>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Z-score</w:t>
            </w:r>
          </w:p>
        </w:tc>
        <w:tc>
          <w:tcPr>
            <w:tcW w:w="111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Distance to Default</w:t>
            </w:r>
          </w:p>
        </w:tc>
        <w:tc>
          <w:tcPr>
            <w:tcW w:w="1023" w:type="dxa"/>
            <w:tcBorders>
              <w:top w:val="nil"/>
              <w:left w:val="nil"/>
              <w:bottom w:val="single" w:sz="4" w:space="0" w:color="auto"/>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Value at Risk</w:t>
            </w:r>
          </w:p>
        </w:tc>
        <w:tc>
          <w:tcPr>
            <w:tcW w:w="1023" w:type="dxa"/>
            <w:tcBorders>
              <w:top w:val="nil"/>
              <w:left w:val="nil"/>
              <w:bottom w:val="single" w:sz="4" w:space="0" w:color="auto"/>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Volatility</w:t>
            </w:r>
          </w:p>
        </w:tc>
        <w:tc>
          <w:tcPr>
            <w:tcW w:w="1023" w:type="dxa"/>
            <w:tcBorders>
              <w:top w:val="nil"/>
              <w:left w:val="nil"/>
              <w:bottom w:val="single" w:sz="4" w:space="0" w:color="auto"/>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Z-score</w:t>
            </w:r>
          </w:p>
        </w:tc>
        <w:tc>
          <w:tcPr>
            <w:tcW w:w="111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Distance to Default</w:t>
            </w:r>
          </w:p>
        </w:tc>
        <w:tc>
          <w:tcPr>
            <w:tcW w:w="1023" w:type="dxa"/>
            <w:tcBorders>
              <w:top w:val="nil"/>
              <w:left w:val="nil"/>
              <w:bottom w:val="single" w:sz="4" w:space="0" w:color="auto"/>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Value at Risk</w:t>
            </w:r>
          </w:p>
        </w:tc>
        <w:tc>
          <w:tcPr>
            <w:tcW w:w="1023" w:type="dxa"/>
            <w:tcBorders>
              <w:top w:val="nil"/>
              <w:left w:val="nil"/>
              <w:bottom w:val="single" w:sz="4" w:space="0" w:color="auto"/>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Volatility</w:t>
            </w:r>
          </w:p>
        </w:tc>
      </w:tr>
      <w:tr w:rsidR="003D7F71" w:rsidRPr="0059184B" w:rsidTr="003D7F71">
        <w:trPr>
          <w:trHeight w:val="302"/>
          <w:jc w:val="center"/>
        </w:trPr>
        <w:tc>
          <w:tcPr>
            <w:tcW w:w="2754" w:type="dxa"/>
            <w:tcBorders>
              <w:top w:val="nil"/>
              <w:left w:val="nil"/>
              <w:bottom w:val="nil"/>
              <w:right w:val="nil"/>
            </w:tcBorders>
            <w:shd w:val="clear" w:color="auto" w:fill="auto"/>
            <w:vAlign w:val="center"/>
            <w:hideMark/>
          </w:tcPr>
          <w:p w:rsidR="003D7F71" w:rsidRPr="0059184B" w:rsidRDefault="003D7F71" w:rsidP="00D16014">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 Derivatives trading</w:t>
            </w:r>
          </w:p>
        </w:tc>
        <w:tc>
          <w:tcPr>
            <w:tcW w:w="964"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-0.0488</w:t>
            </w: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-0.0212</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0.0001</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-0.0003**</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-0.0540</w:t>
            </w: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-0.0251</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0.0004</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-0.0004***</w:t>
            </w:r>
          </w:p>
        </w:tc>
      </w:tr>
      <w:tr w:rsidR="003D7F71" w:rsidRPr="0059184B" w:rsidTr="003D7F71">
        <w:trPr>
          <w:trHeight w:val="302"/>
          <w:jc w:val="center"/>
        </w:trPr>
        <w:tc>
          <w:tcPr>
            <w:tcW w:w="2754" w:type="dxa"/>
            <w:tcBorders>
              <w:top w:val="nil"/>
              <w:left w:val="nil"/>
              <w:bottom w:val="nil"/>
              <w:right w:val="nil"/>
            </w:tcBorders>
            <w:shd w:val="clear" w:color="auto" w:fill="auto"/>
            <w:vAlign w:val="center"/>
            <w:hideMark/>
          </w:tcPr>
          <w:p w:rsidR="003D7F71" w:rsidRPr="0059184B" w:rsidRDefault="003D7F71" w:rsidP="00D16014">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 Derivatives hedging</w:t>
            </w:r>
          </w:p>
        </w:tc>
        <w:tc>
          <w:tcPr>
            <w:tcW w:w="964"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-0.6304</w:t>
            </w: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-0.6689***</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-0.0126</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0.0005</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-0.5952</w:t>
            </w: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-0.5073**</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-0.0186**</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0.0041*</w:t>
            </w:r>
          </w:p>
        </w:tc>
      </w:tr>
      <w:tr w:rsidR="003D7F71" w:rsidRPr="0059184B" w:rsidTr="003D7F71">
        <w:trPr>
          <w:trHeight w:val="302"/>
          <w:jc w:val="center"/>
        </w:trPr>
        <w:tc>
          <w:tcPr>
            <w:tcW w:w="2754" w:type="dxa"/>
            <w:tcBorders>
              <w:top w:val="nil"/>
              <w:left w:val="nil"/>
              <w:bottom w:val="nil"/>
              <w:right w:val="nil"/>
            </w:tcBorders>
            <w:shd w:val="clear" w:color="auto" w:fill="auto"/>
            <w:vAlign w:val="center"/>
            <w:hideMark/>
          </w:tcPr>
          <w:p w:rsidR="003D7F71" w:rsidRPr="0059184B" w:rsidRDefault="003D7F71" w:rsidP="00D16014">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Net credit derivatives</w:t>
            </w:r>
          </w:p>
        </w:tc>
        <w:tc>
          <w:tcPr>
            <w:tcW w:w="964"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-16.6273*</w:t>
            </w: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-2.5398</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-0.1225</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0.0947**</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-12.9801</w:t>
            </w: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-7.8335***</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-0.2791</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0.1670***</w:t>
            </w:r>
          </w:p>
        </w:tc>
      </w:tr>
      <w:tr w:rsidR="0065696A" w:rsidRPr="0059184B" w:rsidTr="003D7F71">
        <w:trPr>
          <w:trHeight w:val="302"/>
          <w:jc w:val="center"/>
        </w:trPr>
        <w:tc>
          <w:tcPr>
            <w:tcW w:w="2754"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Post DFA dummy</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-6.2930***</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-2.8216***</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0.0068*</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0.0186***</w:t>
            </w:r>
          </w:p>
        </w:tc>
      </w:tr>
      <w:tr w:rsidR="003D7F71" w:rsidRPr="0059184B" w:rsidTr="003D7F71">
        <w:trPr>
          <w:trHeight w:val="302"/>
          <w:jc w:val="center"/>
        </w:trPr>
        <w:tc>
          <w:tcPr>
            <w:tcW w:w="2754" w:type="dxa"/>
            <w:tcBorders>
              <w:top w:val="nil"/>
              <w:left w:val="nil"/>
              <w:bottom w:val="nil"/>
              <w:right w:val="nil"/>
            </w:tcBorders>
            <w:shd w:val="clear" w:color="auto" w:fill="auto"/>
            <w:vAlign w:val="center"/>
            <w:hideMark/>
          </w:tcPr>
          <w:p w:rsidR="003D7F71" w:rsidRPr="0059184B" w:rsidRDefault="003D7F71" w:rsidP="00D16014">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 Derivatives trading * </w:t>
            </w:r>
            <w:proofErr w:type="spellStart"/>
            <w:r w:rsidRPr="0059184B">
              <w:rPr>
                <w:rFonts w:ascii="Times New Roman" w:eastAsia="宋体" w:hAnsi="Times New Roman" w:cs="Times New Roman"/>
                <w:kern w:val="0"/>
                <w:sz w:val="18"/>
                <w:szCs w:val="18"/>
              </w:rPr>
              <w:t>PostDFA</w:t>
            </w:r>
            <w:proofErr w:type="spellEnd"/>
          </w:p>
        </w:tc>
        <w:tc>
          <w:tcPr>
            <w:tcW w:w="964"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0.0053</w:t>
            </w: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-0.0386***</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-0.0002</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0.0001</w:t>
            </w:r>
          </w:p>
        </w:tc>
      </w:tr>
      <w:tr w:rsidR="003D7F71" w:rsidRPr="0059184B" w:rsidTr="003D7F71">
        <w:trPr>
          <w:trHeight w:val="302"/>
          <w:jc w:val="center"/>
        </w:trPr>
        <w:tc>
          <w:tcPr>
            <w:tcW w:w="2754" w:type="dxa"/>
            <w:tcBorders>
              <w:top w:val="nil"/>
              <w:left w:val="nil"/>
              <w:bottom w:val="nil"/>
              <w:right w:val="nil"/>
            </w:tcBorders>
            <w:shd w:val="clear" w:color="auto" w:fill="auto"/>
            <w:vAlign w:val="center"/>
            <w:hideMark/>
          </w:tcPr>
          <w:p w:rsidR="003D7F71" w:rsidRPr="0059184B" w:rsidRDefault="003D7F71" w:rsidP="00D16014">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 Derivatives hedging * </w:t>
            </w:r>
            <w:proofErr w:type="spellStart"/>
            <w:r w:rsidRPr="0059184B">
              <w:rPr>
                <w:rFonts w:ascii="Times New Roman" w:eastAsia="宋体" w:hAnsi="Times New Roman" w:cs="Times New Roman"/>
                <w:kern w:val="0"/>
                <w:sz w:val="18"/>
                <w:szCs w:val="18"/>
              </w:rPr>
              <w:t>PostDFA</w:t>
            </w:r>
            <w:proofErr w:type="spellEnd"/>
          </w:p>
        </w:tc>
        <w:tc>
          <w:tcPr>
            <w:tcW w:w="964"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-0.2024</w:t>
            </w: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0.1847</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0.0243**</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-0.0139***</w:t>
            </w:r>
          </w:p>
        </w:tc>
      </w:tr>
      <w:tr w:rsidR="003D7F71" w:rsidRPr="0059184B" w:rsidTr="003D7F71">
        <w:trPr>
          <w:trHeight w:val="302"/>
          <w:jc w:val="center"/>
        </w:trPr>
        <w:tc>
          <w:tcPr>
            <w:tcW w:w="2754" w:type="dxa"/>
            <w:tcBorders>
              <w:top w:val="nil"/>
              <w:left w:val="nil"/>
              <w:bottom w:val="nil"/>
              <w:right w:val="nil"/>
            </w:tcBorders>
            <w:shd w:val="clear" w:color="auto" w:fill="auto"/>
            <w:vAlign w:val="center"/>
            <w:hideMark/>
          </w:tcPr>
          <w:p w:rsidR="003D7F71" w:rsidRPr="0059184B" w:rsidRDefault="003D7F71" w:rsidP="00D16014">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Net Credit Derivatives * </w:t>
            </w:r>
            <w:proofErr w:type="spellStart"/>
            <w:r w:rsidRPr="0059184B">
              <w:rPr>
                <w:rFonts w:ascii="Times New Roman" w:eastAsia="宋体" w:hAnsi="Times New Roman" w:cs="Times New Roman"/>
                <w:kern w:val="0"/>
                <w:sz w:val="18"/>
                <w:szCs w:val="18"/>
              </w:rPr>
              <w:t>PostDFA</w:t>
            </w:r>
            <w:proofErr w:type="spellEnd"/>
          </w:p>
        </w:tc>
        <w:tc>
          <w:tcPr>
            <w:tcW w:w="964"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-12.8680</w:t>
            </w:r>
          </w:p>
        </w:tc>
        <w:tc>
          <w:tcPr>
            <w:tcW w:w="1111"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12.5521**</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0.5182***</w:t>
            </w:r>
          </w:p>
        </w:tc>
        <w:tc>
          <w:tcPr>
            <w:tcW w:w="1023" w:type="dxa"/>
            <w:tcBorders>
              <w:top w:val="nil"/>
              <w:left w:val="nil"/>
              <w:bottom w:val="nil"/>
              <w:right w:val="nil"/>
            </w:tcBorders>
            <w:shd w:val="clear" w:color="auto" w:fill="auto"/>
            <w:noWrap/>
            <w:vAlign w:val="center"/>
            <w:hideMark/>
          </w:tcPr>
          <w:p w:rsidR="003D7F71" w:rsidRPr="0059184B" w:rsidRDefault="003D7F71"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-0.2379***</w:t>
            </w:r>
          </w:p>
        </w:tc>
      </w:tr>
      <w:tr w:rsidR="0065696A" w:rsidRPr="0059184B" w:rsidTr="003D7F71">
        <w:trPr>
          <w:trHeight w:val="302"/>
          <w:jc w:val="center"/>
        </w:trPr>
        <w:tc>
          <w:tcPr>
            <w:tcW w:w="2754"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Size</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0.5222</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0.5726***</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-0.0050</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-0.0029</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0.5265</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0.5775***</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-0.0053</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-0.0027</w:t>
            </w:r>
          </w:p>
        </w:tc>
      </w:tr>
      <w:tr w:rsidR="0065696A" w:rsidRPr="0059184B" w:rsidTr="003D7F71">
        <w:trPr>
          <w:trHeight w:val="302"/>
          <w:jc w:val="center"/>
        </w:trPr>
        <w:tc>
          <w:tcPr>
            <w:tcW w:w="2754"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Tier 1 ratio</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-11.9096</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8.2909***</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0.0106</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-0.1227***</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-11.8795</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8.2511***</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0.0073</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-0.1197***</w:t>
            </w:r>
          </w:p>
        </w:tc>
      </w:tr>
      <w:tr w:rsidR="0065696A" w:rsidRPr="0059184B" w:rsidTr="003D7F71">
        <w:trPr>
          <w:trHeight w:val="302"/>
          <w:jc w:val="center"/>
        </w:trPr>
        <w:tc>
          <w:tcPr>
            <w:tcW w:w="2754"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Loan Loss Provision</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-0.0805</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-0.1152**</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-0.0047**</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0.0052***</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-0.0843</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-0.1210**</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-0.0041**</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0.0049***</w:t>
            </w:r>
          </w:p>
        </w:tc>
      </w:tr>
      <w:tr w:rsidR="0065696A" w:rsidRPr="0059184B" w:rsidTr="003D7F71">
        <w:trPr>
          <w:trHeight w:val="302"/>
          <w:jc w:val="center"/>
        </w:trPr>
        <w:tc>
          <w:tcPr>
            <w:tcW w:w="275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Book to market ratio</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0.0149</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-0.1051**</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-0.0026***</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0.0054***</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0.0157</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-0.1013**</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-0.0027***</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0.0054***</w:t>
            </w:r>
          </w:p>
        </w:tc>
      </w:tr>
      <w:tr w:rsidR="0065696A" w:rsidRPr="0059184B" w:rsidTr="003D7F71">
        <w:trPr>
          <w:trHeight w:val="302"/>
          <w:jc w:val="center"/>
        </w:trPr>
        <w:tc>
          <w:tcPr>
            <w:tcW w:w="275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Return on average assets</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0.0362</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-0.0285*</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0.0406</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-0.0307**</w:t>
            </w:r>
          </w:p>
        </w:tc>
      </w:tr>
      <w:tr w:rsidR="0065696A" w:rsidRPr="0059184B" w:rsidTr="003D7F71">
        <w:trPr>
          <w:trHeight w:val="302"/>
          <w:jc w:val="center"/>
        </w:trPr>
        <w:tc>
          <w:tcPr>
            <w:tcW w:w="275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Short-term borrowing</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10.0717**</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-2.4137**</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-0.0590**</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0.0256**</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10.0487**</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-2.6994**</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-0.0520*</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0.0210**</w:t>
            </w:r>
          </w:p>
        </w:tc>
      </w:tr>
      <w:tr w:rsidR="0065696A" w:rsidRPr="0059184B" w:rsidTr="003D7F71">
        <w:trPr>
          <w:trHeight w:val="302"/>
          <w:jc w:val="center"/>
        </w:trPr>
        <w:tc>
          <w:tcPr>
            <w:tcW w:w="2754" w:type="dxa"/>
            <w:tcBorders>
              <w:top w:val="nil"/>
              <w:left w:val="nil"/>
              <w:bottom w:val="nil"/>
              <w:right w:val="nil"/>
            </w:tcBorders>
            <w:shd w:val="clear" w:color="auto" w:fill="auto"/>
            <w:noWrap/>
            <w:vAlign w:val="center"/>
            <w:hideMark/>
          </w:tcPr>
          <w:p w:rsidR="0065696A" w:rsidRPr="0059184B" w:rsidRDefault="0065696A"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Stock price volatility in 6</w:t>
            </w:r>
            <w:r w:rsidR="009B6303" w:rsidRPr="0059184B">
              <w:rPr>
                <w:rFonts w:ascii="Times New Roman" w:eastAsia="宋体" w:hAnsi="Times New Roman" w:cs="Times New Roman"/>
                <w:kern w:val="0"/>
                <w:sz w:val="18"/>
                <w:szCs w:val="18"/>
              </w:rPr>
              <w:t>m</w:t>
            </w:r>
            <w:r w:rsidRPr="0059184B">
              <w:rPr>
                <w:rFonts w:ascii="Times New Roman" w:eastAsia="宋体" w:hAnsi="Times New Roman" w:cs="Times New Roman"/>
                <w:kern w:val="0"/>
                <w:sz w:val="18"/>
                <w:szCs w:val="18"/>
              </w:rPr>
              <w:t>s</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-6.7872</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-17.2819***</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-0.4159***</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-7.0170</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-17.3024***</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-0.3978***</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p>
        </w:tc>
      </w:tr>
      <w:tr w:rsidR="0065696A" w:rsidRPr="0059184B" w:rsidTr="003D7F71">
        <w:trPr>
          <w:trHeight w:val="302"/>
          <w:jc w:val="center"/>
        </w:trPr>
        <w:tc>
          <w:tcPr>
            <w:tcW w:w="2754"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Acquisition</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-0.2811</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0.0199</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-0.0009</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-0.0006</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-0.2814</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0.0211</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-0.0010</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-0.0005</w:t>
            </w:r>
          </w:p>
        </w:tc>
      </w:tr>
      <w:tr w:rsidR="0065696A" w:rsidRPr="0059184B" w:rsidTr="003D7F71">
        <w:trPr>
          <w:trHeight w:val="302"/>
          <w:jc w:val="center"/>
        </w:trPr>
        <w:tc>
          <w:tcPr>
            <w:tcW w:w="2754"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Special capital users dummy</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0.0027</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-0.0264</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-0.0002</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0.0012**</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-0.0012</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-0.0316</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0.0001</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0.0010**</w:t>
            </w:r>
          </w:p>
        </w:tc>
      </w:tr>
      <w:tr w:rsidR="0065696A" w:rsidRPr="0059184B" w:rsidTr="003D7F71">
        <w:trPr>
          <w:trHeight w:val="302"/>
          <w:jc w:val="center"/>
        </w:trPr>
        <w:tc>
          <w:tcPr>
            <w:tcW w:w="2754"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Exposure to housing price change</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-7.8388</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-1.0887</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0.1619***</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-0.0162</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-7.8099</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-1.0972</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0.1591***</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-0.0146</w:t>
            </w:r>
          </w:p>
        </w:tc>
      </w:tr>
      <w:tr w:rsidR="0065696A" w:rsidRPr="0059184B" w:rsidTr="003D7F71">
        <w:trPr>
          <w:trHeight w:val="302"/>
          <w:jc w:val="center"/>
        </w:trPr>
        <w:tc>
          <w:tcPr>
            <w:tcW w:w="2754" w:type="dxa"/>
            <w:tcBorders>
              <w:top w:val="nil"/>
              <w:left w:val="nil"/>
              <w:bottom w:val="nil"/>
              <w:right w:val="nil"/>
            </w:tcBorders>
            <w:shd w:val="clear" w:color="auto" w:fill="auto"/>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HHI index</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0.3301</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-0.0868</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0.0062*</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-0.0003</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0.3394</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-0.0558</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0.0055</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0.0001</w:t>
            </w:r>
          </w:p>
        </w:tc>
      </w:tr>
      <w:tr w:rsidR="0065696A" w:rsidRPr="0059184B" w:rsidTr="003D7F71">
        <w:trPr>
          <w:trHeight w:val="302"/>
          <w:jc w:val="center"/>
        </w:trPr>
        <w:tc>
          <w:tcPr>
            <w:tcW w:w="275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Intercept</w:t>
            </w:r>
          </w:p>
        </w:tc>
        <w:tc>
          <w:tcPr>
            <w:tcW w:w="964"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2.5650</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0.3353</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-0.0683</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0.0477**</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2.4690</w:t>
            </w:r>
          </w:p>
        </w:tc>
        <w:tc>
          <w:tcPr>
            <w:tcW w:w="1111"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0.0919</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-0.0607</w:t>
            </w:r>
          </w:p>
        </w:tc>
        <w:tc>
          <w:tcPr>
            <w:tcW w:w="1023" w:type="dxa"/>
            <w:tcBorders>
              <w:top w:val="nil"/>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0.0428**</w:t>
            </w:r>
          </w:p>
        </w:tc>
      </w:tr>
      <w:tr w:rsidR="0065696A" w:rsidRPr="0059184B" w:rsidTr="003D7F71">
        <w:trPr>
          <w:trHeight w:val="302"/>
          <w:jc w:val="center"/>
        </w:trPr>
        <w:tc>
          <w:tcPr>
            <w:tcW w:w="2754"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Adj.R</w:t>
            </w:r>
            <w:proofErr w:type="spellEnd"/>
            <w:r w:rsidRPr="0059184B">
              <w:rPr>
                <w:rFonts w:ascii="Times New Roman" w:eastAsia="宋体" w:hAnsi="Times New Roman" w:cs="Times New Roman"/>
                <w:kern w:val="0"/>
                <w:sz w:val="18"/>
                <w:szCs w:val="18"/>
              </w:rPr>
              <w:t>-squared</w:t>
            </w:r>
          </w:p>
        </w:tc>
        <w:tc>
          <w:tcPr>
            <w:tcW w:w="964"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0.388</w:t>
            </w:r>
          </w:p>
        </w:tc>
        <w:tc>
          <w:tcPr>
            <w:tcW w:w="111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0.685</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0.750</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0.840</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0.387</w:t>
            </w:r>
          </w:p>
        </w:tc>
        <w:tc>
          <w:tcPr>
            <w:tcW w:w="1111"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0.685</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0.751</w:t>
            </w:r>
          </w:p>
        </w:tc>
        <w:tc>
          <w:tcPr>
            <w:tcW w:w="1023" w:type="dxa"/>
            <w:tcBorders>
              <w:top w:val="single" w:sz="4" w:space="0" w:color="auto"/>
              <w:left w:val="nil"/>
              <w:bottom w:val="nil"/>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0.842</w:t>
            </w:r>
          </w:p>
        </w:tc>
      </w:tr>
      <w:tr w:rsidR="0065696A" w:rsidRPr="0059184B" w:rsidTr="003D7F71">
        <w:trPr>
          <w:trHeight w:val="302"/>
          <w:jc w:val="center"/>
        </w:trPr>
        <w:tc>
          <w:tcPr>
            <w:tcW w:w="2754"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N</w:t>
            </w:r>
          </w:p>
        </w:tc>
        <w:tc>
          <w:tcPr>
            <w:tcW w:w="964"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3724</w:t>
            </w:r>
          </w:p>
        </w:tc>
        <w:tc>
          <w:tcPr>
            <w:tcW w:w="111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3724</w:t>
            </w:r>
          </w:p>
        </w:tc>
        <w:tc>
          <w:tcPr>
            <w:tcW w:w="1023"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3724</w:t>
            </w:r>
          </w:p>
        </w:tc>
        <w:tc>
          <w:tcPr>
            <w:tcW w:w="1023"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3724</w:t>
            </w:r>
          </w:p>
        </w:tc>
        <w:tc>
          <w:tcPr>
            <w:tcW w:w="1023"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3724</w:t>
            </w:r>
          </w:p>
        </w:tc>
        <w:tc>
          <w:tcPr>
            <w:tcW w:w="1111"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3724</w:t>
            </w:r>
          </w:p>
        </w:tc>
        <w:tc>
          <w:tcPr>
            <w:tcW w:w="1023"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3724</w:t>
            </w:r>
          </w:p>
        </w:tc>
        <w:tc>
          <w:tcPr>
            <w:tcW w:w="1023" w:type="dxa"/>
            <w:tcBorders>
              <w:top w:val="nil"/>
              <w:left w:val="nil"/>
              <w:bottom w:val="single" w:sz="4" w:space="0" w:color="auto"/>
              <w:right w:val="nil"/>
            </w:tcBorders>
            <w:shd w:val="clear" w:color="auto" w:fill="auto"/>
            <w:noWrap/>
            <w:vAlign w:val="center"/>
            <w:hideMark/>
          </w:tcPr>
          <w:p w:rsidR="0065696A" w:rsidRPr="0059184B" w:rsidRDefault="0065696A" w:rsidP="0065696A">
            <w:pPr>
              <w:widowControl/>
              <w:jc w:val="left"/>
              <w:rPr>
                <w:rFonts w:ascii="Times New Roman" w:eastAsia="宋体" w:hAnsi="Times New Roman" w:cs="Times New Roman"/>
                <w:kern w:val="0"/>
                <w:sz w:val="17"/>
                <w:szCs w:val="17"/>
              </w:rPr>
            </w:pPr>
            <w:r w:rsidRPr="0059184B">
              <w:rPr>
                <w:rFonts w:ascii="Times New Roman" w:eastAsia="宋体" w:hAnsi="Times New Roman" w:cs="Times New Roman"/>
                <w:kern w:val="0"/>
                <w:sz w:val="17"/>
                <w:szCs w:val="17"/>
              </w:rPr>
              <w:t>3724</w:t>
            </w:r>
          </w:p>
        </w:tc>
      </w:tr>
    </w:tbl>
    <w:p w:rsidR="001E66F6" w:rsidRPr="0059184B" w:rsidRDefault="001E66F6" w:rsidP="001E66F6">
      <w:pPr>
        <w:pStyle w:val="Default"/>
        <w:jc w:val="both"/>
        <w:rPr>
          <w:b/>
          <w:color w:val="auto"/>
          <w:sz w:val="18"/>
          <w:szCs w:val="18"/>
        </w:rPr>
      </w:pPr>
    </w:p>
    <w:p w:rsidR="001E66F6" w:rsidRPr="0059184B" w:rsidRDefault="001E66F6" w:rsidP="001E66F6"/>
    <w:p w:rsidR="001E66F6" w:rsidRPr="0059184B" w:rsidRDefault="001E66F6" w:rsidP="001E66F6">
      <w:pPr>
        <w:widowControl/>
        <w:jc w:val="left"/>
      </w:pPr>
      <w:r w:rsidRPr="0059184B">
        <w:br w:type="page"/>
      </w:r>
    </w:p>
    <w:p w:rsidR="00DA0D35" w:rsidRPr="0059184B" w:rsidRDefault="00DA0D35" w:rsidP="008F16F1">
      <w:pPr>
        <w:pStyle w:val="3"/>
        <w:jc w:val="center"/>
        <w:rPr>
          <w:rFonts w:ascii="Times New Roman" w:hAnsi="Times New Roman" w:cs="Times New Roman"/>
          <w:sz w:val="24"/>
          <w:szCs w:val="24"/>
        </w:rPr>
      </w:pPr>
      <w:r w:rsidRPr="0059184B">
        <w:rPr>
          <w:rFonts w:ascii="Times New Roman" w:hAnsi="Times New Roman" w:cs="Times New Roman"/>
          <w:sz w:val="24"/>
          <w:szCs w:val="24"/>
        </w:rPr>
        <w:lastRenderedPageBreak/>
        <w:t>Table 5 The Effects of Derivative Use and DFA on individual Risk</w:t>
      </w:r>
    </w:p>
    <w:p w:rsidR="0044734F" w:rsidRPr="0059184B" w:rsidRDefault="0044734F" w:rsidP="0044734F">
      <w:pPr>
        <w:pStyle w:val="Default"/>
        <w:jc w:val="both"/>
        <w:rPr>
          <w:color w:val="auto"/>
          <w:sz w:val="18"/>
          <w:szCs w:val="18"/>
        </w:rPr>
      </w:pPr>
      <w:r w:rsidRPr="0059184B">
        <w:rPr>
          <w:color w:val="auto"/>
          <w:sz w:val="18"/>
          <w:szCs w:val="18"/>
        </w:rPr>
        <w:t xml:space="preserve">The dependent variables in the regressions are change in conditional Z-score, distance to default, 95% value at risk and 6-month volatility stock price. All regressions include unreported time fixed effects and firm fixed effects. </w:t>
      </w:r>
      <w:proofErr w:type="spellStart"/>
      <w:r w:rsidRPr="0059184B">
        <w:rPr>
          <w:color w:val="auto"/>
          <w:sz w:val="18"/>
          <w:szCs w:val="18"/>
        </w:rPr>
        <w:t>PostDFA</w:t>
      </w:r>
      <w:proofErr w:type="spellEnd"/>
      <w:r w:rsidRPr="0059184B">
        <w:rPr>
          <w:color w:val="auto"/>
          <w:sz w:val="18"/>
          <w:szCs w:val="18"/>
        </w:rPr>
        <w:t xml:space="preserve"> is a dummy set to one after Dodd-Frank Act is issued and zero otherwise. Size is calculated as the logarithm of total asset. Exposure to housing price change is a weighted average of the returns on the state-specific Fannie Mae real estate index where the weights are the fraction of bank deposits in the various states. HHI is a weighted average of the </w:t>
      </w:r>
      <w:proofErr w:type="spellStart"/>
      <w:r w:rsidRPr="0059184B">
        <w:rPr>
          <w:color w:val="auto"/>
          <w:sz w:val="18"/>
          <w:szCs w:val="18"/>
        </w:rPr>
        <w:t>Herfindahl</w:t>
      </w:r>
      <w:proofErr w:type="spellEnd"/>
      <w:r w:rsidRPr="0059184B">
        <w:rPr>
          <w:color w:val="auto"/>
          <w:sz w:val="18"/>
          <w:szCs w:val="18"/>
        </w:rPr>
        <w:t xml:space="preserve">-Hirschman index where the weights are the fraction of bank deposits in the various states. Special capital is a dummy set to one if the bank uses any of the government bailout special capital programs. Acquisition is a dummy set to one if the bank acquires other banks in that quarter. Liquid is calculated as cash and cash equivalent scaled by total assets. Beta is the market beta calculated using 1 year of daily stock price. Standard errors are </w:t>
      </w:r>
      <w:proofErr w:type="spellStart"/>
      <w:r w:rsidRPr="0059184B">
        <w:rPr>
          <w:color w:val="auto"/>
          <w:sz w:val="18"/>
          <w:szCs w:val="18"/>
        </w:rPr>
        <w:t>heteroskedasticity</w:t>
      </w:r>
      <w:proofErr w:type="spellEnd"/>
      <w:r w:rsidRPr="0059184B">
        <w:rPr>
          <w:color w:val="auto"/>
          <w:sz w:val="18"/>
          <w:szCs w:val="18"/>
        </w:rPr>
        <w:t>-consistent.</w:t>
      </w:r>
    </w:p>
    <w:p w:rsidR="0044734F" w:rsidRPr="0059184B" w:rsidRDefault="0044734F" w:rsidP="0044734F"/>
    <w:tbl>
      <w:tblPr>
        <w:tblW w:w="11334" w:type="dxa"/>
        <w:jc w:val="center"/>
        <w:tblInd w:w="93" w:type="dxa"/>
        <w:tblLook w:val="04A0" w:firstRow="1" w:lastRow="0" w:firstColumn="1" w:lastColumn="0" w:noHBand="0" w:noVBand="1"/>
      </w:tblPr>
      <w:tblGrid>
        <w:gridCol w:w="2594"/>
        <w:gridCol w:w="1041"/>
        <w:gridCol w:w="1157"/>
        <w:gridCol w:w="1041"/>
        <w:gridCol w:w="1041"/>
        <w:gridCol w:w="1221"/>
        <w:gridCol w:w="1157"/>
        <w:gridCol w:w="1041"/>
        <w:gridCol w:w="1041"/>
      </w:tblGrid>
      <w:tr w:rsidR="009B6303" w:rsidRPr="0059184B" w:rsidTr="008F16F1">
        <w:trPr>
          <w:trHeight w:val="272"/>
          <w:jc w:val="center"/>
        </w:trPr>
        <w:tc>
          <w:tcPr>
            <w:tcW w:w="2594" w:type="dxa"/>
            <w:tcBorders>
              <w:top w:val="single" w:sz="4" w:space="0" w:color="auto"/>
              <w:left w:val="nil"/>
              <w:bottom w:val="nil"/>
              <w:right w:val="nil"/>
            </w:tcBorders>
            <w:shd w:val="clear" w:color="auto" w:fill="auto"/>
            <w:noWrap/>
            <w:vAlign w:val="center"/>
            <w:hideMark/>
          </w:tcPr>
          <w:p w:rsidR="009B6303" w:rsidRPr="0059184B" w:rsidRDefault="009B6303" w:rsidP="009B6303">
            <w:pPr>
              <w:widowControl/>
              <w:jc w:val="left"/>
              <w:rPr>
                <w:rFonts w:ascii="宋体" w:eastAsia="宋体" w:hAnsi="宋体" w:cs="宋体"/>
                <w:kern w:val="0"/>
                <w:sz w:val="22"/>
              </w:rPr>
            </w:pPr>
            <w:r w:rsidRPr="0059184B">
              <w:rPr>
                <w:rFonts w:ascii="宋体" w:eastAsia="宋体" w:hAnsi="宋体" w:cs="宋体" w:hint="eastAsia"/>
                <w:kern w:val="0"/>
                <w:sz w:val="22"/>
              </w:rPr>
              <w:t xml:space="preserve">　</w:t>
            </w:r>
          </w:p>
        </w:tc>
        <w:tc>
          <w:tcPr>
            <w:tcW w:w="1041" w:type="dxa"/>
            <w:tcBorders>
              <w:top w:val="single" w:sz="4" w:space="0" w:color="auto"/>
              <w:left w:val="nil"/>
              <w:bottom w:val="nil"/>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(1)</w:t>
            </w:r>
          </w:p>
        </w:tc>
        <w:tc>
          <w:tcPr>
            <w:tcW w:w="1157" w:type="dxa"/>
            <w:tcBorders>
              <w:top w:val="single" w:sz="4" w:space="0" w:color="auto"/>
              <w:left w:val="nil"/>
              <w:bottom w:val="nil"/>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(2)</w:t>
            </w:r>
          </w:p>
        </w:tc>
        <w:tc>
          <w:tcPr>
            <w:tcW w:w="1041" w:type="dxa"/>
            <w:tcBorders>
              <w:top w:val="single" w:sz="4" w:space="0" w:color="auto"/>
              <w:left w:val="nil"/>
              <w:bottom w:val="nil"/>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(3)</w:t>
            </w:r>
          </w:p>
        </w:tc>
        <w:tc>
          <w:tcPr>
            <w:tcW w:w="1041" w:type="dxa"/>
            <w:tcBorders>
              <w:top w:val="single" w:sz="4" w:space="0" w:color="auto"/>
              <w:left w:val="nil"/>
              <w:bottom w:val="nil"/>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(4)</w:t>
            </w:r>
          </w:p>
        </w:tc>
        <w:tc>
          <w:tcPr>
            <w:tcW w:w="1221" w:type="dxa"/>
            <w:tcBorders>
              <w:top w:val="single" w:sz="4" w:space="0" w:color="auto"/>
              <w:left w:val="nil"/>
              <w:bottom w:val="nil"/>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(5)</w:t>
            </w:r>
          </w:p>
        </w:tc>
        <w:tc>
          <w:tcPr>
            <w:tcW w:w="1157" w:type="dxa"/>
            <w:tcBorders>
              <w:top w:val="single" w:sz="4" w:space="0" w:color="auto"/>
              <w:left w:val="nil"/>
              <w:bottom w:val="nil"/>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(6)</w:t>
            </w:r>
          </w:p>
        </w:tc>
        <w:tc>
          <w:tcPr>
            <w:tcW w:w="1041" w:type="dxa"/>
            <w:tcBorders>
              <w:top w:val="single" w:sz="4" w:space="0" w:color="auto"/>
              <w:left w:val="nil"/>
              <w:bottom w:val="nil"/>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(7)</w:t>
            </w:r>
          </w:p>
        </w:tc>
        <w:tc>
          <w:tcPr>
            <w:tcW w:w="1041" w:type="dxa"/>
            <w:tcBorders>
              <w:top w:val="single" w:sz="4" w:space="0" w:color="auto"/>
              <w:left w:val="nil"/>
              <w:bottom w:val="nil"/>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(8)</w:t>
            </w:r>
          </w:p>
        </w:tc>
      </w:tr>
      <w:tr w:rsidR="009B6303" w:rsidRPr="0059184B" w:rsidTr="008F16F1">
        <w:trPr>
          <w:trHeight w:val="272"/>
          <w:jc w:val="center"/>
        </w:trPr>
        <w:tc>
          <w:tcPr>
            <w:tcW w:w="2594" w:type="dxa"/>
            <w:tcBorders>
              <w:top w:val="nil"/>
              <w:left w:val="nil"/>
              <w:bottom w:val="single" w:sz="4" w:space="0" w:color="auto"/>
              <w:right w:val="nil"/>
            </w:tcBorders>
            <w:shd w:val="clear" w:color="auto" w:fill="auto"/>
            <w:noWrap/>
            <w:vAlign w:val="center"/>
            <w:hideMark/>
          </w:tcPr>
          <w:p w:rsidR="009B6303" w:rsidRPr="0059184B" w:rsidRDefault="009B6303" w:rsidP="009B6303">
            <w:pPr>
              <w:widowControl/>
              <w:jc w:val="left"/>
              <w:rPr>
                <w:rFonts w:ascii="宋体" w:eastAsia="宋体" w:hAnsi="宋体" w:cs="宋体"/>
                <w:kern w:val="0"/>
                <w:sz w:val="22"/>
              </w:rPr>
            </w:pPr>
            <w:r w:rsidRPr="0059184B">
              <w:rPr>
                <w:rFonts w:ascii="宋体" w:eastAsia="宋体" w:hAnsi="宋体" w:cs="宋体" w:hint="eastAsia"/>
                <w:kern w:val="0"/>
                <w:sz w:val="22"/>
              </w:rPr>
              <w:t xml:space="preserve">　</w:t>
            </w:r>
          </w:p>
        </w:tc>
        <w:tc>
          <w:tcPr>
            <w:tcW w:w="1041" w:type="dxa"/>
            <w:tcBorders>
              <w:top w:val="nil"/>
              <w:left w:val="nil"/>
              <w:bottom w:val="single" w:sz="4" w:space="0" w:color="auto"/>
              <w:right w:val="nil"/>
            </w:tcBorders>
            <w:shd w:val="clear" w:color="auto" w:fill="auto"/>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Z-score</w:t>
            </w:r>
          </w:p>
        </w:tc>
        <w:tc>
          <w:tcPr>
            <w:tcW w:w="1157" w:type="dxa"/>
            <w:tcBorders>
              <w:top w:val="nil"/>
              <w:left w:val="nil"/>
              <w:bottom w:val="single" w:sz="4" w:space="0" w:color="auto"/>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Distance to Default</w:t>
            </w:r>
          </w:p>
        </w:tc>
        <w:tc>
          <w:tcPr>
            <w:tcW w:w="1041" w:type="dxa"/>
            <w:tcBorders>
              <w:top w:val="nil"/>
              <w:left w:val="nil"/>
              <w:bottom w:val="single" w:sz="4" w:space="0" w:color="auto"/>
              <w:right w:val="nil"/>
            </w:tcBorders>
            <w:shd w:val="clear" w:color="auto" w:fill="auto"/>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Value at Risk</w:t>
            </w:r>
          </w:p>
        </w:tc>
        <w:tc>
          <w:tcPr>
            <w:tcW w:w="1041" w:type="dxa"/>
            <w:tcBorders>
              <w:top w:val="nil"/>
              <w:left w:val="nil"/>
              <w:bottom w:val="single" w:sz="4" w:space="0" w:color="auto"/>
              <w:right w:val="nil"/>
            </w:tcBorders>
            <w:shd w:val="clear" w:color="auto" w:fill="auto"/>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Volatility</w:t>
            </w:r>
          </w:p>
        </w:tc>
        <w:tc>
          <w:tcPr>
            <w:tcW w:w="1221" w:type="dxa"/>
            <w:tcBorders>
              <w:top w:val="nil"/>
              <w:left w:val="nil"/>
              <w:bottom w:val="single" w:sz="4" w:space="0" w:color="auto"/>
              <w:right w:val="nil"/>
            </w:tcBorders>
            <w:shd w:val="clear" w:color="auto" w:fill="auto"/>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Z-score</w:t>
            </w:r>
          </w:p>
        </w:tc>
        <w:tc>
          <w:tcPr>
            <w:tcW w:w="1157" w:type="dxa"/>
            <w:tcBorders>
              <w:top w:val="nil"/>
              <w:left w:val="nil"/>
              <w:bottom w:val="single" w:sz="4" w:space="0" w:color="auto"/>
              <w:right w:val="nil"/>
            </w:tcBorders>
            <w:shd w:val="clear" w:color="auto" w:fill="auto"/>
            <w:noWrap/>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Distance to Default</w:t>
            </w:r>
          </w:p>
        </w:tc>
        <w:tc>
          <w:tcPr>
            <w:tcW w:w="1041" w:type="dxa"/>
            <w:tcBorders>
              <w:top w:val="nil"/>
              <w:left w:val="nil"/>
              <w:bottom w:val="single" w:sz="4" w:space="0" w:color="auto"/>
              <w:right w:val="nil"/>
            </w:tcBorders>
            <w:shd w:val="clear" w:color="auto" w:fill="auto"/>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Value at Risk</w:t>
            </w:r>
          </w:p>
        </w:tc>
        <w:tc>
          <w:tcPr>
            <w:tcW w:w="1041" w:type="dxa"/>
            <w:tcBorders>
              <w:top w:val="nil"/>
              <w:left w:val="nil"/>
              <w:bottom w:val="single" w:sz="4" w:space="0" w:color="auto"/>
              <w:right w:val="nil"/>
            </w:tcBorders>
            <w:shd w:val="clear" w:color="auto" w:fill="auto"/>
            <w:vAlign w:val="center"/>
            <w:hideMark/>
          </w:tcPr>
          <w:p w:rsidR="009B6303" w:rsidRPr="0059184B" w:rsidRDefault="009B6303"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Volatility</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IRD traded OTC </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-0.0079</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-0.0124</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-0.0003**</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-0.0435</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-0.0144</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0.0008</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-0.0004***</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IRD traded on exchange</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-0.4727</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-1.1655***</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-0.0297***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0.0009</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-1.0977</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-0.8481***</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-0.0457***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0.0064</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Credit Derivatives net OTC </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-20.2441**</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-2.7659</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-0.1422</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0.0946**</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-13.8295</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-8.5115***</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-0.2331*</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0.1384***</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Post DFA dummy</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-6.3133***</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-2.8115***</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0.0077**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0.0182***</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IRD OTC * </w:t>
            </w:r>
            <w:proofErr w:type="spellStart"/>
            <w:r w:rsidRPr="0059184B">
              <w:rPr>
                <w:rFonts w:ascii="Times New Roman" w:eastAsia="宋体" w:hAnsi="Times New Roman" w:cs="Times New Roman"/>
                <w:kern w:val="0"/>
                <w:sz w:val="18"/>
                <w:szCs w:val="18"/>
              </w:rPr>
              <w:t>PostDFA</w:t>
            </w:r>
            <w:proofErr w:type="spellEnd"/>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-0.0647</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-0.0289*</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0.0001</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IRD exchange * </w:t>
            </w:r>
            <w:proofErr w:type="spellStart"/>
            <w:r w:rsidRPr="0059184B">
              <w:rPr>
                <w:rFonts w:ascii="Times New Roman" w:eastAsia="宋体" w:hAnsi="Times New Roman" w:cs="Times New Roman"/>
                <w:kern w:val="0"/>
                <w:sz w:val="18"/>
                <w:szCs w:val="18"/>
              </w:rPr>
              <w:t>PostDFA</w:t>
            </w:r>
            <w:proofErr w:type="spellEnd"/>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1.2884</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-0.1308</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0.0180***</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-0.0049</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Credit OTC * </w:t>
            </w:r>
            <w:proofErr w:type="spellStart"/>
            <w:r w:rsidRPr="0059184B">
              <w:rPr>
                <w:rFonts w:ascii="Times New Roman" w:eastAsia="宋体" w:hAnsi="Times New Roman" w:cs="Times New Roman"/>
                <w:kern w:val="0"/>
                <w:sz w:val="18"/>
                <w:szCs w:val="18"/>
              </w:rPr>
              <w:t>PostDFA</w:t>
            </w:r>
            <w:proofErr w:type="spellEnd"/>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-19.4349</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15.0831**</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0.4704***</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-0.2136***</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Size</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0.5235</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0.5638***</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-0.0053</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-0.0029</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0.5327</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0.5706***</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-0.0056</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-0.0027</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Tier 1 ratio</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-11.9331</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8.2922***</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0.0096</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-0.1228***</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-11.9240</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8.2667***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0.0087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-0.1220***</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Loan Loss Provision</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-0.0837</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-0.1130**</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-0.0046**</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0.0052***</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-0.0857</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-0.1210**</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-0.0044**</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0.0051***</w:t>
            </w:r>
          </w:p>
        </w:tc>
      </w:tr>
      <w:tr w:rsidR="005F3017" w:rsidRPr="0059184B" w:rsidTr="008F16F1">
        <w:trPr>
          <w:trHeight w:val="272"/>
          <w:jc w:val="center"/>
        </w:trPr>
        <w:tc>
          <w:tcPr>
            <w:tcW w:w="2594" w:type="dxa"/>
            <w:tcBorders>
              <w:top w:val="nil"/>
              <w:left w:val="nil"/>
              <w:bottom w:val="nil"/>
              <w:right w:val="nil"/>
            </w:tcBorders>
            <w:shd w:val="clear" w:color="auto" w:fill="auto"/>
            <w:noWrap/>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Book to market ratio</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0.0169</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-0.1047**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-0.0026***</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0.0054***</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0.0174</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-0.1010**</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-0.0027***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0.0054***</w:t>
            </w:r>
          </w:p>
        </w:tc>
      </w:tr>
      <w:tr w:rsidR="005F3017" w:rsidRPr="0059184B" w:rsidTr="008F16F1">
        <w:trPr>
          <w:trHeight w:val="272"/>
          <w:jc w:val="center"/>
        </w:trPr>
        <w:tc>
          <w:tcPr>
            <w:tcW w:w="2594" w:type="dxa"/>
            <w:tcBorders>
              <w:top w:val="nil"/>
              <w:left w:val="nil"/>
              <w:bottom w:val="nil"/>
              <w:right w:val="nil"/>
            </w:tcBorders>
            <w:shd w:val="clear" w:color="auto" w:fill="auto"/>
            <w:noWrap/>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Return on average assets</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0.0362</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-0.0285*</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0.0388</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-0.0295*</w:t>
            </w:r>
          </w:p>
        </w:tc>
      </w:tr>
      <w:tr w:rsidR="005F3017" w:rsidRPr="0059184B" w:rsidTr="008F16F1">
        <w:trPr>
          <w:trHeight w:val="272"/>
          <w:jc w:val="center"/>
        </w:trPr>
        <w:tc>
          <w:tcPr>
            <w:tcW w:w="2594" w:type="dxa"/>
            <w:tcBorders>
              <w:top w:val="nil"/>
              <w:left w:val="nil"/>
              <w:bottom w:val="nil"/>
              <w:right w:val="nil"/>
            </w:tcBorders>
            <w:shd w:val="clear" w:color="auto" w:fill="auto"/>
            <w:noWrap/>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Short-term borrowing</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10.0210**</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-2.5908**</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-0.0621**</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0.0257**</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9.9983**</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-2.8607**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-0.0612**</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0.0251**</w:t>
            </w:r>
          </w:p>
        </w:tc>
      </w:tr>
      <w:tr w:rsidR="005F3017" w:rsidRPr="0059184B" w:rsidTr="008F16F1">
        <w:trPr>
          <w:trHeight w:val="272"/>
          <w:jc w:val="center"/>
        </w:trPr>
        <w:tc>
          <w:tcPr>
            <w:tcW w:w="2594" w:type="dxa"/>
            <w:tcBorders>
              <w:top w:val="nil"/>
              <w:left w:val="nil"/>
              <w:bottom w:val="nil"/>
              <w:right w:val="nil"/>
            </w:tcBorders>
            <w:shd w:val="clear" w:color="auto" w:fill="auto"/>
            <w:noWrap/>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Stock price volatility in 6m </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-6.8618</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-17.4519***</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-0.4209***</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-6.8462</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-17.4969***</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-0.4110***</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Acquisition</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-0.2739</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0.0335</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-0.0006</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-0.0006*</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-0.2760</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0.0326</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-0.0005</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-0.0007*</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Special capital users dummy</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0.0009</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-0.0308</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-0.0003</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0.0012**</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0.0002</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-0.0350</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-0.0001</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0.0011**</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Exposure to housing price change</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-7.8641</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-1.1291</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0.1607***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-0.0162</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-7.8187</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-1.1217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0.1597***</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-0.0156</w:t>
            </w:r>
          </w:p>
        </w:tc>
      </w:tr>
      <w:tr w:rsidR="005F3017" w:rsidRPr="0059184B" w:rsidTr="008F16F1">
        <w:trPr>
          <w:trHeight w:val="272"/>
          <w:jc w:val="center"/>
        </w:trPr>
        <w:tc>
          <w:tcPr>
            <w:tcW w:w="2594" w:type="dxa"/>
            <w:tcBorders>
              <w:top w:val="nil"/>
              <w:left w:val="nil"/>
              <w:bottom w:val="nil"/>
              <w:right w:val="nil"/>
            </w:tcBorders>
            <w:shd w:val="clear" w:color="auto" w:fill="auto"/>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HHI index</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0.3353</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-0.0750</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0.0064*</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-0.0003</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0.3330</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-0.0495</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0.0054</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0.0001</w:t>
            </w:r>
          </w:p>
        </w:tc>
      </w:tr>
      <w:tr w:rsidR="005F3017" w:rsidRPr="0059184B" w:rsidTr="008F16F1">
        <w:trPr>
          <w:trHeight w:val="272"/>
          <w:jc w:val="center"/>
        </w:trPr>
        <w:tc>
          <w:tcPr>
            <w:tcW w:w="2594" w:type="dxa"/>
            <w:tcBorders>
              <w:top w:val="nil"/>
              <w:left w:val="nil"/>
              <w:bottom w:val="nil"/>
              <w:right w:val="nil"/>
            </w:tcBorders>
            <w:shd w:val="clear" w:color="auto" w:fill="auto"/>
            <w:noWrap/>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Intercept</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2.4791</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0.3280</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-0.0661</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0.0474**</w:t>
            </w:r>
          </w:p>
        </w:tc>
        <w:tc>
          <w:tcPr>
            <w:tcW w:w="122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2.4481</w:t>
            </w:r>
          </w:p>
        </w:tc>
        <w:tc>
          <w:tcPr>
            <w:tcW w:w="1157"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0.1001</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-0.0571</w:t>
            </w:r>
          </w:p>
        </w:tc>
        <w:tc>
          <w:tcPr>
            <w:tcW w:w="1041" w:type="dxa"/>
            <w:tcBorders>
              <w:top w:val="nil"/>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0.0432**</w:t>
            </w:r>
          </w:p>
        </w:tc>
      </w:tr>
      <w:tr w:rsidR="005F3017" w:rsidRPr="0059184B" w:rsidTr="008F16F1">
        <w:trPr>
          <w:trHeight w:val="272"/>
          <w:jc w:val="center"/>
        </w:trPr>
        <w:tc>
          <w:tcPr>
            <w:tcW w:w="2594" w:type="dxa"/>
            <w:tcBorders>
              <w:top w:val="single" w:sz="4" w:space="0" w:color="auto"/>
              <w:left w:val="nil"/>
              <w:bottom w:val="nil"/>
              <w:right w:val="nil"/>
            </w:tcBorders>
            <w:shd w:val="clear" w:color="auto" w:fill="auto"/>
            <w:noWrap/>
            <w:vAlign w:val="center"/>
            <w:hideMark/>
          </w:tcPr>
          <w:p w:rsidR="005F3017" w:rsidRPr="0059184B" w:rsidRDefault="005F3017" w:rsidP="009B6303">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Adj.R</w:t>
            </w:r>
            <w:proofErr w:type="spellEnd"/>
            <w:r w:rsidRPr="0059184B">
              <w:rPr>
                <w:rFonts w:ascii="Times New Roman" w:eastAsia="宋体" w:hAnsi="Times New Roman" w:cs="Times New Roman"/>
                <w:kern w:val="0"/>
                <w:sz w:val="18"/>
                <w:szCs w:val="18"/>
              </w:rPr>
              <w:t>-squared</w:t>
            </w:r>
          </w:p>
        </w:tc>
        <w:tc>
          <w:tcPr>
            <w:tcW w:w="1041" w:type="dxa"/>
            <w:tcBorders>
              <w:top w:val="single" w:sz="4" w:space="0" w:color="auto"/>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0.387</w:t>
            </w:r>
          </w:p>
        </w:tc>
        <w:tc>
          <w:tcPr>
            <w:tcW w:w="1157" w:type="dxa"/>
            <w:tcBorders>
              <w:top w:val="single" w:sz="4" w:space="0" w:color="auto"/>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0.685</w:t>
            </w:r>
          </w:p>
        </w:tc>
        <w:tc>
          <w:tcPr>
            <w:tcW w:w="1041" w:type="dxa"/>
            <w:tcBorders>
              <w:top w:val="single" w:sz="4" w:space="0" w:color="auto"/>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0.750</w:t>
            </w:r>
          </w:p>
        </w:tc>
        <w:tc>
          <w:tcPr>
            <w:tcW w:w="1041" w:type="dxa"/>
            <w:tcBorders>
              <w:top w:val="single" w:sz="4" w:space="0" w:color="auto"/>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0.840</w:t>
            </w:r>
          </w:p>
        </w:tc>
        <w:tc>
          <w:tcPr>
            <w:tcW w:w="1221" w:type="dxa"/>
            <w:tcBorders>
              <w:top w:val="single" w:sz="4" w:space="0" w:color="auto"/>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0.387</w:t>
            </w:r>
          </w:p>
        </w:tc>
        <w:tc>
          <w:tcPr>
            <w:tcW w:w="1157" w:type="dxa"/>
            <w:tcBorders>
              <w:top w:val="single" w:sz="4" w:space="0" w:color="auto"/>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0.685</w:t>
            </w:r>
          </w:p>
        </w:tc>
        <w:tc>
          <w:tcPr>
            <w:tcW w:w="1041" w:type="dxa"/>
            <w:tcBorders>
              <w:top w:val="single" w:sz="4" w:space="0" w:color="auto"/>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0.751</w:t>
            </w:r>
          </w:p>
        </w:tc>
        <w:tc>
          <w:tcPr>
            <w:tcW w:w="1041" w:type="dxa"/>
            <w:tcBorders>
              <w:top w:val="single" w:sz="4" w:space="0" w:color="auto"/>
              <w:left w:val="nil"/>
              <w:bottom w:val="nil"/>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0.841</w:t>
            </w:r>
          </w:p>
        </w:tc>
      </w:tr>
      <w:tr w:rsidR="005F3017" w:rsidRPr="0059184B" w:rsidTr="008F16F1">
        <w:trPr>
          <w:trHeight w:val="272"/>
          <w:jc w:val="center"/>
        </w:trPr>
        <w:tc>
          <w:tcPr>
            <w:tcW w:w="2594" w:type="dxa"/>
            <w:tcBorders>
              <w:top w:val="nil"/>
              <w:left w:val="nil"/>
              <w:bottom w:val="single" w:sz="4" w:space="0" w:color="auto"/>
              <w:right w:val="nil"/>
            </w:tcBorders>
            <w:shd w:val="clear" w:color="auto" w:fill="auto"/>
            <w:noWrap/>
            <w:vAlign w:val="center"/>
            <w:hideMark/>
          </w:tcPr>
          <w:p w:rsidR="005F3017" w:rsidRPr="0059184B" w:rsidRDefault="005F3017" w:rsidP="009B630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N</w:t>
            </w:r>
          </w:p>
        </w:tc>
        <w:tc>
          <w:tcPr>
            <w:tcW w:w="1041" w:type="dxa"/>
            <w:tcBorders>
              <w:top w:val="nil"/>
              <w:left w:val="nil"/>
              <w:bottom w:val="single" w:sz="4" w:space="0" w:color="auto"/>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3724</w:t>
            </w:r>
          </w:p>
        </w:tc>
        <w:tc>
          <w:tcPr>
            <w:tcW w:w="1157" w:type="dxa"/>
            <w:tcBorders>
              <w:top w:val="nil"/>
              <w:left w:val="nil"/>
              <w:bottom w:val="single" w:sz="4" w:space="0" w:color="auto"/>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3724</w:t>
            </w:r>
          </w:p>
        </w:tc>
        <w:tc>
          <w:tcPr>
            <w:tcW w:w="1041" w:type="dxa"/>
            <w:tcBorders>
              <w:top w:val="nil"/>
              <w:left w:val="nil"/>
              <w:bottom w:val="single" w:sz="4" w:space="0" w:color="auto"/>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3724</w:t>
            </w:r>
          </w:p>
        </w:tc>
        <w:tc>
          <w:tcPr>
            <w:tcW w:w="1041" w:type="dxa"/>
            <w:tcBorders>
              <w:top w:val="nil"/>
              <w:left w:val="nil"/>
              <w:bottom w:val="single" w:sz="4" w:space="0" w:color="auto"/>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3724</w:t>
            </w:r>
          </w:p>
        </w:tc>
        <w:tc>
          <w:tcPr>
            <w:tcW w:w="1221" w:type="dxa"/>
            <w:tcBorders>
              <w:top w:val="nil"/>
              <w:left w:val="nil"/>
              <w:bottom w:val="single" w:sz="4" w:space="0" w:color="auto"/>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3724</w:t>
            </w:r>
          </w:p>
        </w:tc>
        <w:tc>
          <w:tcPr>
            <w:tcW w:w="1157" w:type="dxa"/>
            <w:tcBorders>
              <w:top w:val="nil"/>
              <w:left w:val="nil"/>
              <w:bottom w:val="single" w:sz="4" w:space="0" w:color="auto"/>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3724</w:t>
            </w:r>
          </w:p>
        </w:tc>
        <w:tc>
          <w:tcPr>
            <w:tcW w:w="1041" w:type="dxa"/>
            <w:tcBorders>
              <w:top w:val="nil"/>
              <w:left w:val="nil"/>
              <w:bottom w:val="single" w:sz="4" w:space="0" w:color="auto"/>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3724</w:t>
            </w:r>
          </w:p>
        </w:tc>
        <w:tc>
          <w:tcPr>
            <w:tcW w:w="1041" w:type="dxa"/>
            <w:tcBorders>
              <w:top w:val="nil"/>
              <w:left w:val="nil"/>
              <w:bottom w:val="single" w:sz="4" w:space="0" w:color="auto"/>
              <w:right w:val="nil"/>
            </w:tcBorders>
            <w:shd w:val="clear" w:color="auto" w:fill="auto"/>
            <w:vAlign w:val="center"/>
            <w:hideMark/>
          </w:tcPr>
          <w:p w:rsidR="005F3017" w:rsidRPr="0059184B" w:rsidRDefault="005F3017">
            <w:pPr>
              <w:rPr>
                <w:rFonts w:ascii="Times New Roman" w:eastAsia="宋体" w:hAnsi="Times New Roman" w:cs="Times New Roman"/>
                <w:sz w:val="18"/>
              </w:rPr>
            </w:pPr>
            <w:r w:rsidRPr="0059184B">
              <w:rPr>
                <w:rFonts w:ascii="Times New Roman" w:hAnsi="Times New Roman" w:cs="Times New Roman"/>
                <w:sz w:val="18"/>
              </w:rPr>
              <w:t>3724</w:t>
            </w:r>
          </w:p>
        </w:tc>
      </w:tr>
    </w:tbl>
    <w:p w:rsidR="001E66F6" w:rsidRPr="0059184B" w:rsidRDefault="001E66F6" w:rsidP="001E66F6"/>
    <w:p w:rsidR="001E66F6" w:rsidRPr="0059184B" w:rsidRDefault="001E66F6" w:rsidP="001E66F6">
      <w:pPr>
        <w:widowControl/>
        <w:jc w:val="left"/>
      </w:pPr>
      <w:r w:rsidRPr="0059184B">
        <w:br w:type="page"/>
      </w:r>
    </w:p>
    <w:p w:rsidR="001E66F6" w:rsidRPr="0059184B" w:rsidRDefault="00DA0D35" w:rsidP="008F16F1">
      <w:pPr>
        <w:pStyle w:val="3"/>
        <w:jc w:val="center"/>
        <w:rPr>
          <w:rFonts w:ascii="Times New Roman" w:hAnsi="Times New Roman" w:cs="Times New Roman"/>
          <w:sz w:val="24"/>
          <w:szCs w:val="24"/>
        </w:rPr>
      </w:pPr>
      <w:r w:rsidRPr="0059184B">
        <w:rPr>
          <w:rFonts w:ascii="Times New Roman" w:hAnsi="Times New Roman" w:cs="Times New Roman"/>
          <w:sz w:val="24"/>
          <w:szCs w:val="24"/>
        </w:rPr>
        <w:lastRenderedPageBreak/>
        <w:t xml:space="preserve">Table 6 </w:t>
      </w:r>
      <w:proofErr w:type="gramStart"/>
      <w:r w:rsidR="001E66F6" w:rsidRPr="0059184B">
        <w:rPr>
          <w:rFonts w:ascii="Times New Roman" w:hAnsi="Times New Roman" w:cs="Times New Roman"/>
          <w:sz w:val="24"/>
          <w:szCs w:val="24"/>
        </w:rPr>
        <w:t>The</w:t>
      </w:r>
      <w:proofErr w:type="gramEnd"/>
      <w:r w:rsidR="001E66F6" w:rsidRPr="0059184B">
        <w:rPr>
          <w:rFonts w:ascii="Times New Roman" w:hAnsi="Times New Roman" w:cs="Times New Roman"/>
          <w:sz w:val="24"/>
          <w:szCs w:val="24"/>
        </w:rPr>
        <w:t xml:space="preserve"> Effects of Derivative Use and DFA on </w:t>
      </w:r>
      <w:r w:rsidR="00ED24F7" w:rsidRPr="0059184B">
        <w:rPr>
          <w:rFonts w:ascii="Times New Roman" w:hAnsi="Times New Roman" w:cs="Times New Roman"/>
          <w:sz w:val="24"/>
          <w:szCs w:val="24"/>
        </w:rPr>
        <w:t>Bank Performance</w:t>
      </w:r>
    </w:p>
    <w:p w:rsidR="001E66F6" w:rsidRPr="0059184B" w:rsidRDefault="001E66F6" w:rsidP="001E66F6">
      <w:pPr>
        <w:widowControl/>
        <w:rPr>
          <w:rFonts w:ascii="Times New Roman" w:hAnsi="Times New Roman" w:cs="Times New Roman"/>
          <w:sz w:val="18"/>
          <w:szCs w:val="18"/>
        </w:rPr>
      </w:pPr>
      <w:r w:rsidRPr="0059184B">
        <w:rPr>
          <w:rFonts w:ascii="Times New Roman" w:hAnsi="Times New Roman" w:cs="Times New Roman"/>
          <w:sz w:val="18"/>
          <w:szCs w:val="18"/>
        </w:rPr>
        <w:t xml:space="preserve">The dependent variables in the regressions are change in conditional Tobin’s Q, </w:t>
      </w:r>
      <w:r w:rsidRPr="0059184B">
        <w:rPr>
          <w:rFonts w:ascii="Times New Roman" w:eastAsia="宋体" w:hAnsi="Times New Roman" w:cs="Times New Roman"/>
          <w:kern w:val="0"/>
          <w:sz w:val="18"/>
          <w:szCs w:val="18"/>
        </w:rPr>
        <w:t>net interest margin ratio and return on assets</w:t>
      </w:r>
      <w:r w:rsidRPr="0059184B">
        <w:rPr>
          <w:rFonts w:ascii="Times New Roman" w:hAnsi="Times New Roman" w:cs="Times New Roman"/>
          <w:sz w:val="18"/>
          <w:szCs w:val="18"/>
        </w:rPr>
        <w:t xml:space="preserve">. </w:t>
      </w:r>
      <w:proofErr w:type="spellStart"/>
      <w:r w:rsidRPr="0059184B">
        <w:rPr>
          <w:rFonts w:ascii="Times New Roman" w:hAnsi="Times New Roman" w:cs="Times New Roman"/>
          <w:sz w:val="18"/>
          <w:szCs w:val="18"/>
        </w:rPr>
        <w:t>PostDFA</w:t>
      </w:r>
      <w:proofErr w:type="spellEnd"/>
      <w:r w:rsidRPr="0059184B">
        <w:rPr>
          <w:rFonts w:ascii="Times New Roman" w:hAnsi="Times New Roman" w:cs="Times New Roman"/>
          <w:sz w:val="18"/>
          <w:szCs w:val="18"/>
        </w:rPr>
        <w:t xml:space="preserve"> is a dummy set to one after Dodd-Frank Act is issued and zero otherwise. All regressions include unreported time fixed effects and firm fixed effects. Size is calculated as the logarithm of total asset. Exposure to housing price change is a weighted average of the returns on the state-specific Fannie Mae real estate index where the weights are the fraction of bank deposits in the various states. HHI is a weighted average of the </w:t>
      </w:r>
      <w:proofErr w:type="spellStart"/>
      <w:r w:rsidRPr="0059184B">
        <w:rPr>
          <w:rFonts w:ascii="Times New Roman" w:hAnsi="Times New Roman" w:cs="Times New Roman"/>
          <w:sz w:val="18"/>
          <w:szCs w:val="18"/>
        </w:rPr>
        <w:t>Herfindahl</w:t>
      </w:r>
      <w:proofErr w:type="spellEnd"/>
      <w:r w:rsidRPr="0059184B">
        <w:rPr>
          <w:rFonts w:ascii="Times New Roman" w:hAnsi="Times New Roman" w:cs="Times New Roman"/>
          <w:sz w:val="18"/>
          <w:szCs w:val="18"/>
        </w:rPr>
        <w:t xml:space="preserve">-Hirschman index where the weights are the fraction of bank deposits in the various states. Special capital is a dummy set to one if the bank uses any of the government bailout special capital programs. Acquisition is a dummy set to one if the bank acquires other banks in that quarter. Liquid is calculated as cash and cash equivalent scaled by total assets. Beta is the market beta calculated using 1 year of daily </w:t>
      </w:r>
      <w:r w:rsidR="00933A1B" w:rsidRPr="0059184B">
        <w:rPr>
          <w:rFonts w:ascii="Times New Roman" w:hAnsi="Times New Roman" w:cs="Times New Roman"/>
          <w:sz w:val="18"/>
          <w:szCs w:val="18"/>
        </w:rPr>
        <w:t>stock</w:t>
      </w:r>
      <w:r w:rsidRPr="0059184B">
        <w:rPr>
          <w:rFonts w:ascii="Times New Roman" w:hAnsi="Times New Roman" w:cs="Times New Roman"/>
          <w:sz w:val="18"/>
          <w:szCs w:val="18"/>
        </w:rPr>
        <w:t xml:space="preserve"> price. Standard errors are </w:t>
      </w:r>
      <w:proofErr w:type="spellStart"/>
      <w:r w:rsidRPr="0059184B">
        <w:rPr>
          <w:rFonts w:ascii="Times New Roman" w:hAnsi="Times New Roman" w:cs="Times New Roman"/>
          <w:sz w:val="18"/>
          <w:szCs w:val="18"/>
        </w:rPr>
        <w:t>heteroskedasticity</w:t>
      </w:r>
      <w:proofErr w:type="spellEnd"/>
      <w:r w:rsidRPr="0059184B">
        <w:rPr>
          <w:rFonts w:ascii="Times New Roman" w:hAnsi="Times New Roman" w:cs="Times New Roman"/>
          <w:sz w:val="18"/>
          <w:szCs w:val="18"/>
        </w:rPr>
        <w:t>-consistent.</w:t>
      </w:r>
    </w:p>
    <w:p w:rsidR="001E66F6" w:rsidRPr="0059184B" w:rsidRDefault="001E66F6" w:rsidP="001E66F6"/>
    <w:tbl>
      <w:tblPr>
        <w:tblW w:w="11104" w:type="dxa"/>
        <w:jc w:val="center"/>
        <w:tblInd w:w="93" w:type="dxa"/>
        <w:tblLook w:val="04A0" w:firstRow="1" w:lastRow="0" w:firstColumn="1" w:lastColumn="0" w:noHBand="0" w:noVBand="1"/>
      </w:tblPr>
      <w:tblGrid>
        <w:gridCol w:w="2902"/>
        <w:gridCol w:w="1041"/>
        <w:gridCol w:w="1041"/>
        <w:gridCol w:w="981"/>
        <w:gridCol w:w="1094"/>
        <w:gridCol w:w="1041"/>
        <w:gridCol w:w="1041"/>
        <w:gridCol w:w="981"/>
        <w:gridCol w:w="1094"/>
      </w:tblGrid>
      <w:tr w:rsidR="007A42F8" w:rsidRPr="0059184B" w:rsidTr="007A42F8">
        <w:trPr>
          <w:trHeight w:val="301"/>
          <w:jc w:val="center"/>
        </w:trPr>
        <w:tc>
          <w:tcPr>
            <w:tcW w:w="290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22"/>
              </w:rPr>
            </w:pPr>
            <w:r w:rsidRPr="0059184B">
              <w:rPr>
                <w:rFonts w:ascii="Times New Roman" w:eastAsia="宋体" w:hAnsi="Times New Roman" w:cs="Times New Roman"/>
                <w:kern w:val="0"/>
                <w:sz w:val="22"/>
              </w:rPr>
              <w:t xml:space="preserve">　</w:t>
            </w:r>
          </w:p>
        </w:tc>
        <w:tc>
          <w:tcPr>
            <w:tcW w:w="102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(1)</w:t>
            </w:r>
          </w:p>
        </w:tc>
        <w:tc>
          <w:tcPr>
            <w:tcW w:w="102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(2)</w:t>
            </w:r>
          </w:p>
        </w:tc>
        <w:tc>
          <w:tcPr>
            <w:tcW w:w="963"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(3)</w:t>
            </w:r>
          </w:p>
        </w:tc>
        <w:tc>
          <w:tcPr>
            <w:tcW w:w="1094"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(4)</w:t>
            </w:r>
          </w:p>
        </w:tc>
        <w:tc>
          <w:tcPr>
            <w:tcW w:w="102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(5)</w:t>
            </w:r>
          </w:p>
        </w:tc>
        <w:tc>
          <w:tcPr>
            <w:tcW w:w="102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(6)</w:t>
            </w:r>
          </w:p>
        </w:tc>
        <w:tc>
          <w:tcPr>
            <w:tcW w:w="963"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(7)</w:t>
            </w:r>
          </w:p>
        </w:tc>
        <w:tc>
          <w:tcPr>
            <w:tcW w:w="1094"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(8)</w:t>
            </w:r>
          </w:p>
        </w:tc>
      </w:tr>
      <w:tr w:rsidR="007A42F8" w:rsidRPr="0059184B" w:rsidTr="007A42F8">
        <w:trPr>
          <w:trHeight w:val="301"/>
          <w:jc w:val="center"/>
        </w:trPr>
        <w:tc>
          <w:tcPr>
            <w:tcW w:w="290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22"/>
              </w:rPr>
            </w:pPr>
            <w:r w:rsidRPr="0059184B">
              <w:rPr>
                <w:rFonts w:ascii="Times New Roman" w:eastAsia="宋体" w:hAnsi="Times New Roman" w:cs="Times New Roman"/>
                <w:kern w:val="0"/>
                <w:sz w:val="22"/>
              </w:rPr>
              <w:t xml:space="preserve">　</w:t>
            </w:r>
          </w:p>
        </w:tc>
        <w:tc>
          <w:tcPr>
            <w:tcW w:w="102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Tobin's Q</w:t>
            </w:r>
          </w:p>
        </w:tc>
        <w:tc>
          <w:tcPr>
            <w:tcW w:w="102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Roa</w:t>
            </w:r>
            <w:proofErr w:type="spellEnd"/>
          </w:p>
        </w:tc>
        <w:tc>
          <w:tcPr>
            <w:tcW w:w="963"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Cost to Income</w:t>
            </w:r>
          </w:p>
        </w:tc>
        <w:tc>
          <w:tcPr>
            <w:tcW w:w="1094"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Market cap Return</w:t>
            </w:r>
          </w:p>
        </w:tc>
        <w:tc>
          <w:tcPr>
            <w:tcW w:w="102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Tobin's Q</w:t>
            </w:r>
          </w:p>
        </w:tc>
        <w:tc>
          <w:tcPr>
            <w:tcW w:w="102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Roa</w:t>
            </w:r>
            <w:proofErr w:type="spellEnd"/>
          </w:p>
        </w:tc>
        <w:tc>
          <w:tcPr>
            <w:tcW w:w="963"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Cost to Income</w:t>
            </w:r>
          </w:p>
        </w:tc>
        <w:tc>
          <w:tcPr>
            <w:tcW w:w="1094"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Market cap Return</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Interest Rate Derivatives held for trading</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0.0024</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0.0000</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-0.0017</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-0.0034</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0.0020</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-0.0000</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0.0004</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-0.0049</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Interest Rate Derivatives held for hedging</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0.0496**</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-0.0014</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0.0106</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-0.1208*</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0.0630***</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-0.0006</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-0.0440</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-0.1154*</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Net notional amount of credit derivatives</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-0.2857</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0.0208</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0.3197</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1.1701*</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-0.3164**</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0.0056</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0.4990</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1.0768*</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Post DFA dummy</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-0.0814***</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0.0041*</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0.0104</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0.2753***</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IRD held for trading * </w:t>
            </w:r>
            <w:proofErr w:type="spellStart"/>
            <w:r w:rsidRPr="0059184B">
              <w:rPr>
                <w:rFonts w:ascii="Times New Roman" w:eastAsia="宋体" w:hAnsi="Times New Roman" w:cs="Times New Roman"/>
                <w:kern w:val="0"/>
                <w:sz w:val="18"/>
                <w:szCs w:val="18"/>
              </w:rPr>
              <w:t>PostDFA</w:t>
            </w:r>
            <w:proofErr w:type="spellEnd"/>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-0.0011**</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-0.0002**</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0.0062***</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-0.0051**</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IRD held for hedging * </w:t>
            </w:r>
            <w:proofErr w:type="spellStart"/>
            <w:r w:rsidRPr="0059184B">
              <w:rPr>
                <w:rFonts w:ascii="Times New Roman" w:eastAsia="宋体" w:hAnsi="Times New Roman" w:cs="Times New Roman"/>
                <w:kern w:val="0"/>
                <w:sz w:val="18"/>
                <w:szCs w:val="18"/>
              </w:rPr>
              <w:t>PostDFA</w:t>
            </w:r>
            <w:proofErr w:type="spellEnd"/>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-0.0256</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0.0017</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0.0681</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0.0903</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Net Credit Derivatives * </w:t>
            </w:r>
            <w:proofErr w:type="spellStart"/>
            <w:r w:rsidRPr="0059184B">
              <w:rPr>
                <w:rFonts w:ascii="Times New Roman" w:eastAsia="宋体" w:hAnsi="Times New Roman" w:cs="Times New Roman"/>
                <w:kern w:val="0"/>
                <w:sz w:val="18"/>
                <w:szCs w:val="18"/>
              </w:rPr>
              <w:t>PostDFA</w:t>
            </w:r>
            <w:proofErr w:type="spellEnd"/>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-0.0421</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0.0108</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0.3892</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-0.9338</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Size</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0.0160</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-0.0080***</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-0.0399*</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-0.2385***</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0.0165</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-0.0080***</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-0.0424*</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-0.2376***</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Tier 1 ratio</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0.0742</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-0.0073</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-0.2080</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-4.1499</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0.0769</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-0.0076</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-0.2166</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-4.1617</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Loan Loss Provision</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-0.0167***</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-0.0077***</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-0.0067</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-0.0461</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-0.0176***</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-0.0077***</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-0.0027</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-0.0462</w:t>
            </w:r>
          </w:p>
        </w:tc>
      </w:tr>
      <w:tr w:rsidR="007A42F8" w:rsidRPr="0059184B" w:rsidTr="007A42F8">
        <w:trPr>
          <w:trHeight w:val="301"/>
          <w:jc w:val="center"/>
        </w:trPr>
        <w:tc>
          <w:tcPr>
            <w:tcW w:w="290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Book to market ratio</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-0.0033***</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0.0215</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-0.0033***</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0.0204</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r>
      <w:tr w:rsidR="007A42F8" w:rsidRPr="0059184B" w:rsidTr="007A42F8">
        <w:trPr>
          <w:trHeight w:val="301"/>
          <w:jc w:val="center"/>
        </w:trPr>
        <w:tc>
          <w:tcPr>
            <w:tcW w:w="290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Return on average assets</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0.1048**</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-0.7070</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0.0952*</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-0.6673</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p>
        </w:tc>
      </w:tr>
      <w:tr w:rsidR="007A42F8" w:rsidRPr="0059184B" w:rsidTr="007A42F8">
        <w:trPr>
          <w:trHeight w:val="301"/>
          <w:jc w:val="center"/>
        </w:trPr>
        <w:tc>
          <w:tcPr>
            <w:tcW w:w="290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Short-term borrowing</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0.5360***</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0.0138</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-0.3480</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0.2807</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0.5160***</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0.0125</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-0.2678</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0.2674</w:t>
            </w:r>
          </w:p>
        </w:tc>
      </w:tr>
      <w:tr w:rsidR="007A42F8" w:rsidRPr="0059184B" w:rsidTr="007A42F8">
        <w:trPr>
          <w:trHeight w:val="301"/>
          <w:jc w:val="center"/>
        </w:trPr>
        <w:tc>
          <w:tcPr>
            <w:tcW w:w="290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Stock price volatility in 6 months</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-0.6004***</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-0.1078**</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2.0541***</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3.9287***</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-0.6157***</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-0.1083**</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2.1425***</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3.9380***</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Acquisition</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0.0010</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-0.0003</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-0.0031</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-0.0015</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0.0012</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-0.0003</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-0.0038</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-0.0023</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Special capital users dummy</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0.0040</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-0.0002</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-0.0143</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-0.0088</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0.0035</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-0.0002</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-0.0120</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-0.0098</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Exposure to housing price change</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-0.1041</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0.0950***</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-0.8786*</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1.0700</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-0.1009</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0.0950***</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-0.8915**</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1.0671</w:t>
            </w:r>
          </w:p>
        </w:tc>
      </w:tr>
      <w:tr w:rsidR="007A42F8" w:rsidRPr="0059184B" w:rsidTr="007A42F8">
        <w:trPr>
          <w:trHeight w:val="301"/>
          <w:jc w:val="center"/>
        </w:trPr>
        <w:tc>
          <w:tcPr>
            <w:tcW w:w="2902" w:type="dxa"/>
            <w:tcBorders>
              <w:top w:val="nil"/>
              <w:left w:val="nil"/>
              <w:bottom w:val="nil"/>
              <w:right w:val="nil"/>
            </w:tcBorders>
            <w:shd w:val="clear" w:color="auto" w:fill="auto"/>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HHI index</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-0.0202**</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0.0004</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0.0237</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0.0343</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-0.0184*</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0.0006</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0.0147</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0.0393</w:t>
            </w:r>
          </w:p>
        </w:tc>
      </w:tr>
      <w:tr w:rsidR="007A42F8" w:rsidRPr="0059184B" w:rsidTr="007A42F8">
        <w:trPr>
          <w:trHeight w:val="301"/>
          <w:jc w:val="center"/>
        </w:trPr>
        <w:tc>
          <w:tcPr>
            <w:tcW w:w="290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Intercept</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0.2764**</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0.0809***</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0.8010***</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2.0780***</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0.2597*</w:t>
            </w:r>
          </w:p>
        </w:tc>
        <w:tc>
          <w:tcPr>
            <w:tcW w:w="1022"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0.0792***</w:t>
            </w:r>
          </w:p>
        </w:tc>
        <w:tc>
          <w:tcPr>
            <w:tcW w:w="963"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0.8806***</w:t>
            </w:r>
          </w:p>
        </w:tc>
        <w:tc>
          <w:tcPr>
            <w:tcW w:w="1094" w:type="dxa"/>
            <w:tcBorders>
              <w:top w:val="nil"/>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2.0400***</w:t>
            </w:r>
          </w:p>
        </w:tc>
      </w:tr>
      <w:tr w:rsidR="007A42F8" w:rsidRPr="0059184B" w:rsidTr="007A42F8">
        <w:trPr>
          <w:trHeight w:val="301"/>
          <w:jc w:val="center"/>
        </w:trPr>
        <w:tc>
          <w:tcPr>
            <w:tcW w:w="290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Adj.R</w:t>
            </w:r>
            <w:proofErr w:type="spellEnd"/>
            <w:r w:rsidRPr="0059184B">
              <w:rPr>
                <w:rFonts w:ascii="Times New Roman" w:eastAsia="宋体" w:hAnsi="Times New Roman" w:cs="Times New Roman"/>
                <w:kern w:val="0"/>
                <w:sz w:val="18"/>
                <w:szCs w:val="18"/>
              </w:rPr>
              <w:t>-squared</w:t>
            </w:r>
          </w:p>
        </w:tc>
        <w:tc>
          <w:tcPr>
            <w:tcW w:w="102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0.475</w:t>
            </w:r>
          </w:p>
        </w:tc>
        <w:tc>
          <w:tcPr>
            <w:tcW w:w="102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0.189</w:t>
            </w:r>
          </w:p>
        </w:tc>
        <w:tc>
          <w:tcPr>
            <w:tcW w:w="963"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0.046</w:t>
            </w:r>
          </w:p>
        </w:tc>
        <w:tc>
          <w:tcPr>
            <w:tcW w:w="1094"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0.136</w:t>
            </w:r>
          </w:p>
        </w:tc>
        <w:tc>
          <w:tcPr>
            <w:tcW w:w="102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0.477</w:t>
            </w:r>
          </w:p>
        </w:tc>
        <w:tc>
          <w:tcPr>
            <w:tcW w:w="1022"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0.188</w:t>
            </w:r>
          </w:p>
        </w:tc>
        <w:tc>
          <w:tcPr>
            <w:tcW w:w="963"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0.047</w:t>
            </w:r>
          </w:p>
        </w:tc>
        <w:tc>
          <w:tcPr>
            <w:tcW w:w="1094" w:type="dxa"/>
            <w:tcBorders>
              <w:top w:val="single" w:sz="4" w:space="0" w:color="auto"/>
              <w:left w:val="nil"/>
              <w:bottom w:val="nil"/>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0.136</w:t>
            </w:r>
          </w:p>
        </w:tc>
      </w:tr>
      <w:tr w:rsidR="007A42F8" w:rsidRPr="0059184B" w:rsidTr="007A42F8">
        <w:trPr>
          <w:trHeight w:val="301"/>
          <w:jc w:val="center"/>
        </w:trPr>
        <w:tc>
          <w:tcPr>
            <w:tcW w:w="290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N</w:t>
            </w:r>
          </w:p>
        </w:tc>
        <w:tc>
          <w:tcPr>
            <w:tcW w:w="102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3724</w:t>
            </w:r>
          </w:p>
        </w:tc>
        <w:tc>
          <w:tcPr>
            <w:tcW w:w="102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3724</w:t>
            </w:r>
          </w:p>
        </w:tc>
        <w:tc>
          <w:tcPr>
            <w:tcW w:w="963"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3724</w:t>
            </w:r>
          </w:p>
        </w:tc>
        <w:tc>
          <w:tcPr>
            <w:tcW w:w="1094"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3724</w:t>
            </w:r>
          </w:p>
        </w:tc>
        <w:tc>
          <w:tcPr>
            <w:tcW w:w="102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3724</w:t>
            </w:r>
          </w:p>
        </w:tc>
        <w:tc>
          <w:tcPr>
            <w:tcW w:w="1022"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3724</w:t>
            </w:r>
          </w:p>
        </w:tc>
        <w:tc>
          <w:tcPr>
            <w:tcW w:w="963"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3724</w:t>
            </w:r>
          </w:p>
        </w:tc>
        <w:tc>
          <w:tcPr>
            <w:tcW w:w="1094" w:type="dxa"/>
            <w:tcBorders>
              <w:top w:val="nil"/>
              <w:left w:val="nil"/>
              <w:bottom w:val="single" w:sz="4" w:space="0" w:color="auto"/>
              <w:right w:val="nil"/>
            </w:tcBorders>
            <w:shd w:val="clear" w:color="auto" w:fill="auto"/>
            <w:noWrap/>
            <w:vAlign w:val="center"/>
            <w:hideMark/>
          </w:tcPr>
          <w:p w:rsidR="007A42F8" w:rsidRPr="0059184B" w:rsidRDefault="007A42F8" w:rsidP="007A42F8">
            <w:pPr>
              <w:widowControl/>
              <w:jc w:val="left"/>
              <w:rPr>
                <w:rFonts w:ascii="Times New Roman" w:eastAsia="宋体" w:hAnsi="Times New Roman" w:cs="Times New Roman"/>
                <w:kern w:val="0"/>
                <w:sz w:val="18"/>
              </w:rPr>
            </w:pPr>
            <w:r w:rsidRPr="0059184B">
              <w:rPr>
                <w:rFonts w:ascii="Times New Roman" w:eastAsia="宋体" w:hAnsi="Times New Roman" w:cs="Times New Roman"/>
                <w:kern w:val="0"/>
                <w:sz w:val="18"/>
              </w:rPr>
              <w:t>3724</w:t>
            </w:r>
          </w:p>
        </w:tc>
      </w:tr>
    </w:tbl>
    <w:p w:rsidR="001E66F6" w:rsidRPr="0059184B" w:rsidRDefault="001E66F6" w:rsidP="001E66F6"/>
    <w:p w:rsidR="000E71F0" w:rsidRPr="0059184B" w:rsidRDefault="000E71F0" w:rsidP="001E66F6"/>
    <w:p w:rsidR="000E71F0" w:rsidRPr="0059184B" w:rsidRDefault="000E71F0" w:rsidP="001E66F6"/>
    <w:p w:rsidR="000E71F0" w:rsidRPr="0059184B" w:rsidRDefault="000E71F0" w:rsidP="001E66F6"/>
    <w:p w:rsidR="000E71F0" w:rsidRPr="0059184B" w:rsidRDefault="000E71F0" w:rsidP="001E66F6"/>
    <w:p w:rsidR="00DA0D35" w:rsidRPr="0059184B" w:rsidRDefault="00DA0D35" w:rsidP="008F16F1">
      <w:pPr>
        <w:pStyle w:val="3"/>
        <w:jc w:val="center"/>
        <w:rPr>
          <w:rFonts w:ascii="Times New Roman" w:hAnsi="Times New Roman" w:cs="Times New Roman"/>
          <w:sz w:val="24"/>
          <w:szCs w:val="24"/>
        </w:rPr>
      </w:pPr>
      <w:r w:rsidRPr="0059184B">
        <w:rPr>
          <w:rFonts w:ascii="Times New Roman" w:hAnsi="Times New Roman" w:cs="Times New Roman"/>
          <w:sz w:val="24"/>
          <w:szCs w:val="24"/>
        </w:rPr>
        <w:lastRenderedPageBreak/>
        <w:t xml:space="preserve">Table 7 </w:t>
      </w:r>
      <w:proofErr w:type="gramStart"/>
      <w:r w:rsidRPr="0059184B">
        <w:rPr>
          <w:rFonts w:ascii="Times New Roman" w:hAnsi="Times New Roman" w:cs="Times New Roman"/>
          <w:sz w:val="24"/>
          <w:szCs w:val="24"/>
        </w:rPr>
        <w:t>The</w:t>
      </w:r>
      <w:proofErr w:type="gramEnd"/>
      <w:r w:rsidRPr="0059184B">
        <w:rPr>
          <w:rFonts w:ascii="Times New Roman" w:hAnsi="Times New Roman" w:cs="Times New Roman"/>
          <w:sz w:val="24"/>
          <w:szCs w:val="24"/>
        </w:rPr>
        <w:t xml:space="preserve"> Effects of Derivative Use and DFA on Bank Performance</w:t>
      </w:r>
    </w:p>
    <w:p w:rsidR="00DA0D35" w:rsidRPr="0059184B" w:rsidRDefault="00DA0D35" w:rsidP="00DA0D35">
      <w:pPr>
        <w:pStyle w:val="Default"/>
        <w:jc w:val="both"/>
        <w:rPr>
          <w:b/>
          <w:color w:val="auto"/>
        </w:rPr>
      </w:pPr>
    </w:p>
    <w:p w:rsidR="00DA0D35" w:rsidRPr="0059184B" w:rsidRDefault="00DA0D35" w:rsidP="00DA0D35">
      <w:pPr>
        <w:widowControl/>
        <w:rPr>
          <w:rFonts w:ascii="Times New Roman" w:hAnsi="Times New Roman" w:cs="Times New Roman"/>
          <w:sz w:val="18"/>
          <w:szCs w:val="18"/>
        </w:rPr>
      </w:pPr>
      <w:r w:rsidRPr="0059184B">
        <w:rPr>
          <w:rFonts w:ascii="Times New Roman" w:hAnsi="Times New Roman" w:cs="Times New Roman"/>
          <w:sz w:val="18"/>
          <w:szCs w:val="18"/>
        </w:rPr>
        <w:t xml:space="preserve">The dependent variables in the regressions are change in conditional Tobin’s Q, </w:t>
      </w:r>
      <w:r w:rsidRPr="0059184B">
        <w:rPr>
          <w:rFonts w:ascii="Times New Roman" w:eastAsia="宋体" w:hAnsi="Times New Roman" w:cs="Times New Roman"/>
          <w:kern w:val="0"/>
          <w:sz w:val="18"/>
          <w:szCs w:val="18"/>
        </w:rPr>
        <w:t>net interest margin ratio and return on assets</w:t>
      </w:r>
      <w:r w:rsidRPr="0059184B">
        <w:rPr>
          <w:rFonts w:ascii="Times New Roman" w:hAnsi="Times New Roman" w:cs="Times New Roman"/>
          <w:sz w:val="18"/>
          <w:szCs w:val="18"/>
        </w:rPr>
        <w:t xml:space="preserve">. </w:t>
      </w:r>
      <w:proofErr w:type="spellStart"/>
      <w:r w:rsidRPr="0059184B">
        <w:rPr>
          <w:rFonts w:ascii="Times New Roman" w:hAnsi="Times New Roman" w:cs="Times New Roman"/>
          <w:sz w:val="18"/>
          <w:szCs w:val="18"/>
        </w:rPr>
        <w:t>PostDFA</w:t>
      </w:r>
      <w:proofErr w:type="spellEnd"/>
      <w:r w:rsidRPr="0059184B">
        <w:rPr>
          <w:rFonts w:ascii="Times New Roman" w:hAnsi="Times New Roman" w:cs="Times New Roman"/>
          <w:sz w:val="18"/>
          <w:szCs w:val="18"/>
        </w:rPr>
        <w:t xml:space="preserve"> is a dummy set to one after Dodd-Frank Act is issued and zero otherwise. All regressions include unreported time fixed effects and firm fixed effects. Size is calculated as the logarithm of total asset. Exposure to housing price change is a weighted average of the returns on the state-specific Fannie Mae real estate index where the weights are the fraction of bank deposits in the various states. HHI is a weighted average of the </w:t>
      </w:r>
      <w:proofErr w:type="spellStart"/>
      <w:r w:rsidRPr="0059184B">
        <w:rPr>
          <w:rFonts w:ascii="Times New Roman" w:hAnsi="Times New Roman" w:cs="Times New Roman"/>
          <w:sz w:val="18"/>
          <w:szCs w:val="18"/>
        </w:rPr>
        <w:t>Herfindahl</w:t>
      </w:r>
      <w:proofErr w:type="spellEnd"/>
      <w:r w:rsidRPr="0059184B">
        <w:rPr>
          <w:rFonts w:ascii="Times New Roman" w:hAnsi="Times New Roman" w:cs="Times New Roman"/>
          <w:sz w:val="18"/>
          <w:szCs w:val="18"/>
        </w:rPr>
        <w:t xml:space="preserve">-Hirschman index where the weights are the fraction of bank deposits in the various states. Special capital is a dummy set to one if the bank uses any of the government bailout special capital programs. Acquisition is a dummy set to one if the bank acquires other banks in that quarter. Liquid is calculated as cash and cash equivalent scaled by total assets. Beta is the market beta calculated using 1 year of daily stock price. Standard errors are </w:t>
      </w:r>
      <w:proofErr w:type="spellStart"/>
      <w:r w:rsidRPr="0059184B">
        <w:rPr>
          <w:rFonts w:ascii="Times New Roman" w:hAnsi="Times New Roman" w:cs="Times New Roman"/>
          <w:sz w:val="18"/>
          <w:szCs w:val="18"/>
        </w:rPr>
        <w:t>heteroskedasticity</w:t>
      </w:r>
      <w:proofErr w:type="spellEnd"/>
      <w:r w:rsidRPr="0059184B">
        <w:rPr>
          <w:rFonts w:ascii="Times New Roman" w:hAnsi="Times New Roman" w:cs="Times New Roman"/>
          <w:sz w:val="18"/>
          <w:szCs w:val="18"/>
        </w:rPr>
        <w:t>-consistent.</w:t>
      </w:r>
    </w:p>
    <w:p w:rsidR="00DA0D35" w:rsidRPr="0059184B" w:rsidRDefault="00DA0D35" w:rsidP="00DA0D35"/>
    <w:tbl>
      <w:tblPr>
        <w:tblW w:w="9559" w:type="dxa"/>
        <w:jc w:val="center"/>
        <w:tblInd w:w="93" w:type="dxa"/>
        <w:tblLook w:val="04A0" w:firstRow="1" w:lastRow="0" w:firstColumn="1" w:lastColumn="0" w:noHBand="0" w:noVBand="1"/>
      </w:tblPr>
      <w:tblGrid>
        <w:gridCol w:w="3373"/>
        <w:gridCol w:w="1041"/>
        <w:gridCol w:w="1041"/>
        <w:gridCol w:w="981"/>
        <w:gridCol w:w="1041"/>
        <w:gridCol w:w="1041"/>
        <w:gridCol w:w="1041"/>
      </w:tblGrid>
      <w:tr w:rsidR="0044734F" w:rsidRPr="0059184B" w:rsidTr="0044734F">
        <w:trPr>
          <w:trHeight w:val="270"/>
          <w:jc w:val="center"/>
        </w:trPr>
        <w:tc>
          <w:tcPr>
            <w:tcW w:w="3373" w:type="dxa"/>
            <w:tcBorders>
              <w:top w:val="single" w:sz="4" w:space="0" w:color="auto"/>
              <w:left w:val="nil"/>
              <w:bottom w:val="nil"/>
              <w:right w:val="nil"/>
            </w:tcBorders>
            <w:shd w:val="clear" w:color="auto" w:fill="auto"/>
            <w:noWrap/>
            <w:vAlign w:val="center"/>
            <w:hideMark/>
          </w:tcPr>
          <w:p w:rsidR="0044734F" w:rsidRPr="0059184B" w:rsidRDefault="0044734F" w:rsidP="007A42F8">
            <w:pPr>
              <w:widowControl/>
              <w:jc w:val="left"/>
              <w:rPr>
                <w:rFonts w:ascii="宋体" w:eastAsia="宋体" w:hAnsi="宋体" w:cs="宋体"/>
                <w:kern w:val="0"/>
                <w:sz w:val="22"/>
              </w:rPr>
            </w:pPr>
            <w:r w:rsidRPr="0059184B">
              <w:rPr>
                <w:rFonts w:ascii="宋体" w:eastAsia="宋体" w:hAnsi="宋体" w:cs="宋体" w:hint="eastAsia"/>
                <w:kern w:val="0"/>
                <w:sz w:val="22"/>
              </w:rPr>
              <w:t xml:space="preserve">　</w:t>
            </w:r>
          </w:p>
        </w:tc>
        <w:tc>
          <w:tcPr>
            <w:tcW w:w="1041" w:type="dxa"/>
            <w:tcBorders>
              <w:top w:val="single" w:sz="4" w:space="0" w:color="auto"/>
              <w:left w:val="nil"/>
              <w:bottom w:val="nil"/>
              <w:right w:val="nil"/>
            </w:tcBorders>
            <w:shd w:val="clear" w:color="auto" w:fill="auto"/>
            <w:noWrap/>
            <w:vAlign w:val="center"/>
            <w:hideMark/>
          </w:tcPr>
          <w:p w:rsidR="0044734F" w:rsidRPr="0059184B" w:rsidRDefault="0044734F" w:rsidP="003C2C9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(1)</w:t>
            </w:r>
          </w:p>
        </w:tc>
        <w:tc>
          <w:tcPr>
            <w:tcW w:w="1041" w:type="dxa"/>
            <w:tcBorders>
              <w:top w:val="single" w:sz="4" w:space="0" w:color="auto"/>
              <w:left w:val="nil"/>
              <w:bottom w:val="nil"/>
              <w:right w:val="nil"/>
            </w:tcBorders>
            <w:shd w:val="clear" w:color="auto" w:fill="auto"/>
            <w:noWrap/>
            <w:vAlign w:val="center"/>
            <w:hideMark/>
          </w:tcPr>
          <w:p w:rsidR="0044734F" w:rsidRPr="0059184B" w:rsidRDefault="0044734F" w:rsidP="003C2C9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(2)</w:t>
            </w:r>
          </w:p>
        </w:tc>
        <w:tc>
          <w:tcPr>
            <w:tcW w:w="981" w:type="dxa"/>
            <w:tcBorders>
              <w:top w:val="single" w:sz="4" w:space="0" w:color="auto"/>
              <w:left w:val="nil"/>
              <w:bottom w:val="nil"/>
              <w:right w:val="nil"/>
            </w:tcBorders>
            <w:shd w:val="clear" w:color="auto" w:fill="auto"/>
            <w:noWrap/>
            <w:vAlign w:val="center"/>
            <w:hideMark/>
          </w:tcPr>
          <w:p w:rsidR="0044734F" w:rsidRPr="0059184B" w:rsidRDefault="0044734F" w:rsidP="003C2C9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(3)</w:t>
            </w:r>
          </w:p>
        </w:tc>
        <w:tc>
          <w:tcPr>
            <w:tcW w:w="1041" w:type="dxa"/>
            <w:tcBorders>
              <w:top w:val="single" w:sz="4" w:space="0" w:color="auto"/>
              <w:left w:val="nil"/>
              <w:bottom w:val="nil"/>
              <w:right w:val="nil"/>
            </w:tcBorders>
            <w:shd w:val="clear" w:color="auto" w:fill="auto"/>
            <w:noWrap/>
            <w:vAlign w:val="center"/>
            <w:hideMark/>
          </w:tcPr>
          <w:p w:rsidR="0044734F" w:rsidRPr="0059184B" w:rsidRDefault="0044734F" w:rsidP="003C2C9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(4)</w:t>
            </w:r>
          </w:p>
        </w:tc>
        <w:tc>
          <w:tcPr>
            <w:tcW w:w="1041" w:type="dxa"/>
            <w:tcBorders>
              <w:top w:val="single" w:sz="4" w:space="0" w:color="auto"/>
              <w:left w:val="nil"/>
              <w:bottom w:val="nil"/>
              <w:right w:val="nil"/>
            </w:tcBorders>
            <w:shd w:val="clear" w:color="auto" w:fill="auto"/>
            <w:noWrap/>
            <w:vAlign w:val="center"/>
            <w:hideMark/>
          </w:tcPr>
          <w:p w:rsidR="0044734F" w:rsidRPr="0059184B" w:rsidRDefault="0044734F" w:rsidP="003C2C9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(5)</w:t>
            </w:r>
          </w:p>
        </w:tc>
        <w:tc>
          <w:tcPr>
            <w:tcW w:w="1041" w:type="dxa"/>
            <w:tcBorders>
              <w:top w:val="single" w:sz="4" w:space="0" w:color="auto"/>
              <w:left w:val="nil"/>
              <w:bottom w:val="nil"/>
              <w:right w:val="nil"/>
            </w:tcBorders>
            <w:shd w:val="clear" w:color="auto" w:fill="auto"/>
            <w:noWrap/>
            <w:vAlign w:val="center"/>
            <w:hideMark/>
          </w:tcPr>
          <w:p w:rsidR="0044734F" w:rsidRPr="0059184B" w:rsidRDefault="0044734F" w:rsidP="003C2C93">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(6)</w:t>
            </w:r>
          </w:p>
        </w:tc>
      </w:tr>
      <w:tr w:rsidR="0044734F" w:rsidRPr="0059184B" w:rsidTr="0044734F">
        <w:trPr>
          <w:trHeight w:val="270"/>
          <w:jc w:val="center"/>
        </w:trPr>
        <w:tc>
          <w:tcPr>
            <w:tcW w:w="3373" w:type="dxa"/>
            <w:tcBorders>
              <w:top w:val="nil"/>
              <w:left w:val="nil"/>
              <w:bottom w:val="single" w:sz="4" w:space="0" w:color="auto"/>
              <w:right w:val="nil"/>
            </w:tcBorders>
            <w:shd w:val="clear" w:color="auto" w:fill="auto"/>
            <w:noWrap/>
            <w:vAlign w:val="center"/>
            <w:hideMark/>
          </w:tcPr>
          <w:p w:rsidR="0044734F" w:rsidRPr="0059184B" w:rsidRDefault="0044734F" w:rsidP="007A42F8">
            <w:pPr>
              <w:widowControl/>
              <w:jc w:val="left"/>
              <w:rPr>
                <w:rFonts w:ascii="宋体" w:eastAsia="宋体" w:hAnsi="宋体" w:cs="宋体"/>
                <w:kern w:val="0"/>
                <w:sz w:val="22"/>
              </w:rPr>
            </w:pPr>
            <w:r w:rsidRPr="0059184B">
              <w:rPr>
                <w:rFonts w:ascii="宋体" w:eastAsia="宋体" w:hAnsi="宋体" w:cs="宋体" w:hint="eastAsia"/>
                <w:kern w:val="0"/>
                <w:sz w:val="22"/>
              </w:rPr>
              <w:t xml:space="preserve">　</w:t>
            </w:r>
          </w:p>
        </w:tc>
        <w:tc>
          <w:tcPr>
            <w:tcW w:w="1041" w:type="dxa"/>
            <w:tcBorders>
              <w:top w:val="nil"/>
              <w:left w:val="nil"/>
              <w:bottom w:val="single" w:sz="4" w:space="0" w:color="auto"/>
              <w:right w:val="nil"/>
            </w:tcBorders>
            <w:shd w:val="clear" w:color="auto" w:fill="auto"/>
            <w:noWrap/>
            <w:vAlign w:val="center"/>
            <w:hideMark/>
          </w:tcPr>
          <w:p w:rsidR="0044734F" w:rsidRPr="0059184B" w:rsidRDefault="0044734F"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Tobin's Q</w:t>
            </w:r>
          </w:p>
        </w:tc>
        <w:tc>
          <w:tcPr>
            <w:tcW w:w="1041" w:type="dxa"/>
            <w:tcBorders>
              <w:top w:val="nil"/>
              <w:left w:val="nil"/>
              <w:bottom w:val="single" w:sz="4" w:space="0" w:color="auto"/>
              <w:right w:val="nil"/>
            </w:tcBorders>
            <w:shd w:val="clear" w:color="auto" w:fill="auto"/>
            <w:noWrap/>
            <w:vAlign w:val="center"/>
            <w:hideMark/>
          </w:tcPr>
          <w:p w:rsidR="0044734F" w:rsidRPr="0059184B" w:rsidRDefault="0044734F" w:rsidP="007A42F8">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Roa</w:t>
            </w:r>
            <w:proofErr w:type="spellEnd"/>
          </w:p>
        </w:tc>
        <w:tc>
          <w:tcPr>
            <w:tcW w:w="981" w:type="dxa"/>
            <w:tcBorders>
              <w:top w:val="nil"/>
              <w:left w:val="nil"/>
              <w:bottom w:val="single" w:sz="4" w:space="0" w:color="auto"/>
              <w:right w:val="nil"/>
            </w:tcBorders>
            <w:shd w:val="clear" w:color="auto" w:fill="auto"/>
            <w:noWrap/>
            <w:vAlign w:val="center"/>
            <w:hideMark/>
          </w:tcPr>
          <w:p w:rsidR="0044734F" w:rsidRPr="0059184B" w:rsidRDefault="0044734F"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Cost to Income</w:t>
            </w:r>
          </w:p>
        </w:tc>
        <w:tc>
          <w:tcPr>
            <w:tcW w:w="1041" w:type="dxa"/>
            <w:tcBorders>
              <w:top w:val="nil"/>
              <w:left w:val="nil"/>
              <w:bottom w:val="single" w:sz="4" w:space="0" w:color="auto"/>
              <w:right w:val="nil"/>
            </w:tcBorders>
            <w:shd w:val="clear" w:color="auto" w:fill="auto"/>
            <w:noWrap/>
            <w:vAlign w:val="center"/>
            <w:hideMark/>
          </w:tcPr>
          <w:p w:rsidR="0044734F" w:rsidRPr="0059184B" w:rsidRDefault="0044734F"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Tobin's Q</w:t>
            </w:r>
          </w:p>
        </w:tc>
        <w:tc>
          <w:tcPr>
            <w:tcW w:w="1041" w:type="dxa"/>
            <w:tcBorders>
              <w:top w:val="nil"/>
              <w:left w:val="nil"/>
              <w:bottom w:val="single" w:sz="4" w:space="0" w:color="auto"/>
              <w:right w:val="nil"/>
            </w:tcBorders>
            <w:shd w:val="clear" w:color="auto" w:fill="auto"/>
            <w:noWrap/>
            <w:vAlign w:val="center"/>
            <w:hideMark/>
          </w:tcPr>
          <w:p w:rsidR="0044734F" w:rsidRPr="0059184B" w:rsidRDefault="0044734F" w:rsidP="007A42F8">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Roa</w:t>
            </w:r>
            <w:proofErr w:type="spellEnd"/>
          </w:p>
        </w:tc>
        <w:tc>
          <w:tcPr>
            <w:tcW w:w="1041" w:type="dxa"/>
            <w:tcBorders>
              <w:top w:val="nil"/>
              <w:left w:val="nil"/>
              <w:bottom w:val="single" w:sz="4" w:space="0" w:color="auto"/>
              <w:right w:val="nil"/>
            </w:tcBorders>
            <w:shd w:val="clear" w:color="auto" w:fill="auto"/>
            <w:noWrap/>
            <w:vAlign w:val="center"/>
            <w:hideMark/>
          </w:tcPr>
          <w:p w:rsidR="0044734F" w:rsidRPr="0059184B" w:rsidRDefault="0044734F" w:rsidP="007A42F8">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Cost to Income</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IRD traded OTC </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0.0017</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0.0002</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-0.0026</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0.0020</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0.0001</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0.0040</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IRD traded on exchange</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0.0591</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-0.0051*</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0.0602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0.0988**</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-0.0040</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0.0656</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Credit Derivatives net OTC </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-0.2396</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0.0156</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0.3226</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-0.3889**</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0.0043</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0.0899</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Post DFA dummy</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-0.0819***</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0.0042*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0.0144</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IRD OTC * </w:t>
            </w:r>
            <w:proofErr w:type="spellStart"/>
            <w:r w:rsidRPr="0059184B">
              <w:rPr>
                <w:rFonts w:ascii="Times New Roman" w:eastAsia="宋体" w:hAnsi="Times New Roman" w:cs="Times New Roman"/>
                <w:kern w:val="0"/>
                <w:sz w:val="18"/>
                <w:szCs w:val="18"/>
              </w:rPr>
              <w:t>PostDFA</w:t>
            </w:r>
            <w:proofErr w:type="spellEnd"/>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0.0009</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0.0146***</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IRD exchange * </w:t>
            </w:r>
            <w:proofErr w:type="spellStart"/>
            <w:r w:rsidRPr="0059184B">
              <w:rPr>
                <w:rFonts w:ascii="Times New Roman" w:eastAsia="宋体" w:hAnsi="Times New Roman" w:cs="Times New Roman"/>
                <w:kern w:val="0"/>
                <w:sz w:val="18"/>
                <w:szCs w:val="18"/>
              </w:rPr>
              <w:t>PostDFA</w:t>
            </w:r>
            <w:proofErr w:type="spellEnd"/>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-0.0457</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0.0007</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-0.1468***</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Credit OTC * </w:t>
            </w:r>
            <w:proofErr w:type="spellStart"/>
            <w:r w:rsidRPr="0059184B">
              <w:rPr>
                <w:rFonts w:ascii="Times New Roman" w:eastAsia="宋体" w:hAnsi="Times New Roman" w:cs="Times New Roman"/>
                <w:kern w:val="0"/>
                <w:sz w:val="18"/>
                <w:szCs w:val="18"/>
              </w:rPr>
              <w:t>PostDFA</w:t>
            </w:r>
            <w:proofErr w:type="spellEnd"/>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0.1225</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0.0137</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1.6326</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Size</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0.0162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-0.0081***</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-0.0390*</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0.0167</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-0.0080***</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-0.0426*</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Tier 1 ratio</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0.0725</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-0.0077</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-0.2043</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0.0727</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-0.0077</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-0.2054</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Loan Loss Provision</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-0.0168***</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-0.0077***</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-0.0069</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-0.0174***</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-0.0078***</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-0.0037</w:t>
            </w:r>
          </w:p>
        </w:tc>
      </w:tr>
      <w:tr w:rsidR="0044734F" w:rsidRPr="0059184B" w:rsidTr="0044734F">
        <w:trPr>
          <w:trHeight w:val="270"/>
          <w:jc w:val="center"/>
        </w:trPr>
        <w:tc>
          <w:tcPr>
            <w:tcW w:w="3373" w:type="dxa"/>
            <w:tcBorders>
              <w:top w:val="nil"/>
              <w:left w:val="nil"/>
              <w:bottom w:val="nil"/>
              <w:right w:val="nil"/>
            </w:tcBorders>
            <w:shd w:val="clear" w:color="auto" w:fill="auto"/>
            <w:noWrap/>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Book to market ratio</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-0.0033***</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0.0216</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-0.0033***</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0.0207</w:t>
            </w:r>
          </w:p>
        </w:tc>
      </w:tr>
      <w:tr w:rsidR="0044734F" w:rsidRPr="0059184B" w:rsidTr="0044734F">
        <w:trPr>
          <w:trHeight w:val="270"/>
          <w:jc w:val="center"/>
        </w:trPr>
        <w:tc>
          <w:tcPr>
            <w:tcW w:w="3373" w:type="dxa"/>
            <w:tcBorders>
              <w:top w:val="nil"/>
              <w:left w:val="nil"/>
              <w:bottom w:val="nil"/>
              <w:right w:val="nil"/>
            </w:tcBorders>
            <w:shd w:val="clear" w:color="auto" w:fill="auto"/>
            <w:noWrap/>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Return on average assets</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0.1048**</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-0.7074</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0.0974*</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-0.6759</w:t>
            </w:r>
          </w:p>
        </w:tc>
      </w:tr>
      <w:tr w:rsidR="0044734F" w:rsidRPr="0059184B" w:rsidTr="0044734F">
        <w:trPr>
          <w:trHeight w:val="270"/>
          <w:jc w:val="center"/>
        </w:trPr>
        <w:tc>
          <w:tcPr>
            <w:tcW w:w="3373" w:type="dxa"/>
            <w:tcBorders>
              <w:top w:val="nil"/>
              <w:left w:val="nil"/>
              <w:bottom w:val="nil"/>
              <w:right w:val="nil"/>
            </w:tcBorders>
            <w:shd w:val="clear" w:color="auto" w:fill="auto"/>
            <w:noWrap/>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Short-term borrowing</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0.5477***</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0.0135</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-0.3441</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0.5381***</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0.0122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-0.2882</w:t>
            </w:r>
          </w:p>
        </w:tc>
      </w:tr>
      <w:tr w:rsidR="0044734F" w:rsidRPr="0059184B" w:rsidTr="0044734F">
        <w:trPr>
          <w:trHeight w:val="270"/>
          <w:jc w:val="center"/>
        </w:trPr>
        <w:tc>
          <w:tcPr>
            <w:tcW w:w="3373" w:type="dxa"/>
            <w:tcBorders>
              <w:top w:val="nil"/>
              <w:left w:val="nil"/>
              <w:bottom w:val="nil"/>
              <w:right w:val="nil"/>
            </w:tcBorders>
            <w:shd w:val="clear" w:color="auto" w:fill="auto"/>
            <w:noWrap/>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 xml:space="preserve">Stock price volatility in 6m </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-0.5949***</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-0.1087**</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2.0650***</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-0.6042***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-0.1093**</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2.0987***</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Acquisition</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0.0001</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-0.0003</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-0.0035</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-0.0001</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-0.0003</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-0.0026</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Special capital users dummy</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0.0042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-0.0002</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-0.0141</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0.0038</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-0.0126</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Exposure to housing price change</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-0.1020</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0.0948***</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-0.8762*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-0.1008</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0.0949***</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-0.8904**</w:t>
            </w:r>
          </w:p>
        </w:tc>
      </w:tr>
      <w:tr w:rsidR="0044734F" w:rsidRPr="0059184B" w:rsidTr="0044734F">
        <w:trPr>
          <w:trHeight w:val="270"/>
          <w:jc w:val="center"/>
        </w:trPr>
        <w:tc>
          <w:tcPr>
            <w:tcW w:w="3373" w:type="dxa"/>
            <w:tcBorders>
              <w:top w:val="nil"/>
              <w:left w:val="nil"/>
              <w:bottom w:val="nil"/>
              <w:right w:val="nil"/>
            </w:tcBorders>
            <w:shd w:val="clear" w:color="auto" w:fill="auto"/>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HHI index</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-0.0211**</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0.0004</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0.0238</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-0.0191*</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0.0006</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0.0170</w:t>
            </w:r>
          </w:p>
        </w:tc>
      </w:tr>
      <w:tr w:rsidR="0044734F" w:rsidRPr="0059184B" w:rsidTr="0044734F">
        <w:trPr>
          <w:trHeight w:val="270"/>
          <w:jc w:val="center"/>
        </w:trPr>
        <w:tc>
          <w:tcPr>
            <w:tcW w:w="3373" w:type="dxa"/>
            <w:tcBorders>
              <w:top w:val="nil"/>
              <w:left w:val="nil"/>
              <w:bottom w:val="nil"/>
              <w:right w:val="nil"/>
            </w:tcBorders>
            <w:shd w:val="clear" w:color="auto" w:fill="auto"/>
            <w:noWrap/>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Intercept</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0.2820**</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0.0816***</w:t>
            </w:r>
          </w:p>
        </w:tc>
        <w:tc>
          <w:tcPr>
            <w:tcW w:w="98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0.7912***</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0.2638*</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0.0800***</w:t>
            </w:r>
          </w:p>
        </w:tc>
        <w:tc>
          <w:tcPr>
            <w:tcW w:w="1041" w:type="dxa"/>
            <w:tcBorders>
              <w:top w:val="nil"/>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0.8615***</w:t>
            </w:r>
          </w:p>
        </w:tc>
      </w:tr>
      <w:tr w:rsidR="0044734F" w:rsidRPr="0059184B" w:rsidTr="0044734F">
        <w:trPr>
          <w:trHeight w:val="270"/>
          <w:jc w:val="center"/>
        </w:trPr>
        <w:tc>
          <w:tcPr>
            <w:tcW w:w="3373" w:type="dxa"/>
            <w:tcBorders>
              <w:top w:val="single" w:sz="4" w:space="0" w:color="auto"/>
              <w:left w:val="nil"/>
              <w:bottom w:val="nil"/>
              <w:right w:val="nil"/>
            </w:tcBorders>
            <w:shd w:val="clear" w:color="auto" w:fill="auto"/>
            <w:noWrap/>
            <w:vAlign w:val="center"/>
            <w:hideMark/>
          </w:tcPr>
          <w:p w:rsidR="0044734F" w:rsidRPr="0059184B" w:rsidRDefault="0044734F" w:rsidP="005F3017">
            <w:pPr>
              <w:widowControl/>
              <w:jc w:val="left"/>
              <w:rPr>
                <w:rFonts w:ascii="Times New Roman" w:eastAsia="宋体" w:hAnsi="Times New Roman" w:cs="Times New Roman"/>
                <w:kern w:val="0"/>
                <w:sz w:val="18"/>
                <w:szCs w:val="18"/>
              </w:rPr>
            </w:pPr>
            <w:proofErr w:type="spellStart"/>
            <w:r w:rsidRPr="0059184B">
              <w:rPr>
                <w:rFonts w:ascii="Times New Roman" w:eastAsia="宋体" w:hAnsi="Times New Roman" w:cs="Times New Roman"/>
                <w:kern w:val="0"/>
                <w:sz w:val="18"/>
                <w:szCs w:val="18"/>
              </w:rPr>
              <w:t>Adj.R</w:t>
            </w:r>
            <w:proofErr w:type="spellEnd"/>
            <w:r w:rsidRPr="0059184B">
              <w:rPr>
                <w:rFonts w:ascii="Times New Roman" w:eastAsia="宋体" w:hAnsi="Times New Roman" w:cs="Times New Roman"/>
                <w:kern w:val="0"/>
                <w:sz w:val="18"/>
                <w:szCs w:val="18"/>
              </w:rPr>
              <w:t>-squared</w:t>
            </w:r>
          </w:p>
        </w:tc>
        <w:tc>
          <w:tcPr>
            <w:tcW w:w="1041" w:type="dxa"/>
            <w:tcBorders>
              <w:top w:val="single" w:sz="4" w:space="0" w:color="auto"/>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0.473</w:t>
            </w:r>
          </w:p>
        </w:tc>
        <w:tc>
          <w:tcPr>
            <w:tcW w:w="1041" w:type="dxa"/>
            <w:tcBorders>
              <w:top w:val="single" w:sz="4" w:space="0" w:color="auto"/>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0.189</w:t>
            </w:r>
          </w:p>
        </w:tc>
        <w:tc>
          <w:tcPr>
            <w:tcW w:w="981" w:type="dxa"/>
            <w:tcBorders>
              <w:top w:val="single" w:sz="4" w:space="0" w:color="auto"/>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0.046</w:t>
            </w:r>
          </w:p>
        </w:tc>
        <w:tc>
          <w:tcPr>
            <w:tcW w:w="1041" w:type="dxa"/>
            <w:tcBorders>
              <w:top w:val="single" w:sz="4" w:space="0" w:color="auto"/>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0.476</w:t>
            </w:r>
          </w:p>
        </w:tc>
        <w:tc>
          <w:tcPr>
            <w:tcW w:w="1041" w:type="dxa"/>
            <w:tcBorders>
              <w:top w:val="single" w:sz="4" w:space="0" w:color="auto"/>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0.188</w:t>
            </w:r>
          </w:p>
        </w:tc>
        <w:tc>
          <w:tcPr>
            <w:tcW w:w="1041" w:type="dxa"/>
            <w:tcBorders>
              <w:top w:val="single" w:sz="4" w:space="0" w:color="auto"/>
              <w:left w:val="nil"/>
              <w:bottom w:val="nil"/>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0.048</w:t>
            </w:r>
          </w:p>
        </w:tc>
      </w:tr>
      <w:tr w:rsidR="0044734F" w:rsidRPr="0059184B" w:rsidTr="0044734F">
        <w:trPr>
          <w:trHeight w:val="270"/>
          <w:jc w:val="center"/>
        </w:trPr>
        <w:tc>
          <w:tcPr>
            <w:tcW w:w="3373" w:type="dxa"/>
            <w:tcBorders>
              <w:top w:val="nil"/>
              <w:left w:val="nil"/>
              <w:bottom w:val="single" w:sz="4" w:space="0" w:color="auto"/>
              <w:right w:val="nil"/>
            </w:tcBorders>
            <w:shd w:val="clear" w:color="auto" w:fill="auto"/>
            <w:noWrap/>
            <w:vAlign w:val="center"/>
            <w:hideMark/>
          </w:tcPr>
          <w:p w:rsidR="0044734F" w:rsidRPr="0059184B" w:rsidRDefault="0044734F" w:rsidP="005F3017">
            <w:pPr>
              <w:widowControl/>
              <w:jc w:val="left"/>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N</w:t>
            </w:r>
          </w:p>
        </w:tc>
        <w:tc>
          <w:tcPr>
            <w:tcW w:w="1041" w:type="dxa"/>
            <w:tcBorders>
              <w:top w:val="nil"/>
              <w:left w:val="nil"/>
              <w:bottom w:val="single" w:sz="4" w:space="0" w:color="auto"/>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3724</w:t>
            </w:r>
          </w:p>
        </w:tc>
        <w:tc>
          <w:tcPr>
            <w:tcW w:w="1041" w:type="dxa"/>
            <w:tcBorders>
              <w:top w:val="nil"/>
              <w:left w:val="nil"/>
              <w:bottom w:val="single" w:sz="4" w:space="0" w:color="auto"/>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3724</w:t>
            </w:r>
          </w:p>
        </w:tc>
        <w:tc>
          <w:tcPr>
            <w:tcW w:w="981" w:type="dxa"/>
            <w:tcBorders>
              <w:top w:val="nil"/>
              <w:left w:val="nil"/>
              <w:bottom w:val="single" w:sz="4" w:space="0" w:color="auto"/>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3724</w:t>
            </w:r>
          </w:p>
        </w:tc>
        <w:tc>
          <w:tcPr>
            <w:tcW w:w="1041" w:type="dxa"/>
            <w:tcBorders>
              <w:top w:val="nil"/>
              <w:left w:val="nil"/>
              <w:bottom w:val="single" w:sz="4" w:space="0" w:color="auto"/>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3724</w:t>
            </w:r>
          </w:p>
        </w:tc>
        <w:tc>
          <w:tcPr>
            <w:tcW w:w="1041" w:type="dxa"/>
            <w:tcBorders>
              <w:top w:val="nil"/>
              <w:left w:val="nil"/>
              <w:bottom w:val="single" w:sz="4" w:space="0" w:color="auto"/>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3724</w:t>
            </w:r>
          </w:p>
        </w:tc>
        <w:tc>
          <w:tcPr>
            <w:tcW w:w="1041" w:type="dxa"/>
            <w:tcBorders>
              <w:top w:val="nil"/>
              <w:left w:val="nil"/>
              <w:bottom w:val="single" w:sz="4" w:space="0" w:color="auto"/>
              <w:right w:val="nil"/>
            </w:tcBorders>
            <w:shd w:val="clear" w:color="auto" w:fill="auto"/>
            <w:vAlign w:val="center"/>
            <w:hideMark/>
          </w:tcPr>
          <w:p w:rsidR="0044734F" w:rsidRPr="0059184B" w:rsidRDefault="0044734F">
            <w:pPr>
              <w:rPr>
                <w:rFonts w:ascii="Times New Roman" w:eastAsia="宋体" w:hAnsi="Times New Roman" w:cs="Times New Roman"/>
                <w:sz w:val="18"/>
              </w:rPr>
            </w:pPr>
            <w:r w:rsidRPr="0059184B">
              <w:rPr>
                <w:rFonts w:ascii="Times New Roman" w:hAnsi="Times New Roman" w:cs="Times New Roman"/>
                <w:sz w:val="18"/>
              </w:rPr>
              <w:t>3724</w:t>
            </w:r>
          </w:p>
        </w:tc>
      </w:tr>
    </w:tbl>
    <w:p w:rsidR="007A42F8" w:rsidRPr="0059184B" w:rsidRDefault="007A42F8" w:rsidP="00DA0D35"/>
    <w:p w:rsidR="003D137B" w:rsidRPr="0059184B" w:rsidRDefault="003D137B" w:rsidP="001E66F6">
      <w:r w:rsidRPr="0059184B">
        <w:br w:type="page"/>
      </w:r>
    </w:p>
    <w:p w:rsidR="00B80213" w:rsidRPr="0059184B" w:rsidRDefault="00B80213" w:rsidP="001E66F6">
      <w:pPr>
        <w:sectPr w:rsidR="00B80213" w:rsidRPr="0059184B" w:rsidSect="003510FA">
          <w:pgSz w:w="11906" w:h="16838"/>
          <w:pgMar w:top="720" w:right="720" w:bottom="720" w:left="720" w:header="851" w:footer="992" w:gutter="0"/>
          <w:cols w:space="425"/>
          <w:docGrid w:type="lines" w:linePitch="312"/>
        </w:sectPr>
      </w:pPr>
    </w:p>
    <w:tbl>
      <w:tblPr>
        <w:tblpPr w:leftFromText="180" w:rightFromText="180" w:vertAnchor="page" w:horzAnchor="margin" w:tblpY="1809"/>
        <w:tblW w:w="13959" w:type="dxa"/>
        <w:tblLayout w:type="fixed"/>
        <w:tblLook w:val="04A0" w:firstRow="1" w:lastRow="0" w:firstColumn="1" w:lastColumn="0" w:noHBand="0" w:noVBand="1"/>
      </w:tblPr>
      <w:tblGrid>
        <w:gridCol w:w="2795"/>
        <w:gridCol w:w="6850"/>
        <w:gridCol w:w="4314"/>
      </w:tblGrid>
      <w:tr w:rsidR="00F36C34" w:rsidRPr="0059184B" w:rsidTr="003D137B">
        <w:trPr>
          <w:trHeight w:val="157"/>
        </w:trPr>
        <w:tc>
          <w:tcPr>
            <w:tcW w:w="2795" w:type="dxa"/>
            <w:tcBorders>
              <w:top w:val="single" w:sz="4" w:space="0" w:color="auto"/>
              <w:left w:val="nil"/>
              <w:bottom w:val="single" w:sz="4" w:space="0" w:color="auto"/>
              <w:right w:val="nil"/>
            </w:tcBorders>
            <w:shd w:val="clear" w:color="auto" w:fill="auto"/>
            <w:noWrap/>
            <w:vAlign w:val="center"/>
            <w:hideMark/>
          </w:tcPr>
          <w:p w:rsidR="00F36C34" w:rsidRPr="0059184B" w:rsidRDefault="002B4F46" w:rsidP="003D137B">
            <w:pPr>
              <w:widowControl/>
              <w:jc w:val="left"/>
              <w:rPr>
                <w:rFonts w:ascii="Times New Roman" w:eastAsia="宋体" w:hAnsi="Times New Roman" w:cs="Times New Roman"/>
                <w:kern w:val="0"/>
                <w:sz w:val="18"/>
                <w:szCs w:val="20"/>
              </w:rPr>
            </w:pPr>
            <w:r w:rsidRPr="0059184B">
              <w:rPr>
                <w:noProof/>
              </w:rPr>
              <w:lastRenderedPageBreak/>
              <mc:AlternateContent>
                <mc:Choice Requires="wps">
                  <w:drawing>
                    <wp:anchor distT="0" distB="0" distL="114300" distR="114300" simplePos="0" relativeHeight="251661312" behindDoc="0" locked="0" layoutInCell="1" allowOverlap="1" wp14:anchorId="71E90DA0" wp14:editId="14BCA744">
                      <wp:simplePos x="0" y="0"/>
                      <wp:positionH relativeFrom="column">
                        <wp:posOffset>-38100</wp:posOffset>
                      </wp:positionH>
                      <wp:positionV relativeFrom="paragraph">
                        <wp:posOffset>-330835</wp:posOffset>
                      </wp:positionV>
                      <wp:extent cx="2374265" cy="1403985"/>
                      <wp:effectExtent l="0" t="0" r="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07BC6" w:rsidRPr="004946AB" w:rsidRDefault="00907BC6" w:rsidP="002B4F46">
                                  <w:pPr>
                                    <w:jc w:val="left"/>
                                    <w:rPr>
                                      <w:rFonts w:ascii="Times New Roman" w:hAnsi="Times New Roman" w:cs="Times New Roman"/>
                                      <w:b/>
                                    </w:rPr>
                                  </w:pPr>
                                  <w:r>
                                    <w:rPr>
                                      <w:rFonts w:ascii="Times New Roman" w:hAnsi="Times New Roman" w:cs="Times New Roman"/>
                                      <w:b/>
                                    </w:rPr>
                                    <w:t>Appendix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pt;margin-top:-26.05pt;width:186.9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" filled="f" stroked="f">
                      <v:textbox style="mso-fit-shape-to-text:t">
                        <w:txbxContent>
                          <w:p w:rsidR="00907BC6" w:rsidRPr="004946AB" w:rsidRDefault="00907BC6" w:rsidP="002B4F46">
                            <w:pPr>
                              <w:jc w:val="left"/>
                              <w:rPr>
                                <w:rFonts w:ascii="Times New Roman" w:hAnsi="Times New Roman" w:cs="Times New Roman"/>
                                <w:b/>
                              </w:rPr>
                            </w:pPr>
                            <w:r>
                              <w:rPr>
                                <w:rFonts w:ascii="Times New Roman" w:hAnsi="Times New Roman" w:cs="Times New Roman"/>
                                <w:b/>
                              </w:rPr>
                              <w:t>Appendix</w:t>
                            </w:r>
                          </w:p>
                        </w:txbxContent>
                      </v:textbox>
                    </v:shape>
                  </w:pict>
                </mc:Fallback>
              </mc:AlternateContent>
            </w:r>
            <w:r w:rsidR="00F36C34" w:rsidRPr="0059184B">
              <w:rPr>
                <w:rFonts w:ascii="Times New Roman" w:eastAsia="宋体" w:hAnsi="Times New Roman" w:cs="Times New Roman"/>
                <w:kern w:val="0"/>
                <w:sz w:val="18"/>
                <w:szCs w:val="20"/>
              </w:rPr>
              <w:t xml:space="preserve">Dependent Variables </w:t>
            </w:r>
          </w:p>
        </w:tc>
        <w:tc>
          <w:tcPr>
            <w:tcW w:w="6850" w:type="dxa"/>
            <w:tcBorders>
              <w:top w:val="single" w:sz="4" w:space="0" w:color="auto"/>
              <w:left w:val="nil"/>
              <w:bottom w:val="single" w:sz="4" w:space="0" w:color="auto"/>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Description</w:t>
            </w:r>
          </w:p>
        </w:tc>
        <w:tc>
          <w:tcPr>
            <w:tcW w:w="4314" w:type="dxa"/>
            <w:tcBorders>
              <w:top w:val="single" w:sz="4" w:space="0" w:color="auto"/>
              <w:left w:val="nil"/>
              <w:bottom w:val="single" w:sz="4" w:space="0" w:color="auto"/>
              <w:right w:val="nil"/>
            </w:tcBorders>
            <w:shd w:val="clear" w:color="auto" w:fill="auto"/>
            <w:noWrap/>
            <w:vAlign w:val="center"/>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Relevant Literature</w:t>
            </w:r>
          </w:p>
        </w:tc>
      </w:tr>
      <w:tr w:rsidR="00F36C34" w:rsidRPr="0059184B" w:rsidTr="003D137B">
        <w:trPr>
          <w:trHeight w:val="473"/>
        </w:trPr>
        <w:tc>
          <w:tcPr>
            <w:tcW w:w="2795" w:type="dxa"/>
            <w:tcBorders>
              <w:top w:val="nil"/>
              <w:left w:val="nil"/>
              <w:bottom w:val="nil"/>
              <w:right w:val="nil"/>
            </w:tcBorders>
            <w:shd w:val="clear" w:color="auto" w:fill="auto"/>
            <w:noWrap/>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宋体" w:eastAsia="宋体" w:hAnsi="宋体" w:cs="Times New Roman" w:hint="eastAsia"/>
                <w:kern w:val="0"/>
                <w:sz w:val="18"/>
                <w:szCs w:val="20"/>
              </w:rPr>
              <w:t>△</w:t>
            </w:r>
            <w:proofErr w:type="spellStart"/>
            <w:r w:rsidRPr="0059184B">
              <w:rPr>
                <w:rFonts w:ascii="Times New Roman" w:eastAsia="宋体" w:hAnsi="Times New Roman" w:cs="Times New Roman"/>
                <w:kern w:val="0"/>
                <w:sz w:val="18"/>
                <w:szCs w:val="20"/>
              </w:rPr>
              <w:t>CoVaR</w:t>
            </w:r>
            <w:proofErr w:type="spellEnd"/>
          </w:p>
        </w:tc>
        <w:tc>
          <w:tcPr>
            <w:tcW w:w="6850" w:type="dxa"/>
            <w:tcBorders>
              <w:top w:val="nil"/>
              <w:left w:val="nil"/>
              <w:bottom w:val="nil"/>
              <w:right w:val="nil"/>
            </w:tcBorders>
            <w:shd w:val="clear" w:color="auto" w:fill="auto"/>
            <w:hideMark/>
          </w:tcPr>
          <w:p w:rsidR="00F36C34" w:rsidRPr="0059184B" w:rsidRDefault="00F36C34" w:rsidP="003D137B">
            <w:pPr>
              <w:widowControl/>
              <w:rPr>
                <w:rFonts w:ascii="Times New Roman" w:eastAsia="宋体" w:hAnsi="Times New Roman" w:cs="Times New Roman"/>
                <w:kern w:val="0"/>
                <w:sz w:val="18"/>
                <w:szCs w:val="18"/>
              </w:rPr>
            </w:pPr>
            <w:r w:rsidRPr="0059184B">
              <w:rPr>
                <w:rFonts w:ascii="Times New Roman" w:eastAsia="宋体" w:hAnsi="Times New Roman" w:cs="Times New Roman"/>
                <w:sz w:val="18"/>
                <w:szCs w:val="18"/>
              </w:rPr>
              <w:t>The difference between the financial system’s Value at Risk (</w:t>
            </w:r>
            <w:proofErr w:type="spellStart"/>
            <w:r w:rsidRPr="0059184B">
              <w:rPr>
                <w:rFonts w:ascii="Times New Roman" w:eastAsia="宋体" w:hAnsi="Times New Roman" w:cs="Times New Roman"/>
                <w:sz w:val="18"/>
                <w:szCs w:val="18"/>
              </w:rPr>
              <w:t>VaR</w:t>
            </w:r>
            <w:proofErr w:type="spellEnd"/>
            <w:r w:rsidRPr="0059184B">
              <w:rPr>
                <w:rFonts w:ascii="Times New Roman" w:eastAsia="宋体" w:hAnsi="Times New Roman" w:cs="Times New Roman"/>
                <w:sz w:val="18"/>
                <w:szCs w:val="18"/>
              </w:rPr>
              <w:t xml:space="preserve">) conditional on bank </w:t>
            </w:r>
            <w:r w:rsidRPr="0059184B">
              <w:rPr>
                <w:rFonts w:ascii="Times New Roman" w:eastAsia="宋体" w:hAnsi="Times New Roman" w:cs="Times New Roman"/>
                <w:i/>
                <w:sz w:val="18"/>
                <w:szCs w:val="18"/>
              </w:rPr>
              <w:t>i’</w:t>
            </w:r>
            <w:r w:rsidRPr="0059184B">
              <w:rPr>
                <w:rFonts w:ascii="Times New Roman" w:eastAsia="宋体" w:hAnsi="Times New Roman" w:cs="Times New Roman"/>
                <w:sz w:val="18"/>
                <w:szCs w:val="18"/>
              </w:rPr>
              <w:t xml:space="preserve">s being in distress and the financial system’s </w:t>
            </w:r>
            <w:proofErr w:type="spellStart"/>
            <w:r w:rsidRPr="0059184B">
              <w:rPr>
                <w:rFonts w:ascii="Times New Roman" w:eastAsia="宋体" w:hAnsi="Times New Roman" w:cs="Times New Roman"/>
                <w:sz w:val="18"/>
                <w:szCs w:val="18"/>
              </w:rPr>
              <w:t>VaR</w:t>
            </w:r>
            <w:proofErr w:type="spellEnd"/>
            <w:r w:rsidRPr="0059184B">
              <w:rPr>
                <w:rFonts w:ascii="Times New Roman" w:eastAsia="宋体" w:hAnsi="Times New Roman" w:cs="Times New Roman"/>
                <w:sz w:val="18"/>
                <w:szCs w:val="18"/>
              </w:rPr>
              <w:t xml:space="preserve"> in the median state of bank </w:t>
            </w:r>
            <w:proofErr w:type="spellStart"/>
            <w:r w:rsidRPr="0059184B">
              <w:rPr>
                <w:rFonts w:ascii="Times New Roman" w:eastAsia="宋体" w:hAnsi="Times New Roman" w:cs="Times New Roman"/>
                <w:i/>
                <w:sz w:val="18"/>
                <w:szCs w:val="18"/>
              </w:rPr>
              <w:t>i</w:t>
            </w:r>
            <w:proofErr w:type="spellEnd"/>
            <w:r w:rsidRPr="0059184B">
              <w:rPr>
                <w:rFonts w:ascii="Times New Roman" w:eastAsia="宋体" w:hAnsi="Times New Roman" w:cs="Times New Roman"/>
                <w:i/>
                <w:sz w:val="18"/>
                <w:szCs w:val="18"/>
              </w:rPr>
              <w:t xml:space="preserve">. </w:t>
            </w:r>
            <w:r w:rsidRPr="0059184B">
              <w:rPr>
                <w:rFonts w:ascii="Times New Roman" w:eastAsia="宋体" w:hAnsi="Times New Roman" w:cs="Times New Roman"/>
                <w:sz w:val="18"/>
                <w:szCs w:val="18"/>
              </w:rPr>
              <w:t>Bank</w:t>
            </w:r>
            <w:r w:rsidRPr="0059184B">
              <w:rPr>
                <w:rFonts w:ascii="Times New Roman" w:eastAsia="宋体" w:hAnsi="Times New Roman" w:cs="Times New Roman"/>
                <w:i/>
                <w:sz w:val="18"/>
                <w:szCs w:val="18"/>
              </w:rPr>
              <w:t xml:space="preserve"> i’</w:t>
            </w:r>
            <w:r w:rsidRPr="0059184B">
              <w:rPr>
                <w:rFonts w:ascii="Times New Roman" w:eastAsia="宋体" w:hAnsi="Times New Roman" w:cs="Times New Roman"/>
                <w:sz w:val="18"/>
                <w:szCs w:val="18"/>
              </w:rPr>
              <w:t xml:space="preserve">s industry beta captures the sensitivity of its stock returns to the returns of the </w:t>
            </w:r>
            <w:r w:rsidRPr="0059184B">
              <w:rPr>
                <w:rFonts w:ascii="Times New Roman" w:hAnsi="Times New Roman" w:cs="Times New Roman"/>
                <w:sz w:val="18"/>
                <w:szCs w:val="18"/>
              </w:rPr>
              <w:t>S&amp;P Banks Selected Industry Index</w:t>
            </w:r>
            <w:r w:rsidRPr="0059184B">
              <w:rPr>
                <w:rFonts w:ascii="Times New Roman" w:eastAsia="宋体" w:hAnsi="Times New Roman" w:cs="Times New Roman"/>
                <w:sz w:val="18"/>
                <w:szCs w:val="18"/>
              </w:rPr>
              <w:t xml:space="preserve"> over a one-year period.</w:t>
            </w:r>
          </w:p>
        </w:tc>
        <w:tc>
          <w:tcPr>
            <w:tcW w:w="4314" w:type="dxa"/>
            <w:tcBorders>
              <w:top w:val="nil"/>
              <w:left w:val="nil"/>
              <w:bottom w:val="nil"/>
              <w:right w:val="nil"/>
            </w:tcBorders>
            <w:shd w:val="clear" w:color="auto" w:fill="auto"/>
            <w:vAlign w:val="center"/>
            <w:hideMark/>
          </w:tcPr>
          <w:p w:rsidR="004946AB" w:rsidRPr="0059184B" w:rsidRDefault="00F36C34" w:rsidP="003D137B">
            <w:pPr>
              <w:widowControl/>
              <w:jc w:val="left"/>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Gregor</w:t>
            </w:r>
            <w:proofErr w:type="spellEnd"/>
            <w:r w:rsidRPr="0059184B">
              <w:rPr>
                <w:rFonts w:ascii="Times New Roman" w:eastAsia="宋体" w:hAnsi="Times New Roman" w:cs="Times New Roman"/>
                <w:kern w:val="0"/>
                <w:sz w:val="18"/>
                <w:szCs w:val="20"/>
              </w:rPr>
              <w:t xml:space="preserve"> and </w:t>
            </w:r>
            <w:proofErr w:type="spellStart"/>
            <w:r w:rsidRPr="0059184B">
              <w:rPr>
                <w:rFonts w:ascii="Times New Roman" w:eastAsia="宋体" w:hAnsi="Times New Roman" w:cs="Times New Roman"/>
                <w:kern w:val="0"/>
                <w:sz w:val="18"/>
                <w:szCs w:val="20"/>
              </w:rPr>
              <w:t>Rouven</w:t>
            </w:r>
            <w:proofErr w:type="spellEnd"/>
            <w:r w:rsidRPr="0059184B">
              <w:rPr>
                <w:rFonts w:ascii="Times New Roman" w:eastAsia="宋体" w:hAnsi="Times New Roman" w:cs="Times New Roman"/>
                <w:kern w:val="0"/>
                <w:sz w:val="18"/>
                <w:szCs w:val="20"/>
              </w:rPr>
              <w:t xml:space="preserve">(2016); </w:t>
            </w:r>
          </w:p>
          <w:p w:rsidR="00CD68C8"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(2016); </w:t>
            </w:r>
          </w:p>
          <w:p w:rsidR="00F36C34" w:rsidRPr="0059184B" w:rsidRDefault="00F36C34" w:rsidP="003D137B">
            <w:pPr>
              <w:widowControl/>
              <w:jc w:val="left"/>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Mayordomo</w:t>
            </w:r>
            <w:proofErr w:type="spellEnd"/>
            <w:r w:rsidRPr="0059184B">
              <w:rPr>
                <w:rFonts w:ascii="Times New Roman" w:eastAsia="宋体" w:hAnsi="Times New Roman" w:cs="Times New Roman"/>
                <w:kern w:val="0"/>
                <w:sz w:val="18"/>
                <w:szCs w:val="20"/>
              </w:rPr>
              <w:t>, Rodriguez-Moreno and Peña (2014);</w:t>
            </w:r>
          </w:p>
        </w:tc>
      </w:tr>
      <w:tr w:rsidR="00F36C34" w:rsidRPr="0059184B" w:rsidTr="003D137B">
        <w:trPr>
          <w:trHeight w:val="473"/>
        </w:trPr>
        <w:tc>
          <w:tcPr>
            <w:tcW w:w="2795" w:type="dxa"/>
            <w:tcBorders>
              <w:top w:val="nil"/>
              <w:left w:val="nil"/>
              <w:bottom w:val="nil"/>
              <w:right w:val="nil"/>
            </w:tcBorders>
            <w:shd w:val="clear" w:color="auto" w:fill="auto"/>
            <w:noWrap/>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MES</w:t>
            </w:r>
          </w:p>
        </w:tc>
        <w:tc>
          <w:tcPr>
            <w:tcW w:w="6850" w:type="dxa"/>
            <w:tcBorders>
              <w:top w:val="nil"/>
              <w:left w:val="nil"/>
              <w:bottom w:val="nil"/>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sz w:val="18"/>
                <w:szCs w:val="18"/>
              </w:rPr>
              <w:t>Marginal expected shortfall is defined as bank</w:t>
            </w:r>
            <w:r w:rsidRPr="0059184B">
              <w:rPr>
                <w:rFonts w:ascii="Times New Roman" w:eastAsia="宋体" w:hAnsi="Times New Roman" w:cs="Times New Roman"/>
                <w:i/>
                <w:sz w:val="18"/>
                <w:szCs w:val="18"/>
              </w:rPr>
              <w:t xml:space="preserve"> i’</w:t>
            </w:r>
            <w:r w:rsidRPr="0059184B">
              <w:rPr>
                <w:rFonts w:ascii="Times New Roman" w:eastAsia="宋体" w:hAnsi="Times New Roman" w:cs="Times New Roman"/>
                <w:sz w:val="18"/>
                <w:szCs w:val="18"/>
              </w:rPr>
              <w:t xml:space="preserve">s mean return on days when the </w:t>
            </w:r>
            <w:r w:rsidRPr="0059184B">
              <w:rPr>
                <w:rFonts w:ascii="Times New Roman" w:hAnsi="Times New Roman" w:cs="Times New Roman"/>
                <w:sz w:val="18"/>
                <w:szCs w:val="18"/>
              </w:rPr>
              <w:t>S&amp;P Banks Selected Industry Index</w:t>
            </w:r>
            <w:r w:rsidRPr="0059184B">
              <w:rPr>
                <w:rFonts w:ascii="Times New Roman" w:eastAsia="宋体" w:hAnsi="Times New Roman" w:cs="Times New Roman"/>
                <w:sz w:val="18"/>
                <w:szCs w:val="18"/>
              </w:rPr>
              <w:t xml:space="preserve"> return reaches its lowest 5 percent level over a quarter period.</w:t>
            </w:r>
          </w:p>
        </w:tc>
        <w:tc>
          <w:tcPr>
            <w:tcW w:w="4314" w:type="dxa"/>
            <w:tcBorders>
              <w:top w:val="nil"/>
              <w:left w:val="nil"/>
              <w:bottom w:val="nil"/>
              <w:right w:val="nil"/>
            </w:tcBorders>
            <w:shd w:val="clear" w:color="auto" w:fill="auto"/>
            <w:vAlign w:val="center"/>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(2016); </w:t>
            </w:r>
            <w:proofErr w:type="spellStart"/>
            <w:r w:rsidRPr="0059184B">
              <w:rPr>
                <w:rFonts w:ascii="Times New Roman" w:eastAsia="宋体" w:hAnsi="Times New Roman" w:cs="Times New Roman"/>
                <w:kern w:val="0"/>
                <w:sz w:val="18"/>
                <w:szCs w:val="20"/>
              </w:rPr>
              <w:t>Mayordomo</w:t>
            </w:r>
            <w:proofErr w:type="spellEnd"/>
            <w:r w:rsidRPr="0059184B">
              <w:rPr>
                <w:rFonts w:ascii="Times New Roman" w:eastAsia="宋体" w:hAnsi="Times New Roman" w:cs="Times New Roman"/>
                <w:kern w:val="0"/>
                <w:sz w:val="18"/>
                <w:szCs w:val="20"/>
              </w:rPr>
              <w:t xml:space="preserve">, Rodriguez-Moreno and Peña (2014); Acharya, </w:t>
            </w:r>
            <w:proofErr w:type="spellStart"/>
            <w:r w:rsidRPr="0059184B">
              <w:rPr>
                <w:rFonts w:ascii="Times New Roman" w:eastAsia="宋体" w:hAnsi="Times New Roman" w:cs="Times New Roman"/>
                <w:kern w:val="0"/>
                <w:sz w:val="18"/>
                <w:szCs w:val="20"/>
              </w:rPr>
              <w:t>Pederseb</w:t>
            </w:r>
            <w:proofErr w:type="spellEnd"/>
            <w:r w:rsidRPr="0059184B">
              <w:rPr>
                <w:rFonts w:ascii="Times New Roman" w:eastAsia="宋体" w:hAnsi="Times New Roman" w:cs="Times New Roman"/>
                <w:kern w:val="0"/>
                <w:sz w:val="18"/>
                <w:szCs w:val="20"/>
              </w:rPr>
              <w:t xml:space="preserve">, </w:t>
            </w:r>
            <w:proofErr w:type="spellStart"/>
            <w:r w:rsidRPr="0059184B">
              <w:rPr>
                <w:rFonts w:ascii="Times New Roman" w:eastAsia="宋体" w:hAnsi="Times New Roman" w:cs="Times New Roman"/>
                <w:kern w:val="0"/>
                <w:sz w:val="18"/>
                <w:szCs w:val="20"/>
              </w:rPr>
              <w:t>Philippon</w:t>
            </w:r>
            <w:proofErr w:type="spellEnd"/>
            <w:r w:rsidRPr="0059184B">
              <w:rPr>
                <w:rFonts w:ascii="Times New Roman" w:eastAsia="宋体" w:hAnsi="Times New Roman" w:cs="Times New Roman"/>
                <w:kern w:val="0"/>
                <w:sz w:val="18"/>
                <w:szCs w:val="20"/>
              </w:rPr>
              <w:t xml:space="preserve"> and Richardson (2017)</w:t>
            </w:r>
          </w:p>
        </w:tc>
      </w:tr>
      <w:tr w:rsidR="00F36C34" w:rsidRPr="0059184B" w:rsidTr="003D137B">
        <w:trPr>
          <w:trHeight w:val="315"/>
        </w:trPr>
        <w:tc>
          <w:tcPr>
            <w:tcW w:w="2795" w:type="dxa"/>
            <w:tcBorders>
              <w:top w:val="nil"/>
              <w:left w:val="nil"/>
              <w:bottom w:val="nil"/>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Banking industry beta</w:t>
            </w:r>
          </w:p>
        </w:tc>
        <w:tc>
          <w:tcPr>
            <w:tcW w:w="6850" w:type="dxa"/>
            <w:tcBorders>
              <w:top w:val="nil"/>
              <w:left w:val="nil"/>
              <w:bottom w:val="nil"/>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Sensitivity of stock daily return to the return of the S&amp;P Banks Selected Industry Index </w:t>
            </w:r>
            <w:r w:rsidR="00CD68C8" w:rsidRPr="0059184B">
              <w:rPr>
                <w:rFonts w:ascii="Times New Roman" w:eastAsia="宋体" w:hAnsi="Times New Roman" w:cs="Times New Roman"/>
                <w:kern w:val="0"/>
                <w:sz w:val="18"/>
                <w:szCs w:val="20"/>
              </w:rPr>
              <w:t>based</w:t>
            </w:r>
            <w:r w:rsidRPr="0059184B">
              <w:rPr>
                <w:rFonts w:ascii="Times New Roman" w:eastAsia="宋体" w:hAnsi="Times New Roman" w:cs="Times New Roman"/>
                <w:kern w:val="0"/>
                <w:sz w:val="18"/>
                <w:szCs w:val="20"/>
              </w:rPr>
              <w:t xml:space="preserve"> one-year time window</w:t>
            </w:r>
          </w:p>
        </w:tc>
        <w:tc>
          <w:tcPr>
            <w:tcW w:w="4314" w:type="dxa"/>
            <w:tcBorders>
              <w:top w:val="nil"/>
              <w:left w:val="nil"/>
              <w:bottom w:val="nil"/>
              <w:right w:val="nil"/>
            </w:tcBorders>
            <w:shd w:val="clear" w:color="auto" w:fill="auto"/>
            <w:noWrap/>
            <w:vAlign w:val="center"/>
            <w:hideMark/>
          </w:tcPr>
          <w:p w:rsidR="00F36C34" w:rsidRPr="0059184B" w:rsidRDefault="00F36C34" w:rsidP="003D137B">
            <w:pPr>
              <w:widowControl/>
              <w:jc w:val="left"/>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Nijskens</w:t>
            </w:r>
            <w:proofErr w:type="spellEnd"/>
            <w:r w:rsidRPr="0059184B">
              <w:rPr>
                <w:rFonts w:ascii="Times New Roman" w:eastAsia="宋体" w:hAnsi="Times New Roman" w:cs="Times New Roman"/>
                <w:kern w:val="0"/>
                <w:sz w:val="18"/>
                <w:szCs w:val="20"/>
              </w:rPr>
              <w:t xml:space="preserve"> and Wagner( 2010)</w:t>
            </w:r>
          </w:p>
        </w:tc>
      </w:tr>
      <w:tr w:rsidR="00F36C34" w:rsidRPr="0059184B" w:rsidTr="003D137B">
        <w:trPr>
          <w:trHeight w:val="473"/>
        </w:trPr>
        <w:tc>
          <w:tcPr>
            <w:tcW w:w="2795" w:type="dxa"/>
            <w:tcBorders>
              <w:top w:val="nil"/>
              <w:left w:val="nil"/>
              <w:bottom w:val="nil"/>
              <w:right w:val="nil"/>
            </w:tcBorders>
            <w:shd w:val="clear" w:color="auto" w:fill="auto"/>
            <w:noWrap/>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Z-score</w:t>
            </w:r>
          </w:p>
        </w:tc>
        <w:tc>
          <w:tcPr>
            <w:tcW w:w="6850" w:type="dxa"/>
            <w:tcBorders>
              <w:top w:val="nil"/>
              <w:left w:val="nil"/>
              <w:bottom w:val="nil"/>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Sum of the mean return on assets and the mean ratios of equity to assets, divided by the standard deviation of the return on assets</w:t>
            </w:r>
          </w:p>
        </w:tc>
        <w:tc>
          <w:tcPr>
            <w:tcW w:w="4314" w:type="dxa"/>
            <w:tcBorders>
              <w:top w:val="nil"/>
              <w:left w:val="nil"/>
              <w:bottom w:val="nil"/>
              <w:right w:val="nil"/>
            </w:tcBorders>
            <w:shd w:val="clear" w:color="auto" w:fill="auto"/>
            <w:vAlign w:val="center"/>
            <w:hideMark/>
          </w:tcPr>
          <w:p w:rsidR="00F36C34" w:rsidRPr="0059184B" w:rsidRDefault="00F36C34" w:rsidP="003D137B">
            <w:pPr>
              <w:widowControl/>
              <w:jc w:val="left"/>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Mohsni</w:t>
            </w:r>
            <w:proofErr w:type="spellEnd"/>
            <w:r w:rsidRPr="0059184B">
              <w:rPr>
                <w:rFonts w:ascii="Times New Roman" w:eastAsia="宋体" w:hAnsi="Times New Roman" w:cs="Times New Roman"/>
                <w:kern w:val="0"/>
                <w:sz w:val="18"/>
                <w:szCs w:val="20"/>
              </w:rPr>
              <w:t xml:space="preserve"> and </w:t>
            </w:r>
            <w:proofErr w:type="spellStart"/>
            <w:r w:rsidRPr="0059184B">
              <w:rPr>
                <w:rFonts w:ascii="Times New Roman" w:eastAsia="宋体" w:hAnsi="Times New Roman" w:cs="Times New Roman"/>
                <w:kern w:val="0"/>
                <w:sz w:val="18"/>
                <w:szCs w:val="20"/>
              </w:rPr>
              <w:t>Otchere</w:t>
            </w:r>
            <w:proofErr w:type="spellEnd"/>
            <w:r w:rsidRPr="0059184B">
              <w:rPr>
                <w:rFonts w:ascii="Times New Roman" w:eastAsia="宋体" w:hAnsi="Times New Roman" w:cs="Times New Roman"/>
                <w:kern w:val="0"/>
                <w:sz w:val="18"/>
                <w:szCs w:val="20"/>
              </w:rPr>
              <w:t xml:space="preserve"> </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2014</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roofErr w:type="spellStart"/>
            <w:r w:rsidRPr="0059184B">
              <w:rPr>
                <w:rFonts w:ascii="Times New Roman" w:eastAsia="宋体" w:hAnsi="Times New Roman" w:cs="Times New Roman"/>
                <w:kern w:val="0"/>
                <w:sz w:val="18"/>
                <w:szCs w:val="20"/>
              </w:rPr>
              <w:t>Keppo</w:t>
            </w:r>
            <w:proofErr w:type="spellEnd"/>
            <w:r w:rsidRPr="0059184B">
              <w:rPr>
                <w:rFonts w:ascii="Times New Roman" w:eastAsia="宋体" w:hAnsi="Times New Roman" w:cs="Times New Roman"/>
                <w:kern w:val="0"/>
                <w:sz w:val="18"/>
                <w:szCs w:val="20"/>
              </w:rPr>
              <w:t xml:space="preserve"> and </w:t>
            </w:r>
            <w:proofErr w:type="spellStart"/>
            <w:r w:rsidRPr="0059184B">
              <w:rPr>
                <w:rFonts w:ascii="Times New Roman" w:eastAsia="宋体" w:hAnsi="Times New Roman" w:cs="Times New Roman"/>
                <w:kern w:val="0"/>
                <w:sz w:val="18"/>
                <w:szCs w:val="20"/>
              </w:rPr>
              <w:t>Korte</w:t>
            </w:r>
            <w:proofErr w:type="spellEnd"/>
            <w:r w:rsidRPr="0059184B">
              <w:rPr>
                <w:rFonts w:ascii="Times New Roman" w:eastAsia="宋体" w:hAnsi="Times New Roman" w:cs="Times New Roman"/>
                <w:kern w:val="0"/>
                <w:sz w:val="18"/>
                <w:szCs w:val="20"/>
              </w:rPr>
              <w:t xml:space="preserve"> </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2016</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roofErr w:type="spellStart"/>
            <w:r w:rsidRPr="0059184B">
              <w:rPr>
                <w:rFonts w:ascii="Times New Roman" w:eastAsia="宋体" w:hAnsi="Times New Roman" w:cs="Times New Roman"/>
                <w:kern w:val="0"/>
                <w:sz w:val="18"/>
                <w:szCs w:val="20"/>
              </w:rPr>
              <w:t>Bolhat</w:t>
            </w:r>
            <w:proofErr w:type="spellEnd"/>
            <w:r w:rsidRPr="0059184B">
              <w:rPr>
                <w:rFonts w:ascii="Times New Roman" w:eastAsia="宋体" w:hAnsi="Times New Roman" w:cs="Times New Roman"/>
                <w:kern w:val="0"/>
                <w:sz w:val="18"/>
                <w:szCs w:val="20"/>
              </w:rPr>
              <w:t xml:space="preserve">, Bolton and Lu </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2015</w:t>
            </w:r>
            <w:r w:rsidRPr="0059184B">
              <w:rPr>
                <w:rFonts w:ascii="Times New Roman" w:eastAsia="宋体" w:hAnsi="Times New Roman" w:cs="Times New Roman" w:hint="eastAsia"/>
                <w:kern w:val="0"/>
                <w:sz w:val="18"/>
                <w:szCs w:val="20"/>
              </w:rPr>
              <w:t>)</w:t>
            </w:r>
          </w:p>
        </w:tc>
      </w:tr>
      <w:tr w:rsidR="00F36C34" w:rsidRPr="0059184B" w:rsidTr="003D137B">
        <w:trPr>
          <w:trHeight w:val="473"/>
        </w:trPr>
        <w:tc>
          <w:tcPr>
            <w:tcW w:w="2795" w:type="dxa"/>
            <w:tcBorders>
              <w:top w:val="nil"/>
              <w:left w:val="nil"/>
              <w:bottom w:val="nil"/>
              <w:right w:val="nil"/>
            </w:tcBorders>
            <w:shd w:val="clear" w:color="auto" w:fill="auto"/>
            <w:noWrap/>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Distance to Default</w:t>
            </w:r>
          </w:p>
        </w:tc>
        <w:tc>
          <w:tcPr>
            <w:tcW w:w="6850" w:type="dxa"/>
            <w:tcBorders>
              <w:top w:val="nil"/>
              <w:left w:val="nil"/>
              <w:bottom w:val="nil"/>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Calculated as</w:t>
            </w:r>
            <w:r w:rsidRPr="0059184B">
              <w:rPr>
                <w:rFonts w:ascii="Times New Roman" w:eastAsia="宋体" w:hAnsi="Times New Roman" w:cs="Times New Roman" w:hint="eastAsia"/>
                <w:kern w:val="0"/>
                <w:sz w:val="18"/>
                <w:szCs w:val="20"/>
              </w:rPr>
              <w:t xml:space="preserve"> the market value of assets</w:t>
            </w:r>
            <w:r w:rsidRPr="0059184B">
              <w:rPr>
                <w:rFonts w:ascii="Times New Roman" w:eastAsia="宋体" w:hAnsi="Times New Roman" w:cs="Times New Roman"/>
                <w:kern w:val="0"/>
                <w:sz w:val="18"/>
                <w:szCs w:val="20"/>
              </w:rPr>
              <w:t xml:space="preserve"> minus</w:t>
            </w:r>
            <w:r w:rsidRPr="0059184B">
              <w:rPr>
                <w:rFonts w:ascii="Times New Roman" w:eastAsia="宋体" w:hAnsi="Times New Roman" w:cs="Times New Roman" w:hint="eastAsia"/>
                <w:kern w:val="0"/>
                <w:sz w:val="18"/>
                <w:szCs w:val="20"/>
              </w:rPr>
              <w:t xml:space="preserve"> </w:t>
            </w:r>
            <w:r w:rsidRPr="0059184B">
              <w:rPr>
                <w:rFonts w:ascii="Times New Roman" w:eastAsia="宋体" w:hAnsi="Times New Roman" w:cs="Times New Roman"/>
                <w:kern w:val="0"/>
                <w:sz w:val="18"/>
                <w:szCs w:val="20"/>
              </w:rPr>
              <w:t xml:space="preserve">the </w:t>
            </w:r>
            <w:r w:rsidRPr="0059184B">
              <w:rPr>
                <w:rFonts w:ascii="Times New Roman" w:eastAsia="宋体" w:hAnsi="Times New Roman" w:cs="Times New Roman" w:hint="eastAsia"/>
                <w:kern w:val="0"/>
                <w:sz w:val="18"/>
                <w:szCs w:val="20"/>
              </w:rPr>
              <w:t xml:space="preserve">value of </w:t>
            </w:r>
            <w:r w:rsidRPr="0059184B">
              <w:rPr>
                <w:rFonts w:ascii="Times New Roman" w:eastAsia="宋体" w:hAnsi="Times New Roman" w:cs="Times New Roman"/>
                <w:kern w:val="0"/>
                <w:sz w:val="18"/>
                <w:szCs w:val="20"/>
              </w:rPr>
              <w:t xml:space="preserve">total </w:t>
            </w:r>
            <w:r w:rsidRPr="0059184B">
              <w:rPr>
                <w:rFonts w:ascii="Times New Roman" w:eastAsia="宋体" w:hAnsi="Times New Roman" w:cs="Times New Roman" w:hint="eastAsia"/>
                <w:kern w:val="0"/>
                <w:sz w:val="18"/>
                <w:szCs w:val="20"/>
              </w:rPr>
              <w:t xml:space="preserve">debt, </w:t>
            </w:r>
            <w:r w:rsidRPr="0059184B">
              <w:rPr>
                <w:rFonts w:ascii="Times New Roman" w:eastAsia="宋体" w:hAnsi="Times New Roman" w:cs="Times New Roman"/>
                <w:kern w:val="0"/>
                <w:sz w:val="18"/>
                <w:szCs w:val="20"/>
              </w:rPr>
              <w:t>then scaled by the product of</w:t>
            </w:r>
            <w:r w:rsidRPr="0059184B">
              <w:rPr>
                <w:rFonts w:ascii="Times New Roman" w:eastAsia="宋体" w:hAnsi="Times New Roman" w:cs="Times New Roman" w:hint="eastAsia"/>
                <w:kern w:val="0"/>
                <w:sz w:val="18"/>
                <w:szCs w:val="20"/>
              </w:rPr>
              <w:t xml:space="preserve"> the market value of assets </w:t>
            </w:r>
            <w:r w:rsidRPr="0059184B">
              <w:rPr>
                <w:rFonts w:ascii="Times New Roman" w:eastAsia="宋体" w:hAnsi="Times New Roman" w:cs="Times New Roman"/>
                <w:kern w:val="0"/>
                <w:sz w:val="18"/>
                <w:szCs w:val="20"/>
              </w:rPr>
              <w:t>and</w:t>
            </w:r>
            <w:r w:rsidRPr="0059184B">
              <w:rPr>
                <w:rFonts w:ascii="Times New Roman" w:eastAsia="宋体" w:hAnsi="Times New Roman" w:cs="Times New Roman" w:hint="eastAsia"/>
                <w:kern w:val="0"/>
                <w:sz w:val="18"/>
                <w:szCs w:val="20"/>
              </w:rPr>
              <w:t xml:space="preserve"> </w:t>
            </w:r>
            <w:r w:rsidRPr="0059184B">
              <w:rPr>
                <w:rFonts w:ascii="Times New Roman" w:eastAsia="宋体" w:hAnsi="Times New Roman" w:cs="Times New Roman"/>
                <w:kern w:val="0"/>
                <w:sz w:val="18"/>
                <w:szCs w:val="20"/>
              </w:rPr>
              <w:t>annualized</w:t>
            </w:r>
            <w:r w:rsidRPr="0059184B">
              <w:rPr>
                <w:rFonts w:ascii="Times New Roman" w:eastAsia="宋体" w:hAnsi="Times New Roman" w:cs="Times New Roman" w:hint="eastAsia"/>
                <w:kern w:val="0"/>
                <w:sz w:val="18"/>
                <w:szCs w:val="20"/>
              </w:rPr>
              <w:t xml:space="preserve"> standard deviation in the market value of assets.</w:t>
            </w:r>
          </w:p>
        </w:tc>
        <w:tc>
          <w:tcPr>
            <w:tcW w:w="4314" w:type="dxa"/>
            <w:tcBorders>
              <w:top w:val="nil"/>
              <w:left w:val="nil"/>
              <w:bottom w:val="nil"/>
              <w:right w:val="nil"/>
            </w:tcBorders>
            <w:shd w:val="clear" w:color="auto" w:fill="auto"/>
            <w:vAlign w:val="center"/>
            <w:hideMark/>
          </w:tcPr>
          <w:p w:rsidR="00F36C34" w:rsidRPr="0059184B" w:rsidRDefault="00F36C34" w:rsidP="003D137B">
            <w:pPr>
              <w:widowControl/>
              <w:jc w:val="left"/>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Eichler</w:t>
            </w:r>
            <w:proofErr w:type="spellEnd"/>
            <w:r w:rsidRPr="0059184B">
              <w:rPr>
                <w:rFonts w:ascii="Times New Roman" w:eastAsia="宋体" w:hAnsi="Times New Roman" w:cs="Times New Roman"/>
                <w:kern w:val="0"/>
                <w:sz w:val="18"/>
                <w:szCs w:val="20"/>
              </w:rPr>
              <w:t xml:space="preserve"> and </w:t>
            </w:r>
            <w:proofErr w:type="spellStart"/>
            <w:r w:rsidRPr="0059184B">
              <w:rPr>
                <w:rFonts w:ascii="Times New Roman" w:eastAsia="宋体" w:hAnsi="Times New Roman" w:cs="Times New Roman"/>
                <w:kern w:val="0"/>
                <w:sz w:val="18"/>
                <w:szCs w:val="20"/>
              </w:rPr>
              <w:t>Sobanski</w:t>
            </w:r>
            <w:proofErr w:type="spellEnd"/>
            <w:r w:rsidRPr="0059184B">
              <w:rPr>
                <w:rFonts w:ascii="Times New Roman" w:eastAsia="宋体" w:hAnsi="Times New Roman" w:cs="Times New Roman"/>
                <w:kern w:val="0"/>
                <w:sz w:val="18"/>
                <w:szCs w:val="20"/>
              </w:rPr>
              <w:t xml:space="preserve"> (2016)</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Jessen and </w:t>
            </w:r>
            <w:proofErr w:type="spellStart"/>
            <w:r w:rsidRPr="0059184B">
              <w:rPr>
                <w:rFonts w:ascii="Times New Roman" w:eastAsia="宋体" w:hAnsi="Times New Roman" w:cs="Times New Roman"/>
                <w:kern w:val="0"/>
                <w:sz w:val="18"/>
                <w:szCs w:val="20"/>
              </w:rPr>
              <w:t>Lando</w:t>
            </w:r>
            <w:proofErr w:type="spellEnd"/>
            <w:r w:rsidRPr="0059184B">
              <w:rPr>
                <w:rFonts w:ascii="Times New Roman" w:eastAsia="宋体" w:hAnsi="Times New Roman" w:cs="Times New Roman"/>
                <w:kern w:val="0"/>
                <w:sz w:val="18"/>
                <w:szCs w:val="20"/>
              </w:rPr>
              <w:t xml:space="preserve"> (2015) </w:t>
            </w:r>
            <w:proofErr w:type="spellStart"/>
            <w:r w:rsidRPr="0059184B">
              <w:rPr>
                <w:rFonts w:ascii="Times New Roman" w:eastAsia="宋体" w:hAnsi="Times New Roman" w:cs="Times New Roman"/>
                <w:kern w:val="0"/>
                <w:sz w:val="18"/>
                <w:szCs w:val="20"/>
              </w:rPr>
              <w:t>Hoque</w:t>
            </w:r>
            <w:proofErr w:type="spellEnd"/>
            <w:r w:rsidRPr="0059184B">
              <w:rPr>
                <w:rFonts w:ascii="Times New Roman" w:eastAsia="宋体" w:hAnsi="Times New Roman" w:cs="Times New Roman"/>
                <w:kern w:val="0"/>
                <w:sz w:val="18"/>
                <w:szCs w:val="20"/>
              </w:rPr>
              <w:t xml:space="preserve">, </w:t>
            </w:r>
            <w:proofErr w:type="spellStart"/>
            <w:r w:rsidRPr="0059184B">
              <w:rPr>
                <w:rFonts w:ascii="Times New Roman" w:eastAsia="宋体" w:hAnsi="Times New Roman" w:cs="Times New Roman"/>
                <w:kern w:val="0"/>
                <w:sz w:val="18"/>
                <w:szCs w:val="20"/>
              </w:rPr>
              <w:t>Andriosopoulos</w:t>
            </w:r>
            <w:proofErr w:type="spellEnd"/>
            <w:r w:rsidRPr="0059184B">
              <w:rPr>
                <w:rFonts w:ascii="Times New Roman" w:eastAsia="宋体" w:hAnsi="Times New Roman" w:cs="Times New Roman"/>
                <w:kern w:val="0"/>
                <w:sz w:val="18"/>
                <w:szCs w:val="20"/>
              </w:rPr>
              <w:t xml:space="preserve"> and </w:t>
            </w:r>
            <w:proofErr w:type="spellStart"/>
            <w:r w:rsidRPr="0059184B">
              <w:rPr>
                <w:rFonts w:ascii="Times New Roman" w:eastAsia="宋体" w:hAnsi="Times New Roman" w:cs="Times New Roman"/>
                <w:kern w:val="0"/>
                <w:sz w:val="18"/>
                <w:szCs w:val="20"/>
              </w:rPr>
              <w:t>Douday</w:t>
            </w:r>
            <w:proofErr w:type="spellEnd"/>
            <w:r w:rsidRPr="0059184B">
              <w:rPr>
                <w:rFonts w:ascii="Times New Roman" w:eastAsia="宋体" w:hAnsi="Times New Roman" w:cs="Times New Roman"/>
                <w:kern w:val="0"/>
                <w:sz w:val="18"/>
                <w:szCs w:val="20"/>
              </w:rPr>
              <w:t xml:space="preserve"> (2015)</w:t>
            </w:r>
          </w:p>
        </w:tc>
      </w:tr>
      <w:tr w:rsidR="00F36C34" w:rsidRPr="0059184B" w:rsidTr="003D137B">
        <w:trPr>
          <w:trHeight w:val="473"/>
        </w:trPr>
        <w:tc>
          <w:tcPr>
            <w:tcW w:w="2795" w:type="dxa"/>
            <w:tcBorders>
              <w:top w:val="nil"/>
              <w:left w:val="nil"/>
              <w:bottom w:val="nil"/>
              <w:right w:val="nil"/>
            </w:tcBorders>
            <w:shd w:val="clear" w:color="auto" w:fill="auto"/>
            <w:noWrap/>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Value at Risk</w:t>
            </w:r>
          </w:p>
        </w:tc>
        <w:tc>
          <w:tcPr>
            <w:tcW w:w="6850" w:type="dxa"/>
            <w:tcBorders>
              <w:top w:val="nil"/>
              <w:left w:val="nil"/>
              <w:bottom w:val="nil"/>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The worst return that a bank expects to suffer at a confidence interval of 95% in a quarter. </w:t>
            </w:r>
          </w:p>
        </w:tc>
        <w:tc>
          <w:tcPr>
            <w:tcW w:w="4314" w:type="dxa"/>
            <w:tcBorders>
              <w:top w:val="nil"/>
              <w:left w:val="nil"/>
              <w:bottom w:val="nil"/>
              <w:right w:val="nil"/>
            </w:tcBorders>
            <w:shd w:val="clear" w:color="auto" w:fill="auto"/>
            <w:vAlign w:val="center"/>
            <w:hideMark/>
          </w:tcPr>
          <w:p w:rsidR="004946AB"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(2016)</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r w:rsidR="004946AB" w:rsidRPr="0059184B">
              <w:rPr>
                <w:rFonts w:ascii="Times New Roman" w:eastAsia="宋体" w:hAnsi="Times New Roman" w:cs="Times New Roman"/>
                <w:kern w:val="0"/>
                <w:sz w:val="18"/>
                <w:szCs w:val="20"/>
              </w:rPr>
              <w:t>Williams (2016)</w:t>
            </w:r>
          </w:p>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Adrian and </w:t>
            </w:r>
            <w:proofErr w:type="spellStart"/>
            <w:r w:rsidRPr="0059184B">
              <w:rPr>
                <w:rFonts w:ascii="Times New Roman" w:eastAsia="宋体" w:hAnsi="Times New Roman" w:cs="Times New Roman"/>
                <w:kern w:val="0"/>
                <w:sz w:val="18"/>
                <w:szCs w:val="20"/>
              </w:rPr>
              <w:t>Brunnermeier</w:t>
            </w:r>
            <w:proofErr w:type="spellEnd"/>
            <w:r w:rsidRPr="0059184B">
              <w:rPr>
                <w:rFonts w:ascii="Times New Roman" w:eastAsia="宋体" w:hAnsi="Times New Roman" w:cs="Times New Roman"/>
                <w:kern w:val="0"/>
                <w:sz w:val="18"/>
                <w:szCs w:val="20"/>
              </w:rPr>
              <w:t xml:space="preserve"> (2014)</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
        </w:tc>
      </w:tr>
      <w:tr w:rsidR="00F36C34" w:rsidRPr="0059184B" w:rsidTr="003D137B">
        <w:trPr>
          <w:trHeight w:val="473"/>
        </w:trPr>
        <w:tc>
          <w:tcPr>
            <w:tcW w:w="2795" w:type="dxa"/>
            <w:tcBorders>
              <w:top w:val="nil"/>
              <w:left w:val="nil"/>
              <w:bottom w:val="nil"/>
              <w:right w:val="nil"/>
            </w:tcBorders>
            <w:shd w:val="clear" w:color="auto" w:fill="auto"/>
            <w:noWrap/>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Stock price volatility in 6 months</w:t>
            </w:r>
          </w:p>
        </w:tc>
        <w:tc>
          <w:tcPr>
            <w:tcW w:w="6850" w:type="dxa"/>
            <w:tcBorders>
              <w:top w:val="nil"/>
              <w:left w:val="nil"/>
              <w:bottom w:val="nil"/>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Volatility of daily stock return in last 6 months</w:t>
            </w:r>
          </w:p>
        </w:tc>
        <w:tc>
          <w:tcPr>
            <w:tcW w:w="4314" w:type="dxa"/>
            <w:tcBorders>
              <w:top w:val="nil"/>
              <w:left w:val="nil"/>
              <w:bottom w:val="nil"/>
              <w:right w:val="nil"/>
            </w:tcBorders>
            <w:shd w:val="clear" w:color="auto" w:fill="auto"/>
            <w:vAlign w:val="center"/>
            <w:hideMark/>
          </w:tcPr>
          <w:p w:rsidR="004946AB" w:rsidRPr="0059184B" w:rsidRDefault="001F7C1E"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Trapp</w:t>
            </w:r>
            <w:r w:rsidR="00F36C34" w:rsidRPr="0059184B">
              <w:rPr>
                <w:rFonts w:ascii="Times New Roman" w:eastAsia="宋体" w:hAnsi="Times New Roman" w:cs="Times New Roman"/>
                <w:kern w:val="0"/>
                <w:sz w:val="18"/>
                <w:szCs w:val="20"/>
              </w:rPr>
              <w:t xml:space="preserve"> and</w:t>
            </w:r>
            <w:r w:rsidRPr="0059184B">
              <w:rPr>
                <w:rFonts w:ascii="Times New Roman" w:eastAsia="宋体" w:hAnsi="Times New Roman" w:cs="Times New Roman"/>
                <w:kern w:val="0"/>
                <w:sz w:val="18"/>
                <w:szCs w:val="20"/>
              </w:rPr>
              <w:t xml:space="preserve"> </w:t>
            </w:r>
            <w:bookmarkStart w:id="7" w:name="bau0002"/>
            <w:r w:rsidRPr="0059184B">
              <w:rPr>
                <w:rFonts w:ascii="Times New Roman" w:eastAsia="宋体" w:hAnsi="Times New Roman" w:cs="Times New Roman"/>
                <w:kern w:val="0"/>
                <w:sz w:val="18"/>
                <w:szCs w:val="20"/>
              </w:rPr>
              <w:fldChar w:fldCharType="begin"/>
            </w:r>
            <w:r w:rsidRPr="0059184B">
              <w:rPr>
                <w:rFonts w:ascii="Times New Roman" w:eastAsia="宋体" w:hAnsi="Times New Roman" w:cs="Times New Roman"/>
                <w:kern w:val="0"/>
                <w:sz w:val="18"/>
                <w:szCs w:val="20"/>
              </w:rPr>
              <w:instrText xml:space="preserve"> HYPERLINK "https://www.sciencedirect.com/science/article/pii/S0378426616301145" \l "!" </w:instrText>
            </w:r>
            <w:r w:rsidRPr="0059184B">
              <w:rPr>
                <w:rFonts w:ascii="Times New Roman" w:eastAsia="宋体" w:hAnsi="Times New Roman" w:cs="Times New Roman"/>
                <w:kern w:val="0"/>
                <w:sz w:val="18"/>
                <w:szCs w:val="20"/>
              </w:rPr>
              <w:fldChar w:fldCharType="separate"/>
            </w:r>
            <w:r w:rsidRPr="0059184B">
              <w:rPr>
                <w:rFonts w:ascii="Times New Roman" w:eastAsia="宋体" w:hAnsi="Times New Roman" w:cs="Times New Roman"/>
                <w:kern w:val="0"/>
                <w:sz w:val="18"/>
              </w:rPr>
              <w:t>Weiß</w:t>
            </w:r>
            <w:r w:rsidRPr="0059184B">
              <w:rPr>
                <w:rFonts w:ascii="Times New Roman" w:eastAsia="宋体" w:hAnsi="Times New Roman" w:cs="Times New Roman"/>
                <w:kern w:val="0"/>
                <w:sz w:val="18"/>
                <w:szCs w:val="20"/>
              </w:rPr>
              <w:fldChar w:fldCharType="end"/>
            </w:r>
            <w:bookmarkEnd w:id="7"/>
            <w:r w:rsidRPr="0059184B">
              <w:rPr>
                <w:rFonts w:ascii="Times New Roman" w:eastAsia="宋体" w:hAnsi="Times New Roman" w:cs="Times New Roman"/>
                <w:kern w:val="0"/>
                <w:sz w:val="18"/>
                <w:szCs w:val="20"/>
              </w:rPr>
              <w:t xml:space="preserve"> </w:t>
            </w:r>
            <w:r w:rsidR="00F36C34" w:rsidRPr="0059184B">
              <w:rPr>
                <w:rFonts w:ascii="Times New Roman" w:eastAsia="宋体" w:hAnsi="Times New Roman" w:cs="Times New Roman"/>
                <w:kern w:val="0"/>
                <w:sz w:val="18"/>
                <w:szCs w:val="20"/>
              </w:rPr>
              <w:t xml:space="preserve">(2016); </w:t>
            </w:r>
            <w:r w:rsidR="003510FA" w:rsidRPr="0059184B">
              <w:rPr>
                <w:rFonts w:ascii="Times New Roman" w:eastAsia="宋体" w:hAnsi="Times New Roman" w:cs="Times New Roman"/>
                <w:kern w:val="0"/>
                <w:sz w:val="18"/>
                <w:szCs w:val="20"/>
              </w:rPr>
              <w:t xml:space="preserve"> Dang and </w:t>
            </w:r>
            <w:proofErr w:type="spellStart"/>
            <w:r w:rsidR="003510FA" w:rsidRPr="0059184B">
              <w:rPr>
                <w:rFonts w:ascii="Times New Roman" w:eastAsia="宋体" w:hAnsi="Times New Roman" w:cs="Times New Roman"/>
                <w:kern w:val="0"/>
                <w:sz w:val="18"/>
                <w:szCs w:val="20"/>
              </w:rPr>
              <w:t>Helwege</w:t>
            </w:r>
            <w:proofErr w:type="spellEnd"/>
            <w:r w:rsidR="003510FA" w:rsidRPr="0059184B">
              <w:rPr>
                <w:rFonts w:ascii="Times New Roman" w:eastAsia="宋体" w:hAnsi="Times New Roman" w:cs="Times New Roman"/>
                <w:kern w:val="0"/>
                <w:sz w:val="18"/>
                <w:szCs w:val="20"/>
              </w:rPr>
              <w:t xml:space="preserve"> (2017)</w:t>
            </w:r>
          </w:p>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Chiang, Chung and Louis (2017)</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
        </w:tc>
      </w:tr>
      <w:tr w:rsidR="00F36C34" w:rsidRPr="0059184B" w:rsidTr="003D137B">
        <w:trPr>
          <w:trHeight w:val="473"/>
        </w:trPr>
        <w:tc>
          <w:tcPr>
            <w:tcW w:w="2795" w:type="dxa"/>
            <w:tcBorders>
              <w:top w:val="nil"/>
              <w:left w:val="nil"/>
              <w:bottom w:val="nil"/>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Tobin’s Q</w:t>
            </w:r>
          </w:p>
        </w:tc>
        <w:tc>
          <w:tcPr>
            <w:tcW w:w="6850" w:type="dxa"/>
            <w:tcBorders>
              <w:top w:val="nil"/>
              <w:left w:val="nil"/>
              <w:bottom w:val="nil"/>
              <w:right w:val="nil"/>
            </w:tcBorders>
            <w:shd w:val="clear" w:color="auto" w:fill="auto"/>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The ratio of market value to book value of total assets</w:t>
            </w:r>
          </w:p>
        </w:tc>
        <w:tc>
          <w:tcPr>
            <w:tcW w:w="4314" w:type="dxa"/>
            <w:tcBorders>
              <w:top w:val="nil"/>
              <w:left w:val="nil"/>
              <w:bottom w:val="nil"/>
              <w:right w:val="nil"/>
            </w:tcBorders>
            <w:shd w:val="clear" w:color="auto" w:fill="auto"/>
            <w:vAlign w:val="center"/>
            <w:hideMark/>
          </w:tcPr>
          <w:p w:rsidR="00F36C34" w:rsidRPr="0059184B" w:rsidRDefault="00F36C34"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Chen, Li, Luo and Zhang (2017)</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Bhandari and </w:t>
            </w:r>
            <w:proofErr w:type="spellStart"/>
            <w:r w:rsidRPr="0059184B">
              <w:rPr>
                <w:rFonts w:ascii="Times New Roman" w:eastAsia="宋体" w:hAnsi="Times New Roman" w:cs="Times New Roman"/>
                <w:kern w:val="0"/>
                <w:sz w:val="18"/>
                <w:szCs w:val="20"/>
              </w:rPr>
              <w:t>Javakhadze</w:t>
            </w:r>
            <w:proofErr w:type="spellEnd"/>
            <w:r w:rsidRPr="0059184B">
              <w:rPr>
                <w:rFonts w:ascii="Times New Roman" w:eastAsia="宋体" w:hAnsi="Times New Roman" w:cs="Times New Roman"/>
                <w:kern w:val="0"/>
                <w:sz w:val="18"/>
                <w:szCs w:val="20"/>
              </w:rPr>
              <w:t xml:space="preserve"> (2017) </w:t>
            </w:r>
            <w:proofErr w:type="spellStart"/>
            <w:r w:rsidRPr="0059184B">
              <w:rPr>
                <w:rFonts w:ascii="Times New Roman" w:eastAsia="宋体" w:hAnsi="Times New Roman" w:cs="Times New Roman"/>
                <w:kern w:val="0"/>
                <w:sz w:val="18"/>
                <w:szCs w:val="20"/>
              </w:rPr>
              <w:t>Zeidan</w:t>
            </w:r>
            <w:proofErr w:type="spellEnd"/>
            <w:r w:rsidRPr="0059184B">
              <w:rPr>
                <w:rFonts w:ascii="Times New Roman" w:eastAsia="宋体" w:hAnsi="Times New Roman" w:cs="Times New Roman"/>
                <w:kern w:val="0"/>
                <w:sz w:val="18"/>
                <w:szCs w:val="20"/>
              </w:rPr>
              <w:t xml:space="preserve"> </w:t>
            </w:r>
            <w:r w:rsidRPr="0059184B">
              <w:rPr>
                <w:rFonts w:ascii="Times New Roman" w:eastAsia="宋体" w:hAnsi="Times New Roman" w:cs="Times New Roman" w:hint="eastAsia"/>
                <w:kern w:val="0"/>
                <w:sz w:val="18"/>
                <w:szCs w:val="20"/>
              </w:rPr>
              <w:t>and</w:t>
            </w:r>
            <w:r w:rsidRPr="0059184B">
              <w:rPr>
                <w:rFonts w:ascii="Times New Roman" w:eastAsia="宋体" w:hAnsi="Times New Roman" w:cs="Times New Roman"/>
                <w:kern w:val="0"/>
                <w:sz w:val="18"/>
                <w:szCs w:val="20"/>
              </w:rPr>
              <w:t xml:space="preserve"> </w:t>
            </w:r>
            <w:proofErr w:type="spellStart"/>
            <w:r w:rsidRPr="0059184B">
              <w:rPr>
                <w:rFonts w:ascii="Times New Roman" w:eastAsia="宋体" w:hAnsi="Times New Roman" w:cs="Times New Roman"/>
                <w:kern w:val="0"/>
                <w:sz w:val="18"/>
                <w:szCs w:val="20"/>
              </w:rPr>
              <w:t>Shapir</w:t>
            </w:r>
            <w:proofErr w:type="spellEnd"/>
            <w:r w:rsidRPr="0059184B">
              <w:rPr>
                <w:rFonts w:ascii="Times New Roman" w:eastAsia="宋体" w:hAnsi="Times New Roman" w:cs="Times New Roman"/>
                <w:kern w:val="0"/>
                <w:sz w:val="18"/>
                <w:szCs w:val="20"/>
              </w:rPr>
              <w:t xml:space="preserve"> (2017)</w:t>
            </w:r>
          </w:p>
        </w:tc>
      </w:tr>
      <w:tr w:rsidR="003510FA" w:rsidRPr="0059184B" w:rsidTr="003D137B">
        <w:trPr>
          <w:trHeight w:val="315"/>
        </w:trPr>
        <w:tc>
          <w:tcPr>
            <w:tcW w:w="2795" w:type="dxa"/>
            <w:tcBorders>
              <w:top w:val="nil"/>
              <w:left w:val="nil"/>
              <w:right w:val="nil"/>
            </w:tcBorders>
            <w:shd w:val="clear" w:color="auto" w:fill="auto"/>
            <w:hideMark/>
          </w:tcPr>
          <w:p w:rsidR="003510FA" w:rsidRPr="0059184B" w:rsidRDefault="003510FA" w:rsidP="003D137B">
            <w:pPr>
              <w:widowControl/>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Cost to income ratio</w:t>
            </w:r>
          </w:p>
        </w:tc>
        <w:tc>
          <w:tcPr>
            <w:tcW w:w="6850" w:type="dxa"/>
            <w:tcBorders>
              <w:top w:val="nil"/>
              <w:left w:val="nil"/>
              <w:bottom w:val="nil"/>
              <w:right w:val="nil"/>
            </w:tcBorders>
            <w:shd w:val="clear" w:color="auto" w:fill="auto"/>
            <w:hideMark/>
          </w:tcPr>
          <w:p w:rsidR="003510FA" w:rsidRPr="0059184B" w:rsidRDefault="003510FA"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Operating expense as a percent of operating income</w:t>
            </w:r>
          </w:p>
        </w:tc>
        <w:tc>
          <w:tcPr>
            <w:tcW w:w="4314" w:type="dxa"/>
            <w:tcBorders>
              <w:top w:val="nil"/>
              <w:left w:val="nil"/>
              <w:bottom w:val="nil"/>
              <w:right w:val="nil"/>
            </w:tcBorders>
            <w:shd w:val="clear" w:color="auto" w:fill="auto"/>
            <w:hideMark/>
          </w:tcPr>
          <w:p w:rsidR="003510FA" w:rsidRPr="0059184B" w:rsidRDefault="003510FA"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Borio</w:t>
            </w:r>
            <w:proofErr w:type="spellEnd"/>
            <w:r w:rsidRPr="0059184B">
              <w:rPr>
                <w:rFonts w:ascii="Times New Roman" w:eastAsia="宋体" w:hAnsi="Times New Roman" w:cs="Times New Roman"/>
                <w:kern w:val="0"/>
                <w:sz w:val="18"/>
                <w:szCs w:val="20"/>
              </w:rPr>
              <w:t xml:space="preserve">, </w:t>
            </w:r>
            <w:proofErr w:type="spellStart"/>
            <w:r w:rsidRPr="0059184B">
              <w:rPr>
                <w:rFonts w:ascii="Times New Roman" w:eastAsia="宋体" w:hAnsi="Times New Roman" w:cs="Times New Roman"/>
                <w:kern w:val="0"/>
                <w:sz w:val="18"/>
                <w:szCs w:val="20"/>
              </w:rPr>
              <w:t>Gambacorta</w:t>
            </w:r>
            <w:proofErr w:type="spellEnd"/>
            <w:r w:rsidRPr="0059184B">
              <w:rPr>
                <w:rFonts w:ascii="Times New Roman" w:eastAsia="宋体" w:hAnsi="Times New Roman" w:cs="Times New Roman"/>
                <w:kern w:val="0"/>
                <w:sz w:val="18"/>
                <w:szCs w:val="20"/>
              </w:rPr>
              <w:t>, and Hofmann (2017);</w:t>
            </w:r>
          </w:p>
          <w:p w:rsidR="003510FA" w:rsidRPr="0059184B" w:rsidRDefault="003510FA"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Almazari</w:t>
            </w:r>
            <w:proofErr w:type="spellEnd"/>
            <w:r w:rsidRPr="0059184B">
              <w:rPr>
                <w:rFonts w:ascii="Times New Roman" w:eastAsia="宋体" w:hAnsi="Times New Roman" w:cs="Times New Roman"/>
                <w:kern w:val="0"/>
                <w:sz w:val="18"/>
                <w:szCs w:val="20"/>
              </w:rPr>
              <w:t xml:space="preserve"> (2014); </w:t>
            </w:r>
            <w:hyperlink r:id="rId33" w:anchor="!" w:history="1">
              <w:r w:rsidRPr="0059184B">
                <w:rPr>
                  <w:rFonts w:ascii="Times New Roman" w:eastAsia="宋体" w:hAnsi="Times New Roman" w:cs="Times New Roman"/>
                  <w:kern w:val="0"/>
                  <w:sz w:val="18"/>
                </w:rPr>
                <w:t>Pelletier</w:t>
              </w:r>
            </w:hyperlink>
            <w:r w:rsidRPr="0059184B">
              <w:rPr>
                <w:rFonts w:ascii="Times New Roman" w:eastAsia="宋体" w:hAnsi="Times New Roman" w:cs="Times New Roman"/>
                <w:kern w:val="0"/>
                <w:sz w:val="18"/>
                <w:szCs w:val="20"/>
              </w:rPr>
              <w:t xml:space="preserve"> (2018)</w:t>
            </w:r>
          </w:p>
          <w:p w:rsidR="003510FA" w:rsidRPr="0059184B" w:rsidRDefault="003510FA"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Bitar</w:t>
            </w:r>
            <w:proofErr w:type="spellEnd"/>
            <w:r w:rsidRPr="0059184B">
              <w:rPr>
                <w:rFonts w:ascii="Times New Roman" w:eastAsia="宋体" w:hAnsi="Times New Roman" w:cs="Times New Roman"/>
                <w:kern w:val="0"/>
                <w:sz w:val="18"/>
                <w:szCs w:val="20"/>
              </w:rPr>
              <w:t xml:space="preserve">, </w:t>
            </w:r>
            <w:proofErr w:type="spellStart"/>
            <w:r w:rsidRPr="0059184B">
              <w:rPr>
                <w:rFonts w:ascii="Times New Roman" w:eastAsia="宋体" w:hAnsi="Times New Roman" w:cs="Times New Roman"/>
                <w:kern w:val="0"/>
                <w:sz w:val="18"/>
                <w:szCs w:val="20"/>
              </w:rPr>
              <w:t>Pukthuanthong</w:t>
            </w:r>
            <w:proofErr w:type="spellEnd"/>
            <w:r w:rsidRPr="0059184B">
              <w:rPr>
                <w:rFonts w:ascii="Times New Roman" w:eastAsia="宋体" w:hAnsi="Times New Roman" w:cs="Times New Roman"/>
                <w:kern w:val="0"/>
                <w:sz w:val="18"/>
                <w:szCs w:val="20"/>
              </w:rPr>
              <w:t xml:space="preserve">, and Walker (2017);  </w:t>
            </w:r>
          </w:p>
        </w:tc>
      </w:tr>
      <w:tr w:rsidR="003510FA" w:rsidRPr="0059184B" w:rsidTr="003D137B">
        <w:trPr>
          <w:trHeight w:val="473"/>
        </w:trPr>
        <w:tc>
          <w:tcPr>
            <w:tcW w:w="2795" w:type="dxa"/>
            <w:tcBorders>
              <w:top w:val="nil"/>
              <w:left w:val="nil"/>
              <w:bottom w:val="single" w:sz="4" w:space="0" w:color="auto"/>
              <w:right w:val="nil"/>
            </w:tcBorders>
            <w:shd w:val="clear" w:color="auto" w:fill="auto"/>
            <w:hideMark/>
          </w:tcPr>
          <w:p w:rsidR="003510FA" w:rsidRPr="0059184B" w:rsidRDefault="003510FA"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Return on Asset</w:t>
            </w:r>
          </w:p>
        </w:tc>
        <w:tc>
          <w:tcPr>
            <w:tcW w:w="6850" w:type="dxa"/>
            <w:tcBorders>
              <w:top w:val="nil"/>
              <w:left w:val="nil"/>
              <w:bottom w:val="single" w:sz="4" w:space="0" w:color="auto"/>
              <w:right w:val="nil"/>
            </w:tcBorders>
            <w:shd w:val="clear" w:color="auto" w:fill="auto"/>
            <w:hideMark/>
          </w:tcPr>
          <w:p w:rsidR="003510FA" w:rsidRPr="0059184B" w:rsidRDefault="003510FA"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Net income as a percent of  assets</w:t>
            </w:r>
          </w:p>
        </w:tc>
        <w:tc>
          <w:tcPr>
            <w:tcW w:w="4314" w:type="dxa"/>
            <w:tcBorders>
              <w:top w:val="nil"/>
              <w:left w:val="nil"/>
              <w:bottom w:val="single" w:sz="4" w:space="0" w:color="auto"/>
              <w:right w:val="nil"/>
            </w:tcBorders>
            <w:shd w:val="clear" w:color="auto" w:fill="auto"/>
            <w:vAlign w:val="center"/>
            <w:hideMark/>
          </w:tcPr>
          <w:p w:rsidR="003510FA" w:rsidRPr="0059184B" w:rsidRDefault="003510FA" w:rsidP="003D137B">
            <w:pPr>
              <w:widowControl/>
              <w:jc w:val="left"/>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Berger, Black, </w:t>
            </w:r>
            <w:proofErr w:type="spellStart"/>
            <w:r w:rsidRPr="0059184B">
              <w:rPr>
                <w:rFonts w:ascii="Times New Roman" w:eastAsia="宋体" w:hAnsi="Times New Roman" w:cs="Times New Roman"/>
                <w:kern w:val="0"/>
                <w:sz w:val="18"/>
                <w:szCs w:val="20"/>
              </w:rPr>
              <w:t>Bouwman</w:t>
            </w:r>
            <w:proofErr w:type="spellEnd"/>
            <w:r w:rsidRPr="0059184B">
              <w:rPr>
                <w:rFonts w:ascii="Times New Roman" w:eastAsia="宋体" w:hAnsi="Times New Roman" w:cs="Times New Roman"/>
                <w:kern w:val="0"/>
                <w:sz w:val="18"/>
                <w:szCs w:val="20"/>
              </w:rPr>
              <w:t xml:space="preserve"> and </w:t>
            </w:r>
            <w:proofErr w:type="spellStart"/>
            <w:r w:rsidRPr="0059184B">
              <w:rPr>
                <w:rFonts w:ascii="Times New Roman" w:eastAsia="宋体" w:hAnsi="Times New Roman" w:cs="Times New Roman"/>
                <w:kern w:val="0"/>
                <w:sz w:val="18"/>
                <w:szCs w:val="20"/>
              </w:rPr>
              <w:t>Dlugosz</w:t>
            </w:r>
            <w:proofErr w:type="spellEnd"/>
            <w:r w:rsidRPr="0059184B">
              <w:rPr>
                <w:rFonts w:ascii="Times New Roman" w:eastAsia="宋体" w:hAnsi="Times New Roman" w:cs="Times New Roman"/>
                <w:kern w:val="0"/>
                <w:sz w:val="18"/>
                <w:szCs w:val="20"/>
              </w:rPr>
              <w:t xml:space="preserve"> (2014)</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Beck, Chen, Lin and Song (2016)</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Dang and </w:t>
            </w:r>
            <w:proofErr w:type="spellStart"/>
            <w:r w:rsidRPr="0059184B">
              <w:rPr>
                <w:rFonts w:ascii="Times New Roman" w:eastAsia="宋体" w:hAnsi="Times New Roman" w:cs="Times New Roman"/>
                <w:kern w:val="0"/>
                <w:sz w:val="18"/>
                <w:szCs w:val="20"/>
              </w:rPr>
              <w:t>Helwege</w:t>
            </w:r>
            <w:proofErr w:type="spellEnd"/>
            <w:r w:rsidRPr="0059184B">
              <w:rPr>
                <w:rFonts w:ascii="Times New Roman" w:eastAsia="宋体" w:hAnsi="Times New Roman" w:cs="Times New Roman"/>
                <w:kern w:val="0"/>
                <w:sz w:val="18"/>
                <w:szCs w:val="20"/>
              </w:rPr>
              <w:t xml:space="preserve"> (2017)</w:t>
            </w:r>
          </w:p>
        </w:tc>
      </w:tr>
    </w:tbl>
    <w:p w:rsidR="003D137B" w:rsidRPr="0059184B" w:rsidRDefault="003D137B" w:rsidP="005028B0">
      <w:pPr>
        <w:widowControl/>
        <w:rPr>
          <w:noProof/>
        </w:rPr>
      </w:pPr>
    </w:p>
    <w:tbl>
      <w:tblPr>
        <w:tblpPr w:leftFromText="180" w:rightFromText="180" w:vertAnchor="page" w:horzAnchor="margin" w:tblpY="2395"/>
        <w:tblW w:w="0" w:type="auto"/>
        <w:tblLook w:val="04A0" w:firstRow="1" w:lastRow="0" w:firstColumn="1" w:lastColumn="0" w:noHBand="0" w:noVBand="1"/>
      </w:tblPr>
      <w:tblGrid>
        <w:gridCol w:w="3417"/>
        <w:gridCol w:w="5812"/>
        <w:gridCol w:w="284"/>
        <w:gridCol w:w="4568"/>
      </w:tblGrid>
      <w:tr w:rsidR="003D137B" w:rsidRPr="0059184B" w:rsidTr="003D137B">
        <w:trPr>
          <w:trHeight w:val="20"/>
        </w:trPr>
        <w:tc>
          <w:tcPr>
            <w:tcW w:w="3417" w:type="dxa"/>
            <w:tcBorders>
              <w:top w:val="single" w:sz="4" w:space="0" w:color="auto"/>
              <w:left w:val="nil"/>
              <w:bottom w:val="single" w:sz="4" w:space="0" w:color="auto"/>
              <w:right w:val="nil"/>
            </w:tcBorders>
            <w:shd w:val="clear" w:color="auto" w:fill="auto"/>
            <w:noWrap/>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Independent Variables</w:t>
            </w:r>
          </w:p>
        </w:tc>
        <w:tc>
          <w:tcPr>
            <w:tcW w:w="6096" w:type="dxa"/>
            <w:gridSpan w:val="2"/>
            <w:tcBorders>
              <w:top w:val="single" w:sz="4" w:space="0" w:color="auto"/>
              <w:left w:val="nil"/>
              <w:bottom w:val="single" w:sz="4" w:space="0" w:color="auto"/>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Description</w:t>
            </w:r>
          </w:p>
        </w:tc>
        <w:tc>
          <w:tcPr>
            <w:tcW w:w="4568" w:type="dxa"/>
            <w:tcBorders>
              <w:top w:val="single" w:sz="4" w:space="0" w:color="auto"/>
              <w:left w:val="nil"/>
              <w:bottom w:val="single" w:sz="4" w:space="0" w:color="auto"/>
              <w:right w:val="nil"/>
            </w:tcBorders>
            <w:shd w:val="clear" w:color="auto" w:fill="auto"/>
            <w:noWrap/>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Relevant Literature</w:t>
            </w:r>
          </w:p>
        </w:tc>
      </w:tr>
      <w:tr w:rsidR="003D137B" w:rsidRPr="0059184B" w:rsidTr="003D137B">
        <w:trPr>
          <w:trHeight w:val="20"/>
        </w:trPr>
        <w:tc>
          <w:tcPr>
            <w:tcW w:w="3417" w:type="dxa"/>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IR derivatives trading</w:t>
            </w:r>
          </w:p>
        </w:tc>
        <w:tc>
          <w:tcPr>
            <w:tcW w:w="5812" w:type="dxa"/>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T</w:t>
            </w:r>
            <w:r w:rsidRPr="0059184B">
              <w:rPr>
                <w:rFonts w:ascii="Times New Roman" w:eastAsia="宋体" w:hAnsi="Times New Roman" w:cs="Times New Roman" w:hint="eastAsia"/>
                <w:kern w:val="0"/>
                <w:sz w:val="18"/>
                <w:szCs w:val="20"/>
              </w:rPr>
              <w:t>he n</w:t>
            </w:r>
            <w:r w:rsidRPr="0059184B">
              <w:rPr>
                <w:rFonts w:ascii="Times New Roman" w:eastAsia="宋体" w:hAnsi="Times New Roman" w:cs="Times New Roman"/>
                <w:kern w:val="0"/>
                <w:sz w:val="18"/>
                <w:szCs w:val="20"/>
              </w:rPr>
              <w:t>otional amount or par value of all off-balance-sheet interest rate derivative contracts</w:t>
            </w:r>
            <w:r w:rsidRPr="0059184B">
              <w:rPr>
                <w:rFonts w:ascii="Times New Roman" w:eastAsia="宋体" w:hAnsi="Times New Roman" w:cs="Times New Roman" w:hint="eastAsia"/>
                <w:kern w:val="0"/>
                <w:sz w:val="18"/>
                <w:szCs w:val="20"/>
              </w:rPr>
              <w:t xml:space="preserve"> </w:t>
            </w:r>
            <w:r w:rsidRPr="0059184B">
              <w:rPr>
                <w:rFonts w:ascii="Times New Roman" w:eastAsia="宋体" w:hAnsi="Times New Roman" w:cs="Times New Roman"/>
                <w:kern w:val="0"/>
                <w:sz w:val="18"/>
                <w:szCs w:val="20"/>
              </w:rPr>
              <w:t>held for trading purposes reported</w:t>
            </w:r>
            <w:r w:rsidRPr="0059184B">
              <w:rPr>
                <w:rFonts w:ascii="Times New Roman" w:eastAsia="宋体" w:hAnsi="Times New Roman" w:cs="Times New Roman" w:hint="eastAsia"/>
                <w:kern w:val="0"/>
                <w:sz w:val="18"/>
                <w:szCs w:val="20"/>
              </w:rPr>
              <w:t xml:space="preserve"> in Y9 call report</w:t>
            </w:r>
            <w:r w:rsidRPr="0059184B">
              <w:rPr>
                <w:rFonts w:ascii="Times New Roman" w:eastAsia="宋体" w:hAnsi="Times New Roman" w:cs="Times New Roman"/>
                <w:kern w:val="0"/>
                <w:sz w:val="18"/>
                <w:szCs w:val="20"/>
              </w:rPr>
              <w:t xml:space="preserve">, and then </w:t>
            </w:r>
            <w:r w:rsidRPr="0059184B">
              <w:rPr>
                <w:rFonts w:ascii="Times New Roman" w:eastAsia="宋体" w:hAnsi="Times New Roman" w:cs="Times New Roman" w:hint="eastAsia"/>
                <w:kern w:val="0"/>
                <w:sz w:val="18"/>
                <w:szCs w:val="20"/>
              </w:rPr>
              <w:t>scale</w:t>
            </w:r>
            <w:r w:rsidRPr="0059184B">
              <w:rPr>
                <w:rFonts w:ascii="Times New Roman" w:eastAsia="宋体" w:hAnsi="Times New Roman" w:cs="Times New Roman"/>
                <w:kern w:val="0"/>
                <w:sz w:val="18"/>
                <w:szCs w:val="20"/>
              </w:rPr>
              <w:t xml:space="preserve">d by the bank’s </w:t>
            </w:r>
            <w:r w:rsidRPr="0059184B">
              <w:rPr>
                <w:rFonts w:ascii="Times New Roman" w:eastAsia="宋体" w:hAnsi="Times New Roman" w:cs="Times New Roman" w:hint="eastAsia"/>
                <w:kern w:val="0"/>
                <w:sz w:val="18"/>
                <w:szCs w:val="20"/>
              </w:rPr>
              <w:t xml:space="preserve">total asset. </w:t>
            </w:r>
          </w:p>
        </w:tc>
        <w:tc>
          <w:tcPr>
            <w:tcW w:w="4852" w:type="dxa"/>
            <w:gridSpan w:val="2"/>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(2016)</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(2014)</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Mayordomo</w:t>
            </w:r>
            <w:proofErr w:type="spellEnd"/>
            <w:r w:rsidRPr="0059184B">
              <w:rPr>
                <w:rFonts w:ascii="Times New Roman" w:eastAsia="宋体" w:hAnsi="Times New Roman" w:cs="Times New Roman"/>
                <w:kern w:val="0"/>
                <w:sz w:val="18"/>
                <w:szCs w:val="20"/>
              </w:rPr>
              <w:t>, Rodriguez-Moreno and Peña (2014)</w:t>
            </w:r>
          </w:p>
        </w:tc>
      </w:tr>
      <w:tr w:rsidR="003D137B" w:rsidRPr="0059184B" w:rsidTr="003D137B">
        <w:trPr>
          <w:trHeight w:val="20"/>
        </w:trPr>
        <w:tc>
          <w:tcPr>
            <w:tcW w:w="3417" w:type="dxa"/>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IR derivatives hedging</w:t>
            </w:r>
          </w:p>
        </w:tc>
        <w:tc>
          <w:tcPr>
            <w:tcW w:w="5812" w:type="dxa"/>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T</w:t>
            </w:r>
            <w:r w:rsidRPr="0059184B">
              <w:rPr>
                <w:rFonts w:ascii="Times New Roman" w:eastAsia="宋体" w:hAnsi="Times New Roman" w:cs="Times New Roman" w:hint="eastAsia"/>
                <w:kern w:val="0"/>
                <w:sz w:val="18"/>
                <w:szCs w:val="20"/>
              </w:rPr>
              <w:t>he n</w:t>
            </w:r>
            <w:r w:rsidRPr="0059184B">
              <w:rPr>
                <w:rFonts w:ascii="Times New Roman" w:eastAsia="宋体" w:hAnsi="Times New Roman" w:cs="Times New Roman"/>
                <w:kern w:val="0"/>
                <w:sz w:val="18"/>
                <w:szCs w:val="20"/>
              </w:rPr>
              <w:t>otional value or par value of interest rate off-balance-sheet derivative contracts held for purposes other than trading</w:t>
            </w:r>
            <w:r w:rsidRPr="0059184B">
              <w:rPr>
                <w:rFonts w:ascii="Times New Roman" w:eastAsia="宋体" w:hAnsi="Times New Roman" w:cs="Times New Roman" w:hint="eastAsia"/>
                <w:kern w:val="0"/>
                <w:sz w:val="18"/>
                <w:szCs w:val="20"/>
              </w:rPr>
              <w:t xml:space="preserve"> r</w:t>
            </w:r>
            <w:r w:rsidRPr="0059184B">
              <w:rPr>
                <w:rFonts w:ascii="Times New Roman" w:eastAsia="宋体" w:hAnsi="Times New Roman" w:cs="Times New Roman"/>
                <w:kern w:val="0"/>
                <w:sz w:val="18"/>
                <w:szCs w:val="20"/>
              </w:rPr>
              <w:t>eported</w:t>
            </w:r>
            <w:r w:rsidRPr="0059184B">
              <w:rPr>
                <w:rFonts w:ascii="Times New Roman" w:eastAsia="宋体" w:hAnsi="Times New Roman" w:cs="Times New Roman" w:hint="eastAsia"/>
                <w:kern w:val="0"/>
                <w:sz w:val="18"/>
                <w:szCs w:val="20"/>
              </w:rPr>
              <w:t xml:space="preserve"> in Y9 call report</w:t>
            </w:r>
            <w:r w:rsidRPr="0059184B">
              <w:rPr>
                <w:rFonts w:ascii="Times New Roman" w:eastAsia="宋体" w:hAnsi="Times New Roman" w:cs="Times New Roman"/>
                <w:kern w:val="0"/>
                <w:sz w:val="18"/>
                <w:szCs w:val="20"/>
              </w:rPr>
              <w:t>, and then</w:t>
            </w:r>
            <w:r w:rsidRPr="0059184B">
              <w:rPr>
                <w:rFonts w:ascii="Times New Roman" w:eastAsia="宋体" w:hAnsi="Times New Roman" w:cs="Times New Roman" w:hint="eastAsia"/>
                <w:kern w:val="0"/>
                <w:sz w:val="18"/>
                <w:szCs w:val="20"/>
              </w:rPr>
              <w:t xml:space="preserve"> scaled by </w:t>
            </w:r>
            <w:r w:rsidRPr="0059184B">
              <w:rPr>
                <w:rFonts w:ascii="Times New Roman" w:eastAsia="宋体" w:hAnsi="Times New Roman" w:cs="Times New Roman"/>
                <w:kern w:val="0"/>
                <w:sz w:val="18"/>
                <w:szCs w:val="20"/>
              </w:rPr>
              <w:t xml:space="preserve">the bank’s </w:t>
            </w:r>
            <w:r w:rsidRPr="0059184B">
              <w:rPr>
                <w:rFonts w:ascii="Times New Roman" w:eastAsia="宋体" w:hAnsi="Times New Roman" w:cs="Times New Roman" w:hint="eastAsia"/>
                <w:kern w:val="0"/>
                <w:sz w:val="18"/>
                <w:szCs w:val="20"/>
              </w:rPr>
              <w:t>total asset</w:t>
            </w:r>
          </w:p>
        </w:tc>
        <w:tc>
          <w:tcPr>
            <w:tcW w:w="4852" w:type="dxa"/>
            <w:gridSpan w:val="2"/>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(2016)</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(2014)</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Mayordomo</w:t>
            </w:r>
            <w:proofErr w:type="spellEnd"/>
            <w:r w:rsidRPr="0059184B">
              <w:rPr>
                <w:rFonts w:ascii="Times New Roman" w:eastAsia="宋体" w:hAnsi="Times New Roman" w:cs="Times New Roman"/>
                <w:kern w:val="0"/>
                <w:sz w:val="18"/>
                <w:szCs w:val="20"/>
              </w:rPr>
              <w:t>, Rodriguez-Moreno and Peña (2014)</w:t>
            </w:r>
          </w:p>
        </w:tc>
      </w:tr>
      <w:tr w:rsidR="003D137B" w:rsidRPr="0059184B" w:rsidTr="003D137B">
        <w:trPr>
          <w:trHeight w:val="20"/>
        </w:trPr>
        <w:tc>
          <w:tcPr>
            <w:tcW w:w="3417" w:type="dxa"/>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Net credit derivatives (traded OTC)</w:t>
            </w:r>
          </w:p>
        </w:tc>
        <w:tc>
          <w:tcPr>
            <w:tcW w:w="5812" w:type="dxa"/>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The net notional amount is calculated</w:t>
            </w:r>
            <w:r w:rsidRPr="0059184B">
              <w:rPr>
                <w:rFonts w:ascii="Times New Roman" w:eastAsia="宋体" w:hAnsi="Times New Roman" w:cs="Times New Roman" w:hint="eastAsia"/>
                <w:kern w:val="0"/>
                <w:sz w:val="18"/>
                <w:szCs w:val="20"/>
              </w:rPr>
              <w:t xml:space="preserve"> as t</w:t>
            </w:r>
            <w:r w:rsidRPr="0059184B">
              <w:rPr>
                <w:rFonts w:ascii="Times New Roman" w:eastAsia="宋体" w:hAnsi="Times New Roman" w:cs="Times New Roman"/>
                <w:kern w:val="0"/>
                <w:sz w:val="18"/>
                <w:szCs w:val="20"/>
              </w:rPr>
              <w:t>he notional amount of all credit derivatives for which the bank has obtained a guarantee against credit losses from other parties</w:t>
            </w:r>
            <w:r w:rsidRPr="0059184B">
              <w:rPr>
                <w:rFonts w:ascii="Times New Roman" w:eastAsia="宋体" w:hAnsi="Times New Roman" w:cs="Times New Roman" w:hint="eastAsia"/>
                <w:kern w:val="0"/>
                <w:sz w:val="18"/>
                <w:szCs w:val="20"/>
              </w:rPr>
              <w:t>, minus th</w:t>
            </w:r>
            <w:r w:rsidRPr="0059184B">
              <w:rPr>
                <w:rFonts w:ascii="Times New Roman" w:eastAsia="宋体" w:hAnsi="Times New Roman" w:cs="Times New Roman"/>
                <w:kern w:val="0"/>
                <w:sz w:val="18"/>
                <w:szCs w:val="20"/>
              </w:rPr>
              <w:t>e notional amount of all credit derivatives for which the bank has extended credit protection to other</w:t>
            </w:r>
            <w:r w:rsidRPr="0059184B">
              <w:rPr>
                <w:rFonts w:ascii="Times New Roman" w:eastAsia="宋体" w:hAnsi="Times New Roman" w:cs="Times New Roman" w:hint="eastAsia"/>
                <w:kern w:val="0"/>
                <w:sz w:val="18"/>
                <w:szCs w:val="20"/>
              </w:rPr>
              <w:t>s</w:t>
            </w:r>
            <w:proofErr w:type="gramStart"/>
            <w:r w:rsidRPr="0059184B">
              <w:rPr>
                <w:rFonts w:ascii="Times New Roman" w:eastAsia="宋体" w:hAnsi="Times New Roman" w:cs="Times New Roman"/>
                <w:kern w:val="0"/>
                <w:sz w:val="18"/>
                <w:szCs w:val="20"/>
              </w:rPr>
              <w:t>,  then</w:t>
            </w:r>
            <w:proofErr w:type="gramEnd"/>
            <w:r w:rsidRPr="0059184B">
              <w:rPr>
                <w:rFonts w:ascii="Times New Roman" w:eastAsia="宋体" w:hAnsi="Times New Roman" w:cs="Times New Roman" w:hint="eastAsia"/>
                <w:kern w:val="0"/>
                <w:sz w:val="18"/>
                <w:szCs w:val="20"/>
              </w:rPr>
              <w:t xml:space="preserve"> scaled by </w:t>
            </w:r>
            <w:r w:rsidRPr="0059184B">
              <w:rPr>
                <w:rFonts w:ascii="Times New Roman" w:eastAsia="宋体" w:hAnsi="Times New Roman" w:cs="Times New Roman"/>
                <w:kern w:val="0"/>
                <w:sz w:val="18"/>
                <w:szCs w:val="20"/>
              </w:rPr>
              <w:t xml:space="preserve">the bank’s </w:t>
            </w:r>
            <w:r w:rsidRPr="0059184B">
              <w:rPr>
                <w:rFonts w:ascii="Times New Roman" w:eastAsia="宋体" w:hAnsi="Times New Roman" w:cs="Times New Roman" w:hint="eastAsia"/>
                <w:kern w:val="0"/>
                <w:sz w:val="18"/>
                <w:szCs w:val="20"/>
              </w:rPr>
              <w:t>total asset</w:t>
            </w:r>
            <w:r w:rsidRPr="0059184B">
              <w:rPr>
                <w:rFonts w:ascii="Times New Roman" w:eastAsia="宋体" w:hAnsi="Times New Roman" w:cs="Times New Roman"/>
                <w:kern w:val="0"/>
                <w:sz w:val="18"/>
                <w:szCs w:val="20"/>
              </w:rPr>
              <w:t>. According to SNL database, credit derivatives reported are all traded in OTC market.</w:t>
            </w:r>
          </w:p>
        </w:tc>
        <w:tc>
          <w:tcPr>
            <w:tcW w:w="4852" w:type="dxa"/>
            <w:gridSpan w:val="2"/>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(2014)</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Hirtle</w:t>
            </w:r>
            <w:proofErr w:type="spellEnd"/>
            <w:r w:rsidRPr="0059184B">
              <w:rPr>
                <w:rFonts w:ascii="Times New Roman" w:eastAsia="宋体" w:hAnsi="Times New Roman" w:cs="Times New Roman"/>
                <w:kern w:val="0"/>
                <w:sz w:val="18"/>
                <w:szCs w:val="20"/>
              </w:rPr>
              <w:t xml:space="preserve"> (2009)</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Minton, </w:t>
            </w:r>
            <w:proofErr w:type="spellStart"/>
            <w:r w:rsidRPr="0059184B">
              <w:rPr>
                <w:rFonts w:ascii="Times New Roman" w:eastAsia="宋体" w:hAnsi="Times New Roman" w:cs="Times New Roman"/>
                <w:kern w:val="0"/>
                <w:sz w:val="18"/>
                <w:szCs w:val="20"/>
              </w:rPr>
              <w:t>Stulz</w:t>
            </w:r>
            <w:proofErr w:type="spellEnd"/>
            <w:r w:rsidRPr="0059184B">
              <w:rPr>
                <w:rFonts w:ascii="Times New Roman" w:eastAsia="宋体" w:hAnsi="Times New Roman" w:cs="Times New Roman"/>
                <w:kern w:val="0"/>
                <w:sz w:val="18"/>
                <w:szCs w:val="20"/>
              </w:rPr>
              <w:t xml:space="preserve"> and Williamson (2009)</w:t>
            </w:r>
          </w:p>
        </w:tc>
      </w:tr>
      <w:tr w:rsidR="003D137B" w:rsidRPr="0059184B" w:rsidTr="003D137B">
        <w:trPr>
          <w:trHeight w:val="20"/>
        </w:trPr>
        <w:tc>
          <w:tcPr>
            <w:tcW w:w="3417"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IR derivatives traded OTC</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Sum of the notional amount of interest rate forwards, interest rate swaps and the net long positions in OTC interest rate options </w:t>
            </w:r>
          </w:p>
        </w:tc>
        <w:tc>
          <w:tcPr>
            <w:tcW w:w="4852" w:type="dxa"/>
            <w:gridSpan w:val="2"/>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w:t>
            </w:r>
          </w:p>
        </w:tc>
      </w:tr>
      <w:tr w:rsidR="003D137B" w:rsidRPr="0059184B" w:rsidTr="003D137B">
        <w:trPr>
          <w:trHeight w:val="20"/>
        </w:trPr>
        <w:tc>
          <w:tcPr>
            <w:tcW w:w="3417"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IR derivatives traded on exchanges</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Sum of the notional amount of interest rate futures and net long positions in exchange-traded interest rate options. </w:t>
            </w:r>
          </w:p>
        </w:tc>
        <w:tc>
          <w:tcPr>
            <w:tcW w:w="4852" w:type="dxa"/>
            <w:gridSpan w:val="2"/>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w:t>
            </w:r>
          </w:p>
        </w:tc>
      </w:tr>
      <w:tr w:rsidR="003D137B" w:rsidRPr="0059184B" w:rsidTr="003D137B">
        <w:trPr>
          <w:trHeight w:val="20"/>
        </w:trPr>
        <w:tc>
          <w:tcPr>
            <w:tcW w:w="3417"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Loan to depository institutions</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Loans to all depository institutions as a percent of gross loans and leases</w:t>
            </w:r>
          </w:p>
        </w:tc>
        <w:tc>
          <w:tcPr>
            <w:tcW w:w="4852" w:type="dxa"/>
            <w:gridSpan w:val="2"/>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Mayordomo</w:t>
            </w:r>
            <w:proofErr w:type="spellEnd"/>
            <w:r w:rsidRPr="0059184B">
              <w:rPr>
                <w:rFonts w:ascii="Times New Roman" w:eastAsia="宋体" w:hAnsi="Times New Roman" w:cs="Times New Roman"/>
                <w:kern w:val="0"/>
                <w:sz w:val="18"/>
                <w:szCs w:val="20"/>
              </w:rPr>
              <w:t>, Rodriguez-Moreno and Peña (2014)</w:t>
            </w:r>
          </w:p>
        </w:tc>
      </w:tr>
      <w:tr w:rsidR="003D137B" w:rsidRPr="0059184B" w:rsidTr="003D137B">
        <w:trPr>
          <w:trHeight w:val="20"/>
        </w:trPr>
        <w:tc>
          <w:tcPr>
            <w:tcW w:w="3417" w:type="dxa"/>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Balance due from depository institutions</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Balance due from depository institutions as a percent of gross loans and leases</w:t>
            </w:r>
          </w:p>
        </w:tc>
        <w:tc>
          <w:tcPr>
            <w:tcW w:w="4852" w:type="dxa"/>
            <w:gridSpan w:val="2"/>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Mayordomo</w:t>
            </w:r>
            <w:proofErr w:type="spellEnd"/>
            <w:r w:rsidRPr="0059184B">
              <w:rPr>
                <w:rFonts w:ascii="Times New Roman" w:eastAsia="宋体" w:hAnsi="Times New Roman" w:cs="Times New Roman"/>
                <w:kern w:val="0"/>
                <w:sz w:val="18"/>
                <w:szCs w:val="20"/>
              </w:rPr>
              <w:t>, Rodriguez-Moreno and Peña (2014)</w:t>
            </w:r>
          </w:p>
        </w:tc>
      </w:tr>
      <w:tr w:rsidR="003D137B" w:rsidRPr="0059184B" w:rsidTr="003D137B">
        <w:trPr>
          <w:trHeight w:val="20"/>
        </w:trPr>
        <w:tc>
          <w:tcPr>
            <w:tcW w:w="3417" w:type="dxa"/>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Loan loss provision</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Loan loss provisions as a percent of net interest income</w:t>
            </w:r>
          </w:p>
        </w:tc>
        <w:tc>
          <w:tcPr>
            <w:tcW w:w="4852" w:type="dxa"/>
            <w:gridSpan w:val="2"/>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Dang and </w:t>
            </w:r>
            <w:proofErr w:type="spellStart"/>
            <w:r w:rsidRPr="0059184B">
              <w:rPr>
                <w:rFonts w:ascii="Times New Roman" w:eastAsia="宋体" w:hAnsi="Times New Roman" w:cs="Times New Roman"/>
                <w:kern w:val="0"/>
                <w:sz w:val="18"/>
                <w:szCs w:val="20"/>
              </w:rPr>
              <w:t>Helwege</w:t>
            </w:r>
            <w:proofErr w:type="spellEnd"/>
            <w:r w:rsidRPr="0059184B">
              <w:rPr>
                <w:rFonts w:ascii="Times New Roman" w:eastAsia="宋体" w:hAnsi="Times New Roman" w:cs="Times New Roman"/>
                <w:kern w:val="0"/>
                <w:sz w:val="18"/>
                <w:szCs w:val="20"/>
              </w:rPr>
              <w:t xml:space="preserve"> (2017)</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(2014)</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(2016)</w:t>
            </w:r>
          </w:p>
        </w:tc>
      </w:tr>
      <w:tr w:rsidR="003D137B" w:rsidRPr="0059184B" w:rsidTr="003D137B">
        <w:trPr>
          <w:trHeight w:val="20"/>
        </w:trPr>
        <w:tc>
          <w:tcPr>
            <w:tcW w:w="3417" w:type="dxa"/>
            <w:tcBorders>
              <w:top w:val="nil"/>
              <w:left w:val="nil"/>
              <w:bottom w:val="nil"/>
              <w:right w:val="nil"/>
            </w:tcBorders>
            <w:shd w:val="clear" w:color="auto" w:fill="auto"/>
            <w:noWrap/>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Tier 1 ratio</w:t>
            </w:r>
          </w:p>
        </w:tc>
        <w:tc>
          <w:tcPr>
            <w:tcW w:w="5812" w:type="dxa"/>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Tier 1 capital as a percent of total risk-weighted assets</w:t>
            </w:r>
          </w:p>
        </w:tc>
        <w:tc>
          <w:tcPr>
            <w:tcW w:w="4852" w:type="dxa"/>
            <w:gridSpan w:val="2"/>
            <w:tcBorders>
              <w:top w:val="nil"/>
              <w:left w:val="nil"/>
              <w:bottom w:val="nil"/>
              <w:right w:val="nil"/>
            </w:tcBorders>
            <w:shd w:val="clear" w:color="auto" w:fill="auto"/>
            <w:hideMark/>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Berger, </w:t>
            </w:r>
            <w:proofErr w:type="spellStart"/>
            <w:r w:rsidRPr="0059184B">
              <w:rPr>
                <w:rFonts w:ascii="Times New Roman" w:eastAsia="宋体" w:hAnsi="Times New Roman" w:cs="Times New Roman"/>
                <w:kern w:val="0"/>
                <w:sz w:val="18"/>
                <w:szCs w:val="20"/>
              </w:rPr>
              <w:t>Black,Bouwman</w:t>
            </w:r>
            <w:proofErr w:type="spellEnd"/>
            <w:r w:rsidRPr="0059184B">
              <w:rPr>
                <w:rFonts w:ascii="Times New Roman" w:eastAsia="宋体" w:hAnsi="Times New Roman" w:cs="Times New Roman"/>
                <w:kern w:val="0"/>
                <w:sz w:val="18"/>
                <w:szCs w:val="20"/>
              </w:rPr>
              <w:t xml:space="preserve"> and </w:t>
            </w:r>
            <w:proofErr w:type="spellStart"/>
            <w:r w:rsidRPr="0059184B">
              <w:rPr>
                <w:rFonts w:ascii="Times New Roman" w:eastAsia="宋体" w:hAnsi="Times New Roman" w:cs="Times New Roman"/>
                <w:kern w:val="0"/>
                <w:sz w:val="18"/>
                <w:szCs w:val="20"/>
              </w:rPr>
              <w:t>Dlugosz</w:t>
            </w:r>
            <w:proofErr w:type="spellEnd"/>
            <w:r w:rsidRPr="0059184B">
              <w:rPr>
                <w:rFonts w:ascii="Times New Roman" w:eastAsia="宋体" w:hAnsi="Times New Roman" w:cs="Times New Roman"/>
                <w:kern w:val="0"/>
                <w:sz w:val="18"/>
                <w:szCs w:val="20"/>
              </w:rPr>
              <w:t xml:space="preserve"> (2014)</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w:t>
            </w:r>
          </w:p>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(2016)</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 xml:space="preserve"> Dang and </w:t>
            </w:r>
            <w:proofErr w:type="spellStart"/>
            <w:r w:rsidRPr="0059184B">
              <w:rPr>
                <w:rFonts w:ascii="Times New Roman" w:eastAsia="宋体" w:hAnsi="Times New Roman" w:cs="Times New Roman"/>
                <w:kern w:val="0"/>
                <w:sz w:val="18"/>
                <w:szCs w:val="20"/>
              </w:rPr>
              <w:t>Helwege</w:t>
            </w:r>
            <w:proofErr w:type="spellEnd"/>
            <w:r w:rsidRPr="0059184B">
              <w:rPr>
                <w:rFonts w:ascii="Times New Roman" w:eastAsia="宋体" w:hAnsi="Times New Roman" w:cs="Times New Roman"/>
                <w:kern w:val="0"/>
                <w:sz w:val="18"/>
                <w:szCs w:val="20"/>
              </w:rPr>
              <w:t xml:space="preserve"> (2017)</w:t>
            </w:r>
          </w:p>
        </w:tc>
      </w:tr>
      <w:tr w:rsidR="003D137B" w:rsidRPr="0059184B" w:rsidTr="003D137B">
        <w:trPr>
          <w:trHeight w:val="20"/>
        </w:trPr>
        <w:tc>
          <w:tcPr>
            <w:tcW w:w="3417" w:type="dxa"/>
            <w:tcBorders>
              <w:top w:val="nil"/>
              <w:left w:val="nil"/>
              <w:bottom w:val="single" w:sz="4" w:space="0" w:color="auto"/>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p>
        </w:tc>
        <w:tc>
          <w:tcPr>
            <w:tcW w:w="5812" w:type="dxa"/>
            <w:tcBorders>
              <w:top w:val="nil"/>
              <w:left w:val="nil"/>
              <w:bottom w:val="single" w:sz="4" w:space="0" w:color="auto"/>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p>
        </w:tc>
        <w:tc>
          <w:tcPr>
            <w:tcW w:w="4852" w:type="dxa"/>
            <w:gridSpan w:val="2"/>
            <w:tcBorders>
              <w:top w:val="nil"/>
              <w:left w:val="nil"/>
              <w:bottom w:val="single" w:sz="4" w:space="0" w:color="auto"/>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p>
        </w:tc>
      </w:tr>
      <w:tr w:rsidR="003D137B" w:rsidRPr="0059184B" w:rsidTr="003D137B">
        <w:trPr>
          <w:trHeight w:val="20"/>
        </w:trPr>
        <w:tc>
          <w:tcPr>
            <w:tcW w:w="3417" w:type="dxa"/>
            <w:tcBorders>
              <w:top w:val="single" w:sz="4" w:space="0" w:color="auto"/>
              <w:left w:val="nil"/>
              <w:bottom w:val="single" w:sz="4" w:space="0" w:color="auto"/>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lastRenderedPageBreak/>
              <w:t>Independent Variables</w:t>
            </w:r>
          </w:p>
        </w:tc>
        <w:tc>
          <w:tcPr>
            <w:tcW w:w="5812" w:type="dxa"/>
            <w:tcBorders>
              <w:top w:val="single" w:sz="4" w:space="0" w:color="auto"/>
              <w:left w:val="nil"/>
              <w:bottom w:val="single" w:sz="4" w:space="0" w:color="auto"/>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Description</w:t>
            </w:r>
          </w:p>
        </w:tc>
        <w:tc>
          <w:tcPr>
            <w:tcW w:w="4852" w:type="dxa"/>
            <w:gridSpan w:val="2"/>
            <w:tcBorders>
              <w:top w:val="single" w:sz="4" w:space="0" w:color="auto"/>
              <w:left w:val="nil"/>
              <w:bottom w:val="single" w:sz="4" w:space="0" w:color="auto"/>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Relevant Literature</w:t>
            </w:r>
          </w:p>
        </w:tc>
      </w:tr>
      <w:tr w:rsidR="003D137B" w:rsidRPr="0059184B" w:rsidTr="003D137B">
        <w:trPr>
          <w:trHeight w:val="20"/>
        </w:trPr>
        <w:tc>
          <w:tcPr>
            <w:tcW w:w="3417" w:type="dxa"/>
            <w:tcBorders>
              <w:top w:val="single" w:sz="4" w:space="0" w:color="auto"/>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PostDFA</w:t>
            </w:r>
            <w:proofErr w:type="spellEnd"/>
          </w:p>
        </w:tc>
        <w:tc>
          <w:tcPr>
            <w:tcW w:w="5812" w:type="dxa"/>
            <w:tcBorders>
              <w:top w:val="single" w:sz="4" w:space="0" w:color="auto"/>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Dummy equals to one after the DFA was singed into the federal law on July 21, 2010</w:t>
            </w:r>
          </w:p>
        </w:tc>
        <w:tc>
          <w:tcPr>
            <w:tcW w:w="4852" w:type="dxa"/>
            <w:gridSpan w:val="2"/>
            <w:tcBorders>
              <w:top w:val="single" w:sz="4" w:space="0" w:color="auto"/>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Cumming, Dai and Johan (2017);</w:t>
            </w:r>
          </w:p>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Keppo</w:t>
            </w:r>
            <w:proofErr w:type="spellEnd"/>
            <w:r w:rsidRPr="0059184B">
              <w:rPr>
                <w:rFonts w:ascii="Times New Roman" w:eastAsia="宋体" w:hAnsi="Times New Roman" w:cs="Times New Roman"/>
                <w:kern w:val="0"/>
                <w:sz w:val="18"/>
                <w:szCs w:val="20"/>
              </w:rPr>
              <w:t xml:space="preserve"> and </w:t>
            </w:r>
            <w:proofErr w:type="spellStart"/>
            <w:r w:rsidRPr="0059184B">
              <w:rPr>
                <w:rFonts w:ascii="Times New Roman" w:eastAsia="宋体" w:hAnsi="Times New Roman" w:cs="Times New Roman"/>
                <w:kern w:val="0"/>
                <w:sz w:val="18"/>
                <w:szCs w:val="20"/>
              </w:rPr>
              <w:t>Korte</w:t>
            </w:r>
            <w:proofErr w:type="spellEnd"/>
            <w:r w:rsidRPr="0059184B">
              <w:rPr>
                <w:rFonts w:ascii="Times New Roman" w:eastAsia="宋体" w:hAnsi="Times New Roman" w:cs="Times New Roman"/>
                <w:kern w:val="0"/>
                <w:sz w:val="18"/>
                <w:szCs w:val="20"/>
              </w:rPr>
              <w:t xml:space="preserve"> </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2016</w:t>
            </w:r>
            <w:r w:rsidRPr="0059184B">
              <w:rPr>
                <w:rFonts w:ascii="Times New Roman" w:eastAsia="宋体" w:hAnsi="Times New Roman" w:cs="Times New Roman" w:hint="eastAsia"/>
                <w:kern w:val="0"/>
                <w:sz w:val="18"/>
                <w:szCs w:val="20"/>
              </w:rPr>
              <w:t>)</w:t>
            </w:r>
            <w:r w:rsidRPr="0059184B">
              <w:rPr>
                <w:rFonts w:ascii="Times New Roman" w:eastAsia="宋体" w:hAnsi="Times New Roman" w:cs="Times New Roman"/>
                <w:kern w:val="0"/>
                <w:sz w:val="18"/>
                <w:szCs w:val="20"/>
              </w:rPr>
              <w:t>;</w:t>
            </w:r>
          </w:p>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Sorokina</w:t>
            </w:r>
            <w:proofErr w:type="spellEnd"/>
            <w:r w:rsidRPr="0059184B">
              <w:rPr>
                <w:rFonts w:ascii="Times New Roman" w:eastAsia="宋体" w:hAnsi="Times New Roman" w:cs="Times New Roman"/>
                <w:kern w:val="0"/>
                <w:sz w:val="18"/>
                <w:szCs w:val="20"/>
              </w:rPr>
              <w:t xml:space="preserve"> and Thornton (2016)</w:t>
            </w:r>
          </w:p>
        </w:tc>
      </w:tr>
      <w:tr w:rsidR="003D137B" w:rsidRPr="0059184B" w:rsidTr="003D137B">
        <w:trPr>
          <w:trHeight w:val="20"/>
        </w:trPr>
        <w:tc>
          <w:tcPr>
            <w:tcW w:w="3417" w:type="dxa"/>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14"/>
              </w:rPr>
              <w:t>Size</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Logarithm of total asset </w:t>
            </w:r>
          </w:p>
        </w:tc>
        <w:tc>
          <w:tcPr>
            <w:tcW w:w="4852" w:type="dxa"/>
            <w:gridSpan w:val="2"/>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Mayordomo</w:t>
            </w:r>
            <w:proofErr w:type="spellEnd"/>
            <w:r w:rsidRPr="0059184B">
              <w:rPr>
                <w:rFonts w:ascii="Times New Roman" w:eastAsia="宋体" w:hAnsi="Times New Roman" w:cs="Times New Roman"/>
                <w:kern w:val="0"/>
                <w:sz w:val="18"/>
                <w:szCs w:val="20"/>
              </w:rPr>
              <w:t>, Rodriguez-Moreno and Peña (2014);</w:t>
            </w:r>
          </w:p>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Berger and Roman (2015); 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(2017)</w:t>
            </w:r>
          </w:p>
        </w:tc>
      </w:tr>
      <w:tr w:rsidR="003D137B" w:rsidRPr="0059184B" w:rsidTr="003D137B">
        <w:trPr>
          <w:trHeight w:val="20"/>
        </w:trPr>
        <w:tc>
          <w:tcPr>
            <w:tcW w:w="3417" w:type="dxa"/>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Special capital users dummy</w:t>
            </w:r>
          </w:p>
        </w:tc>
        <w:tc>
          <w:tcPr>
            <w:tcW w:w="5812" w:type="dxa"/>
            <w:tcBorders>
              <w:top w:val="nil"/>
              <w:left w:val="nil"/>
              <w:bottom w:val="nil"/>
              <w:right w:val="nil"/>
            </w:tcBorders>
            <w:shd w:val="clear" w:color="auto" w:fill="auto"/>
          </w:tcPr>
          <w:p w:rsidR="003D137B" w:rsidRPr="0059184B" w:rsidRDefault="003D137B" w:rsidP="003D137B">
            <w:pPr>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Dummy equals to one if a bank disclosed to use the discount window borrowing or any of the four special capital programs namely troubled asset relief program (TARP), term securities lending facility, term auction facility and primary dealer credit facility.</w:t>
            </w:r>
          </w:p>
        </w:tc>
        <w:tc>
          <w:tcPr>
            <w:tcW w:w="4852" w:type="dxa"/>
            <w:gridSpan w:val="2"/>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Dang and </w:t>
            </w:r>
            <w:proofErr w:type="spellStart"/>
            <w:r w:rsidRPr="0059184B">
              <w:rPr>
                <w:rFonts w:ascii="Times New Roman" w:eastAsia="宋体" w:hAnsi="Times New Roman" w:cs="Times New Roman"/>
                <w:kern w:val="0"/>
                <w:sz w:val="18"/>
                <w:szCs w:val="20"/>
              </w:rPr>
              <w:t>Helwege</w:t>
            </w:r>
            <w:proofErr w:type="spellEnd"/>
            <w:r w:rsidRPr="0059184B">
              <w:rPr>
                <w:rFonts w:ascii="Times New Roman" w:eastAsia="宋体" w:hAnsi="Times New Roman" w:cs="Times New Roman"/>
                <w:kern w:val="0"/>
                <w:sz w:val="18"/>
                <w:szCs w:val="20"/>
              </w:rPr>
              <w:t xml:space="preserve"> (2017);</w:t>
            </w:r>
          </w:p>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Berger and Roman (2015);</w:t>
            </w:r>
          </w:p>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Berger, Black, </w:t>
            </w:r>
            <w:proofErr w:type="spellStart"/>
            <w:r w:rsidRPr="0059184B">
              <w:rPr>
                <w:rFonts w:ascii="Times New Roman" w:eastAsia="宋体" w:hAnsi="Times New Roman" w:cs="Times New Roman"/>
                <w:kern w:val="0"/>
                <w:sz w:val="18"/>
                <w:szCs w:val="20"/>
              </w:rPr>
              <w:t>Bouwman</w:t>
            </w:r>
            <w:proofErr w:type="spellEnd"/>
            <w:r w:rsidRPr="0059184B">
              <w:rPr>
                <w:rFonts w:ascii="Times New Roman" w:eastAsia="宋体" w:hAnsi="Times New Roman" w:cs="Times New Roman"/>
                <w:kern w:val="0"/>
                <w:sz w:val="18"/>
                <w:szCs w:val="20"/>
              </w:rPr>
              <w:t xml:space="preserve"> and </w:t>
            </w:r>
            <w:proofErr w:type="spellStart"/>
            <w:r w:rsidRPr="0059184B">
              <w:rPr>
                <w:rFonts w:ascii="Times New Roman" w:eastAsia="宋体" w:hAnsi="Times New Roman" w:cs="Times New Roman"/>
                <w:kern w:val="0"/>
                <w:sz w:val="18"/>
                <w:szCs w:val="20"/>
              </w:rPr>
              <w:t>Dlugosz</w:t>
            </w:r>
            <w:proofErr w:type="spellEnd"/>
            <w:r w:rsidRPr="0059184B">
              <w:rPr>
                <w:rFonts w:ascii="Times New Roman" w:eastAsia="宋体" w:hAnsi="Times New Roman" w:cs="Times New Roman"/>
                <w:kern w:val="0"/>
                <w:sz w:val="18"/>
                <w:szCs w:val="20"/>
              </w:rPr>
              <w:t xml:space="preserve"> (2014)</w:t>
            </w:r>
          </w:p>
        </w:tc>
      </w:tr>
      <w:tr w:rsidR="003D137B" w:rsidRPr="0059184B" w:rsidTr="003D137B">
        <w:trPr>
          <w:trHeight w:val="20"/>
        </w:trPr>
        <w:tc>
          <w:tcPr>
            <w:tcW w:w="3417" w:type="dxa"/>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18"/>
              </w:rPr>
              <w:t>Exposure to housing price change</w:t>
            </w:r>
          </w:p>
        </w:tc>
        <w:tc>
          <w:tcPr>
            <w:tcW w:w="5812" w:type="dxa"/>
            <w:tcBorders>
              <w:top w:val="nil"/>
              <w:left w:val="nil"/>
              <w:bottom w:val="nil"/>
              <w:right w:val="nil"/>
            </w:tcBorders>
            <w:shd w:val="clear" w:color="auto" w:fill="auto"/>
          </w:tcPr>
          <w:p w:rsidR="003D137B" w:rsidRPr="0059184B" w:rsidRDefault="003D137B" w:rsidP="003D137B">
            <w:pPr>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The average weighted housing return derived by using the proportion of deposits a bank has in each state. </w:t>
            </w:r>
          </w:p>
        </w:tc>
        <w:tc>
          <w:tcPr>
            <w:tcW w:w="4852" w:type="dxa"/>
            <w:gridSpan w:val="2"/>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Dang and </w:t>
            </w:r>
            <w:proofErr w:type="spellStart"/>
            <w:r w:rsidRPr="0059184B">
              <w:rPr>
                <w:rFonts w:ascii="Times New Roman" w:eastAsia="宋体" w:hAnsi="Times New Roman" w:cs="Times New Roman"/>
                <w:kern w:val="0"/>
                <w:sz w:val="18"/>
                <w:szCs w:val="20"/>
              </w:rPr>
              <w:t>Helwege</w:t>
            </w:r>
            <w:proofErr w:type="spellEnd"/>
            <w:r w:rsidRPr="0059184B">
              <w:rPr>
                <w:rFonts w:ascii="Times New Roman" w:eastAsia="宋体" w:hAnsi="Times New Roman" w:cs="Times New Roman"/>
                <w:kern w:val="0"/>
                <w:sz w:val="18"/>
                <w:szCs w:val="20"/>
              </w:rPr>
              <w:t xml:space="preserve"> (2017)</w:t>
            </w:r>
          </w:p>
        </w:tc>
      </w:tr>
      <w:tr w:rsidR="003D137B" w:rsidRPr="0059184B" w:rsidTr="003D137B">
        <w:trPr>
          <w:trHeight w:val="20"/>
        </w:trPr>
        <w:tc>
          <w:tcPr>
            <w:tcW w:w="3417" w:type="dxa"/>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18"/>
              </w:rPr>
              <w:t>HHI index</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The average weighted </w:t>
            </w:r>
            <w:proofErr w:type="spellStart"/>
            <w:r w:rsidRPr="0059184B">
              <w:rPr>
                <w:rFonts w:ascii="Times New Roman" w:eastAsia="宋体" w:hAnsi="Times New Roman" w:cs="Times New Roman"/>
                <w:kern w:val="0"/>
                <w:sz w:val="18"/>
                <w:szCs w:val="20"/>
              </w:rPr>
              <w:t>Herfindahl</w:t>
            </w:r>
            <w:proofErr w:type="spellEnd"/>
            <w:r w:rsidRPr="0059184B">
              <w:rPr>
                <w:rFonts w:ascii="Times New Roman" w:eastAsia="宋体" w:hAnsi="Times New Roman" w:cs="Times New Roman"/>
                <w:kern w:val="0"/>
                <w:sz w:val="18"/>
                <w:szCs w:val="20"/>
              </w:rPr>
              <w:t>-Hirschman Index derived by using the proportion of deposits a bank has in each state,</w:t>
            </w:r>
          </w:p>
        </w:tc>
        <w:tc>
          <w:tcPr>
            <w:tcW w:w="4852" w:type="dxa"/>
            <w:gridSpan w:val="2"/>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Berger and Roman (2015)</w:t>
            </w:r>
          </w:p>
        </w:tc>
      </w:tr>
      <w:tr w:rsidR="003D137B" w:rsidRPr="0059184B" w:rsidTr="003D137B">
        <w:trPr>
          <w:trHeight w:val="20"/>
        </w:trPr>
        <w:tc>
          <w:tcPr>
            <w:tcW w:w="3417" w:type="dxa"/>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Book to market ratio</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Book value of total equity as a percent of market capitalization</w:t>
            </w:r>
          </w:p>
        </w:tc>
        <w:tc>
          <w:tcPr>
            <w:tcW w:w="4852" w:type="dxa"/>
            <w:gridSpan w:val="2"/>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Dang and </w:t>
            </w:r>
            <w:proofErr w:type="spellStart"/>
            <w:r w:rsidRPr="0059184B">
              <w:rPr>
                <w:rFonts w:ascii="Times New Roman" w:eastAsia="宋体" w:hAnsi="Times New Roman" w:cs="Times New Roman"/>
                <w:kern w:val="0"/>
                <w:sz w:val="18"/>
                <w:szCs w:val="20"/>
              </w:rPr>
              <w:t>Helwege</w:t>
            </w:r>
            <w:proofErr w:type="spellEnd"/>
            <w:r w:rsidRPr="0059184B">
              <w:rPr>
                <w:rFonts w:ascii="Times New Roman" w:eastAsia="宋体" w:hAnsi="Times New Roman" w:cs="Times New Roman"/>
                <w:kern w:val="0"/>
                <w:sz w:val="18"/>
                <w:szCs w:val="20"/>
              </w:rPr>
              <w:t xml:space="preserve"> (2017); Bhandari and </w:t>
            </w:r>
            <w:proofErr w:type="spellStart"/>
            <w:r w:rsidRPr="0059184B">
              <w:rPr>
                <w:rFonts w:ascii="Times New Roman" w:eastAsia="宋体" w:hAnsi="Times New Roman" w:cs="Times New Roman"/>
                <w:kern w:val="0"/>
                <w:sz w:val="18"/>
                <w:szCs w:val="20"/>
              </w:rPr>
              <w:t>Javakhadze</w:t>
            </w:r>
            <w:proofErr w:type="spellEnd"/>
            <w:r w:rsidRPr="0059184B">
              <w:rPr>
                <w:rFonts w:ascii="Times New Roman" w:eastAsia="宋体" w:hAnsi="Times New Roman" w:cs="Times New Roman"/>
                <w:kern w:val="0"/>
                <w:sz w:val="18"/>
                <w:szCs w:val="20"/>
              </w:rPr>
              <w:t xml:space="preserve"> (2017);</w:t>
            </w:r>
          </w:p>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Weiß</w:t>
            </w:r>
            <w:proofErr w:type="spellEnd"/>
            <w:r w:rsidRPr="0059184B">
              <w:rPr>
                <w:rFonts w:ascii="Times New Roman" w:eastAsia="宋体" w:hAnsi="Times New Roman" w:cs="Times New Roman"/>
                <w:kern w:val="0"/>
                <w:sz w:val="18"/>
                <w:szCs w:val="20"/>
              </w:rPr>
              <w:t xml:space="preserve">, </w:t>
            </w:r>
            <w:proofErr w:type="spellStart"/>
            <w:r w:rsidRPr="0059184B">
              <w:rPr>
                <w:rFonts w:ascii="Times New Roman" w:eastAsia="宋体" w:hAnsi="Times New Roman" w:cs="Times New Roman"/>
                <w:kern w:val="0"/>
                <w:sz w:val="18"/>
                <w:szCs w:val="20"/>
              </w:rPr>
              <w:t>Bostandzic</w:t>
            </w:r>
            <w:proofErr w:type="spellEnd"/>
            <w:r w:rsidRPr="0059184B">
              <w:rPr>
                <w:rFonts w:ascii="Times New Roman" w:eastAsia="宋体" w:hAnsi="Times New Roman" w:cs="Times New Roman"/>
                <w:kern w:val="0"/>
                <w:sz w:val="18"/>
                <w:szCs w:val="20"/>
              </w:rPr>
              <w:t xml:space="preserve"> and Neumann (2014)</w:t>
            </w:r>
          </w:p>
        </w:tc>
      </w:tr>
      <w:tr w:rsidR="003D137B" w:rsidRPr="0059184B" w:rsidTr="003D137B">
        <w:trPr>
          <w:trHeight w:val="20"/>
        </w:trPr>
        <w:tc>
          <w:tcPr>
            <w:tcW w:w="3417" w:type="dxa"/>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Short-term borrowing</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Borrowings with a maturity of one year or less as a percent of asset</w:t>
            </w:r>
          </w:p>
        </w:tc>
        <w:tc>
          <w:tcPr>
            <w:tcW w:w="4852" w:type="dxa"/>
            <w:gridSpan w:val="2"/>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proofErr w:type="spellStart"/>
            <w:r w:rsidRPr="0059184B">
              <w:rPr>
                <w:rFonts w:ascii="Times New Roman" w:eastAsia="宋体" w:hAnsi="Times New Roman" w:cs="Times New Roman"/>
                <w:kern w:val="0"/>
                <w:sz w:val="18"/>
                <w:szCs w:val="20"/>
              </w:rPr>
              <w:t>Mayordomo</w:t>
            </w:r>
            <w:proofErr w:type="spellEnd"/>
            <w:r w:rsidRPr="0059184B">
              <w:rPr>
                <w:rFonts w:ascii="Times New Roman" w:eastAsia="宋体" w:hAnsi="Times New Roman" w:cs="Times New Roman"/>
                <w:kern w:val="0"/>
                <w:sz w:val="18"/>
                <w:szCs w:val="20"/>
              </w:rPr>
              <w:t>, Rodriguez-Moreno and Peña (2014);</w:t>
            </w:r>
          </w:p>
        </w:tc>
      </w:tr>
      <w:tr w:rsidR="003D137B" w:rsidRPr="0059184B" w:rsidTr="003D137B">
        <w:trPr>
          <w:trHeight w:val="20"/>
        </w:trPr>
        <w:tc>
          <w:tcPr>
            <w:tcW w:w="3417" w:type="dxa"/>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Acquisition</w:t>
            </w:r>
          </w:p>
        </w:tc>
        <w:tc>
          <w:tcPr>
            <w:tcW w:w="5812" w:type="dxa"/>
            <w:tcBorders>
              <w:top w:val="nil"/>
              <w:left w:val="nil"/>
              <w:bottom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Dummy equals to one if a bank acquired another bank in that quarter</w:t>
            </w:r>
          </w:p>
        </w:tc>
        <w:tc>
          <w:tcPr>
            <w:tcW w:w="4852" w:type="dxa"/>
            <w:gridSpan w:val="2"/>
            <w:tcBorders>
              <w:top w:val="nil"/>
              <w:left w:val="nil"/>
              <w:bottom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Dang and </w:t>
            </w:r>
            <w:proofErr w:type="spellStart"/>
            <w:r w:rsidRPr="0059184B">
              <w:rPr>
                <w:rFonts w:ascii="Times New Roman" w:eastAsia="宋体" w:hAnsi="Times New Roman" w:cs="Times New Roman"/>
                <w:kern w:val="0"/>
                <w:sz w:val="18"/>
                <w:szCs w:val="20"/>
              </w:rPr>
              <w:t>Helwege</w:t>
            </w:r>
            <w:proofErr w:type="spellEnd"/>
            <w:r w:rsidRPr="0059184B">
              <w:rPr>
                <w:rFonts w:ascii="Times New Roman" w:eastAsia="宋体" w:hAnsi="Times New Roman" w:cs="Times New Roman"/>
                <w:kern w:val="0"/>
                <w:sz w:val="18"/>
                <w:szCs w:val="20"/>
              </w:rPr>
              <w:t xml:space="preserve"> (2017);</w:t>
            </w:r>
          </w:p>
        </w:tc>
      </w:tr>
      <w:tr w:rsidR="003D137B" w:rsidRPr="0059184B" w:rsidTr="003D137B">
        <w:trPr>
          <w:trHeight w:val="20"/>
        </w:trPr>
        <w:tc>
          <w:tcPr>
            <w:tcW w:w="3417" w:type="dxa"/>
            <w:tcBorders>
              <w:top w:val="nil"/>
              <w:left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Liquid</w:t>
            </w:r>
          </w:p>
        </w:tc>
        <w:tc>
          <w:tcPr>
            <w:tcW w:w="5812" w:type="dxa"/>
            <w:tcBorders>
              <w:top w:val="nil"/>
              <w:left w:val="nil"/>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The sum of cash and cash equivalents as a percent of asset</w:t>
            </w:r>
          </w:p>
        </w:tc>
        <w:tc>
          <w:tcPr>
            <w:tcW w:w="4852" w:type="dxa"/>
            <w:gridSpan w:val="2"/>
            <w:tcBorders>
              <w:top w:val="nil"/>
              <w:left w:val="nil"/>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(2017); 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(2014);</w:t>
            </w:r>
          </w:p>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Dang and </w:t>
            </w:r>
            <w:proofErr w:type="spellStart"/>
            <w:r w:rsidRPr="0059184B">
              <w:rPr>
                <w:rFonts w:ascii="Times New Roman" w:eastAsia="宋体" w:hAnsi="Times New Roman" w:cs="Times New Roman"/>
                <w:kern w:val="0"/>
                <w:sz w:val="18"/>
                <w:szCs w:val="20"/>
              </w:rPr>
              <w:t>Helwege</w:t>
            </w:r>
            <w:proofErr w:type="spellEnd"/>
            <w:r w:rsidRPr="0059184B">
              <w:rPr>
                <w:rFonts w:ascii="Times New Roman" w:eastAsia="宋体" w:hAnsi="Times New Roman" w:cs="Times New Roman"/>
                <w:kern w:val="0"/>
                <w:sz w:val="18"/>
                <w:szCs w:val="20"/>
              </w:rPr>
              <w:t xml:space="preserve"> (2017);</w:t>
            </w:r>
          </w:p>
        </w:tc>
      </w:tr>
      <w:tr w:rsidR="003D137B" w:rsidRPr="0059184B" w:rsidTr="003D137B">
        <w:trPr>
          <w:trHeight w:val="20"/>
        </w:trPr>
        <w:tc>
          <w:tcPr>
            <w:tcW w:w="3417" w:type="dxa"/>
            <w:tcBorders>
              <w:top w:val="nil"/>
              <w:left w:val="nil"/>
              <w:bottom w:val="single" w:sz="4" w:space="0" w:color="auto"/>
              <w:right w:val="nil"/>
            </w:tcBorders>
            <w:shd w:val="clear" w:color="auto" w:fill="auto"/>
            <w:noWrap/>
          </w:tcPr>
          <w:p w:rsidR="003D137B" w:rsidRPr="0059184B" w:rsidRDefault="003D137B" w:rsidP="003D137B">
            <w:pPr>
              <w:widowControl/>
              <w:tabs>
                <w:tab w:val="left" w:pos="820"/>
              </w:tabs>
              <w:rPr>
                <w:rFonts w:ascii="Times New Roman" w:eastAsia="宋体" w:hAnsi="Times New Roman" w:cs="Times New Roman"/>
                <w:kern w:val="0"/>
                <w:sz w:val="18"/>
                <w:szCs w:val="18"/>
              </w:rPr>
            </w:pPr>
            <w:r w:rsidRPr="0059184B">
              <w:rPr>
                <w:rFonts w:ascii="Times New Roman" w:eastAsia="宋体" w:hAnsi="Times New Roman" w:cs="Times New Roman"/>
                <w:kern w:val="0"/>
                <w:sz w:val="18"/>
                <w:szCs w:val="18"/>
              </w:rPr>
              <w:t>Beta</w:t>
            </w:r>
            <w:r w:rsidRPr="0059184B">
              <w:rPr>
                <w:rFonts w:ascii="Times New Roman" w:eastAsia="宋体" w:hAnsi="Times New Roman" w:cs="Times New Roman"/>
                <w:kern w:val="0"/>
                <w:sz w:val="18"/>
                <w:szCs w:val="18"/>
              </w:rPr>
              <w:tab/>
            </w:r>
          </w:p>
        </w:tc>
        <w:tc>
          <w:tcPr>
            <w:tcW w:w="5812" w:type="dxa"/>
            <w:tcBorders>
              <w:top w:val="nil"/>
              <w:left w:val="nil"/>
              <w:bottom w:val="single" w:sz="4" w:space="0" w:color="auto"/>
              <w:right w:val="nil"/>
            </w:tcBorders>
            <w:shd w:val="clear" w:color="auto" w:fill="auto"/>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Sensitivity of stock daily return to the return of the S&amp;P 500 Index based on one-year time window</w:t>
            </w:r>
          </w:p>
        </w:tc>
        <w:tc>
          <w:tcPr>
            <w:tcW w:w="4852" w:type="dxa"/>
            <w:gridSpan w:val="2"/>
            <w:tcBorders>
              <w:top w:val="nil"/>
              <w:left w:val="nil"/>
              <w:bottom w:val="single" w:sz="4" w:space="0" w:color="auto"/>
              <w:right w:val="nil"/>
            </w:tcBorders>
            <w:shd w:val="clear" w:color="auto" w:fill="auto"/>
            <w:noWrap/>
          </w:tcPr>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Li and </w:t>
            </w:r>
            <w:proofErr w:type="spellStart"/>
            <w:r w:rsidRPr="0059184B">
              <w:rPr>
                <w:rFonts w:ascii="Times New Roman" w:eastAsia="宋体" w:hAnsi="Times New Roman" w:cs="Times New Roman"/>
                <w:kern w:val="0"/>
                <w:sz w:val="18"/>
                <w:szCs w:val="20"/>
              </w:rPr>
              <w:t>Marinč</w:t>
            </w:r>
            <w:proofErr w:type="spellEnd"/>
            <w:r w:rsidRPr="0059184B">
              <w:rPr>
                <w:rFonts w:ascii="Times New Roman" w:eastAsia="宋体" w:hAnsi="Times New Roman" w:cs="Times New Roman"/>
                <w:kern w:val="0"/>
                <w:sz w:val="18"/>
                <w:szCs w:val="20"/>
              </w:rPr>
              <w:t xml:space="preserve"> (2017); Dang and </w:t>
            </w:r>
            <w:proofErr w:type="spellStart"/>
            <w:r w:rsidRPr="0059184B">
              <w:rPr>
                <w:rFonts w:ascii="Times New Roman" w:eastAsia="宋体" w:hAnsi="Times New Roman" w:cs="Times New Roman"/>
                <w:kern w:val="0"/>
                <w:sz w:val="18"/>
                <w:szCs w:val="20"/>
              </w:rPr>
              <w:t>Helwege</w:t>
            </w:r>
            <w:proofErr w:type="spellEnd"/>
            <w:r w:rsidRPr="0059184B">
              <w:rPr>
                <w:rFonts w:ascii="Times New Roman" w:eastAsia="宋体" w:hAnsi="Times New Roman" w:cs="Times New Roman"/>
                <w:kern w:val="0"/>
                <w:sz w:val="18"/>
                <w:szCs w:val="20"/>
              </w:rPr>
              <w:t xml:space="preserve"> (2017);</w:t>
            </w:r>
          </w:p>
          <w:p w:rsidR="003D137B" w:rsidRPr="0059184B" w:rsidRDefault="003D137B" w:rsidP="003D137B">
            <w:pPr>
              <w:widowControl/>
              <w:rPr>
                <w:rFonts w:ascii="Times New Roman" w:eastAsia="宋体" w:hAnsi="Times New Roman" w:cs="Times New Roman"/>
                <w:kern w:val="0"/>
                <w:sz w:val="18"/>
                <w:szCs w:val="20"/>
              </w:rPr>
            </w:pPr>
            <w:r w:rsidRPr="0059184B">
              <w:rPr>
                <w:rFonts w:ascii="Times New Roman" w:eastAsia="宋体" w:hAnsi="Times New Roman" w:cs="Times New Roman"/>
                <w:kern w:val="0"/>
                <w:sz w:val="18"/>
                <w:szCs w:val="20"/>
              </w:rPr>
              <w:t xml:space="preserve">Trapp and </w:t>
            </w:r>
            <w:hyperlink r:id="rId34" w:anchor="!" w:history="1">
              <w:r w:rsidRPr="0059184B">
                <w:rPr>
                  <w:rFonts w:ascii="Times New Roman" w:eastAsia="宋体" w:hAnsi="Times New Roman" w:cs="Times New Roman"/>
                  <w:kern w:val="0"/>
                  <w:sz w:val="18"/>
                  <w:szCs w:val="20"/>
                </w:rPr>
                <w:t>Weiß</w:t>
              </w:r>
            </w:hyperlink>
            <w:r w:rsidRPr="0059184B">
              <w:rPr>
                <w:rFonts w:ascii="Times New Roman" w:eastAsia="宋体" w:hAnsi="Times New Roman" w:cs="Times New Roman"/>
                <w:kern w:val="0"/>
                <w:sz w:val="18"/>
                <w:szCs w:val="20"/>
              </w:rPr>
              <w:t xml:space="preserve"> (2016);</w:t>
            </w:r>
          </w:p>
        </w:tc>
      </w:tr>
    </w:tbl>
    <w:p w:rsidR="003D137B" w:rsidRPr="0059184B" w:rsidRDefault="003D137B" w:rsidP="005028B0">
      <w:pPr>
        <w:widowControl/>
        <w:rPr>
          <w:noProof/>
        </w:rPr>
      </w:pPr>
    </w:p>
    <w:p w:rsidR="003D137B" w:rsidRPr="0059184B" w:rsidRDefault="003D137B" w:rsidP="005028B0">
      <w:pPr>
        <w:widowControl/>
        <w:rPr>
          <w:noProof/>
        </w:rPr>
      </w:pPr>
    </w:p>
    <w:p w:rsidR="003D137B" w:rsidRPr="0059184B" w:rsidRDefault="003D137B">
      <w:pPr>
        <w:widowControl/>
        <w:jc w:val="left"/>
        <w:rPr>
          <w:noProof/>
        </w:rPr>
      </w:pPr>
      <w:r w:rsidRPr="0059184B">
        <w:rPr>
          <w:noProof/>
        </w:rPr>
        <w:br w:type="page"/>
      </w:r>
      <w:bookmarkStart w:id="8" w:name="_GoBack"/>
      <w:bookmarkEnd w:id="8"/>
    </w:p>
    <w:p w:rsidR="001F0D1B" w:rsidRPr="0059184B" w:rsidRDefault="004946AB" w:rsidP="001F0D1B">
      <w:pPr>
        <w:rPr>
          <w:noProof/>
        </w:rPr>
      </w:pPr>
      <w:r w:rsidRPr="0059184B">
        <w:rPr>
          <w:noProof/>
        </w:rPr>
        <w:lastRenderedPageBreak/>
        <mc:AlternateContent>
          <mc:Choice Requires="wps">
            <w:drawing>
              <wp:anchor distT="0" distB="0" distL="114300" distR="114300" simplePos="0" relativeHeight="251659264" behindDoc="0" locked="0" layoutInCell="1" allowOverlap="1" wp14:anchorId="352CB95E" wp14:editId="0FD01BC6">
                <wp:simplePos x="0" y="0"/>
                <wp:positionH relativeFrom="column">
                  <wp:posOffset>2319670</wp:posOffset>
                </wp:positionH>
                <wp:positionV relativeFrom="paragraph">
                  <wp:posOffset>-569315</wp:posOffset>
                </wp:positionV>
                <wp:extent cx="2374265"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07BC6" w:rsidRPr="004946AB" w:rsidRDefault="00907BC6" w:rsidP="004946AB">
                            <w:pPr>
                              <w:jc w:val="center"/>
                              <w:rPr>
                                <w:rFonts w:ascii="Times New Roman" w:hAnsi="Times New Roman" w:cs="Times New Roman"/>
                                <w:b/>
                              </w:rPr>
                            </w:pPr>
                            <w:r w:rsidRPr="004946AB">
                              <w:rPr>
                                <w:rFonts w:ascii="Times New Roman" w:hAnsi="Times New Roman" w:cs="Times New Roman"/>
                                <w:b/>
                              </w:rPr>
                              <w:t>Figure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82.65pt;margin-top:-44.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" filled="f" stroked="f">
                <v:textbox style="mso-fit-shape-to-text:t">
                  <w:txbxContent>
                    <w:p w:rsidR="00907BC6" w:rsidRPr="004946AB" w:rsidRDefault="00907BC6" w:rsidP="004946AB">
                      <w:pPr>
                        <w:jc w:val="center"/>
                        <w:rPr>
                          <w:rFonts w:ascii="Times New Roman" w:hAnsi="Times New Roman" w:cs="Times New Roman"/>
                          <w:b/>
                        </w:rPr>
                      </w:pPr>
                      <w:r w:rsidRPr="004946AB">
                        <w:rPr>
                          <w:rFonts w:ascii="Times New Roman" w:hAnsi="Times New Roman" w:cs="Times New Roman"/>
                          <w:b/>
                        </w:rPr>
                        <w:t>Figure 1</w:t>
                      </w:r>
                    </w:p>
                  </w:txbxContent>
                </v:textbox>
              </v:shape>
            </w:pict>
          </mc:Fallback>
        </mc:AlternateContent>
      </w:r>
      <w:r w:rsidR="001F0D1B" w:rsidRPr="0059184B">
        <w:rPr>
          <w:noProof/>
        </w:rPr>
        <w:drawing>
          <wp:inline distT="0" distB="0" distL="0" distR="0" wp14:anchorId="797E7FF7" wp14:editId="0500139B">
            <wp:extent cx="2870791" cy="2530549"/>
            <wp:effectExtent l="0" t="0" r="6350" b="31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1F0D1B" w:rsidRPr="0059184B">
        <w:rPr>
          <w:noProof/>
        </w:rPr>
        <w:t xml:space="preserve"> </w:t>
      </w:r>
      <w:r w:rsidR="001F0D1B" w:rsidRPr="0059184B">
        <w:rPr>
          <w:noProof/>
        </w:rPr>
        <w:drawing>
          <wp:inline distT="0" distB="0" distL="0" distR="0" wp14:anchorId="73F34BD8" wp14:editId="57B183E5">
            <wp:extent cx="2817628" cy="2530549"/>
            <wp:effectExtent l="0" t="0" r="1905" b="317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1F0D1B" w:rsidRPr="0059184B">
        <w:rPr>
          <w:noProof/>
        </w:rPr>
        <w:t xml:space="preserve"> </w:t>
      </w:r>
      <w:r w:rsidR="001F0D1B" w:rsidRPr="0059184B">
        <w:rPr>
          <w:noProof/>
        </w:rPr>
        <w:drawing>
          <wp:inline distT="0" distB="0" distL="0" distR="0" wp14:anchorId="54525419" wp14:editId="75712563">
            <wp:extent cx="2860158" cy="2530549"/>
            <wp:effectExtent l="0" t="0" r="0" b="317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946AB" w:rsidRPr="0059184B" w:rsidRDefault="001F0D1B" w:rsidP="001F0D1B">
      <w:pPr>
        <w:rPr>
          <w:noProof/>
        </w:rPr>
        <w:sectPr w:rsidR="004946AB" w:rsidRPr="0059184B" w:rsidSect="00B80213">
          <w:pgSz w:w="16838" w:h="11906" w:orient="landscape"/>
          <w:pgMar w:top="1800" w:right="1440" w:bottom="1800" w:left="1440" w:header="851" w:footer="992" w:gutter="0"/>
          <w:cols w:space="425"/>
          <w:docGrid w:type="lines" w:linePitch="312"/>
        </w:sectPr>
      </w:pPr>
      <w:r w:rsidRPr="0059184B">
        <w:rPr>
          <w:noProof/>
        </w:rPr>
        <w:drawing>
          <wp:inline distT="0" distB="0" distL="0" distR="0" wp14:anchorId="5B3172FE" wp14:editId="131559F6">
            <wp:extent cx="2870791" cy="2498651"/>
            <wp:effectExtent l="0" t="0" r="635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59184B">
        <w:rPr>
          <w:noProof/>
        </w:rPr>
        <w:t xml:space="preserve"> </w:t>
      </w:r>
      <w:r w:rsidRPr="0059184B">
        <w:rPr>
          <w:noProof/>
        </w:rPr>
        <w:drawing>
          <wp:inline distT="0" distB="0" distL="0" distR="0" wp14:anchorId="1075F7FC" wp14:editId="18B74428">
            <wp:extent cx="2711302" cy="2498651"/>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59184B">
        <w:rPr>
          <w:noProof/>
        </w:rPr>
        <w:t xml:space="preserve"> </w:t>
      </w:r>
      <w:r w:rsidRPr="0059184B">
        <w:rPr>
          <w:noProof/>
        </w:rPr>
        <w:drawing>
          <wp:inline distT="0" distB="0" distL="0" distR="0" wp14:anchorId="11EBB6CA" wp14:editId="1AD026E5">
            <wp:extent cx="2860158" cy="2498651"/>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E71F0" w:rsidRPr="0059184B" w:rsidRDefault="000E71F0" w:rsidP="008F593B"/>
    <w:sectPr w:rsidR="000E71F0" w:rsidRPr="0059184B" w:rsidSect="00067D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5D" w:rsidRDefault="0037315D" w:rsidP="00313043">
      <w:r>
        <w:separator/>
      </w:r>
    </w:p>
  </w:endnote>
  <w:endnote w:type="continuationSeparator" w:id="0">
    <w:p w:rsidR="0037315D" w:rsidRDefault="0037315D" w:rsidP="0031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dvGulliv-R">
    <w:altName w:val="微软雅黑"/>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舒体">
    <w:panose1 w:val="02010601030101010101"/>
    <w:charset w:val="86"/>
    <w:family w:val="auto"/>
    <w:pitch w:val="variable"/>
    <w:sig w:usb0="00000003"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85335"/>
      <w:docPartObj>
        <w:docPartGallery w:val="Page Numbers (Bottom of Page)"/>
        <w:docPartUnique/>
      </w:docPartObj>
    </w:sdtPr>
    <w:sdtEndPr>
      <w:rPr>
        <w:noProof/>
      </w:rPr>
    </w:sdtEndPr>
    <w:sdtContent>
      <w:p w:rsidR="00907BC6" w:rsidRDefault="00907BC6">
        <w:pPr>
          <w:pStyle w:val="a9"/>
          <w:jc w:val="right"/>
        </w:pPr>
        <w:r>
          <w:fldChar w:fldCharType="begin"/>
        </w:r>
        <w:r>
          <w:instrText xml:space="preserve"> PAGE   \* MERGEFORMAT </w:instrText>
        </w:r>
        <w:r>
          <w:fldChar w:fldCharType="separate"/>
        </w:r>
        <w:r w:rsidR="0059184B">
          <w:rPr>
            <w:noProof/>
          </w:rPr>
          <w:t>1</w:t>
        </w:r>
        <w:r>
          <w:rPr>
            <w:noProof/>
          </w:rPr>
          <w:fldChar w:fldCharType="end"/>
        </w:r>
      </w:p>
    </w:sdtContent>
  </w:sdt>
  <w:p w:rsidR="00907BC6" w:rsidRDefault="00907B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5D" w:rsidRDefault="0037315D" w:rsidP="00313043">
      <w:r>
        <w:separator/>
      </w:r>
    </w:p>
  </w:footnote>
  <w:footnote w:type="continuationSeparator" w:id="0">
    <w:p w:rsidR="0037315D" w:rsidRDefault="0037315D" w:rsidP="00313043">
      <w:r>
        <w:continuationSeparator/>
      </w:r>
    </w:p>
  </w:footnote>
  <w:footnote w:id="1">
    <w:p w:rsidR="00907BC6" w:rsidRPr="006775E0" w:rsidRDefault="00907BC6" w:rsidP="00224CCE">
      <w:pPr>
        <w:autoSpaceDE w:val="0"/>
        <w:autoSpaceDN w:val="0"/>
        <w:adjustRightInd w:val="0"/>
        <w:jc w:val="left"/>
        <w:rPr>
          <w:rFonts w:ascii="Times New Roman" w:hAnsi="Times New Roman" w:cs="Times New Roman"/>
          <w:sz w:val="20"/>
          <w:szCs w:val="20"/>
        </w:rPr>
      </w:pPr>
      <w:r w:rsidRPr="002917D5">
        <w:rPr>
          <w:rStyle w:val="a5"/>
          <w:rFonts w:ascii="Times New Roman" w:hAnsi="Times New Roman" w:cs="Times New Roman"/>
          <w:sz w:val="20"/>
          <w:szCs w:val="20"/>
        </w:rPr>
        <w:footnoteRef/>
      </w:r>
      <w:r w:rsidRPr="002917D5">
        <w:rPr>
          <w:rFonts w:ascii="Times New Roman" w:hAnsi="Times New Roman" w:cs="Times New Roman"/>
          <w:sz w:val="20"/>
          <w:szCs w:val="20"/>
        </w:rPr>
        <w:t xml:space="preserve"> Data </w:t>
      </w:r>
      <w:r>
        <w:rPr>
          <w:rFonts w:ascii="Times New Roman" w:hAnsi="Times New Roman" w:cs="Times New Roman"/>
          <w:sz w:val="20"/>
          <w:szCs w:val="20"/>
        </w:rPr>
        <w:t xml:space="preserve">retrieved </w:t>
      </w:r>
      <w:r w:rsidRPr="002917D5">
        <w:rPr>
          <w:rFonts w:ascii="Times New Roman" w:hAnsi="Times New Roman" w:cs="Times New Roman"/>
          <w:sz w:val="20"/>
          <w:szCs w:val="20"/>
        </w:rPr>
        <w:t>from Federal Reserve Bank of Chicago</w:t>
      </w:r>
      <w:r>
        <w:rPr>
          <w:rFonts w:ascii="Times New Roman" w:hAnsi="Times New Roman" w:cs="Times New Roman"/>
          <w:sz w:val="20"/>
          <w:szCs w:val="20"/>
        </w:rPr>
        <w:t xml:space="preserve">, </w:t>
      </w:r>
      <w:r w:rsidRPr="006775E0">
        <w:rPr>
          <w:rFonts w:ascii="Times New Roman" w:hAnsi="Times New Roman" w:cs="Times New Roman"/>
          <w:kern w:val="0"/>
          <w:sz w:val="20"/>
          <w:szCs w:val="20"/>
        </w:rPr>
        <w:t>https://www.chicagofed.org/applications/bhc_data/bhcdata_index.cfm</w:t>
      </w:r>
    </w:p>
  </w:footnote>
  <w:footnote w:id="2">
    <w:p w:rsidR="00907BC6" w:rsidRPr="003D182B" w:rsidRDefault="00907BC6" w:rsidP="00313043">
      <w:pPr>
        <w:pStyle w:val="a4"/>
        <w:rPr>
          <w:rFonts w:ascii="Times New Roman" w:hAnsi="Times New Roman" w:cs="Times New Roman"/>
          <w:sz w:val="21"/>
          <w:szCs w:val="21"/>
        </w:rPr>
      </w:pPr>
      <w:r w:rsidRPr="003D182B">
        <w:rPr>
          <w:rStyle w:val="a5"/>
          <w:rFonts w:ascii="Times New Roman" w:hAnsi="Times New Roman" w:cs="Times New Roman"/>
          <w:sz w:val="21"/>
          <w:szCs w:val="21"/>
        </w:rPr>
        <w:footnoteRef/>
      </w:r>
      <w:r w:rsidRPr="003D182B">
        <w:rPr>
          <w:rFonts w:ascii="Times New Roman" w:hAnsi="Times New Roman" w:cs="Times New Roman"/>
          <w:sz w:val="21"/>
          <w:szCs w:val="21"/>
        </w:rPr>
        <w:t xml:space="preserve"> The five classes of derivatives are </w:t>
      </w:r>
      <w:r w:rsidRPr="003D182B">
        <w:rPr>
          <w:rFonts w:ascii="Times New Roman" w:eastAsia="AdvGulliv-R" w:hAnsi="Times New Roman" w:cs="Times New Roman"/>
          <w:kern w:val="0"/>
          <w:sz w:val="21"/>
          <w:szCs w:val="21"/>
        </w:rPr>
        <w:t>interest rate derivatives, foreign exchange derivatives, credit derivatives, equity derivatives and commodity derivatives.</w:t>
      </w:r>
      <w:r>
        <w:rPr>
          <w:rFonts w:ascii="Times New Roman" w:eastAsia="AdvGulliv-R" w:hAnsi="Times New Roman" w:cs="Times New Roman"/>
          <w:kern w:val="0"/>
          <w:sz w:val="21"/>
          <w:szCs w:val="21"/>
        </w:rPr>
        <w:t xml:space="preserve"> </w:t>
      </w:r>
    </w:p>
  </w:footnote>
  <w:footnote w:id="3">
    <w:p w:rsidR="00907BC6" w:rsidRPr="006337BD" w:rsidRDefault="00907BC6" w:rsidP="00712A9B">
      <w:pPr>
        <w:pStyle w:val="a4"/>
        <w:rPr>
          <w:sz w:val="20"/>
          <w:szCs w:val="20"/>
          <w:lang w:val="en-NZ"/>
        </w:rPr>
      </w:pPr>
      <w:r>
        <w:rPr>
          <w:rStyle w:val="a5"/>
        </w:rPr>
        <w:footnoteRef/>
      </w:r>
      <w:r>
        <w:t xml:space="preserve"> </w:t>
      </w:r>
      <w:r>
        <w:rPr>
          <w:rFonts w:ascii="Times New Roman" w:hAnsi="Times New Roman" w:cs="Times New Roman"/>
          <w:sz w:val="20"/>
          <w:szCs w:val="20"/>
        </w:rPr>
        <w:t xml:space="preserve">Other </w:t>
      </w:r>
      <w:r w:rsidRPr="006337BD">
        <w:rPr>
          <w:rFonts w:ascii="Times New Roman" w:hAnsi="Times New Roman" w:cs="Times New Roman"/>
          <w:sz w:val="20"/>
          <w:szCs w:val="20"/>
        </w:rPr>
        <w:t xml:space="preserve">studies have also examined the effects of the DFA on </w:t>
      </w:r>
      <w:r w:rsidRPr="006337BD">
        <w:rPr>
          <w:rFonts w:ascii="Times New Roman" w:hAnsi="Times New Roman" w:cs="Times New Roman"/>
          <w:bCs/>
          <w:color w:val="000000" w:themeColor="text1"/>
          <w:sz w:val="20"/>
          <w:szCs w:val="20"/>
        </w:rPr>
        <w:t>market principle</w:t>
      </w:r>
      <w:r w:rsidRPr="006337BD">
        <w:rPr>
          <w:rFonts w:ascii="Times New Roman" w:hAnsi="Times New Roman" w:cs="Times New Roman"/>
          <w:sz w:val="20"/>
          <w:szCs w:val="20"/>
        </w:rPr>
        <w:t xml:space="preserve"> (</w:t>
      </w:r>
      <w:proofErr w:type="spellStart"/>
      <w:r w:rsidRPr="006337BD">
        <w:rPr>
          <w:rFonts w:ascii="Times New Roman" w:hAnsi="Times New Roman" w:cs="Times New Roman"/>
          <w:sz w:val="20"/>
          <w:szCs w:val="20"/>
        </w:rPr>
        <w:t>Balasubramnian</w:t>
      </w:r>
      <w:proofErr w:type="spellEnd"/>
      <w:r w:rsidRPr="006337BD">
        <w:rPr>
          <w:rFonts w:ascii="Times New Roman" w:hAnsi="Times New Roman" w:cs="Times New Roman"/>
          <w:sz w:val="20"/>
          <w:szCs w:val="20"/>
        </w:rPr>
        <w:t xml:space="preserve"> and </w:t>
      </w:r>
      <w:proofErr w:type="spellStart"/>
      <w:r w:rsidRPr="006337BD">
        <w:rPr>
          <w:rFonts w:ascii="Times New Roman" w:hAnsi="Times New Roman" w:cs="Times New Roman"/>
          <w:sz w:val="20"/>
          <w:szCs w:val="20"/>
        </w:rPr>
        <w:t>Cyree</w:t>
      </w:r>
      <w:proofErr w:type="spellEnd"/>
      <w:r w:rsidRPr="006337BD">
        <w:rPr>
          <w:rFonts w:ascii="Times New Roman" w:hAnsi="Times New Roman" w:cs="Times New Roman"/>
          <w:sz w:val="20"/>
          <w:szCs w:val="20"/>
        </w:rPr>
        <w:t>, 2014)</w:t>
      </w:r>
      <w:r w:rsidRPr="006337BD">
        <w:rPr>
          <w:rFonts w:ascii="Times New Roman" w:hAnsi="Times New Roman" w:cs="Times New Roman"/>
          <w:bCs/>
          <w:color w:val="000000" w:themeColor="text1"/>
          <w:sz w:val="20"/>
          <w:szCs w:val="20"/>
        </w:rPr>
        <w:t xml:space="preserve"> and credit rating</w:t>
      </w:r>
      <w:r w:rsidRPr="006337BD">
        <w:rPr>
          <w:rFonts w:ascii="Times New Roman" w:eastAsia="Arial Unicode MS" w:hAnsi="Times New Roman" w:cs="Times New Roman"/>
          <w:sz w:val="20"/>
          <w:szCs w:val="20"/>
          <w:shd w:val="clear" w:color="auto" w:fill="FFFFFF"/>
        </w:rPr>
        <w:t xml:space="preserve"> (</w:t>
      </w:r>
      <w:proofErr w:type="spellStart"/>
      <w:r w:rsidRPr="006337BD">
        <w:rPr>
          <w:rFonts w:ascii="Times New Roman" w:eastAsia="Arial Unicode MS" w:hAnsi="Times New Roman" w:cs="Times New Roman"/>
          <w:sz w:val="20"/>
          <w:szCs w:val="20"/>
          <w:shd w:val="clear" w:color="auto" w:fill="FFFFFF"/>
        </w:rPr>
        <w:t>Dimitrov</w:t>
      </w:r>
      <w:proofErr w:type="spellEnd"/>
      <w:r w:rsidRPr="006337BD">
        <w:rPr>
          <w:rFonts w:ascii="Times New Roman" w:eastAsia="Arial Unicode MS" w:hAnsi="Times New Roman" w:cs="Times New Roman"/>
          <w:sz w:val="20"/>
          <w:szCs w:val="20"/>
          <w:shd w:val="clear" w:color="auto" w:fill="FFFFFF"/>
        </w:rPr>
        <w:t xml:space="preserve">, </w:t>
      </w:r>
      <w:proofErr w:type="spellStart"/>
      <w:r w:rsidRPr="006337BD">
        <w:rPr>
          <w:rFonts w:ascii="Times New Roman" w:eastAsia="Arial Unicode MS" w:hAnsi="Times New Roman" w:cs="Times New Roman"/>
          <w:sz w:val="20"/>
          <w:szCs w:val="20"/>
          <w:shd w:val="clear" w:color="auto" w:fill="FFFFFF"/>
        </w:rPr>
        <w:t>Palia</w:t>
      </w:r>
      <w:proofErr w:type="spellEnd"/>
      <w:r w:rsidRPr="006337BD">
        <w:rPr>
          <w:rFonts w:ascii="Times New Roman" w:eastAsia="Arial Unicode MS" w:hAnsi="Times New Roman" w:cs="Times New Roman"/>
          <w:sz w:val="20"/>
          <w:szCs w:val="20"/>
          <w:shd w:val="clear" w:color="auto" w:fill="FFFFFF"/>
        </w:rPr>
        <w:t xml:space="preserve"> and Tang, 2014</w:t>
      </w:r>
      <w:r w:rsidRPr="006337BD">
        <w:rPr>
          <w:rFonts w:ascii="Times New Roman" w:eastAsia="Arial Unicode MS" w:hAnsi="Times New Roman" w:cs="Times New Roman" w:hint="eastAsia"/>
          <w:sz w:val="20"/>
          <w:szCs w:val="20"/>
          <w:shd w:val="clear" w:color="auto" w:fill="FFFFFF"/>
        </w:rPr>
        <w:t>)</w:t>
      </w:r>
    </w:p>
    <w:p w:rsidR="00907BC6" w:rsidRPr="0087140C" w:rsidRDefault="00907BC6">
      <w:pPr>
        <w:pStyle w:val="a4"/>
        <w:rPr>
          <w:lang w:val="en-NZ"/>
        </w:rPr>
      </w:pPr>
    </w:p>
  </w:footnote>
  <w:footnote w:id="4">
    <w:p w:rsidR="00907BC6" w:rsidRPr="00C36B30" w:rsidRDefault="00907BC6" w:rsidP="00EA1F38">
      <w:pPr>
        <w:rPr>
          <w:rFonts w:ascii="Times New Roman" w:hAnsi="Times New Roman" w:cs="Times New Roman"/>
          <w:sz w:val="24"/>
          <w:szCs w:val="24"/>
        </w:rPr>
      </w:pPr>
      <w:r>
        <w:rPr>
          <w:rStyle w:val="a5"/>
        </w:rPr>
        <w:footnoteRef/>
      </w:r>
      <w:r>
        <w:t xml:space="preserve"> </w:t>
      </w:r>
      <w:r w:rsidRPr="00356838">
        <w:rPr>
          <w:rFonts w:ascii="Times New Roman" w:hAnsi="Times New Roman" w:cs="Times New Roman"/>
          <w:sz w:val="18"/>
          <w:szCs w:val="18"/>
        </w:rPr>
        <w:t xml:space="preserve">The list of variables describing the current market situation includes: VIX, the index of implied volatility of the stock market tracked by the Chicago Board Options Exchanges; Liquidity Spread, which captures the difference between the three-month repo rate, and the three-month bill rate; Changes in Three-Month Treasury Bill Rate; Changes in the Slope of the Yield Curve, measured by the yield spread between the ten-year treasury rate and the three-month bill rate; Changes in the Credit Spread, measured by the credit spread between ten-year BAA-rated bonds and the ten-year treasury rate; Return of the S&amp;P 500 Index and Real Estate Sector Return in Excess of the Market Return. </w:t>
      </w:r>
    </w:p>
    <w:p w:rsidR="00907BC6" w:rsidRDefault="00907BC6" w:rsidP="00EA1F38">
      <w:pPr>
        <w:pStyle w:val="a4"/>
      </w:pPr>
    </w:p>
  </w:footnote>
  <w:footnote w:id="5">
    <w:p w:rsidR="00907BC6" w:rsidRDefault="00907BC6">
      <w:pPr>
        <w:pStyle w:val="a4"/>
      </w:pPr>
      <w:r>
        <w:rPr>
          <w:rStyle w:val="a5"/>
        </w:rPr>
        <w:footnoteRef/>
      </w:r>
      <w:r>
        <w:t xml:space="preserve"> There were more than 18 banks that underwent stress test. We get the sample of 18 banks due to data unavailability for some stress tested banks.</w:t>
      </w:r>
    </w:p>
  </w:footnote>
  <w:footnote w:id="6">
    <w:p w:rsidR="00907BC6" w:rsidRDefault="00907BC6">
      <w:pPr>
        <w:pStyle w:val="a4"/>
      </w:pPr>
      <w:r>
        <w:rPr>
          <w:rStyle w:val="a5"/>
        </w:rPr>
        <w:footnoteRef/>
      </w:r>
      <w:r>
        <w:t xml:space="preserve"> </w:t>
      </w:r>
      <w:r w:rsidRPr="00E355E3">
        <w:t>Contracts held for trading purposes include those used in dealing and other trading activities accounted for at market value (or at lower of cost or market value) with gains and losses recognized in earnings.</w:t>
      </w:r>
    </w:p>
  </w:footnote>
  <w:footnote w:id="7">
    <w:p w:rsidR="00907BC6" w:rsidRDefault="00907BC6" w:rsidP="00A11304">
      <w:pPr>
        <w:pStyle w:val="a4"/>
        <w:jc w:val="both"/>
      </w:pPr>
      <w:r>
        <w:rPr>
          <w:rStyle w:val="a5"/>
        </w:rPr>
        <w:footnoteRef/>
      </w:r>
      <w:r>
        <w:t xml:space="preserve"> Interest rate derivatives traded OTC includes interest rate forwards, swaps and the net long positions in OTC interest rate options while interest rate derivatives traded on exchange includes interest rate futures and net long positions in exchange interest rate options. According to SNL database, credit derivatives reported are all traded in OTC market. </w:t>
      </w:r>
    </w:p>
  </w:footnote>
  <w:footnote w:id="8">
    <w:p w:rsidR="00907BC6" w:rsidRDefault="00907BC6" w:rsidP="006129F4">
      <w:pPr>
        <w:pStyle w:val="a4"/>
      </w:pPr>
      <w:r>
        <w:rPr>
          <w:rStyle w:val="a5"/>
        </w:rPr>
        <w:footnoteRef/>
      </w:r>
      <w:r>
        <w:t xml:space="preserve"> Accordingly, interconnectedness measures the content to which a bank is connected with other institutions in such a way that its stress could easily be transmitted to other institutions. </w:t>
      </w:r>
    </w:p>
  </w:footnote>
  <w:footnote w:id="9">
    <w:p w:rsidR="00907BC6" w:rsidRPr="00E671A5" w:rsidRDefault="00907BC6" w:rsidP="006129F4">
      <w:pPr>
        <w:pStyle w:val="a4"/>
        <w:rPr>
          <w:rFonts w:ascii="Times New Roman" w:hAnsi="Times New Roman" w:cs="Times New Roman"/>
          <w:sz w:val="22"/>
          <w:szCs w:val="22"/>
          <w:lang w:val="en-NZ"/>
        </w:rPr>
      </w:pPr>
      <w:r>
        <w:rPr>
          <w:rStyle w:val="a5"/>
        </w:rPr>
        <w:footnoteRef/>
      </w:r>
      <w:r>
        <w:t xml:space="preserve"> </w:t>
      </w:r>
      <w:r w:rsidRPr="00722A4B">
        <w:rPr>
          <w:rFonts w:ascii="Times New Roman" w:hAnsi="Times New Roman" w:cs="Times New Roman"/>
          <w:lang w:val="en-NZ"/>
        </w:rPr>
        <w:t xml:space="preserve">In a robustness analysis, we employ </w:t>
      </w:r>
      <w:r w:rsidRPr="00722A4B">
        <w:rPr>
          <w:rFonts w:ascii="Times New Roman" w:eastAsia="AdvGulliv-R" w:hAnsi="Times New Roman" w:cs="Times New Roman"/>
          <w:i/>
        </w:rPr>
        <w:t>Non-performing loans</w:t>
      </w:r>
      <w:r w:rsidRPr="00722A4B">
        <w:rPr>
          <w:rFonts w:ascii="Times New Roman" w:eastAsia="AdvGulliv-R" w:hAnsi="Times New Roman" w:cs="Times New Roman"/>
        </w:rPr>
        <w:t xml:space="preserve"> and </w:t>
      </w:r>
      <w:r w:rsidRPr="00722A4B">
        <w:rPr>
          <w:rFonts w:ascii="Times New Roman" w:eastAsia="AdvGulliv-R" w:hAnsi="Times New Roman" w:cs="Times New Roman"/>
          <w:i/>
        </w:rPr>
        <w:t>Leverage ratio</w:t>
      </w:r>
      <w:r w:rsidRPr="00722A4B">
        <w:rPr>
          <w:rFonts w:ascii="Times New Roman" w:eastAsia="AdvGulliv-R" w:hAnsi="Times New Roman" w:cs="Times New Roman"/>
        </w:rPr>
        <w:t xml:space="preserve"> as in </w:t>
      </w:r>
      <w:proofErr w:type="spellStart"/>
      <w:r w:rsidRPr="00722A4B">
        <w:rPr>
          <w:rFonts w:ascii="Times New Roman" w:eastAsia="AdvGulliv-R" w:hAnsi="Times New Roman" w:cs="Times New Roman"/>
          <w:color w:val="000000"/>
        </w:rPr>
        <w:t>M</w:t>
      </w:r>
      <w:r w:rsidRPr="00722A4B">
        <w:rPr>
          <w:rFonts w:ascii="Times New Roman" w:eastAsia="AdvGulliv-R" w:hAnsi="Times New Roman" w:cs="Times New Roman"/>
        </w:rPr>
        <w:t>ayordomo</w:t>
      </w:r>
      <w:proofErr w:type="spellEnd"/>
      <w:r w:rsidRPr="00722A4B">
        <w:rPr>
          <w:rFonts w:ascii="Times New Roman" w:hAnsi="Times New Roman" w:cs="Times New Roman"/>
        </w:rPr>
        <w:t xml:space="preserve"> et al (2014). The key results are discussed in the robustness analysis section.</w:t>
      </w:r>
    </w:p>
    <w:p w:rsidR="00907BC6" w:rsidRPr="00E671A5" w:rsidRDefault="00907BC6" w:rsidP="006129F4">
      <w:pPr>
        <w:pStyle w:val="a4"/>
        <w:rPr>
          <w:lang w:val="en-NZ"/>
        </w:rPr>
      </w:pPr>
    </w:p>
  </w:footnote>
  <w:footnote w:id="10">
    <w:p w:rsidR="00907BC6" w:rsidRDefault="00907BC6" w:rsidP="00396AA6">
      <w:pPr>
        <w:pStyle w:val="a4"/>
      </w:pPr>
      <w:r>
        <w:rPr>
          <w:rStyle w:val="a5"/>
        </w:rPr>
        <w:footnoteRef/>
      </w:r>
      <w:r>
        <w:t xml:space="preserve"> Date source: </w:t>
      </w:r>
      <w:r w:rsidRPr="000E6BF4">
        <w:t>https://www.federalreserve.gov/regreform/discount-window.htm</w:t>
      </w:r>
    </w:p>
    <w:p w:rsidR="00907BC6" w:rsidRPr="00396AA6" w:rsidRDefault="00907BC6">
      <w:pPr>
        <w:pStyle w:val="a4"/>
      </w:pPr>
    </w:p>
  </w:footnote>
  <w:footnote w:id="11">
    <w:p w:rsidR="00907BC6" w:rsidRPr="003B1F86" w:rsidRDefault="00907BC6" w:rsidP="007C3B5B">
      <w:pPr>
        <w:pStyle w:val="a4"/>
        <w:rPr>
          <w:rFonts w:ascii="Times New Roman" w:hAnsi="Times New Roman" w:cs="Times New Roman"/>
          <w:sz w:val="22"/>
          <w:szCs w:val="22"/>
          <w:lang w:val="en-NZ"/>
        </w:rPr>
      </w:pPr>
      <w:r w:rsidRPr="003B1F86">
        <w:rPr>
          <w:rStyle w:val="a5"/>
          <w:rFonts w:ascii="Times New Roman" w:hAnsi="Times New Roman" w:cs="Times New Roman"/>
          <w:sz w:val="22"/>
          <w:szCs w:val="22"/>
        </w:rPr>
        <w:footnoteRef/>
      </w:r>
      <w:r w:rsidRPr="003B1F86">
        <w:rPr>
          <w:rFonts w:ascii="Times New Roman" w:hAnsi="Times New Roman" w:cs="Times New Roman"/>
          <w:sz w:val="22"/>
          <w:szCs w:val="22"/>
        </w:rPr>
        <w:t xml:space="preserve"> </w:t>
      </w:r>
      <w:r>
        <w:rPr>
          <w:rFonts w:ascii="Times New Roman" w:hAnsi="Times New Roman" w:cs="Times New Roman"/>
          <w:sz w:val="22"/>
          <w:szCs w:val="22"/>
          <w:lang w:val="en-NZ"/>
        </w:rPr>
        <w:t xml:space="preserve">In a robustness analysis, we </w:t>
      </w:r>
      <w:r w:rsidRPr="003B1F86">
        <w:rPr>
          <w:rFonts w:ascii="Times New Roman" w:hAnsi="Times New Roman" w:cs="Times New Roman"/>
          <w:sz w:val="22"/>
          <w:szCs w:val="22"/>
          <w:lang w:val="en-NZ"/>
        </w:rPr>
        <w:t xml:space="preserve">categorise derivatives </w:t>
      </w:r>
      <w:r>
        <w:rPr>
          <w:rFonts w:ascii="Times New Roman" w:hAnsi="Times New Roman" w:cs="Times New Roman"/>
          <w:sz w:val="22"/>
          <w:szCs w:val="22"/>
          <w:lang w:val="en-NZ"/>
        </w:rPr>
        <w:t>into two sub-groups: derivatives traded in the OTC market and derivatives traded in the Exchange. We examine the effects of these two sub-groups on bank’s contribution to systemic risk. The key results are discussed in the robustness analysis section.</w:t>
      </w:r>
    </w:p>
  </w:footnote>
  <w:footnote w:id="12">
    <w:p w:rsidR="00907BC6" w:rsidRDefault="00907BC6" w:rsidP="0088048C">
      <w:pPr>
        <w:pStyle w:val="a4"/>
      </w:pPr>
      <w:r>
        <w:rPr>
          <w:rStyle w:val="a5"/>
        </w:rPr>
        <w:footnoteRef/>
      </w:r>
      <w:r>
        <w:t xml:space="preserve"> Results of </w:t>
      </w:r>
      <w:r w:rsidRPr="00BF2026">
        <w:t>robustness test</w:t>
      </w:r>
      <w:r>
        <w:t xml:space="preserve"> are available upon request.</w:t>
      </w:r>
    </w:p>
  </w:footnote>
  <w:footnote w:id="13">
    <w:p w:rsidR="00907BC6" w:rsidRPr="00AD24C8" w:rsidRDefault="00907BC6" w:rsidP="005C2C8D">
      <w:pPr>
        <w:pStyle w:val="a4"/>
        <w:jc w:val="both"/>
        <w:rPr>
          <w:rFonts w:ascii="Times New Roman" w:hAnsi="Times New Roman" w:cs="Times New Roman"/>
          <w:sz w:val="20"/>
          <w:szCs w:val="20"/>
        </w:rPr>
      </w:pPr>
      <w:r w:rsidRPr="00AD24C8">
        <w:rPr>
          <w:rStyle w:val="a5"/>
          <w:rFonts w:ascii="Times New Roman" w:hAnsi="Times New Roman" w:cs="Times New Roman"/>
          <w:sz w:val="20"/>
          <w:szCs w:val="20"/>
        </w:rPr>
        <w:footnoteRef/>
      </w:r>
      <w:r w:rsidRPr="00AD24C8">
        <w:rPr>
          <w:rFonts w:ascii="Times New Roman" w:hAnsi="Times New Roman" w:cs="Times New Roman"/>
          <w:sz w:val="20"/>
          <w:szCs w:val="20"/>
        </w:rPr>
        <w:t xml:space="preserve"> In later regression, w</w:t>
      </w:r>
      <w:r w:rsidRPr="00AD24C8">
        <w:rPr>
          <w:rFonts w:ascii="Times New Roman" w:eastAsia="宋体" w:hAnsi="Times New Roman" w:cs="Times New Roman"/>
          <w:color w:val="000000"/>
          <w:kern w:val="0"/>
          <w:sz w:val="20"/>
          <w:szCs w:val="20"/>
        </w:rPr>
        <w:t>e apply the logarithm value of total asset, loan to depository institutions as a percent of total loans and balance due from depository institutions as a percent of total loans instead of their dollar values.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E1F"/>
    <w:multiLevelType w:val="multilevel"/>
    <w:tmpl w:val="96DC05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C54F4E"/>
    <w:multiLevelType w:val="multilevel"/>
    <w:tmpl w:val="3954C3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33089A"/>
    <w:multiLevelType w:val="multilevel"/>
    <w:tmpl w:val="3E6299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F06C06"/>
    <w:multiLevelType w:val="multilevel"/>
    <w:tmpl w:val="11380BF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6C263825"/>
    <w:multiLevelType w:val="hybridMultilevel"/>
    <w:tmpl w:val="AFDAB8AE"/>
    <w:lvl w:ilvl="0" w:tplc="D4A8D4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43"/>
    <w:rsid w:val="0001435D"/>
    <w:rsid w:val="00014AA6"/>
    <w:rsid w:val="00017A73"/>
    <w:rsid w:val="00035CFE"/>
    <w:rsid w:val="00037074"/>
    <w:rsid w:val="00046A78"/>
    <w:rsid w:val="00047F64"/>
    <w:rsid w:val="000544E5"/>
    <w:rsid w:val="00055645"/>
    <w:rsid w:val="00056E73"/>
    <w:rsid w:val="00065D4F"/>
    <w:rsid w:val="00067D46"/>
    <w:rsid w:val="0007333E"/>
    <w:rsid w:val="0007550F"/>
    <w:rsid w:val="000A26E4"/>
    <w:rsid w:val="000A77E9"/>
    <w:rsid w:val="000B5AB6"/>
    <w:rsid w:val="000B7ADC"/>
    <w:rsid w:val="000C0E25"/>
    <w:rsid w:val="000C415B"/>
    <w:rsid w:val="000C6657"/>
    <w:rsid w:val="000D55D8"/>
    <w:rsid w:val="000D5F62"/>
    <w:rsid w:val="000E1384"/>
    <w:rsid w:val="000E71F0"/>
    <w:rsid w:val="000E744D"/>
    <w:rsid w:val="000F010C"/>
    <w:rsid w:val="000F7E8B"/>
    <w:rsid w:val="001068D8"/>
    <w:rsid w:val="00114196"/>
    <w:rsid w:val="00121589"/>
    <w:rsid w:val="00122BB1"/>
    <w:rsid w:val="0012595E"/>
    <w:rsid w:val="001308E6"/>
    <w:rsid w:val="001308FF"/>
    <w:rsid w:val="00131B88"/>
    <w:rsid w:val="00132377"/>
    <w:rsid w:val="0014007E"/>
    <w:rsid w:val="001433D0"/>
    <w:rsid w:val="0014578C"/>
    <w:rsid w:val="0014729B"/>
    <w:rsid w:val="001535D2"/>
    <w:rsid w:val="001603E1"/>
    <w:rsid w:val="001626EC"/>
    <w:rsid w:val="00165311"/>
    <w:rsid w:val="001703D0"/>
    <w:rsid w:val="0018049A"/>
    <w:rsid w:val="001838EA"/>
    <w:rsid w:val="00185853"/>
    <w:rsid w:val="0019009F"/>
    <w:rsid w:val="001910A2"/>
    <w:rsid w:val="00194B98"/>
    <w:rsid w:val="00196318"/>
    <w:rsid w:val="001A011D"/>
    <w:rsid w:val="001B68AF"/>
    <w:rsid w:val="001C05C0"/>
    <w:rsid w:val="001C342C"/>
    <w:rsid w:val="001C6722"/>
    <w:rsid w:val="001D5BC5"/>
    <w:rsid w:val="001E518E"/>
    <w:rsid w:val="001E5814"/>
    <w:rsid w:val="001E66F6"/>
    <w:rsid w:val="001F0D1B"/>
    <w:rsid w:val="001F42FD"/>
    <w:rsid w:val="001F4EA2"/>
    <w:rsid w:val="001F6E91"/>
    <w:rsid w:val="001F7C1E"/>
    <w:rsid w:val="0020123E"/>
    <w:rsid w:val="00201A7E"/>
    <w:rsid w:val="002064F2"/>
    <w:rsid w:val="002065B9"/>
    <w:rsid w:val="00210AE4"/>
    <w:rsid w:val="00210C26"/>
    <w:rsid w:val="00212E9C"/>
    <w:rsid w:val="00212F3E"/>
    <w:rsid w:val="0021324D"/>
    <w:rsid w:val="002152A7"/>
    <w:rsid w:val="00224CCE"/>
    <w:rsid w:val="00225083"/>
    <w:rsid w:val="00225FAE"/>
    <w:rsid w:val="00231345"/>
    <w:rsid w:val="00232AF3"/>
    <w:rsid w:val="00232CC4"/>
    <w:rsid w:val="00234C0F"/>
    <w:rsid w:val="00234C51"/>
    <w:rsid w:val="00237C68"/>
    <w:rsid w:val="00240547"/>
    <w:rsid w:val="002469B2"/>
    <w:rsid w:val="002661B6"/>
    <w:rsid w:val="0026702B"/>
    <w:rsid w:val="002724A4"/>
    <w:rsid w:val="00273B05"/>
    <w:rsid w:val="00273CF4"/>
    <w:rsid w:val="00275601"/>
    <w:rsid w:val="00280231"/>
    <w:rsid w:val="002804CA"/>
    <w:rsid w:val="00283FDC"/>
    <w:rsid w:val="00286001"/>
    <w:rsid w:val="00296D7D"/>
    <w:rsid w:val="002A2F19"/>
    <w:rsid w:val="002A4B8F"/>
    <w:rsid w:val="002A4EEF"/>
    <w:rsid w:val="002A5366"/>
    <w:rsid w:val="002A7D2F"/>
    <w:rsid w:val="002B4F46"/>
    <w:rsid w:val="002B5C86"/>
    <w:rsid w:val="002C0A67"/>
    <w:rsid w:val="002C1407"/>
    <w:rsid w:val="002D0EC9"/>
    <w:rsid w:val="002D5AE1"/>
    <w:rsid w:val="002D5C60"/>
    <w:rsid w:val="002D6622"/>
    <w:rsid w:val="002D7168"/>
    <w:rsid w:val="002E09F5"/>
    <w:rsid w:val="002E2F64"/>
    <w:rsid w:val="002F6BA6"/>
    <w:rsid w:val="0030136B"/>
    <w:rsid w:val="00303F77"/>
    <w:rsid w:val="00307EED"/>
    <w:rsid w:val="003121B1"/>
    <w:rsid w:val="00313043"/>
    <w:rsid w:val="0031714E"/>
    <w:rsid w:val="003210CA"/>
    <w:rsid w:val="00330705"/>
    <w:rsid w:val="00334287"/>
    <w:rsid w:val="00334E28"/>
    <w:rsid w:val="00337938"/>
    <w:rsid w:val="00342B27"/>
    <w:rsid w:val="003457A9"/>
    <w:rsid w:val="003510FA"/>
    <w:rsid w:val="00353785"/>
    <w:rsid w:val="003558D5"/>
    <w:rsid w:val="00356838"/>
    <w:rsid w:val="00360C11"/>
    <w:rsid w:val="00362322"/>
    <w:rsid w:val="00363232"/>
    <w:rsid w:val="00364007"/>
    <w:rsid w:val="0037315D"/>
    <w:rsid w:val="003736F3"/>
    <w:rsid w:val="003836D5"/>
    <w:rsid w:val="00386B41"/>
    <w:rsid w:val="003872BF"/>
    <w:rsid w:val="0039308F"/>
    <w:rsid w:val="0039338C"/>
    <w:rsid w:val="00393BD6"/>
    <w:rsid w:val="00395DAA"/>
    <w:rsid w:val="0039624A"/>
    <w:rsid w:val="00396AA6"/>
    <w:rsid w:val="003B1937"/>
    <w:rsid w:val="003B1F66"/>
    <w:rsid w:val="003B509A"/>
    <w:rsid w:val="003B660C"/>
    <w:rsid w:val="003C1FA8"/>
    <w:rsid w:val="003C2C93"/>
    <w:rsid w:val="003C5913"/>
    <w:rsid w:val="003D137B"/>
    <w:rsid w:val="003D19E8"/>
    <w:rsid w:val="003D3E3B"/>
    <w:rsid w:val="003D7F71"/>
    <w:rsid w:val="003E3578"/>
    <w:rsid w:val="003E59DD"/>
    <w:rsid w:val="00400B74"/>
    <w:rsid w:val="00407E97"/>
    <w:rsid w:val="00417A87"/>
    <w:rsid w:val="004247A0"/>
    <w:rsid w:val="00424FDB"/>
    <w:rsid w:val="0042609F"/>
    <w:rsid w:val="004271D9"/>
    <w:rsid w:val="00430028"/>
    <w:rsid w:val="0043075B"/>
    <w:rsid w:val="00430CCB"/>
    <w:rsid w:val="00437DDD"/>
    <w:rsid w:val="004442F6"/>
    <w:rsid w:val="0044734F"/>
    <w:rsid w:val="0045782E"/>
    <w:rsid w:val="004601AE"/>
    <w:rsid w:val="00461489"/>
    <w:rsid w:val="00472176"/>
    <w:rsid w:val="00477C00"/>
    <w:rsid w:val="00481178"/>
    <w:rsid w:val="0048282B"/>
    <w:rsid w:val="0048745E"/>
    <w:rsid w:val="00493307"/>
    <w:rsid w:val="004946AB"/>
    <w:rsid w:val="004A1C6E"/>
    <w:rsid w:val="004A2651"/>
    <w:rsid w:val="004A568B"/>
    <w:rsid w:val="004A5D80"/>
    <w:rsid w:val="004C30E1"/>
    <w:rsid w:val="004D082F"/>
    <w:rsid w:val="004D3017"/>
    <w:rsid w:val="004D4630"/>
    <w:rsid w:val="004D4FA3"/>
    <w:rsid w:val="004E3CCF"/>
    <w:rsid w:val="004F0AF3"/>
    <w:rsid w:val="004F0B76"/>
    <w:rsid w:val="004F5DE3"/>
    <w:rsid w:val="005028B0"/>
    <w:rsid w:val="005034A6"/>
    <w:rsid w:val="00506D7D"/>
    <w:rsid w:val="005073FF"/>
    <w:rsid w:val="005119C2"/>
    <w:rsid w:val="00524D0D"/>
    <w:rsid w:val="005271B2"/>
    <w:rsid w:val="00527C8C"/>
    <w:rsid w:val="00536A40"/>
    <w:rsid w:val="00554470"/>
    <w:rsid w:val="00566937"/>
    <w:rsid w:val="00573CC5"/>
    <w:rsid w:val="00576511"/>
    <w:rsid w:val="00590DC6"/>
    <w:rsid w:val="0059184B"/>
    <w:rsid w:val="00591C47"/>
    <w:rsid w:val="005925E9"/>
    <w:rsid w:val="005927C6"/>
    <w:rsid w:val="00594076"/>
    <w:rsid w:val="00596942"/>
    <w:rsid w:val="00597632"/>
    <w:rsid w:val="005A4617"/>
    <w:rsid w:val="005B0BF8"/>
    <w:rsid w:val="005B48A4"/>
    <w:rsid w:val="005B5A0A"/>
    <w:rsid w:val="005B5CE2"/>
    <w:rsid w:val="005C02D4"/>
    <w:rsid w:val="005C2C8D"/>
    <w:rsid w:val="005D625F"/>
    <w:rsid w:val="005E5A8F"/>
    <w:rsid w:val="005F3017"/>
    <w:rsid w:val="005F6BCE"/>
    <w:rsid w:val="0060012A"/>
    <w:rsid w:val="0060279E"/>
    <w:rsid w:val="006063CD"/>
    <w:rsid w:val="0060715D"/>
    <w:rsid w:val="006116E2"/>
    <w:rsid w:val="0061297C"/>
    <w:rsid w:val="006129F4"/>
    <w:rsid w:val="00615A2D"/>
    <w:rsid w:val="00621931"/>
    <w:rsid w:val="0062299A"/>
    <w:rsid w:val="00624327"/>
    <w:rsid w:val="006244FE"/>
    <w:rsid w:val="006248DD"/>
    <w:rsid w:val="00627882"/>
    <w:rsid w:val="006344EA"/>
    <w:rsid w:val="006364CB"/>
    <w:rsid w:val="00641A79"/>
    <w:rsid w:val="00643477"/>
    <w:rsid w:val="006522D4"/>
    <w:rsid w:val="00653264"/>
    <w:rsid w:val="00655488"/>
    <w:rsid w:val="0065696A"/>
    <w:rsid w:val="00662573"/>
    <w:rsid w:val="00665A57"/>
    <w:rsid w:val="006675AF"/>
    <w:rsid w:val="006678B0"/>
    <w:rsid w:val="00671526"/>
    <w:rsid w:val="00675E5C"/>
    <w:rsid w:val="006775E0"/>
    <w:rsid w:val="00680D97"/>
    <w:rsid w:val="00683573"/>
    <w:rsid w:val="006949CC"/>
    <w:rsid w:val="006A2AA6"/>
    <w:rsid w:val="006A47E3"/>
    <w:rsid w:val="006A674D"/>
    <w:rsid w:val="006A6A52"/>
    <w:rsid w:val="006B63E1"/>
    <w:rsid w:val="006B6F83"/>
    <w:rsid w:val="006C1409"/>
    <w:rsid w:val="006C6362"/>
    <w:rsid w:val="006C687A"/>
    <w:rsid w:val="006D42E5"/>
    <w:rsid w:val="006D66BD"/>
    <w:rsid w:val="006E0ED2"/>
    <w:rsid w:val="006E68C4"/>
    <w:rsid w:val="006F3C4B"/>
    <w:rsid w:val="006F67DD"/>
    <w:rsid w:val="006F6FEC"/>
    <w:rsid w:val="007009C1"/>
    <w:rsid w:val="00702981"/>
    <w:rsid w:val="007115E6"/>
    <w:rsid w:val="00712A9B"/>
    <w:rsid w:val="007143FF"/>
    <w:rsid w:val="007148C5"/>
    <w:rsid w:val="00720DD1"/>
    <w:rsid w:val="00722A4B"/>
    <w:rsid w:val="00722B85"/>
    <w:rsid w:val="00731457"/>
    <w:rsid w:val="00731D3E"/>
    <w:rsid w:val="007351EA"/>
    <w:rsid w:val="00737F00"/>
    <w:rsid w:val="0074400B"/>
    <w:rsid w:val="007474A4"/>
    <w:rsid w:val="00750ED9"/>
    <w:rsid w:val="00753E8D"/>
    <w:rsid w:val="00757A38"/>
    <w:rsid w:val="00763EF6"/>
    <w:rsid w:val="00766C39"/>
    <w:rsid w:val="0077775B"/>
    <w:rsid w:val="00782739"/>
    <w:rsid w:val="007A42F8"/>
    <w:rsid w:val="007B584F"/>
    <w:rsid w:val="007B5B8D"/>
    <w:rsid w:val="007B5CC8"/>
    <w:rsid w:val="007B7BFA"/>
    <w:rsid w:val="007C0A23"/>
    <w:rsid w:val="007C3B5B"/>
    <w:rsid w:val="007C6DF8"/>
    <w:rsid w:val="007C7C5A"/>
    <w:rsid w:val="007D4612"/>
    <w:rsid w:val="007D7780"/>
    <w:rsid w:val="007F7502"/>
    <w:rsid w:val="00803BF8"/>
    <w:rsid w:val="00803ED5"/>
    <w:rsid w:val="00804039"/>
    <w:rsid w:val="00804993"/>
    <w:rsid w:val="00807953"/>
    <w:rsid w:val="0081362C"/>
    <w:rsid w:val="0082052C"/>
    <w:rsid w:val="008226D6"/>
    <w:rsid w:val="00827277"/>
    <w:rsid w:val="0083350F"/>
    <w:rsid w:val="00834C44"/>
    <w:rsid w:val="00835461"/>
    <w:rsid w:val="008356A6"/>
    <w:rsid w:val="008419AD"/>
    <w:rsid w:val="008543C1"/>
    <w:rsid w:val="00857C80"/>
    <w:rsid w:val="0086305D"/>
    <w:rsid w:val="0087140C"/>
    <w:rsid w:val="00872708"/>
    <w:rsid w:val="0087479E"/>
    <w:rsid w:val="0087778B"/>
    <w:rsid w:val="0088048C"/>
    <w:rsid w:val="00883231"/>
    <w:rsid w:val="00883EEF"/>
    <w:rsid w:val="0088571B"/>
    <w:rsid w:val="008864CA"/>
    <w:rsid w:val="008A3BE2"/>
    <w:rsid w:val="008A794A"/>
    <w:rsid w:val="008B1D7B"/>
    <w:rsid w:val="008B5695"/>
    <w:rsid w:val="008B7089"/>
    <w:rsid w:val="008D21CE"/>
    <w:rsid w:val="008D69ED"/>
    <w:rsid w:val="008F16F1"/>
    <w:rsid w:val="008F1F09"/>
    <w:rsid w:val="008F4421"/>
    <w:rsid w:val="008F593B"/>
    <w:rsid w:val="00903B3C"/>
    <w:rsid w:val="00907BC6"/>
    <w:rsid w:val="00912CBA"/>
    <w:rsid w:val="00913C59"/>
    <w:rsid w:val="00920A30"/>
    <w:rsid w:val="009245FA"/>
    <w:rsid w:val="00933A1B"/>
    <w:rsid w:val="00935220"/>
    <w:rsid w:val="009507E7"/>
    <w:rsid w:val="00957BCF"/>
    <w:rsid w:val="00960605"/>
    <w:rsid w:val="00967A50"/>
    <w:rsid w:val="00967F12"/>
    <w:rsid w:val="00980F7A"/>
    <w:rsid w:val="0098312F"/>
    <w:rsid w:val="009850BA"/>
    <w:rsid w:val="00992A3C"/>
    <w:rsid w:val="009975D9"/>
    <w:rsid w:val="009A2124"/>
    <w:rsid w:val="009B202B"/>
    <w:rsid w:val="009B6303"/>
    <w:rsid w:val="009B75E5"/>
    <w:rsid w:val="009D0D75"/>
    <w:rsid w:val="009D1A78"/>
    <w:rsid w:val="009D2DDB"/>
    <w:rsid w:val="009E0951"/>
    <w:rsid w:val="009E2365"/>
    <w:rsid w:val="009E79F2"/>
    <w:rsid w:val="009F233A"/>
    <w:rsid w:val="009F29BD"/>
    <w:rsid w:val="009F5B63"/>
    <w:rsid w:val="00A017ED"/>
    <w:rsid w:val="00A10944"/>
    <w:rsid w:val="00A11304"/>
    <w:rsid w:val="00A12879"/>
    <w:rsid w:val="00A13DAA"/>
    <w:rsid w:val="00A1792D"/>
    <w:rsid w:val="00A309F4"/>
    <w:rsid w:val="00A372AB"/>
    <w:rsid w:val="00A40BEA"/>
    <w:rsid w:val="00A500DB"/>
    <w:rsid w:val="00A569C2"/>
    <w:rsid w:val="00A61D30"/>
    <w:rsid w:val="00A662FD"/>
    <w:rsid w:val="00A73C8F"/>
    <w:rsid w:val="00A813E1"/>
    <w:rsid w:val="00A94A10"/>
    <w:rsid w:val="00AA196F"/>
    <w:rsid w:val="00AA1FC0"/>
    <w:rsid w:val="00AA578C"/>
    <w:rsid w:val="00AB193D"/>
    <w:rsid w:val="00AB4421"/>
    <w:rsid w:val="00AC37EC"/>
    <w:rsid w:val="00AD24C8"/>
    <w:rsid w:val="00AD3099"/>
    <w:rsid w:val="00AE4E9C"/>
    <w:rsid w:val="00AE7C16"/>
    <w:rsid w:val="00B028D4"/>
    <w:rsid w:val="00B12218"/>
    <w:rsid w:val="00B128A6"/>
    <w:rsid w:val="00B160E5"/>
    <w:rsid w:val="00B16CDC"/>
    <w:rsid w:val="00B24576"/>
    <w:rsid w:val="00B256D5"/>
    <w:rsid w:val="00B33F09"/>
    <w:rsid w:val="00B3409A"/>
    <w:rsid w:val="00B34794"/>
    <w:rsid w:val="00B34DC5"/>
    <w:rsid w:val="00B3509F"/>
    <w:rsid w:val="00B35383"/>
    <w:rsid w:val="00B36AEC"/>
    <w:rsid w:val="00B451F8"/>
    <w:rsid w:val="00B5029D"/>
    <w:rsid w:val="00B51A11"/>
    <w:rsid w:val="00B64F32"/>
    <w:rsid w:val="00B71BE0"/>
    <w:rsid w:val="00B80213"/>
    <w:rsid w:val="00B82B7E"/>
    <w:rsid w:val="00B82CF6"/>
    <w:rsid w:val="00B874BC"/>
    <w:rsid w:val="00BA76FF"/>
    <w:rsid w:val="00BB0E7E"/>
    <w:rsid w:val="00BB69C0"/>
    <w:rsid w:val="00BC2898"/>
    <w:rsid w:val="00BC413D"/>
    <w:rsid w:val="00BC7130"/>
    <w:rsid w:val="00BD161A"/>
    <w:rsid w:val="00BD5685"/>
    <w:rsid w:val="00BD5C74"/>
    <w:rsid w:val="00BE00BF"/>
    <w:rsid w:val="00BE62AA"/>
    <w:rsid w:val="00BE7CD0"/>
    <w:rsid w:val="00C04CF1"/>
    <w:rsid w:val="00C10E90"/>
    <w:rsid w:val="00C12AA5"/>
    <w:rsid w:val="00C13FF9"/>
    <w:rsid w:val="00C15FBD"/>
    <w:rsid w:val="00C17B69"/>
    <w:rsid w:val="00C402B3"/>
    <w:rsid w:val="00C41B89"/>
    <w:rsid w:val="00C52BBE"/>
    <w:rsid w:val="00C54619"/>
    <w:rsid w:val="00C61C16"/>
    <w:rsid w:val="00C62979"/>
    <w:rsid w:val="00C735FC"/>
    <w:rsid w:val="00C739D1"/>
    <w:rsid w:val="00C75756"/>
    <w:rsid w:val="00C76216"/>
    <w:rsid w:val="00C812ED"/>
    <w:rsid w:val="00C86F96"/>
    <w:rsid w:val="00C93ABC"/>
    <w:rsid w:val="00CA4870"/>
    <w:rsid w:val="00CA7C1E"/>
    <w:rsid w:val="00CB23D0"/>
    <w:rsid w:val="00CB42D0"/>
    <w:rsid w:val="00CB7E92"/>
    <w:rsid w:val="00CC420C"/>
    <w:rsid w:val="00CC6E10"/>
    <w:rsid w:val="00CD68C8"/>
    <w:rsid w:val="00CF36CD"/>
    <w:rsid w:val="00D0725F"/>
    <w:rsid w:val="00D14CA5"/>
    <w:rsid w:val="00D16014"/>
    <w:rsid w:val="00D21AD2"/>
    <w:rsid w:val="00D25D85"/>
    <w:rsid w:val="00D260C0"/>
    <w:rsid w:val="00D30FB3"/>
    <w:rsid w:val="00D32B5C"/>
    <w:rsid w:val="00D50FD0"/>
    <w:rsid w:val="00D5412C"/>
    <w:rsid w:val="00D6115A"/>
    <w:rsid w:val="00D62099"/>
    <w:rsid w:val="00D636F7"/>
    <w:rsid w:val="00D71C36"/>
    <w:rsid w:val="00D727C6"/>
    <w:rsid w:val="00D72937"/>
    <w:rsid w:val="00D76D57"/>
    <w:rsid w:val="00D81FCF"/>
    <w:rsid w:val="00D841E8"/>
    <w:rsid w:val="00D85485"/>
    <w:rsid w:val="00D86B03"/>
    <w:rsid w:val="00D8775F"/>
    <w:rsid w:val="00D911A1"/>
    <w:rsid w:val="00D9219E"/>
    <w:rsid w:val="00D95902"/>
    <w:rsid w:val="00D9784B"/>
    <w:rsid w:val="00DA0790"/>
    <w:rsid w:val="00DA0D35"/>
    <w:rsid w:val="00DA1B69"/>
    <w:rsid w:val="00DB348B"/>
    <w:rsid w:val="00DB5454"/>
    <w:rsid w:val="00DD216E"/>
    <w:rsid w:val="00DE1474"/>
    <w:rsid w:val="00DE3B35"/>
    <w:rsid w:val="00DE56C2"/>
    <w:rsid w:val="00DE6DE3"/>
    <w:rsid w:val="00DE740D"/>
    <w:rsid w:val="00DF6ECF"/>
    <w:rsid w:val="00E062C2"/>
    <w:rsid w:val="00E13D15"/>
    <w:rsid w:val="00E20840"/>
    <w:rsid w:val="00E2215F"/>
    <w:rsid w:val="00E22893"/>
    <w:rsid w:val="00E22B40"/>
    <w:rsid w:val="00E34C42"/>
    <w:rsid w:val="00E43CAF"/>
    <w:rsid w:val="00E4718A"/>
    <w:rsid w:val="00E47D6A"/>
    <w:rsid w:val="00E50237"/>
    <w:rsid w:val="00E50316"/>
    <w:rsid w:val="00E51D7B"/>
    <w:rsid w:val="00E53A7F"/>
    <w:rsid w:val="00E6139B"/>
    <w:rsid w:val="00E637D8"/>
    <w:rsid w:val="00E65466"/>
    <w:rsid w:val="00E70EC7"/>
    <w:rsid w:val="00E712E7"/>
    <w:rsid w:val="00E731C1"/>
    <w:rsid w:val="00E77ED2"/>
    <w:rsid w:val="00E82080"/>
    <w:rsid w:val="00E8266A"/>
    <w:rsid w:val="00E83E98"/>
    <w:rsid w:val="00E85B34"/>
    <w:rsid w:val="00E85B4E"/>
    <w:rsid w:val="00E94420"/>
    <w:rsid w:val="00E965C6"/>
    <w:rsid w:val="00EA1D89"/>
    <w:rsid w:val="00EA1F38"/>
    <w:rsid w:val="00EA4C09"/>
    <w:rsid w:val="00EA606E"/>
    <w:rsid w:val="00EB45D3"/>
    <w:rsid w:val="00EB4E41"/>
    <w:rsid w:val="00EB5F00"/>
    <w:rsid w:val="00EC1C62"/>
    <w:rsid w:val="00ED24F7"/>
    <w:rsid w:val="00ED4E76"/>
    <w:rsid w:val="00ED4F97"/>
    <w:rsid w:val="00ED73BC"/>
    <w:rsid w:val="00EE0A78"/>
    <w:rsid w:val="00EE132C"/>
    <w:rsid w:val="00EE4E54"/>
    <w:rsid w:val="00EE63C2"/>
    <w:rsid w:val="00EF649E"/>
    <w:rsid w:val="00F021BD"/>
    <w:rsid w:val="00F02390"/>
    <w:rsid w:val="00F04AB9"/>
    <w:rsid w:val="00F074F2"/>
    <w:rsid w:val="00F12060"/>
    <w:rsid w:val="00F343B2"/>
    <w:rsid w:val="00F36C34"/>
    <w:rsid w:val="00F50ADE"/>
    <w:rsid w:val="00F52A84"/>
    <w:rsid w:val="00F5410B"/>
    <w:rsid w:val="00F57008"/>
    <w:rsid w:val="00F674BA"/>
    <w:rsid w:val="00F7043F"/>
    <w:rsid w:val="00F761FE"/>
    <w:rsid w:val="00F839A7"/>
    <w:rsid w:val="00F95B9A"/>
    <w:rsid w:val="00FA02B1"/>
    <w:rsid w:val="00FA6FE6"/>
    <w:rsid w:val="00FB3029"/>
    <w:rsid w:val="00FC2407"/>
    <w:rsid w:val="00FC6A94"/>
    <w:rsid w:val="00FD42C1"/>
    <w:rsid w:val="00FD5E3E"/>
    <w:rsid w:val="00FE4B5B"/>
    <w:rsid w:val="00FF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43"/>
    <w:pPr>
      <w:widowControl w:val="0"/>
      <w:jc w:val="both"/>
    </w:pPr>
  </w:style>
  <w:style w:type="paragraph" w:styleId="1">
    <w:name w:val="heading 1"/>
    <w:basedOn w:val="a"/>
    <w:next w:val="a"/>
    <w:link w:val="1Char"/>
    <w:uiPriority w:val="9"/>
    <w:qFormat/>
    <w:rsid w:val="009B75E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1304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1304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433D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1304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13043"/>
    <w:rPr>
      <w:b/>
      <w:bCs/>
      <w:sz w:val="32"/>
      <w:szCs w:val="32"/>
    </w:rPr>
  </w:style>
  <w:style w:type="paragraph" w:styleId="a3">
    <w:name w:val="Normal (Web)"/>
    <w:basedOn w:val="a"/>
    <w:uiPriority w:val="99"/>
    <w:unhideWhenUsed/>
    <w:rsid w:val="00313043"/>
    <w:pPr>
      <w:widowControl/>
      <w:spacing w:before="100" w:beforeAutospacing="1" w:after="100" w:afterAutospacing="1"/>
      <w:jc w:val="left"/>
    </w:pPr>
    <w:rPr>
      <w:rFonts w:ascii="宋体" w:eastAsia="宋体" w:hAnsi="宋体" w:cs="宋体"/>
      <w:kern w:val="0"/>
      <w:sz w:val="24"/>
      <w:szCs w:val="24"/>
    </w:rPr>
  </w:style>
  <w:style w:type="paragraph" w:styleId="a4">
    <w:name w:val="footnote text"/>
    <w:basedOn w:val="a"/>
    <w:link w:val="Char"/>
    <w:uiPriority w:val="99"/>
    <w:semiHidden/>
    <w:unhideWhenUsed/>
    <w:rsid w:val="00313043"/>
    <w:pPr>
      <w:snapToGrid w:val="0"/>
      <w:jc w:val="left"/>
    </w:pPr>
    <w:rPr>
      <w:sz w:val="18"/>
      <w:szCs w:val="18"/>
    </w:rPr>
  </w:style>
  <w:style w:type="character" w:customStyle="1" w:styleId="Char">
    <w:name w:val="脚注文本 Char"/>
    <w:basedOn w:val="a0"/>
    <w:link w:val="a4"/>
    <w:uiPriority w:val="99"/>
    <w:semiHidden/>
    <w:rsid w:val="00313043"/>
    <w:rPr>
      <w:sz w:val="18"/>
      <w:szCs w:val="18"/>
    </w:rPr>
  </w:style>
  <w:style w:type="character" w:styleId="a5">
    <w:name w:val="footnote reference"/>
    <w:basedOn w:val="a0"/>
    <w:uiPriority w:val="99"/>
    <w:semiHidden/>
    <w:unhideWhenUsed/>
    <w:rsid w:val="00313043"/>
    <w:rPr>
      <w:vertAlign w:val="superscript"/>
    </w:rPr>
  </w:style>
  <w:style w:type="paragraph" w:styleId="a6">
    <w:name w:val="Balloon Text"/>
    <w:basedOn w:val="a"/>
    <w:link w:val="Char0"/>
    <w:uiPriority w:val="99"/>
    <w:semiHidden/>
    <w:unhideWhenUsed/>
    <w:rsid w:val="00313043"/>
    <w:rPr>
      <w:sz w:val="18"/>
      <w:szCs w:val="18"/>
    </w:rPr>
  </w:style>
  <w:style w:type="character" w:customStyle="1" w:styleId="Char0">
    <w:name w:val="批注框文本 Char"/>
    <w:basedOn w:val="a0"/>
    <w:link w:val="a6"/>
    <w:uiPriority w:val="99"/>
    <w:semiHidden/>
    <w:rsid w:val="00313043"/>
    <w:rPr>
      <w:sz w:val="18"/>
      <w:szCs w:val="18"/>
    </w:rPr>
  </w:style>
  <w:style w:type="character" w:customStyle="1" w:styleId="apple-converted-space">
    <w:name w:val="apple-converted-space"/>
    <w:basedOn w:val="a0"/>
    <w:rsid w:val="000C415B"/>
  </w:style>
  <w:style w:type="character" w:customStyle="1" w:styleId="4Char">
    <w:name w:val="标题 4 Char"/>
    <w:basedOn w:val="a0"/>
    <w:link w:val="4"/>
    <w:uiPriority w:val="9"/>
    <w:rsid w:val="001433D0"/>
    <w:rPr>
      <w:rFonts w:asciiTheme="majorHAnsi" w:eastAsiaTheme="majorEastAsia" w:hAnsiTheme="majorHAnsi" w:cstheme="majorBidi"/>
      <w:b/>
      <w:bCs/>
      <w:sz w:val="28"/>
      <w:szCs w:val="28"/>
    </w:rPr>
  </w:style>
  <w:style w:type="paragraph" w:styleId="a7">
    <w:name w:val="caption"/>
    <w:basedOn w:val="a"/>
    <w:next w:val="a"/>
    <w:uiPriority w:val="35"/>
    <w:unhideWhenUsed/>
    <w:qFormat/>
    <w:rsid w:val="001433D0"/>
    <w:rPr>
      <w:rFonts w:asciiTheme="majorHAnsi" w:eastAsia="黑体" w:hAnsiTheme="majorHAnsi" w:cstheme="majorBidi"/>
      <w:sz w:val="20"/>
      <w:szCs w:val="20"/>
    </w:rPr>
  </w:style>
  <w:style w:type="paragraph" w:styleId="a8">
    <w:name w:val="header"/>
    <w:basedOn w:val="a"/>
    <w:link w:val="Char1"/>
    <w:uiPriority w:val="99"/>
    <w:unhideWhenUsed/>
    <w:rsid w:val="009E23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E2365"/>
    <w:rPr>
      <w:sz w:val="18"/>
      <w:szCs w:val="18"/>
    </w:rPr>
  </w:style>
  <w:style w:type="paragraph" w:styleId="a9">
    <w:name w:val="footer"/>
    <w:basedOn w:val="a"/>
    <w:link w:val="Char2"/>
    <w:uiPriority w:val="99"/>
    <w:unhideWhenUsed/>
    <w:rsid w:val="009E2365"/>
    <w:pPr>
      <w:tabs>
        <w:tab w:val="center" w:pos="4153"/>
        <w:tab w:val="right" w:pos="8306"/>
      </w:tabs>
      <w:snapToGrid w:val="0"/>
      <w:jc w:val="left"/>
    </w:pPr>
    <w:rPr>
      <w:sz w:val="18"/>
      <w:szCs w:val="18"/>
    </w:rPr>
  </w:style>
  <w:style w:type="character" w:customStyle="1" w:styleId="Char2">
    <w:name w:val="页脚 Char"/>
    <w:basedOn w:val="a0"/>
    <w:link w:val="a9"/>
    <w:uiPriority w:val="99"/>
    <w:rsid w:val="009E2365"/>
    <w:rPr>
      <w:sz w:val="18"/>
      <w:szCs w:val="18"/>
    </w:rPr>
  </w:style>
  <w:style w:type="character" w:customStyle="1" w:styleId="mw-headline">
    <w:name w:val="mw-headline"/>
    <w:basedOn w:val="a0"/>
    <w:rsid w:val="00393BD6"/>
  </w:style>
  <w:style w:type="paragraph" w:customStyle="1" w:styleId="Default">
    <w:name w:val="Default"/>
    <w:rsid w:val="001E66F6"/>
    <w:pPr>
      <w:widowControl w:val="0"/>
      <w:autoSpaceDE w:val="0"/>
      <w:autoSpaceDN w:val="0"/>
      <w:adjustRightInd w:val="0"/>
    </w:pPr>
    <w:rPr>
      <w:rFonts w:ascii="Times New Roman" w:hAnsi="Times New Roman" w:cs="Times New Roman"/>
      <w:color w:val="000000"/>
      <w:kern w:val="0"/>
      <w:sz w:val="24"/>
      <w:szCs w:val="24"/>
    </w:rPr>
  </w:style>
  <w:style w:type="character" w:styleId="aa">
    <w:name w:val="annotation reference"/>
    <w:basedOn w:val="a0"/>
    <w:uiPriority w:val="99"/>
    <w:semiHidden/>
    <w:unhideWhenUsed/>
    <w:rsid w:val="0098312F"/>
    <w:rPr>
      <w:sz w:val="16"/>
      <w:szCs w:val="16"/>
    </w:rPr>
  </w:style>
  <w:style w:type="paragraph" w:styleId="ab">
    <w:name w:val="annotation text"/>
    <w:basedOn w:val="a"/>
    <w:link w:val="Char3"/>
    <w:uiPriority w:val="99"/>
    <w:semiHidden/>
    <w:unhideWhenUsed/>
    <w:rsid w:val="0098312F"/>
    <w:rPr>
      <w:sz w:val="20"/>
      <w:szCs w:val="20"/>
    </w:rPr>
  </w:style>
  <w:style w:type="character" w:customStyle="1" w:styleId="Char3">
    <w:name w:val="批注文字 Char"/>
    <w:basedOn w:val="a0"/>
    <w:link w:val="ab"/>
    <w:uiPriority w:val="99"/>
    <w:semiHidden/>
    <w:rsid w:val="0098312F"/>
    <w:rPr>
      <w:sz w:val="20"/>
      <w:szCs w:val="20"/>
    </w:rPr>
  </w:style>
  <w:style w:type="paragraph" w:styleId="ac">
    <w:name w:val="annotation subject"/>
    <w:basedOn w:val="ab"/>
    <w:next w:val="ab"/>
    <w:link w:val="Char4"/>
    <w:uiPriority w:val="99"/>
    <w:semiHidden/>
    <w:unhideWhenUsed/>
    <w:rsid w:val="0098312F"/>
    <w:rPr>
      <w:b/>
      <w:bCs/>
    </w:rPr>
  </w:style>
  <w:style w:type="character" w:customStyle="1" w:styleId="Char4">
    <w:name w:val="批注主题 Char"/>
    <w:basedOn w:val="Char3"/>
    <w:link w:val="ac"/>
    <w:uiPriority w:val="99"/>
    <w:semiHidden/>
    <w:rsid w:val="0098312F"/>
    <w:rPr>
      <w:b/>
      <w:bCs/>
      <w:sz w:val="20"/>
      <w:szCs w:val="20"/>
    </w:rPr>
  </w:style>
  <w:style w:type="paragraph" w:styleId="ad">
    <w:name w:val="Revision"/>
    <w:hidden/>
    <w:uiPriority w:val="99"/>
    <w:semiHidden/>
    <w:rsid w:val="0098312F"/>
  </w:style>
  <w:style w:type="character" w:styleId="ae">
    <w:name w:val="Emphasis"/>
    <w:basedOn w:val="a0"/>
    <w:uiPriority w:val="20"/>
    <w:qFormat/>
    <w:rsid w:val="00662573"/>
    <w:rPr>
      <w:i/>
      <w:iCs/>
    </w:rPr>
  </w:style>
  <w:style w:type="character" w:styleId="af">
    <w:name w:val="Hyperlink"/>
    <w:basedOn w:val="a0"/>
    <w:uiPriority w:val="99"/>
    <w:semiHidden/>
    <w:unhideWhenUsed/>
    <w:rsid w:val="006248DD"/>
    <w:rPr>
      <w:color w:val="0000FF"/>
      <w:u w:val="single"/>
    </w:rPr>
  </w:style>
  <w:style w:type="paragraph" w:styleId="af0">
    <w:name w:val="List Paragraph"/>
    <w:basedOn w:val="a"/>
    <w:uiPriority w:val="34"/>
    <w:qFormat/>
    <w:rsid w:val="006116E2"/>
    <w:pPr>
      <w:ind w:left="720"/>
      <w:contextualSpacing/>
    </w:pPr>
  </w:style>
  <w:style w:type="character" w:customStyle="1" w:styleId="1Char">
    <w:name w:val="标题 1 Char"/>
    <w:basedOn w:val="a0"/>
    <w:link w:val="1"/>
    <w:uiPriority w:val="9"/>
    <w:rsid w:val="009B75E5"/>
    <w:rPr>
      <w:b/>
      <w:bCs/>
      <w:kern w:val="44"/>
      <w:sz w:val="44"/>
      <w:szCs w:val="44"/>
    </w:rPr>
  </w:style>
  <w:style w:type="character" w:customStyle="1" w:styleId="text">
    <w:name w:val="text"/>
    <w:basedOn w:val="a0"/>
    <w:rsid w:val="001F7C1E"/>
  </w:style>
  <w:style w:type="character" w:customStyle="1" w:styleId="author-ref">
    <w:name w:val="author-ref"/>
    <w:basedOn w:val="a0"/>
    <w:rsid w:val="001F7C1E"/>
  </w:style>
  <w:style w:type="character" w:customStyle="1" w:styleId="il">
    <w:name w:val="il"/>
    <w:basedOn w:val="a0"/>
    <w:rsid w:val="005F6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43"/>
    <w:pPr>
      <w:widowControl w:val="0"/>
      <w:jc w:val="both"/>
    </w:pPr>
  </w:style>
  <w:style w:type="paragraph" w:styleId="1">
    <w:name w:val="heading 1"/>
    <w:basedOn w:val="a"/>
    <w:next w:val="a"/>
    <w:link w:val="1Char"/>
    <w:uiPriority w:val="9"/>
    <w:qFormat/>
    <w:rsid w:val="009B75E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1304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1304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433D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1304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13043"/>
    <w:rPr>
      <w:b/>
      <w:bCs/>
      <w:sz w:val="32"/>
      <w:szCs w:val="32"/>
    </w:rPr>
  </w:style>
  <w:style w:type="paragraph" w:styleId="a3">
    <w:name w:val="Normal (Web)"/>
    <w:basedOn w:val="a"/>
    <w:uiPriority w:val="99"/>
    <w:unhideWhenUsed/>
    <w:rsid w:val="00313043"/>
    <w:pPr>
      <w:widowControl/>
      <w:spacing w:before="100" w:beforeAutospacing="1" w:after="100" w:afterAutospacing="1"/>
      <w:jc w:val="left"/>
    </w:pPr>
    <w:rPr>
      <w:rFonts w:ascii="宋体" w:eastAsia="宋体" w:hAnsi="宋体" w:cs="宋体"/>
      <w:kern w:val="0"/>
      <w:sz w:val="24"/>
      <w:szCs w:val="24"/>
    </w:rPr>
  </w:style>
  <w:style w:type="paragraph" w:styleId="a4">
    <w:name w:val="footnote text"/>
    <w:basedOn w:val="a"/>
    <w:link w:val="Char"/>
    <w:uiPriority w:val="99"/>
    <w:semiHidden/>
    <w:unhideWhenUsed/>
    <w:rsid w:val="00313043"/>
    <w:pPr>
      <w:snapToGrid w:val="0"/>
      <w:jc w:val="left"/>
    </w:pPr>
    <w:rPr>
      <w:sz w:val="18"/>
      <w:szCs w:val="18"/>
    </w:rPr>
  </w:style>
  <w:style w:type="character" w:customStyle="1" w:styleId="Char">
    <w:name w:val="脚注文本 Char"/>
    <w:basedOn w:val="a0"/>
    <w:link w:val="a4"/>
    <w:uiPriority w:val="99"/>
    <w:semiHidden/>
    <w:rsid w:val="00313043"/>
    <w:rPr>
      <w:sz w:val="18"/>
      <w:szCs w:val="18"/>
    </w:rPr>
  </w:style>
  <w:style w:type="character" w:styleId="a5">
    <w:name w:val="footnote reference"/>
    <w:basedOn w:val="a0"/>
    <w:uiPriority w:val="99"/>
    <w:semiHidden/>
    <w:unhideWhenUsed/>
    <w:rsid w:val="00313043"/>
    <w:rPr>
      <w:vertAlign w:val="superscript"/>
    </w:rPr>
  </w:style>
  <w:style w:type="paragraph" w:styleId="a6">
    <w:name w:val="Balloon Text"/>
    <w:basedOn w:val="a"/>
    <w:link w:val="Char0"/>
    <w:uiPriority w:val="99"/>
    <w:semiHidden/>
    <w:unhideWhenUsed/>
    <w:rsid w:val="00313043"/>
    <w:rPr>
      <w:sz w:val="18"/>
      <w:szCs w:val="18"/>
    </w:rPr>
  </w:style>
  <w:style w:type="character" w:customStyle="1" w:styleId="Char0">
    <w:name w:val="批注框文本 Char"/>
    <w:basedOn w:val="a0"/>
    <w:link w:val="a6"/>
    <w:uiPriority w:val="99"/>
    <w:semiHidden/>
    <w:rsid w:val="00313043"/>
    <w:rPr>
      <w:sz w:val="18"/>
      <w:szCs w:val="18"/>
    </w:rPr>
  </w:style>
  <w:style w:type="character" w:customStyle="1" w:styleId="apple-converted-space">
    <w:name w:val="apple-converted-space"/>
    <w:basedOn w:val="a0"/>
    <w:rsid w:val="000C415B"/>
  </w:style>
  <w:style w:type="character" w:customStyle="1" w:styleId="4Char">
    <w:name w:val="标题 4 Char"/>
    <w:basedOn w:val="a0"/>
    <w:link w:val="4"/>
    <w:uiPriority w:val="9"/>
    <w:rsid w:val="001433D0"/>
    <w:rPr>
      <w:rFonts w:asciiTheme="majorHAnsi" w:eastAsiaTheme="majorEastAsia" w:hAnsiTheme="majorHAnsi" w:cstheme="majorBidi"/>
      <w:b/>
      <w:bCs/>
      <w:sz w:val="28"/>
      <w:szCs w:val="28"/>
    </w:rPr>
  </w:style>
  <w:style w:type="paragraph" w:styleId="a7">
    <w:name w:val="caption"/>
    <w:basedOn w:val="a"/>
    <w:next w:val="a"/>
    <w:uiPriority w:val="35"/>
    <w:unhideWhenUsed/>
    <w:qFormat/>
    <w:rsid w:val="001433D0"/>
    <w:rPr>
      <w:rFonts w:asciiTheme="majorHAnsi" w:eastAsia="黑体" w:hAnsiTheme="majorHAnsi" w:cstheme="majorBidi"/>
      <w:sz w:val="20"/>
      <w:szCs w:val="20"/>
    </w:rPr>
  </w:style>
  <w:style w:type="paragraph" w:styleId="a8">
    <w:name w:val="header"/>
    <w:basedOn w:val="a"/>
    <w:link w:val="Char1"/>
    <w:uiPriority w:val="99"/>
    <w:unhideWhenUsed/>
    <w:rsid w:val="009E23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E2365"/>
    <w:rPr>
      <w:sz w:val="18"/>
      <w:szCs w:val="18"/>
    </w:rPr>
  </w:style>
  <w:style w:type="paragraph" w:styleId="a9">
    <w:name w:val="footer"/>
    <w:basedOn w:val="a"/>
    <w:link w:val="Char2"/>
    <w:uiPriority w:val="99"/>
    <w:unhideWhenUsed/>
    <w:rsid w:val="009E2365"/>
    <w:pPr>
      <w:tabs>
        <w:tab w:val="center" w:pos="4153"/>
        <w:tab w:val="right" w:pos="8306"/>
      </w:tabs>
      <w:snapToGrid w:val="0"/>
      <w:jc w:val="left"/>
    </w:pPr>
    <w:rPr>
      <w:sz w:val="18"/>
      <w:szCs w:val="18"/>
    </w:rPr>
  </w:style>
  <w:style w:type="character" w:customStyle="1" w:styleId="Char2">
    <w:name w:val="页脚 Char"/>
    <w:basedOn w:val="a0"/>
    <w:link w:val="a9"/>
    <w:uiPriority w:val="99"/>
    <w:rsid w:val="009E2365"/>
    <w:rPr>
      <w:sz w:val="18"/>
      <w:szCs w:val="18"/>
    </w:rPr>
  </w:style>
  <w:style w:type="character" w:customStyle="1" w:styleId="mw-headline">
    <w:name w:val="mw-headline"/>
    <w:basedOn w:val="a0"/>
    <w:rsid w:val="00393BD6"/>
  </w:style>
  <w:style w:type="paragraph" w:customStyle="1" w:styleId="Default">
    <w:name w:val="Default"/>
    <w:rsid w:val="001E66F6"/>
    <w:pPr>
      <w:widowControl w:val="0"/>
      <w:autoSpaceDE w:val="0"/>
      <w:autoSpaceDN w:val="0"/>
      <w:adjustRightInd w:val="0"/>
    </w:pPr>
    <w:rPr>
      <w:rFonts w:ascii="Times New Roman" w:hAnsi="Times New Roman" w:cs="Times New Roman"/>
      <w:color w:val="000000"/>
      <w:kern w:val="0"/>
      <w:sz w:val="24"/>
      <w:szCs w:val="24"/>
    </w:rPr>
  </w:style>
  <w:style w:type="character" w:styleId="aa">
    <w:name w:val="annotation reference"/>
    <w:basedOn w:val="a0"/>
    <w:uiPriority w:val="99"/>
    <w:semiHidden/>
    <w:unhideWhenUsed/>
    <w:rsid w:val="0098312F"/>
    <w:rPr>
      <w:sz w:val="16"/>
      <w:szCs w:val="16"/>
    </w:rPr>
  </w:style>
  <w:style w:type="paragraph" w:styleId="ab">
    <w:name w:val="annotation text"/>
    <w:basedOn w:val="a"/>
    <w:link w:val="Char3"/>
    <w:uiPriority w:val="99"/>
    <w:semiHidden/>
    <w:unhideWhenUsed/>
    <w:rsid w:val="0098312F"/>
    <w:rPr>
      <w:sz w:val="20"/>
      <w:szCs w:val="20"/>
    </w:rPr>
  </w:style>
  <w:style w:type="character" w:customStyle="1" w:styleId="Char3">
    <w:name w:val="批注文字 Char"/>
    <w:basedOn w:val="a0"/>
    <w:link w:val="ab"/>
    <w:uiPriority w:val="99"/>
    <w:semiHidden/>
    <w:rsid w:val="0098312F"/>
    <w:rPr>
      <w:sz w:val="20"/>
      <w:szCs w:val="20"/>
    </w:rPr>
  </w:style>
  <w:style w:type="paragraph" w:styleId="ac">
    <w:name w:val="annotation subject"/>
    <w:basedOn w:val="ab"/>
    <w:next w:val="ab"/>
    <w:link w:val="Char4"/>
    <w:uiPriority w:val="99"/>
    <w:semiHidden/>
    <w:unhideWhenUsed/>
    <w:rsid w:val="0098312F"/>
    <w:rPr>
      <w:b/>
      <w:bCs/>
    </w:rPr>
  </w:style>
  <w:style w:type="character" w:customStyle="1" w:styleId="Char4">
    <w:name w:val="批注主题 Char"/>
    <w:basedOn w:val="Char3"/>
    <w:link w:val="ac"/>
    <w:uiPriority w:val="99"/>
    <w:semiHidden/>
    <w:rsid w:val="0098312F"/>
    <w:rPr>
      <w:b/>
      <w:bCs/>
      <w:sz w:val="20"/>
      <w:szCs w:val="20"/>
    </w:rPr>
  </w:style>
  <w:style w:type="paragraph" w:styleId="ad">
    <w:name w:val="Revision"/>
    <w:hidden/>
    <w:uiPriority w:val="99"/>
    <w:semiHidden/>
    <w:rsid w:val="0098312F"/>
  </w:style>
  <w:style w:type="character" w:styleId="ae">
    <w:name w:val="Emphasis"/>
    <w:basedOn w:val="a0"/>
    <w:uiPriority w:val="20"/>
    <w:qFormat/>
    <w:rsid w:val="00662573"/>
    <w:rPr>
      <w:i/>
      <w:iCs/>
    </w:rPr>
  </w:style>
  <w:style w:type="character" w:styleId="af">
    <w:name w:val="Hyperlink"/>
    <w:basedOn w:val="a0"/>
    <w:uiPriority w:val="99"/>
    <w:semiHidden/>
    <w:unhideWhenUsed/>
    <w:rsid w:val="006248DD"/>
    <w:rPr>
      <w:color w:val="0000FF"/>
      <w:u w:val="single"/>
    </w:rPr>
  </w:style>
  <w:style w:type="paragraph" w:styleId="af0">
    <w:name w:val="List Paragraph"/>
    <w:basedOn w:val="a"/>
    <w:uiPriority w:val="34"/>
    <w:qFormat/>
    <w:rsid w:val="006116E2"/>
    <w:pPr>
      <w:ind w:left="720"/>
      <w:contextualSpacing/>
    </w:pPr>
  </w:style>
  <w:style w:type="character" w:customStyle="1" w:styleId="1Char">
    <w:name w:val="标题 1 Char"/>
    <w:basedOn w:val="a0"/>
    <w:link w:val="1"/>
    <w:uiPriority w:val="9"/>
    <w:rsid w:val="009B75E5"/>
    <w:rPr>
      <w:b/>
      <w:bCs/>
      <w:kern w:val="44"/>
      <w:sz w:val="44"/>
      <w:szCs w:val="44"/>
    </w:rPr>
  </w:style>
  <w:style w:type="character" w:customStyle="1" w:styleId="text">
    <w:name w:val="text"/>
    <w:basedOn w:val="a0"/>
    <w:rsid w:val="001F7C1E"/>
  </w:style>
  <w:style w:type="character" w:customStyle="1" w:styleId="author-ref">
    <w:name w:val="author-ref"/>
    <w:basedOn w:val="a0"/>
    <w:rsid w:val="001F7C1E"/>
  </w:style>
  <w:style w:type="character" w:customStyle="1" w:styleId="il">
    <w:name w:val="il"/>
    <w:basedOn w:val="a0"/>
    <w:rsid w:val="005F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3997">
      <w:bodyDiv w:val="1"/>
      <w:marLeft w:val="0"/>
      <w:marRight w:val="0"/>
      <w:marTop w:val="0"/>
      <w:marBottom w:val="0"/>
      <w:divBdr>
        <w:top w:val="none" w:sz="0" w:space="0" w:color="auto"/>
        <w:left w:val="none" w:sz="0" w:space="0" w:color="auto"/>
        <w:bottom w:val="none" w:sz="0" w:space="0" w:color="auto"/>
        <w:right w:val="none" w:sz="0" w:space="0" w:color="auto"/>
      </w:divBdr>
    </w:div>
    <w:div w:id="298732731">
      <w:bodyDiv w:val="1"/>
      <w:marLeft w:val="0"/>
      <w:marRight w:val="0"/>
      <w:marTop w:val="0"/>
      <w:marBottom w:val="0"/>
      <w:divBdr>
        <w:top w:val="none" w:sz="0" w:space="0" w:color="auto"/>
        <w:left w:val="none" w:sz="0" w:space="0" w:color="auto"/>
        <w:bottom w:val="none" w:sz="0" w:space="0" w:color="auto"/>
        <w:right w:val="none" w:sz="0" w:space="0" w:color="auto"/>
      </w:divBdr>
    </w:div>
    <w:div w:id="323558313">
      <w:bodyDiv w:val="1"/>
      <w:marLeft w:val="0"/>
      <w:marRight w:val="0"/>
      <w:marTop w:val="0"/>
      <w:marBottom w:val="0"/>
      <w:divBdr>
        <w:top w:val="none" w:sz="0" w:space="0" w:color="auto"/>
        <w:left w:val="none" w:sz="0" w:space="0" w:color="auto"/>
        <w:bottom w:val="none" w:sz="0" w:space="0" w:color="auto"/>
        <w:right w:val="none" w:sz="0" w:space="0" w:color="auto"/>
      </w:divBdr>
    </w:div>
    <w:div w:id="426770669">
      <w:bodyDiv w:val="1"/>
      <w:marLeft w:val="0"/>
      <w:marRight w:val="0"/>
      <w:marTop w:val="0"/>
      <w:marBottom w:val="0"/>
      <w:divBdr>
        <w:top w:val="none" w:sz="0" w:space="0" w:color="auto"/>
        <w:left w:val="none" w:sz="0" w:space="0" w:color="auto"/>
        <w:bottom w:val="none" w:sz="0" w:space="0" w:color="auto"/>
        <w:right w:val="none" w:sz="0" w:space="0" w:color="auto"/>
      </w:divBdr>
    </w:div>
    <w:div w:id="430054084">
      <w:bodyDiv w:val="1"/>
      <w:marLeft w:val="0"/>
      <w:marRight w:val="0"/>
      <w:marTop w:val="0"/>
      <w:marBottom w:val="0"/>
      <w:divBdr>
        <w:top w:val="none" w:sz="0" w:space="0" w:color="auto"/>
        <w:left w:val="none" w:sz="0" w:space="0" w:color="auto"/>
        <w:bottom w:val="none" w:sz="0" w:space="0" w:color="auto"/>
        <w:right w:val="none" w:sz="0" w:space="0" w:color="auto"/>
      </w:divBdr>
    </w:div>
    <w:div w:id="477500031">
      <w:bodyDiv w:val="1"/>
      <w:marLeft w:val="0"/>
      <w:marRight w:val="0"/>
      <w:marTop w:val="0"/>
      <w:marBottom w:val="0"/>
      <w:divBdr>
        <w:top w:val="none" w:sz="0" w:space="0" w:color="auto"/>
        <w:left w:val="none" w:sz="0" w:space="0" w:color="auto"/>
        <w:bottom w:val="none" w:sz="0" w:space="0" w:color="auto"/>
        <w:right w:val="none" w:sz="0" w:space="0" w:color="auto"/>
      </w:divBdr>
    </w:div>
    <w:div w:id="556934356">
      <w:bodyDiv w:val="1"/>
      <w:marLeft w:val="0"/>
      <w:marRight w:val="0"/>
      <w:marTop w:val="0"/>
      <w:marBottom w:val="0"/>
      <w:divBdr>
        <w:top w:val="none" w:sz="0" w:space="0" w:color="auto"/>
        <w:left w:val="none" w:sz="0" w:space="0" w:color="auto"/>
        <w:bottom w:val="none" w:sz="0" w:space="0" w:color="auto"/>
        <w:right w:val="none" w:sz="0" w:space="0" w:color="auto"/>
      </w:divBdr>
    </w:div>
    <w:div w:id="791289927">
      <w:bodyDiv w:val="1"/>
      <w:marLeft w:val="0"/>
      <w:marRight w:val="0"/>
      <w:marTop w:val="0"/>
      <w:marBottom w:val="0"/>
      <w:divBdr>
        <w:top w:val="none" w:sz="0" w:space="0" w:color="auto"/>
        <w:left w:val="none" w:sz="0" w:space="0" w:color="auto"/>
        <w:bottom w:val="none" w:sz="0" w:space="0" w:color="auto"/>
        <w:right w:val="none" w:sz="0" w:space="0" w:color="auto"/>
      </w:divBdr>
    </w:div>
    <w:div w:id="934822740">
      <w:bodyDiv w:val="1"/>
      <w:marLeft w:val="0"/>
      <w:marRight w:val="0"/>
      <w:marTop w:val="0"/>
      <w:marBottom w:val="0"/>
      <w:divBdr>
        <w:top w:val="none" w:sz="0" w:space="0" w:color="auto"/>
        <w:left w:val="none" w:sz="0" w:space="0" w:color="auto"/>
        <w:bottom w:val="none" w:sz="0" w:space="0" w:color="auto"/>
        <w:right w:val="none" w:sz="0" w:space="0" w:color="auto"/>
      </w:divBdr>
    </w:div>
    <w:div w:id="1037509929">
      <w:bodyDiv w:val="1"/>
      <w:marLeft w:val="0"/>
      <w:marRight w:val="0"/>
      <w:marTop w:val="0"/>
      <w:marBottom w:val="0"/>
      <w:divBdr>
        <w:top w:val="none" w:sz="0" w:space="0" w:color="auto"/>
        <w:left w:val="none" w:sz="0" w:space="0" w:color="auto"/>
        <w:bottom w:val="none" w:sz="0" w:space="0" w:color="auto"/>
        <w:right w:val="none" w:sz="0" w:space="0" w:color="auto"/>
      </w:divBdr>
    </w:div>
    <w:div w:id="1086076844">
      <w:bodyDiv w:val="1"/>
      <w:marLeft w:val="0"/>
      <w:marRight w:val="0"/>
      <w:marTop w:val="0"/>
      <w:marBottom w:val="0"/>
      <w:divBdr>
        <w:top w:val="none" w:sz="0" w:space="0" w:color="auto"/>
        <w:left w:val="none" w:sz="0" w:space="0" w:color="auto"/>
        <w:bottom w:val="none" w:sz="0" w:space="0" w:color="auto"/>
        <w:right w:val="none" w:sz="0" w:space="0" w:color="auto"/>
      </w:divBdr>
    </w:div>
    <w:div w:id="1094596168">
      <w:bodyDiv w:val="1"/>
      <w:marLeft w:val="0"/>
      <w:marRight w:val="0"/>
      <w:marTop w:val="0"/>
      <w:marBottom w:val="0"/>
      <w:divBdr>
        <w:top w:val="none" w:sz="0" w:space="0" w:color="auto"/>
        <w:left w:val="none" w:sz="0" w:space="0" w:color="auto"/>
        <w:bottom w:val="none" w:sz="0" w:space="0" w:color="auto"/>
        <w:right w:val="none" w:sz="0" w:space="0" w:color="auto"/>
      </w:divBdr>
    </w:div>
    <w:div w:id="1155877239">
      <w:bodyDiv w:val="1"/>
      <w:marLeft w:val="0"/>
      <w:marRight w:val="0"/>
      <w:marTop w:val="0"/>
      <w:marBottom w:val="0"/>
      <w:divBdr>
        <w:top w:val="none" w:sz="0" w:space="0" w:color="auto"/>
        <w:left w:val="none" w:sz="0" w:space="0" w:color="auto"/>
        <w:bottom w:val="none" w:sz="0" w:space="0" w:color="auto"/>
        <w:right w:val="none" w:sz="0" w:space="0" w:color="auto"/>
      </w:divBdr>
    </w:div>
    <w:div w:id="1167983268">
      <w:bodyDiv w:val="1"/>
      <w:marLeft w:val="0"/>
      <w:marRight w:val="0"/>
      <w:marTop w:val="0"/>
      <w:marBottom w:val="0"/>
      <w:divBdr>
        <w:top w:val="none" w:sz="0" w:space="0" w:color="auto"/>
        <w:left w:val="none" w:sz="0" w:space="0" w:color="auto"/>
        <w:bottom w:val="none" w:sz="0" w:space="0" w:color="auto"/>
        <w:right w:val="none" w:sz="0" w:space="0" w:color="auto"/>
      </w:divBdr>
    </w:div>
    <w:div w:id="1181512185">
      <w:bodyDiv w:val="1"/>
      <w:marLeft w:val="0"/>
      <w:marRight w:val="0"/>
      <w:marTop w:val="0"/>
      <w:marBottom w:val="0"/>
      <w:divBdr>
        <w:top w:val="none" w:sz="0" w:space="0" w:color="auto"/>
        <w:left w:val="none" w:sz="0" w:space="0" w:color="auto"/>
        <w:bottom w:val="none" w:sz="0" w:space="0" w:color="auto"/>
        <w:right w:val="none" w:sz="0" w:space="0" w:color="auto"/>
      </w:divBdr>
    </w:div>
    <w:div w:id="1196697375">
      <w:bodyDiv w:val="1"/>
      <w:marLeft w:val="0"/>
      <w:marRight w:val="0"/>
      <w:marTop w:val="0"/>
      <w:marBottom w:val="0"/>
      <w:divBdr>
        <w:top w:val="none" w:sz="0" w:space="0" w:color="auto"/>
        <w:left w:val="none" w:sz="0" w:space="0" w:color="auto"/>
        <w:bottom w:val="none" w:sz="0" w:space="0" w:color="auto"/>
        <w:right w:val="none" w:sz="0" w:space="0" w:color="auto"/>
      </w:divBdr>
    </w:div>
    <w:div w:id="1199514130">
      <w:bodyDiv w:val="1"/>
      <w:marLeft w:val="0"/>
      <w:marRight w:val="0"/>
      <w:marTop w:val="0"/>
      <w:marBottom w:val="0"/>
      <w:divBdr>
        <w:top w:val="none" w:sz="0" w:space="0" w:color="auto"/>
        <w:left w:val="none" w:sz="0" w:space="0" w:color="auto"/>
        <w:bottom w:val="none" w:sz="0" w:space="0" w:color="auto"/>
        <w:right w:val="none" w:sz="0" w:space="0" w:color="auto"/>
      </w:divBdr>
    </w:div>
    <w:div w:id="1378311989">
      <w:bodyDiv w:val="1"/>
      <w:marLeft w:val="0"/>
      <w:marRight w:val="0"/>
      <w:marTop w:val="0"/>
      <w:marBottom w:val="0"/>
      <w:divBdr>
        <w:top w:val="none" w:sz="0" w:space="0" w:color="auto"/>
        <w:left w:val="none" w:sz="0" w:space="0" w:color="auto"/>
        <w:bottom w:val="none" w:sz="0" w:space="0" w:color="auto"/>
        <w:right w:val="none" w:sz="0" w:space="0" w:color="auto"/>
      </w:divBdr>
    </w:div>
    <w:div w:id="1400860758">
      <w:bodyDiv w:val="1"/>
      <w:marLeft w:val="0"/>
      <w:marRight w:val="0"/>
      <w:marTop w:val="0"/>
      <w:marBottom w:val="0"/>
      <w:divBdr>
        <w:top w:val="none" w:sz="0" w:space="0" w:color="auto"/>
        <w:left w:val="none" w:sz="0" w:space="0" w:color="auto"/>
        <w:bottom w:val="none" w:sz="0" w:space="0" w:color="auto"/>
        <w:right w:val="none" w:sz="0" w:space="0" w:color="auto"/>
      </w:divBdr>
    </w:div>
    <w:div w:id="1567063378">
      <w:bodyDiv w:val="1"/>
      <w:marLeft w:val="0"/>
      <w:marRight w:val="0"/>
      <w:marTop w:val="0"/>
      <w:marBottom w:val="0"/>
      <w:divBdr>
        <w:top w:val="none" w:sz="0" w:space="0" w:color="auto"/>
        <w:left w:val="none" w:sz="0" w:space="0" w:color="auto"/>
        <w:bottom w:val="none" w:sz="0" w:space="0" w:color="auto"/>
        <w:right w:val="none" w:sz="0" w:space="0" w:color="auto"/>
      </w:divBdr>
    </w:div>
    <w:div w:id="1613124540">
      <w:bodyDiv w:val="1"/>
      <w:marLeft w:val="0"/>
      <w:marRight w:val="0"/>
      <w:marTop w:val="0"/>
      <w:marBottom w:val="0"/>
      <w:divBdr>
        <w:top w:val="none" w:sz="0" w:space="0" w:color="auto"/>
        <w:left w:val="none" w:sz="0" w:space="0" w:color="auto"/>
        <w:bottom w:val="none" w:sz="0" w:space="0" w:color="auto"/>
        <w:right w:val="none" w:sz="0" w:space="0" w:color="auto"/>
      </w:divBdr>
    </w:div>
    <w:div w:id="1656254135">
      <w:bodyDiv w:val="1"/>
      <w:marLeft w:val="0"/>
      <w:marRight w:val="0"/>
      <w:marTop w:val="0"/>
      <w:marBottom w:val="0"/>
      <w:divBdr>
        <w:top w:val="none" w:sz="0" w:space="0" w:color="auto"/>
        <w:left w:val="none" w:sz="0" w:space="0" w:color="auto"/>
        <w:bottom w:val="none" w:sz="0" w:space="0" w:color="auto"/>
        <w:right w:val="none" w:sz="0" w:space="0" w:color="auto"/>
      </w:divBdr>
    </w:div>
    <w:div w:id="1701281230">
      <w:bodyDiv w:val="1"/>
      <w:marLeft w:val="0"/>
      <w:marRight w:val="0"/>
      <w:marTop w:val="0"/>
      <w:marBottom w:val="0"/>
      <w:divBdr>
        <w:top w:val="none" w:sz="0" w:space="0" w:color="auto"/>
        <w:left w:val="none" w:sz="0" w:space="0" w:color="auto"/>
        <w:bottom w:val="none" w:sz="0" w:space="0" w:color="auto"/>
        <w:right w:val="none" w:sz="0" w:space="0" w:color="auto"/>
      </w:divBdr>
      <w:divsChild>
        <w:div w:id="1931506051">
          <w:marLeft w:val="0"/>
          <w:marRight w:val="0"/>
          <w:marTop w:val="0"/>
          <w:marBottom w:val="0"/>
          <w:divBdr>
            <w:top w:val="none" w:sz="0" w:space="0" w:color="auto"/>
            <w:left w:val="none" w:sz="0" w:space="0" w:color="auto"/>
            <w:bottom w:val="none" w:sz="0" w:space="0" w:color="auto"/>
            <w:right w:val="none" w:sz="0" w:space="0" w:color="auto"/>
          </w:divBdr>
          <w:divsChild>
            <w:div w:id="810945660">
              <w:marLeft w:val="0"/>
              <w:marRight w:val="0"/>
              <w:marTop w:val="0"/>
              <w:marBottom w:val="0"/>
              <w:divBdr>
                <w:top w:val="none" w:sz="0" w:space="0" w:color="auto"/>
                <w:left w:val="none" w:sz="0" w:space="0" w:color="auto"/>
                <w:bottom w:val="none" w:sz="0" w:space="0" w:color="auto"/>
                <w:right w:val="none" w:sz="0" w:space="0" w:color="auto"/>
              </w:divBdr>
              <w:divsChild>
                <w:div w:id="945380732">
                  <w:marLeft w:val="0"/>
                  <w:marRight w:val="0"/>
                  <w:marTop w:val="0"/>
                  <w:marBottom w:val="0"/>
                  <w:divBdr>
                    <w:top w:val="none" w:sz="0" w:space="0" w:color="auto"/>
                    <w:left w:val="none" w:sz="0" w:space="0" w:color="auto"/>
                    <w:bottom w:val="none" w:sz="0" w:space="0" w:color="auto"/>
                    <w:right w:val="none" w:sz="0" w:space="0" w:color="auto"/>
                  </w:divBdr>
                  <w:divsChild>
                    <w:div w:id="2110005015">
                      <w:marLeft w:val="0"/>
                      <w:marRight w:val="0"/>
                      <w:marTop w:val="0"/>
                      <w:marBottom w:val="0"/>
                      <w:divBdr>
                        <w:top w:val="none" w:sz="0" w:space="0" w:color="auto"/>
                        <w:left w:val="none" w:sz="0" w:space="0" w:color="auto"/>
                        <w:bottom w:val="none" w:sz="0" w:space="0" w:color="auto"/>
                        <w:right w:val="none" w:sz="0" w:space="0" w:color="auto"/>
                      </w:divBdr>
                      <w:divsChild>
                        <w:div w:id="1304312622">
                          <w:marLeft w:val="0"/>
                          <w:marRight w:val="0"/>
                          <w:marTop w:val="0"/>
                          <w:marBottom w:val="0"/>
                          <w:divBdr>
                            <w:top w:val="none" w:sz="0" w:space="0" w:color="auto"/>
                            <w:left w:val="none" w:sz="0" w:space="0" w:color="auto"/>
                            <w:bottom w:val="none" w:sz="0" w:space="0" w:color="auto"/>
                            <w:right w:val="none" w:sz="0" w:space="0" w:color="auto"/>
                          </w:divBdr>
                          <w:divsChild>
                            <w:div w:id="611254614">
                              <w:marLeft w:val="0"/>
                              <w:marRight w:val="0"/>
                              <w:marTop w:val="0"/>
                              <w:marBottom w:val="0"/>
                              <w:divBdr>
                                <w:top w:val="none" w:sz="0" w:space="0" w:color="auto"/>
                                <w:left w:val="none" w:sz="0" w:space="0" w:color="auto"/>
                                <w:bottom w:val="none" w:sz="0" w:space="0" w:color="auto"/>
                                <w:right w:val="none" w:sz="0" w:space="0" w:color="auto"/>
                              </w:divBdr>
                              <w:divsChild>
                                <w:div w:id="1011638420">
                                  <w:marLeft w:val="0"/>
                                  <w:marRight w:val="0"/>
                                  <w:marTop w:val="0"/>
                                  <w:marBottom w:val="0"/>
                                  <w:divBdr>
                                    <w:top w:val="none" w:sz="0" w:space="0" w:color="auto"/>
                                    <w:left w:val="none" w:sz="0" w:space="0" w:color="auto"/>
                                    <w:bottom w:val="none" w:sz="0" w:space="0" w:color="auto"/>
                                    <w:right w:val="none" w:sz="0" w:space="0" w:color="auto"/>
                                  </w:divBdr>
                                  <w:divsChild>
                                    <w:div w:id="15755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346472">
      <w:bodyDiv w:val="1"/>
      <w:marLeft w:val="0"/>
      <w:marRight w:val="0"/>
      <w:marTop w:val="0"/>
      <w:marBottom w:val="0"/>
      <w:divBdr>
        <w:top w:val="none" w:sz="0" w:space="0" w:color="auto"/>
        <w:left w:val="none" w:sz="0" w:space="0" w:color="auto"/>
        <w:bottom w:val="none" w:sz="0" w:space="0" w:color="auto"/>
        <w:right w:val="none" w:sz="0" w:space="0" w:color="auto"/>
      </w:divBdr>
    </w:div>
    <w:div w:id="1732653083">
      <w:bodyDiv w:val="1"/>
      <w:marLeft w:val="0"/>
      <w:marRight w:val="0"/>
      <w:marTop w:val="0"/>
      <w:marBottom w:val="0"/>
      <w:divBdr>
        <w:top w:val="none" w:sz="0" w:space="0" w:color="auto"/>
        <w:left w:val="none" w:sz="0" w:space="0" w:color="auto"/>
        <w:bottom w:val="none" w:sz="0" w:space="0" w:color="auto"/>
        <w:right w:val="none" w:sz="0" w:space="0" w:color="auto"/>
      </w:divBdr>
    </w:div>
    <w:div w:id="2043898542">
      <w:bodyDiv w:val="1"/>
      <w:marLeft w:val="0"/>
      <w:marRight w:val="0"/>
      <w:marTop w:val="0"/>
      <w:marBottom w:val="0"/>
      <w:divBdr>
        <w:top w:val="none" w:sz="0" w:space="0" w:color="auto"/>
        <w:left w:val="none" w:sz="0" w:space="0" w:color="auto"/>
        <w:bottom w:val="none" w:sz="0" w:space="0" w:color="auto"/>
        <w:right w:val="none" w:sz="0" w:space="0" w:color="auto"/>
      </w:divBdr>
    </w:div>
    <w:div w:id="21172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ezproxy.canterbury.ac.nz/science/article/pii/S0304405X13003012?_rdoc=1&amp;_fmt=high&amp;_origin=gateway&amp;_docanchor=&amp;md5=b8429449ccfc9c30159a5f9aeaa92ffb&amp;ccp=y"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s://www.sciencedirect.com/science/article/pii/S037842661630114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cholar.google.co.nz/citations?user=ILs-K8kAAAAJ&amp;hl=en&amp;oi=sra"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s://www.sciencedirect.com/science/article/pii/S0378426617302844" TargetMode="External"/><Relationship Id="rId3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nz/citations?user=5-y36GEAAAAJ&amp;hl=en&amp;oi=sra"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chart" Target="charts/chart3.xml"/><Relationship Id="rId40"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hyperlink" Target="https://www-sciencedirect-com.ezproxy.canterbury.ac.nz/science/article/pii/S0304405X13003012?_rdoc=1&amp;_fmt=high&amp;_origin=gateway&amp;_docanchor=&amp;md5=b8429449ccfc9c30159a5f9aeaa92ffb&amp;ccp=y"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chart" Target="charts/chart2.xml"/><Relationship Id="rId10" Type="http://schemas.openxmlformats.org/officeDocument/2006/relationships/hyperlink" Target="https://scholar.google.co.nz/citations?user=3oiQwWkAAAAJ&amp;hl=en&amp;oi=sra"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hyperlink" Target="https://en.wikipedia.org/wiki/115th_United_States_Congress" TargetMode="External"/><Relationship Id="rId14" Type="http://schemas.openxmlformats.org/officeDocument/2006/relationships/hyperlink" Target="https://www.sciencedirect.com/science/article/pii/S0304405X11002327"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X\Dropbox_No2222222222222222222222222222\chp3\results\old%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X\Dropbox_No2222222222222222222222222222\chp3\results\old%20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X\Dropbox_No2222222222222222222222222222\chp3\results\old%20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X\Dropbox_No2222222222222222222222222222\chp3\results\old%20figu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X\Dropbox_No2222222222222222222222222222\chp3\results\old%20figu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X\Dropbox_No2222222222222222222222222222\chp3\results\old%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altLang="zh-CN" sz="800">
                <a:latin typeface="Times New Roman" pitchFamily="18" charset="0"/>
                <a:cs typeface="Times New Roman" pitchFamily="18" charset="0"/>
              </a:rPr>
              <a:t>Panel</a:t>
            </a:r>
            <a:r>
              <a:rPr lang="en-US" altLang="zh-CN" sz="800" baseline="0">
                <a:latin typeface="Times New Roman" pitchFamily="18" charset="0"/>
                <a:cs typeface="Times New Roman" pitchFamily="18" charset="0"/>
              </a:rPr>
              <a:t> A </a:t>
            </a:r>
          </a:p>
          <a:p>
            <a:pPr>
              <a:defRPr sz="800"/>
            </a:pPr>
            <a:r>
              <a:rPr lang="en-US" altLang="zh-CN" sz="800" baseline="0">
                <a:latin typeface="Times New Roman" pitchFamily="18" charset="0"/>
                <a:cs typeface="Times New Roman" pitchFamily="18" charset="0"/>
              </a:rPr>
              <a:t>Full Sample Average Interest Derivative Use  </a:t>
            </a:r>
          </a:p>
        </c:rich>
      </c:tx>
      <c:overlay val="0"/>
    </c:title>
    <c:autoTitleDeleted val="0"/>
    <c:plotArea>
      <c:layout/>
      <c:lineChart>
        <c:grouping val="standard"/>
        <c:varyColors val="0"/>
        <c:ser>
          <c:idx val="0"/>
          <c:order val="0"/>
          <c:tx>
            <c:strRef>
              <c:f>'full sample 150+ '!$B$1</c:f>
              <c:strCache>
                <c:ptCount val="1"/>
                <c:pt idx="0">
                  <c:v>Interest Rate Derivatives for Trading</c:v>
                </c:pt>
              </c:strCache>
            </c:strRef>
          </c:tx>
          <c:marker>
            <c:symbol val="none"/>
          </c:marker>
          <c:cat>
            <c:strRef>
              <c:f>'full sample 150+ '!$A$2:$A$33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'full sample 150+ '!$B$2:$B$33</c:f>
              <c:numCache>
                <c:formatCode>0%</c:formatCode>
                <c:ptCount val="32"/>
                <c:pt idx="0">
                  <c:v>0.57202120000000001</c:v>
                </c:pt>
                <c:pt idx="1">
                  <c:v>0.58217470000000004</c:v>
                </c:pt>
                <c:pt idx="2">
                  <c:v>0.6204402</c:v>
                </c:pt>
                <c:pt idx="3">
                  <c:v>0.5531336</c:v>
                </c:pt>
                <c:pt idx="4">
                  <c:v>0.58860840000000003</c:v>
                </c:pt>
                <c:pt idx="5">
                  <c:v>0.60288600000000003</c:v>
                </c:pt>
                <c:pt idx="6">
                  <c:v>0.5060711</c:v>
                </c:pt>
                <c:pt idx="7">
                  <c:v>0.52165700000000004</c:v>
                </c:pt>
                <c:pt idx="8">
                  <c:v>0.59220150000000005</c:v>
                </c:pt>
                <c:pt idx="9">
                  <c:v>0.61185330000000004</c:v>
                </c:pt>
                <c:pt idx="10">
                  <c:v>0.60727279999999995</c:v>
                </c:pt>
                <c:pt idx="11">
                  <c:v>0.61018749999999999</c:v>
                </c:pt>
                <c:pt idx="12">
                  <c:v>0.58777230000000003</c:v>
                </c:pt>
                <c:pt idx="13">
                  <c:v>0.60633179999999998</c:v>
                </c:pt>
                <c:pt idx="14">
                  <c:v>0.6173052</c:v>
                </c:pt>
                <c:pt idx="15">
                  <c:v>0.61421230000000004</c:v>
                </c:pt>
                <c:pt idx="16">
                  <c:v>0.61971710000000002</c:v>
                </c:pt>
                <c:pt idx="17">
                  <c:v>0.62301930000000005</c:v>
                </c:pt>
                <c:pt idx="18">
                  <c:v>0.60870500000000005</c:v>
                </c:pt>
                <c:pt idx="19">
                  <c:v>0.56885889999999995</c:v>
                </c:pt>
                <c:pt idx="20">
                  <c:v>0.53493009999999996</c:v>
                </c:pt>
                <c:pt idx="21">
                  <c:v>0.51888049999999997</c:v>
                </c:pt>
                <c:pt idx="22">
                  <c:v>0.52351440000000005</c:v>
                </c:pt>
                <c:pt idx="23">
                  <c:v>0.50518540000000001</c:v>
                </c:pt>
                <c:pt idx="24">
                  <c:v>0.51579889999999995</c:v>
                </c:pt>
                <c:pt idx="25">
                  <c:v>0.52390380000000003</c:v>
                </c:pt>
                <c:pt idx="26">
                  <c:v>0.52445140000000001</c:v>
                </c:pt>
                <c:pt idx="27">
                  <c:v>0.52445810000000004</c:v>
                </c:pt>
                <c:pt idx="28">
                  <c:v>0.49266710000000002</c:v>
                </c:pt>
                <c:pt idx="29">
                  <c:v>0.50161409999999995</c:v>
                </c:pt>
                <c:pt idx="30">
                  <c:v>0.50423879999999999</c:v>
                </c:pt>
                <c:pt idx="31">
                  <c:v>0.49229270000000003</c:v>
                </c:pt>
              </c:numCache>
            </c:numRef>
          </c:val>
          <c:smooth val="0"/>
        </c:ser>
        <c:dLbls>
          <c:showLegendKey val="0"/>
          <c:showVal val="0"/>
          <c:showCatName val="0"/>
          <c:showSerName val="0"/>
          <c:showPercent val="0"/>
          <c:showBubbleSize val="0"/>
        </c:dLbls>
        <c:marker val="1"/>
        <c:smooth val="0"/>
        <c:axId val="422024704"/>
        <c:axId val="422026240"/>
      </c:lineChart>
      <c:lineChart>
        <c:grouping val="standard"/>
        <c:varyColors val="0"/>
        <c:ser>
          <c:idx val="1"/>
          <c:order val="1"/>
          <c:tx>
            <c:strRef>
              <c:f>'full sample 150+ '!$C$1</c:f>
              <c:strCache>
                <c:ptCount val="1"/>
                <c:pt idx="0">
                  <c:v>Interest Rate Derivatives for Hedging</c:v>
                </c:pt>
              </c:strCache>
            </c:strRef>
          </c:tx>
          <c:spPr>
            <a:ln>
              <a:solidFill>
                <a:srgbClr val="C00000"/>
              </a:solidFill>
              <a:prstDash val="dash"/>
            </a:ln>
          </c:spPr>
          <c:marker>
            <c:symbol val="none"/>
          </c:marker>
          <c:cat>
            <c:strRef>
              <c:f>'full sample 150+ '!$A$2:$A$33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'full sample 150+ '!$C$2:$C$33</c:f>
              <c:numCache>
                <c:formatCode>0%</c:formatCode>
                <c:ptCount val="32"/>
                <c:pt idx="0">
                  <c:v>5.5474099999999998E-2</c:v>
                </c:pt>
                <c:pt idx="1">
                  <c:v>5.45186E-2</c:v>
                </c:pt>
                <c:pt idx="2">
                  <c:v>5.1197199999999998E-2</c:v>
                </c:pt>
                <c:pt idx="3">
                  <c:v>4.7690999999999997E-2</c:v>
                </c:pt>
                <c:pt idx="4">
                  <c:v>5.2745899999999998E-2</c:v>
                </c:pt>
                <c:pt idx="5">
                  <c:v>4.77717E-2</c:v>
                </c:pt>
                <c:pt idx="6">
                  <c:v>4.3376999999999999E-2</c:v>
                </c:pt>
                <c:pt idx="7">
                  <c:v>4.3192399999999999E-2</c:v>
                </c:pt>
                <c:pt idx="8">
                  <c:v>5.1757499999999998E-2</c:v>
                </c:pt>
                <c:pt idx="9">
                  <c:v>5.0058900000000003E-2</c:v>
                </c:pt>
                <c:pt idx="10">
                  <c:v>4.5192000000000003E-2</c:v>
                </c:pt>
                <c:pt idx="11">
                  <c:v>4.3032599999999997E-2</c:v>
                </c:pt>
                <c:pt idx="12">
                  <c:v>4.6460099999999997E-2</c:v>
                </c:pt>
                <c:pt idx="13">
                  <c:v>5.0193700000000001E-2</c:v>
                </c:pt>
                <c:pt idx="14">
                  <c:v>5.4825499999999999E-2</c:v>
                </c:pt>
                <c:pt idx="15">
                  <c:v>4.9684499999999999E-2</c:v>
                </c:pt>
                <c:pt idx="16">
                  <c:v>4.5606300000000002E-2</c:v>
                </c:pt>
                <c:pt idx="17">
                  <c:v>4.7316799999999999E-2</c:v>
                </c:pt>
                <c:pt idx="18">
                  <c:v>5.37382E-2</c:v>
                </c:pt>
                <c:pt idx="19">
                  <c:v>5.16538E-2</c:v>
                </c:pt>
                <c:pt idx="20">
                  <c:v>5.0719800000000002E-2</c:v>
                </c:pt>
                <c:pt idx="21">
                  <c:v>5.4633000000000001E-2</c:v>
                </c:pt>
                <c:pt idx="22">
                  <c:v>5.4835399999999999E-2</c:v>
                </c:pt>
                <c:pt idx="23">
                  <c:v>5.1685200000000001E-2</c:v>
                </c:pt>
                <c:pt idx="24">
                  <c:v>5.2312900000000002E-2</c:v>
                </c:pt>
                <c:pt idx="25">
                  <c:v>5.1524199999999999E-2</c:v>
                </c:pt>
                <c:pt idx="26">
                  <c:v>4.6234299999999999E-2</c:v>
                </c:pt>
                <c:pt idx="27">
                  <c:v>4.5188300000000001E-2</c:v>
                </c:pt>
                <c:pt idx="28">
                  <c:v>4.3820699999999997E-2</c:v>
                </c:pt>
                <c:pt idx="29">
                  <c:v>4.6703399999999999E-2</c:v>
                </c:pt>
                <c:pt idx="30">
                  <c:v>4.4482800000000003E-2</c:v>
                </c:pt>
                <c:pt idx="31">
                  <c:v>4.4974100000000003E-2</c:v>
                </c:pt>
              </c:numCache>
            </c:numRef>
          </c:val>
          <c:smooth val="0"/>
        </c:ser>
        <c:dLbls>
          <c:showLegendKey val="0"/>
          <c:showVal val="0"/>
          <c:showCatName val="0"/>
          <c:showSerName val="0"/>
          <c:showPercent val="0"/>
          <c:showBubbleSize val="0"/>
        </c:dLbls>
        <c:marker val="1"/>
        <c:smooth val="0"/>
        <c:axId val="422075392"/>
        <c:axId val="422073472"/>
      </c:lineChart>
      <c:catAx>
        <c:axId val="422024704"/>
        <c:scaling>
          <c:orientation val="minMax"/>
        </c:scaling>
        <c:delete val="0"/>
        <c:axPos val="b"/>
        <c:numFmt formatCode="General" sourceLinked="1"/>
        <c:majorTickMark val="none"/>
        <c:minorTickMark val="none"/>
        <c:tickLblPos val="nextTo"/>
        <c:txPr>
          <a:bodyPr/>
          <a:lstStyle/>
          <a:p>
            <a:pPr>
              <a:defRPr sz="700"/>
            </a:pPr>
            <a:endParaRPr lang="zh-CN"/>
          </a:p>
        </c:txPr>
        <c:crossAx val="422026240"/>
        <c:crossesAt val="0"/>
        <c:auto val="1"/>
        <c:lblAlgn val="ctr"/>
        <c:lblOffset val="100"/>
        <c:noMultiLvlLbl val="0"/>
      </c:catAx>
      <c:valAx>
        <c:axId val="422026240"/>
        <c:scaling>
          <c:orientation val="minMax"/>
          <c:max val="0.70000000000000007"/>
          <c:min val="0.4"/>
        </c:scaling>
        <c:delete val="0"/>
        <c:axPos val="l"/>
        <c:majorGridlines/>
        <c:title>
          <c:tx>
            <c:rich>
              <a:bodyPr rot="-5400000" vert="horz"/>
              <a:lstStyle/>
              <a:p>
                <a:pPr>
                  <a:defRPr sz="700">
                    <a:latin typeface="Times New Roman" pitchFamily="18" charset="0"/>
                    <a:cs typeface="Times New Roman" pitchFamily="18" charset="0"/>
                  </a:defRPr>
                </a:pPr>
                <a:r>
                  <a:rPr lang="en-US" altLang="zh-CN" sz="700">
                    <a:latin typeface="Times New Roman" pitchFamily="18" charset="0"/>
                    <a:cs typeface="Times New Roman" pitchFamily="18" charset="0"/>
                  </a:rPr>
                  <a:t>Interest</a:t>
                </a:r>
                <a:r>
                  <a:rPr lang="en-US" altLang="zh-CN" sz="700" baseline="0">
                    <a:latin typeface="Times New Roman" pitchFamily="18" charset="0"/>
                    <a:cs typeface="Times New Roman" pitchFamily="18" charset="0"/>
                  </a:rPr>
                  <a:t> Rate Derivatives for Trading</a:t>
                </a:r>
                <a:endParaRPr lang="zh-CN" altLang="en-US" sz="700">
                  <a:latin typeface="Times New Roman" pitchFamily="18" charset="0"/>
                  <a:cs typeface="Times New Roman" pitchFamily="18" charset="0"/>
                </a:endParaRPr>
              </a:p>
            </c:rich>
          </c:tx>
          <c:layout>
            <c:manualLayout>
              <c:xMode val="edge"/>
              <c:yMode val="edge"/>
              <c:x val="4.8662546315632174E-2"/>
              <c:y val="0.12245922208281054"/>
            </c:manualLayout>
          </c:layout>
          <c:overlay val="0"/>
        </c:title>
        <c:numFmt formatCode="0%" sourceLinked="1"/>
        <c:majorTickMark val="none"/>
        <c:minorTickMark val="none"/>
        <c:tickLblPos val="nextTo"/>
        <c:spPr>
          <a:ln w="9525">
            <a:noFill/>
          </a:ln>
        </c:spPr>
        <c:txPr>
          <a:bodyPr/>
          <a:lstStyle/>
          <a:p>
            <a:pPr>
              <a:defRPr sz="700"/>
            </a:pPr>
            <a:endParaRPr lang="zh-CN"/>
          </a:p>
        </c:txPr>
        <c:crossAx val="422024704"/>
        <c:crosses val="autoZero"/>
        <c:crossBetween val="between"/>
      </c:valAx>
      <c:valAx>
        <c:axId val="422073472"/>
        <c:scaling>
          <c:orientation val="minMax"/>
          <c:min val="3.0000000000000006E-2"/>
        </c:scaling>
        <c:delete val="0"/>
        <c:axPos val="r"/>
        <c:title>
          <c:tx>
            <c:rich>
              <a:bodyPr rot="-5400000" vert="horz"/>
              <a:lstStyle/>
              <a:p>
                <a:pPr>
                  <a:defRPr sz="700">
                    <a:latin typeface="Times New Roman" pitchFamily="18" charset="0"/>
                    <a:cs typeface="Times New Roman" pitchFamily="18" charset="0"/>
                  </a:defRPr>
                </a:pPr>
                <a:r>
                  <a:rPr lang="en-US" altLang="zh-CN" sz="700" b="1" i="0" baseline="0">
                    <a:effectLst/>
                    <a:latin typeface="Times New Roman" pitchFamily="18" charset="0"/>
                    <a:cs typeface="Times New Roman" pitchFamily="18" charset="0"/>
                  </a:rPr>
                  <a:t>Interest Rate Derivatives for Hedging</a:t>
                </a:r>
              </a:p>
            </c:rich>
          </c:tx>
          <c:layout>
            <c:manualLayout>
              <c:xMode val="edge"/>
              <c:yMode val="edge"/>
              <c:x val="0.91130144967014315"/>
              <c:y val="0.11744040150564618"/>
            </c:manualLayout>
          </c:layout>
          <c:overlay val="0"/>
        </c:title>
        <c:numFmt formatCode="0.0%" sourceLinked="0"/>
        <c:majorTickMark val="none"/>
        <c:minorTickMark val="none"/>
        <c:tickLblPos val="nextTo"/>
        <c:spPr>
          <a:noFill/>
        </c:spPr>
        <c:txPr>
          <a:bodyPr/>
          <a:lstStyle/>
          <a:p>
            <a:pPr>
              <a:defRPr sz="700"/>
            </a:pPr>
            <a:endParaRPr lang="zh-CN"/>
          </a:p>
        </c:txPr>
        <c:crossAx val="422075392"/>
        <c:crosses val="max"/>
        <c:crossBetween val="between"/>
      </c:valAx>
      <c:catAx>
        <c:axId val="422075392"/>
        <c:scaling>
          <c:orientation val="minMax"/>
        </c:scaling>
        <c:delete val="1"/>
        <c:axPos val="b"/>
        <c:majorTickMark val="out"/>
        <c:minorTickMark val="none"/>
        <c:tickLblPos val="nextTo"/>
        <c:crossAx val="422073472"/>
        <c:crosses val="autoZero"/>
        <c:auto val="1"/>
        <c:lblAlgn val="ctr"/>
        <c:lblOffset val="100"/>
        <c:noMultiLvlLbl val="0"/>
      </c:catAx>
      <c:spPr>
        <a:noFill/>
        <a:ln>
          <a:noFill/>
        </a:ln>
      </c:spPr>
    </c:plotArea>
    <c:legend>
      <c:legendPos val="b"/>
      <c:overlay val="0"/>
      <c:txPr>
        <a:bodyPr/>
        <a:lstStyle/>
        <a:p>
          <a:pPr>
            <a:defRPr sz="7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altLang="zh-CN" sz="800">
                <a:latin typeface="Times New Roman" pitchFamily="18" charset="0"/>
                <a:cs typeface="Times New Roman" pitchFamily="18" charset="0"/>
              </a:rPr>
              <a:t>Panel</a:t>
            </a:r>
            <a:r>
              <a:rPr lang="en-US" altLang="zh-CN" sz="800" baseline="0">
                <a:latin typeface="Times New Roman" pitchFamily="18" charset="0"/>
                <a:cs typeface="Times New Roman" pitchFamily="18" charset="0"/>
              </a:rPr>
              <a:t> B </a:t>
            </a:r>
          </a:p>
          <a:p>
            <a:pPr>
              <a:defRPr sz="800"/>
            </a:pPr>
            <a:r>
              <a:rPr lang="en-US" altLang="zh-CN" sz="800" b="1" i="0" u="none" strike="noStrike" baseline="0">
                <a:effectLst/>
                <a:latin typeface="Times New Roman" pitchFamily="18" charset="0"/>
                <a:cs typeface="Times New Roman" pitchFamily="18" charset="0"/>
              </a:rPr>
              <a:t>Full Sample </a:t>
            </a:r>
            <a:r>
              <a:rPr lang="en-US" altLang="zh-CN" sz="800" baseline="0">
                <a:latin typeface="Times New Roman" pitchFamily="18" charset="0"/>
                <a:cs typeface="Times New Roman" pitchFamily="18" charset="0"/>
              </a:rPr>
              <a:t>Average Interest Derivative Use</a:t>
            </a:r>
          </a:p>
        </c:rich>
      </c:tx>
      <c:overlay val="0"/>
    </c:title>
    <c:autoTitleDeleted val="0"/>
    <c:plotArea>
      <c:layout>
        <c:manualLayout>
          <c:layoutTarget val="inner"/>
          <c:xMode val="edge"/>
          <c:yMode val="edge"/>
          <c:x val="0.19743097596652825"/>
          <c:y val="0.19271707443720709"/>
          <c:w val="0.6593603368418568"/>
          <c:h val="0.50258232150090398"/>
        </c:manualLayout>
      </c:layout>
      <c:lineChart>
        <c:grouping val="standard"/>
        <c:varyColors val="0"/>
        <c:ser>
          <c:idx val="0"/>
          <c:order val="0"/>
          <c:tx>
            <c:strRef>
              <c:f>'full sample 150+ '!$D$1</c:f>
              <c:strCache>
                <c:ptCount val="1"/>
                <c:pt idx="0">
                  <c:v>Interest Rate Derivatives Traded OTC</c:v>
                </c:pt>
              </c:strCache>
            </c:strRef>
          </c:tx>
          <c:spPr>
            <a:ln>
              <a:solidFill>
                <a:srgbClr val="00B050"/>
              </a:solidFill>
            </a:ln>
          </c:spPr>
          <c:marker>
            <c:symbol val="none"/>
          </c:marker>
          <c:cat>
            <c:strRef>
              <c:f>'full sample 150+ '!$A$2:$A$33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'full sample 150+ '!$D$2:$D$33</c:f>
              <c:numCache>
                <c:formatCode>0%</c:formatCode>
                <c:ptCount val="32"/>
                <c:pt idx="0">
                  <c:v>0.56290070000000003</c:v>
                </c:pt>
                <c:pt idx="1">
                  <c:v>0.57811500000000005</c:v>
                </c:pt>
                <c:pt idx="2">
                  <c:v>0.62184070000000002</c:v>
                </c:pt>
                <c:pt idx="3">
                  <c:v>0.55850120000000003</c:v>
                </c:pt>
                <c:pt idx="4">
                  <c:v>0.59769749999999999</c:v>
                </c:pt>
                <c:pt idx="5">
                  <c:v>0.60676220000000003</c:v>
                </c:pt>
                <c:pt idx="6">
                  <c:v>0.51057739999999996</c:v>
                </c:pt>
                <c:pt idx="7">
                  <c:v>0.53391710000000003</c:v>
                </c:pt>
                <c:pt idx="8">
                  <c:v>0.61105640000000006</c:v>
                </c:pt>
                <c:pt idx="9">
                  <c:v>0.62784090000000004</c:v>
                </c:pt>
                <c:pt idx="10">
                  <c:v>0.61555899999999997</c:v>
                </c:pt>
                <c:pt idx="11">
                  <c:v>0.61558299999999999</c:v>
                </c:pt>
                <c:pt idx="12">
                  <c:v>0.58920680000000003</c:v>
                </c:pt>
                <c:pt idx="13">
                  <c:v>0.61148760000000002</c:v>
                </c:pt>
                <c:pt idx="14">
                  <c:v>0.62779269999999998</c:v>
                </c:pt>
                <c:pt idx="15">
                  <c:v>0.62493690000000002</c:v>
                </c:pt>
                <c:pt idx="16">
                  <c:v>0.62317959999999994</c:v>
                </c:pt>
                <c:pt idx="17">
                  <c:v>0.62291399999999997</c:v>
                </c:pt>
                <c:pt idx="18">
                  <c:v>0.62115189999999998</c:v>
                </c:pt>
                <c:pt idx="19">
                  <c:v>0.58607450000000005</c:v>
                </c:pt>
                <c:pt idx="20">
                  <c:v>0.55163989999999996</c:v>
                </c:pt>
                <c:pt idx="21">
                  <c:v>0.54527000000000003</c:v>
                </c:pt>
                <c:pt idx="22">
                  <c:v>0.55147210000000002</c:v>
                </c:pt>
                <c:pt idx="23">
                  <c:v>0.53265750000000001</c:v>
                </c:pt>
                <c:pt idx="24">
                  <c:v>0.54040529999999998</c:v>
                </c:pt>
                <c:pt idx="25">
                  <c:v>0.54383890000000001</c:v>
                </c:pt>
                <c:pt idx="26">
                  <c:v>0.54047210000000001</c:v>
                </c:pt>
                <c:pt idx="27">
                  <c:v>0.539192</c:v>
                </c:pt>
                <c:pt idx="28">
                  <c:v>0.50583140000000004</c:v>
                </c:pt>
                <c:pt idx="29">
                  <c:v>0.51581460000000001</c:v>
                </c:pt>
                <c:pt idx="30">
                  <c:v>0.51523220000000003</c:v>
                </c:pt>
                <c:pt idx="31">
                  <c:v>0.4947686</c:v>
                </c:pt>
              </c:numCache>
            </c:numRef>
          </c:val>
          <c:smooth val="0"/>
        </c:ser>
        <c:dLbls>
          <c:showLegendKey val="0"/>
          <c:showVal val="0"/>
          <c:showCatName val="0"/>
          <c:showSerName val="0"/>
          <c:showPercent val="0"/>
          <c:showBubbleSize val="0"/>
        </c:dLbls>
        <c:marker val="1"/>
        <c:smooth val="0"/>
        <c:axId val="424195200"/>
        <c:axId val="424196736"/>
      </c:lineChart>
      <c:lineChart>
        <c:grouping val="standard"/>
        <c:varyColors val="0"/>
        <c:ser>
          <c:idx val="3"/>
          <c:order val="1"/>
          <c:tx>
            <c:strRef>
              <c:f>'full sample 150+ '!$E$1</c:f>
              <c:strCache>
                <c:ptCount val="1"/>
                <c:pt idx="0">
                  <c:v>Interest Rate Derivatives Traded in Exchange</c:v>
                </c:pt>
              </c:strCache>
            </c:strRef>
          </c:tx>
          <c:spPr>
            <a:ln>
              <a:solidFill>
                <a:srgbClr val="FF0000"/>
              </a:solidFill>
              <a:prstDash val="dash"/>
            </a:ln>
          </c:spPr>
          <c:marker>
            <c:symbol val="none"/>
          </c:marker>
          <c:cat>
            <c:strRef>
              <c:f>'full sample 150+ '!$A$2:$A$33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'full sample 150+ '!$E$2:$E$33</c:f>
              <c:numCache>
                <c:formatCode>0%</c:formatCode>
                <c:ptCount val="32"/>
                <c:pt idx="0">
                  <c:v>6.4594600000000002E-2</c:v>
                </c:pt>
                <c:pt idx="1">
                  <c:v>5.85783E-2</c:v>
                </c:pt>
                <c:pt idx="2">
                  <c:v>4.9796699999999999E-2</c:v>
                </c:pt>
                <c:pt idx="3">
                  <c:v>4.2323300000000001E-2</c:v>
                </c:pt>
                <c:pt idx="4">
                  <c:v>4.3656899999999998E-2</c:v>
                </c:pt>
                <c:pt idx="5">
                  <c:v>4.3895400000000001E-2</c:v>
                </c:pt>
                <c:pt idx="6">
                  <c:v>3.8870599999999998E-2</c:v>
                </c:pt>
                <c:pt idx="7">
                  <c:v>3.0932299999999999E-2</c:v>
                </c:pt>
                <c:pt idx="8">
                  <c:v>3.2902500000000001E-2</c:v>
                </c:pt>
                <c:pt idx="9">
                  <c:v>3.4071299999999999E-2</c:v>
                </c:pt>
                <c:pt idx="10">
                  <c:v>3.69057E-2</c:v>
                </c:pt>
                <c:pt idx="11">
                  <c:v>3.7637200000000003E-2</c:v>
                </c:pt>
                <c:pt idx="12">
                  <c:v>4.5025599999999999E-2</c:v>
                </c:pt>
                <c:pt idx="13">
                  <c:v>4.5037899999999999E-2</c:v>
                </c:pt>
                <c:pt idx="14">
                  <c:v>4.4338000000000002E-2</c:v>
                </c:pt>
                <c:pt idx="15">
                  <c:v>3.8959899999999999E-2</c:v>
                </c:pt>
                <c:pt idx="16">
                  <c:v>4.2143800000000002E-2</c:v>
                </c:pt>
                <c:pt idx="17">
                  <c:v>4.7422100000000002E-2</c:v>
                </c:pt>
                <c:pt idx="18">
                  <c:v>4.1291399999999999E-2</c:v>
                </c:pt>
                <c:pt idx="19">
                  <c:v>3.4438099999999999E-2</c:v>
                </c:pt>
                <c:pt idx="20">
                  <c:v>3.4010100000000001E-2</c:v>
                </c:pt>
                <c:pt idx="21">
                  <c:v>2.8243500000000001E-2</c:v>
                </c:pt>
                <c:pt idx="22">
                  <c:v>2.6877700000000001E-2</c:v>
                </c:pt>
                <c:pt idx="23">
                  <c:v>2.4212999999999998E-2</c:v>
                </c:pt>
                <c:pt idx="24">
                  <c:v>2.7706399999999999E-2</c:v>
                </c:pt>
                <c:pt idx="25">
                  <c:v>3.1589100000000002E-2</c:v>
                </c:pt>
                <c:pt idx="26">
                  <c:v>3.02136E-2</c:v>
                </c:pt>
                <c:pt idx="27">
                  <c:v>3.04544E-2</c:v>
                </c:pt>
                <c:pt idx="28">
                  <c:v>3.06564E-2</c:v>
                </c:pt>
                <c:pt idx="29">
                  <c:v>3.2502900000000001E-2</c:v>
                </c:pt>
                <c:pt idx="30">
                  <c:v>3.3489400000000002E-2</c:v>
                </c:pt>
                <c:pt idx="31">
                  <c:v>4.24982E-2</c:v>
                </c:pt>
              </c:numCache>
            </c:numRef>
          </c:val>
          <c:smooth val="0"/>
        </c:ser>
        <c:dLbls>
          <c:showLegendKey val="0"/>
          <c:showVal val="0"/>
          <c:showCatName val="0"/>
          <c:showSerName val="0"/>
          <c:showPercent val="0"/>
          <c:showBubbleSize val="0"/>
        </c:dLbls>
        <c:marker val="1"/>
        <c:smooth val="0"/>
        <c:axId val="424229504"/>
        <c:axId val="424227584"/>
      </c:lineChart>
      <c:catAx>
        <c:axId val="424195200"/>
        <c:scaling>
          <c:orientation val="minMax"/>
        </c:scaling>
        <c:delete val="0"/>
        <c:axPos val="b"/>
        <c:numFmt formatCode="General" sourceLinked="1"/>
        <c:majorTickMark val="none"/>
        <c:minorTickMark val="none"/>
        <c:tickLblPos val="nextTo"/>
        <c:txPr>
          <a:bodyPr/>
          <a:lstStyle/>
          <a:p>
            <a:pPr>
              <a:defRPr sz="700"/>
            </a:pPr>
            <a:endParaRPr lang="zh-CN"/>
          </a:p>
        </c:txPr>
        <c:crossAx val="424196736"/>
        <c:crosses val="autoZero"/>
        <c:auto val="1"/>
        <c:lblAlgn val="ctr"/>
        <c:lblOffset val="100"/>
        <c:noMultiLvlLbl val="0"/>
      </c:catAx>
      <c:valAx>
        <c:axId val="424196736"/>
        <c:scaling>
          <c:orientation val="minMax"/>
          <c:max val="0.70000000000000007"/>
          <c:min val="0.4"/>
        </c:scaling>
        <c:delete val="0"/>
        <c:axPos val="l"/>
        <c:majorGridlines/>
        <c:title>
          <c:tx>
            <c:rich>
              <a:bodyPr rot="-5400000" vert="horz"/>
              <a:lstStyle/>
              <a:p>
                <a:pPr>
                  <a:defRPr sz="700">
                    <a:latin typeface="Times New Roman" pitchFamily="18" charset="0"/>
                    <a:cs typeface="Times New Roman" pitchFamily="18" charset="0"/>
                  </a:defRPr>
                </a:pPr>
                <a:r>
                  <a:rPr lang="en-US" altLang="zh-CN" sz="700">
                    <a:latin typeface="Times New Roman" pitchFamily="18" charset="0"/>
                    <a:cs typeface="Times New Roman" pitchFamily="18" charset="0"/>
                  </a:rPr>
                  <a:t>Interest</a:t>
                </a:r>
                <a:r>
                  <a:rPr lang="en-US" altLang="zh-CN" sz="700" baseline="0">
                    <a:latin typeface="Times New Roman" pitchFamily="18" charset="0"/>
                    <a:cs typeface="Times New Roman" pitchFamily="18" charset="0"/>
                  </a:rPr>
                  <a:t> Rate Derivatives Traded OTC</a:t>
                </a:r>
                <a:endParaRPr lang="zh-CN" altLang="en-US" sz="700">
                  <a:latin typeface="Times New Roman" pitchFamily="18" charset="0"/>
                  <a:cs typeface="Times New Roman" pitchFamily="18" charset="0"/>
                </a:endParaRPr>
              </a:p>
            </c:rich>
          </c:tx>
          <c:layout>
            <c:manualLayout>
              <c:xMode val="edge"/>
              <c:yMode val="edge"/>
              <c:x val="4.2156867807422414E-2"/>
              <c:y val="0.12748159930447842"/>
            </c:manualLayout>
          </c:layout>
          <c:overlay val="0"/>
        </c:title>
        <c:numFmt formatCode="0%" sourceLinked="1"/>
        <c:majorTickMark val="none"/>
        <c:minorTickMark val="none"/>
        <c:tickLblPos val="nextTo"/>
        <c:spPr>
          <a:ln w="9525">
            <a:noFill/>
          </a:ln>
        </c:spPr>
        <c:txPr>
          <a:bodyPr/>
          <a:lstStyle/>
          <a:p>
            <a:pPr>
              <a:defRPr sz="700"/>
            </a:pPr>
            <a:endParaRPr lang="zh-CN"/>
          </a:p>
        </c:txPr>
        <c:crossAx val="424195200"/>
        <c:crosses val="autoZero"/>
        <c:crossBetween val="between"/>
      </c:valAx>
      <c:valAx>
        <c:axId val="424227584"/>
        <c:scaling>
          <c:orientation val="minMax"/>
        </c:scaling>
        <c:delete val="0"/>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Times New Roman" pitchFamily="18" charset="0"/>
                    <a:ea typeface="+mn-ea"/>
                    <a:cs typeface="Times New Roman" pitchFamily="18" charset="0"/>
                  </a:defRPr>
                </a:pPr>
                <a:r>
                  <a:rPr lang="en-US" altLang="zh-CN" sz="700" b="1" i="0" baseline="0">
                    <a:effectLst/>
                    <a:latin typeface="Times New Roman" pitchFamily="18" charset="0"/>
                    <a:cs typeface="Times New Roman" pitchFamily="18" charset="0"/>
                  </a:rPr>
                  <a:t>Interest Rate Derivatives Traded in Exchange</a:t>
                </a:r>
                <a:endParaRPr lang="zh-CN" altLang="zh-CN" sz="700">
                  <a:effectLst/>
                  <a:latin typeface="Times New Roman" pitchFamily="18" charset="0"/>
                  <a:cs typeface="Times New Roman" pitchFamily="18" charset="0"/>
                </a:endParaRPr>
              </a:p>
            </c:rich>
          </c:tx>
          <c:layout>
            <c:manualLayout>
              <c:xMode val="edge"/>
              <c:yMode val="edge"/>
              <c:x val="0.9341884452561906"/>
              <c:y val="8.231102856183127E-2"/>
            </c:manualLayout>
          </c:layout>
          <c:overlay val="0"/>
        </c:title>
        <c:numFmt formatCode="0%" sourceLinked="1"/>
        <c:majorTickMark val="none"/>
        <c:minorTickMark val="none"/>
        <c:tickLblPos val="nextTo"/>
        <c:txPr>
          <a:bodyPr/>
          <a:lstStyle/>
          <a:p>
            <a:pPr>
              <a:defRPr sz="700"/>
            </a:pPr>
            <a:endParaRPr lang="zh-CN"/>
          </a:p>
        </c:txPr>
        <c:crossAx val="424229504"/>
        <c:crosses val="max"/>
        <c:crossBetween val="between"/>
      </c:valAx>
      <c:catAx>
        <c:axId val="424229504"/>
        <c:scaling>
          <c:orientation val="minMax"/>
        </c:scaling>
        <c:delete val="1"/>
        <c:axPos val="b"/>
        <c:majorTickMark val="out"/>
        <c:minorTickMark val="none"/>
        <c:tickLblPos val="nextTo"/>
        <c:crossAx val="424227584"/>
        <c:crosses val="autoZero"/>
        <c:auto val="1"/>
        <c:lblAlgn val="ctr"/>
        <c:lblOffset val="100"/>
        <c:noMultiLvlLbl val="0"/>
      </c:catAx>
    </c:plotArea>
    <c:legend>
      <c:legendPos val="b"/>
      <c:overlay val="0"/>
      <c:txPr>
        <a:bodyPr/>
        <a:lstStyle/>
        <a:p>
          <a:pPr>
            <a:defRPr sz="7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altLang="en-US" sz="800">
                <a:latin typeface="Times New Roman" pitchFamily="18" charset="0"/>
                <a:cs typeface="Times New Roman" pitchFamily="18" charset="0"/>
              </a:rPr>
              <a:t>Panel</a:t>
            </a:r>
            <a:r>
              <a:rPr lang="en-US" altLang="en-US" sz="800" baseline="0">
                <a:latin typeface="Times New Roman" pitchFamily="18" charset="0"/>
                <a:cs typeface="Times New Roman" pitchFamily="18" charset="0"/>
              </a:rPr>
              <a:t> C</a:t>
            </a:r>
            <a:endParaRPr lang="en-US" altLang="en-US" sz="800">
              <a:latin typeface="Times New Roman" pitchFamily="18" charset="0"/>
              <a:cs typeface="Times New Roman" pitchFamily="18" charset="0"/>
            </a:endParaRPr>
          </a:p>
          <a:p>
            <a:pPr>
              <a:defRPr sz="800"/>
            </a:pPr>
            <a:r>
              <a:rPr lang="en-US" altLang="en-US" sz="800">
                <a:latin typeface="Times New Roman" pitchFamily="18" charset="0"/>
                <a:cs typeface="Times New Roman" pitchFamily="18" charset="0"/>
              </a:rPr>
              <a:t>Full Sample Avergae Net Credit Derivative Use</a:t>
            </a:r>
          </a:p>
        </c:rich>
      </c:tx>
      <c:layout>
        <c:manualLayout>
          <c:xMode val="edge"/>
          <c:yMode val="edge"/>
          <c:x val="0.18532612533992882"/>
          <c:y val="3.0112923462986198E-2"/>
        </c:manualLayout>
      </c:layout>
      <c:overlay val="0"/>
    </c:title>
    <c:autoTitleDeleted val="0"/>
    <c:plotArea>
      <c:layout>
        <c:manualLayout>
          <c:layoutTarget val="inner"/>
          <c:xMode val="edge"/>
          <c:yMode val="edge"/>
          <c:x val="0.1701368098218492"/>
          <c:y val="0.19669231001297252"/>
          <c:w val="0.81326645557205701"/>
          <c:h val="0.48295251346644541"/>
        </c:manualLayout>
      </c:layout>
      <c:lineChart>
        <c:grouping val="standard"/>
        <c:varyColors val="0"/>
        <c:ser>
          <c:idx val="0"/>
          <c:order val="0"/>
          <c:tx>
            <c:strRef>
              <c:f>'full sample 150+ '!$F$1</c:f>
              <c:strCache>
                <c:ptCount val="1"/>
                <c:pt idx="0">
                  <c:v>Net Credit Derivative</c:v>
                </c:pt>
              </c:strCache>
            </c:strRef>
          </c:tx>
          <c:spPr>
            <a:ln>
              <a:solidFill>
                <a:srgbClr val="7030A0"/>
              </a:solidFill>
            </a:ln>
          </c:spPr>
          <c:marker>
            <c:symbol val="none"/>
          </c:marker>
          <c:cat>
            <c:strRef>
              <c:f>'full sample 150+ '!$A$2:$A$33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'full sample 150+ '!$F$2:$F$33</c:f>
              <c:numCache>
                <c:formatCode>0.00%</c:formatCode>
                <c:ptCount val="32"/>
                <c:pt idx="0">
                  <c:v>1.0289999999999999E-4</c:v>
                </c:pt>
                <c:pt idx="1">
                  <c:v>6.4899999999999995E-4</c:v>
                </c:pt>
                <c:pt idx="2">
                  <c:v>1.1050000000000001E-3</c:v>
                </c:pt>
                <c:pt idx="3">
                  <c:v>1.2998E-3</c:v>
                </c:pt>
                <c:pt idx="4">
                  <c:v>1.3162E-3</c:v>
                </c:pt>
                <c:pt idx="5">
                  <c:v>1.4135E-3</c:v>
                </c:pt>
                <c:pt idx="6">
                  <c:v>1.1646E-3</c:v>
                </c:pt>
                <c:pt idx="7">
                  <c:v>1.2794E-3</c:v>
                </c:pt>
                <c:pt idx="8">
                  <c:v>1.2822E-3</c:v>
                </c:pt>
                <c:pt idx="9">
                  <c:v>9.5569999999999997E-4</c:v>
                </c:pt>
                <c:pt idx="10">
                  <c:v>5.9369999999999996E-4</c:v>
                </c:pt>
                <c:pt idx="11">
                  <c:v>4.7320000000000001E-4</c:v>
                </c:pt>
                <c:pt idx="12">
                  <c:v>1.4109999999999999E-4</c:v>
                </c:pt>
                <c:pt idx="13">
                  <c:v>-4.8099999999999997E-5</c:v>
                </c:pt>
                <c:pt idx="14">
                  <c:v>4.4700000000000002E-4</c:v>
                </c:pt>
                <c:pt idx="15">
                  <c:v>3.5310000000000002E-4</c:v>
                </c:pt>
                <c:pt idx="16">
                  <c:v>3.4450000000000003E-4</c:v>
                </c:pt>
                <c:pt idx="17">
                  <c:v>3.4390000000000001E-4</c:v>
                </c:pt>
                <c:pt idx="18">
                  <c:v>4.3100000000000001E-4</c:v>
                </c:pt>
                <c:pt idx="19">
                  <c:v>3.6739999999999999E-4</c:v>
                </c:pt>
                <c:pt idx="20">
                  <c:v>-1.38E-5</c:v>
                </c:pt>
                <c:pt idx="21">
                  <c:v>4.2420000000000001E-4</c:v>
                </c:pt>
                <c:pt idx="22">
                  <c:v>3.3419999999999999E-4</c:v>
                </c:pt>
                <c:pt idx="23">
                  <c:v>1.7530000000000001E-4</c:v>
                </c:pt>
                <c:pt idx="24">
                  <c:v>1.9599999999999999E-4</c:v>
                </c:pt>
                <c:pt idx="25">
                  <c:v>4.3090000000000001E-4</c:v>
                </c:pt>
                <c:pt idx="26">
                  <c:v>2.7250000000000001E-4</c:v>
                </c:pt>
                <c:pt idx="27">
                  <c:v>4.5459999999999999E-4</c:v>
                </c:pt>
                <c:pt idx="28">
                  <c:v>3.6840000000000001E-4</c:v>
                </c:pt>
                <c:pt idx="29">
                  <c:v>2.7070000000000002E-4</c:v>
                </c:pt>
                <c:pt idx="30">
                  <c:v>2.5769999999999998E-4</c:v>
                </c:pt>
                <c:pt idx="31">
                  <c:v>1.707E-4</c:v>
                </c:pt>
              </c:numCache>
            </c:numRef>
          </c:val>
          <c:smooth val="0"/>
        </c:ser>
        <c:dLbls>
          <c:showLegendKey val="0"/>
          <c:showVal val="0"/>
          <c:showCatName val="0"/>
          <c:showSerName val="0"/>
          <c:showPercent val="0"/>
          <c:showBubbleSize val="0"/>
        </c:dLbls>
        <c:marker val="1"/>
        <c:smooth val="0"/>
        <c:axId val="424241408"/>
        <c:axId val="424251392"/>
      </c:lineChart>
      <c:catAx>
        <c:axId val="424241408"/>
        <c:scaling>
          <c:orientation val="minMax"/>
        </c:scaling>
        <c:delete val="0"/>
        <c:axPos val="b"/>
        <c:numFmt formatCode="General" sourceLinked="1"/>
        <c:majorTickMark val="none"/>
        <c:minorTickMark val="none"/>
        <c:tickLblPos val="nextTo"/>
        <c:txPr>
          <a:bodyPr/>
          <a:lstStyle/>
          <a:p>
            <a:pPr>
              <a:defRPr sz="700"/>
            </a:pPr>
            <a:endParaRPr lang="zh-CN"/>
          </a:p>
        </c:txPr>
        <c:crossAx val="424251392"/>
        <c:crossesAt val="-2.0000000000000006E-4"/>
        <c:auto val="1"/>
        <c:lblAlgn val="ctr"/>
        <c:lblOffset val="100"/>
        <c:noMultiLvlLbl val="0"/>
      </c:catAx>
      <c:valAx>
        <c:axId val="424251392"/>
        <c:scaling>
          <c:orientation val="minMax"/>
          <c:min val="-2.0000000000000006E-4"/>
        </c:scaling>
        <c:delete val="0"/>
        <c:axPos val="l"/>
        <c:majorGridlines/>
        <c:numFmt formatCode="0.00%" sourceLinked="1"/>
        <c:majorTickMark val="none"/>
        <c:minorTickMark val="none"/>
        <c:tickLblPos val="nextTo"/>
        <c:spPr>
          <a:ln w="9525">
            <a:noFill/>
          </a:ln>
        </c:spPr>
        <c:txPr>
          <a:bodyPr/>
          <a:lstStyle/>
          <a:p>
            <a:pPr>
              <a:defRPr sz="700"/>
            </a:pPr>
            <a:endParaRPr lang="zh-CN"/>
          </a:p>
        </c:txPr>
        <c:crossAx val="424241408"/>
        <c:crosses val="autoZero"/>
        <c:crossBetween val="between"/>
      </c:valAx>
    </c:plotArea>
    <c:legend>
      <c:legendPos val="b"/>
      <c:overlay val="0"/>
      <c:txPr>
        <a:bodyPr/>
        <a:lstStyle/>
        <a:p>
          <a:pPr>
            <a:defRPr sz="7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altLang="zh-CN" sz="800" b="1" i="0" baseline="0">
                <a:effectLst/>
                <a:latin typeface="Times New Roman" pitchFamily="18" charset="0"/>
                <a:cs typeface="Times New Roman" pitchFamily="18" charset="0"/>
              </a:rPr>
              <a:t>Panel D </a:t>
            </a:r>
            <a:endParaRPr lang="zh-CN" altLang="zh-CN" sz="800">
              <a:effectLst/>
              <a:latin typeface="Times New Roman" pitchFamily="18" charset="0"/>
              <a:cs typeface="Times New Roman" pitchFamily="18" charset="0"/>
            </a:endParaRPr>
          </a:p>
          <a:p>
            <a:pPr>
              <a:defRPr sz="800"/>
            </a:pPr>
            <a:r>
              <a:rPr lang="en-US" altLang="zh-CN" sz="800" b="1" i="0" baseline="0">
                <a:effectLst/>
                <a:latin typeface="Times New Roman" pitchFamily="18" charset="0"/>
                <a:cs typeface="Times New Roman" pitchFamily="18" charset="0"/>
              </a:rPr>
              <a:t>Stress Tested Banks </a:t>
            </a:r>
          </a:p>
          <a:p>
            <a:pPr>
              <a:defRPr sz="800"/>
            </a:pPr>
            <a:r>
              <a:rPr lang="en-US" altLang="zh-CN" sz="800" b="1" i="0" baseline="0">
                <a:effectLst/>
                <a:latin typeface="Times New Roman" pitchFamily="18" charset="0"/>
                <a:cs typeface="Times New Roman" pitchFamily="18" charset="0"/>
              </a:rPr>
              <a:t>Average Interest Derivative Use </a:t>
            </a:r>
            <a:endParaRPr lang="zh-CN" altLang="en-US" sz="800">
              <a:latin typeface="Times New Roman" pitchFamily="18" charset="0"/>
              <a:cs typeface="Times New Roman" pitchFamily="18" charset="0"/>
            </a:endParaRPr>
          </a:p>
        </c:rich>
      </c:tx>
      <c:overlay val="0"/>
    </c:title>
    <c:autoTitleDeleted val="0"/>
    <c:plotArea>
      <c:layout>
        <c:manualLayout>
          <c:layoutTarget val="inner"/>
          <c:xMode val="edge"/>
          <c:yMode val="edge"/>
          <c:x val="0.19777236039427709"/>
          <c:y val="0.24193855004160245"/>
          <c:w val="0.60695282558706698"/>
          <c:h val="0.42909553995335881"/>
        </c:manualLayout>
      </c:layout>
      <c:lineChart>
        <c:grouping val="standard"/>
        <c:varyColors val="0"/>
        <c:ser>
          <c:idx val="0"/>
          <c:order val="0"/>
          <c:tx>
            <c:strRef>
              <c:f>'ST1415'!$B$1</c:f>
              <c:strCache>
                <c:ptCount val="1"/>
                <c:pt idx="0">
                  <c:v>Interest Rate Derivatives for Trading</c:v>
                </c:pt>
              </c:strCache>
            </c:strRef>
          </c:tx>
          <c:marker>
            <c:symbol val="none"/>
          </c:marker>
          <c:cat>
            <c:strRef>
              <c:f>'ST1415'!$A$2:$A$33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'ST1415'!$B$2:$B$33</c:f>
              <c:numCache>
                <c:formatCode>0%</c:formatCode>
                <c:ptCount val="32"/>
                <c:pt idx="0">
                  <c:v>4.1846290000000002</c:v>
                </c:pt>
                <c:pt idx="1">
                  <c:v>4.2478689999999997</c:v>
                </c:pt>
                <c:pt idx="2">
                  <c:v>4.5288339999999998</c:v>
                </c:pt>
                <c:pt idx="3">
                  <c:v>4.0549150000000003</c:v>
                </c:pt>
                <c:pt idx="4">
                  <c:v>4.2863810000000004</c:v>
                </c:pt>
                <c:pt idx="5">
                  <c:v>4.3978080000000004</c:v>
                </c:pt>
                <c:pt idx="6">
                  <c:v>3.6535410000000001</c:v>
                </c:pt>
                <c:pt idx="7">
                  <c:v>3.7507679999999999</c:v>
                </c:pt>
                <c:pt idx="8">
                  <c:v>7.494434</c:v>
                </c:pt>
                <c:pt idx="9">
                  <c:v>7.0911999999999997</c:v>
                </c:pt>
                <c:pt idx="10">
                  <c:v>6.9697300000000002</c:v>
                </c:pt>
                <c:pt idx="11">
                  <c:v>7.0949390000000001</c:v>
                </c:pt>
                <c:pt idx="12">
                  <c:v>6.6700359999999996</c:v>
                </c:pt>
                <c:pt idx="13">
                  <c:v>7.0393990000000004</c:v>
                </c:pt>
                <c:pt idx="14">
                  <c:v>7.0080619999999998</c:v>
                </c:pt>
                <c:pt idx="15">
                  <c:v>7.0490209999999998</c:v>
                </c:pt>
                <c:pt idx="16">
                  <c:v>7.5403159999999998</c:v>
                </c:pt>
                <c:pt idx="17">
                  <c:v>7.860989</c:v>
                </c:pt>
                <c:pt idx="18">
                  <c:v>7.6642409999999996</c:v>
                </c:pt>
                <c:pt idx="19">
                  <c:v>7.5045640000000002</c:v>
                </c:pt>
                <c:pt idx="20">
                  <c:v>7.1341270000000003</c:v>
                </c:pt>
                <c:pt idx="21">
                  <c:v>6.7799829999999996</c:v>
                </c:pt>
                <c:pt idx="22">
                  <c:v>6.6714840000000004</c:v>
                </c:pt>
                <c:pt idx="23">
                  <c:v>6.4850219999999998</c:v>
                </c:pt>
                <c:pt idx="24">
                  <c:v>6.5693890000000001</c:v>
                </c:pt>
                <c:pt idx="25">
                  <c:v>6.6741239999999999</c:v>
                </c:pt>
                <c:pt idx="26">
                  <c:v>6.8725860000000001</c:v>
                </c:pt>
                <c:pt idx="27">
                  <c:v>6.8887400000000003</c:v>
                </c:pt>
                <c:pt idx="28">
                  <c:v>6.6314669999999998</c:v>
                </c:pt>
                <c:pt idx="29">
                  <c:v>6.9276119999999999</c:v>
                </c:pt>
                <c:pt idx="30">
                  <c:v>6.9262610000000002</c:v>
                </c:pt>
                <c:pt idx="31">
                  <c:v>6.6717599999999999</c:v>
                </c:pt>
              </c:numCache>
            </c:numRef>
          </c:val>
          <c:smooth val="0"/>
        </c:ser>
        <c:dLbls>
          <c:showLegendKey val="0"/>
          <c:showVal val="0"/>
          <c:showCatName val="0"/>
          <c:showSerName val="0"/>
          <c:showPercent val="0"/>
          <c:showBubbleSize val="0"/>
        </c:dLbls>
        <c:marker val="1"/>
        <c:smooth val="0"/>
        <c:axId val="424282368"/>
        <c:axId val="424292352"/>
      </c:lineChart>
      <c:lineChart>
        <c:grouping val="standard"/>
        <c:varyColors val="0"/>
        <c:ser>
          <c:idx val="1"/>
          <c:order val="1"/>
          <c:tx>
            <c:strRef>
              <c:f>'ST1415'!$C$1</c:f>
              <c:strCache>
                <c:ptCount val="1"/>
                <c:pt idx="0">
                  <c:v>Interest Rate Derivatives for Hedging</c:v>
                </c:pt>
              </c:strCache>
            </c:strRef>
          </c:tx>
          <c:spPr>
            <a:ln>
              <a:prstDash val="dash"/>
            </a:ln>
          </c:spPr>
          <c:marker>
            <c:symbol val="none"/>
          </c:marker>
          <c:cat>
            <c:strRef>
              <c:f>'ST1415'!$A$2:$A$33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'ST1415'!$C$2:$C$33</c:f>
              <c:numCache>
                <c:formatCode>0%</c:formatCode>
                <c:ptCount val="32"/>
                <c:pt idx="0">
                  <c:v>0.2213136</c:v>
                </c:pt>
                <c:pt idx="1">
                  <c:v>0.20019129999999999</c:v>
                </c:pt>
                <c:pt idx="2">
                  <c:v>0.205285</c:v>
                </c:pt>
                <c:pt idx="3">
                  <c:v>0.18476100000000001</c:v>
                </c:pt>
                <c:pt idx="4">
                  <c:v>0.21460090000000001</c:v>
                </c:pt>
                <c:pt idx="5">
                  <c:v>0.19824539999999999</c:v>
                </c:pt>
                <c:pt idx="6">
                  <c:v>0.18019370000000001</c:v>
                </c:pt>
                <c:pt idx="7">
                  <c:v>0.16814490000000001</c:v>
                </c:pt>
                <c:pt idx="8">
                  <c:v>0.18162220000000001</c:v>
                </c:pt>
                <c:pt idx="9">
                  <c:v>0.24292169999999999</c:v>
                </c:pt>
                <c:pt idx="10">
                  <c:v>0.23598450000000001</c:v>
                </c:pt>
                <c:pt idx="11">
                  <c:v>0.23151530000000001</c:v>
                </c:pt>
                <c:pt idx="12">
                  <c:v>0.2298799</c:v>
                </c:pt>
                <c:pt idx="13">
                  <c:v>0.27340809999999999</c:v>
                </c:pt>
                <c:pt idx="14">
                  <c:v>0.29480970000000001</c:v>
                </c:pt>
                <c:pt idx="15">
                  <c:v>0.27581159999999999</c:v>
                </c:pt>
                <c:pt idx="16">
                  <c:v>0.33739400000000003</c:v>
                </c:pt>
                <c:pt idx="17">
                  <c:v>0.34746969999999999</c:v>
                </c:pt>
                <c:pt idx="18">
                  <c:v>0.3503696</c:v>
                </c:pt>
                <c:pt idx="19">
                  <c:v>0.3391632</c:v>
                </c:pt>
                <c:pt idx="20">
                  <c:v>0.30123879999999997</c:v>
                </c:pt>
                <c:pt idx="21">
                  <c:v>0.29046090000000002</c:v>
                </c:pt>
                <c:pt idx="22">
                  <c:v>0.26872410000000002</c:v>
                </c:pt>
                <c:pt idx="23">
                  <c:v>0.22195699999999999</c:v>
                </c:pt>
                <c:pt idx="24">
                  <c:v>0.1955076</c:v>
                </c:pt>
                <c:pt idx="25">
                  <c:v>0.19049089999999999</c:v>
                </c:pt>
                <c:pt idx="26">
                  <c:v>0.1737776</c:v>
                </c:pt>
                <c:pt idx="27">
                  <c:v>0.1835301</c:v>
                </c:pt>
                <c:pt idx="28">
                  <c:v>0.17767369999999999</c:v>
                </c:pt>
                <c:pt idx="29">
                  <c:v>0.1760584</c:v>
                </c:pt>
                <c:pt idx="30">
                  <c:v>0.1672343</c:v>
                </c:pt>
                <c:pt idx="31">
                  <c:v>0.16415759999999999</c:v>
                </c:pt>
              </c:numCache>
            </c:numRef>
          </c:val>
          <c:smooth val="0"/>
        </c:ser>
        <c:dLbls>
          <c:showLegendKey val="0"/>
          <c:showVal val="0"/>
          <c:showCatName val="0"/>
          <c:showSerName val="0"/>
          <c:showPercent val="0"/>
          <c:showBubbleSize val="0"/>
        </c:dLbls>
        <c:marker val="1"/>
        <c:smooth val="0"/>
        <c:axId val="424308736"/>
        <c:axId val="424294272"/>
      </c:lineChart>
      <c:catAx>
        <c:axId val="424282368"/>
        <c:scaling>
          <c:orientation val="minMax"/>
        </c:scaling>
        <c:delete val="0"/>
        <c:axPos val="b"/>
        <c:majorTickMark val="none"/>
        <c:minorTickMark val="none"/>
        <c:tickLblPos val="nextTo"/>
        <c:txPr>
          <a:bodyPr/>
          <a:lstStyle/>
          <a:p>
            <a:pPr>
              <a:defRPr sz="700"/>
            </a:pPr>
            <a:endParaRPr lang="zh-CN"/>
          </a:p>
        </c:txPr>
        <c:crossAx val="424292352"/>
        <c:crosses val="autoZero"/>
        <c:auto val="1"/>
        <c:lblAlgn val="ctr"/>
        <c:lblOffset val="100"/>
        <c:noMultiLvlLbl val="0"/>
      </c:catAx>
      <c:valAx>
        <c:axId val="424292352"/>
        <c:scaling>
          <c:orientation val="minMax"/>
          <c:min val="3"/>
        </c:scaling>
        <c:delete val="0"/>
        <c:axPos val="l"/>
        <c:majorGridlines/>
        <c:title>
          <c:tx>
            <c:rich>
              <a:bodyPr rot="-5400000" vert="horz"/>
              <a:lstStyle/>
              <a:p>
                <a:pPr>
                  <a:defRPr sz="700">
                    <a:latin typeface="Times New Roman" pitchFamily="18" charset="0"/>
                    <a:cs typeface="Times New Roman" pitchFamily="18" charset="0"/>
                  </a:defRPr>
                </a:pPr>
                <a:r>
                  <a:rPr lang="en-US" altLang="zh-CN" sz="700" b="1" i="0" u="none" strike="noStrike" baseline="0">
                    <a:effectLst/>
                    <a:latin typeface="Times New Roman" pitchFamily="18" charset="0"/>
                    <a:cs typeface="Times New Roman" pitchFamily="18" charset="0"/>
                  </a:rPr>
                  <a:t>Interest Rate Derivatives for Trading</a:t>
                </a:r>
                <a:endParaRPr lang="zh-CN" altLang="en-US" sz="700">
                  <a:latin typeface="Times New Roman" pitchFamily="18" charset="0"/>
                  <a:cs typeface="Times New Roman" pitchFamily="18" charset="0"/>
                </a:endParaRPr>
              </a:p>
            </c:rich>
          </c:tx>
          <c:layout>
            <c:manualLayout>
              <c:xMode val="edge"/>
              <c:yMode val="edge"/>
              <c:x val="4.4238678468756523E-2"/>
              <c:y val="0.14550636686428431"/>
            </c:manualLayout>
          </c:layout>
          <c:overlay val="0"/>
        </c:title>
        <c:numFmt formatCode="0%" sourceLinked="1"/>
        <c:majorTickMark val="none"/>
        <c:minorTickMark val="none"/>
        <c:tickLblPos val="nextTo"/>
        <c:spPr>
          <a:ln w="9525">
            <a:noFill/>
          </a:ln>
        </c:spPr>
        <c:txPr>
          <a:bodyPr/>
          <a:lstStyle/>
          <a:p>
            <a:pPr>
              <a:defRPr sz="700"/>
            </a:pPr>
            <a:endParaRPr lang="zh-CN"/>
          </a:p>
        </c:txPr>
        <c:crossAx val="424282368"/>
        <c:crosses val="autoZero"/>
        <c:crossBetween val="between"/>
      </c:valAx>
      <c:valAx>
        <c:axId val="424294272"/>
        <c:scaling>
          <c:orientation val="minMax"/>
        </c:scaling>
        <c:delete val="0"/>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Times New Roman" pitchFamily="18" charset="0"/>
                    <a:ea typeface="+mn-ea"/>
                    <a:cs typeface="Times New Roman" pitchFamily="18" charset="0"/>
                  </a:defRPr>
                </a:pPr>
                <a:r>
                  <a:rPr lang="en-US" altLang="zh-CN" sz="700" b="1" i="0" baseline="0">
                    <a:effectLst/>
                    <a:latin typeface="Times New Roman" pitchFamily="18" charset="0"/>
                    <a:cs typeface="Times New Roman" pitchFamily="18" charset="0"/>
                  </a:rPr>
                  <a:t>Interest Rate Derivatives for Hedging</a:t>
                </a:r>
                <a:endParaRPr lang="zh-CN" altLang="zh-CN" sz="7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Times New Roman" pitchFamily="18" charset="0"/>
                    <a:ea typeface="+mn-ea"/>
                    <a:cs typeface="Times New Roman" pitchFamily="18" charset="0"/>
                  </a:defRPr>
                </a:pPr>
                <a:endParaRPr lang="zh-CN" altLang="en-US" sz="700">
                  <a:latin typeface="Times New Roman" pitchFamily="18" charset="0"/>
                  <a:cs typeface="Times New Roman" pitchFamily="18" charset="0"/>
                </a:endParaRPr>
              </a:p>
            </c:rich>
          </c:tx>
          <c:layout>
            <c:manualLayout>
              <c:xMode val="edge"/>
              <c:yMode val="edge"/>
              <c:x val="0.87126544565591857"/>
              <c:y val="0.15048296898830707"/>
            </c:manualLayout>
          </c:layout>
          <c:overlay val="0"/>
        </c:title>
        <c:numFmt formatCode="0%" sourceLinked="1"/>
        <c:majorTickMark val="none"/>
        <c:minorTickMark val="none"/>
        <c:tickLblPos val="nextTo"/>
        <c:txPr>
          <a:bodyPr/>
          <a:lstStyle/>
          <a:p>
            <a:pPr>
              <a:defRPr sz="700"/>
            </a:pPr>
            <a:endParaRPr lang="zh-CN"/>
          </a:p>
        </c:txPr>
        <c:crossAx val="424308736"/>
        <c:crosses val="max"/>
        <c:crossBetween val="between"/>
      </c:valAx>
      <c:catAx>
        <c:axId val="424308736"/>
        <c:scaling>
          <c:orientation val="minMax"/>
        </c:scaling>
        <c:delete val="1"/>
        <c:axPos val="b"/>
        <c:majorTickMark val="out"/>
        <c:minorTickMark val="none"/>
        <c:tickLblPos val="nextTo"/>
        <c:crossAx val="424294272"/>
        <c:crosses val="autoZero"/>
        <c:auto val="1"/>
        <c:lblAlgn val="ctr"/>
        <c:lblOffset val="100"/>
        <c:noMultiLvlLbl val="0"/>
      </c:catAx>
    </c:plotArea>
    <c:legend>
      <c:legendPos val="b"/>
      <c:overlay val="0"/>
      <c:txPr>
        <a:bodyPr/>
        <a:lstStyle/>
        <a:p>
          <a:pPr>
            <a:defRPr sz="7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Times New Roman" pitchFamily="18" charset="0"/>
                <a:cs typeface="Times New Roman" pitchFamily="18" charset="0"/>
              </a:defRPr>
            </a:pPr>
            <a:r>
              <a:rPr lang="en-US" altLang="zh-CN" sz="800" b="1" i="0" baseline="0">
                <a:effectLst/>
                <a:latin typeface="Times New Roman" pitchFamily="18" charset="0"/>
                <a:cs typeface="Times New Roman" pitchFamily="18" charset="0"/>
              </a:rPr>
              <a:t>Panel E</a:t>
            </a:r>
            <a:endParaRPr lang="zh-CN" altLang="zh-CN" sz="800">
              <a:effectLst/>
              <a:latin typeface="Times New Roman" pitchFamily="18" charset="0"/>
              <a:cs typeface="Times New Roman" pitchFamily="18" charset="0"/>
            </a:endParaRPr>
          </a:p>
          <a:p>
            <a:pPr>
              <a:defRPr sz="800">
                <a:latin typeface="Times New Roman" pitchFamily="18" charset="0"/>
                <a:cs typeface="Times New Roman" pitchFamily="18" charset="0"/>
              </a:defRPr>
            </a:pPr>
            <a:r>
              <a:rPr lang="en-US" altLang="zh-CN" sz="800" b="1" i="0" baseline="0">
                <a:effectLst/>
                <a:latin typeface="Times New Roman" pitchFamily="18" charset="0"/>
                <a:cs typeface="Times New Roman" pitchFamily="18" charset="0"/>
              </a:rPr>
              <a:t>Stress Tested Banks </a:t>
            </a:r>
          </a:p>
          <a:p>
            <a:pPr>
              <a:defRPr sz="800">
                <a:latin typeface="Times New Roman" pitchFamily="18" charset="0"/>
                <a:cs typeface="Times New Roman" pitchFamily="18" charset="0"/>
              </a:defRPr>
            </a:pPr>
            <a:r>
              <a:rPr lang="en-US" altLang="zh-CN" sz="800" b="1" i="0" baseline="0">
                <a:effectLst/>
                <a:latin typeface="Times New Roman" pitchFamily="18" charset="0"/>
                <a:cs typeface="Times New Roman" pitchFamily="18" charset="0"/>
              </a:rPr>
              <a:t>Average Interest Derivative Use </a:t>
            </a:r>
            <a:endParaRPr lang="zh-CN" altLang="zh-CN" sz="800">
              <a:effectLst/>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'ST1415'!$D$1</c:f>
              <c:strCache>
                <c:ptCount val="1"/>
                <c:pt idx="0">
                  <c:v>Interest Rate Derivatives Traded OTC</c:v>
                </c:pt>
              </c:strCache>
            </c:strRef>
          </c:tx>
          <c:spPr>
            <a:ln>
              <a:solidFill>
                <a:srgbClr val="00B050"/>
              </a:solidFill>
            </a:ln>
          </c:spPr>
          <c:marker>
            <c:symbol val="none"/>
          </c:marker>
          <c:cat>
            <c:strRef>
              <c:f>'ST1415'!$A$2:$A$33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'ST1415'!$D$2:$D$33</c:f>
              <c:numCache>
                <c:formatCode>0%</c:formatCode>
                <c:ptCount val="32"/>
                <c:pt idx="0">
                  <c:v>3.9310269999999998</c:v>
                </c:pt>
                <c:pt idx="1">
                  <c:v>4.0302829999999998</c:v>
                </c:pt>
                <c:pt idx="2">
                  <c:v>4.3766489999999996</c:v>
                </c:pt>
                <c:pt idx="3">
                  <c:v>3.9359730000000002</c:v>
                </c:pt>
                <c:pt idx="4">
                  <c:v>4.1792189999999998</c:v>
                </c:pt>
                <c:pt idx="5">
                  <c:v>4.2727219999999999</c:v>
                </c:pt>
                <c:pt idx="6">
                  <c:v>3.5484490000000002</c:v>
                </c:pt>
                <c:pt idx="7">
                  <c:v>3.6915809999999998</c:v>
                </c:pt>
                <c:pt idx="8">
                  <c:v>7.2553660000000004</c:v>
                </c:pt>
                <c:pt idx="9">
                  <c:v>6.8986749999999999</c:v>
                </c:pt>
                <c:pt idx="10">
                  <c:v>6.751887</c:v>
                </c:pt>
                <c:pt idx="11">
                  <c:v>6.8951209999999996</c:v>
                </c:pt>
                <c:pt idx="12">
                  <c:v>6.5154810000000003</c:v>
                </c:pt>
                <c:pt idx="13">
                  <c:v>6.946116</c:v>
                </c:pt>
                <c:pt idx="14">
                  <c:v>6.9341220000000003</c:v>
                </c:pt>
                <c:pt idx="15">
                  <c:v>6.9890999999999996</c:v>
                </c:pt>
                <c:pt idx="16">
                  <c:v>7.460502</c:v>
                </c:pt>
                <c:pt idx="17">
                  <c:v>7.7501110000000004</c:v>
                </c:pt>
                <c:pt idx="18">
                  <c:v>7.6401820000000003</c:v>
                </c:pt>
                <c:pt idx="19">
                  <c:v>7.5059339999999999</c:v>
                </c:pt>
                <c:pt idx="20">
                  <c:v>7.0758720000000004</c:v>
                </c:pt>
                <c:pt idx="21">
                  <c:v>6.653486</c:v>
                </c:pt>
                <c:pt idx="22">
                  <c:v>6.5374359999999996</c:v>
                </c:pt>
                <c:pt idx="23">
                  <c:v>6.3149449999999998</c:v>
                </c:pt>
                <c:pt idx="24">
                  <c:v>6.3529419999999996</c:v>
                </c:pt>
                <c:pt idx="25">
                  <c:v>6.4410610000000004</c:v>
                </c:pt>
                <c:pt idx="26">
                  <c:v>6.6161640000000004</c:v>
                </c:pt>
                <c:pt idx="27">
                  <c:v>6.6983269999999999</c:v>
                </c:pt>
                <c:pt idx="28">
                  <c:v>6.344932</c:v>
                </c:pt>
                <c:pt idx="29">
                  <c:v>6.6229209999999998</c:v>
                </c:pt>
                <c:pt idx="30">
                  <c:v>6.5512819999999996</c:v>
                </c:pt>
                <c:pt idx="31">
                  <c:v>6.2697979999999998</c:v>
                </c:pt>
              </c:numCache>
            </c:numRef>
          </c:val>
          <c:smooth val="0"/>
        </c:ser>
        <c:dLbls>
          <c:showLegendKey val="0"/>
          <c:showVal val="0"/>
          <c:showCatName val="0"/>
          <c:showSerName val="0"/>
          <c:showPercent val="0"/>
          <c:showBubbleSize val="0"/>
        </c:dLbls>
        <c:marker val="1"/>
        <c:smooth val="0"/>
        <c:axId val="424343424"/>
        <c:axId val="424344960"/>
      </c:lineChart>
      <c:lineChart>
        <c:grouping val="standard"/>
        <c:varyColors val="0"/>
        <c:ser>
          <c:idx val="1"/>
          <c:order val="1"/>
          <c:tx>
            <c:strRef>
              <c:f>'ST1415'!$E$1</c:f>
              <c:strCache>
                <c:ptCount val="1"/>
                <c:pt idx="0">
                  <c:v>Interest Rate Derivatives Traded in Exchange</c:v>
                </c:pt>
              </c:strCache>
            </c:strRef>
          </c:tx>
          <c:spPr>
            <a:ln>
              <a:solidFill>
                <a:srgbClr val="FF0000"/>
              </a:solidFill>
              <a:prstDash val="dash"/>
            </a:ln>
          </c:spPr>
          <c:marker>
            <c:symbol val="none"/>
          </c:marker>
          <c:cat>
            <c:strRef>
              <c:f>'ST1415'!$A$2:$A$33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'ST1415'!$E$2:$E$33</c:f>
              <c:numCache>
                <c:formatCode>0%</c:formatCode>
                <c:ptCount val="32"/>
                <c:pt idx="0">
                  <c:v>0.47491620000000001</c:v>
                </c:pt>
                <c:pt idx="1">
                  <c:v>0.41777740000000002</c:v>
                </c:pt>
                <c:pt idx="2">
                  <c:v>0.35747069999999997</c:v>
                </c:pt>
                <c:pt idx="3">
                  <c:v>0.303703</c:v>
                </c:pt>
                <c:pt idx="4">
                  <c:v>0.32176189999999999</c:v>
                </c:pt>
                <c:pt idx="5">
                  <c:v>0.3233317</c:v>
                </c:pt>
                <c:pt idx="6">
                  <c:v>0.28528579999999998</c:v>
                </c:pt>
                <c:pt idx="7">
                  <c:v>0.22733210000000001</c:v>
                </c:pt>
                <c:pt idx="8">
                  <c:v>0.42069060000000003</c:v>
                </c:pt>
                <c:pt idx="9">
                  <c:v>0.43544640000000001</c:v>
                </c:pt>
                <c:pt idx="10">
                  <c:v>0.45382800000000001</c:v>
                </c:pt>
                <c:pt idx="11">
                  <c:v>0.43133369999999999</c:v>
                </c:pt>
                <c:pt idx="12">
                  <c:v>0.38443549999999999</c:v>
                </c:pt>
                <c:pt idx="13">
                  <c:v>0.36669160000000001</c:v>
                </c:pt>
                <c:pt idx="14">
                  <c:v>0.36875069999999999</c:v>
                </c:pt>
                <c:pt idx="15">
                  <c:v>0.33573209999999998</c:v>
                </c:pt>
                <c:pt idx="16">
                  <c:v>0.41720770000000001</c:v>
                </c:pt>
                <c:pt idx="17">
                  <c:v>0.45834789999999997</c:v>
                </c:pt>
                <c:pt idx="18">
                  <c:v>0.37442789999999998</c:v>
                </c:pt>
                <c:pt idx="19">
                  <c:v>0.33779330000000002</c:v>
                </c:pt>
                <c:pt idx="20">
                  <c:v>0.35949320000000001</c:v>
                </c:pt>
                <c:pt idx="21">
                  <c:v>0.41695789999999999</c:v>
                </c:pt>
                <c:pt idx="22">
                  <c:v>0.40277279999999999</c:v>
                </c:pt>
                <c:pt idx="23">
                  <c:v>0.39203339999999998</c:v>
                </c:pt>
                <c:pt idx="24">
                  <c:v>0.4119545</c:v>
                </c:pt>
                <c:pt idx="25">
                  <c:v>0.42355429999999999</c:v>
                </c:pt>
                <c:pt idx="26">
                  <c:v>0.43019950000000001</c:v>
                </c:pt>
                <c:pt idx="27">
                  <c:v>0.37394339999999998</c:v>
                </c:pt>
                <c:pt idx="28">
                  <c:v>0.46420889999999998</c:v>
                </c:pt>
                <c:pt idx="29">
                  <c:v>0.48075010000000001</c:v>
                </c:pt>
                <c:pt idx="30">
                  <c:v>0.54221399999999997</c:v>
                </c:pt>
                <c:pt idx="31">
                  <c:v>0.56611959999999995</c:v>
                </c:pt>
              </c:numCache>
            </c:numRef>
          </c:val>
          <c:smooth val="0"/>
        </c:ser>
        <c:dLbls>
          <c:showLegendKey val="0"/>
          <c:showVal val="0"/>
          <c:showCatName val="0"/>
          <c:showSerName val="0"/>
          <c:showPercent val="0"/>
          <c:showBubbleSize val="0"/>
        </c:dLbls>
        <c:marker val="1"/>
        <c:smooth val="0"/>
        <c:axId val="425172352"/>
        <c:axId val="425170432"/>
      </c:lineChart>
      <c:catAx>
        <c:axId val="424343424"/>
        <c:scaling>
          <c:orientation val="minMax"/>
        </c:scaling>
        <c:delete val="0"/>
        <c:axPos val="b"/>
        <c:majorTickMark val="none"/>
        <c:minorTickMark val="none"/>
        <c:tickLblPos val="nextTo"/>
        <c:txPr>
          <a:bodyPr/>
          <a:lstStyle/>
          <a:p>
            <a:pPr>
              <a:defRPr sz="700"/>
            </a:pPr>
            <a:endParaRPr lang="zh-CN"/>
          </a:p>
        </c:txPr>
        <c:crossAx val="424344960"/>
        <c:crosses val="autoZero"/>
        <c:auto val="1"/>
        <c:lblAlgn val="ctr"/>
        <c:lblOffset val="100"/>
        <c:noMultiLvlLbl val="0"/>
      </c:catAx>
      <c:valAx>
        <c:axId val="424344960"/>
        <c:scaling>
          <c:orientation val="minMax"/>
          <c:min val="3"/>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Times New Roman" pitchFamily="18" charset="0"/>
                    <a:ea typeface="+mn-ea"/>
                    <a:cs typeface="Times New Roman" pitchFamily="18" charset="0"/>
                  </a:defRPr>
                </a:pPr>
                <a:r>
                  <a:rPr lang="en-US" altLang="zh-CN" sz="700" b="1" i="0" baseline="0">
                    <a:effectLst/>
                    <a:latin typeface="Times New Roman" pitchFamily="18" charset="0"/>
                    <a:cs typeface="Times New Roman" pitchFamily="18" charset="0"/>
                  </a:rPr>
                  <a:t>Interest Rate Derivatives Traded OTC</a:t>
                </a:r>
                <a:endParaRPr lang="zh-CN" altLang="zh-CN" sz="7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Times New Roman" pitchFamily="18" charset="0"/>
                    <a:ea typeface="+mn-ea"/>
                    <a:cs typeface="Times New Roman" pitchFamily="18" charset="0"/>
                  </a:defRPr>
                </a:pPr>
                <a:endParaRPr lang="zh-CN" altLang="en-US" sz="700">
                  <a:latin typeface="Times New Roman" pitchFamily="18" charset="0"/>
                  <a:cs typeface="Times New Roman" pitchFamily="18" charset="0"/>
                </a:endParaRPr>
              </a:p>
            </c:rich>
          </c:tx>
          <c:layout>
            <c:manualLayout>
              <c:xMode val="edge"/>
              <c:yMode val="edge"/>
              <c:x val="4.6840964230469344E-2"/>
              <c:y val="0.16071838884908068"/>
            </c:manualLayout>
          </c:layout>
          <c:overlay val="0"/>
        </c:title>
        <c:numFmt formatCode="0%" sourceLinked="1"/>
        <c:majorTickMark val="none"/>
        <c:minorTickMark val="none"/>
        <c:tickLblPos val="nextTo"/>
        <c:spPr>
          <a:ln w="9525">
            <a:noFill/>
          </a:ln>
        </c:spPr>
        <c:txPr>
          <a:bodyPr/>
          <a:lstStyle/>
          <a:p>
            <a:pPr>
              <a:defRPr sz="700"/>
            </a:pPr>
            <a:endParaRPr lang="zh-CN"/>
          </a:p>
        </c:txPr>
        <c:crossAx val="424343424"/>
        <c:crosses val="autoZero"/>
        <c:crossBetween val="between"/>
      </c:valAx>
      <c:valAx>
        <c:axId val="425170432"/>
        <c:scaling>
          <c:orientation val="minMax"/>
          <c:min val="0"/>
        </c:scaling>
        <c:delete val="0"/>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Times New Roman" pitchFamily="18" charset="0"/>
                    <a:ea typeface="+mn-ea"/>
                    <a:cs typeface="Times New Roman" pitchFamily="18" charset="0"/>
                  </a:defRPr>
                </a:pPr>
                <a:r>
                  <a:rPr lang="en-US" altLang="zh-CN" sz="700" b="1" i="0" baseline="0">
                    <a:effectLst/>
                    <a:latin typeface="Times New Roman" pitchFamily="18" charset="0"/>
                    <a:cs typeface="Times New Roman" pitchFamily="18" charset="0"/>
                  </a:rPr>
                  <a:t>Interest Rate Derivatives Traded in Exchange</a:t>
                </a:r>
                <a:endParaRPr lang="zh-CN" altLang="zh-CN" sz="700">
                  <a:effectLst/>
                  <a:latin typeface="Times New Roman" pitchFamily="18" charset="0"/>
                  <a:cs typeface="Times New Roman" pitchFamily="18" charset="0"/>
                </a:endParaRPr>
              </a:p>
            </c:rich>
          </c:tx>
          <c:layout>
            <c:manualLayout>
              <c:xMode val="edge"/>
              <c:yMode val="edge"/>
              <c:x val="0.9016339751160144"/>
              <c:y val="0.14587384761958136"/>
            </c:manualLayout>
          </c:layout>
          <c:overlay val="0"/>
        </c:title>
        <c:numFmt formatCode="0%" sourceLinked="1"/>
        <c:majorTickMark val="none"/>
        <c:minorTickMark val="none"/>
        <c:tickLblPos val="nextTo"/>
        <c:txPr>
          <a:bodyPr/>
          <a:lstStyle/>
          <a:p>
            <a:pPr>
              <a:defRPr sz="700"/>
            </a:pPr>
            <a:endParaRPr lang="zh-CN"/>
          </a:p>
        </c:txPr>
        <c:crossAx val="425172352"/>
        <c:crosses val="max"/>
        <c:crossBetween val="between"/>
      </c:valAx>
      <c:catAx>
        <c:axId val="425172352"/>
        <c:scaling>
          <c:orientation val="minMax"/>
        </c:scaling>
        <c:delete val="1"/>
        <c:axPos val="b"/>
        <c:majorTickMark val="out"/>
        <c:minorTickMark val="none"/>
        <c:tickLblPos val="nextTo"/>
        <c:crossAx val="425170432"/>
        <c:crosses val="autoZero"/>
        <c:auto val="1"/>
        <c:lblAlgn val="ctr"/>
        <c:lblOffset val="100"/>
        <c:noMultiLvlLbl val="0"/>
      </c:catAx>
    </c:plotArea>
    <c:legend>
      <c:legendPos val="b"/>
      <c:overlay val="0"/>
      <c:txPr>
        <a:bodyPr/>
        <a:lstStyle/>
        <a:p>
          <a:pPr>
            <a:defRPr sz="7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altLang="zh-CN" sz="800" b="1" i="0" baseline="0">
                <a:effectLst/>
                <a:latin typeface="Times New Roman" pitchFamily="18" charset="0"/>
                <a:cs typeface="Times New Roman" pitchFamily="18" charset="0"/>
              </a:rPr>
              <a:t>Panel F</a:t>
            </a:r>
            <a:endParaRPr lang="zh-CN" altLang="zh-CN" sz="800">
              <a:effectLst/>
              <a:latin typeface="Times New Roman" pitchFamily="18" charset="0"/>
              <a:cs typeface="Times New Roman" pitchFamily="18" charset="0"/>
            </a:endParaRPr>
          </a:p>
          <a:p>
            <a:pPr>
              <a:defRPr sz="800"/>
            </a:pPr>
            <a:r>
              <a:rPr lang="en-US" altLang="zh-CN" sz="800" b="1" i="0" baseline="0">
                <a:effectLst/>
                <a:latin typeface="Times New Roman" pitchFamily="18" charset="0"/>
                <a:cs typeface="Times New Roman" pitchFamily="18" charset="0"/>
              </a:rPr>
              <a:t>Stress Tested Banks </a:t>
            </a:r>
          </a:p>
          <a:p>
            <a:pPr>
              <a:defRPr sz="800"/>
            </a:pPr>
            <a:r>
              <a:rPr lang="en-US" altLang="zh-CN" sz="800" b="1" i="0" baseline="0">
                <a:effectLst/>
                <a:latin typeface="Times New Roman" pitchFamily="18" charset="0"/>
                <a:cs typeface="Times New Roman" pitchFamily="18" charset="0"/>
              </a:rPr>
              <a:t>Average  Net </a:t>
            </a:r>
            <a:r>
              <a:rPr lang="en-US" altLang="en-US" sz="800">
                <a:latin typeface="Times New Roman" pitchFamily="18" charset="0"/>
                <a:cs typeface="Times New Roman" pitchFamily="18" charset="0"/>
              </a:rPr>
              <a:t>Credit Derivative Use</a:t>
            </a:r>
          </a:p>
        </c:rich>
      </c:tx>
      <c:overlay val="0"/>
    </c:title>
    <c:autoTitleDeleted val="0"/>
    <c:plotArea>
      <c:layout/>
      <c:lineChart>
        <c:grouping val="standard"/>
        <c:varyColors val="0"/>
        <c:ser>
          <c:idx val="0"/>
          <c:order val="0"/>
          <c:tx>
            <c:strRef>
              <c:f>'ST1415'!$F$1</c:f>
              <c:strCache>
                <c:ptCount val="1"/>
                <c:pt idx="0">
                  <c:v>Net Credit Derivative</c:v>
                </c:pt>
              </c:strCache>
            </c:strRef>
          </c:tx>
          <c:spPr>
            <a:ln>
              <a:solidFill>
                <a:srgbClr val="7030A0"/>
              </a:solidFill>
            </a:ln>
          </c:spPr>
          <c:marker>
            <c:symbol val="none"/>
          </c:marker>
          <c:cat>
            <c:strRef>
              <c:f>'ST1415'!$A$2:$A$33</c:f>
              <c:strCache>
                <c:ptCount val="32"/>
                <c:pt idx="0">
                  <c:v>2007Q1</c:v>
                </c:pt>
                <c:pt idx="1">
                  <c:v>2007Q2</c:v>
                </c:pt>
                <c:pt idx="2">
                  <c:v>2007Q3</c:v>
                </c:pt>
                <c:pt idx="3">
                  <c:v>2007Q4</c:v>
                </c:pt>
                <c:pt idx="4">
                  <c:v>2008Q1</c:v>
                </c:pt>
                <c:pt idx="5">
                  <c:v>2008Q2</c:v>
                </c:pt>
                <c:pt idx="6">
                  <c:v>2008Q3</c:v>
                </c:pt>
                <c:pt idx="7">
                  <c:v>2008Q4</c:v>
                </c:pt>
                <c:pt idx="8">
                  <c:v>2009Q1</c:v>
                </c:pt>
                <c:pt idx="9">
                  <c:v>2009Q2</c:v>
                </c:pt>
                <c:pt idx="10">
                  <c:v>2009Q3</c:v>
                </c:pt>
                <c:pt idx="11">
                  <c:v>2009Q4</c:v>
                </c:pt>
                <c:pt idx="12">
                  <c:v>2010Q1</c:v>
                </c:pt>
                <c:pt idx="13">
                  <c:v>2010Q2</c:v>
                </c:pt>
                <c:pt idx="14">
                  <c:v>2010Q3</c:v>
                </c:pt>
                <c:pt idx="15">
                  <c:v>2010Q4</c:v>
                </c:pt>
                <c:pt idx="16">
                  <c:v>2011Q1</c:v>
                </c:pt>
                <c:pt idx="17">
                  <c:v>2011Q2</c:v>
                </c:pt>
                <c:pt idx="18">
                  <c:v>2011Q3</c:v>
                </c:pt>
                <c:pt idx="19">
                  <c:v>2011Q4</c:v>
                </c:pt>
                <c:pt idx="20">
                  <c:v>2012Q1</c:v>
                </c:pt>
                <c:pt idx="21">
                  <c:v>2012Q2</c:v>
                </c:pt>
                <c:pt idx="22">
                  <c:v>2012Q3</c:v>
                </c:pt>
                <c:pt idx="23">
                  <c:v>2012Q4</c:v>
                </c:pt>
                <c:pt idx="24">
                  <c:v>2013Q1</c:v>
                </c:pt>
                <c:pt idx="25">
                  <c:v>2013Q2</c:v>
                </c:pt>
                <c:pt idx="26">
                  <c:v>2013Q3</c:v>
                </c:pt>
                <c:pt idx="27">
                  <c:v>2013Q4</c:v>
                </c:pt>
                <c:pt idx="28">
                  <c:v>2014Q1</c:v>
                </c:pt>
                <c:pt idx="29">
                  <c:v>2014Q2</c:v>
                </c:pt>
                <c:pt idx="30">
                  <c:v>2014Q3</c:v>
                </c:pt>
                <c:pt idx="31">
                  <c:v>2014Q4</c:v>
                </c:pt>
              </c:strCache>
            </c:strRef>
          </c:cat>
          <c:val>
            <c:numRef>
              <c:f>'ST1415'!$F$2:$F$33</c:f>
              <c:numCache>
                <c:formatCode>0.00%</c:formatCode>
                <c:ptCount val="32"/>
                <c:pt idx="0">
                  <c:v>7.3019999999999997E-4</c:v>
                </c:pt>
                <c:pt idx="1">
                  <c:v>4.7651999999999998E-3</c:v>
                </c:pt>
                <c:pt idx="2">
                  <c:v>8.1744999999999995E-3</c:v>
                </c:pt>
                <c:pt idx="3">
                  <c:v>9.6124000000000001E-3</c:v>
                </c:pt>
                <c:pt idx="4">
                  <c:v>9.7873000000000005E-3</c:v>
                </c:pt>
                <c:pt idx="5">
                  <c:v>1.04175E-2</c:v>
                </c:pt>
                <c:pt idx="6">
                  <c:v>8.5994000000000001E-3</c:v>
                </c:pt>
                <c:pt idx="7">
                  <c:v>9.5224999999999997E-3</c:v>
                </c:pt>
                <c:pt idx="8">
                  <c:v>2.6107200000000001E-2</c:v>
                </c:pt>
                <c:pt idx="9">
                  <c:v>1.9955500000000001E-2</c:v>
                </c:pt>
                <c:pt idx="10">
                  <c:v>1.5526E-2</c:v>
                </c:pt>
                <c:pt idx="11">
                  <c:v>1.46518E-2</c:v>
                </c:pt>
                <c:pt idx="12">
                  <c:v>1.23693E-2</c:v>
                </c:pt>
                <c:pt idx="13">
                  <c:v>1.035E-2</c:v>
                </c:pt>
                <c:pt idx="14">
                  <c:v>1.29319E-2</c:v>
                </c:pt>
                <c:pt idx="15">
                  <c:v>1.27131E-2</c:v>
                </c:pt>
                <c:pt idx="16">
                  <c:v>1.27691E-2</c:v>
                </c:pt>
                <c:pt idx="17">
                  <c:v>1.0552600000000001E-2</c:v>
                </c:pt>
                <c:pt idx="18">
                  <c:v>1.16972E-2</c:v>
                </c:pt>
                <c:pt idx="19">
                  <c:v>1.0356600000000001E-2</c:v>
                </c:pt>
                <c:pt idx="20">
                  <c:v>7.5575E-3</c:v>
                </c:pt>
                <c:pt idx="21">
                  <c:v>6.9024999999999998E-3</c:v>
                </c:pt>
                <c:pt idx="22">
                  <c:v>6.6727000000000002E-3</c:v>
                </c:pt>
                <c:pt idx="23">
                  <c:v>6.1355999999999997E-3</c:v>
                </c:pt>
                <c:pt idx="24">
                  <c:v>5.1180000000000002E-3</c:v>
                </c:pt>
                <c:pt idx="25">
                  <c:v>4.8465000000000001E-3</c:v>
                </c:pt>
                <c:pt idx="26">
                  <c:v>4.7156000000000003E-3</c:v>
                </c:pt>
                <c:pt idx="27">
                  <c:v>5.8907999999999999E-3</c:v>
                </c:pt>
                <c:pt idx="28">
                  <c:v>5.4305000000000004E-3</c:v>
                </c:pt>
                <c:pt idx="29">
                  <c:v>4.4079999999999996E-3</c:v>
                </c:pt>
                <c:pt idx="30">
                  <c:v>4.4105999999999998E-3</c:v>
                </c:pt>
                <c:pt idx="31">
                  <c:v>5.0502999999999998E-3</c:v>
                </c:pt>
              </c:numCache>
            </c:numRef>
          </c:val>
          <c:smooth val="0"/>
        </c:ser>
        <c:dLbls>
          <c:showLegendKey val="0"/>
          <c:showVal val="0"/>
          <c:showCatName val="0"/>
          <c:showSerName val="0"/>
          <c:showPercent val="0"/>
          <c:showBubbleSize val="0"/>
        </c:dLbls>
        <c:marker val="1"/>
        <c:smooth val="0"/>
        <c:axId val="425180160"/>
        <c:axId val="425181952"/>
      </c:lineChart>
      <c:catAx>
        <c:axId val="425180160"/>
        <c:scaling>
          <c:orientation val="minMax"/>
        </c:scaling>
        <c:delete val="0"/>
        <c:axPos val="b"/>
        <c:majorTickMark val="none"/>
        <c:minorTickMark val="none"/>
        <c:tickLblPos val="nextTo"/>
        <c:txPr>
          <a:bodyPr/>
          <a:lstStyle/>
          <a:p>
            <a:pPr>
              <a:defRPr sz="700"/>
            </a:pPr>
            <a:endParaRPr lang="zh-CN"/>
          </a:p>
        </c:txPr>
        <c:crossAx val="425181952"/>
        <c:crosses val="autoZero"/>
        <c:auto val="1"/>
        <c:lblAlgn val="ctr"/>
        <c:lblOffset val="100"/>
        <c:noMultiLvlLbl val="0"/>
      </c:catAx>
      <c:valAx>
        <c:axId val="425181952"/>
        <c:scaling>
          <c:orientation val="minMax"/>
          <c:min val="0"/>
        </c:scaling>
        <c:delete val="0"/>
        <c:axPos val="l"/>
        <c:majorGridlines/>
        <c:numFmt formatCode="0.00%" sourceLinked="1"/>
        <c:majorTickMark val="none"/>
        <c:minorTickMark val="none"/>
        <c:tickLblPos val="nextTo"/>
        <c:spPr>
          <a:ln w="9525">
            <a:noFill/>
          </a:ln>
        </c:spPr>
        <c:txPr>
          <a:bodyPr/>
          <a:lstStyle/>
          <a:p>
            <a:pPr>
              <a:defRPr sz="700"/>
            </a:pPr>
            <a:endParaRPr lang="zh-CN"/>
          </a:p>
        </c:txPr>
        <c:crossAx val="425180160"/>
        <c:crosses val="autoZero"/>
        <c:crossBetween val="between"/>
      </c:valAx>
    </c:plotArea>
    <c:legend>
      <c:legendPos val="b"/>
      <c:overlay val="0"/>
      <c:txPr>
        <a:bodyPr/>
        <a:lstStyle/>
        <a:p>
          <a:pPr>
            <a:defRPr sz="8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736E-BA31-459E-9E6F-E09293D2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16700</Words>
  <Characters>95196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c:creator>
  <cp:lastModifiedBy>SAS</cp:lastModifiedBy>
  <cp:revision>5</cp:revision>
  <dcterms:created xsi:type="dcterms:W3CDTF">2018-08-21T23:26:00Z</dcterms:created>
  <dcterms:modified xsi:type="dcterms:W3CDTF">2018-08-21T23:32:00Z</dcterms:modified>
</cp:coreProperties>
</file>