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6878E" w14:textId="77777777" w:rsidR="00F3110F" w:rsidRPr="00F3110F" w:rsidRDefault="00F3110F" w:rsidP="00F3110F">
      <w:pPr>
        <w:spacing w:after="0" w:line="240" w:lineRule="auto"/>
        <w:ind w:firstLine="0"/>
        <w:jc w:val="center"/>
        <w:rPr>
          <w:b/>
          <w:sz w:val="28"/>
        </w:rPr>
      </w:pPr>
      <w:bookmarkStart w:id="0" w:name="OLE_LINK7"/>
      <w:bookmarkStart w:id="1" w:name="_Hlk508290413"/>
      <w:r w:rsidRPr="00F3110F">
        <w:rPr>
          <w:b/>
          <w:sz w:val="28"/>
        </w:rPr>
        <w:t>Do Sell-Side Analysts’ Qualifications Mitigate the Adverse Effects of Accounting Reporting Complexity?</w:t>
      </w:r>
      <w:bookmarkEnd w:id="0"/>
    </w:p>
    <w:p w14:paraId="118E8959" w14:textId="77777777" w:rsidR="00175FBD" w:rsidRDefault="00175FBD" w:rsidP="00175FBD">
      <w:pPr>
        <w:spacing w:after="0" w:line="240" w:lineRule="auto"/>
      </w:pPr>
      <w:r>
        <w:t xml:space="preserve"> </w:t>
      </w:r>
    </w:p>
    <w:p w14:paraId="2437D088" w14:textId="77777777" w:rsidR="00175FBD" w:rsidRPr="008D4F4C" w:rsidRDefault="00175FBD" w:rsidP="00175FBD">
      <w:pPr>
        <w:spacing w:after="0" w:line="240" w:lineRule="auto"/>
        <w:ind w:firstLine="0"/>
        <w:jc w:val="center"/>
      </w:pPr>
      <w:r w:rsidRPr="008D4F4C">
        <w:t>Rani Hoitash</w:t>
      </w:r>
    </w:p>
    <w:p w14:paraId="391943E3" w14:textId="4B580FE6" w:rsidR="00175FBD" w:rsidRPr="008D4F4C" w:rsidRDefault="00B53E99" w:rsidP="00175FBD">
      <w:pPr>
        <w:spacing w:after="0" w:line="240" w:lineRule="auto"/>
        <w:ind w:firstLine="0"/>
        <w:jc w:val="center"/>
      </w:pPr>
      <w:r w:rsidRPr="00B53E99">
        <w:t xml:space="preserve">John E. Rhodes Professor </w:t>
      </w:r>
    </w:p>
    <w:p w14:paraId="194E324F" w14:textId="77777777" w:rsidR="00175FBD" w:rsidRPr="008D4F4C" w:rsidRDefault="00175FBD" w:rsidP="00175FBD">
      <w:pPr>
        <w:spacing w:after="0" w:line="240" w:lineRule="auto"/>
        <w:ind w:firstLine="0"/>
        <w:jc w:val="center"/>
      </w:pPr>
      <w:r w:rsidRPr="008D4F4C">
        <w:t>175 Forest Street</w:t>
      </w:r>
    </w:p>
    <w:p w14:paraId="67ECC82E" w14:textId="77777777" w:rsidR="00175FBD" w:rsidRPr="008D4F4C" w:rsidRDefault="00175FBD" w:rsidP="00175FBD">
      <w:pPr>
        <w:spacing w:after="0" w:line="240" w:lineRule="auto"/>
        <w:ind w:firstLine="0"/>
        <w:jc w:val="center"/>
      </w:pPr>
      <w:r w:rsidRPr="008D4F4C">
        <w:t>Waltham, MA 02452</w:t>
      </w:r>
    </w:p>
    <w:p w14:paraId="01C8717E" w14:textId="77777777" w:rsidR="00175FBD" w:rsidRPr="008D4F4C" w:rsidRDefault="00175FBD" w:rsidP="00175FBD">
      <w:pPr>
        <w:spacing w:after="0" w:line="240" w:lineRule="auto"/>
        <w:ind w:firstLine="0"/>
        <w:jc w:val="center"/>
        <w:rPr>
          <w:rFonts w:eastAsia="MS Mincho"/>
          <w:color w:val="0000FF"/>
          <w:u w:val="single"/>
        </w:rPr>
      </w:pPr>
      <w:r w:rsidRPr="008D4F4C">
        <w:rPr>
          <w:rFonts w:eastAsia="MS Mincho"/>
        </w:rPr>
        <w:t xml:space="preserve">Email: </w:t>
      </w:r>
      <w:hyperlink r:id="rId7" w:history="1">
        <w:r w:rsidRPr="008D4F4C">
          <w:rPr>
            <w:rFonts w:eastAsia="MS Mincho"/>
            <w:color w:val="0000FF"/>
            <w:u w:val="single"/>
          </w:rPr>
          <w:t>rhoitash@bentley.edu</w:t>
        </w:r>
      </w:hyperlink>
    </w:p>
    <w:p w14:paraId="01B6AE04" w14:textId="77777777" w:rsidR="00175FBD" w:rsidRPr="008D4F4C" w:rsidRDefault="00175FBD" w:rsidP="00175FBD">
      <w:pPr>
        <w:spacing w:after="0" w:line="240" w:lineRule="auto"/>
        <w:ind w:firstLine="0"/>
        <w:jc w:val="center"/>
      </w:pPr>
      <w:r w:rsidRPr="008D4F4C">
        <w:t>Phone: 781-891-2588</w:t>
      </w:r>
    </w:p>
    <w:p w14:paraId="583E8E9E" w14:textId="77777777" w:rsidR="00175FBD" w:rsidRPr="008D4F4C" w:rsidRDefault="00175FBD" w:rsidP="00175FBD">
      <w:pPr>
        <w:spacing w:after="0" w:line="240" w:lineRule="auto"/>
        <w:ind w:firstLine="0"/>
        <w:jc w:val="center"/>
      </w:pPr>
    </w:p>
    <w:p w14:paraId="72F238F4" w14:textId="77777777" w:rsidR="00175FBD" w:rsidRPr="008D4F4C" w:rsidRDefault="00175FBD" w:rsidP="00175FBD">
      <w:pPr>
        <w:spacing w:after="0" w:line="240" w:lineRule="auto"/>
        <w:ind w:firstLine="0"/>
        <w:jc w:val="center"/>
      </w:pPr>
      <w:r w:rsidRPr="008D4F4C">
        <w:t>Udi Hoitash</w:t>
      </w:r>
    </w:p>
    <w:p w14:paraId="31E6A5DF" w14:textId="516EF32E" w:rsidR="00175FBD" w:rsidRPr="008D4F4C" w:rsidRDefault="00102C8E" w:rsidP="00175FBD">
      <w:pPr>
        <w:spacing w:after="0" w:line="240" w:lineRule="auto"/>
        <w:ind w:firstLine="0"/>
        <w:jc w:val="center"/>
      </w:pPr>
      <w:r>
        <w:t xml:space="preserve">Lilian L. and Harry A. Cowan Research Professor </w:t>
      </w:r>
      <w:r w:rsidR="00175FBD" w:rsidRPr="008D4F4C">
        <w:t>Northeastern University</w:t>
      </w:r>
    </w:p>
    <w:p w14:paraId="787627B0" w14:textId="77777777" w:rsidR="00175FBD" w:rsidRPr="008D4F4C" w:rsidRDefault="00175FBD" w:rsidP="00175FBD">
      <w:pPr>
        <w:spacing w:after="0" w:line="240" w:lineRule="auto"/>
        <w:ind w:firstLine="0"/>
        <w:jc w:val="center"/>
      </w:pPr>
      <w:r w:rsidRPr="008D4F4C">
        <w:t>360 Huntington Avenue</w:t>
      </w:r>
    </w:p>
    <w:p w14:paraId="67DD764F" w14:textId="77777777" w:rsidR="00175FBD" w:rsidRPr="008D4F4C" w:rsidRDefault="00175FBD" w:rsidP="00175FBD">
      <w:pPr>
        <w:spacing w:after="0" w:line="240" w:lineRule="auto"/>
        <w:ind w:firstLine="0"/>
        <w:jc w:val="center"/>
      </w:pPr>
      <w:r w:rsidRPr="008D4F4C">
        <w:t>Boston, MA 02115</w:t>
      </w:r>
    </w:p>
    <w:p w14:paraId="361099C7" w14:textId="77777777" w:rsidR="00175FBD" w:rsidRPr="008D4F4C" w:rsidRDefault="00175FBD" w:rsidP="00175FBD">
      <w:pPr>
        <w:spacing w:after="0" w:line="240" w:lineRule="auto"/>
        <w:ind w:firstLine="0"/>
        <w:jc w:val="center"/>
        <w:rPr>
          <w:rFonts w:eastAsia="MS Mincho"/>
          <w:color w:val="0000FF"/>
          <w:u w:val="single"/>
        </w:rPr>
      </w:pPr>
      <w:r w:rsidRPr="008D4F4C">
        <w:rPr>
          <w:rFonts w:eastAsia="MS Mincho"/>
        </w:rPr>
        <w:t xml:space="preserve">Email: </w:t>
      </w:r>
      <w:hyperlink r:id="rId8" w:history="1">
        <w:r w:rsidRPr="008D4F4C">
          <w:rPr>
            <w:rFonts w:eastAsia="MS Mincho"/>
            <w:color w:val="0000FF"/>
            <w:u w:val="single"/>
          </w:rPr>
          <w:t>u.hoitash@neu.edu</w:t>
        </w:r>
      </w:hyperlink>
    </w:p>
    <w:p w14:paraId="35E84268" w14:textId="77777777" w:rsidR="00175FBD" w:rsidRDefault="00175FBD" w:rsidP="00175FBD">
      <w:pPr>
        <w:spacing w:after="0" w:line="240" w:lineRule="auto"/>
        <w:ind w:firstLine="0"/>
        <w:jc w:val="center"/>
      </w:pPr>
      <w:r w:rsidRPr="008D4F4C">
        <w:t>Phone: 617-373-5839</w:t>
      </w:r>
    </w:p>
    <w:p w14:paraId="2A4864D4" w14:textId="77777777" w:rsidR="00175FBD" w:rsidRPr="008D4F4C" w:rsidRDefault="00175FBD" w:rsidP="00175FBD">
      <w:pPr>
        <w:spacing w:after="0" w:line="240" w:lineRule="auto"/>
        <w:ind w:firstLine="0"/>
        <w:jc w:val="center"/>
      </w:pPr>
    </w:p>
    <w:p w14:paraId="3650D2B6" w14:textId="77777777" w:rsidR="00175FBD" w:rsidRPr="00F9691D" w:rsidRDefault="00175FBD" w:rsidP="00175FBD">
      <w:pPr>
        <w:spacing w:after="0" w:line="240" w:lineRule="auto"/>
        <w:ind w:firstLine="0"/>
        <w:jc w:val="center"/>
      </w:pPr>
      <w:r w:rsidRPr="00F9691D">
        <w:t>Ari Yezegel</w:t>
      </w:r>
    </w:p>
    <w:p w14:paraId="55B064B6" w14:textId="77777777" w:rsidR="00175FBD" w:rsidRPr="00F9691D" w:rsidRDefault="00175FBD" w:rsidP="00175FBD">
      <w:pPr>
        <w:spacing w:after="0" w:line="240" w:lineRule="auto"/>
        <w:ind w:firstLine="0"/>
        <w:jc w:val="center"/>
      </w:pPr>
      <w:r w:rsidRPr="00F9691D">
        <w:t>Gibbons Research Scholar</w:t>
      </w:r>
    </w:p>
    <w:p w14:paraId="6B1476BA" w14:textId="77777777" w:rsidR="00175FBD" w:rsidRPr="00F9691D" w:rsidRDefault="00175FBD" w:rsidP="00175FBD">
      <w:pPr>
        <w:spacing w:after="0" w:line="240" w:lineRule="auto"/>
        <w:ind w:firstLine="0"/>
        <w:jc w:val="center"/>
      </w:pPr>
      <w:r w:rsidRPr="00F9691D">
        <w:t>Bentley University</w:t>
      </w:r>
    </w:p>
    <w:p w14:paraId="0B1BAAE5" w14:textId="77777777" w:rsidR="00175FBD" w:rsidRPr="00F9691D" w:rsidRDefault="00175FBD" w:rsidP="00175FBD">
      <w:pPr>
        <w:spacing w:after="0" w:line="240" w:lineRule="auto"/>
        <w:ind w:firstLine="0"/>
        <w:jc w:val="center"/>
      </w:pPr>
      <w:r w:rsidRPr="00F9691D">
        <w:t>175 Forest Street</w:t>
      </w:r>
    </w:p>
    <w:p w14:paraId="3F77C744" w14:textId="77777777" w:rsidR="00175FBD" w:rsidRPr="00F9691D" w:rsidRDefault="00175FBD" w:rsidP="00175FBD">
      <w:pPr>
        <w:spacing w:after="0" w:line="240" w:lineRule="auto"/>
        <w:ind w:firstLine="0"/>
        <w:jc w:val="center"/>
      </w:pPr>
      <w:r w:rsidRPr="00F9691D">
        <w:t>Waltham, MA 02452-4705</w:t>
      </w:r>
    </w:p>
    <w:p w14:paraId="71245EC1" w14:textId="77777777" w:rsidR="00175FBD" w:rsidRPr="00F9691D" w:rsidRDefault="00175FBD" w:rsidP="00175FBD">
      <w:pPr>
        <w:spacing w:after="0" w:line="240" w:lineRule="auto"/>
        <w:ind w:firstLine="0"/>
        <w:jc w:val="center"/>
      </w:pPr>
      <w:r w:rsidRPr="00F9691D">
        <w:t xml:space="preserve">Email: </w:t>
      </w:r>
      <w:hyperlink r:id="rId9" w:history="1">
        <w:r w:rsidRPr="00F9691D">
          <w:rPr>
            <w:rStyle w:val="Hyperlink"/>
          </w:rPr>
          <w:t>ayezegel@bentley.edu</w:t>
        </w:r>
      </w:hyperlink>
    </w:p>
    <w:p w14:paraId="1B541743" w14:textId="77777777" w:rsidR="00175FBD" w:rsidRPr="00F9691D" w:rsidRDefault="00175FBD" w:rsidP="00175FBD">
      <w:pPr>
        <w:spacing w:after="0" w:line="240" w:lineRule="auto"/>
        <w:ind w:firstLine="0"/>
        <w:jc w:val="center"/>
      </w:pPr>
      <w:r w:rsidRPr="00F9691D">
        <w:t>Office: 781-891-2264</w:t>
      </w:r>
    </w:p>
    <w:p w14:paraId="040D36A4" w14:textId="77777777" w:rsidR="00175FBD" w:rsidRDefault="00175FBD" w:rsidP="00175FBD">
      <w:pPr>
        <w:spacing w:after="0" w:line="240" w:lineRule="auto"/>
        <w:jc w:val="center"/>
      </w:pPr>
    </w:p>
    <w:p w14:paraId="09F5E821" w14:textId="77777777" w:rsidR="00175FBD" w:rsidRDefault="00175FBD" w:rsidP="00175FBD">
      <w:pPr>
        <w:spacing w:after="0" w:line="240" w:lineRule="auto"/>
        <w:jc w:val="center"/>
      </w:pPr>
    </w:p>
    <w:p w14:paraId="39D6F675" w14:textId="77777777" w:rsidR="00175FBD" w:rsidRDefault="00175FBD" w:rsidP="00175FBD">
      <w:pPr>
        <w:spacing w:after="0" w:line="276" w:lineRule="auto"/>
        <w:ind w:firstLine="0"/>
        <w:jc w:val="left"/>
      </w:pPr>
    </w:p>
    <w:p w14:paraId="33732E60" w14:textId="77777777" w:rsidR="00E948FA" w:rsidRDefault="00E948FA" w:rsidP="00175FBD">
      <w:pPr>
        <w:spacing w:after="0" w:line="276" w:lineRule="auto"/>
        <w:ind w:firstLine="0"/>
        <w:jc w:val="left"/>
      </w:pPr>
    </w:p>
    <w:p w14:paraId="3AED9B1B" w14:textId="77777777" w:rsidR="00E948FA" w:rsidRDefault="00E948FA" w:rsidP="00175FBD">
      <w:pPr>
        <w:spacing w:after="0" w:line="276" w:lineRule="auto"/>
        <w:ind w:firstLine="0"/>
        <w:jc w:val="left"/>
      </w:pPr>
    </w:p>
    <w:p w14:paraId="49108149" w14:textId="77777777" w:rsidR="00E948FA" w:rsidRDefault="00E948FA" w:rsidP="00175FBD">
      <w:pPr>
        <w:spacing w:after="0" w:line="276" w:lineRule="auto"/>
        <w:ind w:firstLine="0"/>
        <w:jc w:val="left"/>
      </w:pPr>
    </w:p>
    <w:p w14:paraId="45C81349" w14:textId="77777777" w:rsidR="00E948FA" w:rsidRDefault="00E948FA" w:rsidP="00175FBD">
      <w:pPr>
        <w:spacing w:after="0" w:line="276" w:lineRule="auto"/>
        <w:ind w:firstLine="0"/>
        <w:jc w:val="left"/>
      </w:pPr>
    </w:p>
    <w:p w14:paraId="27886BB7" w14:textId="77777777" w:rsidR="00E948FA" w:rsidRDefault="00E948FA" w:rsidP="00175FBD">
      <w:pPr>
        <w:spacing w:after="0" w:line="276" w:lineRule="auto"/>
        <w:ind w:firstLine="0"/>
        <w:jc w:val="left"/>
      </w:pPr>
    </w:p>
    <w:p w14:paraId="0933CCB9" w14:textId="77777777" w:rsidR="00E948FA" w:rsidRDefault="00E948FA" w:rsidP="00175FBD">
      <w:pPr>
        <w:spacing w:after="0" w:line="276" w:lineRule="auto"/>
        <w:ind w:firstLine="0"/>
        <w:jc w:val="left"/>
      </w:pPr>
    </w:p>
    <w:p w14:paraId="255065CC" w14:textId="77777777" w:rsidR="00E948FA" w:rsidRDefault="00E948FA" w:rsidP="00175FBD">
      <w:pPr>
        <w:spacing w:after="0" w:line="276" w:lineRule="auto"/>
        <w:ind w:firstLine="0"/>
        <w:jc w:val="left"/>
      </w:pPr>
    </w:p>
    <w:p w14:paraId="06B9B063" w14:textId="080BDD90" w:rsidR="00175FBD" w:rsidRDefault="00175FBD" w:rsidP="00175FBD">
      <w:pPr>
        <w:spacing w:after="0" w:line="276" w:lineRule="auto"/>
        <w:ind w:firstLine="0"/>
        <w:jc w:val="left"/>
      </w:pPr>
      <w:r>
        <w:t xml:space="preserve">We thank Jean Bedard, </w:t>
      </w:r>
      <w:r w:rsidRPr="007B302E">
        <w:t>Khrystyna</w:t>
      </w:r>
      <w:r>
        <w:t xml:space="preserve"> </w:t>
      </w:r>
      <w:r w:rsidRPr="007B302E">
        <w:t xml:space="preserve">Bochkay, </w:t>
      </w:r>
      <w:r>
        <w:t>Jenna Burke, Roman Chychyla,</w:t>
      </w:r>
      <w:r w:rsidRPr="007B302E">
        <w:t xml:space="preserve"> </w:t>
      </w:r>
      <w:r>
        <w:t>Matt</w:t>
      </w:r>
      <w:r w:rsidR="00EB51D2">
        <w:t xml:space="preserve"> Ege,</w:t>
      </w:r>
      <w:r w:rsidR="00BB054D">
        <w:t xml:space="preserve"> </w:t>
      </w:r>
      <w:r w:rsidR="00BB054D" w:rsidRPr="00BB054D">
        <w:t>Roger Debreceny</w:t>
      </w:r>
      <w:r w:rsidR="00BB054D">
        <w:t>,</w:t>
      </w:r>
      <w:r>
        <w:t xml:space="preserve"> </w:t>
      </w:r>
      <w:r w:rsidR="00E46C48">
        <w:t xml:space="preserve">Ronen Gal-Or, </w:t>
      </w:r>
      <w:r>
        <w:t xml:space="preserve">Jennifer Glenn, </w:t>
      </w:r>
      <w:r w:rsidRPr="00875E88">
        <w:t xml:space="preserve">Mahendra Gujarathi, </w:t>
      </w:r>
      <w:r>
        <w:t xml:space="preserve">Brad Hepfer, Gopal Krishnan, </w:t>
      </w:r>
      <w:r w:rsidR="002D37FB">
        <w:t>Ariel Markelevich,</w:t>
      </w:r>
      <w:r w:rsidR="002D37FB" w:rsidRPr="007B302E">
        <w:t xml:space="preserve"> </w:t>
      </w:r>
      <w:r w:rsidRPr="007B302E">
        <w:t>Miguel</w:t>
      </w:r>
      <w:r>
        <w:t xml:space="preserve"> </w:t>
      </w:r>
      <w:r w:rsidRPr="007B302E">
        <w:t xml:space="preserve">Minutti-Meza, </w:t>
      </w:r>
      <w:r w:rsidR="00EB51D2" w:rsidRPr="00EB51D2">
        <w:t>Joseph Pacelli</w:t>
      </w:r>
      <w:r w:rsidR="00EB51D2">
        <w:t>,</w:t>
      </w:r>
      <w:r w:rsidR="00EB51D2" w:rsidRPr="00EB51D2">
        <w:t xml:space="preserve"> </w:t>
      </w:r>
      <w:r w:rsidRPr="00836ACC">
        <w:t>Patrick Martin</w:t>
      </w:r>
      <w:r>
        <w:t>,</w:t>
      </w:r>
      <w:r w:rsidRPr="00836ACC">
        <w:t xml:space="preserve"> </w:t>
      </w:r>
      <w:r>
        <w:t>Brian Miller, Sundaresh Ramnath,</w:t>
      </w:r>
      <w:r w:rsidR="002D37FB">
        <w:t xml:space="preserve"> Alex Rapp</w:t>
      </w:r>
      <w:r w:rsidR="00EB51D2">
        <w:t>,</w:t>
      </w:r>
      <w:r>
        <w:t xml:space="preserve"> Lynn Rees, Melissa Reville, Sarah Rice, Joe Schroeder, </w:t>
      </w:r>
      <w:r w:rsidRPr="009C7724">
        <w:t>Casey Schwab</w:t>
      </w:r>
      <w:r>
        <w:t xml:space="preserve">, </w:t>
      </w:r>
      <w:r w:rsidR="00EB51D2" w:rsidRPr="00EB51D2">
        <w:t>Lori Shefchik</w:t>
      </w:r>
      <w:r w:rsidR="00EB51D2">
        <w:t xml:space="preserve">, </w:t>
      </w:r>
      <w:r>
        <w:t xml:space="preserve">Ed Swanson, Senyo Tse, </w:t>
      </w:r>
      <w:r w:rsidRPr="009C7724">
        <w:t>Brady Twedt</w:t>
      </w:r>
      <w:r>
        <w:t xml:space="preserve">, Dan </w:t>
      </w:r>
      <w:r w:rsidR="000454E8">
        <w:t>W</w:t>
      </w:r>
      <w:r>
        <w:t>ay, Chris Wolfe,</w:t>
      </w:r>
      <w:r w:rsidRPr="009C7724">
        <w:t xml:space="preserve"> </w:t>
      </w:r>
      <w:r>
        <w:t xml:space="preserve">and participants of research workshops at Bentley University, </w:t>
      </w:r>
      <w:r w:rsidR="0015529B">
        <w:t xml:space="preserve">2018 </w:t>
      </w:r>
      <w:r w:rsidR="006C1114" w:rsidRPr="006C1114">
        <w:t>Hawai'i Accounting Research Conference</w:t>
      </w:r>
      <w:r w:rsidR="006C1114">
        <w:t xml:space="preserve">, </w:t>
      </w:r>
      <w:r w:rsidR="00E46C48">
        <w:t xml:space="preserve">2017 European Accounting Association Annual Meeting, </w:t>
      </w:r>
      <w:r>
        <w:t>Indiana University, University of Miami, and Texas A&amp;M University.</w:t>
      </w:r>
    </w:p>
    <w:bookmarkEnd w:id="1"/>
    <w:p w14:paraId="1CB07D31" w14:textId="77777777" w:rsidR="00E96BA2" w:rsidRDefault="00E96BA2"/>
    <w:p w14:paraId="52A19772" w14:textId="77777777" w:rsidR="00407106" w:rsidRDefault="00407106" w:rsidP="00407106">
      <w:pPr>
        <w:spacing w:line="276" w:lineRule="auto"/>
        <w:ind w:firstLine="0"/>
        <w:jc w:val="center"/>
        <w:rPr>
          <w:b/>
        </w:rPr>
      </w:pPr>
      <w:r>
        <w:rPr>
          <w:b/>
          <w:sz w:val="28"/>
        </w:rPr>
        <w:lastRenderedPageBreak/>
        <w:t>Do Sell-Side Analysts’ Qualifications Mitigate the Adverse Effects of Accounting Reporting Complexity?</w:t>
      </w:r>
    </w:p>
    <w:p w14:paraId="1C3BDA37" w14:textId="77777777" w:rsidR="00407106" w:rsidRDefault="00407106" w:rsidP="00407106">
      <w:pPr>
        <w:spacing w:after="0" w:line="240" w:lineRule="auto"/>
        <w:ind w:firstLine="0"/>
      </w:pPr>
    </w:p>
    <w:p w14:paraId="3F2F35BD" w14:textId="77777777" w:rsidR="00407106" w:rsidRDefault="00407106" w:rsidP="00407106">
      <w:pPr>
        <w:spacing w:after="0" w:line="240" w:lineRule="auto"/>
        <w:ind w:firstLine="0"/>
      </w:pPr>
      <w:r>
        <w:t>While there is broad recognition that the financial reports are overly complex, regulators acknowledge that there is no solution in sight (FASB 2017). Complexity introduces challenges in collecting, interpreting, and analyzing information for investment decisions. Analysts are sophisticated intermediaries who can potentially alleviate the adverse effects of complexity (FASB 2010). It is unclear, however, whether analysts are also challenged by complexity. Addressing this question, we find that accounting reporting complexity (ARC) is associated with lower analysts’ performance. Further, we find that this association is driven by the complexity of the disclosed information in the footnotes, rather than the seemingly more important accounting information that is recognized on the face of the financial statements. Next, we find that while analysts’ general experience does not help alleviate complexity, analysts’ firm-specific experience, industry focus, and CFA certification do. Using a new approach for measuring analysts’ account-specific expertise we find that expertise in fair value, derivatives and pension accounts is more valuable than other types of qualifications in attenuating the negative effects of complexity in these accounts. Overall, this study underscores the importance of analysts’ qualifications and the need to simplify the disclosures in the notes to the financial statements.</w:t>
      </w:r>
    </w:p>
    <w:p w14:paraId="112D71A0" w14:textId="77777777" w:rsidR="00407106" w:rsidRDefault="00407106" w:rsidP="00407106">
      <w:pPr>
        <w:spacing w:after="0" w:line="240" w:lineRule="auto"/>
        <w:ind w:firstLine="0"/>
      </w:pPr>
    </w:p>
    <w:p w14:paraId="176CB210" w14:textId="77777777" w:rsidR="00407106" w:rsidRDefault="00407106" w:rsidP="00407106">
      <w:pPr>
        <w:spacing w:after="0" w:line="240" w:lineRule="auto"/>
        <w:ind w:firstLine="0"/>
      </w:pPr>
    </w:p>
    <w:p w14:paraId="3FF7C65C" w14:textId="77777777" w:rsidR="00407106" w:rsidRDefault="00407106" w:rsidP="00407106">
      <w:pPr>
        <w:spacing w:after="0" w:line="240" w:lineRule="auto"/>
        <w:ind w:firstLine="0"/>
      </w:pPr>
    </w:p>
    <w:p w14:paraId="1F819A41" w14:textId="77777777" w:rsidR="00407106" w:rsidRDefault="00407106" w:rsidP="00407106">
      <w:pPr>
        <w:spacing w:after="0" w:line="240" w:lineRule="auto"/>
        <w:ind w:firstLine="0"/>
      </w:pPr>
    </w:p>
    <w:p w14:paraId="4A07797E" w14:textId="77777777" w:rsidR="00407106" w:rsidRDefault="00407106" w:rsidP="00407106">
      <w:pPr>
        <w:spacing w:line="240" w:lineRule="auto"/>
        <w:ind w:firstLine="0"/>
      </w:pPr>
      <w:r>
        <w:t>JEL Classification: G24, G29, M41</w:t>
      </w:r>
    </w:p>
    <w:p w14:paraId="1BCCB45D" w14:textId="77777777" w:rsidR="00407106" w:rsidRDefault="00407106" w:rsidP="00407106">
      <w:pPr>
        <w:spacing w:line="240" w:lineRule="auto"/>
        <w:ind w:firstLine="0"/>
      </w:pPr>
      <w:r>
        <w:t>Keywords: XBRL, accounting complexity, financial analysts’ performance, financial analysts’ expertise</w:t>
      </w:r>
    </w:p>
    <w:p w14:paraId="1730023E" w14:textId="77777777" w:rsidR="00407106" w:rsidRDefault="00407106" w:rsidP="00407106">
      <w:pPr>
        <w:spacing w:line="240" w:lineRule="auto"/>
        <w:ind w:firstLine="0"/>
      </w:pPr>
      <w:r>
        <w:t xml:space="preserve">Data Availability: Data are publicly available from sources identified in the paper. </w:t>
      </w:r>
    </w:p>
    <w:p w14:paraId="27D2CFAE" w14:textId="77777777" w:rsidR="00407106" w:rsidRDefault="00407106" w:rsidP="00407106">
      <w:pPr>
        <w:spacing w:line="276" w:lineRule="auto"/>
        <w:ind w:firstLine="0"/>
        <w:jc w:val="left"/>
      </w:pPr>
      <w:r>
        <w:br w:type="page"/>
      </w:r>
    </w:p>
    <w:p w14:paraId="5D7600CE" w14:textId="77777777" w:rsidR="00407106" w:rsidRDefault="00407106" w:rsidP="00407106">
      <w:pPr>
        <w:spacing w:after="0" w:line="240" w:lineRule="auto"/>
        <w:ind w:firstLine="0"/>
        <w:jc w:val="center"/>
        <w:rPr>
          <w:b/>
        </w:rPr>
      </w:pPr>
      <w:r>
        <w:rPr>
          <w:b/>
        </w:rPr>
        <w:lastRenderedPageBreak/>
        <w:t>Do Sell-Side Analysts’ Qualifications Mitigate the Adverse Effects of Accounting Reporting Complexity?</w:t>
      </w:r>
    </w:p>
    <w:p w14:paraId="1309BA54" w14:textId="77777777" w:rsidR="00407106" w:rsidRDefault="00407106" w:rsidP="00407106">
      <w:pPr>
        <w:spacing w:after="0" w:line="240" w:lineRule="auto"/>
        <w:ind w:firstLine="0"/>
        <w:jc w:val="center"/>
        <w:rPr>
          <w:b/>
        </w:rPr>
      </w:pPr>
    </w:p>
    <w:p w14:paraId="773DD3AC" w14:textId="77777777" w:rsidR="00407106" w:rsidRDefault="00407106" w:rsidP="00407106">
      <w:pPr>
        <w:pStyle w:val="Heading1"/>
        <w:numPr>
          <w:ilvl w:val="0"/>
          <w:numId w:val="2"/>
        </w:numPr>
        <w:spacing w:after="0"/>
        <w:ind w:left="0" w:firstLine="0"/>
      </w:pPr>
      <w:r>
        <w:t>Introduction</w:t>
      </w:r>
    </w:p>
    <w:p w14:paraId="19EE5F4E" w14:textId="77777777" w:rsidR="00407106" w:rsidRDefault="00407106" w:rsidP="00407106">
      <w:pPr>
        <w:spacing w:after="0"/>
        <w:ind w:firstLine="0"/>
      </w:pPr>
      <w:r>
        <w:t xml:space="preserve">Regulators and standard setters have long recognized that financial reporting has become overly complicated (SEC 2008; FRC 2009), leading to several initiatives to simplify the financial reports (e.g. FASB 2016). Although efforts are underway, these work-in-progress initiatives are not expected to fully resolve accounting complexity in the near future. Recognizing the complex nature of financial statements, FASB states that sophisticated advisers can help investors “understand information about complex economic phenomena” (FASB 8, 2010). Sell-side financial analysts are considered among the most sophisticated users of financial information. Their role is to analyze, interpret and disseminate information to less knowledgeable market participants. As such, financial analysts can potentially alleviate the adverse consequences of accounting reporting complexity. Yet, it is possible that analysts also struggle when financial reports are complex, especially if they lack the requisite qualifications. In this study, we examine the association of accounting reporting complexity (hereafter, ARC) with analysts’ performance and whether certain analysts’ qualifications allow analysts to better cope with complexity. </w:t>
      </w:r>
    </w:p>
    <w:p w14:paraId="68CAE383" w14:textId="77777777" w:rsidR="00407106" w:rsidRDefault="00407106" w:rsidP="00407106">
      <w:pPr>
        <w:spacing w:after="0"/>
        <w:ind w:firstLine="0"/>
      </w:pPr>
      <w:r>
        <w:tab/>
        <w:t>Following the speech of the SEC commissioner (SEC 2006) about the complexity of the financial reports, the SEC formed the Advisory Committee on Improvements to Financial Reporting (ACIFR hereafter, SEC 2008) with a mandate to reduce the complexity of the financial reporting system. We rely on the ACIFR report and define the user-centric aspect of ARC as: the difficulty for financial statement users to understand and analyze detailed economic activities and firm performance from the accounting disclosures in 10-K filings. ARC is calculated as the count of disclosed accounting concepts in annual XBRL (eXtensible Business Reporting Language) 10-</w:t>
      </w:r>
      <w:r>
        <w:lastRenderedPageBreak/>
        <w:t>K filings.</w:t>
      </w:r>
      <w:r>
        <w:rPr>
          <w:rStyle w:val="FootnoteReference"/>
        </w:rPr>
        <w:footnoteReference w:id="1"/>
      </w:r>
      <w:r>
        <w:rPr>
          <w:vertAlign w:val="superscript"/>
        </w:rPr>
        <w:t>,</w:t>
      </w:r>
      <w:r>
        <w:rPr>
          <w:rStyle w:val="FootnoteReference"/>
        </w:rPr>
        <w:footnoteReference w:id="2"/>
      </w:r>
      <w:r>
        <w:t xml:space="preserve"> Past research suggests that the need to analyze more information contributes to task complexity (e.g., Steinmann 1976; Campbell 1988; Bonner 1994). Consistently, we surmise that the disclosure of more accounting information complicates the work of financial analysts because consuming more information requires a broader and more diverse knowledge of accounting standards and regulations.</w:t>
      </w:r>
      <w:r>
        <w:rPr>
          <w:rStyle w:val="FootnoteReference"/>
        </w:rPr>
        <w:footnoteReference w:id="3"/>
      </w:r>
    </w:p>
    <w:p w14:paraId="4A8710ED" w14:textId="77777777" w:rsidR="00407106" w:rsidRDefault="00407106" w:rsidP="00407106">
      <w:pPr>
        <w:spacing w:after="0"/>
        <w:ind w:firstLine="0"/>
      </w:pPr>
      <w:r>
        <w:tab/>
        <w:t>Using a sample of 8,361 firm-year observations between 2011 and 2014 we document the following results. First, as predicted, we find that higher ARC is associated with lower forecast accuracy, higher forecast dispersion, and lower market reaction to recommendation revisions.</w:t>
      </w:r>
      <w:r>
        <w:rPr>
          <w:rStyle w:val="FootnoteReference"/>
        </w:rPr>
        <w:footnoteReference w:id="4"/>
      </w:r>
      <w:r>
        <w:rPr>
          <w:vertAlign w:val="superscript"/>
        </w:rPr>
        <w:t>,</w:t>
      </w:r>
      <w:r>
        <w:rPr>
          <w:rStyle w:val="FootnoteReference"/>
        </w:rPr>
        <w:footnoteReference w:id="5"/>
      </w:r>
      <w:r>
        <w:t xml:space="preserve"> While we expect complexity to be negatively associated with analysts’ performance, these results are not trivial and previous literature documents inconsistent results with respect to other complexity measures, perhaps because past measures were not directly derived from accounting disclosures. For example, Lehavy, Li, and Merkley (2011) and Dunn and Nathan (2005) find that the number of business segments is associated with lower analyst performance whereas Loughran and McDonald (2014) and Duru and Reeb (2002) fail to find a similar association. Furthermore, while Lehavy et al. (2011) document that lower readability, measured by the Gunning (1952) Fog </w:t>
      </w:r>
      <w:r>
        <w:lastRenderedPageBreak/>
        <w:t>index, is associated with lower analyst performance, Loughran and McDonald (2014) fail to find a significant association. Our analyses control for other complexity measures such as firm segments, the Fog index and the length of the 10-K (Li 2008) and we find that ARC exhibits a more consistent association with analyst performance than these measures.</w:t>
      </w:r>
      <w:r>
        <w:rPr>
          <w:rStyle w:val="FootnoteReference"/>
        </w:rPr>
        <w:footnoteReference w:id="6"/>
      </w:r>
    </w:p>
    <w:p w14:paraId="3AA122FF" w14:textId="77777777" w:rsidR="00407106" w:rsidRDefault="00407106" w:rsidP="00407106">
      <w:pPr>
        <w:spacing w:after="0"/>
      </w:pPr>
      <w:r>
        <w:t>An important aspect of financial reporting complexity, unaddressed by prior archival literature, is whether analysts are most affected by the complexity of the financial statements, the complexity of the disclosed information in the notes, or both. It is likely that analysts will be more effected by the complexity of the recognized information on the financial statements because this information is perceived to be more relevant (FASB 1984) than the disclosed information. We examine this question by exploiting a unique feature of ARC that allows for its disaggregation into complexity emanating from the face of the financial statements and from the notes.</w:t>
      </w:r>
      <w:r>
        <w:rPr>
          <w:rStyle w:val="FootnoteReference"/>
        </w:rPr>
        <w:footnoteReference w:id="7"/>
      </w:r>
      <w:r>
        <w:t xml:space="preserve"> We find that the complexity of the disclosed information in the notes rather than the salient recognized information in the financial statements is associated with lower forecast accuracy and higher forecast dispersion. Both aspects of complexity, however, are associated with lower market reaction to recommendation revisions. </w:t>
      </w:r>
    </w:p>
    <w:p w14:paraId="52C874BD" w14:textId="77777777" w:rsidR="00407106" w:rsidRDefault="00407106" w:rsidP="00407106">
      <w:pPr>
        <w:spacing w:after="0"/>
      </w:pPr>
      <w:r>
        <w:t xml:space="preserve">To address our primary objective, </w:t>
      </w:r>
      <w:bookmarkStart w:id="2" w:name="OLE_LINK18"/>
      <w:bookmarkStart w:id="3" w:name="OLE_LINK17"/>
      <w:r>
        <w:t xml:space="preserve">we examine whether analysts’ qualifications can moderate the effect of accounting complexity and increase forecast accuracy of individual analysts. </w:t>
      </w:r>
      <w:bookmarkEnd w:id="2"/>
      <w:bookmarkEnd w:id="3"/>
      <w:r>
        <w:t>Past research documents the benefits of general and firm-specific experience and industry knowledge (</w:t>
      </w:r>
      <w:r>
        <w:fldChar w:fldCharType="begin"/>
      </w:r>
      <w:r>
        <w:instrText>ADDIN RW.CITE{{155 Clement,MichaelB. 1999 /y/f 1999}}</w:instrText>
      </w:r>
      <w:r>
        <w:fldChar w:fldCharType="separate"/>
      </w:r>
      <w:r>
        <w:t>Clement 1999</w:t>
      </w:r>
      <w:r>
        <w:fldChar w:fldCharType="end"/>
      </w:r>
      <w:r>
        <w:t xml:space="preserve">; </w:t>
      </w:r>
      <w:r>
        <w:fldChar w:fldCharType="begin"/>
      </w:r>
      <w:r>
        <w:instrText>ADDIN RW.CITE{{78 Mikhail,MichaelB. 1997 /y/a/pMikhail, Walther and Willis/f 1997}}</w:instrText>
      </w:r>
      <w:r>
        <w:fldChar w:fldCharType="separate"/>
      </w:r>
      <w:r>
        <w:t>Mikhail, Walther, and Willis 1997</w:t>
      </w:r>
      <w:r>
        <w:fldChar w:fldCharType="end"/>
      </w:r>
      <w:r>
        <w:t xml:space="preserve">; Kadan et al. 2012), yet we are unaware of research that examines whether these benefits vary with firm complexity. Using 113,073 analyst-firm-year observations, we examine this question using four measures that capture </w:t>
      </w:r>
      <w:r>
        <w:lastRenderedPageBreak/>
        <w:t>analysts’ qualifications. These include general experience (tenure as analyst in years), firm-specific experience (number of years the analyst covered the firm), industry focus (the inverse of number of industries the analyst cover) and Chartered Financial Analyst© (CFA) certification.</w:t>
      </w:r>
      <w:r>
        <w:rPr>
          <w:rStyle w:val="FootnoteReference"/>
        </w:rPr>
        <w:footnoteReference w:id="8"/>
      </w:r>
      <w:r>
        <w:t xml:space="preserve"> Similar to previous studies (Clement 1999), we find that general experience is associated with greater accuracy. Such experience, however, fails to attenuate the negative effect of ARC. In contrast, analysts with more firm-specific experience, greater industry focus and a CFA certification issue more accurate forecasts, particularly when firms are more complex. Overall, these results suggest that not all types of qualifications are equally beneficial for analysts who cover complex firms.</w:t>
      </w:r>
    </w:p>
    <w:p w14:paraId="6F336A46" w14:textId="77777777" w:rsidR="00407106" w:rsidRDefault="00407106" w:rsidP="00407106">
      <w:pPr>
        <w:spacing w:after="0"/>
      </w:pPr>
      <w:r>
        <w:t>We further explore whether the complexity attributed to specific account categories that are inherently difficult to understand influence the performance of financial analysts and whether analysts’ expertise in these specific accounts can mitigate this effect. Previous studies use novel measures to capture detailed account specific complexity (</w:t>
      </w:r>
      <w:bookmarkStart w:id="4" w:name="OLE_LINK14"/>
      <w:bookmarkStart w:id="5" w:name="OLE_LINK13"/>
      <w:r>
        <w:t xml:space="preserve">Picconi </w:t>
      </w:r>
      <w:bookmarkEnd w:id="4"/>
      <w:bookmarkEnd w:id="5"/>
      <w:r>
        <w:t xml:space="preserve">2006; Magnan, Menini, and Parbonetti 2015; Chang, Donohoe, and Sougiannis 2016). Guided by these studies, we construct ARC measures in three categories of particularly complex accounts: fair values, derivatives and pensions. We compute these account-specific complexity measures by counting the reported accounting concepts (XBRL tags) in each account category. Different from previous studies, this approach for measuring ARC in these accounts is uniform across accounts, is not sample or event specific, and can be extended to other accounts. Constructing these account-specific proxies for complexity underscores an important advantage of ARC, because this is unattainable with measures of readability or other complexity measures that lack an accounting context. As </w:t>
      </w:r>
      <w:r>
        <w:lastRenderedPageBreak/>
        <w:t>predicted, we find that complexity in fair value, derivatives, and pension is associated with lower forecast accuracy.</w:t>
      </w:r>
    </w:p>
    <w:p w14:paraId="2280E3B0" w14:textId="77777777" w:rsidR="00407106" w:rsidRDefault="00407106" w:rsidP="00407106">
      <w:pPr>
        <w:spacing w:after="0"/>
      </w:pPr>
      <w:r>
        <w:t>Since companies can be complex along certain dimensions of accounting and simple along others, we present a new approach that is not used by prior research for measuring analysts’ expertise in specific accounts. We measure the degree of analyst expertise based on the count of the number of account-specific XBRL tags that analysts cover across their portfolio of firms. We conjecture that analysts who cover more account-specific XBRL tags gain expertise in these accounts, consistent with the notion of learning by doing (Arrow 1962).</w:t>
      </w:r>
      <w:r>
        <w:rPr>
          <w:rStyle w:val="FootnoteReference"/>
        </w:rPr>
        <w:footnoteReference w:id="9"/>
      </w:r>
      <w:r>
        <w:t xml:space="preserve"> This approach for measuring analysts’ account specific expertise cannot be easily accomplished without XBRL data.</w:t>
      </w:r>
      <w:r>
        <w:rPr>
          <w:rStyle w:val="FootnoteReference"/>
        </w:rPr>
        <w:footnoteReference w:id="10"/>
      </w:r>
      <w:r>
        <w:t xml:space="preserve"> We find that analysts’ expertise in fair value, pensions and derivatives attenuates the detrimental effect of complexity in these accounts. We further examine whether less nuanced qualifications in the form of general experience, firm-specific experience, industry focus, and a CFA certification are also instrumental in alleviating complexity of specific accounts. We find that general experience provides no benefit to analysts when specific accounts are more complex. In contrast, firm specific experience helps analysts handle complexity in all three accounts, industry focus helps analysts in fair value and pensions but not derivatives and CFA certification helps analysts with complexity in fair value and derivative but not in pension, which is consistent with material covered by the certification requirements. Importantly, we note that account specific expertise remains significant after controlling for other types of analyst expertise, and, in most cases, the effect of the more nuanced account specific expertise is greater than that of other qualifications. </w:t>
      </w:r>
    </w:p>
    <w:p w14:paraId="45AB8BE9" w14:textId="77777777" w:rsidR="00407106" w:rsidRDefault="00407106" w:rsidP="00407106">
      <w:pPr>
        <w:spacing w:after="0"/>
      </w:pPr>
      <w:r>
        <w:lastRenderedPageBreak/>
        <w:t xml:space="preserve">Finally, in additional analysis, we examine whether certain information environment attributes that go beyond the individual analyst qualifications, can also alleviate the effects of complexity. We find that when more analysts cover a firm, the forecasts of individual analysts are more accurate among firms with greater ARC. In contrast, greater analyst effort, measured as the number of forecasts, does not alleviate the effects of complexity. Interestingly, while Guay, Samuels, and Taylor (2016) find that managers are more likely to increase the frequency of their earnings guidance when the company is complex, we find that heightened guidance fails to improve analyst performance when the company is complex. </w:t>
      </w:r>
    </w:p>
    <w:p w14:paraId="61235397" w14:textId="77777777" w:rsidR="00407106" w:rsidRDefault="00407106" w:rsidP="00407106">
      <w:pPr>
        <w:spacing w:after="0"/>
      </w:pPr>
      <w:r>
        <w:t>Our study contributes to the accounting literature in several ways. First, we show that the new measure of ARC is inversely associated with analysts’ performance. Importantly, using a unique feature of ARC we document that the complexity from the disclosed rather than the more reliable and salient recognized financial information drives the negative analysts’ performance outcomes. This evidence was not documented by prior studies that examine recognition versus disclosure of financial information (Schipper 2007; De Franco, Wong, and Zhou 2011). These results suggest that analysts are unaffected by the complexity in the financial statements, perhaps because of the low volume, better information structure in the form of tables, or because analysts invest more time in analyzing these common statements. In contrast, our results show that analysts struggle when the disclosed information in the footnotes is complex. These findings are important to regulators working on simplifying the financial reports and suggest that improvements to the voluminous and unstructured nature of the disclosed information in the notes may have greater impact.</w:t>
      </w:r>
    </w:p>
    <w:p w14:paraId="234AC1EA" w14:textId="77777777" w:rsidR="00407106" w:rsidRDefault="00407106" w:rsidP="00407106">
      <w:pPr>
        <w:spacing w:after="0"/>
      </w:pPr>
      <w:r>
        <w:t xml:space="preserve">Second, while past research shows, and our results corroborate, that reporting complexity influence analyst performance, we are unaware of research that examines circumstances under </w:t>
      </w:r>
      <w:r>
        <w:lastRenderedPageBreak/>
        <w:t>which such negative effects are attenuated. Our results show that only certain types of analyst qualifications are instrumental when the financial reports are complex. Third we extend prior literature that uses different methods to measure the complexity of specific accounts (</w:t>
      </w:r>
      <w:r>
        <w:fldChar w:fldCharType="begin"/>
      </w:r>
      <w:r>
        <w:instrText>ADDIN RW.CITE{{917 Gu,Feng 2005 /y/f 2005}}</w:instrText>
      </w:r>
      <w:r>
        <w:fldChar w:fldCharType="separate"/>
      </w:r>
      <w:r>
        <w:t>Gu and Wang 2005</w:t>
      </w:r>
      <w:r>
        <w:fldChar w:fldCharType="end"/>
      </w:r>
      <w:r>
        <w:t>; Chang et al. 2016) by offering a unified method that is based on the FASB U.S. GAAP XBRL taxonomy to quantify account specific complexity. This method is systematic, objective, and consistent across different accounts, and can be extended to other accounts, samples, periods, and settings. Other researchers can use this method and examine account-specific complexity in different contexts. We show that analyst performance declines when certain accounts are more complex. Finally, we propose a new approach to measure analysts’ account specific expertise and demonstrate that this form of expertise is especially beneficial when specific accounts are more complex.</w:t>
      </w:r>
    </w:p>
    <w:p w14:paraId="05FE03BB" w14:textId="77777777" w:rsidR="00407106" w:rsidRDefault="00407106" w:rsidP="00407106">
      <w:pPr>
        <w:spacing w:after="0"/>
      </w:pPr>
      <w:r>
        <w:t xml:space="preserve">The empirical evidence that we present has several important implications for regulators, standard-setters, investors, creditors, and brokerage houses. Regulators should take note of the adverse consequences of ARC on analyst performance. Our results suggest that even sophisticated financial statement users face challenges when financial reports are complex. Similarly, investors and creditors should be cautious when considering analyst forecasts for firms with complex accounting. Our results highlight both a challenge and an opportunity for brokerage houses and sell-side analysts. Additional investment directed towards understanding the nuances in complex accounting standards may help analysts issue more accurate forecasts and profitable recommendations. Further, the difficulties associated with processing complex accounting information and the importance of experience, expertise, industry focus, and a CFA certification should be considered in cost-benefit discussions and coverage decisions. </w:t>
      </w:r>
    </w:p>
    <w:p w14:paraId="7CE1C89D" w14:textId="77777777" w:rsidR="00407106" w:rsidRDefault="00407106" w:rsidP="00407106">
      <w:pPr>
        <w:spacing w:line="276" w:lineRule="auto"/>
        <w:ind w:firstLine="0"/>
        <w:jc w:val="left"/>
      </w:pPr>
      <w:r>
        <w:br w:type="page"/>
      </w:r>
    </w:p>
    <w:p w14:paraId="7CDA2B43" w14:textId="77777777" w:rsidR="00407106" w:rsidRDefault="00407106" w:rsidP="00407106">
      <w:pPr>
        <w:pStyle w:val="Heading1"/>
        <w:numPr>
          <w:ilvl w:val="0"/>
          <w:numId w:val="2"/>
        </w:numPr>
        <w:spacing w:after="0"/>
        <w:ind w:left="0" w:firstLine="0"/>
      </w:pPr>
      <w:r>
        <w:lastRenderedPageBreak/>
        <w:t>Background</w:t>
      </w:r>
    </w:p>
    <w:p w14:paraId="58BAAFD6" w14:textId="77777777" w:rsidR="00407106" w:rsidRDefault="00407106" w:rsidP="00407106">
      <w:pPr>
        <w:spacing w:after="0"/>
        <w:rPr>
          <w:rFonts w:ascii="TimesNewRomanPSMT" w:hAnsi="TimesNewRomanPSMT" w:cs="TimesNewRomanPSMT"/>
        </w:rPr>
      </w:pPr>
      <w:r>
        <w:rPr>
          <w:rFonts w:ascii="TimesNewRomanPSMT" w:hAnsi="TimesNewRomanPSMT" w:cs="TimesNewRomanPSMT"/>
        </w:rPr>
        <w:t>The first objective of this paper is to test the association between a relatively new measure of accounting reporting complexity (ARC) that is directly constructed from monetary accounting disclosures, and analyst performance. While prior research showed that ARC presents</w:t>
      </w:r>
      <w:r>
        <w:t xml:space="preserve"> challenges for preparers, leading to financial reports that are more susceptible to errors and misapplications of GAAP (Hoitash and Hoitash 2018)</w:t>
      </w:r>
      <w:r>
        <w:rPr>
          <w:rFonts w:ascii="TimesNewRomanPSMT" w:hAnsi="TimesNewRomanPSMT" w:cs="TimesNewRomanPSMT"/>
        </w:rPr>
        <w:t xml:space="preserve">, this measure is untested in the context of financial statement users. </w:t>
      </w:r>
    </w:p>
    <w:p w14:paraId="0CF88062" w14:textId="77777777" w:rsidR="00407106" w:rsidRDefault="00407106" w:rsidP="00407106">
      <w:pPr>
        <w:spacing w:after="0"/>
        <w:rPr>
          <w:rFonts w:ascii="TimesNewRomanPSMT" w:hAnsi="TimesNewRomanPSMT" w:cs="TimesNewRomanPSMT"/>
        </w:rPr>
      </w:pPr>
      <w:r>
        <w:t xml:space="preserve">Accounting information is chiefly obtained from filings with the SEC and is one of the three primary sources used by analysts to prepare their reports (Ramnath, Rock, and Shane 2008). </w:t>
      </w:r>
      <w:r>
        <w:rPr>
          <w:rFonts w:ascii="TimesNewRomanPSMT" w:hAnsi="TimesNewRomanPSMT" w:cs="TimesNewRomanPSMT"/>
        </w:rPr>
        <w:t xml:space="preserve">We surmise that the performance of financial analysts declines with ARC, measured as the number of XBRL tags (accounting concepts), for several reasons. First, </w:t>
      </w:r>
      <w:r>
        <w:t>like most business actors,</w:t>
      </w:r>
      <w:r>
        <w:rPr>
          <w:rFonts w:ascii="TimesNewRomanPSMT" w:hAnsi="TimesNewRomanPSMT" w:cs="TimesNewRomanPSMT"/>
        </w:rPr>
        <w:t xml:space="preserve"> analysts face economic resources constraints and therefore, as the amount of accounting disclosures increase, analysts need to exert greater effort to complete the forecasting task. Second, </w:t>
      </w:r>
      <w:r>
        <w:t xml:space="preserve">even with adequate resources, understanding a larger number of accounting concepts in the financial reports requires more in-depth knowledge of, already complex, authoritative accounting standards. </w:t>
      </w:r>
      <w:r>
        <w:rPr>
          <w:rFonts w:ascii="TimesNewRomanPSMT" w:hAnsi="TimesNewRomanPSMT" w:cs="TimesNewRomanPSMT"/>
        </w:rPr>
        <w:t>In addition, when the disclosed accounting information is more voluminous and diverse, judgment quality may decline (Payne, Bettman, and Johnson 1988). Nevertheless, financial analysts are considered among the most sophisticated users of the financial reports and are known to have intimate knowledge of the firms they cover, as a result greater ARC may not influence their performance. At the outset, our investigation is aimed at testing the prediction of an inverse association between ARC and analysts' performance.</w:t>
      </w:r>
    </w:p>
    <w:p w14:paraId="3461E8B3" w14:textId="77777777" w:rsidR="00407106" w:rsidRDefault="00407106" w:rsidP="00407106">
      <w:pPr>
        <w:spacing w:after="0"/>
      </w:pPr>
      <w:r>
        <w:rPr>
          <w:rFonts w:ascii="TimesNewRomanPSMT" w:hAnsi="TimesNewRomanPSMT" w:cs="TimesNewRomanPSMT"/>
        </w:rPr>
        <w:t xml:space="preserve">In an auxiliary analysis we examine whether the complexity of the recognized information that appear on the face of the financial statements, the disclosed information that appear in the </w:t>
      </w:r>
      <w:r>
        <w:rPr>
          <w:rFonts w:ascii="TimesNewRomanPSMT" w:hAnsi="TimesNewRomanPSMT" w:cs="TimesNewRomanPSMT"/>
        </w:rPr>
        <w:lastRenderedPageBreak/>
        <w:t>notes, or both, are associated with analyst performance.</w:t>
      </w:r>
      <w:r>
        <w:t xml:space="preserve"> While some evidence from the experimental literature suggests that information in the notes is harder to consume (Hirst and Hopkins 1998), statement of Financial Accounting Concepts No. 5 (FASB 1984) clearly states that the most relevant information needs to be recognized. Thus, analysts may perceive that recognized information is more important and put more weight on that information. As a result, there is reason to expect that analysts’ performance may be impacted more by the complexity of the recognized information. However, if analysts put more effort to process the recognized information, they may diffuse the negative effect of complexity. In addition, recognized information is typically formatted using standardized tables, which previous literature suggests are easier to consume (Linsmeier et al. 2002; Clar-Proell and Maines 2014). Taken together, the complexity of the recognized information may or may not influence analyst performance. </w:t>
      </w:r>
    </w:p>
    <w:p w14:paraId="2B28DE3D" w14:textId="77777777" w:rsidR="00407106" w:rsidRDefault="00407106" w:rsidP="00407106">
      <w:pPr>
        <w:rPr>
          <w:rFonts w:ascii="TimesNewRomanPSMT" w:hAnsi="TimesNewRomanPSMT" w:cs="TimesNewRomanPSMT"/>
        </w:rPr>
      </w:pPr>
      <w:r>
        <w:t>In contrast, the disclosed information in the financial statement notes is voluminous and less structured, necessitating greater data collection, analysis, and interpretation effort. Such detailed information may impose excessive cognitive load on analysts, and processing such information may not be cost effective (e.g., Schroder, Driver, and Streufert 1967; Shields 1983; Iyengar and Lepper 2000; Thaler and Benartzi 2004). This can impede analysts’ performance because of failure to incorporate relevant information into their forecasts. However, it is also plausible that analysts do not use the information in the financial statement notes or significantly discount it (</w:t>
      </w:r>
      <w:bookmarkStart w:id="6" w:name="OLE_LINK4"/>
      <w:bookmarkStart w:id="7" w:name="OLE_LINK3"/>
      <w:r>
        <w:t>Schipper 2007</w:t>
      </w:r>
      <w:bookmarkEnd w:id="6"/>
      <w:bookmarkEnd w:id="7"/>
      <w:r>
        <w:t>) and therefore whether or not disclosures in the notes are complex may not be relevant. Nevertheless, other studies suggested that information residing in the notes is highly useful (Shevlin 1991; Amir 1993; Wahlen 1994; Riedl and Srinivasan 2010) and analysts rely on the information in the notes to update their forecasts (</w:t>
      </w:r>
      <w:bookmarkStart w:id="8" w:name="OLE_LINK6"/>
      <w:bookmarkStart w:id="9" w:name="OLE_LINK5"/>
      <w:r>
        <w:t>De Franco et al. 2011</w:t>
      </w:r>
      <w:bookmarkEnd w:id="8"/>
      <w:bookmarkEnd w:id="9"/>
      <w:r>
        <w:t xml:space="preserve">). Since, we are unaware of archival research that examines this issue we do not have a clear prediction on how the </w:t>
      </w:r>
      <w:r>
        <w:lastRenderedPageBreak/>
        <w:t xml:space="preserve">complexity of the recognized information differs from the disclosed information in influencing analyst performance. Therefore, we do not pose a directional prediction and examine this issue as an empirical question. </w:t>
      </w:r>
      <w:r>
        <w:rPr>
          <w:rFonts w:ascii="TimesNewRomanPSMT" w:hAnsi="TimesNewRomanPSMT" w:cs="TimesNewRomanPSMT"/>
        </w:rPr>
        <w:t xml:space="preserve"> </w:t>
      </w:r>
    </w:p>
    <w:p w14:paraId="59E2A160" w14:textId="77777777" w:rsidR="00407106" w:rsidRDefault="00407106" w:rsidP="00407106">
      <w:pPr>
        <w:pStyle w:val="Heading1"/>
        <w:numPr>
          <w:ilvl w:val="0"/>
          <w:numId w:val="2"/>
        </w:numPr>
        <w:ind w:left="0" w:firstLine="0"/>
      </w:pPr>
      <w:r>
        <w:t>Hypotheses Development</w:t>
      </w:r>
    </w:p>
    <w:p w14:paraId="6655CA32" w14:textId="77777777" w:rsidR="00407106" w:rsidRDefault="00407106" w:rsidP="00407106">
      <w:pPr>
        <w:pStyle w:val="Heading2"/>
        <w:spacing w:before="0"/>
      </w:pPr>
      <w:r>
        <w:t>Can certain qualifications help analysts overcome the challenges associated with ARC?</w:t>
      </w:r>
    </w:p>
    <w:p w14:paraId="043AD6B4" w14:textId="77777777" w:rsidR="00407106" w:rsidRDefault="00407106" w:rsidP="00407106">
      <w:pPr>
        <w:spacing w:after="0"/>
        <w:ind w:firstLine="0"/>
      </w:pPr>
      <w:r>
        <w:t xml:space="preserve">Although we predict that complexity will adversely affect analyst performance, it is possible that certain analysts’ qualifications can help alleviate these adverse outcomes. Prior research find that certain analysts’ qualifications improve their performance, however, these findings do not consider accounting complexity. Since market participants rely on analysts for guidance, and accounting complexity is pervasive across many firms, understanding what types of analysts’ qualifications is instrumental in the presence of complexity is of outmost importance to market participants. </w:t>
      </w:r>
    </w:p>
    <w:p w14:paraId="604B7880" w14:textId="77777777" w:rsidR="00407106" w:rsidRDefault="00407106" w:rsidP="00407106">
      <w:pPr>
        <w:spacing w:after="0"/>
      </w:pPr>
      <w:r>
        <w:t>Prior research shows that on average, analyst forecast accuracy improves with experience. This research finds that general experience, defined as the number of years as a financial analyst (</w:t>
      </w:r>
      <w:r>
        <w:fldChar w:fldCharType="begin"/>
      </w:r>
      <w:r>
        <w:instrText>ADDIN RW.CITE{{155 Clement,MichaelB. 1999 /y/f 1999}}</w:instrText>
      </w:r>
      <w:r>
        <w:fldChar w:fldCharType="separate"/>
      </w:r>
      <w:r>
        <w:t>Clement 1999</w:t>
      </w:r>
      <w:r>
        <w:fldChar w:fldCharType="end"/>
      </w:r>
      <w:r>
        <w:t>), and firm specific experience, defined as the number of years covering a specific firm (</w:t>
      </w:r>
      <w:r>
        <w:fldChar w:fldCharType="begin"/>
      </w:r>
      <w:r>
        <w:instrText>ADDIN RW.CITE{{78 Mikhail,MichaelB. 1997 /y/a/pMikhail, Walther and Willis/f 1997}}</w:instrText>
      </w:r>
      <w:r>
        <w:fldChar w:fldCharType="separate"/>
      </w:r>
      <w:r>
        <w:t>Mikhail et al. 1997</w:t>
      </w:r>
      <w:r>
        <w:fldChar w:fldCharType="end"/>
      </w:r>
      <w:r>
        <w:t xml:space="preserve">), are each associated with greater forecast accuracy. This improved performance is attributed to analysts’ ability to more successfully incorporate macroeconomic trends and firm-specific information into their predictions. Nevertheless, when the financial statements are more complex it is possible that experience alone is insufficient to mitigate the adverse effects of complexity. In contrast, given that accounting complexity is often innate to firms and their specific economic activities, we predict that over time analysts can gain knowledge and experience that helps them effectively navigate complex financial reports and thus attenuate the negative performance consequences. </w:t>
      </w:r>
    </w:p>
    <w:p w14:paraId="4A5AC0C8" w14:textId="77777777" w:rsidR="00407106" w:rsidRDefault="00407106" w:rsidP="00407106">
      <w:pPr>
        <w:spacing w:after="0"/>
      </w:pPr>
      <w:r>
        <w:lastRenderedPageBreak/>
        <w:t>In addition to general and firm specific experience, several studies find that analysts’ industry knowledge is valuable (e.g. Piotroski and Roulstone 2004; Kadan et al. 2012; Bradley, Gokkaya, and Liu 2017).</w:t>
      </w:r>
      <w:r>
        <w:rPr>
          <w:rStyle w:val="FootnoteReference"/>
        </w:rPr>
        <w:footnoteReference w:id="11"/>
      </w:r>
      <w:r>
        <w:t xml:space="preserve"> Brown et al. (2015) conduct extensive interviews with sell-side analysts and find that industry knowledge is the single most useful input into analysts’ earnings forecasts and stock recommendations. Consistently, Clement (1999) find that analyst performance is better when analysts cover fewer industries and thus exhibit greater industry focus. Industry knowledge can help analysts through several interrelated channels. First, analysts with industry knowledge can better understand how macro- and micro economic factors influence the firms they cover. Second, the type of economic transactions and accounting treatments are often comparable across companies within an industry, easing the information acquisition processing cost and increasing the quality of the work of the financial analyst. Third, throughout their careers, analysts create connections, these in turn can help analysts gain additional insights about the firms that they cover. While it is possible that analysts with greater industry focus will not be able to cope with accounting complexity, it is likely that they will successfully apply their knowledge to understand the industry specific accounting intricacies in a way that will attenuate the potential detrimental impact of accounting complexity on their forecast predictions.</w:t>
      </w:r>
    </w:p>
    <w:p w14:paraId="16A2A348" w14:textId="77777777" w:rsidR="00407106" w:rsidRDefault="00407106" w:rsidP="00407106">
      <w:pPr>
        <w:spacing w:after="0"/>
      </w:pPr>
      <w:r>
        <w:t xml:space="preserve">Limited research also finds that analysts with a Chartered Financial Analyst© (CFA) certification outperform other analysts. De Franco and Zhou (2009) find that CFA Charterholders’ forecasts are timelier and more accurate. As the authors acknowledge, however, the results with respect to accuracy are mixed and sensitive to the research design. Similarly, Kang, Li, and Su (2017) find that CFA Charterholders have better recommendation performance. These results are </w:t>
      </w:r>
      <w:r>
        <w:lastRenderedPageBreak/>
        <w:t>attributed to the additional training imposed by the certification process. Nevertheless, it is unclear whether analysts with CFA credentials perform better when the firm’s accounting is complex. On the one hand, the certification process is not strictly focused on accounting topics. In contrast, the certification does require extensive financial statement analysis knowledge, which is primarily based on accounting disclosures. As such, we predict that a CFA certification would enhance analyst’s ability to cope with complex accounting.</w:t>
      </w:r>
    </w:p>
    <w:p w14:paraId="785EC6D6" w14:textId="77777777" w:rsidR="00407106" w:rsidRDefault="00407106" w:rsidP="00407106">
      <w:pPr>
        <w:spacing w:after="0"/>
      </w:pPr>
      <w:r>
        <w:t>Together, the abovementioned discussion of general experience, firm-specific experience, industry focus, and a CFA certification leads to our first hypothesis:</w:t>
      </w:r>
    </w:p>
    <w:p w14:paraId="66FEFD18" w14:textId="77777777" w:rsidR="00407106" w:rsidRDefault="00407106" w:rsidP="00407106">
      <w:pPr>
        <w:spacing w:after="0" w:line="240" w:lineRule="auto"/>
        <w:ind w:left="720" w:firstLine="0"/>
      </w:pPr>
      <w:r>
        <w:rPr>
          <w:b/>
        </w:rPr>
        <w:t>H1:</w:t>
      </w:r>
      <w:r>
        <w:t xml:space="preserve"> </w:t>
      </w:r>
      <w:bookmarkStart w:id="10" w:name="OLE_LINK8"/>
      <w:bookmarkStart w:id="11" w:name="OLE_LINK2"/>
      <w:r>
        <w:t xml:space="preserve">The expected negative effect of accounting complexity on analysts’ performance is lower among analysts with stronger qualifications. </w:t>
      </w:r>
    </w:p>
    <w:p w14:paraId="5F407D93" w14:textId="77777777" w:rsidR="00407106" w:rsidRDefault="00407106" w:rsidP="00407106">
      <w:pPr>
        <w:spacing w:after="0" w:line="240" w:lineRule="auto"/>
        <w:ind w:left="720" w:firstLine="0"/>
      </w:pPr>
    </w:p>
    <w:bookmarkEnd w:id="10"/>
    <w:bookmarkEnd w:id="11"/>
    <w:p w14:paraId="481E53E8" w14:textId="77777777" w:rsidR="00407106" w:rsidRDefault="00407106" w:rsidP="00407106">
      <w:pPr>
        <w:spacing w:after="0"/>
        <w:ind w:firstLine="0"/>
        <w:rPr>
          <w:b/>
        </w:rPr>
      </w:pPr>
      <w:r>
        <w:rPr>
          <w:b/>
        </w:rPr>
        <w:t>Account-specific complexity and analysts’ qualifications</w:t>
      </w:r>
    </w:p>
    <w:p w14:paraId="4E85CD83" w14:textId="77777777" w:rsidR="00407106" w:rsidRDefault="00407106" w:rsidP="00407106">
      <w:pPr>
        <w:spacing w:after="0"/>
        <w:ind w:firstLine="0"/>
      </w:pPr>
      <w:r>
        <w:t xml:space="preserve">While prior research examines how experience and industry focus in general are associated with analysts’ performance, the extant literature ignores how these analyst-specific qualifications help mitigate the complexity in specific accounts. Examining this issue is important because recent research shows that account specific complexity is negatively associated with analyst performance. For example, </w:t>
      </w:r>
      <w:bookmarkStart w:id="12" w:name="OLE_LINK12"/>
      <w:bookmarkStart w:id="13" w:name="OLE_LINK11"/>
      <w:r>
        <w:t xml:space="preserve">using a sample of banking firms, Magnan et al. (2015) report that level 2 fair value disclosures enhance forecast accuracy, while level 3 fair value disclosures increase forecast dispersion. Chang et al. (2016) </w:t>
      </w:r>
      <w:bookmarkEnd w:id="12"/>
      <w:bookmarkEnd w:id="13"/>
      <w:r>
        <w:t xml:space="preserve">examine the relation between analysts’ performance and derivatives and find that analysts’ earnings forecasts for new derivative users are less accurate and more dispersed. They conclude that accounting for derivatives creates a financial reporting challenge because they represent a complex financial contract. Finally, Picconi (2006) finds that analysts fail to fully incorporate and interpret information contained in pension disclosures. In addition to their intrinsic complexity, many of the abovementioned accounts are different across </w:t>
      </w:r>
      <w:r>
        <w:lastRenderedPageBreak/>
        <w:t>firms, further complicating the forecasting task. Overall, extant research suggests that analysts struggle to fully incorporate information in these complex accounts.</w:t>
      </w:r>
      <w:r>
        <w:rPr>
          <w:rStyle w:val="FootnoteReference"/>
        </w:rPr>
        <w:footnoteReference w:id="12"/>
      </w:r>
      <w:r>
        <w:t xml:space="preserve"> </w:t>
      </w:r>
    </w:p>
    <w:p w14:paraId="7E29F972" w14:textId="77777777" w:rsidR="00407106" w:rsidRDefault="00407106" w:rsidP="00407106">
      <w:pPr>
        <w:spacing w:after="0"/>
      </w:pPr>
      <w:r>
        <w:t xml:space="preserve">Examining how analysts’ qualifications moderate account specific complexity requires measurement that consistently captures complexity across specific accounts. Similar to the construction of ARC, which is based on the count of accounting concepts reported by firms in their annual filings, we count fair-value, derivative and pension related accounting concepts that are disclosed and use each count as a measure of account specific complexity. This approach for measuring complexity in each account is different from prior research because it is uniform across accounts, is not sample- or event specific, and it can be extended to various accounts. </w:t>
      </w:r>
    </w:p>
    <w:p w14:paraId="2B5388F8" w14:textId="77777777" w:rsidR="00407106" w:rsidRDefault="00407106" w:rsidP="00407106">
      <w:pPr>
        <w:spacing w:after="0"/>
      </w:pPr>
      <w:r>
        <w:t>Following prior literature, we predict that each of these account complexity measures will be inversely associated with analysts’ performance. Extending prior findings by recognizing the value of experience, we hypothesize that general experience, firm specific experience, industry focus and a CFA certification should each be beneficial to analysts who cover firms with greater account specific complexity. This leads to the following hypothesis:</w:t>
      </w:r>
    </w:p>
    <w:p w14:paraId="3EBA63FE" w14:textId="77777777" w:rsidR="00407106" w:rsidRDefault="00407106" w:rsidP="00407106">
      <w:pPr>
        <w:spacing w:after="0" w:line="240" w:lineRule="auto"/>
        <w:ind w:left="720" w:firstLine="0"/>
      </w:pPr>
      <w:r>
        <w:rPr>
          <w:b/>
        </w:rPr>
        <w:t>H2:</w:t>
      </w:r>
      <w:r>
        <w:t xml:space="preserve"> There is a negative association between account specific complexity and forecast accuracy and this effect is attenuated when analysts possess greater qualifications.</w:t>
      </w:r>
    </w:p>
    <w:p w14:paraId="0F9ACF35" w14:textId="77777777" w:rsidR="00407106" w:rsidRDefault="00407106" w:rsidP="00407106">
      <w:pPr>
        <w:spacing w:after="0" w:line="240" w:lineRule="auto"/>
        <w:ind w:left="720" w:firstLine="0"/>
      </w:pPr>
    </w:p>
    <w:p w14:paraId="410BE61E" w14:textId="77777777" w:rsidR="00407106" w:rsidRDefault="00407106" w:rsidP="00407106">
      <w:pPr>
        <w:pStyle w:val="Heading2"/>
        <w:spacing w:before="0"/>
      </w:pPr>
      <w:r>
        <w:t>Account specific analyst expertise</w:t>
      </w:r>
    </w:p>
    <w:p w14:paraId="0087D9C7" w14:textId="77777777" w:rsidR="00407106" w:rsidRDefault="00407106" w:rsidP="00407106">
      <w:pPr>
        <w:spacing w:after="0"/>
      </w:pPr>
      <w:r>
        <w:t xml:space="preserve">We argue that analysts can develop a higher level of technical accounting expertise because of the nature of the companies that they cover. Specifically, analysts who frequently encounter specific account categories that are inherently complex (e.g. derivatives, Chang et al. (2016)) can gain knowledge in these accounts, and thus develop account-specific forms of expertise which can help them improve their forecast accuracy. This form of experience can develop organically, over </w:t>
      </w:r>
      <w:r>
        <w:lastRenderedPageBreak/>
        <w:t>time, as analysts review their forecasts relative to realized company disclosures. In addition, analysts are more likely to rationalize the allocation of additional time to learn about complex accounting topics, because the potential knowledge gains can be used across their portfolio of coverage, thus allowing them to spread the fixed cost required to achieve expertise. This form of expertise is consistent with the learning-by-doing model proposed in a similar context by Mikhail et al. (1997). To date, past research has not examined this specific knowledge gain as a channel through which analysts can alleviate the observed inferior performance.</w:t>
      </w:r>
    </w:p>
    <w:p w14:paraId="76BA68B4" w14:textId="77777777" w:rsidR="00407106" w:rsidRDefault="00407106" w:rsidP="00407106">
      <w:pPr>
        <w:spacing w:after="0"/>
      </w:pPr>
      <w:r>
        <w:t xml:space="preserve">We predict that analysts who gain account specific expertise in fair-value, derivative, and pension accounts will perform better in companies where these accounts are complex. We formulate this prediction in the following hypothesis. </w:t>
      </w:r>
    </w:p>
    <w:p w14:paraId="684FB12F" w14:textId="77777777" w:rsidR="00407106" w:rsidRDefault="00407106" w:rsidP="00407106">
      <w:pPr>
        <w:spacing w:after="0" w:line="240" w:lineRule="auto"/>
        <w:ind w:left="720" w:firstLine="0"/>
      </w:pPr>
      <w:r>
        <w:rPr>
          <w:b/>
        </w:rPr>
        <w:t>H3:</w:t>
      </w:r>
      <w:r>
        <w:t xml:space="preserve"> The negative effect of account specific complexity on forecast accuracy is attenuated when analysts possess greater account specific expertise.</w:t>
      </w:r>
    </w:p>
    <w:p w14:paraId="544D3DC0" w14:textId="77777777" w:rsidR="00407106" w:rsidRDefault="00407106" w:rsidP="00407106">
      <w:pPr>
        <w:spacing w:after="0" w:line="240" w:lineRule="auto"/>
        <w:ind w:left="720" w:firstLine="0"/>
      </w:pPr>
    </w:p>
    <w:p w14:paraId="3246DB3F" w14:textId="77777777" w:rsidR="00407106" w:rsidRDefault="00407106" w:rsidP="00407106">
      <w:pPr>
        <w:pStyle w:val="Heading1"/>
        <w:numPr>
          <w:ilvl w:val="0"/>
          <w:numId w:val="2"/>
        </w:numPr>
        <w:spacing w:after="0"/>
        <w:ind w:left="0" w:firstLine="0"/>
      </w:pPr>
      <w:r>
        <w:t>Sample and Methodology</w:t>
      </w:r>
    </w:p>
    <w:p w14:paraId="6355DA53" w14:textId="77777777" w:rsidR="00407106" w:rsidRDefault="00407106" w:rsidP="00407106">
      <w:pPr>
        <w:pStyle w:val="Heading2"/>
        <w:spacing w:before="0"/>
      </w:pPr>
      <w:r>
        <w:t>Construction of accounting complexity</w:t>
      </w:r>
    </w:p>
    <w:p w14:paraId="6FA58534" w14:textId="77777777" w:rsidR="00407106" w:rsidRDefault="00407106" w:rsidP="00407106">
      <w:pPr>
        <w:spacing w:after="0"/>
      </w:pPr>
      <w:r>
        <w:t>In 2009, the SEC passed the “Interactive Data to Improve Financial Reporting” rule, which requires companies to provide financial statement information in an XBRL format (SEC 2009).</w:t>
      </w:r>
      <w:r>
        <w:rPr>
          <w:rStyle w:val="FootnoteReference"/>
        </w:rPr>
        <w:footnoteReference w:id="13"/>
      </w:r>
      <w:r>
        <w:t xml:space="preserve"> The SEC phased in the rule over three years based on company filing status. The rule requires companies to tag each numerical value in Item 8 of the 10-K filings. Each tag represents an accounting concept such as net inventory, raw materials, or net revenue. We rely on detailed tag-level XBRL data filed with the SEC to measure accounting complexity. We obtained the necessary </w:t>
      </w:r>
      <w:r>
        <w:lastRenderedPageBreak/>
        <w:t>XBRL data directly from the SEC filings using Python.</w:t>
      </w:r>
      <w:r>
        <w:rPr>
          <w:rStyle w:val="FootnoteReference"/>
        </w:rPr>
        <w:footnoteReference w:id="14"/>
      </w:r>
      <w:r>
        <w:t xml:space="preserve"> The data includes all XBRL tag names, the period of each tag as well as a variable indicating whether the tag represents a monetary accounting concept.</w:t>
      </w:r>
    </w:p>
    <w:p w14:paraId="3BF4210A" w14:textId="77777777" w:rsidR="00407106" w:rsidRDefault="00407106" w:rsidP="00407106">
      <w:pPr>
        <w:spacing w:after="0"/>
      </w:pPr>
      <w:r>
        <w:t>We start with 13,499 XBRL filings of 10-K reports for fiscal years 2011-2014 and implement a number of filters, which we describe in Table 2 Panel A. Our final sample, after limiting the sample to observations with coverage in Compustat and imposing several other constraints, consists of 8,361 firm-year observations and 113,073 annual analyst earnings estimates.</w:t>
      </w:r>
      <w:r>
        <w:rPr>
          <w:rStyle w:val="FootnoteReference"/>
        </w:rPr>
        <w:footnoteReference w:id="15"/>
      </w:r>
      <w:r>
        <w:t xml:space="preserve"> Table 2 Panel B indicates that the fiscal years between 2012 and 2014 are roughly equally represented in the final sample whereas fiscal year 2011 has less than half of the average number of firms for the period 2012-2014. The relatively small sample size for fiscal year 2011 is primarily due to the SEC’s phased implementation of the rule governing XBRL submissions.</w:t>
      </w:r>
      <w:r>
        <w:rPr>
          <w:rStyle w:val="FootnoteReference"/>
        </w:rPr>
        <w:footnoteReference w:id="16"/>
      </w:r>
    </w:p>
    <w:p w14:paraId="1FA44DEF" w14:textId="77777777" w:rsidR="00407106" w:rsidRDefault="00407106" w:rsidP="00407106">
      <w:pPr>
        <w:pStyle w:val="Heading2"/>
        <w:spacing w:before="0"/>
      </w:pPr>
      <w:r>
        <w:t>Overall Accounting Complexity</w:t>
      </w:r>
    </w:p>
    <w:p w14:paraId="7D4E805E" w14:textId="77777777" w:rsidR="00407106" w:rsidRDefault="00407106" w:rsidP="00407106">
      <w:pPr>
        <w:spacing w:after="0"/>
        <w:ind w:firstLine="360"/>
      </w:pPr>
      <w:r>
        <w:rPr>
          <w:b/>
        </w:rPr>
        <w:tab/>
      </w:r>
      <w:r>
        <w:t xml:space="preserve">In XBRL filings, each concept is depicted by a tag that is numerical, textual, or date-oriented. Each tag in the XBRL U.S. GAAP taxonomy is assigned a name and a label and includes other attributes such as definition, data type (monetary or string), balance type (credit/debit), and period type (instant for balance sheet items, or duration for income statement items). The goal of the taxonomy is to define a universe of XBRL tags that enable companies to report all of their accounting concepts. In other words, it allows companies to present their traditional HTML filings in XBRL. Although the taxonomy is comprehensive (includes nearly 16,000 tags), companies may </w:t>
      </w:r>
      <w:r>
        <w:lastRenderedPageBreak/>
        <w:t>have unique disclosure needs that are unmet by the taxonomy. XBRL’s design, therefore, enables companies to extend the taxonomy and create unique tags (extensions) that meet their needs.</w:t>
      </w:r>
    </w:p>
    <w:p w14:paraId="479F9F58" w14:textId="77777777" w:rsidR="00407106" w:rsidRDefault="00407106" w:rsidP="00407106">
      <w:pPr>
        <w:spacing w:after="0"/>
      </w:pPr>
      <w:r>
        <w:t>Our first test variable is a measure of accounting reporting complexity (</w:t>
      </w:r>
      <w:r>
        <w:rPr>
          <w:i/>
        </w:rPr>
        <w:t>ARC</w:t>
      </w:r>
      <w:r>
        <w:t xml:space="preserve">). The construction of </w:t>
      </w:r>
      <w:r>
        <w:rPr>
          <w:i/>
        </w:rPr>
        <w:t>ARC</w:t>
      </w:r>
      <w:r>
        <w:t xml:space="preserve"> follows </w:t>
      </w:r>
      <w:r>
        <w:fldChar w:fldCharType="begin"/>
      </w:r>
      <w:r>
        <w:instrText>ADDIN RW.CITE{{822 Hoitash,Rani 2018}}</w:instrText>
      </w:r>
      <w:r>
        <w:fldChar w:fldCharType="separate"/>
      </w:r>
      <w:r>
        <w:t>Hoitash and Hoitash (2018)</w:t>
      </w:r>
      <w:r>
        <w:fldChar w:fldCharType="end"/>
      </w:r>
      <w:r>
        <w:t xml:space="preserve"> and begins with all reported monetary XBRL tags in Item 8 of the 10-K filings. Each tag refers to accounting standards and regulations. More tags, therefore, suggest greater accounting complexity because more accounting knowledge is necessary to understand the financial reports. We only count distinct tags in each disclosure (statement/note/table) because tags that recur represent a similar accounting concept and do not increase the complexity. Tag repetition typically happens in comparable financial statements that firms are required to report. For example, the tag “NetIncomeLoss” will repeat three times in the income statement because it is disclosed for the current and the prior two years. In such instances, we only include the tag that refers to the current year. In the sensitivity section, we report that results are not sensitive to alternative construction heuristics of </w:t>
      </w:r>
      <w:r>
        <w:rPr>
          <w:i/>
        </w:rPr>
        <w:t>ARC</w:t>
      </w:r>
      <w:r>
        <w:t xml:space="preserve"> such as counting all tags whether or not they repeat within a filing.</w:t>
      </w:r>
    </w:p>
    <w:p w14:paraId="51B0BCEC" w14:textId="77777777" w:rsidR="00407106" w:rsidRDefault="00407106" w:rsidP="00407106">
      <w:pPr>
        <w:spacing w:after="0"/>
        <w:ind w:firstLine="0"/>
        <w:rPr>
          <w:b/>
          <w:i/>
        </w:rPr>
      </w:pPr>
      <w:r>
        <w:rPr>
          <w:b/>
          <w:i/>
        </w:rPr>
        <w:t>Accounting Complexity Resulting from Recognition versus Disclosure</w:t>
      </w:r>
    </w:p>
    <w:p w14:paraId="044C8E4B" w14:textId="77777777" w:rsidR="00407106" w:rsidRDefault="00407106" w:rsidP="00407106">
      <w:pPr>
        <w:spacing w:after="0"/>
        <w:ind w:firstLine="0"/>
        <w:rPr>
          <w:b/>
          <w:i/>
        </w:rPr>
      </w:pPr>
      <w:r>
        <w:rPr>
          <w:b/>
        </w:rPr>
        <w:tab/>
      </w:r>
      <w:r>
        <w:t xml:space="preserve">A unique feature of </w:t>
      </w:r>
      <w:r>
        <w:rPr>
          <w:i/>
        </w:rPr>
        <w:t xml:space="preserve">ARC </w:t>
      </w:r>
      <w:r>
        <w:t xml:space="preserve">is the ability to disentangle the complexity emanating from the recognized (i.e. information in the face of the financial statements) and disclosed accounting information (i.e. information in the notes to the financial statements). We take advantage of this feature and decompose </w:t>
      </w:r>
      <w:r>
        <w:rPr>
          <w:i/>
        </w:rPr>
        <w:t xml:space="preserve">ARC </w:t>
      </w:r>
      <w:r>
        <w:t xml:space="preserve">into two mutually exclusive test variables, </w:t>
      </w:r>
      <w:r>
        <w:rPr>
          <w:i/>
        </w:rPr>
        <w:t>ARC-FS</w:t>
      </w:r>
      <w:r>
        <w:t xml:space="preserve"> is the number of distinct tags that appear on the face of the financial statements, and </w:t>
      </w:r>
      <w:r>
        <w:rPr>
          <w:i/>
        </w:rPr>
        <w:t xml:space="preserve">ARC-NOTES </w:t>
      </w:r>
      <w:r>
        <w:t>is the number of distinct tags that appear in the notes to the financial statements.</w:t>
      </w:r>
    </w:p>
    <w:p w14:paraId="07FB7D96" w14:textId="77777777" w:rsidR="00407106" w:rsidRDefault="00407106" w:rsidP="00407106">
      <w:pPr>
        <w:spacing w:after="0"/>
        <w:ind w:firstLine="0"/>
        <w:rPr>
          <w:b/>
          <w:i/>
        </w:rPr>
      </w:pPr>
      <w:r>
        <w:rPr>
          <w:b/>
          <w:i/>
        </w:rPr>
        <w:t>Account Specific Complexity and Account Specific Expertise</w:t>
      </w:r>
    </w:p>
    <w:p w14:paraId="560D88A8" w14:textId="77777777" w:rsidR="00407106" w:rsidRDefault="00407106" w:rsidP="00407106">
      <w:pPr>
        <w:spacing w:after="0"/>
      </w:pPr>
      <w:r>
        <w:lastRenderedPageBreak/>
        <w:t xml:space="preserve">Another important feature that differentiates </w:t>
      </w:r>
      <w:r>
        <w:rPr>
          <w:i/>
        </w:rPr>
        <w:t>ARC</w:t>
      </w:r>
      <w:r>
        <w:t xml:space="preserve"> from other broad measures (e.g., the Fog Index) is that it is constructed based on specific accounting disclosures and, as such, it can be disaggregated to calculate the complexity of specific accounts. We use the FASB XBRL taxonomy and common search terms to measure complexity of three specific accounts (fair value, derivatives, and pensions). Specifically, we use the calculation link and the presentation link files provided by FASB.</w:t>
      </w:r>
      <w:r>
        <w:rPr>
          <w:rStyle w:val="FootnoteReference"/>
        </w:rPr>
        <w:footnoteReference w:id="17"/>
      </w:r>
      <w:r>
        <w:t xml:space="preserve"> These files classify XBRL tags into various account categories. We rely on these files to extract a list of tags that appear in each account category (fair value, derivatives, and pensions) and remove duplicates. Some of the tags in these lists repeat frequently across different accounting categories (e.g., EPS).</w:t>
      </w:r>
      <w:r>
        <w:rPr>
          <w:rStyle w:val="FootnoteReference"/>
        </w:rPr>
        <w:footnoteReference w:id="18"/>
      </w:r>
      <w:r>
        <w:t xml:space="preserve"> We remove these tags because we are unable to uniquely attribute them to specific categories. We further search for common terms that the taxonomy uses to describe tags in specific categories and classify taxonomy and extended tags to account categories.</w:t>
      </w:r>
      <w:r>
        <w:rPr>
          <w:rStyle w:val="FootnoteReference"/>
        </w:rPr>
        <w:footnoteReference w:id="19"/>
      </w:r>
      <w:r>
        <w:t xml:space="preserve"> For example, the word “fairvalue” exists in 98% of the fair value tags in the taxonomy and thus is very helpful in identifying other fair value tags. We term the three new complexity variables as </w:t>
      </w:r>
      <w:r>
        <w:rPr>
          <w:i/>
        </w:rPr>
        <w:t>ARC-FAIR</w:t>
      </w:r>
      <w:r>
        <w:t>,</w:t>
      </w:r>
      <w:r>
        <w:rPr>
          <w:i/>
        </w:rPr>
        <w:t xml:space="preserve"> ARC-DERIV</w:t>
      </w:r>
      <w:r>
        <w:t>,</w:t>
      </w:r>
      <w:r>
        <w:rPr>
          <w:i/>
        </w:rPr>
        <w:t xml:space="preserve"> </w:t>
      </w:r>
      <w:r>
        <w:t xml:space="preserve">and </w:t>
      </w:r>
      <w:r>
        <w:rPr>
          <w:i/>
        </w:rPr>
        <w:t>ARC-PENS.</w:t>
      </w:r>
      <w:r>
        <w:t xml:space="preserve"> Each variable represents the number of reported XBRL tags in its category. Using a similar method, we construct an analyst account specific expertise measure in fair value</w:t>
      </w:r>
      <w:r>
        <w:rPr>
          <w:i/>
        </w:rPr>
        <w:t xml:space="preserve"> </w:t>
      </w:r>
      <w:r>
        <w:t>(</w:t>
      </w:r>
      <w:r>
        <w:rPr>
          <w:i/>
        </w:rPr>
        <w:t>EXPRT-FAIR</w:t>
      </w:r>
      <w:r>
        <w:t>), derivatives (</w:t>
      </w:r>
      <w:r>
        <w:rPr>
          <w:i/>
        </w:rPr>
        <w:t>EXPRT-DERIV</w:t>
      </w:r>
      <w:r>
        <w:t>), and pension (</w:t>
      </w:r>
      <w:r>
        <w:rPr>
          <w:i/>
        </w:rPr>
        <w:t>EXPRT-PENS</w:t>
      </w:r>
      <w:r>
        <w:t>). To capture these types of expertise we first calculate the sum of the tags reported by companies in the analyst’s portfolio of coverage in each of the three accounts.</w:t>
      </w:r>
      <w:r>
        <w:rPr>
          <w:rStyle w:val="FootnoteReference"/>
        </w:rPr>
        <w:footnoteReference w:id="20"/>
      </w:r>
      <w:r>
        <w:t xml:space="preserve"> We then rank analysts based on this </w:t>
      </w:r>
      <w:r>
        <w:lastRenderedPageBreak/>
        <w:t>measure and classify those in the top 50 percentile as experts. We conjecture that greater exposure of analysts to these specific complex accounting concepts, increases their expertise.</w:t>
      </w:r>
    </w:p>
    <w:p w14:paraId="60407277" w14:textId="77777777" w:rsidR="00407106" w:rsidRDefault="00407106" w:rsidP="00407106">
      <w:pPr>
        <w:pStyle w:val="Heading2"/>
        <w:spacing w:before="0"/>
      </w:pPr>
      <w:r>
        <w:t>Research Design</w:t>
      </w:r>
    </w:p>
    <w:p w14:paraId="23742C7A" w14:textId="77777777" w:rsidR="00407106" w:rsidRDefault="00407106" w:rsidP="00407106">
      <w:pPr>
        <w:spacing w:after="0"/>
        <w:ind w:firstLine="0"/>
      </w:pPr>
      <w:r>
        <w:t>Our research design centers on the analyses of two samples: firm-year and analyst-firm-year level. The first set of analyses examines our research question using firm-level attributes. The second set of analyses uses analyst-specific attributes to shed light on moderators of the relation between complexity and forecast accuracy.</w:t>
      </w:r>
    </w:p>
    <w:p w14:paraId="3ADB17B7" w14:textId="77777777" w:rsidR="00407106" w:rsidRDefault="00407106" w:rsidP="00407106">
      <w:pPr>
        <w:pStyle w:val="Heading2"/>
        <w:spacing w:before="0"/>
      </w:pPr>
      <w:r>
        <w:t>Firm-year Level Sample: Dependent variables</w:t>
      </w:r>
    </w:p>
    <w:p w14:paraId="0229A7B1" w14:textId="77777777" w:rsidR="00407106" w:rsidRDefault="00407106" w:rsidP="00407106">
      <w:pPr>
        <w:spacing w:after="0"/>
        <w:ind w:firstLine="0"/>
      </w:pPr>
      <w:r>
        <w:t>In the firm-year level analysis, we use three dependent variables to study ARC in relation to financial analysts’ performance. Specifically, we examine the accuracy of analysts’ earnings forecasts (</w:t>
      </w:r>
      <w:r>
        <w:rPr>
          <w:i/>
        </w:rPr>
        <w:t>ACCURACY</w:t>
      </w:r>
      <w:r>
        <w:t>), dispersion of analysts’ earnings forecasts (</w:t>
      </w:r>
      <w:r>
        <w:rPr>
          <w:i/>
        </w:rPr>
        <w:t>FORDISP</w:t>
      </w:r>
      <w:r>
        <w:t>), and the informativeness of their stock recommendation revisions (</w:t>
      </w:r>
      <w:r>
        <w:rPr>
          <w:i/>
        </w:rPr>
        <w:t>RECVAL</w:t>
      </w:r>
      <w:r>
        <w:t xml:space="preserve">). We calculate </w:t>
      </w:r>
      <w:r>
        <w:rPr>
          <w:i/>
        </w:rPr>
        <w:t>ACCURACY</w:t>
      </w:r>
      <w:r>
        <w:t xml:space="preserve"> as the absolute value of reported earnings minus the median earnings forecast for the fiscal year, scaled by price, and multiplied by minus one so that higher values represent higher forecast accuracy.</w:t>
      </w:r>
      <w:r>
        <w:rPr>
          <w:rStyle w:val="FootnoteReference"/>
        </w:rPr>
        <w:footnoteReference w:id="21"/>
      </w:r>
      <w:r>
        <w:t xml:space="preserve"> We measure </w:t>
      </w:r>
      <w:r>
        <w:rPr>
          <w:i/>
        </w:rPr>
        <w:t>FORDISP</w:t>
      </w:r>
      <w:r>
        <w:t xml:space="preserve"> by calculating the standard deviation of analysts’ annual earnings estimates, scaled by the share price as of the end of the fiscal year. Higher values of </w:t>
      </w:r>
      <w:r>
        <w:rPr>
          <w:i/>
        </w:rPr>
        <w:t>FORDISP</w:t>
      </w:r>
      <w:r>
        <w:t xml:space="preserve"> indicate greater disagreement among analysts. We multiply both </w:t>
      </w:r>
      <w:r>
        <w:rPr>
          <w:i/>
        </w:rPr>
        <w:t>ACCURACY</w:t>
      </w:r>
      <w:r>
        <w:t xml:space="preserve"> and </w:t>
      </w:r>
      <w:r>
        <w:rPr>
          <w:i/>
        </w:rPr>
        <w:t>FORDISP</w:t>
      </w:r>
      <w:r>
        <w:t xml:space="preserve"> by 100 to avoid overly small OLS coefficient estimates. We measure </w:t>
      </w:r>
      <w:r>
        <w:rPr>
          <w:i/>
        </w:rPr>
        <w:t>RECVAL</w:t>
      </w:r>
      <w:r>
        <w:t xml:space="preserve"> by first calculating the three-day market reaction associated with each revision. We then exclude revisions that analysts issued within two days following earnings announcements,</w:t>
      </w:r>
      <w:r>
        <w:rPr>
          <w:rStyle w:val="FootnoteReference"/>
        </w:rPr>
        <w:footnoteReference w:id="22"/>
      </w:r>
      <w:r>
        <w:t xml:space="preserve"> those that reiterate previous recommendation ratings, and those that were issued on days with conflicting </w:t>
      </w:r>
      <w:r>
        <w:lastRenderedPageBreak/>
        <w:t>recommendation revisions (e.g., one analyst issues an upgrade and another issues a downgrade).</w:t>
      </w:r>
      <w:r>
        <w:rPr>
          <w:rStyle w:val="FootnoteReference"/>
        </w:rPr>
        <w:footnoteReference w:id="23"/>
      </w:r>
      <w:r>
        <w:t xml:space="preserve"> We multiply the market reaction for downgrades by minus one to align the returns of upgrades with downgrades.</w:t>
      </w:r>
      <w:r>
        <w:rPr>
          <w:rStyle w:val="FootnoteReference"/>
        </w:rPr>
        <w:footnoteReference w:id="24"/>
      </w:r>
      <w:r>
        <w:t xml:space="preserve"> </w:t>
      </w:r>
      <w:r>
        <w:rPr>
          <w:i/>
        </w:rPr>
        <w:t xml:space="preserve">RECVAL </w:t>
      </w:r>
      <w:r>
        <w:t>is equal to the mean three-day market reaction for all revisions issued during the fiscal year. To the extent that analysts uncover and/or process information that is useful to their clients, the market reaction associated with their revisions will be higher.</w:t>
      </w:r>
      <w:r>
        <w:rPr>
          <w:rStyle w:val="FootnoteReference"/>
        </w:rPr>
        <w:footnoteReference w:id="25"/>
      </w:r>
    </w:p>
    <w:p w14:paraId="1312ED79" w14:textId="77777777" w:rsidR="00407106" w:rsidRDefault="00407106" w:rsidP="00407106">
      <w:pPr>
        <w:pStyle w:val="Heading2"/>
        <w:spacing w:before="0"/>
      </w:pPr>
      <w:r>
        <w:t>Firm-year Level Sample: Control variables</w:t>
      </w:r>
    </w:p>
    <w:p w14:paraId="582CE8F7" w14:textId="77777777" w:rsidR="00407106" w:rsidRDefault="00407106" w:rsidP="00407106">
      <w:pPr>
        <w:spacing w:after="0"/>
      </w:pPr>
      <w:r>
        <w:t>We control for a number of factors that prior research shows to be associated with the value of analysts’ recommendations and their forecast accuracy. Prior studies find attributes of the information environment to be strongly associated with analyst coverage and their performance (</w:t>
      </w:r>
      <w:r>
        <w:fldChar w:fldCharType="begin"/>
      </w:r>
      <w:r>
        <w:instrText>ADDIN RW.CITE{{313 Bhushan,Ravi 1989}}</w:instrText>
      </w:r>
      <w:r>
        <w:fldChar w:fldCharType="separate"/>
      </w:r>
      <w:r>
        <w:t>Bhushan 1989</w:t>
      </w:r>
      <w:r>
        <w:fldChar w:fldCharType="end"/>
      </w:r>
      <w:r>
        <w:t xml:space="preserve">, </w:t>
      </w:r>
      <w:r>
        <w:fldChar w:fldCharType="begin"/>
      </w:r>
      <w:r>
        <w:instrText>ADDIN RW.CITE{{664 O'Brien,PatriciaC. 1990}}</w:instrText>
      </w:r>
      <w:r>
        <w:fldChar w:fldCharType="separate"/>
      </w:r>
      <w:r>
        <w:t>O'Brien and Bhushan 1990</w:t>
      </w:r>
      <w:r>
        <w:fldChar w:fldCharType="end"/>
      </w:r>
      <w:r>
        <w:t xml:space="preserve">, </w:t>
      </w:r>
      <w:r>
        <w:fldChar w:fldCharType="begin"/>
      </w:r>
      <w:r>
        <w:instrText>ADDIN RW.CITE{{65 Lang,MarkH. 1996}}</w:instrText>
      </w:r>
      <w:r>
        <w:fldChar w:fldCharType="separate"/>
      </w:r>
      <w:r>
        <w:t>Lang and Lundholm 1996</w:t>
      </w:r>
      <w:r>
        <w:fldChar w:fldCharType="end"/>
      </w:r>
      <w:r>
        <w:t xml:space="preserve">, </w:t>
      </w:r>
      <w:r>
        <w:fldChar w:fldCharType="begin"/>
      </w:r>
      <w:r>
        <w:instrText>ADDIN RW.CITE{{154 Barth,MaryE. 2001}}</w:instrText>
      </w:r>
      <w:r>
        <w:fldChar w:fldCharType="separate"/>
      </w:r>
      <w:r>
        <w:t>Barth, Kasznik and McNichols 2001</w:t>
      </w:r>
      <w:r>
        <w:fldChar w:fldCharType="end"/>
      </w:r>
      <w:r>
        <w:t xml:space="preserve">, </w:t>
      </w:r>
      <w:r>
        <w:fldChar w:fldCharType="begin"/>
      </w:r>
      <w:r>
        <w:instrText>ADDIN RW.CITE{{129 Frankel,Richard 2006}}</w:instrText>
      </w:r>
      <w:r>
        <w:fldChar w:fldCharType="separate"/>
      </w:r>
      <w:r>
        <w:t>Frankel, Kothari and Weber 2006</w:t>
      </w:r>
      <w:r>
        <w:fldChar w:fldCharType="end"/>
      </w:r>
      <w:r>
        <w:t xml:space="preserve">, </w:t>
      </w:r>
      <w:r>
        <w:fldChar w:fldCharType="begin"/>
      </w:r>
      <w:r>
        <w:instrText>ADDIN RW.CITE{{880 Lehavy,Reuven 2011}}</w:instrText>
      </w:r>
      <w:r>
        <w:fldChar w:fldCharType="separate"/>
      </w:r>
      <w:r>
        <w:t>Lehavy et al. 2011</w:t>
      </w:r>
      <w:r>
        <w:fldChar w:fldCharType="end"/>
      </w:r>
      <w:r>
        <w:t>). Firm size (</w:t>
      </w:r>
      <w:r>
        <w:rPr>
          <w:i/>
        </w:rPr>
        <w:t>LOGMV</w:t>
      </w:r>
      <w:r>
        <w:t>), institutional ownership (</w:t>
      </w:r>
      <w:r>
        <w:rPr>
          <w:i/>
        </w:rPr>
        <w:t>IO</w:t>
      </w:r>
      <w:r>
        <w:t>), growth potential (</w:t>
      </w:r>
      <w:r>
        <w:rPr>
          <w:i/>
        </w:rPr>
        <w:t>B/M</w:t>
      </w:r>
      <w:r>
        <w:t xml:space="preserve"> and </w:t>
      </w:r>
      <w:r>
        <w:rPr>
          <w:i/>
        </w:rPr>
        <w:t>GROWTH</w:t>
      </w:r>
      <w:r>
        <w:t>), earnings volatility (</w:t>
      </w:r>
      <w:r>
        <w:rPr>
          <w:i/>
        </w:rPr>
        <w:t>EARNVOL</w:t>
      </w:r>
      <w:r>
        <w:t>) standard deviation of returns (</w:t>
      </w:r>
      <w:r>
        <w:rPr>
          <w:i/>
        </w:rPr>
        <w:t>STDRET</w:t>
      </w:r>
      <w:r>
        <w:t>)</w:t>
      </w:r>
      <w:r>
        <w:rPr>
          <w:i/>
        </w:rPr>
        <w:t xml:space="preserve"> </w:t>
      </w:r>
      <w:r>
        <w:t>losing firms (</w:t>
      </w:r>
      <w:r>
        <w:rPr>
          <w:i/>
        </w:rPr>
        <w:t>LOSS</w:t>
      </w:r>
      <w:r>
        <w:t>),disclosure informativeness (</w:t>
      </w:r>
      <w:r>
        <w:rPr>
          <w:i/>
        </w:rPr>
        <w:t>NEWS10K</w:t>
      </w:r>
      <w:r>
        <w:t>), analyst following (</w:t>
      </w:r>
      <w:r>
        <w:rPr>
          <w:i/>
        </w:rPr>
        <w:t>LOGFOLL_FOR</w:t>
      </w:r>
      <w:r>
        <w:t>), and forecast horizon (</w:t>
      </w:r>
      <w:r>
        <w:rPr>
          <w:i/>
        </w:rPr>
        <w:t>LOGHORIZON</w:t>
      </w:r>
      <w:r>
        <w:t>) are frequently used as proxies for the information environment as well as investors’ demand for information. We also control for analysts’ incentives to cover companies (</w:t>
      </w:r>
      <w:r>
        <w:rPr>
          <w:i/>
        </w:rPr>
        <w:t>TURN</w:t>
      </w:r>
      <w:r>
        <w:t xml:space="preserve">, </w:t>
      </w:r>
      <w:r>
        <w:rPr>
          <w:i/>
        </w:rPr>
        <w:t>ADV</w:t>
      </w:r>
      <w:r>
        <w:t xml:space="preserve">, </w:t>
      </w:r>
      <w:r>
        <w:rPr>
          <w:i/>
        </w:rPr>
        <w:t xml:space="preserve">RND, </w:t>
      </w:r>
      <w:r>
        <w:t xml:space="preserve">and </w:t>
      </w:r>
      <w:r>
        <w:rPr>
          <w:i/>
        </w:rPr>
        <w:t>ROA</w:t>
      </w:r>
      <w:r>
        <w:t xml:space="preserve">). Analysts’ and their employers’ incentives to provide research vary in relation to various firm-specific attributes. For example, brokerage firms consider companies with higher trading activity to be more lucrative for business because of the potential commission revenue that they can earn by covering them. In this respect, trading activity represents an incentive </w:t>
      </w:r>
      <w:r>
        <w:lastRenderedPageBreak/>
        <w:t>for analysts to cover companies and provide accurate earnings forecasts (</w:t>
      </w:r>
      <w:r>
        <w:fldChar w:fldCharType="begin"/>
      </w:r>
      <w:r>
        <w:instrText>ADDIN RW.CITE{{879 Alford,AndrewW. 1999}}</w:instrText>
      </w:r>
      <w:r>
        <w:fldChar w:fldCharType="separate"/>
      </w:r>
      <w:r>
        <w:t>Alford and Berger 1999</w:t>
      </w:r>
      <w:r>
        <w:fldChar w:fldCharType="end"/>
      </w:r>
      <w:r>
        <w:t xml:space="preserve">, </w:t>
      </w:r>
      <w:r>
        <w:fldChar w:fldCharType="begin"/>
      </w:r>
      <w:r>
        <w:instrText>ADDIN RW.CITE{{154 Barth,MaryE. 2001}}</w:instrText>
      </w:r>
      <w:r>
        <w:fldChar w:fldCharType="separate"/>
      </w:r>
      <w:r>
        <w:t>Barth et al. 2001</w:t>
      </w:r>
      <w:r>
        <w:fldChar w:fldCharType="end"/>
      </w:r>
      <w:r>
        <w:t xml:space="preserve">). </w:t>
      </w:r>
    </w:p>
    <w:p w14:paraId="4DF22A70" w14:textId="77777777" w:rsidR="00407106" w:rsidRDefault="00407106" w:rsidP="00407106">
      <w:pPr>
        <w:spacing w:after="0"/>
      </w:pPr>
      <w:r>
        <w:t>Finally, we control for other complexity measures that were shown to be associated with analysts’ performance. Dunn and Nathan (2005) finds that the number of segments is detrimental to the performance of financial analysts whereas Loughran and McDonald (2014) find no association between a business segment index and forecast dispersion. Further, Duru and Reeb (2002) do not find an association between industrial diversification and forecast accuracy. Overall, results with respect to operating complexity are inconclusive, perhaps because these measures are highly aggregated. Nonetheless, we control for the number of segments and presence of foreign operations (</w:t>
      </w:r>
      <w:r>
        <w:rPr>
          <w:i/>
        </w:rPr>
        <w:t>LOGSGMT, FOROPS</w:t>
      </w:r>
      <w:r>
        <w:t>) in our regression analyses.</w:t>
      </w:r>
    </w:p>
    <w:p w14:paraId="5E52FB4E" w14:textId="77777777" w:rsidR="00407106" w:rsidRDefault="00407106" w:rsidP="00407106">
      <w:pPr>
        <w:spacing w:after="0"/>
      </w:pPr>
      <w:r>
        <w:t xml:space="preserve">In addition to operating complexity, past research examines linguistic complexity as one feature that increases the difficulty to consume the reports. The most commonly used measure of linguistic complexity is the Gunning (1952) Fog Index of the financial reports (Li 2008) which measures the difficulty to understand text. </w:t>
      </w:r>
      <w:r>
        <w:rPr>
          <w:rFonts w:ascii="TimesNewRomanPSMT" w:hAnsi="TimesNewRomanPSMT" w:cs="TimesNewRomanPSMT"/>
        </w:rPr>
        <w:t xml:space="preserve">Indeed, Lehavy et al. (2011) and </w:t>
      </w:r>
      <w:r>
        <w:rPr>
          <w:rFonts w:ascii="TimesNewRomanPSMT" w:hAnsi="TimesNewRomanPSMT" w:cs="TimesNewRomanPSMT"/>
        </w:rPr>
        <w:fldChar w:fldCharType="begin"/>
      </w:r>
      <w:r>
        <w:rPr>
          <w:rFonts w:ascii="TimesNewRomanPSMT" w:hAnsi="TimesNewRomanPSMT" w:cs="TimesNewRomanPSMT"/>
        </w:rPr>
        <w:instrText>ADDIN RW.CITE{{918 Bozanic,Zahn 2015}}</w:instrText>
      </w:r>
      <w:r>
        <w:rPr>
          <w:rFonts w:ascii="TimesNewRomanPSMT" w:hAnsi="TimesNewRomanPSMT" w:cs="TimesNewRomanPSMT"/>
        </w:rPr>
        <w:fldChar w:fldCharType="separate"/>
      </w:r>
      <w:r>
        <w:rPr>
          <w:rFonts w:ascii="TimesNewRomanPSMT" w:hAnsi="TimesNewRomanPSMT" w:cs="TimesNewRomanPSMT"/>
        </w:rPr>
        <w:t>Bozanic and Thevenot (2015)</w:t>
      </w:r>
      <w:r>
        <w:rPr>
          <w:rFonts w:ascii="TimesNewRomanPSMT" w:hAnsi="TimesNewRomanPSMT" w:cs="TimesNewRomanPSMT"/>
        </w:rPr>
        <w:fldChar w:fldCharType="end"/>
      </w:r>
      <w:r>
        <w:rPr>
          <w:rFonts w:ascii="TimesNewRomanPSMT" w:hAnsi="TimesNewRomanPSMT" w:cs="TimesNewRomanPSMT"/>
        </w:rPr>
        <w:t xml:space="preserve"> find that less readable reports are associated with poor analyst performance. In contrast, </w:t>
      </w:r>
      <w:r>
        <w:t>Loughran and McDonald (2014) criticize the use of the Fog index when measuring complexity in a financial context because words that are classified as complex by the Fog algorithm are straightforward to understand by intended audience of financial statement users.</w:t>
      </w:r>
      <w:r>
        <w:rPr>
          <w:rStyle w:val="FootnoteReference"/>
        </w:rPr>
        <w:footnoteReference w:id="26"/>
      </w:r>
      <w:r>
        <w:t xml:space="preserve"> Indeed, they did not find significant association between analysts’ forecast dispersion and the Fog Index. Instead of using the Fog index, they suggest using the number of words in the 10-K to proxy for complexity and find that it is associated with greater analyst forecast dispersion. Following these studies, we </w:t>
      </w:r>
      <w:r>
        <w:lastRenderedPageBreak/>
        <w:t xml:space="preserve">control for </w:t>
      </w:r>
      <w:r>
        <w:rPr>
          <w:i/>
        </w:rPr>
        <w:t>FOG10K</w:t>
      </w:r>
      <w:r>
        <w:t xml:space="preserve"> and </w:t>
      </w:r>
      <w:r>
        <w:rPr>
          <w:i/>
        </w:rPr>
        <w:t>LOGWORDS</w:t>
      </w:r>
      <w:r>
        <w:t>. Table 1 defines in detail the control variables that we use in the regression analyses.</w:t>
      </w:r>
    </w:p>
    <w:p w14:paraId="307FB967" w14:textId="77777777" w:rsidR="00407106" w:rsidRDefault="00407106" w:rsidP="00407106">
      <w:pPr>
        <w:spacing w:after="0"/>
        <w:ind w:firstLine="0"/>
        <w:rPr>
          <w:b/>
          <w:i/>
        </w:rPr>
      </w:pPr>
      <w:r>
        <w:rPr>
          <w:b/>
          <w:i/>
        </w:rPr>
        <w:t>Analyst-firm-year Level Sample</w:t>
      </w:r>
    </w:p>
    <w:p w14:paraId="2EF864A2" w14:textId="77777777" w:rsidR="00407106" w:rsidRDefault="00407106" w:rsidP="00407106">
      <w:pPr>
        <w:spacing w:after="0"/>
      </w:pPr>
      <w:r>
        <w:t>In the analyst-firm-year level sample, we focus exclusively on forecast accuracy as our performance measure.</w:t>
      </w:r>
      <w:r>
        <w:rPr>
          <w:rStyle w:val="FootnoteReference"/>
        </w:rPr>
        <w:footnoteReference w:id="27"/>
      </w:r>
      <w:r>
        <w:t xml:space="preserve"> We examine the association between analysts’ forecast accuracy and general experience (</w:t>
      </w:r>
      <w:r>
        <w:rPr>
          <w:i/>
        </w:rPr>
        <w:t>GEXP</w:t>
      </w:r>
      <w:r>
        <w:t>), which is the natural logarithm of the number of years the individual worked as an analyst plus one, firm-specific experience (</w:t>
      </w:r>
      <w:r>
        <w:rPr>
          <w:i/>
        </w:rPr>
        <w:t>FEXP</w:t>
      </w:r>
      <w:r>
        <w:t>), which is the natural logarithm of the number of years the analyst covered the company plus one, industry focus (</w:t>
      </w:r>
      <w:r>
        <w:rPr>
          <w:i/>
        </w:rPr>
        <w:t>INDFOCUS</w:t>
      </w:r>
      <w:r>
        <w:t>), which is one divided by the number of industries the analyst covers and CFA designation (CFA), which is an indicator variable that equals one for analysts who have the Chartered Financial Analyst© credential. In order to collect data on analysts’ CFA credentials, we first used IBES’s recommendation file and the broker translation file to identify the name of each analyst and the broker the analyst worked for. We then accessed the Factset database and searched for personal information on each analyst. Based on the information that we found on Factset, we were able to determine, for nearly 80 percent of our sample, whether the analyst held a CFA certification. Finally, we examine whether forecast accuracy is associated with account-specific complexity (</w:t>
      </w:r>
      <w:r>
        <w:rPr>
          <w:i/>
        </w:rPr>
        <w:t>ARC-FAIR</w:t>
      </w:r>
      <w:r>
        <w:t xml:space="preserve">, </w:t>
      </w:r>
      <w:r>
        <w:rPr>
          <w:i/>
        </w:rPr>
        <w:t>ARC-DERIV</w:t>
      </w:r>
      <w:r>
        <w:t xml:space="preserve"> and, </w:t>
      </w:r>
      <w:r>
        <w:rPr>
          <w:i/>
        </w:rPr>
        <w:t>ARC-PENS</w:t>
      </w:r>
      <w:r>
        <w:t>) and expertise (</w:t>
      </w:r>
      <w:r>
        <w:rPr>
          <w:i/>
        </w:rPr>
        <w:t>EXPRT-FAIR</w:t>
      </w:r>
      <w:r>
        <w:t xml:space="preserve">, </w:t>
      </w:r>
      <w:r>
        <w:rPr>
          <w:i/>
        </w:rPr>
        <w:t>EXPRT-DERIV</w:t>
      </w:r>
      <w:r>
        <w:t xml:space="preserve">, and </w:t>
      </w:r>
      <w:r>
        <w:rPr>
          <w:i/>
        </w:rPr>
        <w:t>EXPRT-PENS</w:t>
      </w:r>
      <w:r>
        <w:t>).</w:t>
      </w:r>
    </w:p>
    <w:p w14:paraId="0A3967E2" w14:textId="77777777" w:rsidR="00407106" w:rsidRDefault="00407106" w:rsidP="00407106">
      <w:pPr>
        <w:pStyle w:val="Heading2"/>
        <w:spacing w:before="0"/>
      </w:pPr>
      <w:r>
        <w:t>Descriptive Statistics</w:t>
      </w:r>
    </w:p>
    <w:p w14:paraId="5752F216" w14:textId="77777777" w:rsidR="00407106" w:rsidRDefault="00407106" w:rsidP="00407106">
      <w:pPr>
        <w:spacing w:after="0"/>
      </w:pPr>
      <w:r>
        <w:t xml:space="preserve">Table 3 Panel A reports descriptive statistics for the final sample. The first section in Table 3 lists the three dependent variables used in the analyses. The mean (median) </w:t>
      </w:r>
      <w:r>
        <w:rPr>
          <w:i/>
        </w:rPr>
        <w:t>ACCURACY</w:t>
      </w:r>
      <w:r>
        <w:t xml:space="preserve"> is -</w:t>
      </w:r>
      <w:r>
        <w:lastRenderedPageBreak/>
        <w:t>0.716 (-0.178). The interquartile range is between -0.515 and -0.059.</w:t>
      </w:r>
      <w:r>
        <w:rPr>
          <w:rStyle w:val="FootnoteReference"/>
        </w:rPr>
        <w:footnoteReference w:id="28"/>
      </w:r>
      <w:r>
        <w:t xml:space="preserve"> The mean and median </w:t>
      </w:r>
      <w:r>
        <w:rPr>
          <w:i/>
        </w:rPr>
        <w:t>ACCURACY</w:t>
      </w:r>
      <w:r>
        <w:t xml:space="preserve"> values indicate a left skewed distribution. This is primarily because, as in prior research (</w:t>
      </w:r>
      <w:r>
        <w:fldChar w:fldCharType="begin"/>
      </w:r>
      <w:r>
        <w:instrText>ADDIN RW.CITE{{65 Lang,MarkH. 1996}}</w:instrText>
      </w:r>
      <w:r>
        <w:fldChar w:fldCharType="separate"/>
      </w:r>
      <w:r>
        <w:t>Lang and Lundholm 1996</w:t>
      </w:r>
      <w:r>
        <w:fldChar w:fldCharType="end"/>
      </w:r>
      <w:r>
        <w:t xml:space="preserve">, </w:t>
      </w:r>
      <w:r>
        <w:fldChar w:fldCharType="begin"/>
      </w:r>
      <w:r>
        <w:instrText>ADDIN RW.CITE{{77 Mikhail,MichaelB. 1999}}</w:instrText>
      </w:r>
      <w:r>
        <w:fldChar w:fldCharType="separate"/>
      </w:r>
      <w:r>
        <w:t>Mikhail, Walther, and Willis 1999</w:t>
      </w:r>
      <w:r>
        <w:fldChar w:fldCharType="end"/>
      </w:r>
      <w:r>
        <w:t xml:space="preserve">, </w:t>
      </w:r>
      <w:r>
        <w:fldChar w:fldCharType="begin"/>
      </w:r>
      <w:r>
        <w:instrText>ADDIN RW.CITE{{883 Duru,Augustine 2002}}</w:instrText>
      </w:r>
      <w:r>
        <w:fldChar w:fldCharType="separate"/>
      </w:r>
      <w:r>
        <w:t>Duru and Reeb 2002</w:t>
      </w:r>
      <w:r>
        <w:fldChar w:fldCharType="end"/>
      </w:r>
      <w:r>
        <w:t xml:space="preserve">, </w:t>
      </w:r>
      <w:r>
        <w:fldChar w:fldCharType="begin"/>
      </w:r>
      <w:r>
        <w:instrText>ADDIN RW.CITE{{884 Hope,Ole-Kristian 2003 /y/f [2003b]}}</w:instrText>
      </w:r>
      <w:r>
        <w:fldChar w:fldCharType="separate"/>
      </w:r>
      <w:r>
        <w:t>Hope 2003</w:t>
      </w:r>
      <w:r>
        <w:fldChar w:fldCharType="end"/>
      </w:r>
      <w:r>
        <w:t xml:space="preserve">, </w:t>
      </w:r>
      <w:r>
        <w:fldChar w:fldCharType="begin"/>
      </w:r>
      <w:r>
        <w:instrText>ADDIN RW.CITE{{778 Dhaliwal,DanS. 2012}}</w:instrText>
      </w:r>
      <w:r>
        <w:fldChar w:fldCharType="separate"/>
      </w:r>
      <w:r>
        <w:t>Dhaliwal et al. 2012</w:t>
      </w:r>
      <w:r>
        <w:fldChar w:fldCharType="end"/>
      </w:r>
      <w:r>
        <w:t xml:space="preserve">), we compute the absolute value of forecast errors, which places the negative and positive values in the same quadrant. We winsorize all continuous variables (with the exception of log-transformed variables) at the bottom and top one-percentile to ensure that our results are not due to the influence of outliers. The mean (median) value for </w:t>
      </w:r>
      <w:r>
        <w:rPr>
          <w:i/>
        </w:rPr>
        <w:t>FORDISP</w:t>
      </w:r>
      <w:r>
        <w:t xml:space="preserve"> is 1.239 (0.337). Similar to </w:t>
      </w:r>
      <w:r>
        <w:rPr>
          <w:i/>
        </w:rPr>
        <w:t>ACCURACY</w:t>
      </w:r>
      <w:r>
        <w:t xml:space="preserve">, </w:t>
      </w:r>
      <w:r>
        <w:rPr>
          <w:i/>
        </w:rPr>
        <w:t>FORDISP</w:t>
      </w:r>
      <w:r>
        <w:t xml:space="preserve"> exhibits a skewed distribution (right-skewed). Finally, the mean (median) three-day (-1, +1) abnormal market reaction associated with revisions (</w:t>
      </w:r>
      <w:r>
        <w:rPr>
          <w:i/>
        </w:rPr>
        <w:t>RECVAL</w:t>
      </w:r>
      <w:r>
        <w:t>) is 3.198 (1.963) percent.</w:t>
      </w:r>
    </w:p>
    <w:p w14:paraId="241E1D8C" w14:textId="77777777" w:rsidR="00407106" w:rsidRDefault="00407106" w:rsidP="00407106">
      <w:pPr>
        <w:spacing w:after="0"/>
      </w:pPr>
      <w:r>
        <w:t xml:space="preserve">The next section in Table 3 presents descriptive statistics for the six variables that we use to measure accounting reporting complexity. The mean (median) </w:t>
      </w:r>
      <w:r>
        <w:rPr>
          <w:i/>
        </w:rPr>
        <w:t>ARC</w:t>
      </w:r>
      <w:r>
        <w:t>, which is the overall XBRL tag count, equals 386.977 (362).</w:t>
      </w:r>
      <w:r>
        <w:rPr>
          <w:rStyle w:val="FootnoteReference"/>
        </w:rPr>
        <w:footnoteReference w:id="29"/>
      </w:r>
      <w:r>
        <w:t xml:space="preserve"> The following two variables represent the breakdown of </w:t>
      </w:r>
      <w:r>
        <w:rPr>
          <w:i/>
        </w:rPr>
        <w:t>ARC</w:t>
      </w:r>
      <w:r>
        <w:t xml:space="preserve"> into </w:t>
      </w:r>
      <w:r>
        <w:rPr>
          <w:i/>
        </w:rPr>
        <w:t xml:space="preserve">ARC-FS </w:t>
      </w:r>
      <w:r>
        <w:t xml:space="preserve">(μ = 113.025) and </w:t>
      </w:r>
      <w:r>
        <w:rPr>
          <w:i/>
        </w:rPr>
        <w:t>ARC-NOTES</w:t>
      </w:r>
      <w:r>
        <w:t xml:space="preserve"> (μ = 273.952). The final three variables, in this section capture account specific complexity. The mean (median) values for </w:t>
      </w:r>
      <w:r>
        <w:rPr>
          <w:i/>
        </w:rPr>
        <w:t>ARC-FAIR</w:t>
      </w:r>
      <w:r>
        <w:t xml:space="preserve">, </w:t>
      </w:r>
      <w:r>
        <w:rPr>
          <w:i/>
        </w:rPr>
        <w:t>ARC-DERIV</w:t>
      </w:r>
      <w:r>
        <w:t xml:space="preserve">, and </w:t>
      </w:r>
      <w:r>
        <w:rPr>
          <w:i/>
        </w:rPr>
        <w:t>ARC-PENS</w:t>
      </w:r>
      <w:r>
        <w:t xml:space="preserve"> are 18.242 (12), 17.437 (13), and 26.729 (6), respectively. There is significant variation within the account specific complexity measures. For instance, the first and third quartile values for </w:t>
      </w:r>
      <w:r>
        <w:rPr>
          <w:i/>
        </w:rPr>
        <w:t>ARC-PENS</w:t>
      </w:r>
      <w:r>
        <w:t xml:space="preserve"> equal 2 and 53. The final section in Table 3 Panel A, reports statistics on control variables used in our analyses and their descriptive statistics are consistent with prior research. Table 3 Panel B presents descriptive statistics on the analyst-firm-year level </w:t>
      </w:r>
      <w:r>
        <w:lastRenderedPageBreak/>
        <w:t>sample. The average analyst in our sample has 9.4 years of general and 4.5 years of firm-specific experience and covers an average of 1.75 industries.</w:t>
      </w:r>
      <w:r>
        <w:rPr>
          <w:rStyle w:val="FootnoteReference"/>
        </w:rPr>
        <w:footnoteReference w:id="30"/>
      </w:r>
      <w:r>
        <w:t xml:space="preserve"> To help interpret the coefficient on the industry variable, we divide one by the number of industries and use this as a measure of the analyst’s industry focus (0.57).</w:t>
      </w:r>
      <w:r>
        <w:rPr>
          <w:rStyle w:val="FootnoteReference"/>
        </w:rPr>
        <w:footnoteReference w:id="31"/>
      </w:r>
      <w:r>
        <w:t xml:space="preserve"> Also evident in Table 3 is that 33 percent of the financial analysts in our sample hold a CFA credential. Further, we identify that 61.9, 62.4, and 58.8 percent of the forecasts in our sample are issued by analysts who we classify as fair value, derivatives, and pensions experts, respectively. Finally, the average (median) forecast age for our sample is 109.661 (97) days.</w:t>
      </w:r>
    </w:p>
    <w:p w14:paraId="32603863" w14:textId="77777777" w:rsidR="00407106" w:rsidRDefault="00407106" w:rsidP="00407106">
      <w:pPr>
        <w:pStyle w:val="Heading1"/>
        <w:numPr>
          <w:ilvl w:val="0"/>
          <w:numId w:val="2"/>
        </w:numPr>
        <w:spacing w:after="0"/>
        <w:ind w:left="0" w:firstLine="0"/>
      </w:pPr>
      <w:r>
        <w:t>Empirical Results</w:t>
      </w:r>
    </w:p>
    <w:p w14:paraId="305FEE1B" w14:textId="77777777" w:rsidR="00407106" w:rsidRDefault="00407106" w:rsidP="00407106">
      <w:pPr>
        <w:pStyle w:val="Heading2"/>
        <w:spacing w:before="0"/>
      </w:pPr>
      <w:r>
        <w:t>Accounting complexity and analysts’ performance</w:t>
      </w:r>
    </w:p>
    <w:p w14:paraId="6B3E47DD" w14:textId="77777777" w:rsidR="00407106" w:rsidRDefault="00407106" w:rsidP="00407106">
      <w:pPr>
        <w:spacing w:after="0"/>
      </w:pPr>
      <w:r>
        <w:t xml:space="preserve">Table 4 presents the regression analysis results for validating ARC as a measure of complexity in the context of analysts, using three dependent variables: </w:t>
      </w:r>
      <w:r>
        <w:rPr>
          <w:i/>
        </w:rPr>
        <w:t>ACCURACY</w:t>
      </w:r>
      <w:r>
        <w:t xml:space="preserve">, </w:t>
      </w:r>
      <w:r>
        <w:rPr>
          <w:i/>
        </w:rPr>
        <w:t>FORDISP</w:t>
      </w:r>
      <w:r>
        <w:t xml:space="preserve">, and </w:t>
      </w:r>
      <w:r>
        <w:rPr>
          <w:i/>
        </w:rPr>
        <w:t>RECVAL</w:t>
      </w:r>
      <w:r>
        <w:t xml:space="preserve">. Column 1 shows a negative and significant association between </w:t>
      </w:r>
      <w:r>
        <w:rPr>
          <w:i/>
        </w:rPr>
        <w:t xml:space="preserve">ARC </w:t>
      </w:r>
      <w:r>
        <w:t>and forecast accuracy (</w:t>
      </w:r>
      <w:r>
        <w:rPr>
          <w:i/>
        </w:rPr>
        <w:t>p</w:t>
      </w:r>
      <w:r>
        <w:t xml:space="preserve"> &lt; 0.01). TI amhe -0.323 coefficient indicates that a single standard deviation increase in </w:t>
      </w:r>
      <w:r>
        <w:rPr>
          <w:i/>
        </w:rPr>
        <w:t>ARC</w:t>
      </w:r>
      <w:r>
        <w:t xml:space="preserve"> is associated with a 0.12 decline in analysts’ forecast accuracy (</w:t>
      </w:r>
      <w:r>
        <w:rPr>
          <w:i/>
        </w:rPr>
        <w:t>ACCURACY</w:t>
      </w:r>
      <w:r>
        <w:t xml:space="preserve">). Placing this association in perspective, note that the interquartile range of </w:t>
      </w:r>
      <w:r>
        <w:rPr>
          <w:i/>
        </w:rPr>
        <w:t>ACCURACY</w:t>
      </w:r>
      <w:r>
        <w:t xml:space="preserve"> is 0.456. In other words, a single standard-deviation change in </w:t>
      </w:r>
      <w:r>
        <w:rPr>
          <w:i/>
        </w:rPr>
        <w:t>ARC</w:t>
      </w:r>
      <w:r>
        <w:t xml:space="preserve"> is associated with a variation in </w:t>
      </w:r>
      <w:r>
        <w:rPr>
          <w:i/>
        </w:rPr>
        <w:t>ACCURACY</w:t>
      </w:r>
      <w:r>
        <w:t xml:space="preserve"> that is equal to approximately a quarter of the interquartile range, which is economically meaningful. </w:t>
      </w:r>
    </w:p>
    <w:p w14:paraId="4F57E31E" w14:textId="77777777" w:rsidR="00407106" w:rsidRDefault="00407106" w:rsidP="00407106">
      <w:pPr>
        <w:spacing w:after="0"/>
      </w:pPr>
      <w:r>
        <w:t xml:space="preserve">The second column of Table 4 shows a positive and significant association between </w:t>
      </w:r>
      <w:r>
        <w:rPr>
          <w:i/>
        </w:rPr>
        <w:t>ARC</w:t>
      </w:r>
      <w:r>
        <w:t xml:space="preserve"> and forecast dispersion (</w:t>
      </w:r>
      <w:r>
        <w:rPr>
          <w:i/>
        </w:rPr>
        <w:t>p</w:t>
      </w:r>
      <w:r>
        <w:t xml:space="preserve"> &lt; 0.01). The estimated coefficient of 0.479 indicates a 0.175 increase in forecast dispersion per one standard deviation increase in </w:t>
      </w:r>
      <w:r>
        <w:rPr>
          <w:i/>
        </w:rPr>
        <w:t>ARC</w:t>
      </w:r>
      <w:r>
        <w:t xml:space="preserve">. This increase corresponds to </w:t>
      </w:r>
      <w:r>
        <w:lastRenderedPageBreak/>
        <w:t xml:space="preserve">approximately 20 percent of the interquartile range for forecast dispersion, which is economically important. The two models together suggest that greater </w:t>
      </w:r>
      <w:r>
        <w:rPr>
          <w:i/>
        </w:rPr>
        <w:t>ARC</w:t>
      </w:r>
      <w:r>
        <w:t xml:space="preserve"> is associated with forecasts that are less accurate and more dispersed. Importantly, our analyses control for prior complexity measures such as firm segments, the Fog index and the length of the 10-K (Li 2008) and results show that ARC exhibits a stronger and more consistent association with accuracy and dispersion. </w:t>
      </w:r>
    </w:p>
    <w:p w14:paraId="79B0DD39" w14:textId="77777777" w:rsidR="00407106" w:rsidRDefault="00407106" w:rsidP="00407106">
      <w:pPr>
        <w:spacing w:after="0"/>
      </w:pPr>
      <w:r>
        <w:t xml:space="preserve">We next turn to an analysis of the informativeness of stock recommendation revisions to test whether accounting complexity favorably or adversely affects analysts’ ability to identify mispriced securities. Column 3 of Table 4 shows a negative and significant association between </w:t>
      </w:r>
      <w:r>
        <w:rPr>
          <w:i/>
        </w:rPr>
        <w:t xml:space="preserve">ARC </w:t>
      </w:r>
      <w:r>
        <w:t xml:space="preserve">and </w:t>
      </w:r>
      <w:r>
        <w:rPr>
          <w:i/>
        </w:rPr>
        <w:t>RECVAL</w:t>
      </w:r>
      <w:r>
        <w:t xml:space="preserve"> (p&lt; 0.01) suggesting that the informativeness of analysts' revisions is lower when the accounting is complex. The -0.899 </w:t>
      </w:r>
      <w:r>
        <w:rPr>
          <w:i/>
        </w:rPr>
        <w:t>ARC</w:t>
      </w:r>
      <w:r>
        <w:t xml:space="preserve"> coefficient suggests a 33 basis point decrease in the market reaction to revisions, per one standard deviation increase in </w:t>
      </w:r>
      <w:r>
        <w:rPr>
          <w:i/>
        </w:rPr>
        <w:t>ARC</w:t>
      </w:r>
      <w:r>
        <w:t xml:space="preserve">. Given that the mean </w:t>
      </w:r>
      <w:r>
        <w:rPr>
          <w:i/>
        </w:rPr>
        <w:t xml:space="preserve">RECVAL </w:t>
      </w:r>
      <w:r>
        <w:t xml:space="preserve">is 3.2 percent, this corresponds to a roughly ten-percent decrease in the value of revisions per standard deviation increase in </w:t>
      </w:r>
      <w:r>
        <w:rPr>
          <w:i/>
        </w:rPr>
        <w:t xml:space="preserve">ARC, </w:t>
      </w:r>
      <w:r>
        <w:t xml:space="preserve">which is economically meaningful. These results are interesting because, a priori, it is unclear whether, greater </w:t>
      </w:r>
      <w:r>
        <w:rPr>
          <w:i/>
        </w:rPr>
        <w:t>ARC</w:t>
      </w:r>
      <w:r>
        <w:t xml:space="preserve"> would provide a comparative advantage to financial analysts over investors and therefore increase the value of recommendation revisions, or as we find, their recommendation would be discounted due to high ARC. </w:t>
      </w:r>
    </w:p>
    <w:p w14:paraId="1123C00E" w14:textId="77777777" w:rsidR="00407106" w:rsidRDefault="00407106" w:rsidP="00407106">
      <w:pPr>
        <w:ind w:firstLine="0"/>
      </w:pPr>
      <w:r>
        <w:tab/>
        <w:t>In the next set of analysis, we decompose the total number of tags (</w:t>
      </w:r>
      <w:r>
        <w:rPr>
          <w:i/>
        </w:rPr>
        <w:t>ARC</w:t>
      </w:r>
      <w:r>
        <w:t xml:space="preserve">) into the complexity of the recognized accounting information (i.e. the number of tags in the financial statements, </w:t>
      </w:r>
      <w:r>
        <w:rPr>
          <w:i/>
        </w:rPr>
        <w:t>ARC-FS</w:t>
      </w:r>
      <w:r>
        <w:t xml:space="preserve">) and the complexity of the disclosed accounting information (i.e. the number of tags in the notes, </w:t>
      </w:r>
      <w:r>
        <w:rPr>
          <w:i/>
        </w:rPr>
        <w:t>ARC-NOTES</w:t>
      </w:r>
      <w:r>
        <w:t xml:space="preserve">). This analysis is intended to help us isolate the source of complexity. Table 5 Column 1 shows that </w:t>
      </w:r>
      <w:r>
        <w:rPr>
          <w:i/>
        </w:rPr>
        <w:t>ARC-FS</w:t>
      </w:r>
      <w:r>
        <w:t xml:space="preserve"> is not significantly associated with </w:t>
      </w:r>
      <w:r>
        <w:rPr>
          <w:i/>
        </w:rPr>
        <w:t>ACCURACY</w:t>
      </w:r>
      <w:r>
        <w:t xml:space="preserve"> whereas the coefficient on </w:t>
      </w:r>
      <w:r>
        <w:rPr>
          <w:i/>
        </w:rPr>
        <w:t>ARC-NOTES</w:t>
      </w:r>
      <w:r>
        <w:t xml:space="preserve"> is negative and significant (p&lt;0.01). Similarly, in Column 2, we find that the coefficient on </w:t>
      </w:r>
      <w:r>
        <w:rPr>
          <w:i/>
        </w:rPr>
        <w:t xml:space="preserve">ARC-NOTES </w:t>
      </w:r>
      <w:r>
        <w:t xml:space="preserve">is positive and significantly associated with </w:t>
      </w:r>
      <w:r>
        <w:rPr>
          <w:i/>
        </w:rPr>
        <w:lastRenderedPageBreak/>
        <w:t>FORDISP</w:t>
      </w:r>
      <w:r>
        <w:t xml:space="preserve"> (p&lt;0.01) whereas the coefficient on </w:t>
      </w:r>
      <w:r>
        <w:rPr>
          <w:i/>
        </w:rPr>
        <w:t>ARC-FS</w:t>
      </w:r>
      <w:r>
        <w:t xml:space="preserve"> is not. Finally, in Column 3, we find that the coefficient on both </w:t>
      </w:r>
      <w:r>
        <w:rPr>
          <w:i/>
        </w:rPr>
        <w:t xml:space="preserve">ARC-FS </w:t>
      </w:r>
      <w:r>
        <w:t>and</w:t>
      </w:r>
      <w:r>
        <w:rPr>
          <w:i/>
        </w:rPr>
        <w:t xml:space="preserve"> ARC-NOTES</w:t>
      </w:r>
      <w:r>
        <w:t xml:space="preserve"> is negative and statistically significant at the ten and five percent significance levels, respectively. </w:t>
      </w:r>
    </w:p>
    <w:p w14:paraId="238BA5BD" w14:textId="77777777" w:rsidR="00407106" w:rsidRDefault="00407106" w:rsidP="00407106">
      <w:pPr>
        <w:ind w:firstLine="0"/>
      </w:pPr>
      <w:r>
        <w:tab/>
        <w:t xml:space="preserve">We next turn to the analyst-firm-year level sample to further explore the relation between accounting reporting complexity and analysts’ performance. Table 6 reports the regression of analysts’ forecast errors on </w:t>
      </w:r>
      <w:r>
        <w:rPr>
          <w:i/>
        </w:rPr>
        <w:t>ARC</w:t>
      </w:r>
      <w:r>
        <w:t xml:space="preserve">, </w:t>
      </w:r>
      <w:r>
        <w:rPr>
          <w:i/>
        </w:rPr>
        <w:t>ARC-FS</w:t>
      </w:r>
      <w:r>
        <w:t xml:space="preserve">, and </w:t>
      </w:r>
      <w:r>
        <w:rPr>
          <w:i/>
        </w:rPr>
        <w:t>ARC-NOTES</w:t>
      </w:r>
      <w:r>
        <w:t xml:space="preserve"> using data at a granular level (i.e. forecast level). The estimation results in Column 1 shows a negative association between </w:t>
      </w:r>
      <w:r>
        <w:rPr>
          <w:i/>
        </w:rPr>
        <w:t>ARC</w:t>
      </w:r>
      <w:r>
        <w:t xml:space="preserve"> and analysts’ forecast errors (</w:t>
      </w:r>
      <w:r>
        <w:rPr>
          <w:i/>
        </w:rPr>
        <w:t>p</w:t>
      </w:r>
      <w:r>
        <w:t xml:space="preserve"> &lt; 0.05). In Column 2, we find that the coefficients on </w:t>
      </w:r>
      <w:r>
        <w:rPr>
          <w:i/>
        </w:rPr>
        <w:t>ARC-FS</w:t>
      </w:r>
      <w:r>
        <w:t xml:space="preserve"> is not significant whereas in Column 3 the coefficient on </w:t>
      </w:r>
      <w:r>
        <w:rPr>
          <w:i/>
        </w:rPr>
        <w:t>ARC-NOTES</w:t>
      </w:r>
      <w:r>
        <w:t xml:space="preserve"> is negative and significant (</w:t>
      </w:r>
      <w:r>
        <w:rPr>
          <w:i/>
        </w:rPr>
        <w:t>p</w:t>
      </w:r>
      <w:r>
        <w:t xml:space="preserve"> &lt; 0.05). Finally, in Column 4 we observe that the coefficient on </w:t>
      </w:r>
      <w:r>
        <w:rPr>
          <w:i/>
        </w:rPr>
        <w:t>ARC-NOTES</w:t>
      </w:r>
      <w:r>
        <w:t xml:space="preserve"> remains negative and significant when included with </w:t>
      </w:r>
      <w:r>
        <w:rPr>
          <w:i/>
        </w:rPr>
        <w:t>ARC-FS</w:t>
      </w:r>
      <w:r>
        <w:t xml:space="preserve">. Overall, the results in tables 5 and 6 suggest that the complexity of the disclosed, rather than the recognized, accounting information is the primary source of complexity that adversely affects analysts’ performance. These results are important and suggest that future initiatives to simplify financial reports should focus on disclosed accounting information. Further, since </w:t>
      </w:r>
      <w:r>
        <w:rPr>
          <w:i/>
        </w:rPr>
        <w:t xml:space="preserve">ARC-NOTES </w:t>
      </w:r>
      <w:r>
        <w:t>is driving our results we use it as the primary measure of accounting complexity in the remainder of our analysis.</w:t>
      </w:r>
    </w:p>
    <w:p w14:paraId="3F621688" w14:textId="77777777" w:rsidR="00407106" w:rsidRDefault="00407106" w:rsidP="00407106">
      <w:pPr>
        <w:pStyle w:val="Heading2"/>
        <w:spacing w:before="0"/>
      </w:pPr>
      <w:r>
        <w:t>Analyst experience and industry focus</w:t>
      </w:r>
    </w:p>
    <w:p w14:paraId="31073533" w14:textId="77777777" w:rsidR="00407106" w:rsidRDefault="00407106" w:rsidP="00407106">
      <w:pPr>
        <w:spacing w:after="0"/>
        <w:ind w:firstLine="0"/>
      </w:pPr>
      <w:r>
        <w:tab/>
        <w:t>The findings reported in tables 5 and 6 show that accounting reporting complexity is inversely associated with analysts’ performance. We next test our first hypothesis that examines whether analyst experience, industry focus, and credential (i.e. CFA) mitigate the adverse effects that are associated with complexity. In order to examine variation across analysts in terms of experience and industry focus, we estimate analyst-firm-year level models and focus on forecast accuracy.</w:t>
      </w:r>
    </w:p>
    <w:p w14:paraId="7C90BE8A" w14:textId="77777777" w:rsidR="00407106" w:rsidRDefault="00407106" w:rsidP="00407106">
      <w:pPr>
        <w:spacing w:after="0"/>
        <w:ind w:firstLine="0"/>
      </w:pPr>
      <w:r>
        <w:lastRenderedPageBreak/>
        <w:tab/>
        <w:t>Table 7 presents four models that include general experience (</w:t>
      </w:r>
      <w:r>
        <w:rPr>
          <w:i/>
        </w:rPr>
        <w:t>GEXP</w:t>
      </w:r>
      <w:r>
        <w:t>), firm-specific experience (</w:t>
      </w:r>
      <w:r>
        <w:rPr>
          <w:i/>
        </w:rPr>
        <w:t>FEXP</w:t>
      </w:r>
      <w:r>
        <w:t>), industry focus (</w:t>
      </w:r>
      <w:r>
        <w:rPr>
          <w:i/>
        </w:rPr>
        <w:t>INDFOCUS</w:t>
      </w:r>
      <w:r>
        <w:t>) and Chartered Financial Analyst credential (</w:t>
      </w:r>
      <w:r>
        <w:rPr>
          <w:i/>
        </w:rPr>
        <w:t>CFA</w:t>
      </w:r>
      <w:r>
        <w:t xml:space="preserve">) measures and their interactions with </w:t>
      </w:r>
      <w:r>
        <w:rPr>
          <w:i/>
        </w:rPr>
        <w:t>ARC-NOTES</w:t>
      </w:r>
      <w:r>
        <w:t>.</w:t>
      </w:r>
      <w:r>
        <w:rPr>
          <w:rStyle w:val="FootnoteReference"/>
        </w:rPr>
        <w:footnoteReference w:id="32"/>
      </w:r>
      <w:r>
        <w:t xml:space="preserve"> Column 1 shows that </w:t>
      </w:r>
      <w:r>
        <w:rPr>
          <w:i/>
        </w:rPr>
        <w:t>GEXP</w:t>
      </w:r>
      <w:r>
        <w:t xml:space="preserve"> is positive and significant (p&lt; 0.01), suggesting that forecast accuracy increases with general experience. However, the coefficient on the interaction variable, </w:t>
      </w:r>
      <w:r>
        <w:rPr>
          <w:i/>
        </w:rPr>
        <w:t>ARC-NOTES X GEXP</w:t>
      </w:r>
      <w:r>
        <w:t>, is not statistically significant suggesting that general experience does not moderate the negative effect of complexity. Column 2 shows that firm-specific experience (</w:t>
      </w:r>
      <w:r>
        <w:rPr>
          <w:i/>
        </w:rPr>
        <w:t>FEXP</w:t>
      </w:r>
      <w:r>
        <w:t xml:space="preserve">) is not statistically significant. Different from Column 1, the coefficient on the interaction variable </w:t>
      </w:r>
      <w:r>
        <w:rPr>
          <w:i/>
        </w:rPr>
        <w:t>ARC-NOTES X FEXP</w:t>
      </w:r>
      <w:r>
        <w:t xml:space="preserve"> is positive and significant (p&lt; 0.01) suggesting that firm specific experience is particularly valuable when </w:t>
      </w:r>
      <w:r>
        <w:rPr>
          <w:i/>
        </w:rPr>
        <w:t>ARC-NOTES</w:t>
      </w:r>
      <w:r>
        <w:t xml:space="preserve"> is high. The standardized coefficient on </w:t>
      </w:r>
      <w:r>
        <w:rPr>
          <w:i/>
        </w:rPr>
        <w:t>ARC-NOTES X FEXP</w:t>
      </w:r>
      <w:r>
        <w:t xml:space="preserve"> (untabulated for brevity), indicates that a standard deviation increase in the interaction variable is associated with a reduction in forecast error that equals 2.4 percent of the standard deviation of the dependent variable. In Column 3, we examine the relation between analysts’ industry focus and their forecast accuracy. We find that the coefficient on the interaction variable, </w:t>
      </w:r>
      <w:r>
        <w:rPr>
          <w:i/>
        </w:rPr>
        <w:t>ARC-NOTES X INDFOCUS</w:t>
      </w:r>
      <w:r>
        <w:t xml:space="preserve">, is positive and significant (p&lt; 0.01); this implies that analysts who concentrate on fewer industries (i.e. covering fewer industries) perform better, in particular, among firms with greater accounting reporting complexity. A standard deviation increase in the interaction variable is associated with a 0.026 standard deviation increase in the forecast error variable. Finally, in Column 4, we find that analysts who hold CFA credentials issue more accurate forecasts as evidenced by the positive coefficient on </w:t>
      </w:r>
      <w:r>
        <w:rPr>
          <w:i/>
        </w:rPr>
        <w:t>CFA</w:t>
      </w:r>
      <w:r>
        <w:t xml:space="preserve"> (</w:t>
      </w:r>
      <w:r>
        <w:rPr>
          <w:i/>
        </w:rPr>
        <w:t xml:space="preserve">p </w:t>
      </w:r>
      <w:r>
        <w:t xml:space="preserve">&lt; 0.01). Further, we find that the coefficient on the interaction </w:t>
      </w:r>
      <w:r>
        <w:rPr>
          <w:i/>
        </w:rPr>
        <w:t>ARC-NOTES X</w:t>
      </w:r>
      <w:r>
        <w:t xml:space="preserve"> </w:t>
      </w:r>
      <w:r>
        <w:rPr>
          <w:i/>
        </w:rPr>
        <w:t>CFA</w:t>
      </w:r>
      <w:r>
        <w:t xml:space="preserve"> is positive and significant (</w:t>
      </w:r>
      <w:r>
        <w:rPr>
          <w:i/>
        </w:rPr>
        <w:t xml:space="preserve">p </w:t>
      </w:r>
      <w:r>
        <w:t>&lt; 0.1), which indicates that analysts who hold CFA credentials perform better at dealing with accounting reporting complexity (</w:t>
      </w:r>
      <w:r>
        <w:rPr>
          <w:i/>
        </w:rPr>
        <w:t>ARC-NOTES</w:t>
      </w:r>
      <w:r>
        <w:t xml:space="preserve">). Overall these </w:t>
      </w:r>
      <w:r>
        <w:lastRenderedPageBreak/>
        <w:t>results provide support for H1 and suggest that analysts with firm-specific experience and industry focus as well as those who hold a CFA are better positioned to handle accounting reporting complexity.</w:t>
      </w:r>
    </w:p>
    <w:p w14:paraId="57EAAC3E" w14:textId="77777777" w:rsidR="00407106" w:rsidRDefault="00407106" w:rsidP="00407106">
      <w:pPr>
        <w:pStyle w:val="Heading2"/>
        <w:spacing w:before="0"/>
      </w:pPr>
      <w:r>
        <w:t>Account specific analyst expertise</w:t>
      </w:r>
    </w:p>
    <w:p w14:paraId="60DEA6F4" w14:textId="77777777" w:rsidR="00407106" w:rsidRDefault="00407106" w:rsidP="00407106">
      <w:pPr>
        <w:spacing w:after="0"/>
        <w:ind w:firstLine="0"/>
      </w:pPr>
      <w:r>
        <w:tab/>
        <w:t xml:space="preserve">We next examine whether account specific expertise (i.e., fair value, derivatives, and pensions) helps analysts forecast earnings for companies wherein these accounts are more complex. Table 8 Panels A, B, and C present the estimation results of the analysis with fair-value, derivative, and pension complexity, respectively, and accounting specific expertise measures along with their interactions. In addition to the account specific complexity measures, we sequentially include, experience, industry focus, and CFA variables in the models. The analyses also include all control variables, but for brevity of presentation we do not tabulate them. Column 1 of Panel A shows that </w:t>
      </w:r>
      <w:r>
        <w:rPr>
          <w:i/>
        </w:rPr>
        <w:t>ARC-FAIR</w:t>
      </w:r>
      <w:r>
        <w:t xml:space="preserve"> is negative and significant (</w:t>
      </w:r>
      <w:r>
        <w:rPr>
          <w:i/>
        </w:rPr>
        <w:t>p</w:t>
      </w:r>
      <w:r>
        <w:t xml:space="preserve"> &lt; 0.01), suggesting that fair value complexity is inversely associated with analyst forecast accuracy. </w:t>
      </w:r>
      <w:r>
        <w:rPr>
          <w:i/>
        </w:rPr>
        <w:t>EXPRT-FAIR</w:t>
      </w:r>
      <w:r>
        <w:t xml:space="preserve"> is positive and significant suggesting that expertise in this account improves analyst forecast accuracy (</w:t>
      </w:r>
      <w:r>
        <w:rPr>
          <w:i/>
        </w:rPr>
        <w:t>p</w:t>
      </w:r>
      <w:r>
        <w:t xml:space="preserve"> &lt; 0.01). While we find that </w:t>
      </w:r>
      <w:r>
        <w:rPr>
          <w:i/>
        </w:rPr>
        <w:t>GEXP</w:t>
      </w:r>
      <w:r>
        <w:t xml:space="preserve"> is positive and significant, the interaction </w:t>
      </w:r>
      <w:r>
        <w:rPr>
          <w:i/>
        </w:rPr>
        <w:t>ARC-FAIR X GEXP</w:t>
      </w:r>
      <w:r>
        <w:t xml:space="preserve"> is not, which lends no support to H2. In contrast, results in Columns 2, 3 and 4 show that the interaction of </w:t>
      </w:r>
      <w:r>
        <w:rPr>
          <w:i/>
        </w:rPr>
        <w:t>ARC-FAIR</w:t>
      </w:r>
      <w:r>
        <w:t xml:space="preserve"> and </w:t>
      </w:r>
      <w:r>
        <w:rPr>
          <w:i/>
        </w:rPr>
        <w:t xml:space="preserve">FEXP </w:t>
      </w:r>
      <w:r>
        <w:t>(</w:t>
      </w:r>
      <w:r>
        <w:rPr>
          <w:i/>
        </w:rPr>
        <w:t xml:space="preserve">p </w:t>
      </w:r>
      <w:r>
        <w:t>&lt; 0.01)</w:t>
      </w:r>
      <w:r>
        <w:rPr>
          <w:i/>
        </w:rPr>
        <w:t xml:space="preserve">, INDFOCUS </w:t>
      </w:r>
      <w:r>
        <w:t>(</w:t>
      </w:r>
      <w:r>
        <w:rPr>
          <w:i/>
        </w:rPr>
        <w:t xml:space="preserve">p </w:t>
      </w:r>
      <w:r>
        <w:t>&lt; 0.01)</w:t>
      </w:r>
      <w:r>
        <w:rPr>
          <w:i/>
        </w:rPr>
        <w:t xml:space="preserve">, </w:t>
      </w:r>
      <w:r>
        <w:t>and</w:t>
      </w:r>
      <w:r>
        <w:rPr>
          <w:i/>
        </w:rPr>
        <w:t xml:space="preserve"> CFA </w:t>
      </w:r>
      <w:r>
        <w:t>(</w:t>
      </w:r>
      <w:r>
        <w:rPr>
          <w:i/>
        </w:rPr>
        <w:t xml:space="preserve">p </w:t>
      </w:r>
      <w:r>
        <w:t>&lt; 0.05)</w:t>
      </w:r>
      <w:r>
        <w:rPr>
          <w:i/>
        </w:rPr>
        <w:t xml:space="preserve">, </w:t>
      </w:r>
      <w:r>
        <w:t xml:space="preserve">respectively, are all positive and significant. These results support H2 and suggest that experience, expertise, and training help analysts cope with fair value complexity. Importantly, we find that the coefficient on the interaction variable, </w:t>
      </w:r>
      <w:r>
        <w:rPr>
          <w:i/>
        </w:rPr>
        <w:t>ARC-FAIR X EXPRT-FAIR</w:t>
      </w:r>
      <w:r>
        <w:t xml:space="preserve"> is positive and significant across all columns (Col. 1-3: </w:t>
      </w:r>
      <w:r>
        <w:rPr>
          <w:i/>
        </w:rPr>
        <w:t>p</w:t>
      </w:r>
      <w:r>
        <w:t xml:space="preserve"> &lt; 0.01; Col. 4: </w:t>
      </w:r>
      <w:r>
        <w:rPr>
          <w:i/>
        </w:rPr>
        <w:t>p</w:t>
      </w:r>
      <w:r>
        <w:t xml:space="preserve"> &lt; 0.05). These results support H3 and suggest that analysts with fair-value expertise issue more accurate earnings estimates for companies that have complex fair-value reporting. We also test for differences in coefficient between </w:t>
      </w:r>
      <w:r>
        <w:rPr>
          <w:i/>
        </w:rPr>
        <w:t>ARC-FAIR X EXPRT-FAIR</w:t>
      </w:r>
      <w:r>
        <w:t xml:space="preserve"> and the </w:t>
      </w:r>
      <w:r>
        <w:lastRenderedPageBreak/>
        <w:t xml:space="preserve">interactions of </w:t>
      </w:r>
      <w:r>
        <w:rPr>
          <w:i/>
        </w:rPr>
        <w:t xml:space="preserve">ARC-FAIR </w:t>
      </w:r>
      <w:r>
        <w:t xml:space="preserve">with the other expertise and experience measures (i.e. </w:t>
      </w:r>
      <w:r>
        <w:rPr>
          <w:i/>
        </w:rPr>
        <w:t>GEPX, FEXP, INDFOCUS</w:t>
      </w:r>
      <w:r>
        <w:t xml:space="preserve"> and </w:t>
      </w:r>
      <w:r>
        <w:rPr>
          <w:i/>
        </w:rPr>
        <w:t>CFA</w:t>
      </w:r>
      <w:r>
        <w:t xml:space="preserve">) and find that </w:t>
      </w:r>
      <w:r>
        <w:rPr>
          <w:i/>
        </w:rPr>
        <w:t>ARC-FAIR X EXPRT-FAIR</w:t>
      </w:r>
      <w:r>
        <w:t xml:space="preserve"> is significantly greater than the interactions of </w:t>
      </w:r>
      <w:r>
        <w:rPr>
          <w:i/>
        </w:rPr>
        <w:t xml:space="preserve">ARC-FAIR </w:t>
      </w:r>
      <w:r>
        <w:t xml:space="preserve">with </w:t>
      </w:r>
      <w:r>
        <w:rPr>
          <w:i/>
        </w:rPr>
        <w:t xml:space="preserve">GEXP, FEXP, </w:t>
      </w:r>
      <w:r>
        <w:t>and</w:t>
      </w:r>
      <w:r>
        <w:rPr>
          <w:i/>
        </w:rPr>
        <w:t xml:space="preserve"> CFA </w:t>
      </w:r>
      <w:r>
        <w:t>(</w:t>
      </w:r>
      <w:r>
        <w:rPr>
          <w:i/>
        </w:rPr>
        <w:t>p</w:t>
      </w:r>
      <w:r>
        <w:t xml:space="preserve"> &lt; 0.01, </w:t>
      </w:r>
      <w:r>
        <w:rPr>
          <w:i/>
        </w:rPr>
        <w:t>p</w:t>
      </w:r>
      <w:r>
        <w:t xml:space="preserve"> &lt; 0.05, and </w:t>
      </w:r>
      <w:r>
        <w:rPr>
          <w:i/>
        </w:rPr>
        <w:t>p</w:t>
      </w:r>
      <w:r>
        <w:t xml:space="preserve"> &lt; 0.05, respectively), but not the interaction with </w:t>
      </w:r>
      <w:r>
        <w:rPr>
          <w:i/>
        </w:rPr>
        <w:t>INDFOCUS</w:t>
      </w:r>
      <w:r>
        <w:t>.</w:t>
      </w:r>
    </w:p>
    <w:p w14:paraId="58B7D613" w14:textId="77777777" w:rsidR="00407106" w:rsidRDefault="00407106" w:rsidP="00407106">
      <w:pPr>
        <w:spacing w:after="0"/>
      </w:pPr>
      <w:r>
        <w:t>In Table 8, Panel B, we repeat our analysis in the previous panel (Panel A) using complexity and expertise in derivatives (</w:t>
      </w:r>
      <w:r>
        <w:rPr>
          <w:i/>
        </w:rPr>
        <w:t>ARC-DERIV, EXPRT-DERIV</w:t>
      </w:r>
      <w:r>
        <w:t xml:space="preserve">) as the main variables of interest. The results reported in Panel B concerning derivatives show that analysts with greater </w:t>
      </w:r>
      <w:r>
        <w:rPr>
          <w:i/>
        </w:rPr>
        <w:t xml:space="preserve">FEXP </w:t>
      </w:r>
      <w:r>
        <w:t xml:space="preserve">and </w:t>
      </w:r>
      <w:r>
        <w:rPr>
          <w:i/>
        </w:rPr>
        <w:t>CFA</w:t>
      </w:r>
      <w:r>
        <w:t xml:space="preserve"> certification produce more accurate forecasts for companies with complex derivative accounting (</w:t>
      </w:r>
      <w:r>
        <w:rPr>
          <w:i/>
        </w:rPr>
        <w:t>p</w:t>
      </w:r>
      <w:r>
        <w:t xml:space="preserve"> &lt; 0.01 and </w:t>
      </w:r>
      <w:r>
        <w:rPr>
          <w:i/>
        </w:rPr>
        <w:t>p</w:t>
      </w:r>
      <w:r>
        <w:t xml:space="preserve"> &lt; 0.1, respectively) but those with greater </w:t>
      </w:r>
      <w:r>
        <w:rPr>
          <w:i/>
        </w:rPr>
        <w:t>GEXP</w:t>
      </w:r>
      <w:r>
        <w:t xml:space="preserve"> and </w:t>
      </w:r>
      <w:r>
        <w:rPr>
          <w:i/>
        </w:rPr>
        <w:t>INDFOCUS</w:t>
      </w:r>
      <w:r>
        <w:t xml:space="preserve"> do not. These results partially support H2. Further, we find that </w:t>
      </w:r>
      <w:r>
        <w:rPr>
          <w:i/>
        </w:rPr>
        <w:t>ARC-DERIV X EXPRT-DERIV</w:t>
      </w:r>
      <w:r>
        <w:t xml:space="preserve"> is positive and significant across all models (</w:t>
      </w:r>
      <w:r>
        <w:rPr>
          <w:i/>
        </w:rPr>
        <w:t>p</w:t>
      </w:r>
      <w:r>
        <w:t xml:space="preserve"> &lt; 0.01, for all), supporting H3. We also test for differences in coefficients between </w:t>
      </w:r>
      <w:r>
        <w:rPr>
          <w:i/>
        </w:rPr>
        <w:t>ARC-DERIV X EXPRT-DERIV</w:t>
      </w:r>
      <w:r>
        <w:t xml:space="preserve"> and the interactions of </w:t>
      </w:r>
      <w:r>
        <w:rPr>
          <w:i/>
        </w:rPr>
        <w:t xml:space="preserve">ARC-DERIV </w:t>
      </w:r>
      <w:r>
        <w:t xml:space="preserve">with the experience, industry focus, and certification measures (i.e. </w:t>
      </w:r>
      <w:r>
        <w:rPr>
          <w:i/>
        </w:rPr>
        <w:t>GEXP, FEXP, INDFOCUS</w:t>
      </w:r>
      <w:r>
        <w:t xml:space="preserve"> and </w:t>
      </w:r>
      <w:r>
        <w:rPr>
          <w:i/>
        </w:rPr>
        <w:t>CFA</w:t>
      </w:r>
      <w:r>
        <w:t xml:space="preserve">) and find that </w:t>
      </w:r>
      <w:r>
        <w:rPr>
          <w:i/>
        </w:rPr>
        <w:t>ARC-DERIV X EXPRT-DERIV</w:t>
      </w:r>
      <w:r>
        <w:t xml:space="preserve"> is significantly greater than the interactions of </w:t>
      </w:r>
      <w:r>
        <w:rPr>
          <w:i/>
        </w:rPr>
        <w:t xml:space="preserve">ARC-DERIV </w:t>
      </w:r>
      <w:r>
        <w:t xml:space="preserve">with </w:t>
      </w:r>
      <w:r>
        <w:rPr>
          <w:i/>
        </w:rPr>
        <w:t xml:space="preserve">GEXP, INDFOCUS, </w:t>
      </w:r>
      <w:r>
        <w:t>and</w:t>
      </w:r>
      <w:r>
        <w:rPr>
          <w:i/>
        </w:rPr>
        <w:t xml:space="preserve"> CFA </w:t>
      </w:r>
      <w:r>
        <w:t>(</w:t>
      </w:r>
      <w:r>
        <w:rPr>
          <w:i/>
        </w:rPr>
        <w:t>p</w:t>
      </w:r>
      <w:r>
        <w:t xml:space="preserve"> &lt; 0.01, </w:t>
      </w:r>
      <w:r>
        <w:rPr>
          <w:i/>
        </w:rPr>
        <w:t>p</w:t>
      </w:r>
      <w:r>
        <w:t xml:space="preserve"> &lt; 0.05,</w:t>
      </w:r>
      <w:r>
        <w:rPr>
          <w:i/>
        </w:rPr>
        <w:t xml:space="preserve"> p</w:t>
      </w:r>
      <w:r>
        <w:t xml:space="preserve"> &lt; 0.1), but not the interaction with </w:t>
      </w:r>
      <w:r>
        <w:rPr>
          <w:i/>
        </w:rPr>
        <w:t>FEXP</w:t>
      </w:r>
      <w:r>
        <w:t>.</w:t>
      </w:r>
    </w:p>
    <w:p w14:paraId="1F9C8546" w14:textId="77777777" w:rsidR="00407106" w:rsidRDefault="00407106" w:rsidP="00407106">
      <w:pPr>
        <w:spacing w:after="0"/>
      </w:pPr>
      <w:r>
        <w:t>Finally, in Panel C, we repeat our analysis for the pension category and find that only firm-specific experience (</w:t>
      </w:r>
      <w:r>
        <w:rPr>
          <w:i/>
        </w:rPr>
        <w:t>FEXP</w:t>
      </w:r>
      <w:r>
        <w:t>) and industry focus (</w:t>
      </w:r>
      <w:r>
        <w:rPr>
          <w:i/>
        </w:rPr>
        <w:t>INDFOCUS</w:t>
      </w:r>
      <w:r>
        <w:t>) are effective in helping analysts handle complexity in the pension accounts (</w:t>
      </w:r>
      <w:r>
        <w:rPr>
          <w:i/>
        </w:rPr>
        <w:t>p</w:t>
      </w:r>
      <w:r>
        <w:t xml:space="preserve"> &lt; 0.01, for both), which provide partial support for H2.</w:t>
      </w:r>
      <w:r>
        <w:rPr>
          <w:rStyle w:val="FootnoteReference"/>
        </w:rPr>
        <w:footnoteReference w:id="33"/>
      </w:r>
      <w:r>
        <w:t xml:space="preserve"> Further, we find that </w:t>
      </w:r>
      <w:r>
        <w:rPr>
          <w:i/>
        </w:rPr>
        <w:t>ARC-PENS X EXPRT-PENS</w:t>
      </w:r>
      <w:r>
        <w:t xml:space="preserve"> is positive and significant across all columns (</w:t>
      </w:r>
      <w:r>
        <w:rPr>
          <w:i/>
        </w:rPr>
        <w:t>p</w:t>
      </w:r>
      <w:r>
        <w:t xml:space="preserve"> &lt; 0.01, </w:t>
      </w:r>
      <w:r>
        <w:rPr>
          <w:i/>
        </w:rPr>
        <w:t>p</w:t>
      </w:r>
      <w:r>
        <w:t xml:space="preserve"> &lt; 0.05,</w:t>
      </w:r>
      <w:r>
        <w:rPr>
          <w:i/>
        </w:rPr>
        <w:t xml:space="preserve"> p</w:t>
      </w:r>
      <w:r>
        <w:t xml:space="preserve"> &lt; 0.01,</w:t>
      </w:r>
      <w:r>
        <w:rPr>
          <w:i/>
        </w:rPr>
        <w:t xml:space="preserve"> p</w:t>
      </w:r>
      <w:r>
        <w:t xml:space="preserve"> &lt; 0.01), supporting H3 and</w:t>
      </w:r>
      <w:r>
        <w:rPr>
          <w:i/>
        </w:rPr>
        <w:t xml:space="preserve"> </w:t>
      </w:r>
      <w:r>
        <w:t xml:space="preserve">suggesting that analyst with </w:t>
      </w:r>
      <w:r>
        <w:lastRenderedPageBreak/>
        <w:t xml:space="preserve">account specific expertise in pension produce more accurate forecasts for companies with complex pension accounting. We also test for differences in coefficient between </w:t>
      </w:r>
      <w:r>
        <w:rPr>
          <w:i/>
        </w:rPr>
        <w:t>ARC-PENS X EXPRT-PENS</w:t>
      </w:r>
      <w:r>
        <w:t xml:space="preserve"> and the interactions of </w:t>
      </w:r>
      <w:r>
        <w:rPr>
          <w:i/>
        </w:rPr>
        <w:t xml:space="preserve">ARC-PENS </w:t>
      </w:r>
      <w:r>
        <w:t xml:space="preserve">with the other expertise and experience measures (i.e. </w:t>
      </w:r>
      <w:r>
        <w:rPr>
          <w:i/>
        </w:rPr>
        <w:t>GEPX, FEXP, INDFOCUS</w:t>
      </w:r>
      <w:r>
        <w:t xml:space="preserve"> and </w:t>
      </w:r>
      <w:r>
        <w:rPr>
          <w:i/>
        </w:rPr>
        <w:t>CFA</w:t>
      </w:r>
      <w:r>
        <w:t xml:space="preserve">) and find that </w:t>
      </w:r>
      <w:r>
        <w:rPr>
          <w:i/>
        </w:rPr>
        <w:t>ARC-PENS X EXPRT-PENS</w:t>
      </w:r>
      <w:r>
        <w:t xml:space="preserve"> is significantly greater than the interactions of </w:t>
      </w:r>
      <w:r>
        <w:rPr>
          <w:i/>
        </w:rPr>
        <w:t xml:space="preserve">ARC-DERIV </w:t>
      </w:r>
      <w:r>
        <w:t xml:space="preserve">with </w:t>
      </w:r>
      <w:r>
        <w:rPr>
          <w:i/>
        </w:rPr>
        <w:t xml:space="preserve">GEXP, </w:t>
      </w:r>
      <w:r>
        <w:t>and</w:t>
      </w:r>
      <w:r>
        <w:rPr>
          <w:i/>
        </w:rPr>
        <w:t xml:space="preserve"> CFA </w:t>
      </w:r>
      <w:r>
        <w:t>(</w:t>
      </w:r>
      <w:r>
        <w:rPr>
          <w:i/>
        </w:rPr>
        <w:t>p</w:t>
      </w:r>
      <w:r>
        <w:t xml:space="preserve"> &lt; 0.01, </w:t>
      </w:r>
      <w:r>
        <w:rPr>
          <w:i/>
        </w:rPr>
        <w:t>p</w:t>
      </w:r>
      <w:r>
        <w:t xml:space="preserve"> &lt; 0.01), but not the interactions with </w:t>
      </w:r>
      <w:r>
        <w:rPr>
          <w:i/>
        </w:rPr>
        <w:t xml:space="preserve">FEXP </w:t>
      </w:r>
      <w:r>
        <w:t xml:space="preserve">and </w:t>
      </w:r>
      <w:r>
        <w:rPr>
          <w:i/>
        </w:rPr>
        <w:t>INDFOCUS</w:t>
      </w:r>
      <w:r>
        <w:t xml:space="preserve">. Results in Panel C partially indicate that analysts’ expertise in derivatives helps them to more accurately estimate earnings of companies with complex derivative accounting to a greater extent than analysts with other types of experience and expertise. </w:t>
      </w:r>
    </w:p>
    <w:p w14:paraId="52B19742" w14:textId="77777777" w:rsidR="00407106" w:rsidRDefault="00407106" w:rsidP="00407106">
      <w:pPr>
        <w:spacing w:after="0"/>
      </w:pPr>
      <w:r>
        <w:t>Overall, the results in Table 8 indicate that analysts with account specific expertise in fair value, derivatives, and pension produce more accurate estimates for companies wherein these accounts are more complex. Importantly, in most cases, for firm with greater account specific complexity, analyst with expertise in these accounts outperform analysts with other types of experience and expertise.</w:t>
      </w:r>
    </w:p>
    <w:p w14:paraId="0204AE19" w14:textId="77777777" w:rsidR="00407106" w:rsidRDefault="00407106" w:rsidP="00407106">
      <w:pPr>
        <w:pStyle w:val="Heading2"/>
      </w:pPr>
      <w:r>
        <w:t>Additional Analysis - Accounting complexity and the information environment</w:t>
      </w:r>
    </w:p>
    <w:p w14:paraId="0897B6DF" w14:textId="77777777" w:rsidR="00407106" w:rsidRDefault="00407106" w:rsidP="00407106">
      <w:r>
        <w:t>In our last set of analyses we examine whether the richness of the information environment surrounding complex firms can help mitigate the effect of accounting reporting complexity. Table 9 presents the estimation results of the regression of forecast accuracy on accounting reporting complexity (</w:t>
      </w:r>
      <w:r>
        <w:rPr>
          <w:i/>
        </w:rPr>
        <w:t>ARC-NOTES</w:t>
      </w:r>
      <w:r>
        <w:t>) and its interaction with a measure of analyst effort (</w:t>
      </w:r>
      <w:r>
        <w:rPr>
          <w:i/>
        </w:rPr>
        <w:t>EFFORT</w:t>
      </w:r>
      <w:r>
        <w:t>), volume of disclosure (</w:t>
      </w:r>
      <w:r>
        <w:rPr>
          <w:i/>
        </w:rPr>
        <w:t>DVOLDISC</w:t>
      </w:r>
      <w:r>
        <w:t>), and analyst following (</w:t>
      </w:r>
      <w:r>
        <w:rPr>
          <w:i/>
        </w:rPr>
        <w:t>FOLL_FOR</w:t>
      </w:r>
      <w:r>
        <w:t xml:space="preserve">). In Column 1 of Table 9, we find that the coefficient on </w:t>
      </w:r>
      <w:r>
        <w:rPr>
          <w:i/>
        </w:rPr>
        <w:t>EFFORT</w:t>
      </w:r>
      <w:r>
        <w:t xml:space="preserve"> is positive and significant, indicating that forecast accuracy is higher for firms where analysts invest more effort. However, we fail to find that the interaction of </w:t>
      </w:r>
      <w:r>
        <w:rPr>
          <w:i/>
        </w:rPr>
        <w:t>ARC-NOTES X EFFORT</w:t>
      </w:r>
      <w:r>
        <w:t xml:space="preserve"> is statistically significant suggesting that accounting reporting </w:t>
      </w:r>
      <w:r>
        <w:lastRenderedPageBreak/>
        <w:t>complexity cannot be easily addressed by simply investing more effort as measured by the number of forecasts. In Column 2, we explore whether the negative effect of accounting reporting complexity (</w:t>
      </w:r>
      <w:r>
        <w:rPr>
          <w:i/>
        </w:rPr>
        <w:t>ARC-NOTES</w:t>
      </w:r>
      <w:r>
        <w:t>) is mitigated when managers disclose more information (</w:t>
      </w:r>
      <w:r>
        <w:rPr>
          <w:i/>
        </w:rPr>
        <w:t>DVOLDISC</w:t>
      </w:r>
      <w:r>
        <w:t xml:space="preserve">). We find that the coefficient on </w:t>
      </w:r>
      <w:r>
        <w:rPr>
          <w:i/>
        </w:rPr>
        <w:t>DVOLDISC</w:t>
      </w:r>
      <w:r>
        <w:t xml:space="preserve"> is positive and significant (</w:t>
      </w:r>
      <w:r>
        <w:rPr>
          <w:i/>
        </w:rPr>
        <w:t>p</w:t>
      </w:r>
      <w:r>
        <w:t xml:space="preserve"> &lt; 0.01) suggesting that analysts forecast accuracy increases when managers voluntary disclose more information. However, the coefficient on the interaction variable (</w:t>
      </w:r>
      <w:r>
        <w:rPr>
          <w:i/>
        </w:rPr>
        <w:t>ARC-NOTES X DVOLDISC</w:t>
      </w:r>
      <w:r>
        <w:t>), is not significant, thereby attributing no incremental benefit to management voluntary disclosures in analysts’ earnings estimates of more complex firms. These results are interesting because while Guay et al. (2016) suggest that managers provide more guidance when the financial reports are complex, our results indicate that these disclosures do not alleviate the consequences of complexity related to analysts’ performance. Finally, in Column 3 we examine whether analyst following (</w:t>
      </w:r>
      <w:r>
        <w:rPr>
          <w:i/>
        </w:rPr>
        <w:t>FOLL_FOR</w:t>
      </w:r>
      <w:r>
        <w:t xml:space="preserve">) moderates the relation between accounting reporting complexity and analysts’ accuracy. We find that </w:t>
      </w:r>
      <w:r>
        <w:rPr>
          <w:i/>
        </w:rPr>
        <w:t>FOLL_FOR</w:t>
      </w:r>
      <w:r>
        <w:t xml:space="preserve"> is positive and significant (</w:t>
      </w:r>
      <w:r>
        <w:rPr>
          <w:i/>
        </w:rPr>
        <w:t xml:space="preserve">p </w:t>
      </w:r>
      <w:r>
        <w:t xml:space="preserve">&lt; 0.1), suggesting that greater analyst following improves overall forecast accuracy. Further, we find that the coefficient on the interaction variable, </w:t>
      </w:r>
      <w:r>
        <w:rPr>
          <w:i/>
        </w:rPr>
        <w:t xml:space="preserve">ARC-NOTES X FOLL_FOR </w:t>
      </w:r>
      <w:r>
        <w:t>is positive and significant (</w:t>
      </w:r>
      <w:r>
        <w:rPr>
          <w:i/>
        </w:rPr>
        <w:t xml:space="preserve">p </w:t>
      </w:r>
      <w:r>
        <w:t>&lt; 0.05). This suggests that analyst following moderates the negative relation between accounting complexity and accuracy. Overall, the results in Column 3 propose analyst following as an alternative mechanism to overcome the incremental challenges associated with covering more complex firms.</w:t>
      </w:r>
    </w:p>
    <w:p w14:paraId="3F4F4EEC" w14:textId="77777777" w:rsidR="00407106" w:rsidRDefault="00407106" w:rsidP="00407106">
      <w:pPr>
        <w:pStyle w:val="Heading2"/>
        <w:spacing w:before="0"/>
      </w:pPr>
      <w:r>
        <w:t>Sensitivity analyses</w:t>
      </w:r>
    </w:p>
    <w:p w14:paraId="60939043" w14:textId="77777777" w:rsidR="00407106" w:rsidRDefault="00407106" w:rsidP="00407106">
      <w:pPr>
        <w:ind w:firstLine="0"/>
      </w:pPr>
      <w:r>
        <w:rPr>
          <w:i/>
        </w:rPr>
        <w:t>Components of ARC that are orthogonal to size and operating complexity</w:t>
      </w:r>
    </w:p>
    <w:p w14:paraId="18123169" w14:textId="77777777" w:rsidR="00407106" w:rsidRDefault="00407106" w:rsidP="00407106">
      <w:r>
        <w:rPr>
          <w:i/>
        </w:rPr>
        <w:t>ARC</w:t>
      </w:r>
      <w:r>
        <w:t xml:space="preserve"> may encompass complexity that is due to operating complexity. Our results, therefore, may be driven by operating complexity rather than accounting reporting complexity. To partially alleviate this concern, we regress </w:t>
      </w:r>
      <w:r>
        <w:rPr>
          <w:i/>
        </w:rPr>
        <w:t>ARC</w:t>
      </w:r>
      <w:r>
        <w:t xml:space="preserve"> on firm size, business segments, and foreign operations and </w:t>
      </w:r>
      <w:r>
        <w:lastRenderedPageBreak/>
        <w:t xml:space="preserve">industry controls. We estimate the model separately for each year. The model is well specified with an average adjusted R-square of 48.14%. Next, we use the residual from this model as a substitute for </w:t>
      </w:r>
      <w:r>
        <w:rPr>
          <w:i/>
        </w:rPr>
        <w:t>ARC</w:t>
      </w:r>
      <w:r>
        <w:t xml:space="preserve"> and find similar results. This suggests that </w:t>
      </w:r>
      <w:r>
        <w:rPr>
          <w:i/>
        </w:rPr>
        <w:t>ARC</w:t>
      </w:r>
      <w:r>
        <w:t xml:space="preserve"> captures complexity that goes beyond firm size and operating complexity. </w:t>
      </w:r>
    </w:p>
    <w:p w14:paraId="0CFE3F2C" w14:textId="77777777" w:rsidR="00407106" w:rsidRDefault="00407106" w:rsidP="00407106">
      <w:pPr>
        <w:ind w:firstLine="0"/>
      </w:pPr>
      <w:r>
        <w:rPr>
          <w:i/>
        </w:rPr>
        <w:t>Other methodological choices</w:t>
      </w:r>
    </w:p>
    <w:p w14:paraId="10CA2D0A" w14:textId="77777777" w:rsidR="00407106" w:rsidRDefault="00407106" w:rsidP="00407106">
      <w:r>
        <w:t xml:space="preserve">We conduct a number of robustness checks, aimed at examining whether our results are sensitive to alternative methodological choices. First, we use </w:t>
      </w:r>
      <w:r>
        <w:rPr>
          <w:i/>
        </w:rPr>
        <w:t>ARC</w:t>
      </w:r>
      <w:r>
        <w:t xml:space="preserve"> instead of </w:t>
      </w:r>
      <w:r>
        <w:rPr>
          <w:i/>
        </w:rPr>
        <w:t>ARC-NOTES</w:t>
      </w:r>
      <w:r>
        <w:t xml:space="preserve"> and find similar results in tables 7 and 9. The one major difference in the Table 7 results is that the coefficient on </w:t>
      </w:r>
      <w:r>
        <w:rPr>
          <w:i/>
        </w:rPr>
        <w:t>ARC X GEXP</w:t>
      </w:r>
      <w:r>
        <w:t xml:space="preserve"> (untabulated) is positive and significant (</w:t>
      </w:r>
      <w:r>
        <w:rPr>
          <w:i/>
        </w:rPr>
        <w:t xml:space="preserve">p &lt; </w:t>
      </w:r>
      <w:r>
        <w:t xml:space="preserve">0.1) whereas the coefficient on </w:t>
      </w:r>
      <w:r>
        <w:rPr>
          <w:i/>
        </w:rPr>
        <w:t xml:space="preserve">ARC-NOTES X GEXP </w:t>
      </w:r>
      <w:r>
        <w:t>(Table 7)</w:t>
      </w:r>
      <w:r>
        <w:rPr>
          <w:i/>
        </w:rPr>
        <w:t xml:space="preserve"> </w:t>
      </w:r>
      <w:r>
        <w:t xml:space="preserve">is not. The results in Table 9 are the same with </w:t>
      </w:r>
      <w:r>
        <w:rPr>
          <w:i/>
        </w:rPr>
        <w:t>ARC</w:t>
      </w:r>
      <w:r>
        <w:t xml:space="preserve"> or </w:t>
      </w:r>
      <w:r>
        <w:rPr>
          <w:i/>
        </w:rPr>
        <w:t>ARC-NOTES</w:t>
      </w:r>
      <w:r>
        <w:t xml:space="preserve">. Second, we repeat our analysis using the unique number of tags (recall that the </w:t>
      </w:r>
      <w:r>
        <w:rPr>
          <w:i/>
        </w:rPr>
        <w:t>ARC</w:t>
      </w:r>
      <w:r>
        <w:t xml:space="preserve"> variable allows tags to repeat but not in the same financial statement or note table) and find similar results. Further, using the number of facts reported by companies (i.e., we do not remove any repeated fact) also yields similar results. </w:t>
      </w:r>
    </w:p>
    <w:p w14:paraId="372E98FF" w14:textId="77777777" w:rsidR="00407106" w:rsidRDefault="00407106" w:rsidP="00407106">
      <w:r>
        <w:t xml:space="preserve">In a recent study, </w:t>
      </w:r>
      <w:r>
        <w:fldChar w:fldCharType="begin"/>
      </w:r>
      <w:r>
        <w:instrText>ADDIN RW.CITE{{1027 Chen,Shuping 2015}}</w:instrText>
      </w:r>
      <w:r>
        <w:fldChar w:fldCharType="separate"/>
      </w:r>
      <w:r>
        <w:t>Chen, Miao, and Shevlin (2015)</w:t>
      </w:r>
      <w:r>
        <w:fldChar w:fldCharType="end"/>
      </w:r>
      <w:r>
        <w:t xml:space="preserve"> propose and test a measure of disclosure quality (DQ) based on the level of disaggregation of financial information in Compustat and find that DQ is associated with higher forecast accuracy and lower dispersion. An important distinction between DQ and ARC is that DQ is based on a particular set of Compustat items. Indeed, we find that the correlation between the two variables is negative (</w:t>
      </w:r>
      <w:r>
        <w:rPr>
          <w:i/>
        </w:rPr>
        <w:t>ρ</w:t>
      </w:r>
      <w:r>
        <w:t xml:space="preserve"> = -0.1535; n = 2,830), suggesting that they measure different constructs. Using data on the DQ measure from the Chen et al. (2015) study, we re-estimate our analysis for the intersection of our samples.</w:t>
      </w:r>
      <w:r>
        <w:rPr>
          <w:rStyle w:val="FootnoteReference"/>
        </w:rPr>
        <w:footnoteReference w:id="34"/>
      </w:r>
      <w:r>
        <w:t xml:space="preserve"> After controlling for DQ, we find </w:t>
      </w:r>
      <w:r>
        <w:lastRenderedPageBreak/>
        <w:t>that higher ARC is associated with lower forecast accuracy (</w:t>
      </w:r>
      <w:r>
        <w:rPr>
          <w:i/>
        </w:rPr>
        <w:t xml:space="preserve">p </w:t>
      </w:r>
      <w:r>
        <w:t>&lt; 0.05), higher forecast dispersion (</w:t>
      </w:r>
      <w:r>
        <w:rPr>
          <w:i/>
        </w:rPr>
        <w:t xml:space="preserve">p </w:t>
      </w:r>
      <w:r>
        <w:t>&lt; 0.01), and lower informativeness of stock recommendations revisions (</w:t>
      </w:r>
      <w:r>
        <w:rPr>
          <w:i/>
        </w:rPr>
        <w:t xml:space="preserve">p </w:t>
      </w:r>
      <w:r>
        <w:t xml:space="preserve">&lt; 0.05). </w:t>
      </w:r>
    </w:p>
    <w:p w14:paraId="11B0499A" w14:textId="77777777" w:rsidR="00407106" w:rsidRDefault="00407106" w:rsidP="00407106">
      <w:r>
        <w:t>Finally, we exclude data from the fiscal year 2011 because of the relatively low number of observations we have for that year as a result of the phased-in adoption. We reach identical inferences from all our analyses based on a sample of 2012-2014.</w:t>
      </w:r>
    </w:p>
    <w:p w14:paraId="3304600E" w14:textId="77777777" w:rsidR="00407106" w:rsidRDefault="00407106" w:rsidP="00407106">
      <w:pPr>
        <w:pStyle w:val="Heading1"/>
        <w:numPr>
          <w:ilvl w:val="0"/>
          <w:numId w:val="2"/>
        </w:numPr>
        <w:spacing w:after="0"/>
        <w:ind w:left="0" w:firstLine="0"/>
      </w:pPr>
      <w:r>
        <w:t>Conclusions</w:t>
      </w:r>
    </w:p>
    <w:p w14:paraId="49E5BB06" w14:textId="77777777" w:rsidR="00407106" w:rsidRDefault="00407106" w:rsidP="00407106">
      <w:pPr>
        <w:spacing w:after="0"/>
        <w:ind w:firstLine="0"/>
      </w:pPr>
      <w:r>
        <w:t xml:space="preserve">The FASB (2017) recognizes that a complete simplification of the financial report is not possible and states (FASB 2010) that “[a]t times, even well-informed and diligent users may need to seek the aid of an </w:t>
      </w:r>
      <w:r>
        <w:rPr>
          <w:i/>
        </w:rPr>
        <w:t>adviser to understand information about complex economic phenomena</w:t>
      </w:r>
      <w:r>
        <w:t xml:space="preserve"> [Emphasis added].” Indeed, given the difficulty to simplify the reports, developing the necessary skillset to analyze the financial reports may be necessary. In this study we examine the association between accounting complexity and analysts’ performance and how analysts’ qualifications moderates this association.</w:t>
      </w:r>
    </w:p>
    <w:p w14:paraId="0D44A907" w14:textId="77777777" w:rsidR="00407106" w:rsidRDefault="00407106" w:rsidP="00407106">
      <w:pPr>
        <w:spacing w:after="0"/>
      </w:pPr>
      <w:r>
        <w:t xml:space="preserve">We rely on a measure of accounting reporting complexity that is based on the amount of accounting information in XBRL filings. Our tests reveal that accounting reporting complexity has an adverse effect on analysts’ performance. Specifically, we find that for companies with higher accounting reporting complexity, forecast accuracy is lower, dispersion is higher and informativeness of recommendations is significantly lower. We also examine whether the complexity of the recognized information on the face of the financial statements and in the notes, both contribute to the lower performance of analysts. We find that analysts are primarily impacted by the complexity in the notes to the financial statement, which are characterized by high volume and less structured disclosures. To aid analysts, regulators may consider imposing greater structure requirements on the disclosure in the notes. </w:t>
      </w:r>
    </w:p>
    <w:p w14:paraId="1E152ED6" w14:textId="77777777" w:rsidR="00407106" w:rsidRDefault="00407106" w:rsidP="00407106">
      <w:pPr>
        <w:spacing w:after="0"/>
      </w:pPr>
      <w:r>
        <w:lastRenderedPageBreak/>
        <w:t xml:space="preserve">We recognize that these adverse performance consequences are important to overcome and examine possible solutions to mitigate the negative association between accounting complexity and analyst performance. We find that analysts with greater firm-specific experience, industry focus, and CFA certification are able to alleviate some of the negative effects of accounting complexity. We further propose a new approach for measuring analysts’ expertise in specific account categories, including fair value, derivatives, and pensions. To the best of our knowledge, we are the first to do so. We find that account specific expertise is beneficial to forecast accuracy, especially among firms with greater complexity in these respective accounts. In most cases, we find that expertise in specific accounts appear to contribute more to forecast accuracy than other types of expertise. </w:t>
      </w:r>
    </w:p>
    <w:p w14:paraId="2DB2918C" w14:textId="77777777" w:rsidR="00407106" w:rsidRDefault="00407106" w:rsidP="00407106">
      <w:pPr>
        <w:spacing w:after="0"/>
      </w:pPr>
      <w:r>
        <w:t>Our research produces insights that are relevant to regulators and standard-setters concerned with developing a better understanding of, and solutions for the capital market consequences of accounting complexity. Further, the findings in this study may be of interest to investors and creditors who rely on analyst reports to make decisions.</w:t>
      </w:r>
      <w:r>
        <w:br w:type="page"/>
      </w:r>
    </w:p>
    <w:p w14:paraId="36867E7A" w14:textId="77777777" w:rsidR="00407106" w:rsidRDefault="00407106" w:rsidP="00407106">
      <w:pPr>
        <w:spacing w:after="0"/>
        <w:ind w:firstLine="0"/>
        <w:rPr>
          <w:b/>
        </w:rPr>
      </w:pPr>
      <w:r>
        <w:rPr>
          <w:b/>
        </w:rPr>
        <w:lastRenderedPageBreak/>
        <w:t>Appendix A- Description of account-specific complexity</w:t>
      </w:r>
    </w:p>
    <w:p w14:paraId="60AEE742" w14:textId="77777777" w:rsidR="00407106" w:rsidRDefault="00407106" w:rsidP="00407106">
      <w:pPr>
        <w:spacing w:after="0"/>
      </w:pPr>
      <w:r>
        <w:t xml:space="preserve">To identify tags in specific accounts we refer to the U.S. GAAP taxonomy which is available on the FASB’s website. In the taxonomy, tags are divided into categories of accounts. For instance, derivative and hedging tags appear under the heading "Disclosure - Derivative Instruments and Hedging Activities" and fair value tags appear under the heading “- Disclosure - Fair Value Measures and Disclosures”. We identify all tag names under each relevant heading and associate such tags with their specific account category. For example, to identify fair value tags, we refer to the “Calculation Tab” in the taxonomy file and identify 138 tags under the fair value heading. These tags are presented in Appendix B. We augment this list of tags with tags that appear under the Presentation Tab. We use this list of tags as the basis for identifying fair value tags. </w:t>
      </w:r>
    </w:p>
    <w:p w14:paraId="30EAC01F" w14:textId="77777777" w:rsidR="00407106" w:rsidRDefault="00407106" w:rsidP="00407106">
      <w:pPr>
        <w:spacing w:after="0"/>
      </w:pPr>
      <w:r>
        <w:t xml:space="preserve">Next, we identify tags that appear in multiple categories. Because we cannot uniquely attribute tags that appear in three or more account categories to any specific category we drop such tags from our list of fair value tags. For example, the tags “shareprice” appears under the fair value category but also in several other categories and therefore it is not classified as a fair value tag. Next, we supplement the classification of tags into account categories by using a list of keywords that we develop based tag names that appear in the taxonomy. This is especially important for extended tags because extended tags do not appear in the U.S. GAAP taxonomy. To develop this list we first look for keywords that frequently appear in the tag names. For example, the word “Fair” appears in 98 percent of fair value tags. Therefore, we search all extended tags and taxonomy tags that we did not classify based on the U.S. GAAP taxonomy and classify them as fair value tags if they include the word “Fair”. We follow a similar process to classify tags into the other two account categories. </w:t>
      </w:r>
    </w:p>
    <w:p w14:paraId="38D92361" w14:textId="77777777" w:rsidR="00407106" w:rsidRDefault="00407106" w:rsidP="00407106">
      <w:pPr>
        <w:spacing w:after="0"/>
        <w:rPr>
          <w:b/>
          <w:sz w:val="20"/>
          <w:szCs w:val="20"/>
        </w:rPr>
      </w:pPr>
      <w:r>
        <w:rPr>
          <w:b/>
          <w:sz w:val="20"/>
          <w:szCs w:val="20"/>
        </w:rPr>
        <w:br w:type="page"/>
      </w:r>
    </w:p>
    <w:p w14:paraId="7D2F09F7" w14:textId="77777777" w:rsidR="00407106" w:rsidRDefault="00407106" w:rsidP="00407106">
      <w:pPr>
        <w:spacing w:after="0"/>
        <w:ind w:firstLine="0"/>
        <w:rPr>
          <w:b/>
          <w:sz w:val="22"/>
        </w:rPr>
      </w:pPr>
      <w:r>
        <w:rPr>
          <w:b/>
          <w:sz w:val="22"/>
        </w:rPr>
        <w:lastRenderedPageBreak/>
        <w:t>Appendix B- A sample of Fair value tags from the Calculation Link in the FASB XBRL Taxonomy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07106" w14:paraId="21D9DC29"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109E3EBF" w14:textId="77777777" w:rsidR="00407106" w:rsidRDefault="00407106">
            <w:pPr>
              <w:spacing w:after="0" w:line="240" w:lineRule="auto"/>
              <w:jc w:val="left"/>
              <w:rPr>
                <w:rFonts w:eastAsia="Times New Roman"/>
                <w:b/>
                <w:sz w:val="20"/>
                <w:szCs w:val="20"/>
              </w:rPr>
            </w:pPr>
            <w:r>
              <w:rPr>
                <w:rFonts w:eastAsia="Times New Roman"/>
                <w:b/>
                <w:sz w:val="20"/>
                <w:szCs w:val="20"/>
              </w:rPr>
              <w:t>- Disclosure - Fair Value Measures and Disclosures</w:t>
            </w:r>
          </w:p>
        </w:tc>
      </w:tr>
      <w:tr w:rsidR="00407106" w14:paraId="50F82E95"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DFE244" w14:textId="77777777" w:rsidR="00407106" w:rsidRDefault="00407106">
            <w:pPr>
              <w:spacing w:after="0" w:line="240" w:lineRule="auto"/>
              <w:jc w:val="left"/>
              <w:rPr>
                <w:rFonts w:eastAsia="Times New Roman"/>
                <w:b/>
                <w:sz w:val="20"/>
                <w:szCs w:val="20"/>
              </w:rPr>
            </w:pPr>
            <w:r>
              <w:rPr>
                <w:rFonts w:eastAsia="Times New Roman"/>
                <w:b/>
                <w:sz w:val="20"/>
                <w:szCs w:val="20"/>
              </w:rPr>
              <w:t>Tag Name</w:t>
            </w:r>
          </w:p>
        </w:tc>
      </w:tr>
      <w:tr w:rsidR="00407106" w14:paraId="4F344A5C"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C1FE8D6" w14:textId="77777777" w:rsidR="00407106" w:rsidRDefault="00407106">
            <w:pPr>
              <w:spacing w:after="0" w:line="240" w:lineRule="auto"/>
              <w:ind w:firstLine="0"/>
              <w:rPr>
                <w:rFonts w:eastAsia="Times New Roman"/>
                <w:sz w:val="20"/>
                <w:szCs w:val="20"/>
              </w:rPr>
            </w:pPr>
            <w:r>
              <w:rPr>
                <w:rFonts w:eastAsia="Times New Roman"/>
                <w:sz w:val="20"/>
                <w:szCs w:val="20"/>
              </w:rPr>
              <w:t>EquityFairValueDisclosure</w:t>
            </w:r>
          </w:p>
        </w:tc>
      </w:tr>
      <w:tr w:rsidR="00407106" w14:paraId="68AECC9F"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415857D" w14:textId="77777777" w:rsidR="00407106" w:rsidRDefault="00407106">
            <w:pPr>
              <w:spacing w:after="0" w:line="240" w:lineRule="auto"/>
              <w:ind w:firstLine="0"/>
              <w:rPr>
                <w:rFonts w:eastAsia="Times New Roman"/>
                <w:sz w:val="20"/>
                <w:szCs w:val="20"/>
              </w:rPr>
            </w:pPr>
            <w:r>
              <w:rPr>
                <w:rFonts w:eastAsia="Times New Roman"/>
                <w:sz w:val="20"/>
                <w:szCs w:val="20"/>
              </w:rPr>
              <w:t>ContingentConsiderationClassifiedAsEquityFairValueDisclosure</w:t>
            </w:r>
          </w:p>
        </w:tc>
      </w:tr>
      <w:tr w:rsidR="00407106" w14:paraId="5ED31E84"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14ECE327" w14:textId="77777777" w:rsidR="00407106" w:rsidRDefault="00407106">
            <w:pPr>
              <w:spacing w:after="0" w:line="240" w:lineRule="auto"/>
              <w:ind w:firstLine="0"/>
              <w:rPr>
                <w:rFonts w:eastAsia="Times New Roman"/>
                <w:sz w:val="20"/>
                <w:szCs w:val="20"/>
              </w:rPr>
            </w:pPr>
            <w:r>
              <w:rPr>
                <w:rFonts w:eastAsia="Times New Roman"/>
                <w:sz w:val="20"/>
                <w:szCs w:val="20"/>
              </w:rPr>
              <w:t>EquityIssuedInBusinessCombinationFairValueDisclosure</w:t>
            </w:r>
          </w:p>
        </w:tc>
      </w:tr>
      <w:tr w:rsidR="00407106" w14:paraId="02E250C1"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4469581" w14:textId="77777777" w:rsidR="00407106" w:rsidRDefault="00407106">
            <w:pPr>
              <w:spacing w:after="0" w:line="240" w:lineRule="auto"/>
              <w:ind w:firstLine="0"/>
              <w:rPr>
                <w:rFonts w:eastAsia="Times New Roman"/>
                <w:sz w:val="20"/>
                <w:szCs w:val="20"/>
              </w:rPr>
            </w:pPr>
            <w:r>
              <w:rPr>
                <w:rFonts w:eastAsia="Times New Roman"/>
                <w:sz w:val="20"/>
                <w:szCs w:val="20"/>
              </w:rPr>
              <w:t>WarrantsNotSettleableInCashFairValueDisclosure</w:t>
            </w:r>
          </w:p>
        </w:tc>
      </w:tr>
      <w:tr w:rsidR="00407106" w14:paraId="3182CFAD"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F40BC41" w14:textId="77777777" w:rsidR="00407106" w:rsidRDefault="00407106">
            <w:pPr>
              <w:spacing w:after="0" w:line="240" w:lineRule="auto"/>
              <w:ind w:firstLine="0"/>
              <w:rPr>
                <w:rFonts w:eastAsia="Times New Roman"/>
                <w:sz w:val="20"/>
                <w:szCs w:val="20"/>
              </w:rPr>
            </w:pPr>
            <w:r>
              <w:rPr>
                <w:rFonts w:eastAsia="Times New Roman"/>
                <w:sz w:val="20"/>
                <w:szCs w:val="20"/>
              </w:rPr>
              <w:t>FairValueMeasuredOnRecurringBasisGainLossIncludedInEarnings</w:t>
            </w:r>
          </w:p>
        </w:tc>
      </w:tr>
      <w:tr w:rsidR="00407106" w14:paraId="19E70C1E"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0265E3F6" w14:textId="77777777" w:rsidR="00407106" w:rsidRDefault="00407106">
            <w:pPr>
              <w:spacing w:after="0" w:line="240" w:lineRule="auto"/>
              <w:ind w:firstLine="0"/>
              <w:rPr>
                <w:rFonts w:eastAsia="Times New Roman"/>
                <w:sz w:val="20"/>
                <w:szCs w:val="20"/>
              </w:rPr>
            </w:pPr>
            <w:r>
              <w:rPr>
                <w:rFonts w:eastAsia="Times New Roman"/>
                <w:sz w:val="20"/>
                <w:szCs w:val="20"/>
              </w:rPr>
              <w:t>FairValueAssetsAndLiabilitiesMeasuredOnRecurringBasisGainLossIncludedInEarnings</w:t>
            </w:r>
          </w:p>
        </w:tc>
      </w:tr>
      <w:tr w:rsidR="00407106" w14:paraId="5CD9D83D"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4FC893C5"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FairValueMeasurementWithUnobservableInputsReconciliationRecurringBasisAssetGainLossIncludedInEarnings1</w:t>
            </w:r>
          </w:p>
        </w:tc>
      </w:tr>
      <w:tr w:rsidR="00407106" w14:paraId="195A8E83"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C4976AD"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FairValueMeasurementWithUnobservableInputsReconciliationRecurringBasisLiabilityGainLossIncludedInEarnings</w:t>
            </w:r>
          </w:p>
        </w:tc>
      </w:tr>
      <w:tr w:rsidR="00407106" w14:paraId="777B5B6C"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4219EBE4"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FairValueMeasurementWithUnobservableInputsReconciliationRecurringBasisInstrumentsClassifiedInShareholdersEquityGainLossIncludedInEarnings</w:t>
            </w:r>
          </w:p>
        </w:tc>
      </w:tr>
      <w:tr w:rsidR="00407106" w14:paraId="0F9E8D2A"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26F3705"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FairValueMeasurementWithUnobservableInputsReconciliationRecurringBasisAssetPeriodIncreaseDecrease</w:t>
            </w:r>
          </w:p>
        </w:tc>
      </w:tr>
      <w:tr w:rsidR="00407106" w14:paraId="4AEDEFB7"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09A4FA3"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FairValueMeasurementWithUnobservableInputsReconciliationRecurringBasisAssetPurchasesSalesIssuancesSettlements</w:t>
            </w:r>
          </w:p>
        </w:tc>
      </w:tr>
      <w:tr w:rsidR="00407106" w14:paraId="40C722F4"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5120E9B"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FairValueMeasurementWithUnobservableInputsReconciliationRecurringBasisAssetPurchases</w:t>
            </w:r>
          </w:p>
        </w:tc>
      </w:tr>
      <w:tr w:rsidR="00407106" w14:paraId="1244FD36"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294D1E5"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FairValueMeasurementWithUnobservableInputsReconciliationRecurringBasisAssetSales</w:t>
            </w:r>
          </w:p>
        </w:tc>
      </w:tr>
      <w:tr w:rsidR="00407106" w14:paraId="10523E4D"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7BB2AAE0"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FairValueMeasurementWithUnobservableInputsReconciliationRecurringBasisAssetIssues</w:t>
            </w:r>
          </w:p>
        </w:tc>
      </w:tr>
      <w:tr w:rsidR="00407106" w14:paraId="577DD700"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E2CCB3E"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FairValueMeasurementWithUnobservableInputsReconciliationRecurringBasisAssetSettlements</w:t>
            </w:r>
          </w:p>
        </w:tc>
      </w:tr>
      <w:tr w:rsidR="00407106" w14:paraId="588879EF"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11ADEDCD"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FairValueMeasurementWithUnobservableInputsReconciliationRecurringBasisAssetTransfersNet</w:t>
            </w:r>
          </w:p>
        </w:tc>
      </w:tr>
      <w:tr w:rsidR="00407106" w14:paraId="410A88BD"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06BAA2F7"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FairValueMeasurementWithUnobservableInputsReconciliationRecurringBasisAssetTransfersIntoLevel3</w:t>
            </w:r>
          </w:p>
        </w:tc>
      </w:tr>
      <w:tr w:rsidR="00407106" w14:paraId="66CAF2D7"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4C2C9E8A"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FairValueMeasurementWithUnobservableInputsReconciliationRecurringBasisAssetTransfersOutOfLevel3</w:t>
            </w:r>
          </w:p>
        </w:tc>
      </w:tr>
      <w:tr w:rsidR="00407106" w14:paraId="46821D45"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12D312BA"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FairValueMeasurementWithUnobservableInputsReconciliationRecurringBasisAssetGainLossIncludedInOtherComprehensiveIncomeLoss</w:t>
            </w:r>
          </w:p>
        </w:tc>
      </w:tr>
      <w:tr w:rsidR="00407106" w14:paraId="743674F7"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08A9C6A6"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FairValueMeasurementWithUnobservableInputsReconciliationRecurringBasisAssetGainLossIncludedInEarnings1</w:t>
            </w:r>
          </w:p>
        </w:tc>
      </w:tr>
      <w:tr w:rsidR="00407106" w14:paraId="65A05FAD"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8321D71"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FairValueMeasurementWithUnobservableInputsReconciliationRecurringBasisGainLossIncludedInOtherComprehensiveIncomeLoss</w:t>
            </w:r>
          </w:p>
        </w:tc>
      </w:tr>
      <w:tr w:rsidR="00407106" w14:paraId="4CE248C5"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48351B4"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FairValueMeasurementWithUnobservableInputsReconciliationRecurringBasisLiabilityGainLossIncludedInOtherComprehensiveIncome</w:t>
            </w:r>
          </w:p>
        </w:tc>
      </w:tr>
      <w:tr w:rsidR="00407106" w14:paraId="6B44B1BB"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00E9A5D"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FairValueMeasurementWithUnobservableInputsReconciliationRecurringBasisAssetGainLossIncludedInOtherComprehensiveIncomeLoss</w:t>
            </w:r>
          </w:p>
        </w:tc>
      </w:tr>
      <w:tr w:rsidR="00407106" w14:paraId="0D626416"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45634BDE"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FairValueMeasurementWithUnobservableInputsReconciliationRecurringBasisInstrumentsClassifiedInShareholdersEquityGainLossIncludedInOtherComprehensiveIncomeLoss</w:t>
            </w:r>
          </w:p>
        </w:tc>
      </w:tr>
      <w:tr w:rsidR="00407106" w14:paraId="108CA366"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12A64AB4"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FairValueMeasurementWithUnobservableInputsReconciliationRecurringBasisInstrumentsClassifiedInShareholdersEquityPeriodIncreaseDecrease</w:t>
            </w:r>
          </w:p>
        </w:tc>
      </w:tr>
      <w:tr w:rsidR="00407106" w14:paraId="0EA9F539"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7E6548E2"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FairValueMeasurementWithUnobservableInputsReconciliationRecurringBasisInstrumentsClassifiedInShareholdersEquityTransfersNet</w:t>
            </w:r>
          </w:p>
        </w:tc>
      </w:tr>
      <w:tr w:rsidR="00407106" w14:paraId="6379A6EA"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9314D92"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FairValueMeasurementWithUnobservableInputsReconciliationRecurringBasisInstrumentsClassifiedInShareholdersEquityTransfersIntoLevel3</w:t>
            </w:r>
          </w:p>
        </w:tc>
      </w:tr>
      <w:tr w:rsidR="00407106" w14:paraId="5E795673"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4D0546C8"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FairValueMeasurementWithUnobservableInputsReconciliationRecurringBasisInstrumentsClassifiedInShareholdersEquityTransfersOutOfLevel3</w:t>
            </w:r>
          </w:p>
        </w:tc>
      </w:tr>
      <w:tr w:rsidR="00407106" w14:paraId="57FE258D" w14:textId="77777777" w:rsidTr="00407106">
        <w:trPr>
          <w:trHeight w:val="300"/>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FF653EA" w14:textId="77777777" w:rsidR="00407106" w:rsidRDefault="00407106">
            <w:pPr>
              <w:spacing w:after="0" w:line="240" w:lineRule="auto"/>
              <w:ind w:firstLine="0"/>
              <w:rPr>
                <w:rFonts w:eastAsia="Times New Roman"/>
                <w:sz w:val="20"/>
                <w:szCs w:val="20"/>
              </w:rPr>
            </w:pPr>
            <w:r>
              <w:rPr>
                <w:rFonts w:eastAsia="Times New Roman"/>
                <w:sz w:val="20"/>
                <w:szCs w:val="20"/>
              </w:rPr>
              <w:t>FairValueMeasurementWithUnobservableInputsReconciliationRecurringBasisInstrumentsClassifiedInShareholdersEquityPurchasesSalesIssuesSettlements</w:t>
            </w:r>
          </w:p>
        </w:tc>
      </w:tr>
    </w:tbl>
    <w:p w14:paraId="4BF381A4" w14:textId="77777777" w:rsidR="00407106" w:rsidRDefault="00407106" w:rsidP="00407106">
      <w:pPr>
        <w:spacing w:after="0"/>
        <w:ind w:firstLine="0"/>
        <w:rPr>
          <w:b/>
        </w:rPr>
      </w:pPr>
    </w:p>
    <w:p w14:paraId="57C14E3D" w14:textId="77777777" w:rsidR="00407106" w:rsidRDefault="00407106" w:rsidP="00407106">
      <w:pPr>
        <w:spacing w:line="276" w:lineRule="auto"/>
        <w:ind w:firstLine="0"/>
        <w:jc w:val="left"/>
        <w:rPr>
          <w:b/>
        </w:rPr>
      </w:pPr>
      <w:r>
        <w:rPr>
          <w:b/>
        </w:rPr>
        <w:br w:type="page"/>
      </w:r>
      <w:r>
        <w:rPr>
          <w:b/>
        </w:rPr>
        <w:lastRenderedPageBreak/>
        <w:t>References</w:t>
      </w:r>
    </w:p>
    <w:p w14:paraId="2DE355F3" w14:textId="77777777" w:rsidR="00407106" w:rsidRDefault="00407106" w:rsidP="00407106">
      <w:pPr>
        <w:spacing w:after="0" w:line="240" w:lineRule="auto"/>
        <w:ind w:left="630" w:hanging="630"/>
        <w:jc w:val="left"/>
      </w:pPr>
      <w:r>
        <w:t xml:space="preserve">Alford A.W. and P.G. Berger. 1999. A simultaneous equations analysis of forecast accuracy, analyst following, and trading volume. </w:t>
      </w:r>
      <w:r>
        <w:rPr>
          <w:i/>
        </w:rPr>
        <w:t>Journal of Accounting, Auditing and Finance</w:t>
      </w:r>
      <w:r>
        <w:t xml:space="preserve"> 14(3): 219-240.</w:t>
      </w:r>
    </w:p>
    <w:p w14:paraId="05651250" w14:textId="77777777" w:rsidR="00407106" w:rsidRDefault="00407106" w:rsidP="00407106">
      <w:pPr>
        <w:spacing w:after="0" w:line="240" w:lineRule="auto"/>
        <w:ind w:left="630" w:hanging="630"/>
        <w:jc w:val="left"/>
      </w:pPr>
    </w:p>
    <w:p w14:paraId="117C4209" w14:textId="77777777" w:rsidR="00407106" w:rsidRDefault="00407106" w:rsidP="00407106">
      <w:pPr>
        <w:spacing w:after="0" w:line="240" w:lineRule="auto"/>
        <w:ind w:left="630" w:hanging="630"/>
        <w:jc w:val="left"/>
      </w:pPr>
      <w:r>
        <w:t xml:space="preserve">Amir, E. 1993. The Market Valuation of Accounting Information: The Case of Postretirement Benefits other than Pensions. </w:t>
      </w:r>
      <w:r>
        <w:rPr>
          <w:i/>
        </w:rPr>
        <w:t xml:space="preserve">The Accounting Review </w:t>
      </w:r>
      <w:r>
        <w:t>68(4): 703-724.</w:t>
      </w:r>
    </w:p>
    <w:p w14:paraId="66FE04DF" w14:textId="77777777" w:rsidR="00407106" w:rsidRDefault="00407106" w:rsidP="00407106">
      <w:pPr>
        <w:spacing w:after="0" w:line="240" w:lineRule="auto"/>
        <w:ind w:left="630" w:hanging="630"/>
        <w:jc w:val="left"/>
        <w:rPr>
          <w:highlight w:val="yellow"/>
        </w:rPr>
      </w:pPr>
    </w:p>
    <w:p w14:paraId="3A0DC24B" w14:textId="77777777" w:rsidR="00407106" w:rsidRDefault="00407106" w:rsidP="00407106">
      <w:pPr>
        <w:autoSpaceDE w:val="0"/>
        <w:autoSpaceDN w:val="0"/>
        <w:adjustRightInd w:val="0"/>
        <w:spacing w:after="0" w:line="240" w:lineRule="auto"/>
        <w:ind w:left="630" w:hanging="630"/>
        <w:jc w:val="left"/>
      </w:pPr>
      <w:r>
        <w:t xml:space="preserve">Arrow, K.T. 1962. The Economic Implications of Learning by Doing. </w:t>
      </w:r>
      <w:r>
        <w:rPr>
          <w:i/>
        </w:rPr>
        <w:t xml:space="preserve">The Review of Economic Studies </w:t>
      </w:r>
      <w:r>
        <w:t>29(3): 155-173.</w:t>
      </w:r>
    </w:p>
    <w:p w14:paraId="3CE38493" w14:textId="77777777" w:rsidR="00407106" w:rsidRDefault="00407106" w:rsidP="00407106">
      <w:pPr>
        <w:autoSpaceDE w:val="0"/>
        <w:autoSpaceDN w:val="0"/>
        <w:adjustRightInd w:val="0"/>
        <w:spacing w:after="0" w:line="240" w:lineRule="auto"/>
        <w:ind w:left="630" w:hanging="630"/>
        <w:jc w:val="left"/>
      </w:pPr>
    </w:p>
    <w:p w14:paraId="7F61C042" w14:textId="77777777" w:rsidR="00407106" w:rsidRDefault="00407106" w:rsidP="00407106">
      <w:pPr>
        <w:autoSpaceDE w:val="0"/>
        <w:autoSpaceDN w:val="0"/>
        <w:adjustRightInd w:val="0"/>
        <w:spacing w:after="0" w:line="240" w:lineRule="auto"/>
        <w:ind w:left="630" w:hanging="630"/>
        <w:jc w:val="left"/>
      </w:pPr>
      <w:r>
        <w:t xml:space="preserve">Barth, M.E., R. Kasznik, and M.F. McNichols. 2001. Analyst coverage and intangible assets. </w:t>
      </w:r>
      <w:r>
        <w:rPr>
          <w:i/>
        </w:rPr>
        <w:t>Journal of accounting research</w:t>
      </w:r>
      <w:r>
        <w:t xml:space="preserve"> 39(1): 1-34.</w:t>
      </w:r>
    </w:p>
    <w:p w14:paraId="6419A168" w14:textId="77777777" w:rsidR="00407106" w:rsidRDefault="00407106" w:rsidP="00407106">
      <w:pPr>
        <w:autoSpaceDE w:val="0"/>
        <w:autoSpaceDN w:val="0"/>
        <w:adjustRightInd w:val="0"/>
        <w:spacing w:after="0" w:line="240" w:lineRule="auto"/>
        <w:ind w:left="630" w:hanging="630"/>
        <w:jc w:val="left"/>
        <w:rPr>
          <w:highlight w:val="yellow"/>
        </w:rPr>
      </w:pPr>
    </w:p>
    <w:p w14:paraId="4651EF51" w14:textId="77777777" w:rsidR="00407106" w:rsidRDefault="00407106" w:rsidP="00407106">
      <w:pPr>
        <w:autoSpaceDE w:val="0"/>
        <w:autoSpaceDN w:val="0"/>
        <w:adjustRightInd w:val="0"/>
        <w:spacing w:after="0" w:line="240" w:lineRule="auto"/>
        <w:ind w:left="630" w:hanging="630"/>
        <w:jc w:val="left"/>
      </w:pPr>
      <w:r>
        <w:t xml:space="preserve">Bhushan, R. 1989. Firm characteristics and analyst following. </w:t>
      </w:r>
      <w:r>
        <w:rPr>
          <w:i/>
        </w:rPr>
        <w:t>Journal of Accounting and Economics</w:t>
      </w:r>
      <w:r>
        <w:t xml:space="preserve"> 11(2-3): 255-274.</w:t>
      </w:r>
    </w:p>
    <w:p w14:paraId="5056DCC7" w14:textId="77777777" w:rsidR="00407106" w:rsidRDefault="00407106" w:rsidP="00407106">
      <w:pPr>
        <w:autoSpaceDE w:val="0"/>
        <w:autoSpaceDN w:val="0"/>
        <w:adjustRightInd w:val="0"/>
        <w:spacing w:after="0" w:line="240" w:lineRule="auto"/>
        <w:ind w:left="630" w:hanging="630"/>
        <w:jc w:val="left"/>
        <w:rPr>
          <w:highlight w:val="yellow"/>
        </w:rPr>
      </w:pPr>
    </w:p>
    <w:p w14:paraId="2F609CC7" w14:textId="77777777" w:rsidR="00407106" w:rsidRDefault="00407106" w:rsidP="00407106">
      <w:pPr>
        <w:autoSpaceDE w:val="0"/>
        <w:autoSpaceDN w:val="0"/>
        <w:adjustRightInd w:val="0"/>
        <w:spacing w:after="0" w:line="240" w:lineRule="auto"/>
        <w:ind w:left="630" w:hanging="630"/>
        <w:jc w:val="left"/>
      </w:pPr>
      <w:r>
        <w:t xml:space="preserve">Bonner, S. E. 1994. A model of the effects of audit task complexity. </w:t>
      </w:r>
      <w:r>
        <w:rPr>
          <w:i/>
        </w:rPr>
        <w:t xml:space="preserve">Accounting, Organizations and Society </w:t>
      </w:r>
      <w:r>
        <w:t>19(3): 213-234.</w:t>
      </w:r>
    </w:p>
    <w:p w14:paraId="286B5A02" w14:textId="77777777" w:rsidR="00407106" w:rsidRDefault="00407106" w:rsidP="00407106">
      <w:pPr>
        <w:autoSpaceDE w:val="0"/>
        <w:autoSpaceDN w:val="0"/>
        <w:adjustRightInd w:val="0"/>
        <w:spacing w:after="0" w:line="240" w:lineRule="auto"/>
        <w:ind w:left="630" w:hanging="630"/>
        <w:jc w:val="left"/>
        <w:rPr>
          <w:highlight w:val="yellow"/>
        </w:rPr>
      </w:pPr>
    </w:p>
    <w:p w14:paraId="3968BECA" w14:textId="77777777" w:rsidR="00407106" w:rsidRDefault="00407106" w:rsidP="00407106">
      <w:pPr>
        <w:autoSpaceDE w:val="0"/>
        <w:autoSpaceDN w:val="0"/>
        <w:adjustRightInd w:val="0"/>
        <w:spacing w:after="0" w:line="240" w:lineRule="auto"/>
        <w:ind w:left="630" w:hanging="630"/>
        <w:jc w:val="left"/>
      </w:pPr>
      <w:r>
        <w:t xml:space="preserve">Bozanic, Z. and M. Thevenot. 2015. Qualitative disclosure and changes in sell-side financial analysts’ information environment. </w:t>
      </w:r>
      <w:r>
        <w:rPr>
          <w:i/>
        </w:rPr>
        <w:t>Contemporary Accounting Research</w:t>
      </w:r>
      <w:r>
        <w:t xml:space="preserve"> 32(4): 1595-1616.</w:t>
      </w:r>
    </w:p>
    <w:p w14:paraId="026C30D7" w14:textId="77777777" w:rsidR="00407106" w:rsidRDefault="00407106" w:rsidP="00407106">
      <w:pPr>
        <w:autoSpaceDE w:val="0"/>
        <w:autoSpaceDN w:val="0"/>
        <w:adjustRightInd w:val="0"/>
        <w:spacing w:after="0" w:line="240" w:lineRule="auto"/>
        <w:ind w:left="630" w:hanging="630"/>
        <w:jc w:val="left"/>
        <w:rPr>
          <w:highlight w:val="yellow"/>
        </w:rPr>
      </w:pPr>
    </w:p>
    <w:p w14:paraId="0B9A5956" w14:textId="77777777" w:rsidR="00407106" w:rsidRDefault="00407106" w:rsidP="00407106">
      <w:pPr>
        <w:autoSpaceDE w:val="0"/>
        <w:autoSpaceDN w:val="0"/>
        <w:adjustRightInd w:val="0"/>
        <w:spacing w:after="0" w:line="240" w:lineRule="auto"/>
        <w:ind w:left="630" w:hanging="630"/>
        <w:jc w:val="left"/>
      </w:pPr>
      <w:bookmarkStart w:id="14" w:name="_Hlk508189674"/>
      <w:r>
        <w:t xml:space="preserve">Bradley, D., S. Gokkaya, and X. Liu. 2017. Before an analyst becomes an analyst: Does industry experience matter? </w:t>
      </w:r>
      <w:r>
        <w:rPr>
          <w:i/>
        </w:rPr>
        <w:t xml:space="preserve">The Journal of Finance </w:t>
      </w:r>
      <w:r>
        <w:t>72(2): 751-792.</w:t>
      </w:r>
    </w:p>
    <w:p w14:paraId="3B61F8AF" w14:textId="77777777" w:rsidR="00407106" w:rsidRDefault="00407106" w:rsidP="00407106">
      <w:pPr>
        <w:autoSpaceDE w:val="0"/>
        <w:autoSpaceDN w:val="0"/>
        <w:adjustRightInd w:val="0"/>
        <w:spacing w:after="0" w:line="240" w:lineRule="auto"/>
        <w:ind w:left="630" w:hanging="630"/>
        <w:jc w:val="left"/>
      </w:pPr>
    </w:p>
    <w:bookmarkEnd w:id="14"/>
    <w:p w14:paraId="388E2423" w14:textId="77777777" w:rsidR="00407106" w:rsidRDefault="00407106" w:rsidP="00407106">
      <w:pPr>
        <w:autoSpaceDE w:val="0"/>
        <w:autoSpaceDN w:val="0"/>
        <w:adjustRightInd w:val="0"/>
        <w:spacing w:after="0" w:line="240" w:lineRule="auto"/>
        <w:ind w:left="630" w:hanging="630"/>
        <w:jc w:val="left"/>
      </w:pPr>
      <w:r>
        <w:t>Bradshaw, M.T., G.S. Miller, and G. Serafeim. 2009. Accounting method heterogeneity and analysts’ forecasts,’ Unpublished paper, University of Chicago, University of Michigan, and Harvard University. Available at: http://faculty.chicagobooth.edu/workshops/accounting/archive/pdf/bms%2020090525.pdf.</w:t>
      </w:r>
    </w:p>
    <w:p w14:paraId="400D23B6" w14:textId="77777777" w:rsidR="00407106" w:rsidRDefault="00407106" w:rsidP="00407106">
      <w:pPr>
        <w:autoSpaceDE w:val="0"/>
        <w:autoSpaceDN w:val="0"/>
        <w:adjustRightInd w:val="0"/>
        <w:spacing w:after="0" w:line="240" w:lineRule="auto"/>
        <w:ind w:left="630" w:hanging="630"/>
        <w:jc w:val="left"/>
        <w:rPr>
          <w:highlight w:val="yellow"/>
        </w:rPr>
      </w:pPr>
    </w:p>
    <w:p w14:paraId="531FE484" w14:textId="77777777" w:rsidR="00407106" w:rsidRDefault="00407106" w:rsidP="00407106">
      <w:pPr>
        <w:autoSpaceDE w:val="0"/>
        <w:autoSpaceDN w:val="0"/>
        <w:adjustRightInd w:val="0"/>
        <w:spacing w:after="0" w:line="240" w:lineRule="auto"/>
        <w:ind w:left="630" w:hanging="630"/>
        <w:jc w:val="left"/>
      </w:pPr>
      <w:r>
        <w:t>Brown, L.D., A.C. Call, M.B. Clement, and N.Y. Sharp. 2015. Inside the “Black Box” of Sell</w:t>
      </w:r>
      <w:r>
        <w:rPr>
          <w:rFonts w:ascii="Cambria Math" w:hAnsi="Cambria Math" w:cs="Cambria Math"/>
        </w:rPr>
        <w:t>‐</w:t>
      </w:r>
      <w:r>
        <w:t xml:space="preserve">Side Financial Analysts. </w:t>
      </w:r>
      <w:r>
        <w:rPr>
          <w:i/>
        </w:rPr>
        <w:t>Journal of Accounting Research</w:t>
      </w:r>
      <w:r>
        <w:t xml:space="preserve"> 53(1): 1-47.</w:t>
      </w:r>
    </w:p>
    <w:p w14:paraId="098E8F45" w14:textId="77777777" w:rsidR="00407106" w:rsidRDefault="00407106" w:rsidP="00407106">
      <w:pPr>
        <w:spacing w:after="0" w:line="240" w:lineRule="auto"/>
        <w:ind w:left="360" w:hanging="360"/>
        <w:rPr>
          <w:highlight w:val="yellow"/>
        </w:rPr>
      </w:pPr>
    </w:p>
    <w:p w14:paraId="3D1B1273" w14:textId="77777777" w:rsidR="00407106" w:rsidRDefault="00407106" w:rsidP="00407106">
      <w:pPr>
        <w:spacing w:after="0" w:line="240" w:lineRule="auto"/>
        <w:ind w:left="360" w:hanging="360"/>
      </w:pPr>
      <w:r>
        <w:t xml:space="preserve">Campbell, D.J. 1988. Task complexity: A review and analysis. </w:t>
      </w:r>
      <w:r>
        <w:rPr>
          <w:i/>
        </w:rPr>
        <w:t xml:space="preserve">Academy of Management Review </w:t>
      </w:r>
      <w:r>
        <w:t>13(1): 40-52.</w:t>
      </w:r>
    </w:p>
    <w:p w14:paraId="529F8B16" w14:textId="77777777" w:rsidR="00407106" w:rsidRDefault="00407106" w:rsidP="00407106">
      <w:pPr>
        <w:autoSpaceDE w:val="0"/>
        <w:autoSpaceDN w:val="0"/>
        <w:adjustRightInd w:val="0"/>
        <w:spacing w:after="0" w:line="240" w:lineRule="auto"/>
        <w:ind w:left="630" w:hanging="630"/>
        <w:jc w:val="left"/>
        <w:rPr>
          <w:highlight w:val="yellow"/>
        </w:rPr>
      </w:pPr>
    </w:p>
    <w:p w14:paraId="4DA7A581" w14:textId="77777777" w:rsidR="00407106" w:rsidRDefault="00407106" w:rsidP="00407106">
      <w:pPr>
        <w:pStyle w:val="NormalWeb"/>
        <w:spacing w:before="0" w:beforeAutospacing="0" w:after="0" w:afterAutospacing="0"/>
        <w:ind w:left="630" w:hanging="630"/>
        <w:jc w:val="left"/>
        <w:rPr>
          <w:i/>
        </w:rPr>
      </w:pPr>
      <w:r>
        <w:t xml:space="preserve">Chang, H. S., M. Donohoe, and T. Sougiannis. 2016. Do analysts understand the economic and reporting complexities of derivatives? </w:t>
      </w:r>
      <w:r>
        <w:rPr>
          <w:i/>
        </w:rPr>
        <w:t>Journal of Accounting and Economics</w:t>
      </w:r>
      <w:r>
        <w:t>, forthcoming</w:t>
      </w:r>
      <w:r>
        <w:rPr>
          <w:i/>
        </w:rPr>
        <w:t>.</w:t>
      </w:r>
    </w:p>
    <w:p w14:paraId="33852FE3" w14:textId="77777777" w:rsidR="00407106" w:rsidRDefault="00407106" w:rsidP="00407106">
      <w:pPr>
        <w:pStyle w:val="NormalWeb"/>
        <w:spacing w:before="0" w:beforeAutospacing="0" w:after="0" w:afterAutospacing="0"/>
        <w:ind w:left="630" w:hanging="630"/>
        <w:jc w:val="left"/>
        <w:rPr>
          <w:i/>
        </w:rPr>
      </w:pPr>
    </w:p>
    <w:p w14:paraId="178AF222" w14:textId="77777777" w:rsidR="00407106" w:rsidRDefault="00407106" w:rsidP="00407106">
      <w:pPr>
        <w:pStyle w:val="NormalWeb"/>
        <w:spacing w:before="0" w:beforeAutospacing="0" w:after="0" w:afterAutospacing="0"/>
        <w:ind w:left="630" w:hanging="630"/>
        <w:jc w:val="left"/>
      </w:pPr>
      <w:r>
        <w:t xml:space="preserve">Chen, S., B. Miao, and T. Shevlin. 2015. A New Measure of Disclosure Quality: The Level of Disaggregation of Accounting Data in Annual Reports. </w:t>
      </w:r>
      <w:r>
        <w:rPr>
          <w:i/>
        </w:rPr>
        <w:t xml:space="preserve">Journal of Accounting Research </w:t>
      </w:r>
      <w:r>
        <w:t>53(5): 1017-1054.</w:t>
      </w:r>
    </w:p>
    <w:p w14:paraId="4877AD96" w14:textId="77777777" w:rsidR="00407106" w:rsidRDefault="00407106" w:rsidP="00407106">
      <w:pPr>
        <w:pStyle w:val="NormalWeb"/>
        <w:spacing w:before="0" w:beforeAutospacing="0" w:after="0" w:afterAutospacing="0"/>
        <w:ind w:left="630" w:hanging="630"/>
        <w:jc w:val="left"/>
        <w:rPr>
          <w:i/>
          <w:highlight w:val="yellow"/>
        </w:rPr>
      </w:pPr>
    </w:p>
    <w:p w14:paraId="324B25EA" w14:textId="77777777" w:rsidR="00407106" w:rsidRDefault="00407106" w:rsidP="00407106">
      <w:pPr>
        <w:pStyle w:val="NormalWeb"/>
        <w:spacing w:before="0" w:beforeAutospacing="0" w:after="0" w:afterAutospacing="0"/>
        <w:ind w:left="630" w:hanging="630"/>
        <w:jc w:val="left"/>
      </w:pPr>
      <w:r>
        <w:lastRenderedPageBreak/>
        <w:t xml:space="preserve">Chen, G., X. Wang, and J. Zhou. 2017. What do the markets say? Shareholder wealth effects of the XBRL mandate. </w:t>
      </w:r>
      <w:r>
        <w:rPr>
          <w:i/>
        </w:rPr>
        <w:t>Journal of Information Systems</w:t>
      </w:r>
      <w:r>
        <w:t>, forthcoming.</w:t>
      </w:r>
    </w:p>
    <w:p w14:paraId="07FA545C" w14:textId="77777777" w:rsidR="00407106" w:rsidRDefault="00407106" w:rsidP="00407106">
      <w:pPr>
        <w:pStyle w:val="NormalWeb"/>
        <w:spacing w:before="0" w:beforeAutospacing="0" w:after="0" w:afterAutospacing="0"/>
        <w:ind w:left="630" w:hanging="630"/>
        <w:jc w:val="left"/>
        <w:rPr>
          <w:i/>
          <w:highlight w:val="yellow"/>
        </w:rPr>
      </w:pPr>
    </w:p>
    <w:p w14:paraId="2982F270" w14:textId="77777777" w:rsidR="00407106" w:rsidRDefault="00407106" w:rsidP="00407106">
      <w:pPr>
        <w:pStyle w:val="NormalWeb"/>
        <w:spacing w:before="0" w:beforeAutospacing="0" w:after="0" w:afterAutospacing="0"/>
        <w:ind w:left="630" w:hanging="630"/>
        <w:jc w:val="left"/>
      </w:pPr>
      <w:r>
        <w:t xml:space="preserve">Clar-Proell, S. and L.A. Maines. 2014. The Impact of Recognition Versus Disclosure on Financial Information: A Preparer’s Perspective. </w:t>
      </w:r>
      <w:r>
        <w:rPr>
          <w:i/>
        </w:rPr>
        <w:t xml:space="preserve">Journal of Accounting Research </w:t>
      </w:r>
      <w:r>
        <w:t>52(3): 671-701.</w:t>
      </w:r>
    </w:p>
    <w:p w14:paraId="1F9B8230" w14:textId="77777777" w:rsidR="00407106" w:rsidRDefault="00407106" w:rsidP="00407106">
      <w:pPr>
        <w:pStyle w:val="NormalWeb"/>
        <w:spacing w:before="0" w:beforeAutospacing="0" w:after="0" w:afterAutospacing="0"/>
        <w:ind w:left="630" w:hanging="630"/>
        <w:jc w:val="left"/>
      </w:pPr>
    </w:p>
    <w:p w14:paraId="2BDE3A90" w14:textId="77777777" w:rsidR="00407106" w:rsidRDefault="00407106" w:rsidP="00407106">
      <w:pPr>
        <w:pStyle w:val="NormalWeb"/>
        <w:spacing w:before="0" w:beforeAutospacing="0" w:after="0" w:afterAutospacing="0"/>
        <w:ind w:left="630" w:hanging="630"/>
        <w:jc w:val="left"/>
      </w:pPr>
      <w:r>
        <w:t xml:space="preserve">Clement M.B. 1999. Analyst forecast accuracy: Do ability, resources, and portfolio complexity matter? </w:t>
      </w:r>
      <w:r>
        <w:rPr>
          <w:i/>
        </w:rPr>
        <w:t>Journal of Accounting and Economics</w:t>
      </w:r>
      <w:r>
        <w:t xml:space="preserve"> 27(3): 285-303.</w:t>
      </w:r>
    </w:p>
    <w:p w14:paraId="077978F6" w14:textId="77777777" w:rsidR="00407106" w:rsidRDefault="00407106" w:rsidP="00407106">
      <w:pPr>
        <w:pStyle w:val="NormalWeb"/>
        <w:spacing w:before="0" w:beforeAutospacing="0" w:after="0" w:afterAutospacing="0"/>
        <w:ind w:left="630" w:hanging="630"/>
        <w:jc w:val="left"/>
        <w:rPr>
          <w:highlight w:val="yellow"/>
        </w:rPr>
      </w:pPr>
    </w:p>
    <w:p w14:paraId="5A223641" w14:textId="77777777" w:rsidR="00407106" w:rsidRDefault="00407106" w:rsidP="00407106">
      <w:pPr>
        <w:pStyle w:val="NormalWeb"/>
        <w:spacing w:before="0" w:beforeAutospacing="0" w:after="0" w:afterAutospacing="0"/>
        <w:ind w:left="630" w:hanging="630"/>
        <w:jc w:val="left"/>
      </w:pPr>
      <w:bookmarkStart w:id="15" w:name="_Hlk508190030"/>
      <w:r>
        <w:t xml:space="preserve">De Franco, G. and Y. Zhou. 2009. The Performance of Analysts with a CFA ® Designation: The Role of Human-Capital and Signaling Theories. </w:t>
      </w:r>
      <w:r>
        <w:rPr>
          <w:i/>
        </w:rPr>
        <w:t>The Accounting Review</w:t>
      </w:r>
      <w:r>
        <w:t xml:space="preserve"> 84(2): 383-404.</w:t>
      </w:r>
    </w:p>
    <w:bookmarkEnd w:id="15"/>
    <w:p w14:paraId="6D8840FD" w14:textId="77777777" w:rsidR="00407106" w:rsidRDefault="00407106" w:rsidP="00407106">
      <w:pPr>
        <w:pStyle w:val="NormalWeb"/>
        <w:spacing w:before="0" w:beforeAutospacing="0" w:after="0" w:afterAutospacing="0"/>
        <w:ind w:left="630" w:hanging="630"/>
        <w:jc w:val="left"/>
        <w:rPr>
          <w:highlight w:val="yellow"/>
        </w:rPr>
      </w:pPr>
    </w:p>
    <w:p w14:paraId="1F3220E6" w14:textId="77777777" w:rsidR="00407106" w:rsidRDefault="00407106" w:rsidP="00407106">
      <w:pPr>
        <w:spacing w:after="0" w:line="240" w:lineRule="auto"/>
        <w:ind w:left="630" w:hanging="630"/>
        <w:jc w:val="left"/>
      </w:pPr>
      <w:r>
        <w:t xml:space="preserve">De Franco, G., M.H.F. Wong, and Y. Zhou. 2011. Accounting Adjustments and the Valuation of Financial Statement Note Information in 10-K Filings. </w:t>
      </w:r>
      <w:r>
        <w:rPr>
          <w:i/>
        </w:rPr>
        <w:t>The Accounting Review</w:t>
      </w:r>
      <w:r>
        <w:t xml:space="preserve"> 86(5): 1577-1604.</w:t>
      </w:r>
    </w:p>
    <w:p w14:paraId="6124DC1D" w14:textId="77777777" w:rsidR="00407106" w:rsidRDefault="00407106" w:rsidP="00407106">
      <w:pPr>
        <w:spacing w:after="0" w:line="240" w:lineRule="auto"/>
        <w:ind w:left="630" w:hanging="630"/>
        <w:jc w:val="left"/>
      </w:pPr>
    </w:p>
    <w:p w14:paraId="5E1D2617" w14:textId="77777777" w:rsidR="00407106" w:rsidRDefault="00407106" w:rsidP="00407106">
      <w:pPr>
        <w:spacing w:after="0" w:line="240" w:lineRule="auto"/>
        <w:ind w:left="630" w:hanging="630"/>
        <w:jc w:val="left"/>
      </w:pPr>
      <w:r>
        <w:t xml:space="preserve">Dhaliwal D.S., S. Radhakrishnan, A. Tsang, and Y.G. Yang. 2012. Nonfinancial Disclosure and Analyst Forecast Accuracy: International Evidence on Corporate Social Responsibility Disclosure. </w:t>
      </w:r>
      <w:r>
        <w:rPr>
          <w:i/>
        </w:rPr>
        <w:t>The Accounting Review</w:t>
      </w:r>
      <w:r>
        <w:t xml:space="preserve"> 87(3): 723-759.</w:t>
      </w:r>
    </w:p>
    <w:p w14:paraId="1F4B2D3B" w14:textId="77777777" w:rsidR="00407106" w:rsidRDefault="00407106" w:rsidP="00407106">
      <w:pPr>
        <w:pStyle w:val="NormalWeb"/>
        <w:spacing w:before="0" w:beforeAutospacing="0" w:after="0" w:afterAutospacing="0"/>
        <w:ind w:left="630" w:hanging="630"/>
        <w:jc w:val="left"/>
        <w:rPr>
          <w:highlight w:val="yellow"/>
        </w:rPr>
      </w:pPr>
    </w:p>
    <w:p w14:paraId="2212E0FD" w14:textId="77777777" w:rsidR="00407106" w:rsidRDefault="00407106" w:rsidP="00407106">
      <w:pPr>
        <w:pStyle w:val="NormalWeb"/>
        <w:spacing w:before="0" w:beforeAutospacing="0" w:after="0" w:afterAutospacing="0"/>
        <w:ind w:left="630" w:hanging="630"/>
        <w:jc w:val="left"/>
      </w:pPr>
      <w:r>
        <w:t xml:space="preserve">Dunn, K. and S. Nathan. 2005. Analyst Industry Diversification and Earnings Forecast Accuracy. </w:t>
      </w:r>
      <w:r>
        <w:rPr>
          <w:i/>
        </w:rPr>
        <w:t>The Journal of Investing</w:t>
      </w:r>
      <w:r>
        <w:t xml:space="preserve"> 14(2): 7-14.</w:t>
      </w:r>
    </w:p>
    <w:p w14:paraId="494E185C" w14:textId="77777777" w:rsidR="00407106" w:rsidRDefault="00407106" w:rsidP="00407106">
      <w:pPr>
        <w:pStyle w:val="NormalWeb"/>
        <w:spacing w:before="0" w:beforeAutospacing="0" w:after="0" w:afterAutospacing="0"/>
        <w:ind w:left="630" w:hanging="630"/>
        <w:jc w:val="left"/>
      </w:pPr>
    </w:p>
    <w:p w14:paraId="54096214" w14:textId="77777777" w:rsidR="00407106" w:rsidRDefault="00407106" w:rsidP="00407106">
      <w:pPr>
        <w:pStyle w:val="NormalWeb"/>
        <w:spacing w:before="0" w:beforeAutospacing="0" w:after="0" w:afterAutospacing="0"/>
        <w:ind w:left="630" w:hanging="630"/>
        <w:jc w:val="left"/>
      </w:pPr>
      <w:r>
        <w:t xml:space="preserve">Duru, A. and D.M. Reeb. 2002. International diversification and analysts' forecast accuracy and bias. </w:t>
      </w:r>
      <w:r>
        <w:rPr>
          <w:i/>
        </w:rPr>
        <w:t>The Accounting Review</w:t>
      </w:r>
      <w:r>
        <w:t xml:space="preserve"> 77(2): 415-433.</w:t>
      </w:r>
    </w:p>
    <w:p w14:paraId="07047F3F" w14:textId="77777777" w:rsidR="00407106" w:rsidRDefault="00407106" w:rsidP="00407106">
      <w:pPr>
        <w:pStyle w:val="NormalWeb"/>
        <w:spacing w:before="0" w:beforeAutospacing="0" w:after="0" w:afterAutospacing="0"/>
        <w:ind w:left="630" w:hanging="630"/>
        <w:jc w:val="left"/>
        <w:rPr>
          <w:rFonts w:ascii="Arial" w:hAnsi="Arial" w:cs="Arial"/>
          <w:color w:val="222222"/>
          <w:sz w:val="20"/>
          <w:szCs w:val="20"/>
          <w:highlight w:val="yellow"/>
          <w:shd w:val="clear" w:color="auto" w:fill="FFFFFF"/>
        </w:rPr>
      </w:pPr>
    </w:p>
    <w:p w14:paraId="52924F87" w14:textId="77777777" w:rsidR="00407106" w:rsidRDefault="00407106" w:rsidP="00407106">
      <w:pPr>
        <w:pStyle w:val="NormalWeb"/>
        <w:spacing w:before="0" w:beforeAutospacing="0" w:after="0" w:afterAutospacing="0"/>
        <w:ind w:left="630" w:hanging="630"/>
        <w:jc w:val="left"/>
      </w:pPr>
      <w:r>
        <w:t xml:space="preserve">Fama, E.F. and K.R. French. 1997. Industry costs of equity. </w:t>
      </w:r>
      <w:r>
        <w:rPr>
          <w:i/>
        </w:rPr>
        <w:t>Journal of Financial Economics</w:t>
      </w:r>
      <w:r>
        <w:t xml:space="preserve"> 43(2): 153-193.</w:t>
      </w:r>
    </w:p>
    <w:p w14:paraId="5201DE5C" w14:textId="77777777" w:rsidR="00407106" w:rsidRDefault="00407106" w:rsidP="00407106">
      <w:pPr>
        <w:pStyle w:val="NormalWeb"/>
        <w:spacing w:before="0" w:beforeAutospacing="0" w:after="0" w:afterAutospacing="0"/>
        <w:ind w:left="630" w:hanging="630"/>
        <w:jc w:val="left"/>
      </w:pPr>
    </w:p>
    <w:p w14:paraId="2CBC53FA" w14:textId="77777777" w:rsidR="00407106" w:rsidRDefault="00407106" w:rsidP="00407106">
      <w:pPr>
        <w:pStyle w:val="NormalWeb"/>
        <w:spacing w:before="0" w:beforeAutospacing="0" w:after="0" w:afterAutospacing="0"/>
        <w:ind w:left="630" w:hanging="630"/>
        <w:jc w:val="left"/>
      </w:pPr>
      <w:r>
        <w:t xml:space="preserve">Financial Accounting Standards Board (FASB). 1984. </w:t>
      </w:r>
      <w:r>
        <w:rPr>
          <w:i/>
        </w:rPr>
        <w:t>Statement of Financial Accounting Concepts No. 5</w:t>
      </w:r>
      <w:r>
        <w:t>. Available at: http://www.fasb.org/jsp/FASB/Page/PreCodSectionPage&amp;cid=1176156317989.</w:t>
      </w:r>
    </w:p>
    <w:p w14:paraId="4FEE6E84" w14:textId="77777777" w:rsidR="00407106" w:rsidRDefault="00407106" w:rsidP="00407106">
      <w:pPr>
        <w:pStyle w:val="NormalWeb"/>
        <w:spacing w:before="0" w:beforeAutospacing="0" w:after="0" w:afterAutospacing="0"/>
        <w:ind w:left="630" w:hanging="630"/>
        <w:jc w:val="left"/>
      </w:pPr>
    </w:p>
    <w:p w14:paraId="0912AFD9" w14:textId="77777777" w:rsidR="00407106" w:rsidRDefault="00407106" w:rsidP="00407106">
      <w:pPr>
        <w:pStyle w:val="NormalWeb"/>
        <w:spacing w:before="0" w:beforeAutospacing="0" w:after="0" w:afterAutospacing="0"/>
        <w:ind w:left="630" w:hanging="630"/>
        <w:jc w:val="left"/>
      </w:pPr>
      <w:r>
        <w:t xml:space="preserve">Financial Accounting Standards Board (FASB). 2010. </w:t>
      </w:r>
      <w:r>
        <w:rPr>
          <w:i/>
        </w:rPr>
        <w:t>Statement of Financial Accounting Concepts No. 8</w:t>
      </w:r>
      <w:r>
        <w:t>. Available at: http://www.fasb.org/jsp/FASB/Page/PreCodSectionPage&amp;cid=1176156317989.</w:t>
      </w:r>
    </w:p>
    <w:p w14:paraId="2CF0CEE8" w14:textId="77777777" w:rsidR="00407106" w:rsidRDefault="00407106" w:rsidP="00407106">
      <w:pPr>
        <w:pStyle w:val="NormalWeb"/>
        <w:spacing w:before="0" w:beforeAutospacing="0" w:after="0" w:afterAutospacing="0"/>
        <w:ind w:left="630" w:hanging="630"/>
        <w:jc w:val="left"/>
      </w:pPr>
    </w:p>
    <w:p w14:paraId="2D3E612A" w14:textId="77777777" w:rsidR="00407106" w:rsidRDefault="00407106" w:rsidP="00407106">
      <w:pPr>
        <w:pStyle w:val="NormalWeb"/>
        <w:spacing w:before="0" w:beforeAutospacing="0" w:after="0" w:afterAutospacing="0"/>
        <w:ind w:left="630" w:hanging="630"/>
        <w:jc w:val="left"/>
      </w:pPr>
      <w:r>
        <w:t xml:space="preserve">Financial Accounting Standards Board (FASB). 2016. </w:t>
      </w:r>
      <w:r>
        <w:rPr>
          <w:i/>
        </w:rPr>
        <w:t>Simplifying Accounting Standards</w:t>
      </w:r>
      <w:r>
        <w:t xml:space="preserve">. Available at: </w:t>
      </w:r>
      <w:hyperlink r:id="rId10" w:history="1">
        <w:r>
          <w:rPr>
            <w:rStyle w:val="Hyperlink"/>
            <w:color w:val="auto"/>
            <w:u w:val="none"/>
          </w:rPr>
          <w:t>http://www.fasb.org/simplification</w:t>
        </w:r>
      </w:hyperlink>
      <w:r>
        <w:t>.</w:t>
      </w:r>
    </w:p>
    <w:p w14:paraId="4D225BA7" w14:textId="77777777" w:rsidR="00407106" w:rsidRDefault="00407106" w:rsidP="00407106">
      <w:pPr>
        <w:pStyle w:val="NormalWeb"/>
        <w:spacing w:before="0" w:beforeAutospacing="0" w:after="0" w:afterAutospacing="0"/>
        <w:ind w:left="630" w:hanging="630"/>
        <w:jc w:val="left"/>
      </w:pPr>
    </w:p>
    <w:p w14:paraId="3A22F5E0" w14:textId="77777777" w:rsidR="00407106" w:rsidRDefault="00407106" w:rsidP="00407106">
      <w:pPr>
        <w:pStyle w:val="NormalWeb"/>
        <w:spacing w:before="0" w:beforeAutospacing="0" w:after="0" w:afterAutospacing="0"/>
        <w:ind w:left="630" w:hanging="630"/>
        <w:jc w:val="left"/>
      </w:pPr>
      <w:r>
        <w:t>Financial Accounting Standards Board (FASB). 2017.</w:t>
      </w:r>
      <w:r>
        <w:rPr>
          <w:i/>
        </w:rPr>
        <w:t xml:space="preserve"> Reducing Unnecessary Complexity in Financial Reporting</w:t>
      </w:r>
      <w:r>
        <w:t xml:space="preserve">. Available at: </w:t>
      </w:r>
      <w:hyperlink r:id="rId11" w:history="1">
        <w:r>
          <w:rPr>
            <w:rStyle w:val="Hyperlink"/>
            <w:color w:val="auto"/>
            <w:u w:val="none"/>
          </w:rPr>
          <w:t>http://fasb.org/cs/ContentServer?c=Page&amp;cid=1176168984130&amp;d=&amp;pagename=FASB%2FPage%2FSectionPage</w:t>
        </w:r>
      </w:hyperlink>
      <w:r>
        <w:t>.</w:t>
      </w:r>
    </w:p>
    <w:p w14:paraId="6A3F74E7" w14:textId="77777777" w:rsidR="00407106" w:rsidRDefault="00407106" w:rsidP="00407106">
      <w:pPr>
        <w:pStyle w:val="NormalWeb"/>
        <w:spacing w:before="0" w:beforeAutospacing="0" w:after="0" w:afterAutospacing="0"/>
        <w:ind w:left="630" w:hanging="630"/>
        <w:jc w:val="left"/>
      </w:pPr>
    </w:p>
    <w:p w14:paraId="1F74BCA7" w14:textId="77777777" w:rsidR="00407106" w:rsidRDefault="00407106" w:rsidP="00407106">
      <w:pPr>
        <w:pStyle w:val="NormalWeb"/>
        <w:spacing w:before="0" w:beforeAutospacing="0" w:after="0" w:afterAutospacing="0"/>
        <w:ind w:left="630" w:hanging="630"/>
        <w:jc w:val="left"/>
      </w:pPr>
      <w:r>
        <w:lastRenderedPageBreak/>
        <w:t xml:space="preserve">Frankel R., S.P. Kothari, and J. Weber. 2006. Determinants of the informativeness of analyst research. </w:t>
      </w:r>
      <w:r>
        <w:rPr>
          <w:i/>
        </w:rPr>
        <w:t>Journal of Accounting and Economics</w:t>
      </w:r>
      <w:r>
        <w:t xml:space="preserve"> 41(1-2): 29-54.</w:t>
      </w:r>
    </w:p>
    <w:p w14:paraId="5C761A5F" w14:textId="77777777" w:rsidR="00407106" w:rsidRDefault="00407106" w:rsidP="00407106">
      <w:pPr>
        <w:pStyle w:val="NormalWeb"/>
        <w:spacing w:before="0" w:beforeAutospacing="0" w:after="0" w:afterAutospacing="0"/>
        <w:ind w:left="630" w:hanging="630"/>
        <w:jc w:val="left"/>
        <w:rPr>
          <w:highlight w:val="yellow"/>
        </w:rPr>
      </w:pPr>
    </w:p>
    <w:p w14:paraId="39DEA832" w14:textId="77777777" w:rsidR="00407106" w:rsidRDefault="00407106" w:rsidP="00407106">
      <w:pPr>
        <w:pStyle w:val="NormalWeb"/>
        <w:spacing w:before="0" w:beforeAutospacing="0" w:after="0" w:afterAutospacing="0"/>
        <w:ind w:left="630" w:hanging="630"/>
        <w:jc w:val="left"/>
      </w:pPr>
      <w:r>
        <w:t xml:space="preserve">Financial Reporting Council (FRC). 2009. </w:t>
      </w:r>
      <w:r>
        <w:rPr>
          <w:i/>
        </w:rPr>
        <w:t>Louder than Words: Principles and Actions for Making Corporate Reports Less Complex and More Relevant</w:t>
      </w:r>
      <w:r>
        <w:t>. Available at: https://www.frc.org.uk/getattachment/4087be52-dc47-4021-9697-b3ebd3cb558d/Discussion-Paper-Louder-than-Words-(in-short);.aspx</w:t>
      </w:r>
    </w:p>
    <w:p w14:paraId="2DE75F68" w14:textId="77777777" w:rsidR="00407106" w:rsidRDefault="00407106" w:rsidP="00407106">
      <w:pPr>
        <w:pStyle w:val="NormalWeb"/>
        <w:spacing w:before="0" w:beforeAutospacing="0" w:after="0" w:afterAutospacing="0"/>
        <w:ind w:left="630" w:hanging="630"/>
        <w:jc w:val="left"/>
        <w:rPr>
          <w:highlight w:val="yellow"/>
        </w:rPr>
      </w:pPr>
    </w:p>
    <w:p w14:paraId="2043D912" w14:textId="77777777" w:rsidR="00407106" w:rsidRDefault="00407106" w:rsidP="00407106">
      <w:pPr>
        <w:pStyle w:val="NormalWeb"/>
        <w:spacing w:before="0" w:beforeAutospacing="0" w:after="0" w:afterAutospacing="0"/>
        <w:ind w:left="630" w:hanging="630"/>
        <w:jc w:val="left"/>
      </w:pPr>
      <w:r>
        <w:t xml:space="preserve">Gu F. and W. Wang. 2005. Intangible assets, information complexity, and analysts’ earnings forecasts intangible assets &amp; analysts’ earnings forecasts. </w:t>
      </w:r>
      <w:r>
        <w:rPr>
          <w:i/>
        </w:rPr>
        <w:t>Journal of Business Finance &amp; Accounting</w:t>
      </w:r>
      <w:r>
        <w:t xml:space="preserve"> 32(9-10): 1673-1702.</w:t>
      </w:r>
    </w:p>
    <w:p w14:paraId="65EB5B88" w14:textId="77777777" w:rsidR="00407106" w:rsidRDefault="00407106" w:rsidP="00407106">
      <w:pPr>
        <w:pStyle w:val="NormalWeb"/>
        <w:spacing w:before="0" w:beforeAutospacing="0" w:after="0" w:afterAutospacing="0"/>
        <w:ind w:left="630" w:hanging="630"/>
        <w:jc w:val="left"/>
        <w:rPr>
          <w:highlight w:val="yellow"/>
        </w:rPr>
      </w:pPr>
    </w:p>
    <w:p w14:paraId="11236200" w14:textId="77777777" w:rsidR="00407106" w:rsidRDefault="00407106" w:rsidP="00407106">
      <w:pPr>
        <w:pStyle w:val="NormalWeb"/>
        <w:spacing w:before="0" w:beforeAutospacing="0" w:after="0" w:afterAutospacing="0"/>
        <w:ind w:left="630" w:hanging="630"/>
        <w:jc w:val="left"/>
      </w:pPr>
      <w:r>
        <w:t xml:space="preserve">Guay, W., D. Samuels, and D. Taylor. 2016. Guiding through the Fog: Financial statement complexity and voluntary disclosure. </w:t>
      </w:r>
      <w:r>
        <w:rPr>
          <w:i/>
        </w:rPr>
        <w:t>Journal of Accounting and Economics</w:t>
      </w:r>
      <w:r>
        <w:t xml:space="preserve"> 62(2-3): 234-269.</w:t>
      </w:r>
    </w:p>
    <w:p w14:paraId="15735B91" w14:textId="77777777" w:rsidR="00407106" w:rsidRDefault="00407106" w:rsidP="00407106">
      <w:pPr>
        <w:pStyle w:val="NormalWeb"/>
        <w:spacing w:before="0" w:beforeAutospacing="0" w:after="0" w:afterAutospacing="0"/>
        <w:ind w:left="630" w:hanging="630"/>
        <w:jc w:val="left"/>
        <w:rPr>
          <w:highlight w:val="yellow"/>
        </w:rPr>
      </w:pPr>
    </w:p>
    <w:p w14:paraId="058C7AAF" w14:textId="77777777" w:rsidR="00407106" w:rsidRDefault="00407106" w:rsidP="00407106">
      <w:pPr>
        <w:pStyle w:val="NormalWeb"/>
        <w:spacing w:before="0" w:beforeAutospacing="0" w:after="0" w:afterAutospacing="0"/>
        <w:ind w:left="630" w:hanging="630"/>
        <w:jc w:val="left"/>
      </w:pPr>
      <w:r>
        <w:t xml:space="preserve">Gunning, R. 1952. </w:t>
      </w:r>
      <w:r>
        <w:rPr>
          <w:i/>
        </w:rPr>
        <w:t>The technique of clear writing</w:t>
      </w:r>
      <w:r>
        <w:t>. New York, NY: McGraw-Hill.</w:t>
      </w:r>
    </w:p>
    <w:p w14:paraId="794B371B" w14:textId="77777777" w:rsidR="00407106" w:rsidRDefault="00407106" w:rsidP="00407106">
      <w:pPr>
        <w:pStyle w:val="NormalWeb"/>
        <w:spacing w:before="0" w:beforeAutospacing="0" w:after="0" w:afterAutospacing="0"/>
        <w:ind w:left="630" w:hanging="630"/>
        <w:jc w:val="left"/>
        <w:rPr>
          <w:highlight w:val="yellow"/>
        </w:rPr>
      </w:pPr>
    </w:p>
    <w:p w14:paraId="558DF51A" w14:textId="77777777" w:rsidR="00407106" w:rsidRDefault="00407106" w:rsidP="00407106">
      <w:pPr>
        <w:pStyle w:val="NormalWeb"/>
        <w:spacing w:before="0" w:beforeAutospacing="0" w:after="0" w:afterAutospacing="0"/>
        <w:ind w:left="630" w:hanging="630"/>
        <w:jc w:val="left"/>
      </w:pPr>
      <w:r>
        <w:t xml:space="preserve">Harris, T.S. and S.G. Morsfield. 2012. </w:t>
      </w:r>
      <w:r>
        <w:rPr>
          <w:i/>
        </w:rPr>
        <w:t>An evaluation of the current state and future of XBRL and interactive data for investors and analysts</w:t>
      </w:r>
      <w:r>
        <w:t>. Unpublished paper, Columbia University. Available at: https://academiccommons.columbia.edu/catalog/ac:161038.</w:t>
      </w:r>
    </w:p>
    <w:p w14:paraId="4200CEAC" w14:textId="77777777" w:rsidR="00407106" w:rsidRDefault="00407106" w:rsidP="00407106">
      <w:pPr>
        <w:pStyle w:val="NormalWeb"/>
        <w:spacing w:before="0" w:beforeAutospacing="0" w:after="0" w:afterAutospacing="0"/>
        <w:ind w:left="630" w:hanging="630"/>
        <w:jc w:val="left"/>
        <w:rPr>
          <w:highlight w:val="yellow"/>
        </w:rPr>
      </w:pPr>
    </w:p>
    <w:p w14:paraId="3405695D" w14:textId="77777777" w:rsidR="00407106" w:rsidRDefault="00407106" w:rsidP="00407106">
      <w:pPr>
        <w:pStyle w:val="NormalWeb"/>
        <w:spacing w:before="0" w:beforeAutospacing="0" w:after="0" w:afterAutospacing="0"/>
        <w:ind w:left="630" w:hanging="630"/>
        <w:jc w:val="left"/>
      </w:pPr>
      <w:bookmarkStart w:id="16" w:name="_Hlk508190338"/>
      <w:r>
        <w:t xml:space="preserve">Hirst, D.E. and P.E. Hopkins. 1998. Comprehensive Income Reporting and Analysts’ Valuation Judgments. </w:t>
      </w:r>
      <w:r>
        <w:rPr>
          <w:i/>
        </w:rPr>
        <w:t>Journal of Accounting Research</w:t>
      </w:r>
      <w:r>
        <w:t xml:space="preserve"> 36: 47-75.</w:t>
      </w:r>
    </w:p>
    <w:bookmarkEnd w:id="16"/>
    <w:p w14:paraId="4EA7D632" w14:textId="77777777" w:rsidR="00407106" w:rsidRDefault="00407106" w:rsidP="00407106">
      <w:pPr>
        <w:pStyle w:val="NormalWeb"/>
        <w:spacing w:before="0" w:beforeAutospacing="0" w:after="0" w:afterAutospacing="0"/>
        <w:ind w:left="630" w:hanging="630"/>
        <w:jc w:val="left"/>
        <w:rPr>
          <w:highlight w:val="yellow"/>
        </w:rPr>
      </w:pPr>
    </w:p>
    <w:p w14:paraId="17D12BF6" w14:textId="77777777" w:rsidR="00407106" w:rsidRDefault="00407106" w:rsidP="00407106">
      <w:pPr>
        <w:pStyle w:val="NormalWeb"/>
        <w:spacing w:before="0" w:beforeAutospacing="0" w:after="0" w:afterAutospacing="0"/>
        <w:ind w:left="630" w:hanging="630"/>
        <w:jc w:val="left"/>
      </w:pPr>
      <w:r>
        <w:t xml:space="preserve">Hoitash, R., and U. Hoitash. 2018. Measuring accounting reporting complexity with XBRL. </w:t>
      </w:r>
      <w:r>
        <w:rPr>
          <w:i/>
          <w:iCs/>
        </w:rPr>
        <w:t xml:space="preserve">The Accounting Review </w:t>
      </w:r>
      <w:r>
        <w:rPr>
          <w:iCs/>
        </w:rPr>
        <w:t>93(1): 259-287</w:t>
      </w:r>
      <w:r>
        <w:t xml:space="preserve">. </w:t>
      </w:r>
    </w:p>
    <w:p w14:paraId="4E903024" w14:textId="77777777" w:rsidR="00407106" w:rsidRDefault="00407106" w:rsidP="00407106">
      <w:pPr>
        <w:pStyle w:val="NormalWeb"/>
        <w:spacing w:before="0" w:beforeAutospacing="0" w:after="0" w:afterAutospacing="0"/>
        <w:ind w:left="630" w:hanging="630"/>
        <w:jc w:val="left"/>
        <w:rPr>
          <w:highlight w:val="yellow"/>
        </w:rPr>
      </w:pPr>
    </w:p>
    <w:p w14:paraId="0C93C2A0" w14:textId="77777777" w:rsidR="00407106" w:rsidRDefault="00407106" w:rsidP="00407106">
      <w:pPr>
        <w:pStyle w:val="NormalWeb"/>
        <w:spacing w:before="0" w:beforeAutospacing="0" w:after="0" w:afterAutospacing="0"/>
        <w:ind w:left="630" w:hanging="630"/>
        <w:jc w:val="left"/>
      </w:pPr>
      <w:r>
        <w:t>Hope, O.K. 2003. Disclosure practices, enforcement of accounting standards, and analysts' forecast accuracy: An international study.</w:t>
      </w:r>
      <w:r>
        <w:rPr>
          <w:i/>
        </w:rPr>
        <w:t xml:space="preserve"> Journal of Accounting Research</w:t>
      </w:r>
      <w:r>
        <w:t xml:space="preserve"> 41(2): 235-272.</w:t>
      </w:r>
    </w:p>
    <w:p w14:paraId="1B9E3D08" w14:textId="77777777" w:rsidR="00407106" w:rsidRDefault="00407106" w:rsidP="00407106">
      <w:pPr>
        <w:pStyle w:val="NormalWeb"/>
        <w:spacing w:before="0" w:beforeAutospacing="0" w:after="0" w:afterAutospacing="0"/>
        <w:ind w:left="630" w:hanging="630"/>
        <w:jc w:val="left"/>
        <w:rPr>
          <w:highlight w:val="yellow"/>
        </w:rPr>
      </w:pPr>
    </w:p>
    <w:p w14:paraId="20982BA2" w14:textId="77777777" w:rsidR="00407106" w:rsidRDefault="00407106" w:rsidP="00407106">
      <w:pPr>
        <w:pStyle w:val="NormalWeb"/>
        <w:spacing w:before="0" w:beforeAutospacing="0" w:after="0" w:afterAutospacing="0"/>
        <w:ind w:left="630" w:hanging="630"/>
        <w:jc w:val="left"/>
      </w:pPr>
      <w:r>
        <w:t xml:space="preserve">Iyengar, S.S. and M.R. Lepper. 2000. When Choice is Demotivating: Can One Desire Too Much of a Good Thing? </w:t>
      </w:r>
      <w:r>
        <w:rPr>
          <w:i/>
        </w:rPr>
        <w:t>Journal of Personality and Social Psychology</w:t>
      </w:r>
      <w:r>
        <w:t xml:space="preserve"> 79(6): 995-1006.</w:t>
      </w:r>
    </w:p>
    <w:p w14:paraId="08CEA385" w14:textId="77777777" w:rsidR="00407106" w:rsidRDefault="00407106" w:rsidP="00407106">
      <w:pPr>
        <w:pStyle w:val="NormalWeb"/>
        <w:spacing w:before="0" w:beforeAutospacing="0" w:after="0" w:afterAutospacing="0"/>
        <w:ind w:left="630" w:hanging="630"/>
        <w:jc w:val="left"/>
        <w:rPr>
          <w:highlight w:val="yellow"/>
        </w:rPr>
      </w:pPr>
    </w:p>
    <w:p w14:paraId="7A63EB99" w14:textId="77777777" w:rsidR="00407106" w:rsidRDefault="00407106" w:rsidP="00407106">
      <w:pPr>
        <w:pStyle w:val="NormalWeb"/>
        <w:spacing w:before="0" w:beforeAutospacing="0" w:after="0" w:afterAutospacing="0"/>
        <w:ind w:left="630" w:hanging="630"/>
        <w:jc w:val="left"/>
      </w:pPr>
      <w:r>
        <w:t xml:space="preserve">Kadan, O., L. Madureira, R. Wang, and T. Zach. 2012. Analysts' industry expertise. </w:t>
      </w:r>
      <w:r>
        <w:rPr>
          <w:i/>
        </w:rPr>
        <w:t>Journal of Accounting and Economics</w:t>
      </w:r>
      <w:r>
        <w:t xml:space="preserve"> 54(2-3): 95-120.</w:t>
      </w:r>
    </w:p>
    <w:p w14:paraId="665234F5" w14:textId="77777777" w:rsidR="00407106" w:rsidRDefault="00407106" w:rsidP="00407106">
      <w:pPr>
        <w:pStyle w:val="NormalWeb"/>
        <w:spacing w:before="0" w:beforeAutospacing="0" w:after="0" w:afterAutospacing="0"/>
        <w:ind w:left="630" w:hanging="630"/>
        <w:jc w:val="left"/>
        <w:rPr>
          <w:highlight w:val="yellow"/>
        </w:rPr>
      </w:pPr>
    </w:p>
    <w:p w14:paraId="7AC675E3" w14:textId="77777777" w:rsidR="00407106" w:rsidRDefault="00407106" w:rsidP="00407106">
      <w:pPr>
        <w:pStyle w:val="NormalWeb"/>
        <w:spacing w:before="0" w:beforeAutospacing="0" w:after="0" w:afterAutospacing="0"/>
        <w:ind w:left="630" w:hanging="630"/>
        <w:jc w:val="left"/>
      </w:pPr>
      <w:bookmarkStart w:id="17" w:name="_Hlk508190581"/>
      <w:r>
        <w:t xml:space="preserve">Kang, Q., X. Li, and T. Su. 2017. </w:t>
      </w:r>
      <w:r>
        <w:rPr>
          <w:i/>
        </w:rPr>
        <w:t xml:space="preserve">Sell-Side Financial Analysts and the CFA Designation Program. </w:t>
      </w:r>
      <w:r>
        <w:t>Unpublished paper, Florida International University, Hong Kong University of Science and Technology, and University of Miami. Available at: https://papers.ssrn.com/sol3/papers.cfm?abstract_id=2137312.</w:t>
      </w:r>
    </w:p>
    <w:p w14:paraId="2AA59255" w14:textId="77777777" w:rsidR="00407106" w:rsidRDefault="00407106" w:rsidP="00407106">
      <w:pPr>
        <w:pStyle w:val="NormalWeb"/>
        <w:spacing w:before="0" w:beforeAutospacing="0" w:after="0" w:afterAutospacing="0"/>
        <w:ind w:left="630" w:hanging="630"/>
        <w:jc w:val="left"/>
      </w:pPr>
    </w:p>
    <w:bookmarkEnd w:id="17"/>
    <w:p w14:paraId="2CEB8CF0" w14:textId="77777777" w:rsidR="00407106" w:rsidRDefault="00407106" w:rsidP="00407106">
      <w:pPr>
        <w:pStyle w:val="NormalWeb"/>
        <w:spacing w:before="0" w:beforeAutospacing="0" w:after="0" w:afterAutospacing="0"/>
        <w:ind w:left="630" w:hanging="630"/>
        <w:jc w:val="left"/>
      </w:pPr>
      <w:r>
        <w:t xml:space="preserve">Lang, M.H. and R.J. Lundholm. 1996. Corporate Disclosure Policy and Analyst Behavior. </w:t>
      </w:r>
      <w:r>
        <w:rPr>
          <w:i/>
        </w:rPr>
        <w:t>The Accounting Review</w:t>
      </w:r>
      <w:r>
        <w:t xml:space="preserve"> 71(4): 467-492.</w:t>
      </w:r>
    </w:p>
    <w:p w14:paraId="638AA6A8" w14:textId="77777777" w:rsidR="00407106" w:rsidRDefault="00407106" w:rsidP="00407106">
      <w:pPr>
        <w:pStyle w:val="NormalWeb"/>
        <w:spacing w:before="0" w:beforeAutospacing="0" w:after="0" w:afterAutospacing="0"/>
        <w:ind w:left="630" w:hanging="630"/>
        <w:jc w:val="left"/>
        <w:rPr>
          <w:highlight w:val="yellow"/>
        </w:rPr>
      </w:pPr>
    </w:p>
    <w:p w14:paraId="59286235" w14:textId="77777777" w:rsidR="00407106" w:rsidRDefault="00407106" w:rsidP="00407106">
      <w:pPr>
        <w:pStyle w:val="NormalWeb"/>
        <w:spacing w:before="0" w:beforeAutospacing="0" w:after="0" w:afterAutospacing="0"/>
        <w:ind w:left="630" w:hanging="630"/>
        <w:jc w:val="left"/>
      </w:pPr>
      <w:r>
        <w:lastRenderedPageBreak/>
        <w:t xml:space="preserve">Lehavy, R., F. Li, and K. Merkley. 2011. The effect of annual report readability on analyst following and the properties of their earnings forecasts. </w:t>
      </w:r>
      <w:r>
        <w:rPr>
          <w:i/>
          <w:iCs/>
        </w:rPr>
        <w:t>The Accounting Review</w:t>
      </w:r>
      <w:r>
        <w:t xml:space="preserve"> 86(3): 1087–1115. </w:t>
      </w:r>
    </w:p>
    <w:p w14:paraId="7D4C69A9" w14:textId="77777777" w:rsidR="00407106" w:rsidRDefault="00407106" w:rsidP="00407106">
      <w:pPr>
        <w:pStyle w:val="NormalWeb"/>
        <w:spacing w:before="0" w:beforeAutospacing="0" w:after="0" w:afterAutospacing="0"/>
        <w:ind w:left="630" w:hanging="630"/>
        <w:jc w:val="left"/>
        <w:rPr>
          <w:highlight w:val="yellow"/>
        </w:rPr>
      </w:pPr>
    </w:p>
    <w:p w14:paraId="777E7380" w14:textId="77777777" w:rsidR="00407106" w:rsidRDefault="00407106" w:rsidP="00407106">
      <w:pPr>
        <w:pStyle w:val="NormalWeb"/>
        <w:spacing w:before="0" w:beforeAutospacing="0" w:after="0" w:afterAutospacing="0"/>
        <w:ind w:left="630" w:hanging="630"/>
        <w:jc w:val="left"/>
      </w:pPr>
      <w:r>
        <w:t xml:space="preserve">Li, F. 2008. Annual report readability, current earnings, and earnings persistence. </w:t>
      </w:r>
      <w:r>
        <w:rPr>
          <w:i/>
          <w:iCs/>
        </w:rPr>
        <w:t>Journal of Accounting and Economics</w:t>
      </w:r>
      <w:r>
        <w:t xml:space="preserve"> 45(2-3): 221–247. </w:t>
      </w:r>
    </w:p>
    <w:p w14:paraId="4921E01F" w14:textId="77777777" w:rsidR="00407106" w:rsidRDefault="00407106" w:rsidP="00407106">
      <w:pPr>
        <w:pStyle w:val="NormalWeb"/>
        <w:spacing w:before="0" w:beforeAutospacing="0" w:after="0" w:afterAutospacing="0"/>
        <w:ind w:left="630" w:hanging="630"/>
        <w:jc w:val="left"/>
      </w:pPr>
    </w:p>
    <w:p w14:paraId="339FF162" w14:textId="77777777" w:rsidR="00407106" w:rsidRDefault="00407106" w:rsidP="00407106">
      <w:pPr>
        <w:pStyle w:val="NormalWeb"/>
        <w:spacing w:before="0" w:beforeAutospacing="0" w:after="0" w:afterAutospacing="0"/>
        <w:ind w:left="630" w:hanging="630"/>
        <w:jc w:val="left"/>
      </w:pPr>
      <w:r>
        <w:t xml:space="preserve">Linsmeier, T.J., D.B. Thornton, M. Venkatachalam, and M. Welker. 2002. The Effect of Mandated Market Risk Disclosures on Trading Volume Sensitivity to Interest Rate, Exchange Rate, and Commodity Price Movements. </w:t>
      </w:r>
      <w:r>
        <w:rPr>
          <w:i/>
        </w:rPr>
        <w:t xml:space="preserve">The Accounting Review </w:t>
      </w:r>
      <w:r>
        <w:t>77(2): 343-377.</w:t>
      </w:r>
    </w:p>
    <w:p w14:paraId="19FC1A90" w14:textId="77777777" w:rsidR="00407106" w:rsidRDefault="00407106" w:rsidP="00407106">
      <w:pPr>
        <w:pStyle w:val="NormalWeb"/>
        <w:spacing w:before="0" w:beforeAutospacing="0" w:after="0" w:afterAutospacing="0"/>
        <w:ind w:left="630" w:hanging="630"/>
        <w:jc w:val="left"/>
      </w:pPr>
    </w:p>
    <w:p w14:paraId="7793D79B" w14:textId="77777777" w:rsidR="00407106" w:rsidRDefault="00407106" w:rsidP="00407106">
      <w:pPr>
        <w:pStyle w:val="NormalWeb"/>
        <w:spacing w:before="0" w:beforeAutospacing="0" w:after="0" w:afterAutospacing="0"/>
        <w:ind w:left="630" w:hanging="630"/>
        <w:jc w:val="left"/>
      </w:pPr>
      <w:r>
        <w:t xml:space="preserve">Loughran, T. and B. McDonald. 2014. Measuring Readability in Financial Disclosures. </w:t>
      </w:r>
      <w:r>
        <w:rPr>
          <w:i/>
        </w:rPr>
        <w:t>The Journal of Finance</w:t>
      </w:r>
      <w:r>
        <w:t xml:space="preserve"> 69(4): 1643-1671.</w:t>
      </w:r>
    </w:p>
    <w:p w14:paraId="7DC35894" w14:textId="77777777" w:rsidR="00407106" w:rsidRDefault="00407106" w:rsidP="00407106">
      <w:pPr>
        <w:pStyle w:val="NormalWeb"/>
        <w:spacing w:before="0" w:beforeAutospacing="0" w:after="0" w:afterAutospacing="0"/>
        <w:ind w:left="630" w:hanging="630"/>
        <w:jc w:val="left"/>
      </w:pPr>
    </w:p>
    <w:p w14:paraId="4A2A2EF6" w14:textId="77777777" w:rsidR="00407106" w:rsidRDefault="00407106" w:rsidP="00407106">
      <w:pPr>
        <w:pStyle w:val="NormalWeb"/>
        <w:spacing w:before="0" w:beforeAutospacing="0" w:after="0" w:afterAutospacing="0"/>
        <w:ind w:left="630" w:hanging="630"/>
        <w:jc w:val="left"/>
        <w:rPr>
          <w:i/>
        </w:rPr>
      </w:pPr>
      <w:r>
        <w:t xml:space="preserve">Ma, G., S. Markov, and J.S. Wu. 2016. Global expertise of Financial Analysts. </w:t>
      </w:r>
      <w:r>
        <w:rPr>
          <w:i/>
        </w:rPr>
        <w:t>Working paper National University of Singapore, Southern Methodist University and University of Rochester</w:t>
      </w:r>
      <w:r>
        <w:t>.</w:t>
      </w:r>
      <w:r>
        <w:rPr>
          <w:i/>
        </w:rPr>
        <w:t xml:space="preserve"> </w:t>
      </w:r>
    </w:p>
    <w:p w14:paraId="4F585D52" w14:textId="77777777" w:rsidR="00407106" w:rsidRDefault="00407106" w:rsidP="00407106">
      <w:pPr>
        <w:pStyle w:val="NormalWeb"/>
        <w:spacing w:before="0" w:beforeAutospacing="0" w:after="0" w:afterAutospacing="0"/>
        <w:ind w:left="630" w:hanging="630"/>
        <w:jc w:val="left"/>
        <w:rPr>
          <w:highlight w:val="yellow"/>
        </w:rPr>
      </w:pPr>
    </w:p>
    <w:p w14:paraId="0C00F759" w14:textId="77777777" w:rsidR="00407106" w:rsidRDefault="00407106" w:rsidP="00407106">
      <w:pPr>
        <w:pStyle w:val="NormalWeb"/>
        <w:spacing w:before="0" w:beforeAutospacing="0" w:after="0" w:afterAutospacing="0"/>
        <w:ind w:left="630" w:hanging="630"/>
        <w:jc w:val="left"/>
        <w:rPr>
          <w:iCs/>
        </w:rPr>
      </w:pPr>
      <w:r>
        <w:rPr>
          <w:iCs/>
        </w:rPr>
        <w:t xml:space="preserve">Magnan, M., A. Menini, and A. Parbonetti. 2015. Fair value accounting: information or confusion for financial markets? </w:t>
      </w:r>
      <w:r>
        <w:rPr>
          <w:i/>
          <w:iCs/>
        </w:rPr>
        <w:t>Review of Accounting Studies</w:t>
      </w:r>
      <w:r>
        <w:rPr>
          <w:iCs/>
        </w:rPr>
        <w:t>, 20(1): 559-591.</w:t>
      </w:r>
    </w:p>
    <w:p w14:paraId="1C1DBBAB" w14:textId="77777777" w:rsidR="00407106" w:rsidRDefault="00407106" w:rsidP="00407106">
      <w:pPr>
        <w:pStyle w:val="NormalWeb"/>
        <w:spacing w:before="0" w:beforeAutospacing="0" w:after="0" w:afterAutospacing="0"/>
        <w:ind w:left="630" w:hanging="630"/>
        <w:jc w:val="left"/>
        <w:rPr>
          <w:iCs/>
          <w:highlight w:val="yellow"/>
        </w:rPr>
      </w:pPr>
    </w:p>
    <w:p w14:paraId="3BB55AA6" w14:textId="77777777" w:rsidR="00407106" w:rsidRDefault="00407106" w:rsidP="00407106">
      <w:pPr>
        <w:pStyle w:val="NormalWeb"/>
        <w:spacing w:before="0" w:beforeAutospacing="0" w:after="0" w:afterAutospacing="0"/>
        <w:ind w:left="630" w:hanging="630"/>
        <w:jc w:val="left"/>
      </w:pPr>
      <w:r>
        <w:t xml:space="preserve">Mikhail M.B., B.R. Walther, and R.H. Willis. 1997. Do Security Analysts Improve Their Performance with Experience? </w:t>
      </w:r>
      <w:r>
        <w:rPr>
          <w:i/>
        </w:rPr>
        <w:t>Journal of Accounting Research</w:t>
      </w:r>
      <w:r>
        <w:t xml:space="preserve"> 35: 131-157.</w:t>
      </w:r>
    </w:p>
    <w:p w14:paraId="37636FBE" w14:textId="77777777" w:rsidR="00407106" w:rsidRDefault="00407106" w:rsidP="00407106">
      <w:pPr>
        <w:pStyle w:val="NormalWeb"/>
        <w:spacing w:before="0" w:beforeAutospacing="0" w:after="0" w:afterAutospacing="0"/>
        <w:ind w:left="630" w:hanging="630"/>
        <w:jc w:val="left"/>
        <w:rPr>
          <w:highlight w:val="yellow"/>
        </w:rPr>
      </w:pPr>
    </w:p>
    <w:p w14:paraId="7CC292E7" w14:textId="77777777" w:rsidR="00407106" w:rsidRDefault="00407106" w:rsidP="00407106">
      <w:pPr>
        <w:pStyle w:val="NormalWeb"/>
        <w:spacing w:before="0" w:beforeAutospacing="0" w:after="0" w:afterAutospacing="0"/>
        <w:ind w:left="630" w:hanging="630"/>
        <w:jc w:val="left"/>
        <w:rPr>
          <w:i/>
        </w:rPr>
      </w:pPr>
      <w:r>
        <w:t xml:space="preserve">Mikhail M.B., B.R. Walther, and R.H. Willis. 1999. Does forecast accuracy matter to security analysts? </w:t>
      </w:r>
      <w:r>
        <w:rPr>
          <w:i/>
        </w:rPr>
        <w:t xml:space="preserve">The Accounting Review </w:t>
      </w:r>
      <w:r>
        <w:t>74(2)</w:t>
      </w:r>
      <w:r>
        <w:rPr>
          <w:i/>
        </w:rPr>
        <w:t>: 185.</w:t>
      </w:r>
    </w:p>
    <w:p w14:paraId="4F8AA1AD" w14:textId="77777777" w:rsidR="00407106" w:rsidRDefault="00407106" w:rsidP="00407106">
      <w:pPr>
        <w:pStyle w:val="NormalWeb"/>
        <w:spacing w:before="0" w:beforeAutospacing="0" w:after="0" w:afterAutospacing="0"/>
        <w:ind w:left="630" w:hanging="630"/>
        <w:jc w:val="left"/>
        <w:rPr>
          <w:i/>
          <w:highlight w:val="yellow"/>
        </w:rPr>
      </w:pPr>
    </w:p>
    <w:p w14:paraId="14694A22" w14:textId="77777777" w:rsidR="00407106" w:rsidRDefault="00407106" w:rsidP="00407106">
      <w:pPr>
        <w:pStyle w:val="NormalWeb"/>
        <w:spacing w:before="0" w:beforeAutospacing="0" w:after="0" w:afterAutospacing="0"/>
        <w:ind w:left="630" w:hanging="630"/>
        <w:jc w:val="left"/>
      </w:pPr>
      <w:r>
        <w:t xml:space="preserve">O'Brien P.C. and R. Bhushan. 1990. Analyst following and institutional ownership. </w:t>
      </w:r>
      <w:r>
        <w:rPr>
          <w:i/>
        </w:rPr>
        <w:t>Journal of Accounting Research</w:t>
      </w:r>
      <w:r>
        <w:t xml:space="preserve"> 28: 55-76.</w:t>
      </w:r>
    </w:p>
    <w:p w14:paraId="264DBD7D" w14:textId="77777777" w:rsidR="00407106" w:rsidRDefault="00407106" w:rsidP="00407106">
      <w:pPr>
        <w:pStyle w:val="NormalWeb"/>
        <w:spacing w:before="0" w:beforeAutospacing="0" w:after="0" w:afterAutospacing="0"/>
        <w:ind w:left="630" w:hanging="630"/>
        <w:jc w:val="left"/>
        <w:rPr>
          <w:highlight w:val="yellow"/>
        </w:rPr>
      </w:pPr>
    </w:p>
    <w:p w14:paraId="0F6B34A9" w14:textId="77777777" w:rsidR="00407106" w:rsidRDefault="00407106" w:rsidP="00407106">
      <w:pPr>
        <w:spacing w:after="0" w:line="240" w:lineRule="auto"/>
        <w:ind w:left="630" w:hanging="630"/>
        <w:jc w:val="left"/>
      </w:pPr>
      <w:r>
        <w:t xml:space="preserve">Payne, J.W., J.R. Bettman, and E.J. Johnson. 1988. Adaptive strategy selection in decision making. </w:t>
      </w:r>
      <w:r>
        <w:rPr>
          <w:i/>
        </w:rPr>
        <w:t>Journal of Experimental Psychology:</w:t>
      </w:r>
      <w:r>
        <w:t xml:space="preserve"> </w:t>
      </w:r>
      <w:r>
        <w:rPr>
          <w:i/>
        </w:rPr>
        <w:t>Learning, Memory, and Cognition</w:t>
      </w:r>
      <w:r>
        <w:t xml:space="preserve"> 14(3): 534-552.</w:t>
      </w:r>
    </w:p>
    <w:p w14:paraId="1ECFFF7A" w14:textId="77777777" w:rsidR="00407106" w:rsidRDefault="00407106" w:rsidP="00407106">
      <w:pPr>
        <w:spacing w:after="0" w:line="240" w:lineRule="auto"/>
        <w:ind w:left="630" w:hanging="630"/>
        <w:jc w:val="left"/>
        <w:rPr>
          <w:highlight w:val="yellow"/>
        </w:rPr>
      </w:pPr>
    </w:p>
    <w:p w14:paraId="2C88BB1F" w14:textId="77777777" w:rsidR="00407106" w:rsidRDefault="00407106" w:rsidP="00407106">
      <w:pPr>
        <w:spacing w:after="0" w:line="240" w:lineRule="auto"/>
        <w:ind w:left="630" w:hanging="630"/>
        <w:jc w:val="left"/>
      </w:pPr>
      <w:r>
        <w:t xml:space="preserve">Picconi, M. 2006. The perils of pensions: Does pension accounting lead investors and analysts astray? </w:t>
      </w:r>
      <w:r>
        <w:rPr>
          <w:i/>
        </w:rPr>
        <w:t>The Accounting Review</w:t>
      </w:r>
      <w:r>
        <w:t xml:space="preserve"> 81(4): 925-955.</w:t>
      </w:r>
    </w:p>
    <w:p w14:paraId="147F58E6" w14:textId="77777777" w:rsidR="00407106" w:rsidRDefault="00407106" w:rsidP="00407106">
      <w:pPr>
        <w:spacing w:after="0" w:line="240" w:lineRule="auto"/>
        <w:ind w:left="630" w:hanging="630"/>
        <w:jc w:val="left"/>
      </w:pPr>
    </w:p>
    <w:p w14:paraId="748231B7" w14:textId="77777777" w:rsidR="00407106" w:rsidRDefault="00407106" w:rsidP="00407106">
      <w:pPr>
        <w:spacing w:after="0" w:line="240" w:lineRule="auto"/>
        <w:ind w:left="630" w:hanging="630"/>
        <w:jc w:val="left"/>
      </w:pPr>
      <w:r>
        <w:t xml:space="preserve">Piotroski, J.D. and D.T. Roulstone. 2004. The influence of analysts, institutional investors, and insiders on the incorporation of market, industry, and firm-specific information into stock prices. </w:t>
      </w:r>
      <w:r>
        <w:rPr>
          <w:i/>
        </w:rPr>
        <w:t>The Accounting Review</w:t>
      </w:r>
      <w:r>
        <w:t xml:space="preserve"> 79(4): 1119-1151.</w:t>
      </w:r>
    </w:p>
    <w:p w14:paraId="41BA223B" w14:textId="77777777" w:rsidR="00407106" w:rsidRDefault="00407106" w:rsidP="00407106">
      <w:pPr>
        <w:spacing w:after="0" w:line="240" w:lineRule="auto"/>
        <w:ind w:left="630" w:hanging="630"/>
        <w:jc w:val="left"/>
      </w:pPr>
    </w:p>
    <w:p w14:paraId="1CC008E1" w14:textId="77777777" w:rsidR="00407106" w:rsidRDefault="00407106" w:rsidP="00407106">
      <w:pPr>
        <w:spacing w:after="0" w:line="240" w:lineRule="auto"/>
        <w:ind w:left="630" w:hanging="630"/>
        <w:jc w:val="left"/>
        <w:rPr>
          <w:highlight w:val="yellow"/>
        </w:rPr>
      </w:pPr>
    </w:p>
    <w:p w14:paraId="0E21523E" w14:textId="77777777" w:rsidR="00407106" w:rsidRDefault="00407106" w:rsidP="00407106">
      <w:pPr>
        <w:spacing w:after="0" w:line="240" w:lineRule="auto"/>
        <w:ind w:left="630" w:hanging="630"/>
        <w:jc w:val="left"/>
      </w:pPr>
      <w:r>
        <w:t xml:space="preserve">Ramnath, S., S. Rock, and P. Shane. 2008. The financial analyst forecasting literature: A taxonomy with suggestions for further research. </w:t>
      </w:r>
      <w:r>
        <w:rPr>
          <w:i/>
        </w:rPr>
        <w:t>International Journal of Forecasting</w:t>
      </w:r>
      <w:r>
        <w:t xml:space="preserve"> 24(1): 34-75.</w:t>
      </w:r>
    </w:p>
    <w:p w14:paraId="2F5CD856" w14:textId="77777777" w:rsidR="00407106" w:rsidRDefault="00407106" w:rsidP="00407106">
      <w:pPr>
        <w:spacing w:after="0" w:line="240" w:lineRule="auto"/>
        <w:ind w:left="630" w:hanging="630"/>
        <w:jc w:val="left"/>
      </w:pPr>
    </w:p>
    <w:p w14:paraId="17E41D7B" w14:textId="77777777" w:rsidR="00407106" w:rsidRDefault="00407106" w:rsidP="00407106">
      <w:pPr>
        <w:spacing w:after="0" w:line="240" w:lineRule="auto"/>
        <w:ind w:left="630" w:hanging="630"/>
        <w:jc w:val="left"/>
      </w:pPr>
      <w:r>
        <w:t xml:space="preserve">Riedl, E.J. and S. Srinivasan. 2010. Signaling Firm Performance Through Financial Statement Presentation: An Analysis Using Special Items. </w:t>
      </w:r>
      <w:r>
        <w:rPr>
          <w:i/>
        </w:rPr>
        <w:t>Contemporary Accounting Research</w:t>
      </w:r>
      <w:r>
        <w:t xml:space="preserve"> 27(1): 289-332.</w:t>
      </w:r>
    </w:p>
    <w:p w14:paraId="254BC10A" w14:textId="77777777" w:rsidR="00407106" w:rsidRDefault="00407106" w:rsidP="00407106">
      <w:pPr>
        <w:spacing w:after="0" w:line="240" w:lineRule="auto"/>
        <w:ind w:left="630" w:hanging="630"/>
        <w:jc w:val="left"/>
        <w:rPr>
          <w:highlight w:val="yellow"/>
        </w:rPr>
      </w:pPr>
    </w:p>
    <w:p w14:paraId="66396FCD" w14:textId="77777777" w:rsidR="00407106" w:rsidRDefault="00407106" w:rsidP="00407106">
      <w:pPr>
        <w:spacing w:after="0" w:line="240" w:lineRule="auto"/>
        <w:ind w:left="630" w:hanging="630"/>
        <w:jc w:val="left"/>
      </w:pPr>
      <w:r>
        <w:t xml:space="preserve">Securities and Exchange Commission (SEC). 2006. </w:t>
      </w:r>
      <w:r>
        <w:rPr>
          <w:i/>
        </w:rPr>
        <w:t>Speech by SEC Commissioner: “Complexity in Financial Reporting and Disclosure Regulation" Remarks before the 25th Annual USC Leventhal School of Accounting SEC and Financial Reporting Institute Conference</w:t>
      </w:r>
      <w:r>
        <w:t>. Available at: https://www.sec.gov/news/speech/2006/spch060806cag.htm.</w:t>
      </w:r>
    </w:p>
    <w:p w14:paraId="4482FD24" w14:textId="77777777" w:rsidR="00407106" w:rsidRDefault="00407106" w:rsidP="00407106">
      <w:pPr>
        <w:spacing w:after="0" w:line="240" w:lineRule="auto"/>
        <w:ind w:left="630" w:hanging="630"/>
        <w:jc w:val="left"/>
      </w:pPr>
    </w:p>
    <w:p w14:paraId="7036169B" w14:textId="77777777" w:rsidR="00407106" w:rsidRDefault="00407106" w:rsidP="00407106">
      <w:pPr>
        <w:spacing w:after="0" w:line="240" w:lineRule="auto"/>
        <w:ind w:left="630" w:hanging="630"/>
        <w:jc w:val="left"/>
      </w:pPr>
      <w:r>
        <w:t xml:space="preserve">Securities and Exchange Commission (SEC). 2008. </w:t>
      </w:r>
      <w:r>
        <w:rPr>
          <w:i/>
        </w:rPr>
        <w:t>Final Report of the advisory committee on improvements to financial reporting to the United States securities and exchange commissions</w:t>
      </w:r>
      <w:r>
        <w:t xml:space="preserve">. Available at: </w:t>
      </w:r>
      <w:hyperlink r:id="rId12" w:history="1">
        <w:r>
          <w:rPr>
            <w:rStyle w:val="Hyperlink"/>
            <w:color w:val="auto"/>
            <w:u w:val="none"/>
          </w:rPr>
          <w:t>http://www.sec.gov/about/offices/oca/acifr/acifr-finalreport.pdf</w:t>
        </w:r>
      </w:hyperlink>
      <w:r>
        <w:t>.</w:t>
      </w:r>
    </w:p>
    <w:p w14:paraId="660E31EA" w14:textId="77777777" w:rsidR="00407106" w:rsidRDefault="00407106" w:rsidP="00407106">
      <w:pPr>
        <w:spacing w:after="0" w:line="240" w:lineRule="auto"/>
        <w:ind w:left="630" w:hanging="630"/>
        <w:jc w:val="left"/>
      </w:pPr>
    </w:p>
    <w:p w14:paraId="499DD6B8" w14:textId="77777777" w:rsidR="00407106" w:rsidRDefault="00407106" w:rsidP="00407106">
      <w:pPr>
        <w:spacing w:after="0" w:line="240" w:lineRule="auto"/>
        <w:ind w:left="360" w:hanging="360"/>
      </w:pPr>
      <w:r>
        <w:t xml:space="preserve">Securities and Exchange Commission (SEC). 2009. </w:t>
      </w:r>
      <w:r>
        <w:rPr>
          <w:i/>
        </w:rPr>
        <w:t>Interactive Data to Improve Financial Reporting</w:t>
      </w:r>
      <w:r>
        <w:t>. Securities and Exchange Commission. Available at: http://www.sec.gov/rules/final/2009/33-9002.pdf.</w:t>
      </w:r>
    </w:p>
    <w:p w14:paraId="47431C39" w14:textId="77777777" w:rsidR="00407106" w:rsidRDefault="00407106" w:rsidP="00407106">
      <w:pPr>
        <w:spacing w:after="0" w:line="240" w:lineRule="auto"/>
        <w:ind w:left="630" w:hanging="630"/>
        <w:jc w:val="left"/>
        <w:rPr>
          <w:highlight w:val="yellow"/>
        </w:rPr>
      </w:pPr>
    </w:p>
    <w:p w14:paraId="749E8634" w14:textId="77777777" w:rsidR="00407106" w:rsidRDefault="00407106" w:rsidP="00407106">
      <w:pPr>
        <w:spacing w:after="0" w:line="240" w:lineRule="auto"/>
        <w:ind w:left="630" w:hanging="630"/>
        <w:contextualSpacing/>
        <w:jc w:val="left"/>
      </w:pPr>
      <w:r>
        <w:t xml:space="preserve">Shevlin, T. 1991. The valuation of R&amp;D firms with R&amp;D limited partnerships. </w:t>
      </w:r>
      <w:r>
        <w:rPr>
          <w:i/>
        </w:rPr>
        <w:t>The Accounting Review</w:t>
      </w:r>
      <w:r>
        <w:t xml:space="preserve"> 66(1): 1-21.</w:t>
      </w:r>
    </w:p>
    <w:p w14:paraId="008F6E62" w14:textId="77777777" w:rsidR="00407106" w:rsidRDefault="00407106" w:rsidP="00407106">
      <w:pPr>
        <w:spacing w:after="0" w:line="240" w:lineRule="auto"/>
        <w:ind w:left="630" w:hanging="630"/>
        <w:contextualSpacing/>
        <w:jc w:val="left"/>
        <w:rPr>
          <w:rFonts w:eastAsia="Times New Roman"/>
        </w:rPr>
      </w:pPr>
    </w:p>
    <w:p w14:paraId="198A51E3" w14:textId="77777777" w:rsidR="00407106" w:rsidRDefault="00407106" w:rsidP="00407106">
      <w:pPr>
        <w:spacing w:after="0" w:line="240" w:lineRule="auto"/>
        <w:ind w:left="630" w:hanging="630"/>
        <w:contextualSpacing/>
        <w:jc w:val="left"/>
        <w:rPr>
          <w:rFonts w:eastAsia="Times New Roman"/>
        </w:rPr>
      </w:pPr>
      <w:r>
        <w:rPr>
          <w:rFonts w:eastAsia="Times New Roman"/>
        </w:rPr>
        <w:t xml:space="preserve">Schipper, K. 2007. Required Disclosures in Financial Reports. </w:t>
      </w:r>
      <w:r>
        <w:rPr>
          <w:rFonts w:eastAsia="Times New Roman"/>
          <w:i/>
        </w:rPr>
        <w:t>The Accounting Review</w:t>
      </w:r>
      <w:r>
        <w:rPr>
          <w:rFonts w:eastAsia="Times New Roman"/>
        </w:rPr>
        <w:t xml:space="preserve"> 82(2): 301-326.</w:t>
      </w:r>
    </w:p>
    <w:p w14:paraId="6A74325A" w14:textId="77777777" w:rsidR="00407106" w:rsidRDefault="00407106" w:rsidP="00407106">
      <w:pPr>
        <w:spacing w:after="0" w:line="240" w:lineRule="auto"/>
        <w:ind w:left="630" w:hanging="630"/>
        <w:contextualSpacing/>
        <w:jc w:val="left"/>
        <w:rPr>
          <w:rFonts w:eastAsia="Times New Roman"/>
        </w:rPr>
      </w:pPr>
    </w:p>
    <w:p w14:paraId="06BC9794" w14:textId="77777777" w:rsidR="00407106" w:rsidRDefault="00407106" w:rsidP="00407106">
      <w:pPr>
        <w:spacing w:line="240" w:lineRule="auto"/>
        <w:ind w:left="360" w:hanging="360"/>
        <w:rPr>
          <w:rFonts w:eastAsia="Times New Roman"/>
        </w:rPr>
      </w:pPr>
      <w:r>
        <w:rPr>
          <w:rFonts w:eastAsia="Times New Roman"/>
        </w:rPr>
        <w:t xml:space="preserve">Schroder, H.M., M.J. Driver, and S. Steufert. 1967. </w:t>
      </w:r>
      <w:r>
        <w:rPr>
          <w:rFonts w:eastAsia="Times New Roman"/>
          <w:i/>
        </w:rPr>
        <w:t>Human information processing</w:t>
      </w:r>
      <w:r>
        <w:rPr>
          <w:rFonts w:eastAsia="Times New Roman"/>
        </w:rPr>
        <w:t>. New York: Holt Rinehart &amp; Winston.</w:t>
      </w:r>
    </w:p>
    <w:p w14:paraId="0C0FC1B7" w14:textId="77777777" w:rsidR="00407106" w:rsidRDefault="00407106" w:rsidP="00407106">
      <w:pPr>
        <w:spacing w:line="240" w:lineRule="auto"/>
        <w:ind w:left="360" w:hanging="360"/>
        <w:rPr>
          <w:rFonts w:eastAsia="Times New Roman"/>
        </w:rPr>
      </w:pPr>
      <w:r>
        <w:rPr>
          <w:rFonts w:eastAsia="Times New Roman"/>
        </w:rPr>
        <w:t xml:space="preserve">Shields, M.D. 1983. Effects of Information Supply and Demand on Judgment Accuracy: Evidence from Corporate Managers. </w:t>
      </w:r>
      <w:r>
        <w:rPr>
          <w:rFonts w:eastAsia="Times New Roman"/>
          <w:i/>
        </w:rPr>
        <w:t>The Accounting Review</w:t>
      </w:r>
      <w:r>
        <w:rPr>
          <w:rFonts w:eastAsia="Times New Roman"/>
        </w:rPr>
        <w:t xml:space="preserve"> 58(2): 284-303.</w:t>
      </w:r>
    </w:p>
    <w:p w14:paraId="53873EC1" w14:textId="77777777" w:rsidR="00407106" w:rsidRDefault="00407106" w:rsidP="00407106">
      <w:pPr>
        <w:spacing w:line="240" w:lineRule="auto"/>
        <w:ind w:left="360" w:hanging="360"/>
        <w:rPr>
          <w:rFonts w:eastAsia="Times New Roman"/>
        </w:rPr>
      </w:pPr>
      <w:r>
        <w:rPr>
          <w:rFonts w:eastAsia="Times New Roman"/>
        </w:rPr>
        <w:t>Steinmann, D.O. 1976. The effects of cognitive feedback and task complexity in multiple-cue probability learning. </w:t>
      </w:r>
      <w:r>
        <w:rPr>
          <w:rFonts w:eastAsia="Times New Roman"/>
          <w:i/>
        </w:rPr>
        <w:t>Organizational Behavior and Human Performance</w:t>
      </w:r>
      <w:r>
        <w:rPr>
          <w:rFonts w:eastAsia="Times New Roman"/>
        </w:rPr>
        <w:t> 15(2): 168-179.</w:t>
      </w:r>
    </w:p>
    <w:p w14:paraId="067F5193" w14:textId="77777777" w:rsidR="00407106" w:rsidRDefault="00407106" w:rsidP="00407106">
      <w:pPr>
        <w:spacing w:line="240" w:lineRule="auto"/>
        <w:ind w:left="360" w:hanging="360"/>
        <w:rPr>
          <w:rFonts w:eastAsia="Times New Roman"/>
        </w:rPr>
      </w:pPr>
      <w:r>
        <w:rPr>
          <w:rFonts w:eastAsia="Times New Roman"/>
        </w:rPr>
        <w:t xml:space="preserve">Thaler, R.H. and S. Benartzi. 2004. Save More Tomorrow: Using Behavioral Economics to Increase Employee Saving. </w:t>
      </w:r>
      <w:r>
        <w:rPr>
          <w:rFonts w:eastAsia="Times New Roman"/>
          <w:i/>
        </w:rPr>
        <w:t>Journal of Political Economy</w:t>
      </w:r>
      <w:r>
        <w:rPr>
          <w:rFonts w:eastAsia="Times New Roman"/>
        </w:rPr>
        <w:t xml:space="preserve"> 112(S1): 164-187.</w:t>
      </w:r>
    </w:p>
    <w:p w14:paraId="5D69379D" w14:textId="77777777" w:rsidR="00407106" w:rsidRDefault="00407106" w:rsidP="00407106">
      <w:pPr>
        <w:spacing w:after="0" w:line="240" w:lineRule="auto"/>
        <w:ind w:firstLine="0"/>
        <w:rPr>
          <w:rFonts w:eastAsia="Times New Roman"/>
        </w:rPr>
      </w:pPr>
      <w:r>
        <w:rPr>
          <w:rFonts w:eastAsia="Times New Roman"/>
        </w:rPr>
        <w:t>Wahlen, J.M. 1994. The nature of information in commercial bank loan loss disclosures. The</w:t>
      </w:r>
    </w:p>
    <w:p w14:paraId="28875941" w14:textId="77777777" w:rsidR="00407106" w:rsidRDefault="00407106" w:rsidP="00407106">
      <w:pPr>
        <w:spacing w:after="0" w:line="240" w:lineRule="auto"/>
      </w:pPr>
      <w:r>
        <w:rPr>
          <w:rFonts w:eastAsia="Times New Roman"/>
        </w:rPr>
        <w:t>Accounting Review 69(3): 455-478.</w:t>
      </w:r>
      <w:r>
        <w:br w:type="page"/>
      </w:r>
    </w:p>
    <w:p w14:paraId="6B77D692" w14:textId="77777777" w:rsidR="00407106" w:rsidRDefault="00407106" w:rsidP="00407106">
      <w:pPr>
        <w:spacing w:after="0" w:line="240" w:lineRule="auto"/>
        <w:ind w:firstLine="0"/>
        <w:jc w:val="center"/>
        <w:rPr>
          <w:b/>
        </w:rPr>
      </w:pPr>
      <w:r>
        <w:rPr>
          <w:b/>
        </w:rPr>
        <w:lastRenderedPageBreak/>
        <w:t>TABLE 1</w:t>
      </w:r>
    </w:p>
    <w:p w14:paraId="6F6F9593" w14:textId="77777777" w:rsidR="00407106" w:rsidRDefault="00407106" w:rsidP="00407106">
      <w:pPr>
        <w:spacing w:after="0" w:line="240" w:lineRule="auto"/>
        <w:ind w:firstLine="0"/>
        <w:jc w:val="center"/>
        <w:rPr>
          <w:i/>
        </w:rPr>
      </w:pPr>
      <w:r>
        <w:rPr>
          <w:i/>
        </w:rPr>
        <w:t>Variable definitions</w:t>
      </w:r>
    </w:p>
    <w:p w14:paraId="26CA1008" w14:textId="77777777" w:rsidR="00407106" w:rsidRDefault="00407106" w:rsidP="00407106">
      <w:pPr>
        <w:spacing w:after="0" w:line="240" w:lineRule="auto"/>
        <w:ind w:firstLine="0"/>
        <w:rPr>
          <w:sz w:val="22"/>
          <w:szCs w:val="22"/>
        </w:rPr>
      </w:pPr>
      <w:r>
        <w:rPr>
          <w:sz w:val="22"/>
          <w:szCs w:val="22"/>
        </w:rPr>
        <w:t>This table lists all the variables (in italics) used in the analyses and provides detailed descriptions on how we computed each variable. The table consists of three sections: dependent variables, variables of interest, and control variables. The data source(s) for each variable is reported in parentheses at the end of each definition.</w:t>
      </w:r>
    </w:p>
    <w:tbl>
      <w:tblPr>
        <w:tblStyle w:val="TableGrid"/>
        <w:tblW w:w="95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7"/>
        <w:gridCol w:w="7363"/>
      </w:tblGrid>
      <w:tr w:rsidR="00407106" w14:paraId="0FCE316B" w14:textId="77777777" w:rsidTr="00407106">
        <w:trPr>
          <w:trHeight w:hRule="exact" w:val="360"/>
        </w:trPr>
        <w:tc>
          <w:tcPr>
            <w:tcW w:w="1908" w:type="dxa"/>
            <w:tcBorders>
              <w:top w:val="single" w:sz="4" w:space="0" w:color="auto"/>
              <w:left w:val="nil"/>
              <w:bottom w:val="single" w:sz="4" w:space="0" w:color="auto"/>
              <w:right w:val="nil"/>
            </w:tcBorders>
            <w:vAlign w:val="center"/>
            <w:hideMark/>
          </w:tcPr>
          <w:p w14:paraId="30D5BE7A" w14:textId="77777777" w:rsidR="00407106" w:rsidRDefault="00407106">
            <w:pPr>
              <w:spacing w:after="0" w:line="240" w:lineRule="auto"/>
              <w:ind w:firstLine="0"/>
              <w:jc w:val="left"/>
              <w:rPr>
                <w:sz w:val="22"/>
                <w:szCs w:val="22"/>
              </w:rPr>
            </w:pPr>
            <w:r>
              <w:rPr>
                <w:sz w:val="22"/>
                <w:szCs w:val="22"/>
              </w:rPr>
              <w:t>Variable Name</w:t>
            </w:r>
          </w:p>
        </w:tc>
        <w:tc>
          <w:tcPr>
            <w:tcW w:w="287" w:type="dxa"/>
            <w:tcBorders>
              <w:top w:val="single" w:sz="4" w:space="0" w:color="auto"/>
              <w:left w:val="nil"/>
              <w:bottom w:val="single" w:sz="4" w:space="0" w:color="auto"/>
              <w:right w:val="nil"/>
            </w:tcBorders>
            <w:vAlign w:val="center"/>
          </w:tcPr>
          <w:p w14:paraId="12F9114F" w14:textId="77777777" w:rsidR="00407106" w:rsidRDefault="00407106">
            <w:pPr>
              <w:spacing w:after="0" w:line="240" w:lineRule="auto"/>
              <w:ind w:firstLine="0"/>
              <w:jc w:val="left"/>
              <w:rPr>
                <w:sz w:val="22"/>
                <w:szCs w:val="22"/>
              </w:rPr>
            </w:pPr>
          </w:p>
        </w:tc>
        <w:tc>
          <w:tcPr>
            <w:tcW w:w="7363" w:type="dxa"/>
            <w:tcBorders>
              <w:top w:val="single" w:sz="4" w:space="0" w:color="auto"/>
              <w:left w:val="nil"/>
              <w:bottom w:val="single" w:sz="4" w:space="0" w:color="auto"/>
              <w:right w:val="nil"/>
            </w:tcBorders>
            <w:vAlign w:val="center"/>
            <w:hideMark/>
          </w:tcPr>
          <w:p w14:paraId="7819C602" w14:textId="77777777" w:rsidR="00407106" w:rsidRDefault="00407106">
            <w:pPr>
              <w:spacing w:after="0" w:line="240" w:lineRule="auto"/>
              <w:ind w:firstLine="0"/>
              <w:jc w:val="left"/>
              <w:rPr>
                <w:sz w:val="22"/>
                <w:szCs w:val="22"/>
              </w:rPr>
            </w:pPr>
            <w:r>
              <w:rPr>
                <w:sz w:val="22"/>
                <w:szCs w:val="22"/>
              </w:rPr>
              <w:t>Description</w:t>
            </w:r>
          </w:p>
        </w:tc>
      </w:tr>
      <w:tr w:rsidR="00407106" w14:paraId="68E5FFA0" w14:textId="77777777" w:rsidTr="00407106">
        <w:tc>
          <w:tcPr>
            <w:tcW w:w="9558" w:type="dxa"/>
            <w:gridSpan w:val="3"/>
            <w:tcBorders>
              <w:top w:val="single" w:sz="4" w:space="0" w:color="auto"/>
              <w:left w:val="nil"/>
              <w:bottom w:val="nil"/>
              <w:right w:val="nil"/>
            </w:tcBorders>
            <w:hideMark/>
          </w:tcPr>
          <w:p w14:paraId="744A7E8E" w14:textId="77777777" w:rsidR="00407106" w:rsidRDefault="00407106">
            <w:pPr>
              <w:spacing w:after="0" w:line="240" w:lineRule="auto"/>
              <w:ind w:firstLine="0"/>
              <w:rPr>
                <w:sz w:val="22"/>
                <w:szCs w:val="22"/>
                <w:u w:val="single"/>
              </w:rPr>
            </w:pPr>
            <w:r>
              <w:rPr>
                <w:sz w:val="22"/>
                <w:szCs w:val="22"/>
                <w:u w:val="single"/>
              </w:rPr>
              <w:t>Dependent variables</w:t>
            </w:r>
          </w:p>
        </w:tc>
      </w:tr>
      <w:tr w:rsidR="00407106" w14:paraId="03CB7648" w14:textId="77777777" w:rsidTr="00407106">
        <w:tc>
          <w:tcPr>
            <w:tcW w:w="1908" w:type="dxa"/>
            <w:hideMark/>
          </w:tcPr>
          <w:p w14:paraId="5A8C88A5" w14:textId="77777777" w:rsidR="00407106" w:rsidRDefault="00407106">
            <w:pPr>
              <w:spacing w:after="0" w:line="240" w:lineRule="auto"/>
              <w:ind w:firstLine="0"/>
              <w:rPr>
                <w:i/>
                <w:sz w:val="22"/>
                <w:szCs w:val="22"/>
              </w:rPr>
            </w:pPr>
            <w:r>
              <w:rPr>
                <w:i/>
                <w:sz w:val="22"/>
                <w:szCs w:val="22"/>
              </w:rPr>
              <w:t>ACCURACY</w:t>
            </w:r>
          </w:p>
        </w:tc>
        <w:tc>
          <w:tcPr>
            <w:tcW w:w="287" w:type="dxa"/>
            <w:hideMark/>
          </w:tcPr>
          <w:p w14:paraId="5C6314E1" w14:textId="77777777" w:rsidR="00407106" w:rsidRDefault="00407106">
            <w:pPr>
              <w:spacing w:after="0" w:line="240" w:lineRule="auto"/>
              <w:ind w:firstLine="0"/>
              <w:rPr>
                <w:sz w:val="22"/>
                <w:szCs w:val="22"/>
              </w:rPr>
            </w:pPr>
            <w:r>
              <w:rPr>
                <w:sz w:val="22"/>
                <w:szCs w:val="22"/>
              </w:rPr>
              <w:t>:</w:t>
            </w:r>
          </w:p>
        </w:tc>
        <w:tc>
          <w:tcPr>
            <w:tcW w:w="7363" w:type="dxa"/>
            <w:hideMark/>
          </w:tcPr>
          <w:p w14:paraId="6024EE01" w14:textId="77777777" w:rsidR="00407106" w:rsidRDefault="00407106">
            <w:pPr>
              <w:spacing w:after="0" w:line="240" w:lineRule="auto"/>
              <w:ind w:firstLine="0"/>
              <w:rPr>
                <w:sz w:val="22"/>
                <w:szCs w:val="22"/>
              </w:rPr>
            </w:pPr>
            <w:r>
              <w:rPr>
                <w:sz w:val="22"/>
                <w:szCs w:val="22"/>
              </w:rPr>
              <w:t xml:space="preserve">Absolute value of reported earnings minus the median earnings forecast for the fiscal year scaled by price and multiplied by -100 (I/B/ES and Compustat). </w:t>
            </w:r>
          </w:p>
        </w:tc>
      </w:tr>
      <w:tr w:rsidR="00407106" w14:paraId="5D1F9285" w14:textId="77777777" w:rsidTr="00407106">
        <w:tc>
          <w:tcPr>
            <w:tcW w:w="1908" w:type="dxa"/>
            <w:hideMark/>
          </w:tcPr>
          <w:p w14:paraId="2F855A6F" w14:textId="77777777" w:rsidR="00407106" w:rsidRDefault="00407106">
            <w:pPr>
              <w:spacing w:after="0" w:line="240" w:lineRule="auto"/>
              <w:ind w:firstLine="0"/>
              <w:rPr>
                <w:i/>
                <w:sz w:val="22"/>
                <w:szCs w:val="22"/>
              </w:rPr>
            </w:pPr>
            <w:r>
              <w:rPr>
                <w:i/>
                <w:sz w:val="22"/>
                <w:szCs w:val="22"/>
              </w:rPr>
              <w:t>FORDISP</w:t>
            </w:r>
          </w:p>
        </w:tc>
        <w:tc>
          <w:tcPr>
            <w:tcW w:w="287" w:type="dxa"/>
            <w:hideMark/>
          </w:tcPr>
          <w:p w14:paraId="29EB2998" w14:textId="77777777" w:rsidR="00407106" w:rsidRDefault="00407106">
            <w:pPr>
              <w:spacing w:after="0" w:line="240" w:lineRule="auto"/>
              <w:ind w:firstLine="0"/>
              <w:rPr>
                <w:sz w:val="22"/>
                <w:szCs w:val="22"/>
              </w:rPr>
            </w:pPr>
            <w:r>
              <w:rPr>
                <w:sz w:val="22"/>
                <w:szCs w:val="22"/>
              </w:rPr>
              <w:t>:</w:t>
            </w:r>
          </w:p>
        </w:tc>
        <w:tc>
          <w:tcPr>
            <w:tcW w:w="7363" w:type="dxa"/>
            <w:hideMark/>
          </w:tcPr>
          <w:p w14:paraId="3DA77AD2" w14:textId="77777777" w:rsidR="00407106" w:rsidRDefault="00407106">
            <w:pPr>
              <w:spacing w:after="0" w:line="240" w:lineRule="auto"/>
              <w:ind w:firstLine="0"/>
              <w:rPr>
                <w:sz w:val="22"/>
                <w:szCs w:val="22"/>
              </w:rPr>
            </w:pPr>
            <w:r>
              <w:rPr>
                <w:sz w:val="22"/>
                <w:szCs w:val="22"/>
              </w:rPr>
              <w:t>The standard deviation of analysts’ annual earnings estimates divided by the end of fiscal year share price and multiplied by 100 (I/B/E/S and Compustat).</w:t>
            </w:r>
          </w:p>
        </w:tc>
      </w:tr>
      <w:tr w:rsidR="00407106" w14:paraId="792CE0EC" w14:textId="77777777" w:rsidTr="00407106">
        <w:tc>
          <w:tcPr>
            <w:tcW w:w="1908" w:type="dxa"/>
            <w:hideMark/>
          </w:tcPr>
          <w:p w14:paraId="1F44D60E" w14:textId="77777777" w:rsidR="00407106" w:rsidRDefault="00407106">
            <w:pPr>
              <w:spacing w:after="0" w:line="240" w:lineRule="auto"/>
              <w:ind w:firstLine="0"/>
              <w:rPr>
                <w:i/>
                <w:sz w:val="22"/>
                <w:szCs w:val="22"/>
              </w:rPr>
            </w:pPr>
            <w:r>
              <w:rPr>
                <w:i/>
                <w:sz w:val="22"/>
                <w:szCs w:val="22"/>
              </w:rPr>
              <w:t>RECVAL</w:t>
            </w:r>
          </w:p>
        </w:tc>
        <w:tc>
          <w:tcPr>
            <w:tcW w:w="287" w:type="dxa"/>
            <w:hideMark/>
          </w:tcPr>
          <w:p w14:paraId="2ED4937B" w14:textId="77777777" w:rsidR="00407106" w:rsidRDefault="00407106">
            <w:pPr>
              <w:spacing w:after="0" w:line="240" w:lineRule="auto"/>
              <w:ind w:firstLine="0"/>
              <w:rPr>
                <w:sz w:val="22"/>
                <w:szCs w:val="22"/>
              </w:rPr>
            </w:pPr>
            <w:r>
              <w:rPr>
                <w:sz w:val="22"/>
                <w:szCs w:val="22"/>
              </w:rPr>
              <w:t>:</w:t>
            </w:r>
          </w:p>
        </w:tc>
        <w:tc>
          <w:tcPr>
            <w:tcW w:w="7363" w:type="dxa"/>
            <w:hideMark/>
          </w:tcPr>
          <w:p w14:paraId="2C2A9899" w14:textId="77777777" w:rsidR="00407106" w:rsidRDefault="00407106">
            <w:pPr>
              <w:spacing w:after="0" w:line="240" w:lineRule="auto"/>
              <w:ind w:firstLine="0"/>
              <w:rPr>
                <w:sz w:val="22"/>
                <w:szCs w:val="22"/>
              </w:rPr>
            </w:pPr>
            <w:r>
              <w:rPr>
                <w:sz w:val="22"/>
                <w:szCs w:val="22"/>
              </w:rPr>
              <w:t>The mean three-day abnormal market reaction associated with recommendation revisions issued during the current fiscal year. We exclude the following: (1) revisions issued within two days after earnings announcements, (2) reiterations (i.e., recommendations that reiterate previous recommendation ratings), and (3) revisions issued on days when analysts issued conflicting recommendation revisions (e.g., one analyst issued an upgrade while another issued a downgrade). Finally, before calculating firm-year level values, we multiply the market reaction for downgrades with minus one to align the returns to downgrades with upgrades (I/B/E/S and CRSP).</w:t>
            </w:r>
          </w:p>
        </w:tc>
      </w:tr>
      <w:tr w:rsidR="00407106" w14:paraId="0E5D7B40" w14:textId="77777777" w:rsidTr="00407106">
        <w:tc>
          <w:tcPr>
            <w:tcW w:w="9558" w:type="dxa"/>
            <w:gridSpan w:val="3"/>
            <w:hideMark/>
          </w:tcPr>
          <w:p w14:paraId="49BDB88B" w14:textId="77777777" w:rsidR="00407106" w:rsidRDefault="00407106">
            <w:pPr>
              <w:spacing w:after="0" w:line="240" w:lineRule="auto"/>
              <w:ind w:firstLine="0"/>
              <w:rPr>
                <w:sz w:val="22"/>
                <w:szCs w:val="22"/>
                <w:u w:val="single"/>
              </w:rPr>
            </w:pPr>
            <w:r>
              <w:rPr>
                <w:sz w:val="22"/>
                <w:szCs w:val="22"/>
                <w:u w:val="single"/>
              </w:rPr>
              <w:t>Variables of interest</w:t>
            </w:r>
          </w:p>
        </w:tc>
      </w:tr>
      <w:tr w:rsidR="00407106" w14:paraId="2C7F124D" w14:textId="77777777" w:rsidTr="00407106">
        <w:tc>
          <w:tcPr>
            <w:tcW w:w="1908" w:type="dxa"/>
            <w:hideMark/>
          </w:tcPr>
          <w:p w14:paraId="334DF60E" w14:textId="77777777" w:rsidR="00407106" w:rsidRDefault="00407106">
            <w:pPr>
              <w:spacing w:after="0" w:line="240" w:lineRule="auto"/>
              <w:ind w:firstLine="0"/>
              <w:rPr>
                <w:i/>
                <w:sz w:val="22"/>
                <w:szCs w:val="22"/>
              </w:rPr>
            </w:pPr>
            <w:r>
              <w:rPr>
                <w:i/>
                <w:sz w:val="22"/>
                <w:szCs w:val="22"/>
              </w:rPr>
              <w:t>ARC</w:t>
            </w:r>
          </w:p>
        </w:tc>
        <w:tc>
          <w:tcPr>
            <w:tcW w:w="287" w:type="dxa"/>
            <w:hideMark/>
          </w:tcPr>
          <w:p w14:paraId="50E54C94" w14:textId="77777777" w:rsidR="00407106" w:rsidRDefault="00407106">
            <w:pPr>
              <w:spacing w:after="0" w:line="240" w:lineRule="auto"/>
              <w:ind w:firstLine="0"/>
              <w:rPr>
                <w:sz w:val="22"/>
                <w:szCs w:val="22"/>
              </w:rPr>
            </w:pPr>
            <w:r>
              <w:rPr>
                <w:sz w:val="22"/>
                <w:szCs w:val="22"/>
              </w:rPr>
              <w:t>:</w:t>
            </w:r>
          </w:p>
        </w:tc>
        <w:tc>
          <w:tcPr>
            <w:tcW w:w="7363" w:type="dxa"/>
            <w:hideMark/>
          </w:tcPr>
          <w:p w14:paraId="07B7AD46" w14:textId="77777777" w:rsidR="00407106" w:rsidRDefault="00407106">
            <w:pPr>
              <w:spacing w:after="0" w:line="240" w:lineRule="auto"/>
              <w:ind w:firstLine="0"/>
              <w:rPr>
                <w:sz w:val="22"/>
                <w:szCs w:val="22"/>
              </w:rPr>
            </w:pPr>
            <w:r>
              <w:rPr>
                <w:sz w:val="22"/>
                <w:szCs w:val="22"/>
              </w:rPr>
              <w:t>The natural logarithm of one plus the total number of monetary tags reported in Item 8 of 10-K filings, which includes the financial statements and notes (SEC filings).</w:t>
            </w:r>
          </w:p>
        </w:tc>
      </w:tr>
      <w:tr w:rsidR="00407106" w14:paraId="6865F66E" w14:textId="77777777" w:rsidTr="00407106">
        <w:tc>
          <w:tcPr>
            <w:tcW w:w="1908" w:type="dxa"/>
            <w:hideMark/>
          </w:tcPr>
          <w:p w14:paraId="21EDCC79" w14:textId="77777777" w:rsidR="00407106" w:rsidRDefault="00407106">
            <w:pPr>
              <w:spacing w:after="0" w:line="240" w:lineRule="auto"/>
              <w:ind w:firstLine="0"/>
              <w:rPr>
                <w:i/>
                <w:sz w:val="22"/>
                <w:szCs w:val="22"/>
              </w:rPr>
            </w:pPr>
            <w:r>
              <w:rPr>
                <w:i/>
                <w:sz w:val="22"/>
                <w:szCs w:val="22"/>
              </w:rPr>
              <w:t>ARC-FS</w:t>
            </w:r>
          </w:p>
        </w:tc>
        <w:tc>
          <w:tcPr>
            <w:tcW w:w="287" w:type="dxa"/>
            <w:hideMark/>
          </w:tcPr>
          <w:p w14:paraId="3AC9EFC9" w14:textId="77777777" w:rsidR="00407106" w:rsidRDefault="00407106">
            <w:pPr>
              <w:spacing w:after="0" w:line="240" w:lineRule="auto"/>
              <w:ind w:firstLine="0"/>
              <w:rPr>
                <w:sz w:val="22"/>
                <w:szCs w:val="22"/>
              </w:rPr>
            </w:pPr>
            <w:r>
              <w:rPr>
                <w:sz w:val="22"/>
                <w:szCs w:val="22"/>
              </w:rPr>
              <w:t>:</w:t>
            </w:r>
          </w:p>
        </w:tc>
        <w:tc>
          <w:tcPr>
            <w:tcW w:w="7363" w:type="dxa"/>
            <w:hideMark/>
          </w:tcPr>
          <w:p w14:paraId="7000C3D7" w14:textId="77777777" w:rsidR="00407106" w:rsidRDefault="00407106">
            <w:pPr>
              <w:spacing w:after="0" w:line="240" w:lineRule="auto"/>
              <w:ind w:firstLine="0"/>
              <w:rPr>
                <w:sz w:val="22"/>
                <w:szCs w:val="22"/>
              </w:rPr>
            </w:pPr>
            <w:r>
              <w:rPr>
                <w:sz w:val="22"/>
                <w:szCs w:val="22"/>
              </w:rPr>
              <w:t>The natural logarithm of one plus the total number of monetary tags reported on the face of the financial statements (SEC filings).</w:t>
            </w:r>
          </w:p>
        </w:tc>
      </w:tr>
      <w:tr w:rsidR="00407106" w14:paraId="4FE498E4" w14:textId="77777777" w:rsidTr="00407106">
        <w:tc>
          <w:tcPr>
            <w:tcW w:w="1908" w:type="dxa"/>
            <w:hideMark/>
          </w:tcPr>
          <w:p w14:paraId="2AABC662" w14:textId="77777777" w:rsidR="00407106" w:rsidRDefault="00407106">
            <w:pPr>
              <w:spacing w:after="0" w:line="240" w:lineRule="auto"/>
              <w:ind w:firstLine="0"/>
              <w:rPr>
                <w:i/>
                <w:sz w:val="22"/>
                <w:szCs w:val="22"/>
              </w:rPr>
            </w:pPr>
            <w:r>
              <w:rPr>
                <w:i/>
                <w:sz w:val="22"/>
                <w:szCs w:val="22"/>
              </w:rPr>
              <w:t>ARC-NOTES</w:t>
            </w:r>
          </w:p>
        </w:tc>
        <w:tc>
          <w:tcPr>
            <w:tcW w:w="287" w:type="dxa"/>
            <w:hideMark/>
          </w:tcPr>
          <w:p w14:paraId="1AE67113" w14:textId="77777777" w:rsidR="00407106" w:rsidRDefault="00407106">
            <w:pPr>
              <w:spacing w:after="0" w:line="240" w:lineRule="auto"/>
              <w:ind w:firstLine="0"/>
              <w:rPr>
                <w:sz w:val="22"/>
                <w:szCs w:val="22"/>
              </w:rPr>
            </w:pPr>
            <w:r>
              <w:rPr>
                <w:sz w:val="22"/>
                <w:szCs w:val="22"/>
              </w:rPr>
              <w:t>:</w:t>
            </w:r>
          </w:p>
        </w:tc>
        <w:tc>
          <w:tcPr>
            <w:tcW w:w="7363" w:type="dxa"/>
            <w:hideMark/>
          </w:tcPr>
          <w:p w14:paraId="158CA6B8" w14:textId="77777777" w:rsidR="00407106" w:rsidRDefault="00407106">
            <w:pPr>
              <w:spacing w:after="0" w:line="240" w:lineRule="auto"/>
              <w:ind w:firstLine="0"/>
              <w:rPr>
                <w:sz w:val="22"/>
                <w:szCs w:val="22"/>
              </w:rPr>
            </w:pPr>
            <w:r>
              <w:rPr>
                <w:sz w:val="22"/>
                <w:szCs w:val="22"/>
              </w:rPr>
              <w:t>The natural logarithm of one plus the total number of monetary tags reported in the footnotes of the financial statements (SEC filings).</w:t>
            </w:r>
          </w:p>
        </w:tc>
      </w:tr>
      <w:tr w:rsidR="00407106" w14:paraId="4931B527" w14:textId="77777777" w:rsidTr="00407106">
        <w:tc>
          <w:tcPr>
            <w:tcW w:w="1908" w:type="dxa"/>
            <w:hideMark/>
          </w:tcPr>
          <w:p w14:paraId="0FCA3793" w14:textId="77777777" w:rsidR="00407106" w:rsidRDefault="00407106">
            <w:pPr>
              <w:spacing w:after="0" w:line="240" w:lineRule="auto"/>
              <w:ind w:firstLine="0"/>
              <w:rPr>
                <w:i/>
                <w:sz w:val="22"/>
                <w:szCs w:val="22"/>
              </w:rPr>
            </w:pPr>
            <w:r>
              <w:rPr>
                <w:i/>
                <w:sz w:val="22"/>
                <w:szCs w:val="22"/>
              </w:rPr>
              <w:t>ARC-FAIR</w:t>
            </w:r>
          </w:p>
        </w:tc>
        <w:tc>
          <w:tcPr>
            <w:tcW w:w="287" w:type="dxa"/>
            <w:hideMark/>
          </w:tcPr>
          <w:p w14:paraId="5BC2C696" w14:textId="77777777" w:rsidR="00407106" w:rsidRDefault="00407106">
            <w:pPr>
              <w:spacing w:after="0" w:line="240" w:lineRule="auto"/>
              <w:ind w:firstLine="0"/>
              <w:rPr>
                <w:sz w:val="22"/>
                <w:szCs w:val="22"/>
              </w:rPr>
            </w:pPr>
            <w:r>
              <w:rPr>
                <w:sz w:val="22"/>
                <w:szCs w:val="22"/>
              </w:rPr>
              <w:t>:</w:t>
            </w:r>
          </w:p>
        </w:tc>
        <w:tc>
          <w:tcPr>
            <w:tcW w:w="7363" w:type="dxa"/>
            <w:hideMark/>
          </w:tcPr>
          <w:p w14:paraId="5A494D92" w14:textId="77777777" w:rsidR="00407106" w:rsidRDefault="00407106">
            <w:pPr>
              <w:spacing w:after="0" w:line="240" w:lineRule="auto"/>
              <w:ind w:firstLine="0"/>
              <w:rPr>
                <w:sz w:val="22"/>
                <w:szCs w:val="22"/>
              </w:rPr>
            </w:pPr>
            <w:r>
              <w:rPr>
                <w:sz w:val="22"/>
                <w:szCs w:val="22"/>
              </w:rPr>
              <w:t>The natural logarithm of one plus the total number of monetary tags related to fair value accounts reported in the financial statements and notes (SEC filings).</w:t>
            </w:r>
          </w:p>
        </w:tc>
      </w:tr>
      <w:tr w:rsidR="00407106" w14:paraId="5695FDBC" w14:textId="77777777" w:rsidTr="00407106">
        <w:tc>
          <w:tcPr>
            <w:tcW w:w="1908" w:type="dxa"/>
            <w:hideMark/>
          </w:tcPr>
          <w:p w14:paraId="12FF6E37" w14:textId="77777777" w:rsidR="00407106" w:rsidRDefault="00407106">
            <w:pPr>
              <w:spacing w:after="0" w:line="240" w:lineRule="auto"/>
              <w:ind w:firstLine="0"/>
              <w:rPr>
                <w:i/>
                <w:sz w:val="22"/>
                <w:szCs w:val="22"/>
              </w:rPr>
            </w:pPr>
            <w:r>
              <w:rPr>
                <w:i/>
                <w:sz w:val="22"/>
                <w:szCs w:val="22"/>
              </w:rPr>
              <w:t>ARC-DERIV</w:t>
            </w:r>
          </w:p>
        </w:tc>
        <w:tc>
          <w:tcPr>
            <w:tcW w:w="287" w:type="dxa"/>
            <w:hideMark/>
          </w:tcPr>
          <w:p w14:paraId="6C33EDAC" w14:textId="77777777" w:rsidR="00407106" w:rsidRDefault="00407106">
            <w:pPr>
              <w:spacing w:after="0" w:line="240" w:lineRule="auto"/>
              <w:ind w:firstLine="0"/>
              <w:rPr>
                <w:sz w:val="22"/>
                <w:szCs w:val="22"/>
              </w:rPr>
            </w:pPr>
            <w:r>
              <w:rPr>
                <w:sz w:val="22"/>
                <w:szCs w:val="22"/>
              </w:rPr>
              <w:t>:</w:t>
            </w:r>
          </w:p>
        </w:tc>
        <w:tc>
          <w:tcPr>
            <w:tcW w:w="7363" w:type="dxa"/>
            <w:hideMark/>
          </w:tcPr>
          <w:p w14:paraId="1F31DA72" w14:textId="77777777" w:rsidR="00407106" w:rsidRDefault="00407106">
            <w:pPr>
              <w:spacing w:after="0" w:line="240" w:lineRule="auto"/>
              <w:ind w:firstLine="0"/>
              <w:rPr>
                <w:sz w:val="22"/>
                <w:szCs w:val="22"/>
              </w:rPr>
            </w:pPr>
            <w:r>
              <w:rPr>
                <w:sz w:val="22"/>
                <w:szCs w:val="22"/>
              </w:rPr>
              <w:t>The natural logarithm of one plus the total number of monetary tags related to derivative accounts reported in the financial statements and notes (SEC filings).</w:t>
            </w:r>
          </w:p>
        </w:tc>
      </w:tr>
      <w:tr w:rsidR="00407106" w14:paraId="5317D6DC" w14:textId="77777777" w:rsidTr="00407106">
        <w:tc>
          <w:tcPr>
            <w:tcW w:w="1908" w:type="dxa"/>
            <w:hideMark/>
          </w:tcPr>
          <w:p w14:paraId="53340996" w14:textId="77777777" w:rsidR="00407106" w:rsidRDefault="00407106">
            <w:pPr>
              <w:spacing w:after="0" w:line="240" w:lineRule="auto"/>
              <w:ind w:firstLine="0"/>
              <w:rPr>
                <w:i/>
                <w:sz w:val="22"/>
                <w:szCs w:val="22"/>
              </w:rPr>
            </w:pPr>
            <w:r>
              <w:rPr>
                <w:i/>
                <w:sz w:val="22"/>
                <w:szCs w:val="22"/>
              </w:rPr>
              <w:t>ARC-PENS</w:t>
            </w:r>
          </w:p>
        </w:tc>
        <w:tc>
          <w:tcPr>
            <w:tcW w:w="287" w:type="dxa"/>
            <w:hideMark/>
          </w:tcPr>
          <w:p w14:paraId="0E6095BD" w14:textId="77777777" w:rsidR="00407106" w:rsidRDefault="00407106">
            <w:pPr>
              <w:spacing w:after="0" w:line="240" w:lineRule="auto"/>
              <w:ind w:firstLine="0"/>
              <w:rPr>
                <w:sz w:val="22"/>
                <w:szCs w:val="22"/>
              </w:rPr>
            </w:pPr>
            <w:r>
              <w:rPr>
                <w:sz w:val="22"/>
                <w:szCs w:val="22"/>
              </w:rPr>
              <w:t>:</w:t>
            </w:r>
          </w:p>
        </w:tc>
        <w:tc>
          <w:tcPr>
            <w:tcW w:w="7363" w:type="dxa"/>
            <w:hideMark/>
          </w:tcPr>
          <w:p w14:paraId="2A5D29C3" w14:textId="77777777" w:rsidR="00407106" w:rsidRDefault="00407106">
            <w:pPr>
              <w:spacing w:after="0" w:line="240" w:lineRule="auto"/>
              <w:ind w:firstLine="0"/>
              <w:rPr>
                <w:sz w:val="22"/>
                <w:szCs w:val="22"/>
              </w:rPr>
            </w:pPr>
            <w:r>
              <w:rPr>
                <w:sz w:val="22"/>
                <w:szCs w:val="22"/>
              </w:rPr>
              <w:t>The natural logarithm of one plus the total number of monetary tags related to pension accounts reported in the financial statements and notes (SEC filings).</w:t>
            </w:r>
          </w:p>
        </w:tc>
      </w:tr>
      <w:tr w:rsidR="00407106" w14:paraId="611C0A21" w14:textId="77777777" w:rsidTr="00407106">
        <w:tc>
          <w:tcPr>
            <w:tcW w:w="1908" w:type="dxa"/>
            <w:hideMark/>
          </w:tcPr>
          <w:p w14:paraId="549A9887" w14:textId="77777777" w:rsidR="00407106" w:rsidRDefault="00407106">
            <w:pPr>
              <w:spacing w:after="0" w:line="240" w:lineRule="auto"/>
              <w:ind w:firstLine="0"/>
              <w:rPr>
                <w:i/>
                <w:sz w:val="22"/>
                <w:szCs w:val="22"/>
              </w:rPr>
            </w:pPr>
            <w:r>
              <w:rPr>
                <w:i/>
                <w:sz w:val="22"/>
                <w:szCs w:val="22"/>
              </w:rPr>
              <w:t>GEXP</w:t>
            </w:r>
          </w:p>
        </w:tc>
        <w:tc>
          <w:tcPr>
            <w:tcW w:w="287" w:type="dxa"/>
            <w:hideMark/>
          </w:tcPr>
          <w:p w14:paraId="49DA4E61" w14:textId="77777777" w:rsidR="00407106" w:rsidRDefault="00407106">
            <w:pPr>
              <w:spacing w:after="0" w:line="240" w:lineRule="auto"/>
              <w:ind w:firstLine="0"/>
              <w:rPr>
                <w:sz w:val="22"/>
                <w:szCs w:val="22"/>
              </w:rPr>
            </w:pPr>
            <w:r>
              <w:rPr>
                <w:sz w:val="22"/>
                <w:szCs w:val="22"/>
              </w:rPr>
              <w:t>:</w:t>
            </w:r>
          </w:p>
        </w:tc>
        <w:tc>
          <w:tcPr>
            <w:tcW w:w="7363" w:type="dxa"/>
            <w:hideMark/>
          </w:tcPr>
          <w:p w14:paraId="56FDC930" w14:textId="77777777" w:rsidR="00407106" w:rsidRDefault="00407106">
            <w:pPr>
              <w:spacing w:after="0" w:line="240" w:lineRule="auto"/>
              <w:ind w:firstLine="0"/>
              <w:rPr>
                <w:sz w:val="22"/>
                <w:szCs w:val="22"/>
              </w:rPr>
            </w:pPr>
            <w:r>
              <w:rPr>
                <w:sz w:val="22"/>
                <w:szCs w:val="22"/>
              </w:rPr>
              <w:t xml:space="preserve">The number of years since the analyst first appeared in the I/B/E/S database. We reset the variable to one when there is a period longer than two years when the analyst did not issue any earnings forecasts (I/B/E/S). </w:t>
            </w:r>
          </w:p>
        </w:tc>
      </w:tr>
      <w:tr w:rsidR="00407106" w14:paraId="67A52D68" w14:textId="77777777" w:rsidTr="00407106">
        <w:tc>
          <w:tcPr>
            <w:tcW w:w="1908" w:type="dxa"/>
            <w:hideMark/>
          </w:tcPr>
          <w:p w14:paraId="0BBD9013" w14:textId="77777777" w:rsidR="00407106" w:rsidRDefault="00407106">
            <w:pPr>
              <w:spacing w:after="0" w:line="240" w:lineRule="auto"/>
              <w:ind w:firstLine="0"/>
              <w:rPr>
                <w:i/>
                <w:sz w:val="22"/>
                <w:szCs w:val="22"/>
              </w:rPr>
            </w:pPr>
            <w:r>
              <w:rPr>
                <w:i/>
                <w:sz w:val="22"/>
                <w:szCs w:val="22"/>
              </w:rPr>
              <w:t>FEXP</w:t>
            </w:r>
          </w:p>
        </w:tc>
        <w:tc>
          <w:tcPr>
            <w:tcW w:w="287" w:type="dxa"/>
            <w:hideMark/>
          </w:tcPr>
          <w:p w14:paraId="024CD497" w14:textId="77777777" w:rsidR="00407106" w:rsidRDefault="00407106">
            <w:pPr>
              <w:spacing w:after="0" w:line="240" w:lineRule="auto"/>
              <w:ind w:firstLine="0"/>
              <w:rPr>
                <w:sz w:val="22"/>
                <w:szCs w:val="22"/>
              </w:rPr>
            </w:pPr>
            <w:r>
              <w:rPr>
                <w:sz w:val="22"/>
                <w:szCs w:val="22"/>
              </w:rPr>
              <w:t>:</w:t>
            </w:r>
          </w:p>
        </w:tc>
        <w:tc>
          <w:tcPr>
            <w:tcW w:w="7363" w:type="dxa"/>
            <w:hideMark/>
          </w:tcPr>
          <w:p w14:paraId="5884545C" w14:textId="77777777" w:rsidR="00407106" w:rsidRDefault="00407106">
            <w:pPr>
              <w:spacing w:after="0" w:line="240" w:lineRule="auto"/>
              <w:ind w:firstLine="0"/>
              <w:rPr>
                <w:sz w:val="22"/>
                <w:szCs w:val="22"/>
              </w:rPr>
            </w:pPr>
            <w:r>
              <w:rPr>
                <w:sz w:val="22"/>
                <w:szCs w:val="22"/>
              </w:rPr>
              <w:t>The number of years since the analyst began issuing forecasts for the company. We reset the variable to one when there is a period longer than two years when the analyst did not issue any earnings forecasts for the company (I/B/E/S).</w:t>
            </w:r>
          </w:p>
        </w:tc>
      </w:tr>
      <w:tr w:rsidR="00407106" w14:paraId="16DE7BE8" w14:textId="77777777" w:rsidTr="00407106">
        <w:tc>
          <w:tcPr>
            <w:tcW w:w="1908" w:type="dxa"/>
            <w:hideMark/>
          </w:tcPr>
          <w:p w14:paraId="46CBD369" w14:textId="77777777" w:rsidR="00407106" w:rsidRDefault="00407106">
            <w:pPr>
              <w:spacing w:after="0" w:line="240" w:lineRule="auto"/>
              <w:ind w:firstLine="0"/>
              <w:rPr>
                <w:i/>
                <w:sz w:val="22"/>
                <w:szCs w:val="22"/>
              </w:rPr>
            </w:pPr>
            <w:r>
              <w:rPr>
                <w:i/>
                <w:sz w:val="22"/>
                <w:szCs w:val="22"/>
              </w:rPr>
              <w:t>INDFOCUS</w:t>
            </w:r>
          </w:p>
        </w:tc>
        <w:tc>
          <w:tcPr>
            <w:tcW w:w="287" w:type="dxa"/>
            <w:hideMark/>
          </w:tcPr>
          <w:p w14:paraId="147A3AD0" w14:textId="77777777" w:rsidR="00407106" w:rsidRDefault="00407106">
            <w:pPr>
              <w:spacing w:after="0" w:line="240" w:lineRule="auto"/>
              <w:ind w:firstLine="0"/>
              <w:rPr>
                <w:sz w:val="22"/>
                <w:szCs w:val="22"/>
              </w:rPr>
            </w:pPr>
            <w:r>
              <w:rPr>
                <w:sz w:val="22"/>
                <w:szCs w:val="22"/>
              </w:rPr>
              <w:t>:</w:t>
            </w:r>
          </w:p>
        </w:tc>
        <w:tc>
          <w:tcPr>
            <w:tcW w:w="7363" w:type="dxa"/>
            <w:hideMark/>
          </w:tcPr>
          <w:p w14:paraId="302F04F8" w14:textId="77777777" w:rsidR="00407106" w:rsidRDefault="00407106">
            <w:pPr>
              <w:spacing w:after="0" w:line="240" w:lineRule="auto"/>
              <w:ind w:firstLine="0"/>
              <w:rPr>
                <w:sz w:val="22"/>
                <w:szCs w:val="22"/>
              </w:rPr>
            </w:pPr>
            <w:r>
              <w:rPr>
                <w:sz w:val="22"/>
                <w:szCs w:val="22"/>
              </w:rPr>
              <w:t xml:space="preserve">One divided by the number of industries represented in the analyst’s portfolio of coverage. We use the industry definitions outlined in the 12-industry scheme in Fama and French (1997) (Compustat). </w:t>
            </w:r>
          </w:p>
        </w:tc>
      </w:tr>
      <w:tr w:rsidR="00407106" w14:paraId="0AE7B81F" w14:textId="77777777" w:rsidTr="00407106">
        <w:tc>
          <w:tcPr>
            <w:tcW w:w="1908" w:type="dxa"/>
            <w:hideMark/>
          </w:tcPr>
          <w:p w14:paraId="704436A4" w14:textId="77777777" w:rsidR="00407106" w:rsidRDefault="00407106">
            <w:pPr>
              <w:spacing w:after="0" w:line="240" w:lineRule="auto"/>
              <w:ind w:firstLine="0"/>
              <w:rPr>
                <w:i/>
                <w:sz w:val="22"/>
                <w:szCs w:val="22"/>
              </w:rPr>
            </w:pPr>
            <w:r>
              <w:rPr>
                <w:i/>
                <w:sz w:val="22"/>
                <w:szCs w:val="22"/>
              </w:rPr>
              <w:t>CFA</w:t>
            </w:r>
          </w:p>
        </w:tc>
        <w:tc>
          <w:tcPr>
            <w:tcW w:w="287" w:type="dxa"/>
            <w:hideMark/>
          </w:tcPr>
          <w:p w14:paraId="03F116BC" w14:textId="77777777" w:rsidR="00407106" w:rsidRDefault="00407106">
            <w:pPr>
              <w:spacing w:after="0" w:line="240" w:lineRule="auto"/>
              <w:ind w:firstLine="0"/>
              <w:rPr>
                <w:sz w:val="22"/>
                <w:szCs w:val="22"/>
              </w:rPr>
            </w:pPr>
            <w:r>
              <w:rPr>
                <w:sz w:val="22"/>
                <w:szCs w:val="22"/>
              </w:rPr>
              <w:t>:</w:t>
            </w:r>
          </w:p>
        </w:tc>
        <w:tc>
          <w:tcPr>
            <w:tcW w:w="7363" w:type="dxa"/>
            <w:hideMark/>
          </w:tcPr>
          <w:p w14:paraId="5301E62A" w14:textId="77777777" w:rsidR="00407106" w:rsidRDefault="00407106">
            <w:pPr>
              <w:spacing w:after="0" w:line="240" w:lineRule="auto"/>
              <w:ind w:firstLine="0"/>
              <w:rPr>
                <w:sz w:val="22"/>
                <w:szCs w:val="22"/>
              </w:rPr>
            </w:pPr>
            <w:r>
              <w:rPr>
                <w:sz w:val="22"/>
                <w:szCs w:val="22"/>
              </w:rPr>
              <w:t>The analyst holds a Chartered Financial Analyst© (CFA) credential (Factset).</w:t>
            </w:r>
          </w:p>
        </w:tc>
      </w:tr>
      <w:tr w:rsidR="00407106" w14:paraId="4444F2E8" w14:textId="77777777" w:rsidTr="00407106">
        <w:tc>
          <w:tcPr>
            <w:tcW w:w="1908" w:type="dxa"/>
            <w:tcBorders>
              <w:top w:val="nil"/>
              <w:left w:val="nil"/>
              <w:bottom w:val="single" w:sz="4" w:space="0" w:color="auto"/>
              <w:right w:val="nil"/>
            </w:tcBorders>
            <w:hideMark/>
          </w:tcPr>
          <w:p w14:paraId="768F2F16" w14:textId="77777777" w:rsidR="00407106" w:rsidRDefault="00407106">
            <w:pPr>
              <w:spacing w:after="0" w:line="240" w:lineRule="auto"/>
              <w:ind w:firstLine="0"/>
              <w:rPr>
                <w:i/>
                <w:sz w:val="22"/>
                <w:szCs w:val="22"/>
              </w:rPr>
            </w:pPr>
            <w:r>
              <w:rPr>
                <w:i/>
                <w:sz w:val="22"/>
                <w:szCs w:val="22"/>
              </w:rPr>
              <w:t>EXPRT-FAIR</w:t>
            </w:r>
          </w:p>
        </w:tc>
        <w:tc>
          <w:tcPr>
            <w:tcW w:w="287" w:type="dxa"/>
            <w:tcBorders>
              <w:top w:val="nil"/>
              <w:left w:val="nil"/>
              <w:bottom w:val="single" w:sz="4" w:space="0" w:color="auto"/>
              <w:right w:val="nil"/>
            </w:tcBorders>
            <w:hideMark/>
          </w:tcPr>
          <w:p w14:paraId="6E0E572D" w14:textId="77777777" w:rsidR="00407106" w:rsidRDefault="00407106">
            <w:pPr>
              <w:spacing w:after="0" w:line="240" w:lineRule="auto"/>
              <w:ind w:firstLine="0"/>
              <w:rPr>
                <w:sz w:val="22"/>
                <w:szCs w:val="22"/>
              </w:rPr>
            </w:pPr>
            <w:r>
              <w:rPr>
                <w:sz w:val="22"/>
                <w:szCs w:val="22"/>
              </w:rPr>
              <w:t>:</w:t>
            </w:r>
          </w:p>
        </w:tc>
        <w:tc>
          <w:tcPr>
            <w:tcW w:w="7363" w:type="dxa"/>
            <w:tcBorders>
              <w:top w:val="nil"/>
              <w:left w:val="nil"/>
              <w:bottom w:val="single" w:sz="4" w:space="0" w:color="auto"/>
              <w:right w:val="nil"/>
            </w:tcBorders>
            <w:hideMark/>
          </w:tcPr>
          <w:p w14:paraId="373340AD" w14:textId="77777777" w:rsidR="00407106" w:rsidRDefault="00407106">
            <w:pPr>
              <w:spacing w:after="0" w:line="240" w:lineRule="auto"/>
              <w:ind w:firstLine="0"/>
              <w:rPr>
                <w:sz w:val="22"/>
                <w:szCs w:val="22"/>
              </w:rPr>
            </w:pPr>
            <w:r>
              <w:rPr>
                <w:sz w:val="22"/>
                <w:szCs w:val="22"/>
              </w:rPr>
              <w:t>A binary variable equal to 1 if the total number of fair value related tags reported by the companies in the analyst’s portfolio of coverage (SEC filings and I/B/E/S) is greater than the sample median.</w:t>
            </w:r>
          </w:p>
        </w:tc>
      </w:tr>
      <w:tr w:rsidR="00407106" w14:paraId="7A817AF8" w14:textId="77777777" w:rsidTr="00407106">
        <w:tc>
          <w:tcPr>
            <w:tcW w:w="1908" w:type="dxa"/>
            <w:tcBorders>
              <w:top w:val="single" w:sz="4" w:space="0" w:color="auto"/>
              <w:left w:val="nil"/>
              <w:bottom w:val="nil"/>
              <w:right w:val="nil"/>
            </w:tcBorders>
            <w:hideMark/>
          </w:tcPr>
          <w:p w14:paraId="242781C1" w14:textId="77777777" w:rsidR="00407106" w:rsidRDefault="00407106">
            <w:pPr>
              <w:spacing w:after="0" w:line="240" w:lineRule="auto"/>
              <w:ind w:firstLine="0"/>
              <w:rPr>
                <w:i/>
                <w:sz w:val="22"/>
                <w:szCs w:val="22"/>
              </w:rPr>
            </w:pPr>
            <w:r>
              <w:rPr>
                <w:i/>
                <w:sz w:val="22"/>
                <w:szCs w:val="22"/>
              </w:rPr>
              <w:lastRenderedPageBreak/>
              <w:t>EXPRT-DERIV</w:t>
            </w:r>
          </w:p>
        </w:tc>
        <w:tc>
          <w:tcPr>
            <w:tcW w:w="287" w:type="dxa"/>
            <w:tcBorders>
              <w:top w:val="single" w:sz="4" w:space="0" w:color="auto"/>
              <w:left w:val="nil"/>
              <w:bottom w:val="nil"/>
              <w:right w:val="nil"/>
            </w:tcBorders>
            <w:hideMark/>
          </w:tcPr>
          <w:p w14:paraId="1AA989EE" w14:textId="77777777" w:rsidR="00407106" w:rsidRDefault="00407106">
            <w:pPr>
              <w:spacing w:after="0" w:line="240" w:lineRule="auto"/>
              <w:ind w:firstLine="0"/>
              <w:rPr>
                <w:sz w:val="22"/>
                <w:szCs w:val="22"/>
              </w:rPr>
            </w:pPr>
            <w:r>
              <w:rPr>
                <w:sz w:val="22"/>
                <w:szCs w:val="22"/>
              </w:rPr>
              <w:t>:</w:t>
            </w:r>
          </w:p>
        </w:tc>
        <w:tc>
          <w:tcPr>
            <w:tcW w:w="7363" w:type="dxa"/>
            <w:tcBorders>
              <w:top w:val="single" w:sz="4" w:space="0" w:color="auto"/>
              <w:left w:val="nil"/>
              <w:bottom w:val="nil"/>
              <w:right w:val="nil"/>
            </w:tcBorders>
            <w:hideMark/>
          </w:tcPr>
          <w:p w14:paraId="751D2781" w14:textId="77777777" w:rsidR="00407106" w:rsidRDefault="00407106">
            <w:pPr>
              <w:spacing w:after="0" w:line="240" w:lineRule="auto"/>
              <w:ind w:firstLine="0"/>
              <w:rPr>
                <w:sz w:val="22"/>
                <w:szCs w:val="22"/>
              </w:rPr>
            </w:pPr>
            <w:r>
              <w:rPr>
                <w:sz w:val="22"/>
                <w:szCs w:val="22"/>
              </w:rPr>
              <w:t>A binary variable equal to 1 if the total number of derivative related tags reported by the companies in the analyst’s portfolio of coverage (SEC filings and I/B/E/S) is greater than the sample median.</w:t>
            </w:r>
          </w:p>
        </w:tc>
      </w:tr>
      <w:tr w:rsidR="00407106" w14:paraId="100E3895" w14:textId="77777777" w:rsidTr="00407106">
        <w:tc>
          <w:tcPr>
            <w:tcW w:w="1908" w:type="dxa"/>
            <w:hideMark/>
          </w:tcPr>
          <w:p w14:paraId="545766B7" w14:textId="77777777" w:rsidR="00407106" w:rsidRDefault="00407106">
            <w:pPr>
              <w:spacing w:after="0" w:line="240" w:lineRule="auto"/>
              <w:ind w:firstLine="0"/>
              <w:rPr>
                <w:i/>
                <w:sz w:val="22"/>
                <w:szCs w:val="22"/>
              </w:rPr>
            </w:pPr>
            <w:r>
              <w:rPr>
                <w:i/>
                <w:sz w:val="22"/>
                <w:szCs w:val="22"/>
              </w:rPr>
              <w:t>EXPRT-PENS</w:t>
            </w:r>
          </w:p>
        </w:tc>
        <w:tc>
          <w:tcPr>
            <w:tcW w:w="287" w:type="dxa"/>
            <w:hideMark/>
          </w:tcPr>
          <w:p w14:paraId="380C669A" w14:textId="77777777" w:rsidR="00407106" w:rsidRDefault="00407106">
            <w:pPr>
              <w:spacing w:after="0" w:line="240" w:lineRule="auto"/>
              <w:ind w:firstLine="0"/>
              <w:rPr>
                <w:sz w:val="22"/>
                <w:szCs w:val="22"/>
              </w:rPr>
            </w:pPr>
            <w:r>
              <w:rPr>
                <w:sz w:val="22"/>
                <w:szCs w:val="22"/>
              </w:rPr>
              <w:t>:</w:t>
            </w:r>
          </w:p>
        </w:tc>
        <w:tc>
          <w:tcPr>
            <w:tcW w:w="7363" w:type="dxa"/>
            <w:hideMark/>
          </w:tcPr>
          <w:p w14:paraId="4EC8FFE8" w14:textId="77777777" w:rsidR="00407106" w:rsidRDefault="00407106">
            <w:pPr>
              <w:spacing w:after="0" w:line="240" w:lineRule="auto"/>
              <w:ind w:firstLine="0"/>
              <w:rPr>
                <w:sz w:val="22"/>
                <w:szCs w:val="22"/>
              </w:rPr>
            </w:pPr>
            <w:r>
              <w:rPr>
                <w:sz w:val="22"/>
                <w:szCs w:val="22"/>
              </w:rPr>
              <w:t>A binary variable equal to 1 if the total number of pension related tags reported by the companies in the analyst’s portfolio of coverage (SEC filings and I/B/E/S) is greater than the sample median.</w:t>
            </w:r>
          </w:p>
        </w:tc>
      </w:tr>
      <w:tr w:rsidR="00407106" w14:paraId="1FEB09F1" w14:textId="77777777" w:rsidTr="00407106">
        <w:tc>
          <w:tcPr>
            <w:tcW w:w="1908" w:type="dxa"/>
            <w:hideMark/>
          </w:tcPr>
          <w:p w14:paraId="0C9D62AE" w14:textId="77777777" w:rsidR="00407106" w:rsidRDefault="00407106">
            <w:pPr>
              <w:spacing w:after="0" w:line="240" w:lineRule="auto"/>
              <w:ind w:firstLine="0"/>
              <w:rPr>
                <w:i/>
                <w:sz w:val="22"/>
                <w:szCs w:val="22"/>
              </w:rPr>
            </w:pPr>
            <w:r>
              <w:rPr>
                <w:i/>
                <w:sz w:val="22"/>
                <w:szCs w:val="22"/>
              </w:rPr>
              <w:t>EFFORT</w:t>
            </w:r>
          </w:p>
        </w:tc>
        <w:tc>
          <w:tcPr>
            <w:tcW w:w="287" w:type="dxa"/>
            <w:hideMark/>
          </w:tcPr>
          <w:p w14:paraId="0CDF69AE" w14:textId="77777777" w:rsidR="00407106" w:rsidRDefault="00407106">
            <w:pPr>
              <w:spacing w:after="0" w:line="240" w:lineRule="auto"/>
              <w:ind w:firstLine="0"/>
              <w:rPr>
                <w:sz w:val="22"/>
                <w:szCs w:val="22"/>
              </w:rPr>
            </w:pPr>
            <w:r>
              <w:rPr>
                <w:sz w:val="22"/>
                <w:szCs w:val="22"/>
              </w:rPr>
              <w:t>:</w:t>
            </w:r>
          </w:p>
        </w:tc>
        <w:tc>
          <w:tcPr>
            <w:tcW w:w="7363" w:type="dxa"/>
            <w:hideMark/>
          </w:tcPr>
          <w:p w14:paraId="71E60216" w14:textId="77777777" w:rsidR="00407106" w:rsidRDefault="00407106">
            <w:pPr>
              <w:spacing w:after="0" w:line="240" w:lineRule="auto"/>
              <w:ind w:firstLine="0"/>
              <w:rPr>
                <w:sz w:val="22"/>
                <w:szCs w:val="22"/>
              </w:rPr>
            </w:pPr>
            <w:r>
              <w:rPr>
                <w:sz w:val="22"/>
                <w:szCs w:val="22"/>
              </w:rPr>
              <w:t>Natural logarithm of one plus the number of forecasts that the analyst issued for the current fiscal period (I/B/E/S).</w:t>
            </w:r>
          </w:p>
        </w:tc>
      </w:tr>
      <w:tr w:rsidR="00407106" w14:paraId="1CA8DC2C" w14:textId="77777777" w:rsidTr="00407106">
        <w:tc>
          <w:tcPr>
            <w:tcW w:w="1908" w:type="dxa"/>
            <w:hideMark/>
          </w:tcPr>
          <w:p w14:paraId="16E93773" w14:textId="77777777" w:rsidR="00407106" w:rsidRDefault="00407106">
            <w:pPr>
              <w:spacing w:after="0" w:line="240" w:lineRule="auto"/>
              <w:ind w:firstLine="0"/>
              <w:rPr>
                <w:i/>
                <w:sz w:val="22"/>
                <w:szCs w:val="22"/>
              </w:rPr>
            </w:pPr>
            <w:r>
              <w:rPr>
                <w:i/>
                <w:sz w:val="22"/>
                <w:szCs w:val="22"/>
              </w:rPr>
              <w:t>DVOLDISC</w:t>
            </w:r>
          </w:p>
        </w:tc>
        <w:tc>
          <w:tcPr>
            <w:tcW w:w="287" w:type="dxa"/>
            <w:hideMark/>
          </w:tcPr>
          <w:p w14:paraId="0C00E28A" w14:textId="77777777" w:rsidR="00407106" w:rsidRDefault="00407106">
            <w:pPr>
              <w:spacing w:after="0" w:line="240" w:lineRule="auto"/>
              <w:ind w:firstLine="0"/>
              <w:rPr>
                <w:sz w:val="22"/>
                <w:szCs w:val="22"/>
              </w:rPr>
            </w:pPr>
            <w:r>
              <w:rPr>
                <w:sz w:val="22"/>
                <w:szCs w:val="22"/>
              </w:rPr>
              <w:t>:</w:t>
            </w:r>
          </w:p>
        </w:tc>
        <w:tc>
          <w:tcPr>
            <w:tcW w:w="7363" w:type="dxa"/>
            <w:hideMark/>
          </w:tcPr>
          <w:p w14:paraId="18FF7E9C" w14:textId="77777777" w:rsidR="00407106" w:rsidRDefault="00407106">
            <w:pPr>
              <w:spacing w:after="0" w:line="240" w:lineRule="auto"/>
              <w:ind w:firstLine="0"/>
              <w:rPr>
                <w:sz w:val="22"/>
                <w:szCs w:val="22"/>
              </w:rPr>
            </w:pPr>
            <w:r>
              <w:rPr>
                <w:sz w:val="22"/>
                <w:szCs w:val="22"/>
              </w:rPr>
              <w:t>An indicator variable that equals one for companies that issue at least one management forecast during the fiscal period (I/B/E/S).</w:t>
            </w:r>
          </w:p>
        </w:tc>
      </w:tr>
      <w:tr w:rsidR="00407106" w14:paraId="10AA68B0" w14:textId="77777777" w:rsidTr="00407106">
        <w:tc>
          <w:tcPr>
            <w:tcW w:w="1908" w:type="dxa"/>
            <w:hideMark/>
          </w:tcPr>
          <w:p w14:paraId="151351FD" w14:textId="77777777" w:rsidR="00407106" w:rsidRDefault="00407106">
            <w:pPr>
              <w:spacing w:after="0" w:line="240" w:lineRule="auto"/>
              <w:ind w:firstLine="0"/>
              <w:rPr>
                <w:i/>
                <w:sz w:val="22"/>
                <w:szCs w:val="22"/>
              </w:rPr>
            </w:pPr>
            <w:r>
              <w:rPr>
                <w:i/>
                <w:sz w:val="22"/>
                <w:szCs w:val="22"/>
              </w:rPr>
              <w:t>FOLL</w:t>
            </w:r>
          </w:p>
        </w:tc>
        <w:tc>
          <w:tcPr>
            <w:tcW w:w="287" w:type="dxa"/>
            <w:hideMark/>
          </w:tcPr>
          <w:p w14:paraId="213D0DC3" w14:textId="77777777" w:rsidR="00407106" w:rsidRDefault="00407106">
            <w:pPr>
              <w:spacing w:after="0" w:line="240" w:lineRule="auto"/>
              <w:ind w:firstLine="0"/>
              <w:rPr>
                <w:sz w:val="22"/>
                <w:szCs w:val="22"/>
              </w:rPr>
            </w:pPr>
            <w:r>
              <w:rPr>
                <w:sz w:val="22"/>
                <w:szCs w:val="22"/>
              </w:rPr>
              <w:t>:</w:t>
            </w:r>
          </w:p>
        </w:tc>
        <w:tc>
          <w:tcPr>
            <w:tcW w:w="7363" w:type="dxa"/>
            <w:hideMark/>
          </w:tcPr>
          <w:p w14:paraId="3E45A3D1" w14:textId="77777777" w:rsidR="00407106" w:rsidRDefault="00407106">
            <w:pPr>
              <w:spacing w:after="0" w:line="240" w:lineRule="auto"/>
              <w:ind w:firstLine="0"/>
              <w:rPr>
                <w:sz w:val="22"/>
                <w:szCs w:val="22"/>
              </w:rPr>
            </w:pPr>
            <w:r>
              <w:rPr>
                <w:sz w:val="22"/>
                <w:szCs w:val="22"/>
              </w:rPr>
              <w:t>The natural logarithm of the one plus the number of analysts who issued earnings estimates (I/B/E/S).</w:t>
            </w:r>
          </w:p>
        </w:tc>
      </w:tr>
      <w:tr w:rsidR="00407106" w14:paraId="427D7A21" w14:textId="77777777" w:rsidTr="00407106">
        <w:tc>
          <w:tcPr>
            <w:tcW w:w="9558" w:type="dxa"/>
            <w:gridSpan w:val="3"/>
            <w:hideMark/>
          </w:tcPr>
          <w:p w14:paraId="747EE0A8" w14:textId="77777777" w:rsidR="00407106" w:rsidRDefault="00407106">
            <w:pPr>
              <w:spacing w:after="0" w:line="240" w:lineRule="auto"/>
              <w:ind w:firstLine="0"/>
              <w:rPr>
                <w:sz w:val="22"/>
                <w:szCs w:val="22"/>
                <w:u w:val="single"/>
              </w:rPr>
            </w:pPr>
            <w:r>
              <w:rPr>
                <w:sz w:val="22"/>
                <w:szCs w:val="22"/>
                <w:u w:val="single"/>
              </w:rPr>
              <w:t>Control variables</w:t>
            </w:r>
          </w:p>
        </w:tc>
      </w:tr>
      <w:tr w:rsidR="00407106" w14:paraId="37F139AA" w14:textId="77777777" w:rsidTr="00407106">
        <w:tc>
          <w:tcPr>
            <w:tcW w:w="1908" w:type="dxa"/>
            <w:hideMark/>
          </w:tcPr>
          <w:p w14:paraId="62C30972" w14:textId="77777777" w:rsidR="00407106" w:rsidRDefault="00407106">
            <w:pPr>
              <w:spacing w:after="0" w:line="240" w:lineRule="auto"/>
              <w:ind w:firstLine="0"/>
              <w:rPr>
                <w:i/>
                <w:sz w:val="22"/>
                <w:szCs w:val="22"/>
              </w:rPr>
            </w:pPr>
            <w:r>
              <w:rPr>
                <w:i/>
                <w:sz w:val="22"/>
                <w:szCs w:val="22"/>
              </w:rPr>
              <w:t>LOGMV</w:t>
            </w:r>
          </w:p>
        </w:tc>
        <w:tc>
          <w:tcPr>
            <w:tcW w:w="287" w:type="dxa"/>
            <w:hideMark/>
          </w:tcPr>
          <w:p w14:paraId="6F4E42DD" w14:textId="77777777" w:rsidR="00407106" w:rsidRDefault="00407106">
            <w:pPr>
              <w:spacing w:after="0" w:line="240" w:lineRule="auto"/>
              <w:ind w:firstLine="0"/>
              <w:rPr>
                <w:sz w:val="22"/>
                <w:szCs w:val="22"/>
              </w:rPr>
            </w:pPr>
            <w:r>
              <w:rPr>
                <w:sz w:val="22"/>
                <w:szCs w:val="22"/>
              </w:rPr>
              <w:t>:</w:t>
            </w:r>
          </w:p>
        </w:tc>
        <w:tc>
          <w:tcPr>
            <w:tcW w:w="7363" w:type="dxa"/>
            <w:hideMark/>
          </w:tcPr>
          <w:p w14:paraId="2867FA11" w14:textId="77777777" w:rsidR="00407106" w:rsidRDefault="00407106">
            <w:pPr>
              <w:spacing w:after="0" w:line="240" w:lineRule="auto"/>
              <w:ind w:firstLine="0"/>
              <w:rPr>
                <w:sz w:val="22"/>
                <w:szCs w:val="22"/>
              </w:rPr>
            </w:pPr>
            <w:r>
              <w:rPr>
                <w:sz w:val="22"/>
                <w:szCs w:val="22"/>
              </w:rPr>
              <w:t>The natural logarithm of one plus the market value computed as of the end of the fiscal year (Compustat).</w:t>
            </w:r>
          </w:p>
        </w:tc>
      </w:tr>
      <w:tr w:rsidR="00407106" w14:paraId="4E1F2815" w14:textId="77777777" w:rsidTr="00407106">
        <w:tc>
          <w:tcPr>
            <w:tcW w:w="1908" w:type="dxa"/>
            <w:hideMark/>
          </w:tcPr>
          <w:p w14:paraId="3C3E0048" w14:textId="77777777" w:rsidR="00407106" w:rsidRDefault="00407106">
            <w:pPr>
              <w:spacing w:after="0" w:line="240" w:lineRule="auto"/>
              <w:ind w:firstLine="0"/>
              <w:rPr>
                <w:i/>
                <w:sz w:val="22"/>
                <w:szCs w:val="22"/>
              </w:rPr>
            </w:pPr>
            <w:r>
              <w:rPr>
                <w:i/>
                <w:sz w:val="22"/>
                <w:szCs w:val="22"/>
              </w:rPr>
              <w:t>IO</w:t>
            </w:r>
          </w:p>
        </w:tc>
        <w:tc>
          <w:tcPr>
            <w:tcW w:w="287" w:type="dxa"/>
            <w:hideMark/>
          </w:tcPr>
          <w:p w14:paraId="319D959C" w14:textId="77777777" w:rsidR="00407106" w:rsidRDefault="00407106">
            <w:pPr>
              <w:spacing w:after="0" w:line="240" w:lineRule="auto"/>
              <w:ind w:firstLine="0"/>
              <w:rPr>
                <w:sz w:val="22"/>
                <w:szCs w:val="22"/>
              </w:rPr>
            </w:pPr>
            <w:r>
              <w:rPr>
                <w:sz w:val="22"/>
                <w:szCs w:val="22"/>
              </w:rPr>
              <w:t>:</w:t>
            </w:r>
          </w:p>
        </w:tc>
        <w:tc>
          <w:tcPr>
            <w:tcW w:w="7363" w:type="dxa"/>
            <w:hideMark/>
          </w:tcPr>
          <w:p w14:paraId="05815825" w14:textId="77777777" w:rsidR="00407106" w:rsidRDefault="00407106">
            <w:pPr>
              <w:spacing w:after="0" w:line="240" w:lineRule="auto"/>
              <w:ind w:firstLine="0"/>
              <w:rPr>
                <w:sz w:val="22"/>
                <w:szCs w:val="22"/>
              </w:rPr>
            </w:pPr>
            <w:r>
              <w:rPr>
                <w:sz w:val="22"/>
                <w:szCs w:val="22"/>
              </w:rPr>
              <w:t>Percentage of shares held by institutional investors (CRSP and Thomson Financial).</w:t>
            </w:r>
          </w:p>
        </w:tc>
      </w:tr>
      <w:tr w:rsidR="00407106" w14:paraId="31621EA5" w14:textId="77777777" w:rsidTr="00407106">
        <w:tc>
          <w:tcPr>
            <w:tcW w:w="1908" w:type="dxa"/>
            <w:hideMark/>
          </w:tcPr>
          <w:p w14:paraId="1C5180A7" w14:textId="77777777" w:rsidR="00407106" w:rsidRDefault="00407106">
            <w:pPr>
              <w:spacing w:after="0" w:line="240" w:lineRule="auto"/>
              <w:ind w:firstLine="0"/>
              <w:rPr>
                <w:i/>
                <w:sz w:val="22"/>
                <w:szCs w:val="22"/>
              </w:rPr>
            </w:pPr>
            <w:r>
              <w:rPr>
                <w:i/>
                <w:sz w:val="22"/>
                <w:szCs w:val="22"/>
              </w:rPr>
              <w:t>B/M</w:t>
            </w:r>
          </w:p>
        </w:tc>
        <w:tc>
          <w:tcPr>
            <w:tcW w:w="287" w:type="dxa"/>
            <w:hideMark/>
          </w:tcPr>
          <w:p w14:paraId="7DC14408" w14:textId="77777777" w:rsidR="00407106" w:rsidRDefault="00407106">
            <w:pPr>
              <w:spacing w:after="0" w:line="240" w:lineRule="auto"/>
              <w:ind w:firstLine="0"/>
              <w:rPr>
                <w:sz w:val="22"/>
                <w:szCs w:val="22"/>
              </w:rPr>
            </w:pPr>
            <w:r>
              <w:rPr>
                <w:sz w:val="22"/>
                <w:szCs w:val="22"/>
              </w:rPr>
              <w:t>:</w:t>
            </w:r>
          </w:p>
        </w:tc>
        <w:tc>
          <w:tcPr>
            <w:tcW w:w="7363" w:type="dxa"/>
            <w:hideMark/>
          </w:tcPr>
          <w:p w14:paraId="7A5BDE0A" w14:textId="77777777" w:rsidR="00407106" w:rsidRDefault="00407106">
            <w:pPr>
              <w:spacing w:after="0" w:line="240" w:lineRule="auto"/>
              <w:ind w:firstLine="0"/>
              <w:rPr>
                <w:sz w:val="22"/>
                <w:szCs w:val="22"/>
              </w:rPr>
            </w:pPr>
            <w:r>
              <w:rPr>
                <w:sz w:val="22"/>
                <w:szCs w:val="22"/>
              </w:rPr>
              <w:t>The ratio of the book and market values of equity as of the end of the fiscal year (Compustat).</w:t>
            </w:r>
          </w:p>
        </w:tc>
      </w:tr>
      <w:tr w:rsidR="00407106" w14:paraId="2B69D931" w14:textId="77777777" w:rsidTr="00407106">
        <w:tc>
          <w:tcPr>
            <w:tcW w:w="1908" w:type="dxa"/>
            <w:hideMark/>
          </w:tcPr>
          <w:p w14:paraId="1C3E60E8" w14:textId="77777777" w:rsidR="00407106" w:rsidRDefault="00407106">
            <w:pPr>
              <w:spacing w:after="0" w:line="240" w:lineRule="auto"/>
              <w:ind w:firstLine="0"/>
              <w:rPr>
                <w:i/>
                <w:sz w:val="22"/>
                <w:szCs w:val="22"/>
              </w:rPr>
            </w:pPr>
            <w:r>
              <w:rPr>
                <w:i/>
                <w:sz w:val="22"/>
                <w:szCs w:val="22"/>
              </w:rPr>
              <w:t>GROWTH</w:t>
            </w:r>
          </w:p>
        </w:tc>
        <w:tc>
          <w:tcPr>
            <w:tcW w:w="287" w:type="dxa"/>
            <w:hideMark/>
          </w:tcPr>
          <w:p w14:paraId="20186A44" w14:textId="77777777" w:rsidR="00407106" w:rsidRDefault="00407106">
            <w:pPr>
              <w:spacing w:after="0" w:line="240" w:lineRule="auto"/>
              <w:ind w:firstLine="0"/>
              <w:rPr>
                <w:sz w:val="22"/>
                <w:szCs w:val="22"/>
              </w:rPr>
            </w:pPr>
            <w:r>
              <w:rPr>
                <w:sz w:val="22"/>
                <w:szCs w:val="22"/>
              </w:rPr>
              <w:t>:</w:t>
            </w:r>
          </w:p>
        </w:tc>
        <w:tc>
          <w:tcPr>
            <w:tcW w:w="7363" w:type="dxa"/>
            <w:hideMark/>
          </w:tcPr>
          <w:p w14:paraId="63B17F34" w14:textId="77777777" w:rsidR="00407106" w:rsidRDefault="00407106">
            <w:pPr>
              <w:spacing w:after="0" w:line="240" w:lineRule="auto"/>
              <w:ind w:firstLine="0"/>
              <w:rPr>
                <w:sz w:val="22"/>
                <w:szCs w:val="22"/>
              </w:rPr>
            </w:pPr>
            <w:r>
              <w:rPr>
                <w:sz w:val="22"/>
                <w:szCs w:val="22"/>
              </w:rPr>
              <w:t>The one-year change in sales (Compustat).</w:t>
            </w:r>
          </w:p>
        </w:tc>
      </w:tr>
      <w:tr w:rsidR="00407106" w14:paraId="0650A058" w14:textId="77777777" w:rsidTr="00407106">
        <w:tc>
          <w:tcPr>
            <w:tcW w:w="1908" w:type="dxa"/>
            <w:hideMark/>
          </w:tcPr>
          <w:p w14:paraId="16BDE47A" w14:textId="77777777" w:rsidR="00407106" w:rsidRDefault="00407106">
            <w:pPr>
              <w:spacing w:after="0" w:line="240" w:lineRule="auto"/>
              <w:ind w:firstLine="0"/>
              <w:rPr>
                <w:i/>
                <w:sz w:val="22"/>
                <w:szCs w:val="22"/>
              </w:rPr>
            </w:pPr>
            <w:r>
              <w:rPr>
                <w:i/>
                <w:sz w:val="22"/>
                <w:szCs w:val="22"/>
              </w:rPr>
              <w:t>NEWS10K</w:t>
            </w:r>
          </w:p>
        </w:tc>
        <w:tc>
          <w:tcPr>
            <w:tcW w:w="287" w:type="dxa"/>
            <w:hideMark/>
          </w:tcPr>
          <w:p w14:paraId="0DF2CE3A" w14:textId="77777777" w:rsidR="00407106" w:rsidRDefault="00407106">
            <w:pPr>
              <w:spacing w:after="0" w:line="240" w:lineRule="auto"/>
              <w:ind w:firstLine="0"/>
              <w:rPr>
                <w:sz w:val="22"/>
                <w:szCs w:val="22"/>
              </w:rPr>
            </w:pPr>
            <w:r>
              <w:rPr>
                <w:sz w:val="22"/>
                <w:szCs w:val="22"/>
              </w:rPr>
              <w:t>:</w:t>
            </w:r>
          </w:p>
        </w:tc>
        <w:tc>
          <w:tcPr>
            <w:tcW w:w="7363" w:type="dxa"/>
            <w:hideMark/>
          </w:tcPr>
          <w:p w14:paraId="36DE397F" w14:textId="77777777" w:rsidR="00407106" w:rsidRDefault="00407106">
            <w:pPr>
              <w:spacing w:after="0" w:line="240" w:lineRule="auto"/>
              <w:ind w:firstLine="0"/>
              <w:rPr>
                <w:sz w:val="22"/>
                <w:szCs w:val="22"/>
              </w:rPr>
            </w:pPr>
            <w:r>
              <w:rPr>
                <w:sz w:val="22"/>
                <w:szCs w:val="22"/>
              </w:rPr>
              <w:t>The absolute value of the two-day market reaction associated with the company’s current 10-K filing (EDGAR Online and CRSP).</w:t>
            </w:r>
          </w:p>
        </w:tc>
      </w:tr>
      <w:tr w:rsidR="00407106" w14:paraId="3DA74FED" w14:textId="77777777" w:rsidTr="00407106">
        <w:tc>
          <w:tcPr>
            <w:tcW w:w="1908" w:type="dxa"/>
            <w:hideMark/>
          </w:tcPr>
          <w:p w14:paraId="5E241653" w14:textId="77777777" w:rsidR="00407106" w:rsidRDefault="00407106">
            <w:pPr>
              <w:spacing w:after="0" w:line="240" w:lineRule="auto"/>
              <w:ind w:firstLine="0"/>
              <w:rPr>
                <w:i/>
                <w:sz w:val="22"/>
                <w:szCs w:val="22"/>
              </w:rPr>
            </w:pPr>
            <w:r>
              <w:rPr>
                <w:i/>
                <w:sz w:val="22"/>
                <w:szCs w:val="22"/>
              </w:rPr>
              <w:t>LOGHORIZON</w:t>
            </w:r>
          </w:p>
        </w:tc>
        <w:tc>
          <w:tcPr>
            <w:tcW w:w="287" w:type="dxa"/>
            <w:hideMark/>
          </w:tcPr>
          <w:p w14:paraId="29795D7F" w14:textId="77777777" w:rsidR="00407106" w:rsidRDefault="00407106">
            <w:pPr>
              <w:spacing w:after="0" w:line="240" w:lineRule="auto"/>
              <w:ind w:firstLine="0"/>
              <w:rPr>
                <w:sz w:val="22"/>
                <w:szCs w:val="22"/>
              </w:rPr>
            </w:pPr>
            <w:r>
              <w:rPr>
                <w:sz w:val="22"/>
                <w:szCs w:val="22"/>
              </w:rPr>
              <w:t>:</w:t>
            </w:r>
          </w:p>
        </w:tc>
        <w:tc>
          <w:tcPr>
            <w:tcW w:w="7363" w:type="dxa"/>
            <w:hideMark/>
          </w:tcPr>
          <w:p w14:paraId="3004A7D4" w14:textId="77777777" w:rsidR="00407106" w:rsidRDefault="00407106">
            <w:pPr>
              <w:spacing w:after="0" w:line="240" w:lineRule="auto"/>
              <w:ind w:firstLine="0"/>
              <w:rPr>
                <w:sz w:val="22"/>
                <w:szCs w:val="22"/>
              </w:rPr>
            </w:pPr>
            <w:r>
              <w:rPr>
                <w:sz w:val="22"/>
                <w:szCs w:val="22"/>
              </w:rPr>
              <w:t>The natural logarithm of median forecast horizon, where forecast horizon equals the earnings announcement date minus the forecast date (I/B/E/S).</w:t>
            </w:r>
          </w:p>
        </w:tc>
      </w:tr>
      <w:tr w:rsidR="00407106" w14:paraId="0E62DC62" w14:textId="77777777" w:rsidTr="00407106">
        <w:tc>
          <w:tcPr>
            <w:tcW w:w="1908" w:type="dxa"/>
            <w:hideMark/>
          </w:tcPr>
          <w:p w14:paraId="56B1FDC1" w14:textId="77777777" w:rsidR="00407106" w:rsidRDefault="00407106">
            <w:pPr>
              <w:spacing w:after="0" w:line="240" w:lineRule="auto"/>
              <w:ind w:firstLine="0"/>
              <w:rPr>
                <w:i/>
                <w:sz w:val="22"/>
                <w:szCs w:val="22"/>
              </w:rPr>
            </w:pPr>
            <w:r>
              <w:rPr>
                <w:i/>
                <w:sz w:val="22"/>
                <w:szCs w:val="22"/>
              </w:rPr>
              <w:t>TURN</w:t>
            </w:r>
          </w:p>
        </w:tc>
        <w:tc>
          <w:tcPr>
            <w:tcW w:w="287" w:type="dxa"/>
            <w:hideMark/>
          </w:tcPr>
          <w:p w14:paraId="0560B9F8" w14:textId="77777777" w:rsidR="00407106" w:rsidRDefault="00407106">
            <w:pPr>
              <w:spacing w:after="0" w:line="240" w:lineRule="auto"/>
              <w:ind w:firstLine="0"/>
              <w:rPr>
                <w:sz w:val="22"/>
                <w:szCs w:val="22"/>
              </w:rPr>
            </w:pPr>
            <w:r>
              <w:rPr>
                <w:sz w:val="22"/>
                <w:szCs w:val="22"/>
              </w:rPr>
              <w:t>:</w:t>
            </w:r>
          </w:p>
        </w:tc>
        <w:tc>
          <w:tcPr>
            <w:tcW w:w="7363" w:type="dxa"/>
            <w:hideMark/>
          </w:tcPr>
          <w:p w14:paraId="6ACB254D" w14:textId="77777777" w:rsidR="00407106" w:rsidRDefault="00407106">
            <w:pPr>
              <w:spacing w:after="0" w:line="240" w:lineRule="auto"/>
              <w:ind w:firstLine="0"/>
              <w:rPr>
                <w:sz w:val="22"/>
                <w:szCs w:val="22"/>
              </w:rPr>
            </w:pPr>
            <w:r>
              <w:rPr>
                <w:sz w:val="22"/>
                <w:szCs w:val="22"/>
              </w:rPr>
              <w:t>The ratio of the number of shares traded during the fiscal year and the total number of shares outstanding (Compustat).</w:t>
            </w:r>
          </w:p>
        </w:tc>
      </w:tr>
      <w:tr w:rsidR="00407106" w14:paraId="4218CBC8" w14:textId="77777777" w:rsidTr="00407106">
        <w:tc>
          <w:tcPr>
            <w:tcW w:w="1908" w:type="dxa"/>
            <w:hideMark/>
          </w:tcPr>
          <w:p w14:paraId="01AD542D" w14:textId="77777777" w:rsidR="00407106" w:rsidRDefault="00407106">
            <w:pPr>
              <w:spacing w:after="0" w:line="240" w:lineRule="auto"/>
              <w:ind w:firstLine="0"/>
              <w:rPr>
                <w:i/>
                <w:sz w:val="22"/>
                <w:szCs w:val="22"/>
              </w:rPr>
            </w:pPr>
            <w:r>
              <w:rPr>
                <w:i/>
                <w:sz w:val="22"/>
                <w:szCs w:val="22"/>
              </w:rPr>
              <w:t>ADV</w:t>
            </w:r>
          </w:p>
        </w:tc>
        <w:tc>
          <w:tcPr>
            <w:tcW w:w="287" w:type="dxa"/>
            <w:hideMark/>
          </w:tcPr>
          <w:p w14:paraId="7182FB24" w14:textId="77777777" w:rsidR="00407106" w:rsidRDefault="00407106">
            <w:pPr>
              <w:spacing w:after="0" w:line="240" w:lineRule="auto"/>
              <w:ind w:firstLine="0"/>
              <w:rPr>
                <w:sz w:val="22"/>
                <w:szCs w:val="22"/>
              </w:rPr>
            </w:pPr>
            <w:r>
              <w:rPr>
                <w:sz w:val="22"/>
                <w:szCs w:val="22"/>
              </w:rPr>
              <w:t>:</w:t>
            </w:r>
          </w:p>
        </w:tc>
        <w:tc>
          <w:tcPr>
            <w:tcW w:w="7363" w:type="dxa"/>
            <w:hideMark/>
          </w:tcPr>
          <w:p w14:paraId="48E98825" w14:textId="77777777" w:rsidR="00407106" w:rsidRDefault="00407106">
            <w:pPr>
              <w:spacing w:after="0" w:line="240" w:lineRule="auto"/>
              <w:ind w:firstLine="0"/>
              <w:rPr>
                <w:sz w:val="22"/>
                <w:szCs w:val="22"/>
              </w:rPr>
            </w:pPr>
            <w:r>
              <w:rPr>
                <w:sz w:val="22"/>
                <w:szCs w:val="22"/>
              </w:rPr>
              <w:t>Advertising expenditure divided by total operating expense (Compustat).</w:t>
            </w:r>
          </w:p>
        </w:tc>
      </w:tr>
      <w:tr w:rsidR="00407106" w14:paraId="199B0B1A" w14:textId="77777777" w:rsidTr="00407106">
        <w:tc>
          <w:tcPr>
            <w:tcW w:w="1908" w:type="dxa"/>
            <w:hideMark/>
          </w:tcPr>
          <w:p w14:paraId="4C4E976A" w14:textId="77777777" w:rsidR="00407106" w:rsidRDefault="00407106">
            <w:pPr>
              <w:spacing w:after="0" w:line="240" w:lineRule="auto"/>
              <w:ind w:firstLine="0"/>
              <w:rPr>
                <w:i/>
                <w:sz w:val="22"/>
                <w:szCs w:val="22"/>
              </w:rPr>
            </w:pPr>
            <w:r>
              <w:rPr>
                <w:i/>
                <w:sz w:val="22"/>
                <w:szCs w:val="22"/>
              </w:rPr>
              <w:t>RND</w:t>
            </w:r>
          </w:p>
        </w:tc>
        <w:tc>
          <w:tcPr>
            <w:tcW w:w="287" w:type="dxa"/>
            <w:hideMark/>
          </w:tcPr>
          <w:p w14:paraId="7E139C97" w14:textId="77777777" w:rsidR="00407106" w:rsidRDefault="00407106">
            <w:pPr>
              <w:spacing w:after="0" w:line="240" w:lineRule="auto"/>
              <w:ind w:firstLine="0"/>
              <w:rPr>
                <w:sz w:val="22"/>
                <w:szCs w:val="22"/>
              </w:rPr>
            </w:pPr>
            <w:r>
              <w:rPr>
                <w:sz w:val="22"/>
                <w:szCs w:val="22"/>
              </w:rPr>
              <w:t>:</w:t>
            </w:r>
          </w:p>
        </w:tc>
        <w:tc>
          <w:tcPr>
            <w:tcW w:w="7363" w:type="dxa"/>
            <w:hideMark/>
          </w:tcPr>
          <w:p w14:paraId="516B39F3" w14:textId="77777777" w:rsidR="00407106" w:rsidRDefault="00407106">
            <w:pPr>
              <w:spacing w:after="0" w:line="240" w:lineRule="auto"/>
              <w:ind w:firstLine="0"/>
              <w:rPr>
                <w:sz w:val="22"/>
                <w:szCs w:val="22"/>
              </w:rPr>
            </w:pPr>
            <w:r>
              <w:rPr>
                <w:sz w:val="22"/>
                <w:szCs w:val="22"/>
              </w:rPr>
              <w:t>Research and development expenditure divided by total operating expense (Compustat).</w:t>
            </w:r>
          </w:p>
        </w:tc>
      </w:tr>
      <w:tr w:rsidR="00407106" w14:paraId="1BA18A9F" w14:textId="77777777" w:rsidTr="00407106">
        <w:tc>
          <w:tcPr>
            <w:tcW w:w="1908" w:type="dxa"/>
            <w:hideMark/>
          </w:tcPr>
          <w:p w14:paraId="6C05A688" w14:textId="77777777" w:rsidR="00407106" w:rsidRDefault="00407106">
            <w:pPr>
              <w:spacing w:after="0" w:line="240" w:lineRule="auto"/>
              <w:ind w:firstLine="0"/>
              <w:rPr>
                <w:i/>
                <w:sz w:val="22"/>
                <w:szCs w:val="22"/>
              </w:rPr>
            </w:pPr>
            <w:r>
              <w:rPr>
                <w:i/>
                <w:sz w:val="22"/>
                <w:szCs w:val="22"/>
              </w:rPr>
              <w:t>ROA</w:t>
            </w:r>
          </w:p>
        </w:tc>
        <w:tc>
          <w:tcPr>
            <w:tcW w:w="287" w:type="dxa"/>
            <w:hideMark/>
          </w:tcPr>
          <w:p w14:paraId="2FD29130" w14:textId="77777777" w:rsidR="00407106" w:rsidRDefault="00407106">
            <w:pPr>
              <w:spacing w:after="0" w:line="240" w:lineRule="auto"/>
              <w:ind w:firstLine="0"/>
              <w:rPr>
                <w:sz w:val="22"/>
                <w:szCs w:val="22"/>
              </w:rPr>
            </w:pPr>
            <w:r>
              <w:rPr>
                <w:sz w:val="22"/>
                <w:szCs w:val="22"/>
              </w:rPr>
              <w:t>:</w:t>
            </w:r>
          </w:p>
        </w:tc>
        <w:tc>
          <w:tcPr>
            <w:tcW w:w="7363" w:type="dxa"/>
            <w:hideMark/>
          </w:tcPr>
          <w:p w14:paraId="3C18B9ED" w14:textId="77777777" w:rsidR="00407106" w:rsidRDefault="00407106">
            <w:pPr>
              <w:spacing w:after="0" w:line="240" w:lineRule="auto"/>
              <w:ind w:firstLine="0"/>
              <w:rPr>
                <w:sz w:val="22"/>
                <w:szCs w:val="22"/>
              </w:rPr>
            </w:pPr>
            <w:r>
              <w:rPr>
                <w:sz w:val="22"/>
                <w:szCs w:val="22"/>
              </w:rPr>
              <w:t>Income before extraordinary items scaled by total assets (Compustat).</w:t>
            </w:r>
          </w:p>
        </w:tc>
      </w:tr>
      <w:tr w:rsidR="00407106" w14:paraId="279E72AE" w14:textId="77777777" w:rsidTr="00407106">
        <w:tc>
          <w:tcPr>
            <w:tcW w:w="1908" w:type="dxa"/>
            <w:hideMark/>
          </w:tcPr>
          <w:p w14:paraId="1F4FC138" w14:textId="77777777" w:rsidR="00407106" w:rsidRDefault="00407106">
            <w:pPr>
              <w:spacing w:after="0" w:line="240" w:lineRule="auto"/>
              <w:ind w:firstLine="0"/>
              <w:rPr>
                <w:i/>
                <w:sz w:val="22"/>
                <w:szCs w:val="22"/>
              </w:rPr>
            </w:pPr>
            <w:r>
              <w:rPr>
                <w:i/>
                <w:sz w:val="22"/>
                <w:szCs w:val="22"/>
              </w:rPr>
              <w:t>FOROPS</w:t>
            </w:r>
          </w:p>
        </w:tc>
        <w:tc>
          <w:tcPr>
            <w:tcW w:w="287" w:type="dxa"/>
            <w:hideMark/>
          </w:tcPr>
          <w:p w14:paraId="51B43172" w14:textId="77777777" w:rsidR="00407106" w:rsidRDefault="00407106">
            <w:pPr>
              <w:spacing w:after="0" w:line="240" w:lineRule="auto"/>
              <w:ind w:firstLine="0"/>
              <w:rPr>
                <w:sz w:val="22"/>
                <w:szCs w:val="22"/>
              </w:rPr>
            </w:pPr>
            <w:r>
              <w:rPr>
                <w:sz w:val="22"/>
                <w:szCs w:val="22"/>
              </w:rPr>
              <w:t>:</w:t>
            </w:r>
          </w:p>
        </w:tc>
        <w:tc>
          <w:tcPr>
            <w:tcW w:w="7363" w:type="dxa"/>
            <w:hideMark/>
          </w:tcPr>
          <w:p w14:paraId="08D9D3C9" w14:textId="77777777" w:rsidR="00407106" w:rsidRDefault="00407106">
            <w:pPr>
              <w:spacing w:after="0" w:line="240" w:lineRule="auto"/>
              <w:ind w:firstLine="0"/>
              <w:rPr>
                <w:sz w:val="22"/>
                <w:szCs w:val="22"/>
              </w:rPr>
            </w:pPr>
            <w:r>
              <w:rPr>
                <w:sz w:val="22"/>
                <w:szCs w:val="22"/>
              </w:rPr>
              <w:t>Equals one for companies that have non-missing foreign exchange income and zero otherwise (Compustat).</w:t>
            </w:r>
          </w:p>
        </w:tc>
      </w:tr>
      <w:tr w:rsidR="00407106" w14:paraId="37CB09CE" w14:textId="77777777" w:rsidTr="00407106">
        <w:tc>
          <w:tcPr>
            <w:tcW w:w="1908" w:type="dxa"/>
            <w:hideMark/>
          </w:tcPr>
          <w:p w14:paraId="04A23A95" w14:textId="77777777" w:rsidR="00407106" w:rsidRDefault="00407106">
            <w:pPr>
              <w:spacing w:after="0" w:line="240" w:lineRule="auto"/>
              <w:ind w:firstLine="0"/>
              <w:rPr>
                <w:i/>
                <w:sz w:val="22"/>
                <w:szCs w:val="22"/>
              </w:rPr>
            </w:pPr>
            <w:r>
              <w:rPr>
                <w:i/>
                <w:sz w:val="22"/>
                <w:szCs w:val="22"/>
              </w:rPr>
              <w:t>LOGSGMT</w:t>
            </w:r>
          </w:p>
        </w:tc>
        <w:tc>
          <w:tcPr>
            <w:tcW w:w="287" w:type="dxa"/>
            <w:hideMark/>
          </w:tcPr>
          <w:p w14:paraId="5EAE1089" w14:textId="77777777" w:rsidR="00407106" w:rsidRDefault="00407106">
            <w:pPr>
              <w:spacing w:after="0" w:line="240" w:lineRule="auto"/>
              <w:ind w:firstLine="0"/>
              <w:rPr>
                <w:sz w:val="22"/>
                <w:szCs w:val="22"/>
              </w:rPr>
            </w:pPr>
            <w:r>
              <w:rPr>
                <w:sz w:val="22"/>
                <w:szCs w:val="22"/>
              </w:rPr>
              <w:t>:</w:t>
            </w:r>
          </w:p>
        </w:tc>
        <w:tc>
          <w:tcPr>
            <w:tcW w:w="7363" w:type="dxa"/>
            <w:hideMark/>
          </w:tcPr>
          <w:p w14:paraId="56BD50A1" w14:textId="77777777" w:rsidR="00407106" w:rsidRDefault="00407106">
            <w:pPr>
              <w:spacing w:after="0" w:line="240" w:lineRule="auto"/>
              <w:ind w:firstLine="0"/>
              <w:rPr>
                <w:sz w:val="22"/>
                <w:szCs w:val="22"/>
              </w:rPr>
            </w:pPr>
            <w:r>
              <w:rPr>
                <w:sz w:val="22"/>
                <w:szCs w:val="22"/>
              </w:rPr>
              <w:t>The natural logarithm of one plus the number of business segments (Compustat).</w:t>
            </w:r>
          </w:p>
        </w:tc>
      </w:tr>
      <w:tr w:rsidR="00407106" w14:paraId="0459BCB3" w14:textId="77777777" w:rsidTr="00407106">
        <w:tc>
          <w:tcPr>
            <w:tcW w:w="1908" w:type="dxa"/>
            <w:hideMark/>
          </w:tcPr>
          <w:p w14:paraId="0343EB19" w14:textId="77777777" w:rsidR="00407106" w:rsidRDefault="00407106">
            <w:pPr>
              <w:spacing w:after="0" w:line="240" w:lineRule="auto"/>
              <w:ind w:firstLine="0"/>
              <w:rPr>
                <w:i/>
                <w:sz w:val="22"/>
                <w:szCs w:val="22"/>
              </w:rPr>
            </w:pPr>
            <w:r>
              <w:rPr>
                <w:i/>
                <w:sz w:val="22"/>
                <w:szCs w:val="22"/>
              </w:rPr>
              <w:t>EARNVOL</w:t>
            </w:r>
          </w:p>
        </w:tc>
        <w:tc>
          <w:tcPr>
            <w:tcW w:w="287" w:type="dxa"/>
            <w:hideMark/>
          </w:tcPr>
          <w:p w14:paraId="5F9EC797" w14:textId="77777777" w:rsidR="00407106" w:rsidRDefault="00407106">
            <w:pPr>
              <w:spacing w:after="0" w:line="240" w:lineRule="auto"/>
              <w:ind w:firstLine="0"/>
              <w:rPr>
                <w:sz w:val="22"/>
                <w:szCs w:val="22"/>
              </w:rPr>
            </w:pPr>
            <w:r>
              <w:rPr>
                <w:sz w:val="22"/>
                <w:szCs w:val="22"/>
              </w:rPr>
              <w:t>:</w:t>
            </w:r>
          </w:p>
        </w:tc>
        <w:tc>
          <w:tcPr>
            <w:tcW w:w="7363" w:type="dxa"/>
            <w:hideMark/>
          </w:tcPr>
          <w:p w14:paraId="695BDDD2" w14:textId="77777777" w:rsidR="00407106" w:rsidRDefault="00407106">
            <w:pPr>
              <w:spacing w:after="0" w:line="240" w:lineRule="auto"/>
              <w:ind w:firstLine="0"/>
              <w:rPr>
                <w:sz w:val="22"/>
                <w:szCs w:val="22"/>
              </w:rPr>
            </w:pPr>
            <w:r>
              <w:rPr>
                <w:sz w:val="22"/>
                <w:szCs w:val="22"/>
              </w:rPr>
              <w:t>The standard deviation of annual diluted earnings per share (excluding extraordinary items) figures reported during the last ten years. A minimum of three years of earnings per share data is required (Compustat).</w:t>
            </w:r>
          </w:p>
        </w:tc>
      </w:tr>
      <w:tr w:rsidR="00407106" w14:paraId="60FF2C69" w14:textId="77777777" w:rsidTr="00407106">
        <w:tc>
          <w:tcPr>
            <w:tcW w:w="1908" w:type="dxa"/>
            <w:hideMark/>
          </w:tcPr>
          <w:p w14:paraId="01A8D8BA" w14:textId="77777777" w:rsidR="00407106" w:rsidRDefault="00407106">
            <w:pPr>
              <w:spacing w:after="0" w:line="240" w:lineRule="auto"/>
              <w:ind w:firstLine="0"/>
              <w:rPr>
                <w:i/>
                <w:sz w:val="22"/>
                <w:szCs w:val="22"/>
              </w:rPr>
            </w:pPr>
            <w:r>
              <w:rPr>
                <w:i/>
                <w:sz w:val="22"/>
                <w:szCs w:val="22"/>
              </w:rPr>
              <w:t>FOG10K</w:t>
            </w:r>
          </w:p>
        </w:tc>
        <w:tc>
          <w:tcPr>
            <w:tcW w:w="287" w:type="dxa"/>
            <w:hideMark/>
          </w:tcPr>
          <w:p w14:paraId="458F05CD" w14:textId="77777777" w:rsidR="00407106" w:rsidRDefault="00407106">
            <w:pPr>
              <w:spacing w:after="0" w:line="240" w:lineRule="auto"/>
              <w:ind w:firstLine="0"/>
              <w:rPr>
                <w:sz w:val="22"/>
                <w:szCs w:val="22"/>
              </w:rPr>
            </w:pPr>
            <w:r>
              <w:rPr>
                <w:sz w:val="22"/>
                <w:szCs w:val="22"/>
              </w:rPr>
              <w:t>:</w:t>
            </w:r>
          </w:p>
        </w:tc>
        <w:tc>
          <w:tcPr>
            <w:tcW w:w="7363" w:type="dxa"/>
            <w:hideMark/>
          </w:tcPr>
          <w:p w14:paraId="1ADE6616" w14:textId="77777777" w:rsidR="00407106" w:rsidRDefault="00407106">
            <w:pPr>
              <w:spacing w:after="0" w:line="240" w:lineRule="auto"/>
              <w:ind w:firstLine="0"/>
              <w:rPr>
                <w:sz w:val="22"/>
                <w:szCs w:val="22"/>
              </w:rPr>
            </w:pPr>
            <w:r>
              <w:rPr>
                <w:sz w:val="22"/>
                <w:szCs w:val="22"/>
              </w:rPr>
              <w:t>The Fog Index value (Gunning (1952)) of the current fiscal year’s 10-K filing (EDGAR Online).</w:t>
            </w:r>
          </w:p>
        </w:tc>
      </w:tr>
      <w:tr w:rsidR="00407106" w14:paraId="4B750910" w14:textId="77777777" w:rsidTr="00407106">
        <w:tc>
          <w:tcPr>
            <w:tcW w:w="1908" w:type="dxa"/>
            <w:hideMark/>
          </w:tcPr>
          <w:p w14:paraId="3857B0DB" w14:textId="77777777" w:rsidR="00407106" w:rsidRDefault="00407106">
            <w:pPr>
              <w:spacing w:after="0" w:line="240" w:lineRule="auto"/>
              <w:ind w:firstLine="0"/>
              <w:rPr>
                <w:i/>
                <w:sz w:val="22"/>
                <w:szCs w:val="22"/>
              </w:rPr>
            </w:pPr>
            <w:r>
              <w:rPr>
                <w:i/>
                <w:sz w:val="22"/>
                <w:szCs w:val="22"/>
              </w:rPr>
              <w:t>STDRET</w:t>
            </w:r>
          </w:p>
        </w:tc>
        <w:tc>
          <w:tcPr>
            <w:tcW w:w="287" w:type="dxa"/>
            <w:hideMark/>
          </w:tcPr>
          <w:p w14:paraId="17288CF0" w14:textId="77777777" w:rsidR="00407106" w:rsidRDefault="00407106">
            <w:pPr>
              <w:spacing w:after="0" w:line="240" w:lineRule="auto"/>
              <w:ind w:firstLine="0"/>
              <w:rPr>
                <w:sz w:val="22"/>
                <w:szCs w:val="22"/>
              </w:rPr>
            </w:pPr>
            <w:r>
              <w:rPr>
                <w:sz w:val="22"/>
                <w:szCs w:val="22"/>
              </w:rPr>
              <w:t>:</w:t>
            </w:r>
          </w:p>
        </w:tc>
        <w:tc>
          <w:tcPr>
            <w:tcW w:w="7363" w:type="dxa"/>
            <w:hideMark/>
          </w:tcPr>
          <w:p w14:paraId="09B3A2B1" w14:textId="77777777" w:rsidR="00407106" w:rsidRDefault="00407106">
            <w:pPr>
              <w:spacing w:after="0" w:line="240" w:lineRule="auto"/>
              <w:ind w:firstLine="0"/>
              <w:rPr>
                <w:sz w:val="22"/>
                <w:szCs w:val="22"/>
              </w:rPr>
            </w:pPr>
            <w:r>
              <w:rPr>
                <w:sz w:val="22"/>
                <w:szCs w:val="22"/>
              </w:rPr>
              <w:t>The standard deviation of daily stock returns during the fiscal year (CRSP).</w:t>
            </w:r>
          </w:p>
        </w:tc>
      </w:tr>
      <w:tr w:rsidR="00407106" w14:paraId="26663766" w14:textId="77777777" w:rsidTr="00407106">
        <w:tc>
          <w:tcPr>
            <w:tcW w:w="1908" w:type="dxa"/>
            <w:hideMark/>
          </w:tcPr>
          <w:p w14:paraId="63E97D75" w14:textId="77777777" w:rsidR="00407106" w:rsidRDefault="00407106">
            <w:pPr>
              <w:spacing w:after="0" w:line="240" w:lineRule="auto"/>
              <w:ind w:firstLine="0"/>
              <w:rPr>
                <w:i/>
                <w:sz w:val="22"/>
                <w:szCs w:val="22"/>
              </w:rPr>
            </w:pPr>
            <w:r>
              <w:rPr>
                <w:i/>
                <w:sz w:val="22"/>
                <w:szCs w:val="22"/>
              </w:rPr>
              <w:t>LOSS</w:t>
            </w:r>
          </w:p>
        </w:tc>
        <w:tc>
          <w:tcPr>
            <w:tcW w:w="287" w:type="dxa"/>
            <w:hideMark/>
          </w:tcPr>
          <w:p w14:paraId="0F7ED8C2" w14:textId="77777777" w:rsidR="00407106" w:rsidRDefault="00407106">
            <w:pPr>
              <w:spacing w:after="0" w:line="240" w:lineRule="auto"/>
              <w:ind w:firstLine="0"/>
              <w:rPr>
                <w:sz w:val="22"/>
                <w:szCs w:val="22"/>
              </w:rPr>
            </w:pPr>
            <w:r>
              <w:rPr>
                <w:sz w:val="22"/>
                <w:szCs w:val="22"/>
              </w:rPr>
              <w:t>:</w:t>
            </w:r>
          </w:p>
        </w:tc>
        <w:tc>
          <w:tcPr>
            <w:tcW w:w="7363" w:type="dxa"/>
            <w:hideMark/>
          </w:tcPr>
          <w:p w14:paraId="104E497F" w14:textId="77777777" w:rsidR="00407106" w:rsidRDefault="00407106">
            <w:pPr>
              <w:spacing w:after="0" w:line="240" w:lineRule="auto"/>
              <w:ind w:firstLine="0"/>
              <w:rPr>
                <w:sz w:val="22"/>
                <w:szCs w:val="22"/>
              </w:rPr>
            </w:pPr>
            <w:r>
              <w:rPr>
                <w:sz w:val="22"/>
                <w:szCs w:val="22"/>
              </w:rPr>
              <w:t>A binary variable that equals one for companies that report negative income before extraordinary items (Compustat).</w:t>
            </w:r>
          </w:p>
        </w:tc>
      </w:tr>
      <w:tr w:rsidR="00407106" w14:paraId="08A6BF7E" w14:textId="77777777" w:rsidTr="00407106">
        <w:tc>
          <w:tcPr>
            <w:tcW w:w="1908" w:type="dxa"/>
            <w:tcBorders>
              <w:top w:val="nil"/>
              <w:left w:val="nil"/>
              <w:bottom w:val="single" w:sz="4" w:space="0" w:color="auto"/>
              <w:right w:val="nil"/>
            </w:tcBorders>
            <w:hideMark/>
          </w:tcPr>
          <w:p w14:paraId="3A68089D" w14:textId="77777777" w:rsidR="00407106" w:rsidRDefault="00407106">
            <w:pPr>
              <w:spacing w:after="0" w:line="240" w:lineRule="auto"/>
              <w:ind w:firstLine="0"/>
              <w:rPr>
                <w:i/>
                <w:sz w:val="22"/>
                <w:szCs w:val="22"/>
              </w:rPr>
            </w:pPr>
            <w:r>
              <w:rPr>
                <w:i/>
                <w:sz w:val="22"/>
                <w:szCs w:val="22"/>
              </w:rPr>
              <w:t>FORAGE</w:t>
            </w:r>
          </w:p>
        </w:tc>
        <w:tc>
          <w:tcPr>
            <w:tcW w:w="287" w:type="dxa"/>
            <w:tcBorders>
              <w:top w:val="nil"/>
              <w:left w:val="nil"/>
              <w:bottom w:val="single" w:sz="4" w:space="0" w:color="auto"/>
              <w:right w:val="nil"/>
            </w:tcBorders>
            <w:hideMark/>
          </w:tcPr>
          <w:p w14:paraId="441F5098" w14:textId="77777777" w:rsidR="00407106" w:rsidRDefault="00407106">
            <w:pPr>
              <w:spacing w:after="0" w:line="240" w:lineRule="auto"/>
              <w:ind w:firstLine="0"/>
              <w:rPr>
                <w:sz w:val="22"/>
                <w:szCs w:val="22"/>
              </w:rPr>
            </w:pPr>
            <w:r>
              <w:rPr>
                <w:sz w:val="22"/>
                <w:szCs w:val="22"/>
              </w:rPr>
              <w:t>:</w:t>
            </w:r>
          </w:p>
        </w:tc>
        <w:tc>
          <w:tcPr>
            <w:tcW w:w="7363" w:type="dxa"/>
            <w:tcBorders>
              <w:top w:val="nil"/>
              <w:left w:val="nil"/>
              <w:bottom w:val="single" w:sz="4" w:space="0" w:color="auto"/>
              <w:right w:val="nil"/>
            </w:tcBorders>
            <w:hideMark/>
          </w:tcPr>
          <w:p w14:paraId="00639DBB" w14:textId="77777777" w:rsidR="00407106" w:rsidRDefault="00407106">
            <w:pPr>
              <w:spacing w:after="0" w:line="240" w:lineRule="auto"/>
              <w:ind w:firstLine="0"/>
              <w:rPr>
                <w:sz w:val="22"/>
                <w:szCs w:val="22"/>
              </w:rPr>
            </w:pPr>
            <w:r>
              <w:rPr>
                <w:sz w:val="22"/>
                <w:szCs w:val="22"/>
              </w:rPr>
              <w:t>The natural logarithm of one plus the number of days that elapsed from the forecast issuance date until the earnings announcement date (I/B/E/S).</w:t>
            </w:r>
          </w:p>
        </w:tc>
      </w:tr>
    </w:tbl>
    <w:p w14:paraId="000CECDE" w14:textId="77777777" w:rsidR="00407106" w:rsidRDefault="00407106" w:rsidP="00407106">
      <w:pPr>
        <w:spacing w:after="0" w:line="276" w:lineRule="auto"/>
        <w:ind w:firstLine="0"/>
        <w:jc w:val="left"/>
        <w:rPr>
          <w:b/>
        </w:rPr>
      </w:pPr>
    </w:p>
    <w:p w14:paraId="0AE7A2F6" w14:textId="77777777" w:rsidR="00407106" w:rsidRDefault="00407106" w:rsidP="00407106">
      <w:pPr>
        <w:spacing w:line="276" w:lineRule="auto"/>
        <w:ind w:firstLine="0"/>
        <w:jc w:val="left"/>
        <w:rPr>
          <w:b/>
        </w:rPr>
      </w:pPr>
      <w:r>
        <w:rPr>
          <w:b/>
        </w:rPr>
        <w:br w:type="page"/>
      </w:r>
    </w:p>
    <w:p w14:paraId="736362ED" w14:textId="77777777" w:rsidR="00407106" w:rsidRDefault="00407106" w:rsidP="00407106">
      <w:pPr>
        <w:spacing w:after="0" w:line="276" w:lineRule="auto"/>
        <w:ind w:firstLine="0"/>
        <w:jc w:val="center"/>
        <w:rPr>
          <w:b/>
        </w:rPr>
      </w:pPr>
      <w:r>
        <w:rPr>
          <w:b/>
        </w:rPr>
        <w:lastRenderedPageBreak/>
        <w:t>TABLE 2</w:t>
      </w:r>
    </w:p>
    <w:p w14:paraId="46D72175" w14:textId="77777777" w:rsidR="00407106" w:rsidRDefault="00407106" w:rsidP="00407106">
      <w:pPr>
        <w:spacing w:after="0" w:line="276" w:lineRule="auto"/>
        <w:ind w:firstLine="0"/>
        <w:jc w:val="center"/>
        <w:rPr>
          <w:i/>
        </w:rPr>
      </w:pPr>
      <w:r>
        <w:rPr>
          <w:i/>
        </w:rPr>
        <w:t>Sample Derivation and Composition</w:t>
      </w:r>
    </w:p>
    <w:p w14:paraId="462B584D" w14:textId="77777777" w:rsidR="00407106" w:rsidRDefault="00407106" w:rsidP="00407106">
      <w:pPr>
        <w:spacing w:after="0" w:line="276" w:lineRule="auto"/>
        <w:ind w:firstLine="0"/>
      </w:pPr>
      <w:r>
        <w:t>This table reports the sample derivation (Panel A) and the number of observations in the final sample by year (Panel B).</w:t>
      </w:r>
    </w:p>
    <w:p w14:paraId="07E750CD" w14:textId="77777777" w:rsidR="00407106" w:rsidRDefault="00407106" w:rsidP="00407106">
      <w:pPr>
        <w:spacing w:after="0" w:line="276" w:lineRule="auto"/>
        <w:ind w:firstLine="0"/>
      </w:pPr>
    </w:p>
    <w:p w14:paraId="50137F3F" w14:textId="77777777" w:rsidR="00407106" w:rsidRDefault="00407106" w:rsidP="00407106">
      <w:pPr>
        <w:pStyle w:val="Tables"/>
      </w:pPr>
      <w:r>
        <w:t xml:space="preserve">Panel A: Sample derivation </w:t>
      </w:r>
    </w:p>
    <w:tbl>
      <w:tblPr>
        <w:tblStyle w:val="TableGrid"/>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1530"/>
      </w:tblGrid>
      <w:tr w:rsidR="00407106" w14:paraId="3DCB4845" w14:textId="77777777" w:rsidTr="00407106">
        <w:tc>
          <w:tcPr>
            <w:tcW w:w="7830" w:type="dxa"/>
            <w:tcBorders>
              <w:top w:val="single" w:sz="4" w:space="0" w:color="auto"/>
              <w:left w:val="nil"/>
              <w:bottom w:val="single" w:sz="4" w:space="0" w:color="auto"/>
              <w:right w:val="nil"/>
            </w:tcBorders>
            <w:hideMark/>
          </w:tcPr>
          <w:p w14:paraId="17056543" w14:textId="77777777" w:rsidR="00407106" w:rsidRDefault="00407106">
            <w:pPr>
              <w:pStyle w:val="Tables"/>
            </w:pPr>
            <w:r>
              <w:t>Steps</w:t>
            </w:r>
          </w:p>
        </w:tc>
        <w:tc>
          <w:tcPr>
            <w:tcW w:w="1530" w:type="dxa"/>
            <w:tcBorders>
              <w:top w:val="single" w:sz="4" w:space="0" w:color="auto"/>
              <w:left w:val="nil"/>
              <w:bottom w:val="single" w:sz="4" w:space="0" w:color="auto"/>
              <w:right w:val="nil"/>
            </w:tcBorders>
            <w:hideMark/>
          </w:tcPr>
          <w:p w14:paraId="450A78DB" w14:textId="77777777" w:rsidR="00407106" w:rsidRDefault="00407106">
            <w:pPr>
              <w:pStyle w:val="Tables"/>
              <w:jc w:val="right"/>
            </w:pPr>
            <w:r>
              <w:t>Obs.</w:t>
            </w:r>
          </w:p>
        </w:tc>
      </w:tr>
      <w:tr w:rsidR="00407106" w14:paraId="033F99C7" w14:textId="77777777" w:rsidTr="00407106">
        <w:trPr>
          <w:trHeight w:val="305"/>
        </w:trPr>
        <w:tc>
          <w:tcPr>
            <w:tcW w:w="7830" w:type="dxa"/>
            <w:tcBorders>
              <w:top w:val="single" w:sz="4" w:space="0" w:color="auto"/>
              <w:left w:val="nil"/>
              <w:bottom w:val="nil"/>
              <w:right w:val="nil"/>
            </w:tcBorders>
            <w:hideMark/>
          </w:tcPr>
          <w:p w14:paraId="3AA04952" w14:textId="77777777" w:rsidR="00407106" w:rsidRDefault="00407106">
            <w:pPr>
              <w:pStyle w:val="Tables"/>
              <w:jc w:val="left"/>
              <w:rPr>
                <w:u w:val="single"/>
              </w:rPr>
            </w:pPr>
            <w:r>
              <w:rPr>
                <w:u w:val="single"/>
              </w:rPr>
              <w:t>Firm-year level sample</w:t>
            </w:r>
          </w:p>
        </w:tc>
        <w:tc>
          <w:tcPr>
            <w:tcW w:w="1530" w:type="dxa"/>
            <w:tcBorders>
              <w:top w:val="single" w:sz="4" w:space="0" w:color="auto"/>
              <w:left w:val="nil"/>
              <w:bottom w:val="nil"/>
              <w:right w:val="nil"/>
            </w:tcBorders>
          </w:tcPr>
          <w:p w14:paraId="3229A8DB" w14:textId="77777777" w:rsidR="00407106" w:rsidRDefault="00407106">
            <w:pPr>
              <w:pStyle w:val="Tables"/>
              <w:jc w:val="right"/>
            </w:pPr>
          </w:p>
        </w:tc>
      </w:tr>
      <w:tr w:rsidR="00407106" w14:paraId="023E6CBD" w14:textId="77777777" w:rsidTr="00407106">
        <w:tc>
          <w:tcPr>
            <w:tcW w:w="7830" w:type="dxa"/>
            <w:hideMark/>
          </w:tcPr>
          <w:p w14:paraId="39FB0DF5" w14:textId="77777777" w:rsidR="00407106" w:rsidRDefault="00407106">
            <w:pPr>
              <w:pStyle w:val="Tables"/>
              <w:jc w:val="left"/>
            </w:pPr>
            <w:r>
              <w:t>Sample of 2011-2014 fiscal year companies that meet the following conditions:</w:t>
            </w:r>
          </w:p>
          <w:p w14:paraId="6F533F5A" w14:textId="77777777" w:rsidR="00407106" w:rsidRDefault="00407106" w:rsidP="00A62147">
            <w:pPr>
              <w:pStyle w:val="Tables"/>
              <w:numPr>
                <w:ilvl w:val="0"/>
                <w:numId w:val="6"/>
              </w:numPr>
              <w:jc w:val="left"/>
            </w:pPr>
            <w:r>
              <w:t xml:space="preserve">XBRL filings submitted within 150 days of the fiscal year end, </w:t>
            </w:r>
          </w:p>
          <w:p w14:paraId="67B25E3F" w14:textId="77777777" w:rsidR="00407106" w:rsidRDefault="00407106" w:rsidP="00A62147">
            <w:pPr>
              <w:pStyle w:val="Tables"/>
              <w:numPr>
                <w:ilvl w:val="0"/>
                <w:numId w:val="6"/>
              </w:numPr>
              <w:jc w:val="left"/>
            </w:pPr>
            <w:r>
              <w:t>At least ten taxonomy tags in each of the financial statements (i.e. income statement, balance sheet, and statement of cash-flows) and the notes.</w:t>
            </w:r>
          </w:p>
        </w:tc>
        <w:tc>
          <w:tcPr>
            <w:tcW w:w="1530" w:type="dxa"/>
            <w:hideMark/>
          </w:tcPr>
          <w:p w14:paraId="40D68F26" w14:textId="77777777" w:rsidR="00407106" w:rsidRDefault="00407106">
            <w:pPr>
              <w:pStyle w:val="Tables"/>
              <w:jc w:val="right"/>
            </w:pPr>
            <w:r>
              <w:t>13,499</w:t>
            </w:r>
          </w:p>
        </w:tc>
      </w:tr>
      <w:tr w:rsidR="00407106" w14:paraId="3E16D35D" w14:textId="77777777" w:rsidTr="00407106">
        <w:tc>
          <w:tcPr>
            <w:tcW w:w="7830" w:type="dxa"/>
            <w:hideMark/>
          </w:tcPr>
          <w:p w14:paraId="2FDE5086" w14:textId="77777777" w:rsidR="00407106" w:rsidRDefault="00407106">
            <w:pPr>
              <w:pStyle w:val="Tables"/>
              <w:jc w:val="left"/>
            </w:pPr>
            <w:r>
              <w:t>Merge with the intersection of Compustat Annual File (comp.funda) based on CIK code.</w:t>
            </w:r>
          </w:p>
        </w:tc>
        <w:tc>
          <w:tcPr>
            <w:tcW w:w="1530" w:type="dxa"/>
            <w:hideMark/>
          </w:tcPr>
          <w:p w14:paraId="7EC3F18E" w14:textId="77777777" w:rsidR="00407106" w:rsidRDefault="00407106">
            <w:pPr>
              <w:pStyle w:val="Tables"/>
              <w:jc w:val="right"/>
              <w:rPr>
                <w:highlight w:val="yellow"/>
              </w:rPr>
            </w:pPr>
            <w:r>
              <w:t>10,788</w:t>
            </w:r>
          </w:p>
        </w:tc>
      </w:tr>
      <w:tr w:rsidR="00407106" w14:paraId="7EB13FB0" w14:textId="77777777" w:rsidTr="00407106">
        <w:tc>
          <w:tcPr>
            <w:tcW w:w="7830" w:type="dxa"/>
            <w:hideMark/>
          </w:tcPr>
          <w:p w14:paraId="0CB77D84" w14:textId="77777777" w:rsidR="00407106" w:rsidRDefault="00407106">
            <w:pPr>
              <w:pStyle w:val="Tables"/>
              <w:jc w:val="left"/>
            </w:pPr>
            <w:r>
              <w:t xml:space="preserve">Retain companies with positive sales (Compustat data item: </w:t>
            </w:r>
            <w:r>
              <w:rPr>
                <w:i/>
              </w:rPr>
              <w:t>sale</w:t>
            </w:r>
            <w:r>
              <w:t>), non-missing common shares outstanding (</w:t>
            </w:r>
            <w:r>
              <w:rPr>
                <w:i/>
              </w:rPr>
              <w:t>csho</w:t>
            </w:r>
            <w:r>
              <w:t>) and total assets (</w:t>
            </w:r>
            <w:r>
              <w:rPr>
                <w:i/>
              </w:rPr>
              <w:t>at</w:t>
            </w:r>
            <w:r>
              <w:t>) greater than $10 million.</w:t>
            </w:r>
          </w:p>
        </w:tc>
        <w:tc>
          <w:tcPr>
            <w:tcW w:w="1530" w:type="dxa"/>
            <w:hideMark/>
          </w:tcPr>
          <w:p w14:paraId="7656E58D" w14:textId="77777777" w:rsidR="00407106" w:rsidRDefault="00407106">
            <w:pPr>
              <w:pStyle w:val="Tables"/>
              <w:jc w:val="right"/>
              <w:rPr>
                <w:highlight w:val="yellow"/>
              </w:rPr>
            </w:pPr>
            <w:r>
              <w:t>10,194</w:t>
            </w:r>
          </w:p>
        </w:tc>
      </w:tr>
      <w:tr w:rsidR="00407106" w14:paraId="57798AC4" w14:textId="77777777" w:rsidTr="00407106">
        <w:tc>
          <w:tcPr>
            <w:tcW w:w="7830" w:type="dxa"/>
            <w:hideMark/>
          </w:tcPr>
          <w:p w14:paraId="70E551AC" w14:textId="77777777" w:rsidR="00407106" w:rsidRDefault="00407106">
            <w:pPr>
              <w:pStyle w:val="Tables"/>
              <w:jc w:val="left"/>
            </w:pPr>
            <w:r>
              <w:t>Eliminate firms without the necessary accounting data and without analyst coverage (based on earnings forecasts). Specifically, we require that each firm-year has at least three earnings forecasts. Note: We require at a minimum three earnings forecasts to calculate forecast dispersion.</w:t>
            </w:r>
          </w:p>
        </w:tc>
        <w:tc>
          <w:tcPr>
            <w:tcW w:w="1530" w:type="dxa"/>
          </w:tcPr>
          <w:p w14:paraId="287B34BD" w14:textId="77777777" w:rsidR="00407106" w:rsidRDefault="00407106">
            <w:pPr>
              <w:pStyle w:val="Tables"/>
              <w:jc w:val="right"/>
            </w:pPr>
            <w:r>
              <w:t>8,361</w:t>
            </w:r>
          </w:p>
          <w:p w14:paraId="19A2F6E0" w14:textId="77777777" w:rsidR="00407106" w:rsidRDefault="00407106">
            <w:pPr>
              <w:pStyle w:val="Tables"/>
              <w:jc w:val="right"/>
            </w:pPr>
          </w:p>
          <w:p w14:paraId="1BE5BC67" w14:textId="77777777" w:rsidR="00407106" w:rsidRDefault="00407106">
            <w:pPr>
              <w:pStyle w:val="Tables"/>
              <w:jc w:val="right"/>
            </w:pPr>
          </w:p>
        </w:tc>
      </w:tr>
      <w:tr w:rsidR="00407106" w14:paraId="57D2D993" w14:textId="77777777" w:rsidTr="00407106">
        <w:tc>
          <w:tcPr>
            <w:tcW w:w="7830" w:type="dxa"/>
          </w:tcPr>
          <w:p w14:paraId="6CCD68C0" w14:textId="77777777" w:rsidR="00407106" w:rsidRDefault="00407106">
            <w:pPr>
              <w:pStyle w:val="Tables"/>
              <w:jc w:val="left"/>
            </w:pPr>
          </w:p>
        </w:tc>
        <w:tc>
          <w:tcPr>
            <w:tcW w:w="1530" w:type="dxa"/>
          </w:tcPr>
          <w:p w14:paraId="1F388F01" w14:textId="77777777" w:rsidR="00407106" w:rsidRDefault="00407106">
            <w:pPr>
              <w:pStyle w:val="Tables"/>
              <w:jc w:val="right"/>
            </w:pPr>
          </w:p>
        </w:tc>
      </w:tr>
      <w:tr w:rsidR="00407106" w14:paraId="57357645" w14:textId="77777777" w:rsidTr="00407106">
        <w:tc>
          <w:tcPr>
            <w:tcW w:w="7830" w:type="dxa"/>
            <w:hideMark/>
          </w:tcPr>
          <w:p w14:paraId="4EF1CFCB" w14:textId="77777777" w:rsidR="00407106" w:rsidRDefault="00407106">
            <w:pPr>
              <w:pStyle w:val="Tables"/>
              <w:rPr>
                <w:u w:val="single"/>
              </w:rPr>
            </w:pPr>
            <w:r>
              <w:rPr>
                <w:u w:val="single"/>
              </w:rPr>
              <w:t>Analyst-firm-year level sample</w:t>
            </w:r>
          </w:p>
        </w:tc>
        <w:tc>
          <w:tcPr>
            <w:tcW w:w="1530" w:type="dxa"/>
          </w:tcPr>
          <w:p w14:paraId="2DBD6E19" w14:textId="77777777" w:rsidR="00407106" w:rsidRDefault="00407106">
            <w:pPr>
              <w:pStyle w:val="Tables"/>
              <w:jc w:val="right"/>
            </w:pPr>
          </w:p>
        </w:tc>
      </w:tr>
      <w:tr w:rsidR="00407106" w14:paraId="01525381" w14:textId="77777777" w:rsidTr="00407106">
        <w:tc>
          <w:tcPr>
            <w:tcW w:w="7830" w:type="dxa"/>
            <w:tcBorders>
              <w:top w:val="nil"/>
              <w:left w:val="nil"/>
              <w:bottom w:val="single" w:sz="4" w:space="0" w:color="auto"/>
              <w:right w:val="nil"/>
            </w:tcBorders>
            <w:hideMark/>
          </w:tcPr>
          <w:p w14:paraId="39070FF5" w14:textId="77777777" w:rsidR="00407106" w:rsidRDefault="00407106">
            <w:pPr>
              <w:pStyle w:val="Tables"/>
            </w:pPr>
            <w:r>
              <w:t xml:space="preserve">Obtain annual earnings estimates issued by analysts covering the companies in the firm-year level sample. Retain the last estimate issued by each analyst who has a non-anonymous I/B/E/S analyst and brokerage code (i.e., </w:t>
            </w:r>
            <w:r>
              <w:rPr>
                <w:i/>
              </w:rPr>
              <w:t>analys</w:t>
            </w:r>
            <w:r>
              <w:t xml:space="preserve"> and </w:t>
            </w:r>
            <w:r>
              <w:rPr>
                <w:i/>
              </w:rPr>
              <w:t>estimator</w:t>
            </w:r>
            <w:r>
              <w:t xml:space="preserve"> variables unequal to “000000”). </w:t>
            </w:r>
          </w:p>
        </w:tc>
        <w:tc>
          <w:tcPr>
            <w:tcW w:w="1530" w:type="dxa"/>
            <w:tcBorders>
              <w:top w:val="nil"/>
              <w:left w:val="nil"/>
              <w:bottom w:val="single" w:sz="4" w:space="0" w:color="auto"/>
              <w:right w:val="nil"/>
            </w:tcBorders>
            <w:hideMark/>
          </w:tcPr>
          <w:p w14:paraId="5EFBEA24" w14:textId="77777777" w:rsidR="00407106" w:rsidRDefault="00407106">
            <w:pPr>
              <w:pStyle w:val="Tables"/>
              <w:jc w:val="right"/>
            </w:pPr>
            <w:r>
              <w:t>113,073</w:t>
            </w:r>
          </w:p>
        </w:tc>
      </w:tr>
    </w:tbl>
    <w:p w14:paraId="4E5A28F8" w14:textId="77777777" w:rsidR="00407106" w:rsidRDefault="00407106" w:rsidP="00407106">
      <w:pPr>
        <w:pStyle w:val="Tables"/>
      </w:pPr>
    </w:p>
    <w:p w14:paraId="73E29945" w14:textId="77777777" w:rsidR="00407106" w:rsidRDefault="00407106" w:rsidP="00407106">
      <w:pPr>
        <w:pStyle w:val="Tables"/>
      </w:pPr>
      <w:r>
        <w:t>Panel B: Observations per year</w:t>
      </w:r>
    </w:p>
    <w:tbl>
      <w:tblPr>
        <w:tblW w:w="0" w:type="dxa"/>
        <w:tblInd w:w="-90" w:type="dxa"/>
        <w:tblLayout w:type="fixed"/>
        <w:tblLook w:val="04A0" w:firstRow="1" w:lastRow="0" w:firstColumn="1" w:lastColumn="0" w:noHBand="0" w:noVBand="1"/>
      </w:tblPr>
      <w:tblGrid>
        <w:gridCol w:w="900"/>
        <w:gridCol w:w="4320"/>
        <w:gridCol w:w="4230"/>
      </w:tblGrid>
      <w:tr w:rsidR="00407106" w14:paraId="42ADCE6A" w14:textId="77777777" w:rsidTr="00407106">
        <w:tc>
          <w:tcPr>
            <w:tcW w:w="900" w:type="dxa"/>
            <w:tcBorders>
              <w:top w:val="single" w:sz="4" w:space="0" w:color="auto"/>
              <w:left w:val="nil"/>
              <w:bottom w:val="single" w:sz="4" w:space="0" w:color="auto"/>
              <w:right w:val="nil"/>
            </w:tcBorders>
            <w:hideMark/>
          </w:tcPr>
          <w:p w14:paraId="571ED5F0" w14:textId="77777777" w:rsidR="00407106" w:rsidRDefault="00407106">
            <w:pPr>
              <w:pStyle w:val="Tables"/>
              <w:spacing w:line="276" w:lineRule="auto"/>
            </w:pPr>
            <w:r>
              <w:t>Year</w:t>
            </w:r>
          </w:p>
        </w:tc>
        <w:tc>
          <w:tcPr>
            <w:tcW w:w="4320" w:type="dxa"/>
            <w:tcBorders>
              <w:top w:val="single" w:sz="4" w:space="0" w:color="auto"/>
              <w:left w:val="nil"/>
              <w:bottom w:val="single" w:sz="4" w:space="0" w:color="auto"/>
              <w:right w:val="nil"/>
            </w:tcBorders>
            <w:hideMark/>
          </w:tcPr>
          <w:p w14:paraId="55024B5A" w14:textId="77777777" w:rsidR="00407106" w:rsidRDefault="00407106">
            <w:pPr>
              <w:pStyle w:val="Tables"/>
              <w:spacing w:line="276" w:lineRule="auto"/>
              <w:jc w:val="right"/>
            </w:pPr>
            <w:r>
              <w:t>Number of firms</w:t>
            </w:r>
          </w:p>
        </w:tc>
        <w:tc>
          <w:tcPr>
            <w:tcW w:w="4230" w:type="dxa"/>
            <w:tcBorders>
              <w:top w:val="single" w:sz="4" w:space="0" w:color="auto"/>
              <w:left w:val="nil"/>
              <w:bottom w:val="single" w:sz="4" w:space="0" w:color="auto"/>
              <w:right w:val="nil"/>
            </w:tcBorders>
            <w:hideMark/>
          </w:tcPr>
          <w:p w14:paraId="54119C80" w14:textId="77777777" w:rsidR="00407106" w:rsidRDefault="00407106">
            <w:pPr>
              <w:pStyle w:val="Tables"/>
              <w:spacing w:line="276" w:lineRule="auto"/>
              <w:jc w:val="right"/>
            </w:pPr>
            <w:r>
              <w:t>Number of forecasts</w:t>
            </w:r>
          </w:p>
        </w:tc>
      </w:tr>
      <w:tr w:rsidR="00407106" w14:paraId="54B84F22" w14:textId="77777777" w:rsidTr="00407106">
        <w:tc>
          <w:tcPr>
            <w:tcW w:w="900" w:type="dxa"/>
            <w:tcBorders>
              <w:top w:val="single" w:sz="4" w:space="0" w:color="auto"/>
              <w:left w:val="nil"/>
              <w:bottom w:val="nil"/>
              <w:right w:val="nil"/>
            </w:tcBorders>
            <w:hideMark/>
          </w:tcPr>
          <w:p w14:paraId="20D49246" w14:textId="77777777" w:rsidR="00407106" w:rsidRDefault="00407106">
            <w:pPr>
              <w:pStyle w:val="Tables"/>
              <w:spacing w:line="276" w:lineRule="auto"/>
            </w:pPr>
            <w:r>
              <w:t>2011</w:t>
            </w:r>
          </w:p>
        </w:tc>
        <w:tc>
          <w:tcPr>
            <w:tcW w:w="4320" w:type="dxa"/>
            <w:tcBorders>
              <w:top w:val="single" w:sz="4" w:space="0" w:color="auto"/>
              <w:left w:val="nil"/>
              <w:bottom w:val="nil"/>
              <w:right w:val="nil"/>
            </w:tcBorders>
            <w:hideMark/>
          </w:tcPr>
          <w:p w14:paraId="15FC5223" w14:textId="77777777" w:rsidR="00407106" w:rsidRDefault="00407106">
            <w:pPr>
              <w:widowControl w:val="0"/>
              <w:autoSpaceDE w:val="0"/>
              <w:autoSpaceDN w:val="0"/>
              <w:adjustRightInd w:val="0"/>
              <w:spacing w:after="0" w:line="240" w:lineRule="auto"/>
              <w:jc w:val="right"/>
            </w:pPr>
            <w:r>
              <w:t>1,050</w:t>
            </w:r>
          </w:p>
        </w:tc>
        <w:tc>
          <w:tcPr>
            <w:tcW w:w="4230" w:type="dxa"/>
            <w:tcBorders>
              <w:top w:val="single" w:sz="4" w:space="0" w:color="auto"/>
              <w:left w:val="nil"/>
              <w:bottom w:val="nil"/>
              <w:right w:val="nil"/>
            </w:tcBorders>
            <w:hideMark/>
          </w:tcPr>
          <w:p w14:paraId="0BE7BFDE" w14:textId="77777777" w:rsidR="00407106" w:rsidRDefault="00407106">
            <w:pPr>
              <w:widowControl w:val="0"/>
              <w:autoSpaceDE w:val="0"/>
              <w:autoSpaceDN w:val="0"/>
              <w:adjustRightInd w:val="0"/>
              <w:spacing w:after="0" w:line="240" w:lineRule="auto"/>
              <w:jc w:val="right"/>
            </w:pPr>
            <w:r>
              <w:t>18,397</w:t>
            </w:r>
          </w:p>
        </w:tc>
      </w:tr>
      <w:tr w:rsidR="00407106" w14:paraId="46F9F8C9" w14:textId="77777777" w:rsidTr="00407106">
        <w:tc>
          <w:tcPr>
            <w:tcW w:w="900" w:type="dxa"/>
            <w:hideMark/>
          </w:tcPr>
          <w:p w14:paraId="3DC0C0FD" w14:textId="77777777" w:rsidR="00407106" w:rsidRDefault="00407106">
            <w:pPr>
              <w:pStyle w:val="Tables"/>
              <w:spacing w:line="276" w:lineRule="auto"/>
            </w:pPr>
            <w:r>
              <w:t>2012</w:t>
            </w:r>
          </w:p>
        </w:tc>
        <w:tc>
          <w:tcPr>
            <w:tcW w:w="4320" w:type="dxa"/>
            <w:hideMark/>
          </w:tcPr>
          <w:p w14:paraId="26B88A7F" w14:textId="77777777" w:rsidR="00407106" w:rsidRDefault="00407106">
            <w:pPr>
              <w:widowControl w:val="0"/>
              <w:autoSpaceDE w:val="0"/>
              <w:autoSpaceDN w:val="0"/>
              <w:adjustRightInd w:val="0"/>
              <w:spacing w:after="0" w:line="240" w:lineRule="auto"/>
              <w:jc w:val="right"/>
            </w:pPr>
            <w:r>
              <w:t>2,379</w:t>
            </w:r>
          </w:p>
        </w:tc>
        <w:tc>
          <w:tcPr>
            <w:tcW w:w="4230" w:type="dxa"/>
            <w:hideMark/>
          </w:tcPr>
          <w:p w14:paraId="10A5E2C9" w14:textId="77777777" w:rsidR="00407106" w:rsidRDefault="00407106">
            <w:pPr>
              <w:widowControl w:val="0"/>
              <w:autoSpaceDE w:val="0"/>
              <w:autoSpaceDN w:val="0"/>
              <w:adjustRightInd w:val="0"/>
              <w:spacing w:after="0" w:line="240" w:lineRule="auto"/>
              <w:jc w:val="right"/>
            </w:pPr>
            <w:r>
              <w:t>30,516</w:t>
            </w:r>
          </w:p>
        </w:tc>
      </w:tr>
      <w:tr w:rsidR="00407106" w14:paraId="16F253C5" w14:textId="77777777" w:rsidTr="00407106">
        <w:tc>
          <w:tcPr>
            <w:tcW w:w="900" w:type="dxa"/>
            <w:hideMark/>
          </w:tcPr>
          <w:p w14:paraId="7ECA0098" w14:textId="77777777" w:rsidR="00407106" w:rsidRDefault="00407106">
            <w:pPr>
              <w:pStyle w:val="Tables"/>
              <w:spacing w:line="276" w:lineRule="auto"/>
            </w:pPr>
            <w:r>
              <w:t>2013</w:t>
            </w:r>
          </w:p>
        </w:tc>
        <w:tc>
          <w:tcPr>
            <w:tcW w:w="4320" w:type="dxa"/>
            <w:hideMark/>
          </w:tcPr>
          <w:p w14:paraId="2685D5A9" w14:textId="77777777" w:rsidR="00407106" w:rsidRDefault="00407106">
            <w:pPr>
              <w:widowControl w:val="0"/>
              <w:autoSpaceDE w:val="0"/>
              <w:autoSpaceDN w:val="0"/>
              <w:adjustRightInd w:val="0"/>
              <w:spacing w:after="0" w:line="240" w:lineRule="auto"/>
              <w:jc w:val="right"/>
            </w:pPr>
            <w:r>
              <w:t>2,425</w:t>
            </w:r>
          </w:p>
        </w:tc>
        <w:tc>
          <w:tcPr>
            <w:tcW w:w="4230" w:type="dxa"/>
            <w:hideMark/>
          </w:tcPr>
          <w:p w14:paraId="77627368" w14:textId="77777777" w:rsidR="00407106" w:rsidRDefault="00407106">
            <w:pPr>
              <w:widowControl w:val="0"/>
              <w:autoSpaceDE w:val="0"/>
              <w:autoSpaceDN w:val="0"/>
              <w:adjustRightInd w:val="0"/>
              <w:spacing w:after="0" w:line="240" w:lineRule="auto"/>
              <w:jc w:val="right"/>
            </w:pPr>
            <w:r>
              <w:t>32,107</w:t>
            </w:r>
          </w:p>
        </w:tc>
      </w:tr>
      <w:tr w:rsidR="00407106" w14:paraId="6DD4220B" w14:textId="77777777" w:rsidTr="00407106">
        <w:tc>
          <w:tcPr>
            <w:tcW w:w="900" w:type="dxa"/>
            <w:tcBorders>
              <w:top w:val="nil"/>
              <w:left w:val="nil"/>
              <w:bottom w:val="single" w:sz="4" w:space="0" w:color="auto"/>
              <w:right w:val="nil"/>
            </w:tcBorders>
            <w:hideMark/>
          </w:tcPr>
          <w:p w14:paraId="69847120" w14:textId="77777777" w:rsidR="00407106" w:rsidRDefault="00407106">
            <w:pPr>
              <w:pStyle w:val="Tables"/>
              <w:spacing w:line="276" w:lineRule="auto"/>
            </w:pPr>
            <w:r>
              <w:t>2014</w:t>
            </w:r>
          </w:p>
        </w:tc>
        <w:tc>
          <w:tcPr>
            <w:tcW w:w="4320" w:type="dxa"/>
            <w:tcBorders>
              <w:top w:val="nil"/>
              <w:left w:val="nil"/>
              <w:bottom w:val="single" w:sz="4" w:space="0" w:color="auto"/>
              <w:right w:val="nil"/>
            </w:tcBorders>
            <w:hideMark/>
          </w:tcPr>
          <w:p w14:paraId="18F4BA2F" w14:textId="77777777" w:rsidR="00407106" w:rsidRDefault="00407106">
            <w:pPr>
              <w:widowControl w:val="0"/>
              <w:autoSpaceDE w:val="0"/>
              <w:autoSpaceDN w:val="0"/>
              <w:adjustRightInd w:val="0"/>
              <w:spacing w:after="0" w:line="240" w:lineRule="auto"/>
              <w:jc w:val="right"/>
            </w:pPr>
            <w:r>
              <w:t>2,507</w:t>
            </w:r>
          </w:p>
        </w:tc>
        <w:tc>
          <w:tcPr>
            <w:tcW w:w="4230" w:type="dxa"/>
            <w:tcBorders>
              <w:top w:val="nil"/>
              <w:left w:val="nil"/>
              <w:bottom w:val="single" w:sz="4" w:space="0" w:color="auto"/>
              <w:right w:val="nil"/>
            </w:tcBorders>
            <w:hideMark/>
          </w:tcPr>
          <w:p w14:paraId="7F976394" w14:textId="77777777" w:rsidR="00407106" w:rsidRDefault="00407106">
            <w:pPr>
              <w:widowControl w:val="0"/>
              <w:autoSpaceDE w:val="0"/>
              <w:autoSpaceDN w:val="0"/>
              <w:adjustRightInd w:val="0"/>
              <w:spacing w:after="0" w:line="240" w:lineRule="auto"/>
              <w:jc w:val="right"/>
            </w:pPr>
            <w:r>
              <w:t>32,053</w:t>
            </w:r>
          </w:p>
        </w:tc>
      </w:tr>
      <w:tr w:rsidR="00407106" w14:paraId="6C2EBF89" w14:textId="77777777" w:rsidTr="00407106">
        <w:tc>
          <w:tcPr>
            <w:tcW w:w="900" w:type="dxa"/>
            <w:tcBorders>
              <w:top w:val="single" w:sz="4" w:space="0" w:color="auto"/>
              <w:left w:val="nil"/>
              <w:bottom w:val="single" w:sz="4" w:space="0" w:color="auto"/>
              <w:right w:val="nil"/>
            </w:tcBorders>
            <w:hideMark/>
          </w:tcPr>
          <w:p w14:paraId="7E2AF4CE" w14:textId="77777777" w:rsidR="00407106" w:rsidRDefault="00407106">
            <w:pPr>
              <w:pStyle w:val="Tables"/>
              <w:spacing w:line="276" w:lineRule="auto"/>
            </w:pPr>
            <w:r>
              <w:t>Total</w:t>
            </w:r>
          </w:p>
        </w:tc>
        <w:tc>
          <w:tcPr>
            <w:tcW w:w="4320" w:type="dxa"/>
            <w:tcBorders>
              <w:top w:val="single" w:sz="4" w:space="0" w:color="auto"/>
              <w:left w:val="nil"/>
              <w:bottom w:val="single" w:sz="4" w:space="0" w:color="auto"/>
              <w:right w:val="nil"/>
            </w:tcBorders>
            <w:hideMark/>
          </w:tcPr>
          <w:p w14:paraId="50FE89EE" w14:textId="77777777" w:rsidR="00407106" w:rsidRDefault="00407106">
            <w:pPr>
              <w:widowControl w:val="0"/>
              <w:autoSpaceDE w:val="0"/>
              <w:autoSpaceDN w:val="0"/>
              <w:adjustRightInd w:val="0"/>
              <w:spacing w:after="0" w:line="240" w:lineRule="auto"/>
              <w:jc w:val="right"/>
            </w:pPr>
            <w:r>
              <w:t>8,361</w:t>
            </w:r>
          </w:p>
        </w:tc>
        <w:tc>
          <w:tcPr>
            <w:tcW w:w="4230" w:type="dxa"/>
            <w:tcBorders>
              <w:top w:val="single" w:sz="4" w:space="0" w:color="auto"/>
              <w:left w:val="nil"/>
              <w:bottom w:val="single" w:sz="4" w:space="0" w:color="auto"/>
              <w:right w:val="nil"/>
            </w:tcBorders>
            <w:hideMark/>
          </w:tcPr>
          <w:p w14:paraId="4FFE5C7B" w14:textId="77777777" w:rsidR="00407106" w:rsidRDefault="00407106">
            <w:pPr>
              <w:widowControl w:val="0"/>
              <w:autoSpaceDE w:val="0"/>
              <w:autoSpaceDN w:val="0"/>
              <w:adjustRightInd w:val="0"/>
              <w:spacing w:after="0" w:line="240" w:lineRule="auto"/>
              <w:jc w:val="right"/>
            </w:pPr>
            <w:r>
              <w:t>113,073</w:t>
            </w:r>
          </w:p>
        </w:tc>
      </w:tr>
    </w:tbl>
    <w:p w14:paraId="5876D757" w14:textId="77777777" w:rsidR="00407106" w:rsidRDefault="00407106" w:rsidP="00407106">
      <w:pPr>
        <w:spacing w:after="0" w:line="276" w:lineRule="auto"/>
        <w:ind w:firstLine="0"/>
      </w:pPr>
    </w:p>
    <w:p w14:paraId="62300616" w14:textId="77777777" w:rsidR="00407106" w:rsidRDefault="00407106" w:rsidP="00407106">
      <w:pPr>
        <w:spacing w:after="0" w:line="240" w:lineRule="auto"/>
        <w:ind w:firstLine="0"/>
        <w:jc w:val="center"/>
        <w:rPr>
          <w:b/>
        </w:rPr>
      </w:pPr>
      <w:r>
        <w:rPr>
          <w:b/>
        </w:rPr>
        <w:br w:type="page"/>
      </w:r>
      <w:r>
        <w:rPr>
          <w:b/>
        </w:rPr>
        <w:lastRenderedPageBreak/>
        <w:t>TABLE 3</w:t>
      </w:r>
    </w:p>
    <w:p w14:paraId="67665FE5" w14:textId="77777777" w:rsidR="00407106" w:rsidRDefault="00407106" w:rsidP="00407106">
      <w:pPr>
        <w:spacing w:after="0" w:line="276" w:lineRule="auto"/>
        <w:ind w:firstLine="0"/>
        <w:jc w:val="center"/>
        <w:rPr>
          <w:i/>
        </w:rPr>
      </w:pPr>
      <w:r>
        <w:rPr>
          <w:i/>
        </w:rPr>
        <w:t>Summary Statistics</w:t>
      </w:r>
    </w:p>
    <w:p w14:paraId="5D79AF3A" w14:textId="77777777" w:rsidR="00407106" w:rsidRDefault="00407106" w:rsidP="00407106">
      <w:pPr>
        <w:keepNext/>
        <w:widowControl w:val="0"/>
        <w:autoSpaceDE w:val="0"/>
        <w:autoSpaceDN w:val="0"/>
        <w:adjustRightInd w:val="0"/>
        <w:spacing w:after="0" w:line="240" w:lineRule="auto"/>
        <w:ind w:firstLine="0"/>
      </w:pPr>
      <w:r>
        <w:t xml:space="preserve">This table presents the descriptive statistics of the variables used in this study. Our sample spans from 2011 to 2014. The firm-year level sample consists of 8,361 observations for the forecast accuracy and dispersion analyses, and 6,417 firm-year observations for the stock recommendation analysis. The analyst-firm-year level sample consists of 113,073 observations. We obtain XBRL data from the SEC filings, earnings estimate and recommendation data from I/B/E/S, and accounting and market data from Compustat and CRSP, respectively. </w:t>
      </w:r>
      <w:r>
        <w:rPr>
          <w:i/>
        </w:rPr>
        <w:t>ACCURACY</w:t>
      </w:r>
      <w:r>
        <w:t xml:space="preserve"> is defined as the absolute value of reported earnings minus the median earnings forecast for the fiscal year scaled by price and multiplied by -100. </w:t>
      </w:r>
      <w:r>
        <w:rPr>
          <w:i/>
        </w:rPr>
        <w:t>FORDISP</w:t>
      </w:r>
      <w:r>
        <w:t xml:space="preserve"> equals the standard deviation of analysts’ annual earnings estimates divided by the end of fiscal year share price and multiplied by 100 (I/B/E/S and Compustat). </w:t>
      </w:r>
      <w:r>
        <w:rPr>
          <w:i/>
        </w:rPr>
        <w:t>RECVAL</w:t>
      </w:r>
      <w:r>
        <w:t xml:space="preserve"> is calculated as the mean three-day abnormal market reaction associated with recommendation revisions issued during the fiscal year. </w:t>
      </w:r>
      <w:r>
        <w:rPr>
          <w:i/>
        </w:rPr>
        <w:t>ARC</w:t>
      </w:r>
      <w:r>
        <w:t xml:space="preserve">* is the total number of monetary tags reported in Item 8 of 10-K filings, which includes the financial statements and notes. </w:t>
      </w:r>
      <w:r>
        <w:rPr>
          <w:i/>
        </w:rPr>
        <w:t>ARC-FS</w:t>
      </w:r>
      <w:r>
        <w:t xml:space="preserve">*, and </w:t>
      </w:r>
      <w:r>
        <w:rPr>
          <w:i/>
        </w:rPr>
        <w:t>ARC-NOTES</w:t>
      </w:r>
      <w:r>
        <w:t xml:space="preserve">* equal the total number of monetary tags reported in the face of the financial statements and notes, respectively. </w:t>
      </w:r>
      <w:r>
        <w:rPr>
          <w:i/>
        </w:rPr>
        <w:t>ARC-FAIR</w:t>
      </w:r>
      <w:r>
        <w:t xml:space="preserve">*, </w:t>
      </w:r>
      <w:r>
        <w:rPr>
          <w:i/>
        </w:rPr>
        <w:t>ARC-DERIV</w:t>
      </w:r>
      <w:r>
        <w:t xml:space="preserve">*, and </w:t>
      </w:r>
      <w:r>
        <w:rPr>
          <w:i/>
        </w:rPr>
        <w:t>ARC-PENS</w:t>
      </w:r>
      <w:r>
        <w:t>* are the total number of monetary tags related to fair-value, derivative, and pensions accounts, respectively. All continuous variables, with the exception of the log-transformed ones, are winsorized at the bottom and top one-percentile. For ease of interpretation, we report descriptive statistics on the raw values of the starred (*) variables but use their log-transformations in the regression analysis.</w:t>
      </w:r>
    </w:p>
    <w:p w14:paraId="20443883" w14:textId="77777777" w:rsidR="00407106" w:rsidRDefault="00407106" w:rsidP="00407106">
      <w:pPr>
        <w:keepNext/>
        <w:widowControl w:val="0"/>
        <w:autoSpaceDE w:val="0"/>
        <w:autoSpaceDN w:val="0"/>
        <w:adjustRightInd w:val="0"/>
        <w:spacing w:after="0" w:line="240" w:lineRule="auto"/>
        <w:ind w:firstLine="0"/>
      </w:pPr>
    </w:p>
    <w:p w14:paraId="7438B767" w14:textId="77777777" w:rsidR="00407106" w:rsidRDefault="00407106" w:rsidP="00407106">
      <w:pPr>
        <w:keepNext/>
        <w:widowControl w:val="0"/>
        <w:autoSpaceDE w:val="0"/>
        <w:autoSpaceDN w:val="0"/>
        <w:adjustRightInd w:val="0"/>
        <w:spacing w:after="0" w:line="240" w:lineRule="auto"/>
        <w:ind w:firstLine="0"/>
      </w:pPr>
      <w:r>
        <w:t>Panel A: Firm-year level sample</w:t>
      </w:r>
    </w:p>
    <w:tbl>
      <w:tblPr>
        <w:tblW w:w="0" w:type="dxa"/>
        <w:tblInd w:w="-108" w:type="dxa"/>
        <w:tblLayout w:type="fixed"/>
        <w:tblLook w:val="04A0" w:firstRow="1" w:lastRow="0" w:firstColumn="1" w:lastColumn="0" w:noHBand="0" w:noVBand="1"/>
      </w:tblPr>
      <w:tblGrid>
        <w:gridCol w:w="2358"/>
        <w:gridCol w:w="1422"/>
        <w:gridCol w:w="1422"/>
        <w:gridCol w:w="1422"/>
        <w:gridCol w:w="1422"/>
        <w:gridCol w:w="1422"/>
      </w:tblGrid>
      <w:tr w:rsidR="00407106" w14:paraId="17F1D631" w14:textId="77777777" w:rsidTr="00407106">
        <w:tc>
          <w:tcPr>
            <w:tcW w:w="2358" w:type="dxa"/>
            <w:tcBorders>
              <w:top w:val="single" w:sz="4" w:space="0" w:color="auto"/>
              <w:left w:val="nil"/>
              <w:bottom w:val="nil"/>
              <w:right w:val="nil"/>
            </w:tcBorders>
          </w:tcPr>
          <w:p w14:paraId="3EE0E500" w14:textId="77777777" w:rsidR="00407106" w:rsidRDefault="00407106">
            <w:pPr>
              <w:widowControl w:val="0"/>
              <w:autoSpaceDE w:val="0"/>
              <w:autoSpaceDN w:val="0"/>
              <w:adjustRightInd w:val="0"/>
              <w:spacing w:after="0" w:line="240" w:lineRule="auto"/>
              <w:ind w:firstLine="0"/>
            </w:pPr>
          </w:p>
        </w:tc>
        <w:tc>
          <w:tcPr>
            <w:tcW w:w="1422" w:type="dxa"/>
            <w:tcBorders>
              <w:top w:val="single" w:sz="4" w:space="0" w:color="auto"/>
              <w:left w:val="nil"/>
              <w:bottom w:val="nil"/>
              <w:right w:val="nil"/>
            </w:tcBorders>
          </w:tcPr>
          <w:p w14:paraId="54BE1122"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1AA420EB"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258F8980"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0E9ABAD6"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60FE5438" w14:textId="77777777" w:rsidR="00407106" w:rsidRDefault="00407106">
            <w:pPr>
              <w:widowControl w:val="0"/>
              <w:autoSpaceDE w:val="0"/>
              <w:autoSpaceDN w:val="0"/>
              <w:adjustRightInd w:val="0"/>
              <w:spacing w:after="0" w:line="240" w:lineRule="auto"/>
              <w:ind w:firstLine="0"/>
              <w:jc w:val="center"/>
            </w:pPr>
          </w:p>
        </w:tc>
      </w:tr>
      <w:tr w:rsidR="00407106" w14:paraId="56D746EF" w14:textId="77777777" w:rsidTr="00407106">
        <w:tc>
          <w:tcPr>
            <w:tcW w:w="2358" w:type="dxa"/>
          </w:tcPr>
          <w:p w14:paraId="33B2D438" w14:textId="77777777" w:rsidR="00407106" w:rsidRDefault="00407106">
            <w:pPr>
              <w:widowControl w:val="0"/>
              <w:autoSpaceDE w:val="0"/>
              <w:autoSpaceDN w:val="0"/>
              <w:adjustRightInd w:val="0"/>
              <w:spacing w:after="0" w:line="240" w:lineRule="auto"/>
              <w:ind w:firstLine="0"/>
            </w:pPr>
          </w:p>
        </w:tc>
        <w:tc>
          <w:tcPr>
            <w:tcW w:w="1422" w:type="dxa"/>
            <w:hideMark/>
          </w:tcPr>
          <w:p w14:paraId="6E842795" w14:textId="77777777" w:rsidR="00407106" w:rsidRDefault="00407106">
            <w:pPr>
              <w:widowControl w:val="0"/>
              <w:autoSpaceDE w:val="0"/>
              <w:autoSpaceDN w:val="0"/>
              <w:adjustRightInd w:val="0"/>
              <w:spacing w:after="0" w:line="240" w:lineRule="auto"/>
              <w:ind w:firstLine="0"/>
              <w:jc w:val="center"/>
            </w:pPr>
            <w:r>
              <w:t>Mean</w:t>
            </w:r>
          </w:p>
        </w:tc>
        <w:tc>
          <w:tcPr>
            <w:tcW w:w="1422" w:type="dxa"/>
            <w:hideMark/>
          </w:tcPr>
          <w:p w14:paraId="5EEF64A8" w14:textId="77777777" w:rsidR="00407106" w:rsidRDefault="00407106">
            <w:pPr>
              <w:widowControl w:val="0"/>
              <w:autoSpaceDE w:val="0"/>
              <w:autoSpaceDN w:val="0"/>
              <w:adjustRightInd w:val="0"/>
              <w:spacing w:after="0" w:line="240" w:lineRule="auto"/>
              <w:ind w:firstLine="0"/>
              <w:jc w:val="center"/>
            </w:pPr>
            <w:r>
              <w:t>Median</w:t>
            </w:r>
          </w:p>
        </w:tc>
        <w:tc>
          <w:tcPr>
            <w:tcW w:w="1422" w:type="dxa"/>
            <w:hideMark/>
          </w:tcPr>
          <w:p w14:paraId="20F55FAB" w14:textId="77777777" w:rsidR="00407106" w:rsidRDefault="00407106">
            <w:pPr>
              <w:widowControl w:val="0"/>
              <w:autoSpaceDE w:val="0"/>
              <w:autoSpaceDN w:val="0"/>
              <w:adjustRightInd w:val="0"/>
              <w:spacing w:after="0" w:line="240" w:lineRule="auto"/>
              <w:ind w:firstLine="0"/>
              <w:jc w:val="center"/>
            </w:pPr>
            <w:r>
              <w:t>Std. Dev.</w:t>
            </w:r>
          </w:p>
        </w:tc>
        <w:tc>
          <w:tcPr>
            <w:tcW w:w="1422" w:type="dxa"/>
            <w:hideMark/>
          </w:tcPr>
          <w:p w14:paraId="0063E669" w14:textId="77777777" w:rsidR="00407106" w:rsidRDefault="00407106">
            <w:pPr>
              <w:widowControl w:val="0"/>
              <w:autoSpaceDE w:val="0"/>
              <w:autoSpaceDN w:val="0"/>
              <w:adjustRightInd w:val="0"/>
              <w:spacing w:after="0" w:line="240" w:lineRule="auto"/>
              <w:ind w:firstLine="0"/>
              <w:jc w:val="center"/>
            </w:pPr>
            <w:r>
              <w:t>1st Quartile</w:t>
            </w:r>
          </w:p>
        </w:tc>
        <w:tc>
          <w:tcPr>
            <w:tcW w:w="1422" w:type="dxa"/>
            <w:hideMark/>
          </w:tcPr>
          <w:p w14:paraId="138B01F8" w14:textId="77777777" w:rsidR="00407106" w:rsidRDefault="00407106">
            <w:pPr>
              <w:widowControl w:val="0"/>
              <w:autoSpaceDE w:val="0"/>
              <w:autoSpaceDN w:val="0"/>
              <w:adjustRightInd w:val="0"/>
              <w:spacing w:after="0" w:line="240" w:lineRule="auto"/>
              <w:ind w:firstLine="0"/>
              <w:jc w:val="center"/>
            </w:pPr>
            <w:r>
              <w:t>3rd Quartile</w:t>
            </w:r>
          </w:p>
        </w:tc>
      </w:tr>
      <w:tr w:rsidR="00407106" w14:paraId="73A9FC09" w14:textId="77777777" w:rsidTr="00407106">
        <w:tc>
          <w:tcPr>
            <w:tcW w:w="2358" w:type="dxa"/>
            <w:tcBorders>
              <w:top w:val="single" w:sz="4" w:space="0" w:color="auto"/>
              <w:left w:val="nil"/>
              <w:bottom w:val="nil"/>
              <w:right w:val="nil"/>
            </w:tcBorders>
            <w:hideMark/>
          </w:tcPr>
          <w:p w14:paraId="1BC91DBE" w14:textId="77777777" w:rsidR="00407106" w:rsidRDefault="00407106">
            <w:pPr>
              <w:widowControl w:val="0"/>
              <w:autoSpaceDE w:val="0"/>
              <w:autoSpaceDN w:val="0"/>
              <w:adjustRightInd w:val="0"/>
              <w:spacing w:after="0" w:line="240" w:lineRule="auto"/>
              <w:ind w:firstLine="0"/>
            </w:pPr>
            <w:r>
              <w:t>Dependent variables:</w:t>
            </w:r>
          </w:p>
        </w:tc>
        <w:tc>
          <w:tcPr>
            <w:tcW w:w="1422" w:type="dxa"/>
            <w:tcBorders>
              <w:top w:val="single" w:sz="4" w:space="0" w:color="auto"/>
              <w:left w:val="nil"/>
              <w:bottom w:val="nil"/>
              <w:right w:val="nil"/>
            </w:tcBorders>
          </w:tcPr>
          <w:p w14:paraId="0D86C2B1"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05E7AA6A"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23815B22"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3491EACA"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5CE90D24" w14:textId="77777777" w:rsidR="00407106" w:rsidRDefault="00407106">
            <w:pPr>
              <w:widowControl w:val="0"/>
              <w:autoSpaceDE w:val="0"/>
              <w:autoSpaceDN w:val="0"/>
              <w:adjustRightInd w:val="0"/>
              <w:spacing w:after="0" w:line="240" w:lineRule="auto"/>
              <w:ind w:firstLine="0"/>
              <w:jc w:val="center"/>
            </w:pPr>
          </w:p>
        </w:tc>
      </w:tr>
      <w:tr w:rsidR="00407106" w14:paraId="39EDDC41" w14:textId="77777777" w:rsidTr="00407106">
        <w:tc>
          <w:tcPr>
            <w:tcW w:w="2358" w:type="dxa"/>
            <w:hideMark/>
          </w:tcPr>
          <w:p w14:paraId="5B36DCEE" w14:textId="77777777" w:rsidR="00407106" w:rsidRDefault="00407106">
            <w:pPr>
              <w:widowControl w:val="0"/>
              <w:autoSpaceDE w:val="0"/>
              <w:autoSpaceDN w:val="0"/>
              <w:adjustRightInd w:val="0"/>
              <w:spacing w:after="0" w:line="240" w:lineRule="auto"/>
              <w:ind w:firstLine="0"/>
              <w:rPr>
                <w:i/>
              </w:rPr>
            </w:pPr>
            <w:r>
              <w:rPr>
                <w:i/>
              </w:rPr>
              <w:t>ACCURACY</w:t>
            </w:r>
          </w:p>
        </w:tc>
        <w:tc>
          <w:tcPr>
            <w:tcW w:w="1422" w:type="dxa"/>
            <w:hideMark/>
          </w:tcPr>
          <w:p w14:paraId="62C67372" w14:textId="77777777" w:rsidR="00407106" w:rsidRDefault="00407106">
            <w:pPr>
              <w:widowControl w:val="0"/>
              <w:tabs>
                <w:tab w:val="decimal" w:pos="706"/>
              </w:tabs>
              <w:autoSpaceDE w:val="0"/>
              <w:autoSpaceDN w:val="0"/>
              <w:adjustRightInd w:val="0"/>
              <w:spacing w:after="0" w:line="240" w:lineRule="auto"/>
              <w:ind w:firstLine="0"/>
              <w:jc w:val="left"/>
            </w:pPr>
            <w:r>
              <w:t>-0.716</w:t>
            </w:r>
          </w:p>
        </w:tc>
        <w:tc>
          <w:tcPr>
            <w:tcW w:w="1422" w:type="dxa"/>
            <w:hideMark/>
          </w:tcPr>
          <w:p w14:paraId="7247C636" w14:textId="77777777" w:rsidR="00407106" w:rsidRDefault="00407106">
            <w:pPr>
              <w:widowControl w:val="0"/>
              <w:tabs>
                <w:tab w:val="decimal" w:pos="706"/>
              </w:tabs>
              <w:autoSpaceDE w:val="0"/>
              <w:autoSpaceDN w:val="0"/>
              <w:adjustRightInd w:val="0"/>
              <w:spacing w:after="0" w:line="240" w:lineRule="auto"/>
              <w:ind w:firstLine="0"/>
              <w:jc w:val="left"/>
            </w:pPr>
            <w:r>
              <w:t>-0.178</w:t>
            </w:r>
          </w:p>
        </w:tc>
        <w:tc>
          <w:tcPr>
            <w:tcW w:w="1422" w:type="dxa"/>
            <w:hideMark/>
          </w:tcPr>
          <w:p w14:paraId="468BF1BD" w14:textId="77777777" w:rsidR="00407106" w:rsidRDefault="00407106">
            <w:pPr>
              <w:widowControl w:val="0"/>
              <w:tabs>
                <w:tab w:val="decimal" w:pos="706"/>
              </w:tabs>
              <w:autoSpaceDE w:val="0"/>
              <w:autoSpaceDN w:val="0"/>
              <w:adjustRightInd w:val="0"/>
              <w:spacing w:after="0" w:line="240" w:lineRule="auto"/>
              <w:ind w:firstLine="0"/>
              <w:jc w:val="left"/>
            </w:pPr>
            <w:r>
              <w:t>1.899</w:t>
            </w:r>
          </w:p>
        </w:tc>
        <w:tc>
          <w:tcPr>
            <w:tcW w:w="1422" w:type="dxa"/>
            <w:hideMark/>
          </w:tcPr>
          <w:p w14:paraId="01C5BDB3" w14:textId="77777777" w:rsidR="00407106" w:rsidRDefault="00407106">
            <w:pPr>
              <w:widowControl w:val="0"/>
              <w:tabs>
                <w:tab w:val="decimal" w:pos="706"/>
              </w:tabs>
              <w:autoSpaceDE w:val="0"/>
              <w:autoSpaceDN w:val="0"/>
              <w:adjustRightInd w:val="0"/>
              <w:spacing w:after="0" w:line="240" w:lineRule="auto"/>
              <w:ind w:firstLine="0"/>
              <w:jc w:val="left"/>
            </w:pPr>
            <w:r>
              <w:t>-0.515</w:t>
            </w:r>
          </w:p>
        </w:tc>
        <w:tc>
          <w:tcPr>
            <w:tcW w:w="1422" w:type="dxa"/>
            <w:hideMark/>
          </w:tcPr>
          <w:p w14:paraId="1A0B2DEF" w14:textId="77777777" w:rsidR="00407106" w:rsidRDefault="00407106">
            <w:pPr>
              <w:widowControl w:val="0"/>
              <w:tabs>
                <w:tab w:val="decimal" w:pos="706"/>
              </w:tabs>
              <w:autoSpaceDE w:val="0"/>
              <w:autoSpaceDN w:val="0"/>
              <w:adjustRightInd w:val="0"/>
              <w:spacing w:after="0" w:line="240" w:lineRule="auto"/>
              <w:ind w:firstLine="0"/>
              <w:jc w:val="left"/>
            </w:pPr>
            <w:r>
              <w:t>-0.059</w:t>
            </w:r>
          </w:p>
        </w:tc>
      </w:tr>
      <w:tr w:rsidR="00407106" w14:paraId="0986C0F5" w14:textId="77777777" w:rsidTr="00407106">
        <w:tc>
          <w:tcPr>
            <w:tcW w:w="2358" w:type="dxa"/>
            <w:hideMark/>
          </w:tcPr>
          <w:p w14:paraId="75277D75" w14:textId="77777777" w:rsidR="00407106" w:rsidRDefault="00407106">
            <w:pPr>
              <w:widowControl w:val="0"/>
              <w:autoSpaceDE w:val="0"/>
              <w:autoSpaceDN w:val="0"/>
              <w:adjustRightInd w:val="0"/>
              <w:spacing w:after="0" w:line="240" w:lineRule="auto"/>
              <w:ind w:firstLine="0"/>
              <w:rPr>
                <w:i/>
              </w:rPr>
            </w:pPr>
            <w:r>
              <w:rPr>
                <w:i/>
              </w:rPr>
              <w:t>FORDISP</w:t>
            </w:r>
          </w:p>
        </w:tc>
        <w:tc>
          <w:tcPr>
            <w:tcW w:w="1422" w:type="dxa"/>
            <w:hideMark/>
          </w:tcPr>
          <w:p w14:paraId="0704D52A" w14:textId="77777777" w:rsidR="00407106" w:rsidRDefault="00407106">
            <w:pPr>
              <w:widowControl w:val="0"/>
              <w:tabs>
                <w:tab w:val="decimal" w:pos="706"/>
              </w:tabs>
              <w:autoSpaceDE w:val="0"/>
              <w:autoSpaceDN w:val="0"/>
              <w:adjustRightInd w:val="0"/>
              <w:spacing w:after="0" w:line="240" w:lineRule="auto"/>
              <w:ind w:firstLine="0"/>
              <w:jc w:val="left"/>
            </w:pPr>
            <w:r>
              <w:t>1.239</w:t>
            </w:r>
          </w:p>
        </w:tc>
        <w:tc>
          <w:tcPr>
            <w:tcW w:w="1422" w:type="dxa"/>
            <w:hideMark/>
          </w:tcPr>
          <w:p w14:paraId="5F724FD9" w14:textId="77777777" w:rsidR="00407106" w:rsidRDefault="00407106">
            <w:pPr>
              <w:widowControl w:val="0"/>
              <w:tabs>
                <w:tab w:val="decimal" w:pos="706"/>
              </w:tabs>
              <w:autoSpaceDE w:val="0"/>
              <w:autoSpaceDN w:val="0"/>
              <w:adjustRightInd w:val="0"/>
              <w:spacing w:after="0" w:line="240" w:lineRule="auto"/>
              <w:ind w:firstLine="0"/>
              <w:jc w:val="left"/>
            </w:pPr>
            <w:r>
              <w:t>0.337</w:t>
            </w:r>
          </w:p>
        </w:tc>
        <w:tc>
          <w:tcPr>
            <w:tcW w:w="1422" w:type="dxa"/>
            <w:hideMark/>
          </w:tcPr>
          <w:p w14:paraId="3F6E1C63" w14:textId="77777777" w:rsidR="00407106" w:rsidRDefault="00407106">
            <w:pPr>
              <w:widowControl w:val="0"/>
              <w:tabs>
                <w:tab w:val="decimal" w:pos="706"/>
              </w:tabs>
              <w:autoSpaceDE w:val="0"/>
              <w:autoSpaceDN w:val="0"/>
              <w:adjustRightInd w:val="0"/>
              <w:spacing w:after="0" w:line="240" w:lineRule="auto"/>
              <w:ind w:firstLine="0"/>
              <w:jc w:val="left"/>
            </w:pPr>
            <w:r>
              <w:t>2.914</w:t>
            </w:r>
          </w:p>
        </w:tc>
        <w:tc>
          <w:tcPr>
            <w:tcW w:w="1422" w:type="dxa"/>
            <w:hideMark/>
          </w:tcPr>
          <w:p w14:paraId="7E43D2A9" w14:textId="77777777" w:rsidR="00407106" w:rsidRDefault="00407106">
            <w:pPr>
              <w:widowControl w:val="0"/>
              <w:tabs>
                <w:tab w:val="decimal" w:pos="706"/>
              </w:tabs>
              <w:autoSpaceDE w:val="0"/>
              <w:autoSpaceDN w:val="0"/>
              <w:adjustRightInd w:val="0"/>
              <w:spacing w:after="0" w:line="240" w:lineRule="auto"/>
              <w:ind w:firstLine="0"/>
              <w:jc w:val="left"/>
            </w:pPr>
            <w:r>
              <w:t>0.125</w:t>
            </w:r>
          </w:p>
        </w:tc>
        <w:tc>
          <w:tcPr>
            <w:tcW w:w="1422" w:type="dxa"/>
            <w:hideMark/>
          </w:tcPr>
          <w:p w14:paraId="0AF58F4A" w14:textId="77777777" w:rsidR="00407106" w:rsidRDefault="00407106">
            <w:pPr>
              <w:widowControl w:val="0"/>
              <w:tabs>
                <w:tab w:val="decimal" w:pos="706"/>
              </w:tabs>
              <w:autoSpaceDE w:val="0"/>
              <w:autoSpaceDN w:val="0"/>
              <w:adjustRightInd w:val="0"/>
              <w:spacing w:after="0" w:line="240" w:lineRule="auto"/>
              <w:ind w:firstLine="0"/>
              <w:jc w:val="left"/>
            </w:pPr>
            <w:r>
              <w:t>0.994</w:t>
            </w:r>
          </w:p>
        </w:tc>
      </w:tr>
      <w:tr w:rsidR="00407106" w14:paraId="335D8643" w14:textId="77777777" w:rsidTr="00407106">
        <w:tc>
          <w:tcPr>
            <w:tcW w:w="2358" w:type="dxa"/>
            <w:hideMark/>
          </w:tcPr>
          <w:p w14:paraId="11A53DE4" w14:textId="77777777" w:rsidR="00407106" w:rsidRDefault="00407106">
            <w:pPr>
              <w:widowControl w:val="0"/>
              <w:autoSpaceDE w:val="0"/>
              <w:autoSpaceDN w:val="0"/>
              <w:adjustRightInd w:val="0"/>
              <w:spacing w:after="0" w:line="240" w:lineRule="auto"/>
              <w:ind w:firstLine="0"/>
              <w:rPr>
                <w:i/>
              </w:rPr>
            </w:pPr>
            <w:r>
              <w:rPr>
                <w:i/>
              </w:rPr>
              <w:t>RECVAL</w:t>
            </w:r>
          </w:p>
        </w:tc>
        <w:tc>
          <w:tcPr>
            <w:tcW w:w="1422" w:type="dxa"/>
            <w:hideMark/>
          </w:tcPr>
          <w:p w14:paraId="0B4400DD" w14:textId="77777777" w:rsidR="00407106" w:rsidRDefault="00407106">
            <w:pPr>
              <w:widowControl w:val="0"/>
              <w:tabs>
                <w:tab w:val="decimal" w:pos="706"/>
              </w:tabs>
              <w:autoSpaceDE w:val="0"/>
              <w:autoSpaceDN w:val="0"/>
              <w:adjustRightInd w:val="0"/>
              <w:spacing w:after="0" w:line="240" w:lineRule="auto"/>
              <w:ind w:firstLine="0"/>
              <w:jc w:val="left"/>
            </w:pPr>
            <w:r>
              <w:t>3.198</w:t>
            </w:r>
          </w:p>
        </w:tc>
        <w:tc>
          <w:tcPr>
            <w:tcW w:w="1422" w:type="dxa"/>
            <w:hideMark/>
          </w:tcPr>
          <w:p w14:paraId="4AE1D821" w14:textId="77777777" w:rsidR="00407106" w:rsidRDefault="00407106">
            <w:pPr>
              <w:widowControl w:val="0"/>
              <w:tabs>
                <w:tab w:val="decimal" w:pos="706"/>
              </w:tabs>
              <w:autoSpaceDE w:val="0"/>
              <w:autoSpaceDN w:val="0"/>
              <w:adjustRightInd w:val="0"/>
              <w:spacing w:after="0" w:line="240" w:lineRule="auto"/>
              <w:ind w:firstLine="0"/>
              <w:jc w:val="left"/>
            </w:pPr>
            <w:r>
              <w:t>1.963</w:t>
            </w:r>
          </w:p>
        </w:tc>
        <w:tc>
          <w:tcPr>
            <w:tcW w:w="1422" w:type="dxa"/>
            <w:hideMark/>
          </w:tcPr>
          <w:p w14:paraId="552D4C85" w14:textId="77777777" w:rsidR="00407106" w:rsidRDefault="00407106">
            <w:pPr>
              <w:widowControl w:val="0"/>
              <w:tabs>
                <w:tab w:val="decimal" w:pos="706"/>
              </w:tabs>
              <w:autoSpaceDE w:val="0"/>
              <w:autoSpaceDN w:val="0"/>
              <w:adjustRightInd w:val="0"/>
              <w:spacing w:after="0" w:line="240" w:lineRule="auto"/>
              <w:ind w:firstLine="0"/>
              <w:jc w:val="left"/>
            </w:pPr>
            <w:r>
              <w:t>5.357</w:t>
            </w:r>
          </w:p>
        </w:tc>
        <w:tc>
          <w:tcPr>
            <w:tcW w:w="1422" w:type="dxa"/>
            <w:hideMark/>
          </w:tcPr>
          <w:p w14:paraId="45DD5EB0" w14:textId="77777777" w:rsidR="00407106" w:rsidRDefault="00407106">
            <w:pPr>
              <w:widowControl w:val="0"/>
              <w:tabs>
                <w:tab w:val="decimal" w:pos="706"/>
              </w:tabs>
              <w:autoSpaceDE w:val="0"/>
              <w:autoSpaceDN w:val="0"/>
              <w:adjustRightInd w:val="0"/>
              <w:spacing w:after="0" w:line="240" w:lineRule="auto"/>
              <w:ind w:firstLine="0"/>
              <w:jc w:val="left"/>
            </w:pPr>
            <w:r>
              <w:t>0.501</w:t>
            </w:r>
          </w:p>
        </w:tc>
        <w:tc>
          <w:tcPr>
            <w:tcW w:w="1422" w:type="dxa"/>
            <w:hideMark/>
          </w:tcPr>
          <w:p w14:paraId="58864DA5" w14:textId="77777777" w:rsidR="00407106" w:rsidRDefault="00407106">
            <w:pPr>
              <w:widowControl w:val="0"/>
              <w:tabs>
                <w:tab w:val="decimal" w:pos="706"/>
              </w:tabs>
              <w:autoSpaceDE w:val="0"/>
              <w:autoSpaceDN w:val="0"/>
              <w:adjustRightInd w:val="0"/>
              <w:spacing w:after="0" w:line="240" w:lineRule="auto"/>
              <w:ind w:firstLine="0"/>
              <w:jc w:val="left"/>
            </w:pPr>
            <w:r>
              <w:t>4.407</w:t>
            </w:r>
          </w:p>
        </w:tc>
      </w:tr>
      <w:tr w:rsidR="00407106" w14:paraId="58BAADA7" w14:textId="77777777" w:rsidTr="00407106">
        <w:tc>
          <w:tcPr>
            <w:tcW w:w="2358" w:type="dxa"/>
          </w:tcPr>
          <w:p w14:paraId="25F49195" w14:textId="77777777" w:rsidR="00407106" w:rsidRDefault="00407106">
            <w:pPr>
              <w:widowControl w:val="0"/>
              <w:autoSpaceDE w:val="0"/>
              <w:autoSpaceDN w:val="0"/>
              <w:adjustRightInd w:val="0"/>
              <w:spacing w:after="0" w:line="240" w:lineRule="auto"/>
              <w:ind w:firstLine="0"/>
            </w:pPr>
          </w:p>
        </w:tc>
        <w:tc>
          <w:tcPr>
            <w:tcW w:w="1422" w:type="dxa"/>
          </w:tcPr>
          <w:p w14:paraId="3281C16B"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36E5F9DE"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2FAF84E1"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7B896D4C"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6232FA56" w14:textId="77777777" w:rsidR="00407106" w:rsidRDefault="00407106">
            <w:pPr>
              <w:widowControl w:val="0"/>
              <w:tabs>
                <w:tab w:val="decimal" w:pos="706"/>
              </w:tabs>
              <w:autoSpaceDE w:val="0"/>
              <w:autoSpaceDN w:val="0"/>
              <w:adjustRightInd w:val="0"/>
              <w:spacing w:after="0" w:line="240" w:lineRule="auto"/>
              <w:ind w:firstLine="0"/>
              <w:jc w:val="left"/>
            </w:pPr>
          </w:p>
        </w:tc>
      </w:tr>
      <w:tr w:rsidR="00407106" w14:paraId="2A2767CC" w14:textId="77777777" w:rsidTr="00407106">
        <w:tc>
          <w:tcPr>
            <w:tcW w:w="2358" w:type="dxa"/>
            <w:hideMark/>
          </w:tcPr>
          <w:p w14:paraId="0CA4B58A" w14:textId="77777777" w:rsidR="00407106" w:rsidRDefault="00407106">
            <w:pPr>
              <w:widowControl w:val="0"/>
              <w:autoSpaceDE w:val="0"/>
              <w:autoSpaceDN w:val="0"/>
              <w:adjustRightInd w:val="0"/>
              <w:spacing w:after="0" w:line="240" w:lineRule="auto"/>
              <w:ind w:firstLine="0"/>
            </w:pPr>
            <w:r>
              <w:t>Variables of interest:</w:t>
            </w:r>
          </w:p>
        </w:tc>
        <w:tc>
          <w:tcPr>
            <w:tcW w:w="1422" w:type="dxa"/>
          </w:tcPr>
          <w:p w14:paraId="25D528C1"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7D8941BC"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15ABD065"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7B667958"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254A3030" w14:textId="77777777" w:rsidR="00407106" w:rsidRDefault="00407106">
            <w:pPr>
              <w:widowControl w:val="0"/>
              <w:tabs>
                <w:tab w:val="decimal" w:pos="706"/>
              </w:tabs>
              <w:autoSpaceDE w:val="0"/>
              <w:autoSpaceDN w:val="0"/>
              <w:adjustRightInd w:val="0"/>
              <w:spacing w:after="0" w:line="240" w:lineRule="auto"/>
              <w:ind w:firstLine="0"/>
              <w:jc w:val="left"/>
            </w:pPr>
          </w:p>
        </w:tc>
      </w:tr>
      <w:tr w:rsidR="00407106" w14:paraId="44CC9339" w14:textId="77777777" w:rsidTr="00407106">
        <w:tc>
          <w:tcPr>
            <w:tcW w:w="2358" w:type="dxa"/>
            <w:hideMark/>
          </w:tcPr>
          <w:p w14:paraId="44C5C617" w14:textId="77777777" w:rsidR="00407106" w:rsidRDefault="00407106">
            <w:pPr>
              <w:widowControl w:val="0"/>
              <w:autoSpaceDE w:val="0"/>
              <w:autoSpaceDN w:val="0"/>
              <w:adjustRightInd w:val="0"/>
              <w:spacing w:after="0" w:line="240" w:lineRule="auto"/>
              <w:ind w:firstLine="0"/>
              <w:rPr>
                <w:i/>
              </w:rPr>
            </w:pPr>
            <w:r>
              <w:rPr>
                <w:i/>
              </w:rPr>
              <w:t>ARC*</w:t>
            </w:r>
          </w:p>
        </w:tc>
        <w:tc>
          <w:tcPr>
            <w:tcW w:w="1422" w:type="dxa"/>
            <w:hideMark/>
          </w:tcPr>
          <w:p w14:paraId="724D370B" w14:textId="77777777" w:rsidR="00407106" w:rsidRDefault="00407106">
            <w:pPr>
              <w:widowControl w:val="0"/>
              <w:tabs>
                <w:tab w:val="decimal" w:pos="706"/>
              </w:tabs>
              <w:autoSpaceDE w:val="0"/>
              <w:autoSpaceDN w:val="0"/>
              <w:adjustRightInd w:val="0"/>
              <w:spacing w:after="0" w:line="240" w:lineRule="auto"/>
              <w:ind w:firstLine="0"/>
              <w:jc w:val="left"/>
            </w:pPr>
            <w:r>
              <w:t>386.977</w:t>
            </w:r>
          </w:p>
        </w:tc>
        <w:tc>
          <w:tcPr>
            <w:tcW w:w="1422" w:type="dxa"/>
            <w:hideMark/>
          </w:tcPr>
          <w:p w14:paraId="1745A745" w14:textId="77777777" w:rsidR="00407106" w:rsidRDefault="00407106">
            <w:pPr>
              <w:widowControl w:val="0"/>
              <w:tabs>
                <w:tab w:val="decimal" w:pos="706"/>
              </w:tabs>
              <w:autoSpaceDE w:val="0"/>
              <w:autoSpaceDN w:val="0"/>
              <w:adjustRightInd w:val="0"/>
              <w:spacing w:after="0" w:line="240" w:lineRule="auto"/>
              <w:ind w:firstLine="0"/>
              <w:jc w:val="left"/>
            </w:pPr>
            <w:r>
              <w:t>362.000</w:t>
            </w:r>
          </w:p>
        </w:tc>
        <w:tc>
          <w:tcPr>
            <w:tcW w:w="1422" w:type="dxa"/>
            <w:hideMark/>
          </w:tcPr>
          <w:p w14:paraId="662EC8B9" w14:textId="77777777" w:rsidR="00407106" w:rsidRDefault="00407106">
            <w:pPr>
              <w:widowControl w:val="0"/>
              <w:tabs>
                <w:tab w:val="decimal" w:pos="706"/>
              </w:tabs>
              <w:autoSpaceDE w:val="0"/>
              <w:autoSpaceDN w:val="0"/>
              <w:adjustRightInd w:val="0"/>
              <w:spacing w:after="0" w:line="240" w:lineRule="auto"/>
              <w:ind w:firstLine="0"/>
              <w:jc w:val="left"/>
            </w:pPr>
            <w:r>
              <w:t>148.790</w:t>
            </w:r>
          </w:p>
        </w:tc>
        <w:tc>
          <w:tcPr>
            <w:tcW w:w="1422" w:type="dxa"/>
            <w:hideMark/>
          </w:tcPr>
          <w:p w14:paraId="2BD74610" w14:textId="77777777" w:rsidR="00407106" w:rsidRDefault="00407106">
            <w:pPr>
              <w:widowControl w:val="0"/>
              <w:tabs>
                <w:tab w:val="decimal" w:pos="706"/>
              </w:tabs>
              <w:autoSpaceDE w:val="0"/>
              <w:autoSpaceDN w:val="0"/>
              <w:adjustRightInd w:val="0"/>
              <w:spacing w:after="0" w:line="240" w:lineRule="auto"/>
              <w:ind w:firstLine="0"/>
              <w:jc w:val="left"/>
            </w:pPr>
            <w:r>
              <w:t>279.000</w:t>
            </w:r>
          </w:p>
        </w:tc>
        <w:tc>
          <w:tcPr>
            <w:tcW w:w="1422" w:type="dxa"/>
            <w:hideMark/>
          </w:tcPr>
          <w:p w14:paraId="7CA79A04" w14:textId="77777777" w:rsidR="00407106" w:rsidRDefault="00407106">
            <w:pPr>
              <w:widowControl w:val="0"/>
              <w:tabs>
                <w:tab w:val="decimal" w:pos="706"/>
              </w:tabs>
              <w:autoSpaceDE w:val="0"/>
              <w:autoSpaceDN w:val="0"/>
              <w:adjustRightInd w:val="0"/>
              <w:spacing w:after="0" w:line="240" w:lineRule="auto"/>
              <w:ind w:firstLine="0"/>
              <w:jc w:val="left"/>
            </w:pPr>
            <w:r>
              <w:t>467.000</w:t>
            </w:r>
          </w:p>
        </w:tc>
      </w:tr>
      <w:tr w:rsidR="00407106" w14:paraId="0441622A" w14:textId="77777777" w:rsidTr="00407106">
        <w:tc>
          <w:tcPr>
            <w:tcW w:w="2358" w:type="dxa"/>
            <w:hideMark/>
          </w:tcPr>
          <w:p w14:paraId="7738D0A3" w14:textId="77777777" w:rsidR="00407106" w:rsidRDefault="00407106">
            <w:pPr>
              <w:widowControl w:val="0"/>
              <w:autoSpaceDE w:val="0"/>
              <w:autoSpaceDN w:val="0"/>
              <w:adjustRightInd w:val="0"/>
              <w:spacing w:after="0" w:line="240" w:lineRule="auto"/>
              <w:ind w:firstLine="0"/>
              <w:rPr>
                <w:i/>
              </w:rPr>
            </w:pPr>
            <w:r>
              <w:rPr>
                <w:i/>
              </w:rPr>
              <w:t>ARC-FS*</w:t>
            </w:r>
          </w:p>
        </w:tc>
        <w:tc>
          <w:tcPr>
            <w:tcW w:w="1422" w:type="dxa"/>
            <w:hideMark/>
          </w:tcPr>
          <w:p w14:paraId="59A902BC" w14:textId="77777777" w:rsidR="00407106" w:rsidRDefault="00407106">
            <w:pPr>
              <w:widowControl w:val="0"/>
              <w:tabs>
                <w:tab w:val="decimal" w:pos="706"/>
              </w:tabs>
              <w:autoSpaceDE w:val="0"/>
              <w:autoSpaceDN w:val="0"/>
              <w:adjustRightInd w:val="0"/>
              <w:spacing w:after="0" w:line="240" w:lineRule="auto"/>
              <w:ind w:firstLine="0"/>
              <w:jc w:val="left"/>
            </w:pPr>
            <w:r>
              <w:t>113.025</w:t>
            </w:r>
          </w:p>
        </w:tc>
        <w:tc>
          <w:tcPr>
            <w:tcW w:w="1422" w:type="dxa"/>
            <w:hideMark/>
          </w:tcPr>
          <w:p w14:paraId="43DADA83" w14:textId="77777777" w:rsidR="00407106" w:rsidRDefault="00407106">
            <w:pPr>
              <w:widowControl w:val="0"/>
              <w:tabs>
                <w:tab w:val="decimal" w:pos="706"/>
              </w:tabs>
              <w:autoSpaceDE w:val="0"/>
              <w:autoSpaceDN w:val="0"/>
              <w:adjustRightInd w:val="0"/>
              <w:spacing w:after="0" w:line="240" w:lineRule="auto"/>
              <w:ind w:firstLine="0"/>
              <w:jc w:val="left"/>
            </w:pPr>
            <w:r>
              <w:t>109.000</w:t>
            </w:r>
          </w:p>
        </w:tc>
        <w:tc>
          <w:tcPr>
            <w:tcW w:w="1422" w:type="dxa"/>
            <w:hideMark/>
          </w:tcPr>
          <w:p w14:paraId="3DFDA2DD" w14:textId="77777777" w:rsidR="00407106" w:rsidRDefault="00407106">
            <w:pPr>
              <w:widowControl w:val="0"/>
              <w:tabs>
                <w:tab w:val="decimal" w:pos="706"/>
              </w:tabs>
              <w:autoSpaceDE w:val="0"/>
              <w:autoSpaceDN w:val="0"/>
              <w:adjustRightInd w:val="0"/>
              <w:spacing w:after="0" w:line="240" w:lineRule="auto"/>
              <w:ind w:firstLine="0"/>
              <w:jc w:val="left"/>
            </w:pPr>
            <w:r>
              <w:t>25.282</w:t>
            </w:r>
          </w:p>
        </w:tc>
        <w:tc>
          <w:tcPr>
            <w:tcW w:w="1422" w:type="dxa"/>
            <w:hideMark/>
          </w:tcPr>
          <w:p w14:paraId="465DD8DE" w14:textId="77777777" w:rsidR="00407106" w:rsidRDefault="00407106">
            <w:pPr>
              <w:widowControl w:val="0"/>
              <w:tabs>
                <w:tab w:val="decimal" w:pos="706"/>
              </w:tabs>
              <w:autoSpaceDE w:val="0"/>
              <w:autoSpaceDN w:val="0"/>
              <w:adjustRightInd w:val="0"/>
              <w:spacing w:after="0" w:line="240" w:lineRule="auto"/>
              <w:ind w:firstLine="0"/>
              <w:jc w:val="left"/>
            </w:pPr>
            <w:r>
              <w:t>96.000</w:t>
            </w:r>
          </w:p>
        </w:tc>
        <w:tc>
          <w:tcPr>
            <w:tcW w:w="1422" w:type="dxa"/>
            <w:hideMark/>
          </w:tcPr>
          <w:p w14:paraId="19559BA9" w14:textId="77777777" w:rsidR="00407106" w:rsidRDefault="00407106">
            <w:pPr>
              <w:widowControl w:val="0"/>
              <w:tabs>
                <w:tab w:val="decimal" w:pos="706"/>
              </w:tabs>
              <w:autoSpaceDE w:val="0"/>
              <w:autoSpaceDN w:val="0"/>
              <w:adjustRightInd w:val="0"/>
              <w:spacing w:after="0" w:line="240" w:lineRule="auto"/>
              <w:ind w:firstLine="0"/>
              <w:jc w:val="left"/>
            </w:pPr>
            <w:r>
              <w:t>125.000</w:t>
            </w:r>
          </w:p>
        </w:tc>
      </w:tr>
      <w:tr w:rsidR="00407106" w14:paraId="1956D117" w14:textId="77777777" w:rsidTr="00407106">
        <w:tc>
          <w:tcPr>
            <w:tcW w:w="2358" w:type="dxa"/>
            <w:hideMark/>
          </w:tcPr>
          <w:p w14:paraId="5B5F8879" w14:textId="77777777" w:rsidR="00407106" w:rsidRDefault="00407106">
            <w:pPr>
              <w:widowControl w:val="0"/>
              <w:autoSpaceDE w:val="0"/>
              <w:autoSpaceDN w:val="0"/>
              <w:adjustRightInd w:val="0"/>
              <w:spacing w:after="0" w:line="240" w:lineRule="auto"/>
              <w:ind w:firstLine="0"/>
              <w:rPr>
                <w:i/>
              </w:rPr>
            </w:pPr>
            <w:r>
              <w:rPr>
                <w:i/>
              </w:rPr>
              <w:t>ARC-NOTES*</w:t>
            </w:r>
          </w:p>
        </w:tc>
        <w:tc>
          <w:tcPr>
            <w:tcW w:w="1422" w:type="dxa"/>
            <w:hideMark/>
          </w:tcPr>
          <w:p w14:paraId="7B037207" w14:textId="77777777" w:rsidR="00407106" w:rsidRDefault="00407106">
            <w:pPr>
              <w:widowControl w:val="0"/>
              <w:tabs>
                <w:tab w:val="decimal" w:pos="706"/>
              </w:tabs>
              <w:autoSpaceDE w:val="0"/>
              <w:autoSpaceDN w:val="0"/>
              <w:adjustRightInd w:val="0"/>
              <w:spacing w:after="0" w:line="240" w:lineRule="auto"/>
              <w:ind w:firstLine="0"/>
              <w:jc w:val="left"/>
            </w:pPr>
            <w:r>
              <w:t>273.952</w:t>
            </w:r>
          </w:p>
        </w:tc>
        <w:tc>
          <w:tcPr>
            <w:tcW w:w="1422" w:type="dxa"/>
            <w:hideMark/>
          </w:tcPr>
          <w:p w14:paraId="4E3A8235" w14:textId="77777777" w:rsidR="00407106" w:rsidRDefault="00407106">
            <w:pPr>
              <w:widowControl w:val="0"/>
              <w:tabs>
                <w:tab w:val="decimal" w:pos="706"/>
              </w:tabs>
              <w:autoSpaceDE w:val="0"/>
              <w:autoSpaceDN w:val="0"/>
              <w:adjustRightInd w:val="0"/>
              <w:spacing w:after="0" w:line="240" w:lineRule="auto"/>
              <w:ind w:firstLine="0"/>
              <w:jc w:val="left"/>
            </w:pPr>
            <w:r>
              <w:t>250.000</w:t>
            </w:r>
          </w:p>
        </w:tc>
        <w:tc>
          <w:tcPr>
            <w:tcW w:w="1422" w:type="dxa"/>
            <w:hideMark/>
          </w:tcPr>
          <w:p w14:paraId="35A21B46" w14:textId="77777777" w:rsidR="00407106" w:rsidRDefault="00407106">
            <w:pPr>
              <w:widowControl w:val="0"/>
              <w:tabs>
                <w:tab w:val="decimal" w:pos="706"/>
              </w:tabs>
              <w:autoSpaceDE w:val="0"/>
              <w:autoSpaceDN w:val="0"/>
              <w:adjustRightInd w:val="0"/>
              <w:spacing w:after="0" w:line="240" w:lineRule="auto"/>
              <w:ind w:firstLine="0"/>
              <w:jc w:val="left"/>
            </w:pPr>
            <w:r>
              <w:t>131.497</w:t>
            </w:r>
          </w:p>
        </w:tc>
        <w:tc>
          <w:tcPr>
            <w:tcW w:w="1422" w:type="dxa"/>
            <w:hideMark/>
          </w:tcPr>
          <w:p w14:paraId="26FD151D" w14:textId="77777777" w:rsidR="00407106" w:rsidRDefault="00407106">
            <w:pPr>
              <w:widowControl w:val="0"/>
              <w:tabs>
                <w:tab w:val="decimal" w:pos="706"/>
              </w:tabs>
              <w:autoSpaceDE w:val="0"/>
              <w:autoSpaceDN w:val="0"/>
              <w:adjustRightInd w:val="0"/>
              <w:spacing w:after="0" w:line="240" w:lineRule="auto"/>
              <w:ind w:firstLine="0"/>
              <w:jc w:val="left"/>
            </w:pPr>
            <w:r>
              <w:t>178.000</w:t>
            </w:r>
          </w:p>
        </w:tc>
        <w:tc>
          <w:tcPr>
            <w:tcW w:w="1422" w:type="dxa"/>
            <w:hideMark/>
          </w:tcPr>
          <w:p w14:paraId="561FB45A" w14:textId="77777777" w:rsidR="00407106" w:rsidRDefault="00407106">
            <w:pPr>
              <w:widowControl w:val="0"/>
              <w:tabs>
                <w:tab w:val="decimal" w:pos="706"/>
              </w:tabs>
              <w:autoSpaceDE w:val="0"/>
              <w:autoSpaceDN w:val="0"/>
              <w:adjustRightInd w:val="0"/>
              <w:spacing w:after="0" w:line="240" w:lineRule="auto"/>
              <w:ind w:firstLine="0"/>
              <w:jc w:val="left"/>
            </w:pPr>
            <w:r>
              <w:t>344.000</w:t>
            </w:r>
          </w:p>
        </w:tc>
      </w:tr>
      <w:tr w:rsidR="00407106" w14:paraId="288EF35F" w14:textId="77777777" w:rsidTr="00407106">
        <w:tc>
          <w:tcPr>
            <w:tcW w:w="2358" w:type="dxa"/>
            <w:hideMark/>
          </w:tcPr>
          <w:p w14:paraId="32A02484" w14:textId="77777777" w:rsidR="00407106" w:rsidRDefault="00407106">
            <w:pPr>
              <w:widowControl w:val="0"/>
              <w:autoSpaceDE w:val="0"/>
              <w:autoSpaceDN w:val="0"/>
              <w:adjustRightInd w:val="0"/>
              <w:spacing w:after="0" w:line="240" w:lineRule="auto"/>
              <w:ind w:firstLine="0"/>
              <w:rPr>
                <w:i/>
              </w:rPr>
            </w:pPr>
            <w:r>
              <w:rPr>
                <w:i/>
              </w:rPr>
              <w:t>ARC-FAIR*</w:t>
            </w:r>
          </w:p>
        </w:tc>
        <w:tc>
          <w:tcPr>
            <w:tcW w:w="1422" w:type="dxa"/>
            <w:hideMark/>
          </w:tcPr>
          <w:p w14:paraId="44A5A888" w14:textId="77777777" w:rsidR="00407106" w:rsidRDefault="00407106">
            <w:pPr>
              <w:widowControl w:val="0"/>
              <w:tabs>
                <w:tab w:val="decimal" w:pos="706"/>
              </w:tabs>
              <w:autoSpaceDE w:val="0"/>
              <w:autoSpaceDN w:val="0"/>
              <w:adjustRightInd w:val="0"/>
              <w:spacing w:after="0" w:line="240" w:lineRule="auto"/>
              <w:ind w:firstLine="0"/>
              <w:jc w:val="left"/>
            </w:pPr>
            <w:r>
              <w:t>18.242</w:t>
            </w:r>
          </w:p>
        </w:tc>
        <w:tc>
          <w:tcPr>
            <w:tcW w:w="1422" w:type="dxa"/>
            <w:hideMark/>
          </w:tcPr>
          <w:p w14:paraId="223F3550" w14:textId="77777777" w:rsidR="00407106" w:rsidRDefault="00407106">
            <w:pPr>
              <w:widowControl w:val="0"/>
              <w:tabs>
                <w:tab w:val="decimal" w:pos="706"/>
              </w:tabs>
              <w:autoSpaceDE w:val="0"/>
              <w:autoSpaceDN w:val="0"/>
              <w:adjustRightInd w:val="0"/>
              <w:spacing w:after="0" w:line="240" w:lineRule="auto"/>
              <w:ind w:firstLine="0"/>
              <w:jc w:val="left"/>
            </w:pPr>
            <w:r>
              <w:t>12.000</w:t>
            </w:r>
          </w:p>
        </w:tc>
        <w:tc>
          <w:tcPr>
            <w:tcW w:w="1422" w:type="dxa"/>
            <w:hideMark/>
          </w:tcPr>
          <w:p w14:paraId="6DECF19C" w14:textId="77777777" w:rsidR="00407106" w:rsidRDefault="00407106">
            <w:pPr>
              <w:widowControl w:val="0"/>
              <w:tabs>
                <w:tab w:val="decimal" w:pos="706"/>
              </w:tabs>
              <w:autoSpaceDE w:val="0"/>
              <w:autoSpaceDN w:val="0"/>
              <w:adjustRightInd w:val="0"/>
              <w:spacing w:after="0" w:line="240" w:lineRule="auto"/>
              <w:ind w:firstLine="0"/>
              <w:jc w:val="left"/>
            </w:pPr>
            <w:r>
              <w:t>21.150</w:t>
            </w:r>
          </w:p>
        </w:tc>
        <w:tc>
          <w:tcPr>
            <w:tcW w:w="1422" w:type="dxa"/>
            <w:hideMark/>
          </w:tcPr>
          <w:p w14:paraId="35FDECAD" w14:textId="77777777" w:rsidR="00407106" w:rsidRDefault="00407106">
            <w:pPr>
              <w:widowControl w:val="0"/>
              <w:tabs>
                <w:tab w:val="decimal" w:pos="706"/>
              </w:tabs>
              <w:autoSpaceDE w:val="0"/>
              <w:autoSpaceDN w:val="0"/>
              <w:adjustRightInd w:val="0"/>
              <w:spacing w:after="0" w:line="240" w:lineRule="auto"/>
              <w:ind w:firstLine="0"/>
              <w:jc w:val="left"/>
            </w:pPr>
            <w:r>
              <w:t>6.000</w:t>
            </w:r>
          </w:p>
        </w:tc>
        <w:tc>
          <w:tcPr>
            <w:tcW w:w="1422" w:type="dxa"/>
            <w:hideMark/>
          </w:tcPr>
          <w:p w14:paraId="696D7E30" w14:textId="77777777" w:rsidR="00407106" w:rsidRDefault="00407106">
            <w:pPr>
              <w:widowControl w:val="0"/>
              <w:tabs>
                <w:tab w:val="decimal" w:pos="706"/>
              </w:tabs>
              <w:autoSpaceDE w:val="0"/>
              <w:autoSpaceDN w:val="0"/>
              <w:adjustRightInd w:val="0"/>
              <w:spacing w:after="0" w:line="240" w:lineRule="auto"/>
              <w:ind w:firstLine="0"/>
              <w:jc w:val="left"/>
            </w:pPr>
            <w:r>
              <w:t>21.000</w:t>
            </w:r>
          </w:p>
        </w:tc>
      </w:tr>
      <w:tr w:rsidR="00407106" w14:paraId="2B9B791D" w14:textId="77777777" w:rsidTr="00407106">
        <w:tc>
          <w:tcPr>
            <w:tcW w:w="2358" w:type="dxa"/>
            <w:hideMark/>
          </w:tcPr>
          <w:p w14:paraId="0F1B47A0" w14:textId="77777777" w:rsidR="00407106" w:rsidRDefault="00407106">
            <w:pPr>
              <w:widowControl w:val="0"/>
              <w:autoSpaceDE w:val="0"/>
              <w:autoSpaceDN w:val="0"/>
              <w:adjustRightInd w:val="0"/>
              <w:spacing w:after="0" w:line="240" w:lineRule="auto"/>
              <w:ind w:firstLine="0"/>
              <w:rPr>
                <w:i/>
              </w:rPr>
            </w:pPr>
            <w:r>
              <w:rPr>
                <w:i/>
              </w:rPr>
              <w:t>ARC-DERIV*</w:t>
            </w:r>
          </w:p>
        </w:tc>
        <w:tc>
          <w:tcPr>
            <w:tcW w:w="1422" w:type="dxa"/>
            <w:hideMark/>
          </w:tcPr>
          <w:p w14:paraId="24977CE0" w14:textId="77777777" w:rsidR="00407106" w:rsidRDefault="00407106">
            <w:pPr>
              <w:widowControl w:val="0"/>
              <w:tabs>
                <w:tab w:val="decimal" w:pos="706"/>
              </w:tabs>
              <w:autoSpaceDE w:val="0"/>
              <w:autoSpaceDN w:val="0"/>
              <w:adjustRightInd w:val="0"/>
              <w:spacing w:after="0" w:line="240" w:lineRule="auto"/>
              <w:ind w:firstLine="0"/>
              <w:jc w:val="left"/>
            </w:pPr>
            <w:r>
              <w:t>17.437</w:t>
            </w:r>
          </w:p>
        </w:tc>
        <w:tc>
          <w:tcPr>
            <w:tcW w:w="1422" w:type="dxa"/>
            <w:hideMark/>
          </w:tcPr>
          <w:p w14:paraId="629E563E" w14:textId="77777777" w:rsidR="00407106" w:rsidRDefault="00407106">
            <w:pPr>
              <w:widowControl w:val="0"/>
              <w:tabs>
                <w:tab w:val="decimal" w:pos="706"/>
              </w:tabs>
              <w:autoSpaceDE w:val="0"/>
              <w:autoSpaceDN w:val="0"/>
              <w:adjustRightInd w:val="0"/>
              <w:spacing w:after="0" w:line="240" w:lineRule="auto"/>
              <w:ind w:firstLine="0"/>
              <w:jc w:val="left"/>
            </w:pPr>
            <w:r>
              <w:t>13.000</w:t>
            </w:r>
          </w:p>
        </w:tc>
        <w:tc>
          <w:tcPr>
            <w:tcW w:w="1422" w:type="dxa"/>
            <w:hideMark/>
          </w:tcPr>
          <w:p w14:paraId="6F5F838E" w14:textId="77777777" w:rsidR="00407106" w:rsidRDefault="00407106">
            <w:pPr>
              <w:widowControl w:val="0"/>
              <w:tabs>
                <w:tab w:val="decimal" w:pos="706"/>
              </w:tabs>
              <w:autoSpaceDE w:val="0"/>
              <w:autoSpaceDN w:val="0"/>
              <w:adjustRightInd w:val="0"/>
              <w:spacing w:after="0" w:line="240" w:lineRule="auto"/>
              <w:ind w:firstLine="0"/>
              <w:jc w:val="left"/>
            </w:pPr>
            <w:r>
              <w:t>15.676</w:t>
            </w:r>
          </w:p>
        </w:tc>
        <w:tc>
          <w:tcPr>
            <w:tcW w:w="1422" w:type="dxa"/>
            <w:hideMark/>
          </w:tcPr>
          <w:p w14:paraId="3E46C22B" w14:textId="77777777" w:rsidR="00407106" w:rsidRDefault="00407106">
            <w:pPr>
              <w:widowControl w:val="0"/>
              <w:tabs>
                <w:tab w:val="decimal" w:pos="706"/>
              </w:tabs>
              <w:autoSpaceDE w:val="0"/>
              <w:autoSpaceDN w:val="0"/>
              <w:adjustRightInd w:val="0"/>
              <w:spacing w:after="0" w:line="240" w:lineRule="auto"/>
              <w:ind w:firstLine="0"/>
              <w:jc w:val="left"/>
            </w:pPr>
            <w:r>
              <w:t>5.000</w:t>
            </w:r>
          </w:p>
        </w:tc>
        <w:tc>
          <w:tcPr>
            <w:tcW w:w="1422" w:type="dxa"/>
            <w:hideMark/>
          </w:tcPr>
          <w:p w14:paraId="3B93AE88" w14:textId="77777777" w:rsidR="00407106" w:rsidRDefault="00407106">
            <w:pPr>
              <w:widowControl w:val="0"/>
              <w:tabs>
                <w:tab w:val="decimal" w:pos="706"/>
              </w:tabs>
              <w:autoSpaceDE w:val="0"/>
              <w:autoSpaceDN w:val="0"/>
              <w:adjustRightInd w:val="0"/>
              <w:spacing w:after="0" w:line="240" w:lineRule="auto"/>
              <w:ind w:firstLine="0"/>
              <w:jc w:val="left"/>
            </w:pPr>
            <w:r>
              <w:t>25.000</w:t>
            </w:r>
          </w:p>
        </w:tc>
      </w:tr>
      <w:tr w:rsidR="00407106" w14:paraId="6590D57F" w14:textId="77777777" w:rsidTr="00407106">
        <w:tc>
          <w:tcPr>
            <w:tcW w:w="2358" w:type="dxa"/>
            <w:hideMark/>
          </w:tcPr>
          <w:p w14:paraId="068221FC" w14:textId="77777777" w:rsidR="00407106" w:rsidRDefault="00407106">
            <w:pPr>
              <w:widowControl w:val="0"/>
              <w:autoSpaceDE w:val="0"/>
              <w:autoSpaceDN w:val="0"/>
              <w:adjustRightInd w:val="0"/>
              <w:spacing w:after="0" w:line="240" w:lineRule="auto"/>
              <w:ind w:firstLine="0"/>
              <w:rPr>
                <w:i/>
              </w:rPr>
            </w:pPr>
            <w:r>
              <w:rPr>
                <w:i/>
              </w:rPr>
              <w:t>ARC-PENS*</w:t>
            </w:r>
          </w:p>
        </w:tc>
        <w:tc>
          <w:tcPr>
            <w:tcW w:w="1422" w:type="dxa"/>
            <w:hideMark/>
          </w:tcPr>
          <w:p w14:paraId="495E68DC" w14:textId="77777777" w:rsidR="00407106" w:rsidRDefault="00407106">
            <w:pPr>
              <w:widowControl w:val="0"/>
              <w:tabs>
                <w:tab w:val="decimal" w:pos="706"/>
              </w:tabs>
              <w:autoSpaceDE w:val="0"/>
              <w:autoSpaceDN w:val="0"/>
              <w:adjustRightInd w:val="0"/>
              <w:spacing w:after="0" w:line="240" w:lineRule="auto"/>
              <w:ind w:firstLine="0"/>
              <w:jc w:val="left"/>
            </w:pPr>
            <w:r>
              <w:t>26.729</w:t>
            </w:r>
          </w:p>
        </w:tc>
        <w:tc>
          <w:tcPr>
            <w:tcW w:w="1422" w:type="dxa"/>
            <w:hideMark/>
          </w:tcPr>
          <w:p w14:paraId="45E98F1F" w14:textId="77777777" w:rsidR="00407106" w:rsidRDefault="00407106">
            <w:pPr>
              <w:widowControl w:val="0"/>
              <w:tabs>
                <w:tab w:val="decimal" w:pos="706"/>
              </w:tabs>
              <w:autoSpaceDE w:val="0"/>
              <w:autoSpaceDN w:val="0"/>
              <w:adjustRightInd w:val="0"/>
              <w:spacing w:after="0" w:line="240" w:lineRule="auto"/>
              <w:ind w:firstLine="0"/>
              <w:jc w:val="left"/>
            </w:pPr>
            <w:r>
              <w:t>6.000</w:t>
            </w:r>
          </w:p>
        </w:tc>
        <w:tc>
          <w:tcPr>
            <w:tcW w:w="1422" w:type="dxa"/>
            <w:hideMark/>
          </w:tcPr>
          <w:p w14:paraId="2C2471E1" w14:textId="77777777" w:rsidR="00407106" w:rsidRDefault="00407106">
            <w:pPr>
              <w:widowControl w:val="0"/>
              <w:tabs>
                <w:tab w:val="decimal" w:pos="706"/>
              </w:tabs>
              <w:autoSpaceDE w:val="0"/>
              <w:autoSpaceDN w:val="0"/>
              <w:adjustRightInd w:val="0"/>
              <w:spacing w:after="0" w:line="240" w:lineRule="auto"/>
              <w:ind w:firstLine="0"/>
              <w:jc w:val="left"/>
            </w:pPr>
            <w:r>
              <w:t>32.104</w:t>
            </w:r>
          </w:p>
        </w:tc>
        <w:tc>
          <w:tcPr>
            <w:tcW w:w="1422" w:type="dxa"/>
            <w:hideMark/>
          </w:tcPr>
          <w:p w14:paraId="0D318182" w14:textId="77777777" w:rsidR="00407106" w:rsidRDefault="00407106">
            <w:pPr>
              <w:widowControl w:val="0"/>
              <w:tabs>
                <w:tab w:val="decimal" w:pos="706"/>
              </w:tabs>
              <w:autoSpaceDE w:val="0"/>
              <w:autoSpaceDN w:val="0"/>
              <w:adjustRightInd w:val="0"/>
              <w:spacing w:after="0" w:line="240" w:lineRule="auto"/>
              <w:ind w:firstLine="0"/>
              <w:jc w:val="left"/>
            </w:pPr>
            <w:r>
              <w:t>2.000</w:t>
            </w:r>
          </w:p>
        </w:tc>
        <w:tc>
          <w:tcPr>
            <w:tcW w:w="1422" w:type="dxa"/>
            <w:hideMark/>
          </w:tcPr>
          <w:p w14:paraId="3F42179E" w14:textId="77777777" w:rsidR="00407106" w:rsidRDefault="00407106">
            <w:pPr>
              <w:widowControl w:val="0"/>
              <w:tabs>
                <w:tab w:val="decimal" w:pos="706"/>
              </w:tabs>
              <w:autoSpaceDE w:val="0"/>
              <w:autoSpaceDN w:val="0"/>
              <w:adjustRightInd w:val="0"/>
              <w:spacing w:after="0" w:line="240" w:lineRule="auto"/>
              <w:ind w:firstLine="0"/>
              <w:jc w:val="left"/>
            </w:pPr>
            <w:r>
              <w:t>53.000</w:t>
            </w:r>
          </w:p>
        </w:tc>
      </w:tr>
      <w:tr w:rsidR="00407106" w14:paraId="68F6E17C" w14:textId="77777777" w:rsidTr="00407106">
        <w:tc>
          <w:tcPr>
            <w:tcW w:w="2358" w:type="dxa"/>
          </w:tcPr>
          <w:p w14:paraId="005B65D2" w14:textId="77777777" w:rsidR="00407106" w:rsidRDefault="00407106">
            <w:pPr>
              <w:widowControl w:val="0"/>
              <w:autoSpaceDE w:val="0"/>
              <w:autoSpaceDN w:val="0"/>
              <w:adjustRightInd w:val="0"/>
              <w:spacing w:after="0" w:line="240" w:lineRule="auto"/>
              <w:ind w:firstLine="0"/>
            </w:pPr>
          </w:p>
        </w:tc>
        <w:tc>
          <w:tcPr>
            <w:tcW w:w="1422" w:type="dxa"/>
          </w:tcPr>
          <w:p w14:paraId="4D5DE65B"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265B0C53"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0DF49729"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7B57AC8C"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6D8380F3" w14:textId="77777777" w:rsidR="00407106" w:rsidRDefault="00407106">
            <w:pPr>
              <w:widowControl w:val="0"/>
              <w:tabs>
                <w:tab w:val="decimal" w:pos="706"/>
              </w:tabs>
              <w:autoSpaceDE w:val="0"/>
              <w:autoSpaceDN w:val="0"/>
              <w:adjustRightInd w:val="0"/>
              <w:spacing w:after="0" w:line="240" w:lineRule="auto"/>
              <w:ind w:firstLine="0"/>
              <w:jc w:val="left"/>
            </w:pPr>
          </w:p>
        </w:tc>
      </w:tr>
      <w:tr w:rsidR="00407106" w14:paraId="64C90FE0" w14:textId="77777777" w:rsidTr="00407106">
        <w:tc>
          <w:tcPr>
            <w:tcW w:w="2358" w:type="dxa"/>
            <w:hideMark/>
          </w:tcPr>
          <w:p w14:paraId="623551F3" w14:textId="77777777" w:rsidR="00407106" w:rsidRDefault="00407106">
            <w:pPr>
              <w:widowControl w:val="0"/>
              <w:autoSpaceDE w:val="0"/>
              <w:autoSpaceDN w:val="0"/>
              <w:adjustRightInd w:val="0"/>
              <w:spacing w:after="0" w:line="240" w:lineRule="auto"/>
              <w:ind w:firstLine="0"/>
            </w:pPr>
            <w:r>
              <w:t>Control variables:</w:t>
            </w:r>
          </w:p>
        </w:tc>
        <w:tc>
          <w:tcPr>
            <w:tcW w:w="1422" w:type="dxa"/>
          </w:tcPr>
          <w:p w14:paraId="3295B371"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3411B990"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2708960A"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0F70D77A"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77070EA0" w14:textId="77777777" w:rsidR="00407106" w:rsidRDefault="00407106">
            <w:pPr>
              <w:widowControl w:val="0"/>
              <w:tabs>
                <w:tab w:val="decimal" w:pos="706"/>
              </w:tabs>
              <w:autoSpaceDE w:val="0"/>
              <w:autoSpaceDN w:val="0"/>
              <w:adjustRightInd w:val="0"/>
              <w:spacing w:after="0" w:line="240" w:lineRule="auto"/>
              <w:ind w:firstLine="0"/>
              <w:jc w:val="left"/>
            </w:pPr>
          </w:p>
        </w:tc>
      </w:tr>
      <w:tr w:rsidR="00407106" w14:paraId="012F22EB" w14:textId="77777777" w:rsidTr="00407106">
        <w:tc>
          <w:tcPr>
            <w:tcW w:w="2358" w:type="dxa"/>
            <w:hideMark/>
          </w:tcPr>
          <w:p w14:paraId="1072F90B" w14:textId="77777777" w:rsidR="00407106" w:rsidRDefault="00407106">
            <w:pPr>
              <w:widowControl w:val="0"/>
              <w:autoSpaceDE w:val="0"/>
              <w:autoSpaceDN w:val="0"/>
              <w:adjustRightInd w:val="0"/>
              <w:spacing w:after="0" w:line="240" w:lineRule="auto"/>
              <w:ind w:firstLine="0"/>
              <w:rPr>
                <w:i/>
              </w:rPr>
            </w:pPr>
            <w:r>
              <w:rPr>
                <w:i/>
              </w:rPr>
              <w:t>MV*</w:t>
            </w:r>
          </w:p>
        </w:tc>
        <w:tc>
          <w:tcPr>
            <w:tcW w:w="1422" w:type="dxa"/>
            <w:hideMark/>
          </w:tcPr>
          <w:p w14:paraId="25C8C75B" w14:textId="77777777" w:rsidR="00407106" w:rsidRDefault="00407106">
            <w:pPr>
              <w:widowControl w:val="0"/>
              <w:tabs>
                <w:tab w:val="decimal" w:pos="706"/>
              </w:tabs>
              <w:autoSpaceDE w:val="0"/>
              <w:autoSpaceDN w:val="0"/>
              <w:adjustRightInd w:val="0"/>
              <w:spacing w:after="0" w:line="240" w:lineRule="auto"/>
              <w:ind w:firstLine="0"/>
              <w:jc w:val="left"/>
            </w:pPr>
            <w:r>
              <w:t>7744.880</w:t>
            </w:r>
          </w:p>
        </w:tc>
        <w:tc>
          <w:tcPr>
            <w:tcW w:w="1422" w:type="dxa"/>
            <w:hideMark/>
          </w:tcPr>
          <w:p w14:paraId="2294B5EB" w14:textId="77777777" w:rsidR="00407106" w:rsidRDefault="00407106">
            <w:pPr>
              <w:widowControl w:val="0"/>
              <w:tabs>
                <w:tab w:val="decimal" w:pos="706"/>
              </w:tabs>
              <w:autoSpaceDE w:val="0"/>
              <w:autoSpaceDN w:val="0"/>
              <w:adjustRightInd w:val="0"/>
              <w:spacing w:after="0" w:line="240" w:lineRule="auto"/>
              <w:ind w:firstLine="0"/>
              <w:jc w:val="left"/>
            </w:pPr>
            <w:r>
              <w:t>1590.822</w:t>
            </w:r>
          </w:p>
        </w:tc>
        <w:tc>
          <w:tcPr>
            <w:tcW w:w="1422" w:type="dxa"/>
            <w:hideMark/>
          </w:tcPr>
          <w:p w14:paraId="3E13B344" w14:textId="77777777" w:rsidR="00407106" w:rsidRDefault="00407106">
            <w:pPr>
              <w:widowControl w:val="0"/>
              <w:tabs>
                <w:tab w:val="decimal" w:pos="706"/>
              </w:tabs>
              <w:autoSpaceDE w:val="0"/>
              <w:autoSpaceDN w:val="0"/>
              <w:adjustRightInd w:val="0"/>
              <w:spacing w:after="0" w:line="240" w:lineRule="auto"/>
              <w:ind w:firstLine="0"/>
              <w:jc w:val="left"/>
            </w:pPr>
            <w:r>
              <w:t>25932.442</w:t>
            </w:r>
          </w:p>
        </w:tc>
        <w:tc>
          <w:tcPr>
            <w:tcW w:w="1422" w:type="dxa"/>
            <w:hideMark/>
          </w:tcPr>
          <w:p w14:paraId="14D108B4" w14:textId="77777777" w:rsidR="00407106" w:rsidRDefault="00407106">
            <w:pPr>
              <w:widowControl w:val="0"/>
              <w:tabs>
                <w:tab w:val="decimal" w:pos="706"/>
              </w:tabs>
              <w:autoSpaceDE w:val="0"/>
              <w:autoSpaceDN w:val="0"/>
              <w:adjustRightInd w:val="0"/>
              <w:spacing w:after="0" w:line="240" w:lineRule="auto"/>
              <w:ind w:firstLine="0"/>
              <w:jc w:val="left"/>
            </w:pPr>
            <w:r>
              <w:t>551.067</w:t>
            </w:r>
          </w:p>
        </w:tc>
        <w:tc>
          <w:tcPr>
            <w:tcW w:w="1422" w:type="dxa"/>
            <w:hideMark/>
          </w:tcPr>
          <w:p w14:paraId="3247A26E" w14:textId="77777777" w:rsidR="00407106" w:rsidRDefault="00407106">
            <w:pPr>
              <w:widowControl w:val="0"/>
              <w:tabs>
                <w:tab w:val="decimal" w:pos="706"/>
              </w:tabs>
              <w:autoSpaceDE w:val="0"/>
              <w:autoSpaceDN w:val="0"/>
              <w:adjustRightInd w:val="0"/>
              <w:spacing w:after="0" w:line="240" w:lineRule="auto"/>
              <w:ind w:firstLine="0"/>
              <w:jc w:val="left"/>
            </w:pPr>
            <w:r>
              <w:t>4656.045</w:t>
            </w:r>
          </w:p>
        </w:tc>
      </w:tr>
      <w:tr w:rsidR="00407106" w14:paraId="48F6E0A7" w14:textId="77777777" w:rsidTr="00407106">
        <w:tc>
          <w:tcPr>
            <w:tcW w:w="2358" w:type="dxa"/>
            <w:hideMark/>
          </w:tcPr>
          <w:p w14:paraId="085B3364" w14:textId="77777777" w:rsidR="00407106" w:rsidRDefault="00407106">
            <w:pPr>
              <w:widowControl w:val="0"/>
              <w:autoSpaceDE w:val="0"/>
              <w:autoSpaceDN w:val="0"/>
              <w:adjustRightInd w:val="0"/>
              <w:spacing w:after="0" w:line="240" w:lineRule="auto"/>
              <w:ind w:firstLine="0"/>
              <w:rPr>
                <w:i/>
              </w:rPr>
            </w:pPr>
            <w:r>
              <w:rPr>
                <w:i/>
              </w:rPr>
              <w:t>IO</w:t>
            </w:r>
          </w:p>
        </w:tc>
        <w:tc>
          <w:tcPr>
            <w:tcW w:w="1422" w:type="dxa"/>
            <w:hideMark/>
          </w:tcPr>
          <w:p w14:paraId="2DCF48A4" w14:textId="77777777" w:rsidR="00407106" w:rsidRDefault="00407106">
            <w:pPr>
              <w:widowControl w:val="0"/>
              <w:tabs>
                <w:tab w:val="decimal" w:pos="706"/>
              </w:tabs>
              <w:autoSpaceDE w:val="0"/>
              <w:autoSpaceDN w:val="0"/>
              <w:adjustRightInd w:val="0"/>
              <w:spacing w:after="0" w:line="240" w:lineRule="auto"/>
              <w:ind w:firstLine="0"/>
              <w:jc w:val="left"/>
            </w:pPr>
            <w:r>
              <w:t>66.021</w:t>
            </w:r>
          </w:p>
        </w:tc>
        <w:tc>
          <w:tcPr>
            <w:tcW w:w="1422" w:type="dxa"/>
            <w:hideMark/>
          </w:tcPr>
          <w:p w14:paraId="04227B3C" w14:textId="77777777" w:rsidR="00407106" w:rsidRDefault="00407106">
            <w:pPr>
              <w:widowControl w:val="0"/>
              <w:tabs>
                <w:tab w:val="decimal" w:pos="706"/>
              </w:tabs>
              <w:autoSpaceDE w:val="0"/>
              <w:autoSpaceDN w:val="0"/>
              <w:adjustRightInd w:val="0"/>
              <w:spacing w:after="0" w:line="240" w:lineRule="auto"/>
              <w:ind w:firstLine="0"/>
              <w:jc w:val="left"/>
            </w:pPr>
            <w:r>
              <w:t>70.619</w:t>
            </w:r>
          </w:p>
        </w:tc>
        <w:tc>
          <w:tcPr>
            <w:tcW w:w="1422" w:type="dxa"/>
            <w:hideMark/>
          </w:tcPr>
          <w:p w14:paraId="39DE58BE" w14:textId="77777777" w:rsidR="00407106" w:rsidRDefault="00407106">
            <w:pPr>
              <w:widowControl w:val="0"/>
              <w:tabs>
                <w:tab w:val="decimal" w:pos="706"/>
              </w:tabs>
              <w:autoSpaceDE w:val="0"/>
              <w:autoSpaceDN w:val="0"/>
              <w:adjustRightInd w:val="0"/>
              <w:spacing w:after="0" w:line="240" w:lineRule="auto"/>
              <w:ind w:firstLine="0"/>
              <w:jc w:val="left"/>
            </w:pPr>
            <w:r>
              <w:t>22.390</w:t>
            </w:r>
          </w:p>
        </w:tc>
        <w:tc>
          <w:tcPr>
            <w:tcW w:w="1422" w:type="dxa"/>
            <w:hideMark/>
          </w:tcPr>
          <w:p w14:paraId="21FF4C1A" w14:textId="77777777" w:rsidR="00407106" w:rsidRDefault="00407106">
            <w:pPr>
              <w:widowControl w:val="0"/>
              <w:tabs>
                <w:tab w:val="decimal" w:pos="706"/>
              </w:tabs>
              <w:autoSpaceDE w:val="0"/>
              <w:autoSpaceDN w:val="0"/>
              <w:adjustRightInd w:val="0"/>
              <w:spacing w:after="0" w:line="240" w:lineRule="auto"/>
              <w:ind w:firstLine="0"/>
              <w:jc w:val="left"/>
            </w:pPr>
            <w:r>
              <w:t>53.494</w:t>
            </w:r>
          </w:p>
        </w:tc>
        <w:tc>
          <w:tcPr>
            <w:tcW w:w="1422" w:type="dxa"/>
            <w:hideMark/>
          </w:tcPr>
          <w:p w14:paraId="5A173FC9" w14:textId="77777777" w:rsidR="00407106" w:rsidRDefault="00407106">
            <w:pPr>
              <w:widowControl w:val="0"/>
              <w:tabs>
                <w:tab w:val="decimal" w:pos="706"/>
              </w:tabs>
              <w:autoSpaceDE w:val="0"/>
              <w:autoSpaceDN w:val="0"/>
              <w:adjustRightInd w:val="0"/>
              <w:spacing w:after="0" w:line="240" w:lineRule="auto"/>
              <w:ind w:firstLine="0"/>
              <w:jc w:val="left"/>
            </w:pPr>
            <w:r>
              <w:t>82.389</w:t>
            </w:r>
          </w:p>
        </w:tc>
      </w:tr>
      <w:tr w:rsidR="00407106" w14:paraId="603ABF6C" w14:textId="77777777" w:rsidTr="00407106">
        <w:tc>
          <w:tcPr>
            <w:tcW w:w="2358" w:type="dxa"/>
            <w:hideMark/>
          </w:tcPr>
          <w:p w14:paraId="42155051" w14:textId="77777777" w:rsidR="00407106" w:rsidRDefault="00407106">
            <w:pPr>
              <w:widowControl w:val="0"/>
              <w:autoSpaceDE w:val="0"/>
              <w:autoSpaceDN w:val="0"/>
              <w:adjustRightInd w:val="0"/>
              <w:spacing w:after="0" w:line="240" w:lineRule="auto"/>
              <w:ind w:firstLine="0"/>
              <w:rPr>
                <w:i/>
              </w:rPr>
            </w:pPr>
            <w:r>
              <w:rPr>
                <w:i/>
              </w:rPr>
              <w:t>B/M</w:t>
            </w:r>
          </w:p>
        </w:tc>
        <w:tc>
          <w:tcPr>
            <w:tcW w:w="1422" w:type="dxa"/>
            <w:hideMark/>
          </w:tcPr>
          <w:p w14:paraId="46B7119C" w14:textId="77777777" w:rsidR="00407106" w:rsidRDefault="00407106">
            <w:pPr>
              <w:widowControl w:val="0"/>
              <w:tabs>
                <w:tab w:val="decimal" w:pos="706"/>
              </w:tabs>
              <w:autoSpaceDE w:val="0"/>
              <w:autoSpaceDN w:val="0"/>
              <w:adjustRightInd w:val="0"/>
              <w:spacing w:after="0" w:line="240" w:lineRule="auto"/>
              <w:ind w:firstLine="0"/>
              <w:jc w:val="left"/>
            </w:pPr>
            <w:r>
              <w:t>0.508</w:t>
            </w:r>
          </w:p>
        </w:tc>
        <w:tc>
          <w:tcPr>
            <w:tcW w:w="1422" w:type="dxa"/>
            <w:hideMark/>
          </w:tcPr>
          <w:p w14:paraId="782B73DF" w14:textId="77777777" w:rsidR="00407106" w:rsidRDefault="00407106">
            <w:pPr>
              <w:widowControl w:val="0"/>
              <w:tabs>
                <w:tab w:val="decimal" w:pos="706"/>
              </w:tabs>
              <w:autoSpaceDE w:val="0"/>
              <w:autoSpaceDN w:val="0"/>
              <w:adjustRightInd w:val="0"/>
              <w:spacing w:after="0" w:line="240" w:lineRule="auto"/>
              <w:ind w:firstLine="0"/>
              <w:jc w:val="left"/>
            </w:pPr>
            <w:r>
              <w:t>0.434</w:t>
            </w:r>
          </w:p>
        </w:tc>
        <w:tc>
          <w:tcPr>
            <w:tcW w:w="1422" w:type="dxa"/>
            <w:hideMark/>
          </w:tcPr>
          <w:p w14:paraId="360928ED" w14:textId="77777777" w:rsidR="00407106" w:rsidRDefault="00407106">
            <w:pPr>
              <w:widowControl w:val="0"/>
              <w:tabs>
                <w:tab w:val="decimal" w:pos="706"/>
              </w:tabs>
              <w:autoSpaceDE w:val="0"/>
              <w:autoSpaceDN w:val="0"/>
              <w:adjustRightInd w:val="0"/>
              <w:spacing w:after="0" w:line="240" w:lineRule="auto"/>
              <w:ind w:firstLine="0"/>
              <w:jc w:val="left"/>
            </w:pPr>
            <w:r>
              <w:t>0.392</w:t>
            </w:r>
          </w:p>
        </w:tc>
        <w:tc>
          <w:tcPr>
            <w:tcW w:w="1422" w:type="dxa"/>
            <w:hideMark/>
          </w:tcPr>
          <w:p w14:paraId="1873C9C4" w14:textId="77777777" w:rsidR="00407106" w:rsidRDefault="00407106">
            <w:pPr>
              <w:widowControl w:val="0"/>
              <w:tabs>
                <w:tab w:val="decimal" w:pos="706"/>
              </w:tabs>
              <w:autoSpaceDE w:val="0"/>
              <w:autoSpaceDN w:val="0"/>
              <w:adjustRightInd w:val="0"/>
              <w:spacing w:after="0" w:line="240" w:lineRule="auto"/>
              <w:ind w:firstLine="0"/>
              <w:jc w:val="left"/>
            </w:pPr>
            <w:r>
              <w:t>0.243</w:t>
            </w:r>
          </w:p>
        </w:tc>
        <w:tc>
          <w:tcPr>
            <w:tcW w:w="1422" w:type="dxa"/>
            <w:hideMark/>
          </w:tcPr>
          <w:p w14:paraId="2D102A7D" w14:textId="77777777" w:rsidR="00407106" w:rsidRDefault="00407106">
            <w:pPr>
              <w:widowControl w:val="0"/>
              <w:tabs>
                <w:tab w:val="decimal" w:pos="706"/>
              </w:tabs>
              <w:autoSpaceDE w:val="0"/>
              <w:autoSpaceDN w:val="0"/>
              <w:adjustRightInd w:val="0"/>
              <w:spacing w:after="0" w:line="240" w:lineRule="auto"/>
              <w:ind w:firstLine="0"/>
              <w:jc w:val="left"/>
            </w:pPr>
            <w:r>
              <w:t>0.710</w:t>
            </w:r>
          </w:p>
        </w:tc>
      </w:tr>
      <w:tr w:rsidR="00407106" w14:paraId="0B71044C" w14:textId="77777777" w:rsidTr="00407106">
        <w:tc>
          <w:tcPr>
            <w:tcW w:w="2358" w:type="dxa"/>
            <w:hideMark/>
          </w:tcPr>
          <w:p w14:paraId="48CE6D0C" w14:textId="77777777" w:rsidR="00407106" w:rsidRDefault="00407106">
            <w:pPr>
              <w:widowControl w:val="0"/>
              <w:autoSpaceDE w:val="0"/>
              <w:autoSpaceDN w:val="0"/>
              <w:adjustRightInd w:val="0"/>
              <w:spacing w:after="0" w:line="240" w:lineRule="auto"/>
              <w:ind w:firstLine="0"/>
              <w:rPr>
                <w:i/>
              </w:rPr>
            </w:pPr>
            <w:r>
              <w:rPr>
                <w:i/>
              </w:rPr>
              <w:t>GROWTH</w:t>
            </w:r>
          </w:p>
        </w:tc>
        <w:tc>
          <w:tcPr>
            <w:tcW w:w="1422" w:type="dxa"/>
            <w:hideMark/>
          </w:tcPr>
          <w:p w14:paraId="323A44E5" w14:textId="77777777" w:rsidR="00407106" w:rsidRDefault="00407106">
            <w:pPr>
              <w:widowControl w:val="0"/>
              <w:tabs>
                <w:tab w:val="decimal" w:pos="706"/>
              </w:tabs>
              <w:autoSpaceDE w:val="0"/>
              <w:autoSpaceDN w:val="0"/>
              <w:adjustRightInd w:val="0"/>
              <w:spacing w:after="0" w:line="240" w:lineRule="auto"/>
              <w:ind w:firstLine="0"/>
              <w:jc w:val="left"/>
            </w:pPr>
            <w:r>
              <w:t>0.128</w:t>
            </w:r>
          </w:p>
        </w:tc>
        <w:tc>
          <w:tcPr>
            <w:tcW w:w="1422" w:type="dxa"/>
            <w:hideMark/>
          </w:tcPr>
          <w:p w14:paraId="0071CF60" w14:textId="77777777" w:rsidR="00407106" w:rsidRDefault="00407106">
            <w:pPr>
              <w:widowControl w:val="0"/>
              <w:tabs>
                <w:tab w:val="decimal" w:pos="706"/>
              </w:tabs>
              <w:autoSpaceDE w:val="0"/>
              <w:autoSpaceDN w:val="0"/>
              <w:adjustRightInd w:val="0"/>
              <w:spacing w:after="0" w:line="240" w:lineRule="auto"/>
              <w:ind w:firstLine="0"/>
              <w:jc w:val="left"/>
            </w:pPr>
            <w:r>
              <w:t>0.064</w:t>
            </w:r>
          </w:p>
        </w:tc>
        <w:tc>
          <w:tcPr>
            <w:tcW w:w="1422" w:type="dxa"/>
            <w:hideMark/>
          </w:tcPr>
          <w:p w14:paraId="292D429C" w14:textId="77777777" w:rsidR="00407106" w:rsidRDefault="00407106">
            <w:pPr>
              <w:widowControl w:val="0"/>
              <w:tabs>
                <w:tab w:val="decimal" w:pos="706"/>
              </w:tabs>
              <w:autoSpaceDE w:val="0"/>
              <w:autoSpaceDN w:val="0"/>
              <w:adjustRightInd w:val="0"/>
              <w:spacing w:after="0" w:line="240" w:lineRule="auto"/>
              <w:ind w:firstLine="0"/>
              <w:jc w:val="left"/>
            </w:pPr>
            <w:r>
              <w:t>0.375</w:t>
            </w:r>
          </w:p>
        </w:tc>
        <w:tc>
          <w:tcPr>
            <w:tcW w:w="1422" w:type="dxa"/>
            <w:hideMark/>
          </w:tcPr>
          <w:p w14:paraId="48611F02" w14:textId="77777777" w:rsidR="00407106" w:rsidRDefault="00407106">
            <w:pPr>
              <w:widowControl w:val="0"/>
              <w:tabs>
                <w:tab w:val="decimal" w:pos="706"/>
              </w:tabs>
              <w:autoSpaceDE w:val="0"/>
              <w:autoSpaceDN w:val="0"/>
              <w:adjustRightInd w:val="0"/>
              <w:spacing w:after="0" w:line="240" w:lineRule="auto"/>
              <w:ind w:firstLine="0"/>
              <w:jc w:val="left"/>
            </w:pPr>
            <w:r>
              <w:t>-0.008</w:t>
            </w:r>
          </w:p>
        </w:tc>
        <w:tc>
          <w:tcPr>
            <w:tcW w:w="1422" w:type="dxa"/>
            <w:hideMark/>
          </w:tcPr>
          <w:p w14:paraId="50EF67E1" w14:textId="77777777" w:rsidR="00407106" w:rsidRDefault="00407106">
            <w:pPr>
              <w:widowControl w:val="0"/>
              <w:tabs>
                <w:tab w:val="decimal" w:pos="706"/>
              </w:tabs>
              <w:autoSpaceDE w:val="0"/>
              <w:autoSpaceDN w:val="0"/>
              <w:adjustRightInd w:val="0"/>
              <w:spacing w:after="0" w:line="240" w:lineRule="auto"/>
              <w:ind w:firstLine="0"/>
              <w:jc w:val="left"/>
            </w:pPr>
            <w:r>
              <w:t>0.166</w:t>
            </w:r>
          </w:p>
        </w:tc>
      </w:tr>
      <w:tr w:rsidR="00407106" w14:paraId="5CC174D4" w14:textId="77777777" w:rsidTr="00407106">
        <w:tc>
          <w:tcPr>
            <w:tcW w:w="2358" w:type="dxa"/>
            <w:hideMark/>
          </w:tcPr>
          <w:p w14:paraId="09BE9E1F" w14:textId="77777777" w:rsidR="00407106" w:rsidRDefault="00407106">
            <w:pPr>
              <w:widowControl w:val="0"/>
              <w:autoSpaceDE w:val="0"/>
              <w:autoSpaceDN w:val="0"/>
              <w:adjustRightInd w:val="0"/>
              <w:spacing w:after="0" w:line="240" w:lineRule="auto"/>
              <w:ind w:firstLine="0"/>
              <w:rPr>
                <w:i/>
              </w:rPr>
            </w:pPr>
            <w:r>
              <w:rPr>
                <w:i/>
              </w:rPr>
              <w:t>NEWS10K</w:t>
            </w:r>
          </w:p>
        </w:tc>
        <w:tc>
          <w:tcPr>
            <w:tcW w:w="1422" w:type="dxa"/>
            <w:hideMark/>
          </w:tcPr>
          <w:p w14:paraId="70C4BBD0" w14:textId="77777777" w:rsidR="00407106" w:rsidRDefault="00407106">
            <w:pPr>
              <w:widowControl w:val="0"/>
              <w:tabs>
                <w:tab w:val="decimal" w:pos="706"/>
              </w:tabs>
              <w:autoSpaceDE w:val="0"/>
              <w:autoSpaceDN w:val="0"/>
              <w:adjustRightInd w:val="0"/>
              <w:spacing w:after="0" w:line="240" w:lineRule="auto"/>
              <w:ind w:firstLine="0"/>
              <w:jc w:val="left"/>
            </w:pPr>
            <w:r>
              <w:t>0.025</w:t>
            </w:r>
          </w:p>
        </w:tc>
        <w:tc>
          <w:tcPr>
            <w:tcW w:w="1422" w:type="dxa"/>
            <w:hideMark/>
          </w:tcPr>
          <w:p w14:paraId="46660F60" w14:textId="77777777" w:rsidR="00407106" w:rsidRDefault="00407106">
            <w:pPr>
              <w:widowControl w:val="0"/>
              <w:tabs>
                <w:tab w:val="decimal" w:pos="706"/>
              </w:tabs>
              <w:autoSpaceDE w:val="0"/>
              <w:autoSpaceDN w:val="0"/>
              <w:adjustRightInd w:val="0"/>
              <w:spacing w:after="0" w:line="240" w:lineRule="auto"/>
              <w:ind w:firstLine="0"/>
              <w:jc w:val="left"/>
            </w:pPr>
            <w:r>
              <w:t>0.013</w:t>
            </w:r>
          </w:p>
        </w:tc>
        <w:tc>
          <w:tcPr>
            <w:tcW w:w="1422" w:type="dxa"/>
            <w:hideMark/>
          </w:tcPr>
          <w:p w14:paraId="5468B69B" w14:textId="77777777" w:rsidR="00407106" w:rsidRDefault="00407106">
            <w:pPr>
              <w:widowControl w:val="0"/>
              <w:tabs>
                <w:tab w:val="decimal" w:pos="706"/>
              </w:tabs>
              <w:autoSpaceDE w:val="0"/>
              <w:autoSpaceDN w:val="0"/>
              <w:adjustRightInd w:val="0"/>
              <w:spacing w:after="0" w:line="240" w:lineRule="auto"/>
              <w:ind w:firstLine="0"/>
              <w:jc w:val="left"/>
            </w:pPr>
            <w:r>
              <w:t>0.032</w:t>
            </w:r>
          </w:p>
        </w:tc>
        <w:tc>
          <w:tcPr>
            <w:tcW w:w="1422" w:type="dxa"/>
            <w:hideMark/>
          </w:tcPr>
          <w:p w14:paraId="50324541" w14:textId="77777777" w:rsidR="00407106" w:rsidRDefault="00407106">
            <w:pPr>
              <w:widowControl w:val="0"/>
              <w:tabs>
                <w:tab w:val="decimal" w:pos="706"/>
              </w:tabs>
              <w:autoSpaceDE w:val="0"/>
              <w:autoSpaceDN w:val="0"/>
              <w:adjustRightInd w:val="0"/>
              <w:spacing w:after="0" w:line="240" w:lineRule="auto"/>
              <w:ind w:firstLine="0"/>
              <w:jc w:val="left"/>
            </w:pPr>
            <w:r>
              <w:t>0.006</w:t>
            </w:r>
          </w:p>
        </w:tc>
        <w:tc>
          <w:tcPr>
            <w:tcW w:w="1422" w:type="dxa"/>
            <w:hideMark/>
          </w:tcPr>
          <w:p w14:paraId="3397AC80" w14:textId="77777777" w:rsidR="00407106" w:rsidRDefault="00407106">
            <w:pPr>
              <w:widowControl w:val="0"/>
              <w:tabs>
                <w:tab w:val="decimal" w:pos="706"/>
              </w:tabs>
              <w:autoSpaceDE w:val="0"/>
              <w:autoSpaceDN w:val="0"/>
              <w:adjustRightInd w:val="0"/>
              <w:spacing w:after="0" w:line="240" w:lineRule="auto"/>
              <w:ind w:firstLine="0"/>
              <w:jc w:val="left"/>
            </w:pPr>
            <w:r>
              <w:t>0.030</w:t>
            </w:r>
          </w:p>
        </w:tc>
      </w:tr>
      <w:tr w:rsidR="00407106" w14:paraId="167A0E77" w14:textId="77777777" w:rsidTr="00407106">
        <w:tc>
          <w:tcPr>
            <w:tcW w:w="2358" w:type="dxa"/>
            <w:tcBorders>
              <w:top w:val="nil"/>
              <w:left w:val="nil"/>
              <w:bottom w:val="single" w:sz="4" w:space="0" w:color="auto"/>
              <w:right w:val="nil"/>
            </w:tcBorders>
            <w:hideMark/>
          </w:tcPr>
          <w:p w14:paraId="04ABCA0D" w14:textId="77777777" w:rsidR="00407106" w:rsidRDefault="00407106">
            <w:pPr>
              <w:widowControl w:val="0"/>
              <w:autoSpaceDE w:val="0"/>
              <w:autoSpaceDN w:val="0"/>
              <w:adjustRightInd w:val="0"/>
              <w:spacing w:after="0" w:line="240" w:lineRule="auto"/>
              <w:ind w:firstLine="0"/>
              <w:rPr>
                <w:i/>
              </w:rPr>
            </w:pPr>
            <w:r>
              <w:rPr>
                <w:i/>
              </w:rPr>
              <w:t>TURN</w:t>
            </w:r>
          </w:p>
        </w:tc>
        <w:tc>
          <w:tcPr>
            <w:tcW w:w="1422" w:type="dxa"/>
            <w:tcBorders>
              <w:top w:val="nil"/>
              <w:left w:val="nil"/>
              <w:bottom w:val="single" w:sz="4" w:space="0" w:color="auto"/>
              <w:right w:val="nil"/>
            </w:tcBorders>
            <w:hideMark/>
          </w:tcPr>
          <w:p w14:paraId="4D7310D1" w14:textId="77777777" w:rsidR="00407106" w:rsidRDefault="00407106">
            <w:pPr>
              <w:widowControl w:val="0"/>
              <w:tabs>
                <w:tab w:val="decimal" w:pos="706"/>
              </w:tabs>
              <w:autoSpaceDE w:val="0"/>
              <w:autoSpaceDN w:val="0"/>
              <w:adjustRightInd w:val="0"/>
              <w:spacing w:after="0" w:line="240" w:lineRule="auto"/>
              <w:ind w:firstLine="0"/>
              <w:jc w:val="left"/>
            </w:pPr>
            <w:r>
              <w:t>223.553</w:t>
            </w:r>
          </w:p>
        </w:tc>
        <w:tc>
          <w:tcPr>
            <w:tcW w:w="1422" w:type="dxa"/>
            <w:tcBorders>
              <w:top w:val="nil"/>
              <w:left w:val="nil"/>
              <w:bottom w:val="single" w:sz="4" w:space="0" w:color="auto"/>
              <w:right w:val="nil"/>
            </w:tcBorders>
            <w:hideMark/>
          </w:tcPr>
          <w:p w14:paraId="5258EF53" w14:textId="77777777" w:rsidR="00407106" w:rsidRDefault="00407106">
            <w:pPr>
              <w:widowControl w:val="0"/>
              <w:tabs>
                <w:tab w:val="decimal" w:pos="706"/>
              </w:tabs>
              <w:autoSpaceDE w:val="0"/>
              <w:autoSpaceDN w:val="0"/>
              <w:adjustRightInd w:val="0"/>
              <w:spacing w:after="0" w:line="240" w:lineRule="auto"/>
              <w:ind w:firstLine="0"/>
              <w:jc w:val="left"/>
            </w:pPr>
            <w:r>
              <w:t>178.073</w:t>
            </w:r>
          </w:p>
        </w:tc>
        <w:tc>
          <w:tcPr>
            <w:tcW w:w="1422" w:type="dxa"/>
            <w:tcBorders>
              <w:top w:val="nil"/>
              <w:left w:val="nil"/>
              <w:bottom w:val="single" w:sz="4" w:space="0" w:color="auto"/>
              <w:right w:val="nil"/>
            </w:tcBorders>
            <w:hideMark/>
          </w:tcPr>
          <w:p w14:paraId="38E23558" w14:textId="77777777" w:rsidR="00407106" w:rsidRDefault="00407106">
            <w:pPr>
              <w:widowControl w:val="0"/>
              <w:tabs>
                <w:tab w:val="decimal" w:pos="706"/>
              </w:tabs>
              <w:autoSpaceDE w:val="0"/>
              <w:autoSpaceDN w:val="0"/>
              <w:adjustRightInd w:val="0"/>
              <w:spacing w:after="0" w:line="240" w:lineRule="auto"/>
              <w:ind w:firstLine="0"/>
              <w:jc w:val="left"/>
            </w:pPr>
            <w:r>
              <w:t>170.376</w:t>
            </w:r>
          </w:p>
        </w:tc>
        <w:tc>
          <w:tcPr>
            <w:tcW w:w="1422" w:type="dxa"/>
            <w:tcBorders>
              <w:top w:val="nil"/>
              <w:left w:val="nil"/>
              <w:bottom w:val="single" w:sz="4" w:space="0" w:color="auto"/>
              <w:right w:val="nil"/>
            </w:tcBorders>
            <w:hideMark/>
          </w:tcPr>
          <w:p w14:paraId="592543EA" w14:textId="77777777" w:rsidR="00407106" w:rsidRDefault="00407106">
            <w:pPr>
              <w:widowControl w:val="0"/>
              <w:tabs>
                <w:tab w:val="decimal" w:pos="706"/>
              </w:tabs>
              <w:autoSpaceDE w:val="0"/>
              <w:autoSpaceDN w:val="0"/>
              <w:adjustRightInd w:val="0"/>
              <w:spacing w:after="0" w:line="240" w:lineRule="auto"/>
              <w:ind w:firstLine="0"/>
              <w:jc w:val="left"/>
            </w:pPr>
            <w:r>
              <w:t>112.913</w:t>
            </w:r>
          </w:p>
        </w:tc>
        <w:tc>
          <w:tcPr>
            <w:tcW w:w="1422" w:type="dxa"/>
            <w:tcBorders>
              <w:top w:val="nil"/>
              <w:left w:val="nil"/>
              <w:bottom w:val="single" w:sz="4" w:space="0" w:color="auto"/>
              <w:right w:val="nil"/>
            </w:tcBorders>
            <w:hideMark/>
          </w:tcPr>
          <w:p w14:paraId="05AB44C6" w14:textId="77777777" w:rsidR="00407106" w:rsidRDefault="00407106">
            <w:pPr>
              <w:widowControl w:val="0"/>
              <w:tabs>
                <w:tab w:val="decimal" w:pos="706"/>
              </w:tabs>
              <w:autoSpaceDE w:val="0"/>
              <w:autoSpaceDN w:val="0"/>
              <w:adjustRightInd w:val="0"/>
              <w:spacing w:after="0" w:line="240" w:lineRule="auto"/>
              <w:ind w:firstLine="0"/>
              <w:jc w:val="left"/>
            </w:pPr>
            <w:r>
              <w:t>279.096</w:t>
            </w:r>
          </w:p>
        </w:tc>
      </w:tr>
    </w:tbl>
    <w:p w14:paraId="638996FD" w14:textId="77777777" w:rsidR="00407106" w:rsidRDefault="00407106" w:rsidP="00407106">
      <w:pPr>
        <w:spacing w:line="276" w:lineRule="auto"/>
        <w:ind w:firstLine="0"/>
        <w:jc w:val="left"/>
      </w:pPr>
      <w:r>
        <w:br w:type="page"/>
      </w:r>
    </w:p>
    <w:p w14:paraId="307244BF" w14:textId="77777777" w:rsidR="00407106" w:rsidRDefault="00407106" w:rsidP="00407106">
      <w:pPr>
        <w:keepNext/>
        <w:widowControl w:val="0"/>
        <w:autoSpaceDE w:val="0"/>
        <w:autoSpaceDN w:val="0"/>
        <w:adjustRightInd w:val="0"/>
        <w:spacing w:after="0" w:line="240" w:lineRule="auto"/>
        <w:ind w:firstLine="0"/>
      </w:pPr>
      <w:r>
        <w:lastRenderedPageBreak/>
        <w:t xml:space="preserve">Panel A: Firm-year level sample </w:t>
      </w:r>
      <w:r>
        <w:rPr>
          <w:b/>
        </w:rPr>
        <w:t>–</w:t>
      </w:r>
      <w:r>
        <w:t xml:space="preserve"> </w:t>
      </w:r>
      <w:r>
        <w:rPr>
          <w:i/>
        </w:rPr>
        <w:t>Continued</w:t>
      </w:r>
    </w:p>
    <w:tbl>
      <w:tblPr>
        <w:tblW w:w="0" w:type="dxa"/>
        <w:tblInd w:w="-108" w:type="dxa"/>
        <w:tblLayout w:type="fixed"/>
        <w:tblLook w:val="04A0" w:firstRow="1" w:lastRow="0" w:firstColumn="1" w:lastColumn="0" w:noHBand="0" w:noVBand="1"/>
      </w:tblPr>
      <w:tblGrid>
        <w:gridCol w:w="2358"/>
        <w:gridCol w:w="1422"/>
        <w:gridCol w:w="1422"/>
        <w:gridCol w:w="1422"/>
        <w:gridCol w:w="1422"/>
        <w:gridCol w:w="1422"/>
      </w:tblGrid>
      <w:tr w:rsidR="00407106" w14:paraId="700CD714" w14:textId="77777777" w:rsidTr="00407106">
        <w:tc>
          <w:tcPr>
            <w:tcW w:w="2358" w:type="dxa"/>
            <w:tcBorders>
              <w:top w:val="single" w:sz="4" w:space="0" w:color="auto"/>
              <w:left w:val="nil"/>
              <w:bottom w:val="nil"/>
              <w:right w:val="nil"/>
            </w:tcBorders>
          </w:tcPr>
          <w:p w14:paraId="2AC42F40" w14:textId="77777777" w:rsidR="00407106" w:rsidRDefault="00407106">
            <w:pPr>
              <w:widowControl w:val="0"/>
              <w:autoSpaceDE w:val="0"/>
              <w:autoSpaceDN w:val="0"/>
              <w:adjustRightInd w:val="0"/>
              <w:spacing w:after="0" w:line="240" w:lineRule="auto"/>
              <w:ind w:firstLine="0"/>
            </w:pPr>
          </w:p>
        </w:tc>
        <w:tc>
          <w:tcPr>
            <w:tcW w:w="1422" w:type="dxa"/>
            <w:tcBorders>
              <w:top w:val="single" w:sz="4" w:space="0" w:color="auto"/>
              <w:left w:val="nil"/>
              <w:bottom w:val="nil"/>
              <w:right w:val="nil"/>
            </w:tcBorders>
          </w:tcPr>
          <w:p w14:paraId="43557840"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40F30C76"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4731E335"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5FE64803"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20657A2D" w14:textId="77777777" w:rsidR="00407106" w:rsidRDefault="00407106">
            <w:pPr>
              <w:widowControl w:val="0"/>
              <w:autoSpaceDE w:val="0"/>
              <w:autoSpaceDN w:val="0"/>
              <w:adjustRightInd w:val="0"/>
              <w:spacing w:after="0" w:line="240" w:lineRule="auto"/>
              <w:ind w:firstLine="0"/>
              <w:jc w:val="center"/>
            </w:pPr>
          </w:p>
        </w:tc>
      </w:tr>
      <w:tr w:rsidR="00407106" w14:paraId="530D36DC" w14:textId="77777777" w:rsidTr="00407106">
        <w:tc>
          <w:tcPr>
            <w:tcW w:w="2358" w:type="dxa"/>
            <w:tcBorders>
              <w:top w:val="nil"/>
              <w:left w:val="nil"/>
              <w:bottom w:val="single" w:sz="4" w:space="0" w:color="auto"/>
              <w:right w:val="nil"/>
            </w:tcBorders>
          </w:tcPr>
          <w:p w14:paraId="37A40617" w14:textId="77777777" w:rsidR="00407106" w:rsidRDefault="00407106">
            <w:pPr>
              <w:widowControl w:val="0"/>
              <w:autoSpaceDE w:val="0"/>
              <w:autoSpaceDN w:val="0"/>
              <w:adjustRightInd w:val="0"/>
              <w:spacing w:after="0" w:line="240" w:lineRule="auto"/>
              <w:ind w:firstLine="0"/>
            </w:pPr>
          </w:p>
        </w:tc>
        <w:tc>
          <w:tcPr>
            <w:tcW w:w="1422" w:type="dxa"/>
            <w:tcBorders>
              <w:top w:val="nil"/>
              <w:left w:val="nil"/>
              <w:bottom w:val="single" w:sz="4" w:space="0" w:color="auto"/>
              <w:right w:val="nil"/>
            </w:tcBorders>
            <w:hideMark/>
          </w:tcPr>
          <w:p w14:paraId="2A8A6285" w14:textId="77777777" w:rsidR="00407106" w:rsidRDefault="00407106">
            <w:pPr>
              <w:widowControl w:val="0"/>
              <w:autoSpaceDE w:val="0"/>
              <w:autoSpaceDN w:val="0"/>
              <w:adjustRightInd w:val="0"/>
              <w:spacing w:after="0" w:line="240" w:lineRule="auto"/>
              <w:ind w:firstLine="0"/>
              <w:jc w:val="center"/>
            </w:pPr>
            <w:r>
              <w:t>Mean</w:t>
            </w:r>
          </w:p>
        </w:tc>
        <w:tc>
          <w:tcPr>
            <w:tcW w:w="1422" w:type="dxa"/>
            <w:tcBorders>
              <w:top w:val="nil"/>
              <w:left w:val="nil"/>
              <w:bottom w:val="single" w:sz="4" w:space="0" w:color="auto"/>
              <w:right w:val="nil"/>
            </w:tcBorders>
            <w:hideMark/>
          </w:tcPr>
          <w:p w14:paraId="19F24AB5" w14:textId="77777777" w:rsidR="00407106" w:rsidRDefault="00407106">
            <w:pPr>
              <w:widowControl w:val="0"/>
              <w:autoSpaceDE w:val="0"/>
              <w:autoSpaceDN w:val="0"/>
              <w:adjustRightInd w:val="0"/>
              <w:spacing w:after="0" w:line="240" w:lineRule="auto"/>
              <w:ind w:firstLine="0"/>
              <w:jc w:val="center"/>
            </w:pPr>
            <w:r>
              <w:t>Median</w:t>
            </w:r>
          </w:p>
        </w:tc>
        <w:tc>
          <w:tcPr>
            <w:tcW w:w="1422" w:type="dxa"/>
            <w:tcBorders>
              <w:top w:val="nil"/>
              <w:left w:val="nil"/>
              <w:bottom w:val="single" w:sz="4" w:space="0" w:color="auto"/>
              <w:right w:val="nil"/>
            </w:tcBorders>
            <w:hideMark/>
          </w:tcPr>
          <w:p w14:paraId="7F28B2AE" w14:textId="77777777" w:rsidR="00407106" w:rsidRDefault="00407106">
            <w:pPr>
              <w:widowControl w:val="0"/>
              <w:autoSpaceDE w:val="0"/>
              <w:autoSpaceDN w:val="0"/>
              <w:adjustRightInd w:val="0"/>
              <w:spacing w:after="0" w:line="240" w:lineRule="auto"/>
              <w:ind w:firstLine="0"/>
              <w:jc w:val="center"/>
            </w:pPr>
            <w:r>
              <w:t>Std. Dev.</w:t>
            </w:r>
          </w:p>
        </w:tc>
        <w:tc>
          <w:tcPr>
            <w:tcW w:w="1422" w:type="dxa"/>
            <w:tcBorders>
              <w:top w:val="nil"/>
              <w:left w:val="nil"/>
              <w:bottom w:val="single" w:sz="4" w:space="0" w:color="auto"/>
              <w:right w:val="nil"/>
            </w:tcBorders>
            <w:hideMark/>
          </w:tcPr>
          <w:p w14:paraId="575BAE80" w14:textId="77777777" w:rsidR="00407106" w:rsidRDefault="00407106">
            <w:pPr>
              <w:widowControl w:val="0"/>
              <w:autoSpaceDE w:val="0"/>
              <w:autoSpaceDN w:val="0"/>
              <w:adjustRightInd w:val="0"/>
              <w:spacing w:after="0" w:line="240" w:lineRule="auto"/>
              <w:ind w:firstLine="0"/>
              <w:jc w:val="center"/>
            </w:pPr>
            <w:r>
              <w:t>1st Quartile</w:t>
            </w:r>
          </w:p>
        </w:tc>
        <w:tc>
          <w:tcPr>
            <w:tcW w:w="1422" w:type="dxa"/>
            <w:tcBorders>
              <w:top w:val="nil"/>
              <w:left w:val="nil"/>
              <w:bottom w:val="single" w:sz="4" w:space="0" w:color="auto"/>
              <w:right w:val="nil"/>
            </w:tcBorders>
            <w:hideMark/>
          </w:tcPr>
          <w:p w14:paraId="734256EA" w14:textId="77777777" w:rsidR="00407106" w:rsidRDefault="00407106">
            <w:pPr>
              <w:widowControl w:val="0"/>
              <w:autoSpaceDE w:val="0"/>
              <w:autoSpaceDN w:val="0"/>
              <w:adjustRightInd w:val="0"/>
              <w:spacing w:after="0" w:line="240" w:lineRule="auto"/>
              <w:ind w:firstLine="0"/>
              <w:jc w:val="center"/>
            </w:pPr>
            <w:r>
              <w:t>3rd Quartile</w:t>
            </w:r>
          </w:p>
        </w:tc>
      </w:tr>
      <w:tr w:rsidR="00407106" w14:paraId="31BF2F02" w14:textId="77777777" w:rsidTr="00407106">
        <w:tc>
          <w:tcPr>
            <w:tcW w:w="2358" w:type="dxa"/>
            <w:tcBorders>
              <w:top w:val="single" w:sz="4" w:space="0" w:color="auto"/>
              <w:left w:val="nil"/>
              <w:bottom w:val="nil"/>
              <w:right w:val="nil"/>
            </w:tcBorders>
            <w:hideMark/>
          </w:tcPr>
          <w:p w14:paraId="3CFE6678" w14:textId="77777777" w:rsidR="00407106" w:rsidRDefault="00407106">
            <w:pPr>
              <w:widowControl w:val="0"/>
              <w:autoSpaceDE w:val="0"/>
              <w:autoSpaceDN w:val="0"/>
              <w:adjustRightInd w:val="0"/>
              <w:spacing w:after="0" w:line="240" w:lineRule="auto"/>
              <w:ind w:firstLine="0"/>
            </w:pPr>
            <w:r>
              <w:t>Control variables:</w:t>
            </w:r>
          </w:p>
        </w:tc>
        <w:tc>
          <w:tcPr>
            <w:tcW w:w="1422" w:type="dxa"/>
            <w:tcBorders>
              <w:top w:val="single" w:sz="4" w:space="0" w:color="auto"/>
              <w:left w:val="nil"/>
              <w:bottom w:val="nil"/>
              <w:right w:val="nil"/>
            </w:tcBorders>
          </w:tcPr>
          <w:p w14:paraId="06ADED8D"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597EF989"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7737E943"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36FCB024"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16FE3836" w14:textId="77777777" w:rsidR="00407106" w:rsidRDefault="00407106">
            <w:pPr>
              <w:widowControl w:val="0"/>
              <w:autoSpaceDE w:val="0"/>
              <w:autoSpaceDN w:val="0"/>
              <w:adjustRightInd w:val="0"/>
              <w:spacing w:after="0" w:line="240" w:lineRule="auto"/>
              <w:ind w:firstLine="0"/>
              <w:jc w:val="center"/>
            </w:pPr>
          </w:p>
        </w:tc>
      </w:tr>
      <w:tr w:rsidR="00407106" w14:paraId="6D31BD04" w14:textId="77777777" w:rsidTr="00407106">
        <w:tc>
          <w:tcPr>
            <w:tcW w:w="2358" w:type="dxa"/>
            <w:hideMark/>
          </w:tcPr>
          <w:p w14:paraId="0E7B2CD5" w14:textId="77777777" w:rsidR="00407106" w:rsidRDefault="00407106">
            <w:pPr>
              <w:widowControl w:val="0"/>
              <w:autoSpaceDE w:val="0"/>
              <w:autoSpaceDN w:val="0"/>
              <w:adjustRightInd w:val="0"/>
              <w:spacing w:after="0" w:line="240" w:lineRule="auto"/>
              <w:ind w:firstLine="0"/>
              <w:rPr>
                <w:i/>
              </w:rPr>
            </w:pPr>
            <w:r>
              <w:rPr>
                <w:i/>
              </w:rPr>
              <w:t>ADV</w:t>
            </w:r>
          </w:p>
        </w:tc>
        <w:tc>
          <w:tcPr>
            <w:tcW w:w="1422" w:type="dxa"/>
            <w:hideMark/>
          </w:tcPr>
          <w:p w14:paraId="26739756" w14:textId="77777777" w:rsidR="00407106" w:rsidRDefault="00407106">
            <w:pPr>
              <w:widowControl w:val="0"/>
              <w:tabs>
                <w:tab w:val="decimal" w:pos="706"/>
              </w:tabs>
              <w:autoSpaceDE w:val="0"/>
              <w:autoSpaceDN w:val="0"/>
              <w:adjustRightInd w:val="0"/>
              <w:spacing w:after="0" w:line="240" w:lineRule="auto"/>
              <w:ind w:firstLine="0"/>
              <w:jc w:val="left"/>
            </w:pPr>
            <w:r>
              <w:t>0.014</w:t>
            </w:r>
          </w:p>
        </w:tc>
        <w:tc>
          <w:tcPr>
            <w:tcW w:w="1422" w:type="dxa"/>
            <w:hideMark/>
          </w:tcPr>
          <w:p w14:paraId="3B817B4F"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716460F6" w14:textId="77777777" w:rsidR="00407106" w:rsidRDefault="00407106">
            <w:pPr>
              <w:widowControl w:val="0"/>
              <w:tabs>
                <w:tab w:val="decimal" w:pos="706"/>
              </w:tabs>
              <w:autoSpaceDE w:val="0"/>
              <w:autoSpaceDN w:val="0"/>
              <w:adjustRightInd w:val="0"/>
              <w:spacing w:after="0" w:line="240" w:lineRule="auto"/>
              <w:ind w:firstLine="0"/>
              <w:jc w:val="left"/>
            </w:pPr>
            <w:r>
              <w:t>0.033</w:t>
            </w:r>
          </w:p>
        </w:tc>
        <w:tc>
          <w:tcPr>
            <w:tcW w:w="1422" w:type="dxa"/>
            <w:hideMark/>
          </w:tcPr>
          <w:p w14:paraId="32E8A059"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215C4E3A" w14:textId="77777777" w:rsidR="00407106" w:rsidRDefault="00407106">
            <w:pPr>
              <w:widowControl w:val="0"/>
              <w:tabs>
                <w:tab w:val="decimal" w:pos="706"/>
              </w:tabs>
              <w:autoSpaceDE w:val="0"/>
              <w:autoSpaceDN w:val="0"/>
              <w:adjustRightInd w:val="0"/>
              <w:spacing w:after="0" w:line="240" w:lineRule="auto"/>
              <w:ind w:firstLine="0"/>
              <w:jc w:val="left"/>
            </w:pPr>
            <w:r>
              <w:t>0.013</w:t>
            </w:r>
          </w:p>
        </w:tc>
      </w:tr>
      <w:tr w:rsidR="00407106" w14:paraId="4F013C42" w14:textId="77777777" w:rsidTr="00407106">
        <w:tc>
          <w:tcPr>
            <w:tcW w:w="2358" w:type="dxa"/>
            <w:hideMark/>
          </w:tcPr>
          <w:p w14:paraId="282D3A44" w14:textId="77777777" w:rsidR="00407106" w:rsidRDefault="00407106">
            <w:pPr>
              <w:widowControl w:val="0"/>
              <w:autoSpaceDE w:val="0"/>
              <w:autoSpaceDN w:val="0"/>
              <w:adjustRightInd w:val="0"/>
              <w:spacing w:after="0" w:line="240" w:lineRule="auto"/>
              <w:ind w:firstLine="0"/>
              <w:rPr>
                <w:i/>
              </w:rPr>
            </w:pPr>
            <w:r>
              <w:rPr>
                <w:i/>
              </w:rPr>
              <w:t>RND</w:t>
            </w:r>
          </w:p>
        </w:tc>
        <w:tc>
          <w:tcPr>
            <w:tcW w:w="1422" w:type="dxa"/>
            <w:hideMark/>
          </w:tcPr>
          <w:p w14:paraId="6A210743" w14:textId="77777777" w:rsidR="00407106" w:rsidRDefault="00407106">
            <w:pPr>
              <w:widowControl w:val="0"/>
              <w:tabs>
                <w:tab w:val="decimal" w:pos="706"/>
              </w:tabs>
              <w:autoSpaceDE w:val="0"/>
              <w:autoSpaceDN w:val="0"/>
              <w:adjustRightInd w:val="0"/>
              <w:spacing w:after="0" w:line="240" w:lineRule="auto"/>
              <w:ind w:firstLine="0"/>
              <w:jc w:val="left"/>
            </w:pPr>
            <w:r>
              <w:t>0.066</w:t>
            </w:r>
          </w:p>
        </w:tc>
        <w:tc>
          <w:tcPr>
            <w:tcW w:w="1422" w:type="dxa"/>
            <w:hideMark/>
          </w:tcPr>
          <w:p w14:paraId="102076E6"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487E1C10" w14:textId="77777777" w:rsidR="00407106" w:rsidRDefault="00407106">
            <w:pPr>
              <w:widowControl w:val="0"/>
              <w:tabs>
                <w:tab w:val="decimal" w:pos="706"/>
              </w:tabs>
              <w:autoSpaceDE w:val="0"/>
              <w:autoSpaceDN w:val="0"/>
              <w:adjustRightInd w:val="0"/>
              <w:spacing w:after="0" w:line="240" w:lineRule="auto"/>
              <w:ind w:firstLine="0"/>
              <w:jc w:val="left"/>
            </w:pPr>
            <w:r>
              <w:t>0.143</w:t>
            </w:r>
          </w:p>
        </w:tc>
        <w:tc>
          <w:tcPr>
            <w:tcW w:w="1422" w:type="dxa"/>
            <w:hideMark/>
          </w:tcPr>
          <w:p w14:paraId="290768BB"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1C499C63" w14:textId="77777777" w:rsidR="00407106" w:rsidRDefault="00407106">
            <w:pPr>
              <w:widowControl w:val="0"/>
              <w:tabs>
                <w:tab w:val="decimal" w:pos="706"/>
              </w:tabs>
              <w:autoSpaceDE w:val="0"/>
              <w:autoSpaceDN w:val="0"/>
              <w:adjustRightInd w:val="0"/>
              <w:spacing w:after="0" w:line="240" w:lineRule="auto"/>
              <w:ind w:firstLine="0"/>
              <w:jc w:val="left"/>
            </w:pPr>
            <w:r>
              <w:t>0.055</w:t>
            </w:r>
          </w:p>
        </w:tc>
      </w:tr>
      <w:tr w:rsidR="00407106" w14:paraId="349CC68D" w14:textId="77777777" w:rsidTr="00407106">
        <w:tc>
          <w:tcPr>
            <w:tcW w:w="2358" w:type="dxa"/>
            <w:hideMark/>
          </w:tcPr>
          <w:p w14:paraId="7D7195F3" w14:textId="77777777" w:rsidR="00407106" w:rsidRDefault="00407106">
            <w:pPr>
              <w:widowControl w:val="0"/>
              <w:autoSpaceDE w:val="0"/>
              <w:autoSpaceDN w:val="0"/>
              <w:adjustRightInd w:val="0"/>
              <w:spacing w:after="0" w:line="240" w:lineRule="auto"/>
              <w:ind w:firstLine="0"/>
            </w:pPr>
            <w:r>
              <w:rPr>
                <w:i/>
              </w:rPr>
              <w:t>ROA</w:t>
            </w:r>
          </w:p>
        </w:tc>
        <w:tc>
          <w:tcPr>
            <w:tcW w:w="1422" w:type="dxa"/>
            <w:hideMark/>
          </w:tcPr>
          <w:p w14:paraId="099293A7" w14:textId="77777777" w:rsidR="00407106" w:rsidRDefault="00407106">
            <w:pPr>
              <w:widowControl w:val="0"/>
              <w:tabs>
                <w:tab w:val="decimal" w:pos="706"/>
              </w:tabs>
              <w:autoSpaceDE w:val="0"/>
              <w:autoSpaceDN w:val="0"/>
              <w:adjustRightInd w:val="0"/>
              <w:spacing w:after="0" w:line="240" w:lineRule="auto"/>
              <w:ind w:firstLine="0"/>
              <w:jc w:val="left"/>
            </w:pPr>
            <w:r>
              <w:t>0.009</w:t>
            </w:r>
          </w:p>
        </w:tc>
        <w:tc>
          <w:tcPr>
            <w:tcW w:w="1422" w:type="dxa"/>
            <w:hideMark/>
          </w:tcPr>
          <w:p w14:paraId="57371142" w14:textId="77777777" w:rsidR="00407106" w:rsidRDefault="00407106">
            <w:pPr>
              <w:widowControl w:val="0"/>
              <w:tabs>
                <w:tab w:val="decimal" w:pos="706"/>
              </w:tabs>
              <w:autoSpaceDE w:val="0"/>
              <w:autoSpaceDN w:val="0"/>
              <w:adjustRightInd w:val="0"/>
              <w:spacing w:after="0" w:line="240" w:lineRule="auto"/>
              <w:ind w:firstLine="0"/>
              <w:jc w:val="left"/>
            </w:pPr>
            <w:r>
              <w:t>0.032</w:t>
            </w:r>
          </w:p>
        </w:tc>
        <w:tc>
          <w:tcPr>
            <w:tcW w:w="1422" w:type="dxa"/>
            <w:hideMark/>
          </w:tcPr>
          <w:p w14:paraId="769DF587" w14:textId="77777777" w:rsidR="00407106" w:rsidRDefault="00407106">
            <w:pPr>
              <w:widowControl w:val="0"/>
              <w:tabs>
                <w:tab w:val="decimal" w:pos="706"/>
              </w:tabs>
              <w:autoSpaceDE w:val="0"/>
              <w:autoSpaceDN w:val="0"/>
              <w:adjustRightInd w:val="0"/>
              <w:spacing w:after="0" w:line="240" w:lineRule="auto"/>
              <w:ind w:firstLine="0"/>
              <w:jc w:val="left"/>
            </w:pPr>
            <w:r>
              <w:t>0.146</w:t>
            </w:r>
          </w:p>
        </w:tc>
        <w:tc>
          <w:tcPr>
            <w:tcW w:w="1422" w:type="dxa"/>
            <w:hideMark/>
          </w:tcPr>
          <w:p w14:paraId="24E1331B" w14:textId="77777777" w:rsidR="00407106" w:rsidRDefault="00407106">
            <w:pPr>
              <w:widowControl w:val="0"/>
              <w:tabs>
                <w:tab w:val="decimal" w:pos="706"/>
              </w:tabs>
              <w:autoSpaceDE w:val="0"/>
              <w:autoSpaceDN w:val="0"/>
              <w:adjustRightInd w:val="0"/>
              <w:spacing w:after="0" w:line="240" w:lineRule="auto"/>
              <w:ind w:firstLine="0"/>
              <w:jc w:val="left"/>
            </w:pPr>
            <w:r>
              <w:t>0.005</w:t>
            </w:r>
          </w:p>
        </w:tc>
        <w:tc>
          <w:tcPr>
            <w:tcW w:w="1422" w:type="dxa"/>
            <w:hideMark/>
          </w:tcPr>
          <w:p w14:paraId="6E725E69" w14:textId="77777777" w:rsidR="00407106" w:rsidRDefault="00407106">
            <w:pPr>
              <w:widowControl w:val="0"/>
              <w:tabs>
                <w:tab w:val="decimal" w:pos="706"/>
              </w:tabs>
              <w:autoSpaceDE w:val="0"/>
              <w:autoSpaceDN w:val="0"/>
              <w:adjustRightInd w:val="0"/>
              <w:spacing w:after="0" w:line="240" w:lineRule="auto"/>
              <w:ind w:firstLine="0"/>
              <w:jc w:val="left"/>
            </w:pPr>
            <w:r>
              <w:t>0.070</w:t>
            </w:r>
          </w:p>
        </w:tc>
      </w:tr>
      <w:tr w:rsidR="00407106" w14:paraId="47B249F9" w14:textId="77777777" w:rsidTr="00407106">
        <w:tc>
          <w:tcPr>
            <w:tcW w:w="2358" w:type="dxa"/>
            <w:hideMark/>
          </w:tcPr>
          <w:p w14:paraId="7D79D1FB" w14:textId="77777777" w:rsidR="00407106" w:rsidRDefault="00407106">
            <w:pPr>
              <w:widowControl w:val="0"/>
              <w:autoSpaceDE w:val="0"/>
              <w:autoSpaceDN w:val="0"/>
              <w:adjustRightInd w:val="0"/>
              <w:spacing w:after="0" w:line="240" w:lineRule="auto"/>
              <w:ind w:firstLine="0"/>
            </w:pPr>
            <w:r>
              <w:rPr>
                <w:i/>
              </w:rPr>
              <w:t>FOROPS</w:t>
            </w:r>
          </w:p>
        </w:tc>
        <w:tc>
          <w:tcPr>
            <w:tcW w:w="1422" w:type="dxa"/>
            <w:hideMark/>
          </w:tcPr>
          <w:p w14:paraId="45798451" w14:textId="77777777" w:rsidR="00407106" w:rsidRDefault="00407106">
            <w:pPr>
              <w:widowControl w:val="0"/>
              <w:tabs>
                <w:tab w:val="decimal" w:pos="706"/>
              </w:tabs>
              <w:autoSpaceDE w:val="0"/>
              <w:autoSpaceDN w:val="0"/>
              <w:adjustRightInd w:val="0"/>
              <w:spacing w:after="0" w:line="240" w:lineRule="auto"/>
              <w:ind w:firstLine="0"/>
              <w:jc w:val="left"/>
            </w:pPr>
            <w:r>
              <w:t>0.382</w:t>
            </w:r>
          </w:p>
        </w:tc>
        <w:tc>
          <w:tcPr>
            <w:tcW w:w="1422" w:type="dxa"/>
            <w:hideMark/>
          </w:tcPr>
          <w:p w14:paraId="61D5F443"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68088A33" w14:textId="77777777" w:rsidR="00407106" w:rsidRDefault="00407106">
            <w:pPr>
              <w:widowControl w:val="0"/>
              <w:tabs>
                <w:tab w:val="decimal" w:pos="706"/>
              </w:tabs>
              <w:autoSpaceDE w:val="0"/>
              <w:autoSpaceDN w:val="0"/>
              <w:adjustRightInd w:val="0"/>
              <w:spacing w:after="0" w:line="240" w:lineRule="auto"/>
              <w:ind w:firstLine="0"/>
              <w:jc w:val="left"/>
            </w:pPr>
            <w:r>
              <w:t>0.486</w:t>
            </w:r>
          </w:p>
        </w:tc>
        <w:tc>
          <w:tcPr>
            <w:tcW w:w="1422" w:type="dxa"/>
            <w:hideMark/>
          </w:tcPr>
          <w:p w14:paraId="2AAABAE5"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72D09A09" w14:textId="77777777" w:rsidR="00407106" w:rsidRDefault="00407106">
            <w:pPr>
              <w:widowControl w:val="0"/>
              <w:tabs>
                <w:tab w:val="decimal" w:pos="706"/>
              </w:tabs>
              <w:autoSpaceDE w:val="0"/>
              <w:autoSpaceDN w:val="0"/>
              <w:adjustRightInd w:val="0"/>
              <w:spacing w:after="0" w:line="240" w:lineRule="auto"/>
              <w:ind w:firstLine="0"/>
              <w:jc w:val="left"/>
            </w:pPr>
            <w:r>
              <w:t>1.000</w:t>
            </w:r>
          </w:p>
        </w:tc>
      </w:tr>
      <w:tr w:rsidR="00407106" w14:paraId="7C35F305" w14:textId="77777777" w:rsidTr="00407106">
        <w:tc>
          <w:tcPr>
            <w:tcW w:w="2358" w:type="dxa"/>
            <w:hideMark/>
          </w:tcPr>
          <w:p w14:paraId="1DCCB54B" w14:textId="77777777" w:rsidR="00407106" w:rsidRDefault="00407106">
            <w:pPr>
              <w:widowControl w:val="0"/>
              <w:autoSpaceDE w:val="0"/>
              <w:autoSpaceDN w:val="0"/>
              <w:adjustRightInd w:val="0"/>
              <w:spacing w:after="0" w:line="240" w:lineRule="auto"/>
              <w:ind w:firstLine="0"/>
              <w:rPr>
                <w:i/>
              </w:rPr>
            </w:pPr>
            <w:r>
              <w:rPr>
                <w:i/>
              </w:rPr>
              <w:t>EARNVOL</w:t>
            </w:r>
          </w:p>
        </w:tc>
        <w:tc>
          <w:tcPr>
            <w:tcW w:w="1422" w:type="dxa"/>
            <w:hideMark/>
          </w:tcPr>
          <w:p w14:paraId="5153BDEF" w14:textId="77777777" w:rsidR="00407106" w:rsidRDefault="00407106">
            <w:pPr>
              <w:widowControl w:val="0"/>
              <w:tabs>
                <w:tab w:val="decimal" w:pos="706"/>
              </w:tabs>
              <w:autoSpaceDE w:val="0"/>
              <w:autoSpaceDN w:val="0"/>
              <w:adjustRightInd w:val="0"/>
              <w:spacing w:after="0" w:line="240" w:lineRule="auto"/>
              <w:ind w:firstLine="0"/>
              <w:jc w:val="left"/>
            </w:pPr>
            <w:r>
              <w:t>2.588</w:t>
            </w:r>
          </w:p>
        </w:tc>
        <w:tc>
          <w:tcPr>
            <w:tcW w:w="1422" w:type="dxa"/>
            <w:hideMark/>
          </w:tcPr>
          <w:p w14:paraId="14AA62CD" w14:textId="77777777" w:rsidR="00407106" w:rsidRDefault="00407106">
            <w:pPr>
              <w:widowControl w:val="0"/>
              <w:tabs>
                <w:tab w:val="decimal" w:pos="706"/>
              </w:tabs>
              <w:autoSpaceDE w:val="0"/>
              <w:autoSpaceDN w:val="0"/>
              <w:adjustRightInd w:val="0"/>
              <w:spacing w:after="0" w:line="240" w:lineRule="auto"/>
              <w:ind w:firstLine="0"/>
              <w:jc w:val="left"/>
            </w:pPr>
            <w:r>
              <w:t>0.846</w:t>
            </w:r>
          </w:p>
        </w:tc>
        <w:tc>
          <w:tcPr>
            <w:tcW w:w="1422" w:type="dxa"/>
            <w:hideMark/>
          </w:tcPr>
          <w:p w14:paraId="679D184E" w14:textId="77777777" w:rsidR="00407106" w:rsidRDefault="00407106">
            <w:pPr>
              <w:widowControl w:val="0"/>
              <w:tabs>
                <w:tab w:val="decimal" w:pos="706"/>
              </w:tabs>
              <w:autoSpaceDE w:val="0"/>
              <w:autoSpaceDN w:val="0"/>
              <w:adjustRightInd w:val="0"/>
              <w:spacing w:after="0" w:line="240" w:lineRule="auto"/>
              <w:ind w:firstLine="0"/>
              <w:jc w:val="left"/>
            </w:pPr>
            <w:r>
              <w:t>7.718</w:t>
            </w:r>
          </w:p>
        </w:tc>
        <w:tc>
          <w:tcPr>
            <w:tcW w:w="1422" w:type="dxa"/>
            <w:hideMark/>
          </w:tcPr>
          <w:p w14:paraId="10BA4D44" w14:textId="77777777" w:rsidR="00407106" w:rsidRDefault="00407106">
            <w:pPr>
              <w:widowControl w:val="0"/>
              <w:tabs>
                <w:tab w:val="decimal" w:pos="706"/>
              </w:tabs>
              <w:autoSpaceDE w:val="0"/>
              <w:autoSpaceDN w:val="0"/>
              <w:adjustRightInd w:val="0"/>
              <w:spacing w:after="0" w:line="240" w:lineRule="auto"/>
              <w:ind w:firstLine="0"/>
              <w:jc w:val="left"/>
            </w:pPr>
            <w:r>
              <w:t>0.431</w:t>
            </w:r>
          </w:p>
        </w:tc>
        <w:tc>
          <w:tcPr>
            <w:tcW w:w="1422" w:type="dxa"/>
            <w:hideMark/>
          </w:tcPr>
          <w:p w14:paraId="5632F6E1" w14:textId="77777777" w:rsidR="00407106" w:rsidRDefault="00407106">
            <w:pPr>
              <w:widowControl w:val="0"/>
              <w:tabs>
                <w:tab w:val="decimal" w:pos="706"/>
              </w:tabs>
              <w:autoSpaceDE w:val="0"/>
              <w:autoSpaceDN w:val="0"/>
              <w:adjustRightInd w:val="0"/>
              <w:spacing w:after="0" w:line="240" w:lineRule="auto"/>
              <w:ind w:firstLine="0"/>
              <w:jc w:val="left"/>
            </w:pPr>
            <w:r>
              <w:t>1.721</w:t>
            </w:r>
          </w:p>
        </w:tc>
      </w:tr>
      <w:tr w:rsidR="00407106" w14:paraId="2A1C9303" w14:textId="77777777" w:rsidTr="00407106">
        <w:tc>
          <w:tcPr>
            <w:tcW w:w="2358" w:type="dxa"/>
            <w:hideMark/>
          </w:tcPr>
          <w:p w14:paraId="3CB90C7D" w14:textId="77777777" w:rsidR="00407106" w:rsidRDefault="00407106">
            <w:pPr>
              <w:widowControl w:val="0"/>
              <w:autoSpaceDE w:val="0"/>
              <w:autoSpaceDN w:val="0"/>
              <w:adjustRightInd w:val="0"/>
              <w:spacing w:after="0" w:line="240" w:lineRule="auto"/>
              <w:ind w:firstLine="0"/>
              <w:rPr>
                <w:i/>
              </w:rPr>
            </w:pPr>
            <w:r>
              <w:rPr>
                <w:i/>
              </w:rPr>
              <w:t>SEGMENT*</w:t>
            </w:r>
          </w:p>
        </w:tc>
        <w:tc>
          <w:tcPr>
            <w:tcW w:w="1422" w:type="dxa"/>
            <w:hideMark/>
          </w:tcPr>
          <w:p w14:paraId="2220F30D" w14:textId="77777777" w:rsidR="00407106" w:rsidRDefault="00407106">
            <w:pPr>
              <w:widowControl w:val="0"/>
              <w:tabs>
                <w:tab w:val="decimal" w:pos="706"/>
              </w:tabs>
              <w:autoSpaceDE w:val="0"/>
              <w:autoSpaceDN w:val="0"/>
              <w:adjustRightInd w:val="0"/>
              <w:spacing w:after="0" w:line="240" w:lineRule="auto"/>
              <w:ind w:firstLine="0"/>
              <w:jc w:val="left"/>
            </w:pPr>
            <w:r>
              <w:t>2.639</w:t>
            </w:r>
          </w:p>
        </w:tc>
        <w:tc>
          <w:tcPr>
            <w:tcW w:w="1422" w:type="dxa"/>
            <w:hideMark/>
          </w:tcPr>
          <w:p w14:paraId="6518F2D1" w14:textId="77777777" w:rsidR="00407106" w:rsidRDefault="00407106">
            <w:pPr>
              <w:widowControl w:val="0"/>
              <w:tabs>
                <w:tab w:val="decimal" w:pos="706"/>
              </w:tabs>
              <w:autoSpaceDE w:val="0"/>
              <w:autoSpaceDN w:val="0"/>
              <w:adjustRightInd w:val="0"/>
              <w:spacing w:after="0" w:line="240" w:lineRule="auto"/>
              <w:ind w:firstLine="0"/>
              <w:jc w:val="left"/>
            </w:pPr>
            <w:r>
              <w:t>2.000</w:t>
            </w:r>
          </w:p>
        </w:tc>
        <w:tc>
          <w:tcPr>
            <w:tcW w:w="1422" w:type="dxa"/>
            <w:hideMark/>
          </w:tcPr>
          <w:p w14:paraId="09282581" w14:textId="77777777" w:rsidR="00407106" w:rsidRDefault="00407106">
            <w:pPr>
              <w:widowControl w:val="0"/>
              <w:tabs>
                <w:tab w:val="decimal" w:pos="706"/>
              </w:tabs>
              <w:autoSpaceDE w:val="0"/>
              <w:autoSpaceDN w:val="0"/>
              <w:adjustRightInd w:val="0"/>
              <w:spacing w:after="0" w:line="240" w:lineRule="auto"/>
              <w:ind w:firstLine="0"/>
              <w:jc w:val="left"/>
            </w:pPr>
            <w:r>
              <w:t>1.973</w:t>
            </w:r>
          </w:p>
        </w:tc>
        <w:tc>
          <w:tcPr>
            <w:tcW w:w="1422" w:type="dxa"/>
            <w:hideMark/>
          </w:tcPr>
          <w:p w14:paraId="643376B7" w14:textId="77777777" w:rsidR="00407106" w:rsidRDefault="00407106">
            <w:pPr>
              <w:widowControl w:val="0"/>
              <w:tabs>
                <w:tab w:val="decimal" w:pos="706"/>
              </w:tabs>
              <w:autoSpaceDE w:val="0"/>
              <w:autoSpaceDN w:val="0"/>
              <w:adjustRightInd w:val="0"/>
              <w:spacing w:after="0" w:line="240" w:lineRule="auto"/>
              <w:ind w:firstLine="0"/>
              <w:jc w:val="left"/>
            </w:pPr>
            <w:r>
              <w:t>1.000</w:t>
            </w:r>
          </w:p>
        </w:tc>
        <w:tc>
          <w:tcPr>
            <w:tcW w:w="1422" w:type="dxa"/>
            <w:hideMark/>
          </w:tcPr>
          <w:p w14:paraId="255E34CE" w14:textId="77777777" w:rsidR="00407106" w:rsidRDefault="00407106">
            <w:pPr>
              <w:widowControl w:val="0"/>
              <w:tabs>
                <w:tab w:val="decimal" w:pos="706"/>
              </w:tabs>
              <w:autoSpaceDE w:val="0"/>
              <w:autoSpaceDN w:val="0"/>
              <w:adjustRightInd w:val="0"/>
              <w:spacing w:after="0" w:line="240" w:lineRule="auto"/>
              <w:ind w:firstLine="0"/>
              <w:jc w:val="left"/>
            </w:pPr>
            <w:r>
              <w:t>4.000</w:t>
            </w:r>
          </w:p>
        </w:tc>
      </w:tr>
      <w:tr w:rsidR="00407106" w14:paraId="5B3C4784" w14:textId="77777777" w:rsidTr="00407106">
        <w:tc>
          <w:tcPr>
            <w:tcW w:w="2358" w:type="dxa"/>
            <w:hideMark/>
          </w:tcPr>
          <w:p w14:paraId="25409B34" w14:textId="77777777" w:rsidR="00407106" w:rsidRDefault="00407106">
            <w:pPr>
              <w:widowControl w:val="0"/>
              <w:autoSpaceDE w:val="0"/>
              <w:autoSpaceDN w:val="0"/>
              <w:adjustRightInd w:val="0"/>
              <w:spacing w:after="0" w:line="240" w:lineRule="auto"/>
              <w:ind w:firstLine="0"/>
              <w:rPr>
                <w:i/>
              </w:rPr>
            </w:pPr>
            <w:r>
              <w:rPr>
                <w:i/>
              </w:rPr>
              <w:t>FOG10K</w:t>
            </w:r>
          </w:p>
        </w:tc>
        <w:tc>
          <w:tcPr>
            <w:tcW w:w="1422" w:type="dxa"/>
            <w:hideMark/>
          </w:tcPr>
          <w:p w14:paraId="3A8EEDD0" w14:textId="77777777" w:rsidR="00407106" w:rsidRDefault="00407106">
            <w:pPr>
              <w:widowControl w:val="0"/>
              <w:tabs>
                <w:tab w:val="decimal" w:pos="706"/>
              </w:tabs>
              <w:autoSpaceDE w:val="0"/>
              <w:autoSpaceDN w:val="0"/>
              <w:adjustRightInd w:val="0"/>
              <w:spacing w:after="0" w:line="240" w:lineRule="auto"/>
              <w:ind w:firstLine="0"/>
              <w:jc w:val="left"/>
            </w:pPr>
            <w:r>
              <w:t>23.332</w:t>
            </w:r>
          </w:p>
        </w:tc>
        <w:tc>
          <w:tcPr>
            <w:tcW w:w="1422" w:type="dxa"/>
            <w:hideMark/>
          </w:tcPr>
          <w:p w14:paraId="184608D3" w14:textId="77777777" w:rsidR="00407106" w:rsidRDefault="00407106">
            <w:pPr>
              <w:widowControl w:val="0"/>
              <w:tabs>
                <w:tab w:val="decimal" w:pos="706"/>
              </w:tabs>
              <w:autoSpaceDE w:val="0"/>
              <w:autoSpaceDN w:val="0"/>
              <w:adjustRightInd w:val="0"/>
              <w:spacing w:after="0" w:line="240" w:lineRule="auto"/>
              <w:ind w:firstLine="0"/>
              <w:jc w:val="left"/>
            </w:pPr>
            <w:r>
              <w:t>23.200</w:t>
            </w:r>
          </w:p>
        </w:tc>
        <w:tc>
          <w:tcPr>
            <w:tcW w:w="1422" w:type="dxa"/>
            <w:hideMark/>
          </w:tcPr>
          <w:p w14:paraId="51CD4C56" w14:textId="77777777" w:rsidR="00407106" w:rsidRDefault="00407106">
            <w:pPr>
              <w:widowControl w:val="0"/>
              <w:tabs>
                <w:tab w:val="decimal" w:pos="706"/>
              </w:tabs>
              <w:autoSpaceDE w:val="0"/>
              <w:autoSpaceDN w:val="0"/>
              <w:adjustRightInd w:val="0"/>
              <w:spacing w:after="0" w:line="240" w:lineRule="auto"/>
              <w:ind w:firstLine="0"/>
              <w:jc w:val="left"/>
            </w:pPr>
            <w:r>
              <w:t>1.330</w:t>
            </w:r>
          </w:p>
        </w:tc>
        <w:tc>
          <w:tcPr>
            <w:tcW w:w="1422" w:type="dxa"/>
            <w:hideMark/>
          </w:tcPr>
          <w:p w14:paraId="4BF6563C" w14:textId="77777777" w:rsidR="00407106" w:rsidRDefault="00407106">
            <w:pPr>
              <w:widowControl w:val="0"/>
              <w:tabs>
                <w:tab w:val="decimal" w:pos="706"/>
              </w:tabs>
              <w:autoSpaceDE w:val="0"/>
              <w:autoSpaceDN w:val="0"/>
              <w:adjustRightInd w:val="0"/>
              <w:spacing w:after="0" w:line="240" w:lineRule="auto"/>
              <w:ind w:firstLine="0"/>
              <w:jc w:val="left"/>
            </w:pPr>
            <w:r>
              <w:t>22.400</w:t>
            </w:r>
          </w:p>
        </w:tc>
        <w:tc>
          <w:tcPr>
            <w:tcW w:w="1422" w:type="dxa"/>
            <w:hideMark/>
          </w:tcPr>
          <w:p w14:paraId="44571137" w14:textId="77777777" w:rsidR="00407106" w:rsidRDefault="00407106">
            <w:pPr>
              <w:widowControl w:val="0"/>
              <w:tabs>
                <w:tab w:val="decimal" w:pos="706"/>
              </w:tabs>
              <w:autoSpaceDE w:val="0"/>
              <w:autoSpaceDN w:val="0"/>
              <w:adjustRightInd w:val="0"/>
              <w:spacing w:after="0" w:line="240" w:lineRule="auto"/>
              <w:ind w:firstLine="0"/>
              <w:jc w:val="left"/>
            </w:pPr>
            <w:r>
              <w:t>24.000</w:t>
            </w:r>
          </w:p>
        </w:tc>
      </w:tr>
      <w:tr w:rsidR="00407106" w14:paraId="0858B19C" w14:textId="77777777" w:rsidTr="00407106">
        <w:tc>
          <w:tcPr>
            <w:tcW w:w="2358" w:type="dxa"/>
            <w:hideMark/>
          </w:tcPr>
          <w:p w14:paraId="3290794E" w14:textId="77777777" w:rsidR="00407106" w:rsidRDefault="00407106">
            <w:pPr>
              <w:widowControl w:val="0"/>
              <w:autoSpaceDE w:val="0"/>
              <w:autoSpaceDN w:val="0"/>
              <w:adjustRightInd w:val="0"/>
              <w:spacing w:after="0" w:line="240" w:lineRule="auto"/>
              <w:ind w:firstLine="0"/>
              <w:rPr>
                <w:i/>
              </w:rPr>
            </w:pPr>
            <w:r>
              <w:rPr>
                <w:i/>
              </w:rPr>
              <w:t>WORDS</w:t>
            </w:r>
          </w:p>
        </w:tc>
        <w:tc>
          <w:tcPr>
            <w:tcW w:w="1422" w:type="dxa"/>
            <w:hideMark/>
          </w:tcPr>
          <w:p w14:paraId="6B8A83D1" w14:textId="77777777" w:rsidR="00407106" w:rsidRDefault="00407106">
            <w:pPr>
              <w:widowControl w:val="0"/>
              <w:tabs>
                <w:tab w:val="decimal" w:pos="706"/>
              </w:tabs>
              <w:autoSpaceDE w:val="0"/>
              <w:autoSpaceDN w:val="0"/>
              <w:adjustRightInd w:val="0"/>
              <w:spacing w:after="0" w:line="240" w:lineRule="auto"/>
              <w:ind w:firstLine="0"/>
              <w:jc w:val="left"/>
            </w:pPr>
            <w:r>
              <w:t>59589.703</w:t>
            </w:r>
          </w:p>
        </w:tc>
        <w:tc>
          <w:tcPr>
            <w:tcW w:w="1422" w:type="dxa"/>
            <w:hideMark/>
          </w:tcPr>
          <w:p w14:paraId="3BEFEB00" w14:textId="77777777" w:rsidR="00407106" w:rsidRDefault="00407106">
            <w:pPr>
              <w:widowControl w:val="0"/>
              <w:tabs>
                <w:tab w:val="decimal" w:pos="706"/>
              </w:tabs>
              <w:autoSpaceDE w:val="0"/>
              <w:autoSpaceDN w:val="0"/>
              <w:adjustRightInd w:val="0"/>
              <w:spacing w:after="0" w:line="240" w:lineRule="auto"/>
              <w:ind w:firstLine="0"/>
              <w:jc w:val="left"/>
            </w:pPr>
            <w:r>
              <w:t>50898.000</w:t>
            </w:r>
          </w:p>
        </w:tc>
        <w:tc>
          <w:tcPr>
            <w:tcW w:w="1422" w:type="dxa"/>
            <w:hideMark/>
          </w:tcPr>
          <w:p w14:paraId="7E17456C" w14:textId="77777777" w:rsidR="00407106" w:rsidRDefault="00407106">
            <w:pPr>
              <w:widowControl w:val="0"/>
              <w:tabs>
                <w:tab w:val="decimal" w:pos="706"/>
              </w:tabs>
              <w:autoSpaceDE w:val="0"/>
              <w:autoSpaceDN w:val="0"/>
              <w:adjustRightInd w:val="0"/>
              <w:spacing w:after="0" w:line="240" w:lineRule="auto"/>
              <w:ind w:firstLine="0"/>
              <w:jc w:val="left"/>
            </w:pPr>
            <w:r>
              <w:t>34638.242</w:t>
            </w:r>
          </w:p>
        </w:tc>
        <w:tc>
          <w:tcPr>
            <w:tcW w:w="1422" w:type="dxa"/>
            <w:hideMark/>
          </w:tcPr>
          <w:p w14:paraId="5DCF4C0D" w14:textId="77777777" w:rsidR="00407106" w:rsidRDefault="00407106">
            <w:pPr>
              <w:widowControl w:val="0"/>
              <w:tabs>
                <w:tab w:val="decimal" w:pos="706"/>
              </w:tabs>
              <w:autoSpaceDE w:val="0"/>
              <w:autoSpaceDN w:val="0"/>
              <w:adjustRightInd w:val="0"/>
              <w:spacing w:after="0" w:line="240" w:lineRule="auto"/>
              <w:ind w:firstLine="0"/>
              <w:jc w:val="left"/>
            </w:pPr>
            <w:r>
              <w:t>39870.000</w:t>
            </w:r>
          </w:p>
        </w:tc>
        <w:tc>
          <w:tcPr>
            <w:tcW w:w="1422" w:type="dxa"/>
            <w:hideMark/>
          </w:tcPr>
          <w:p w14:paraId="74A56676" w14:textId="77777777" w:rsidR="00407106" w:rsidRDefault="00407106">
            <w:pPr>
              <w:widowControl w:val="0"/>
              <w:tabs>
                <w:tab w:val="decimal" w:pos="706"/>
              </w:tabs>
              <w:autoSpaceDE w:val="0"/>
              <w:autoSpaceDN w:val="0"/>
              <w:adjustRightInd w:val="0"/>
              <w:spacing w:after="0" w:line="240" w:lineRule="auto"/>
              <w:ind w:firstLine="0"/>
              <w:jc w:val="left"/>
            </w:pPr>
            <w:r>
              <w:t>68027.000</w:t>
            </w:r>
          </w:p>
        </w:tc>
      </w:tr>
      <w:tr w:rsidR="00407106" w14:paraId="705B64F4" w14:textId="77777777" w:rsidTr="00407106">
        <w:tc>
          <w:tcPr>
            <w:tcW w:w="2358" w:type="dxa"/>
            <w:hideMark/>
          </w:tcPr>
          <w:p w14:paraId="4DA26126" w14:textId="77777777" w:rsidR="00407106" w:rsidRDefault="00407106">
            <w:pPr>
              <w:widowControl w:val="0"/>
              <w:autoSpaceDE w:val="0"/>
              <w:autoSpaceDN w:val="0"/>
              <w:adjustRightInd w:val="0"/>
              <w:spacing w:after="0" w:line="240" w:lineRule="auto"/>
              <w:ind w:firstLine="0"/>
              <w:rPr>
                <w:i/>
              </w:rPr>
            </w:pPr>
            <w:r>
              <w:rPr>
                <w:i/>
              </w:rPr>
              <w:t>STDRET</w:t>
            </w:r>
          </w:p>
        </w:tc>
        <w:tc>
          <w:tcPr>
            <w:tcW w:w="1422" w:type="dxa"/>
            <w:hideMark/>
          </w:tcPr>
          <w:p w14:paraId="6975C079" w14:textId="77777777" w:rsidR="00407106" w:rsidRDefault="00407106">
            <w:pPr>
              <w:widowControl w:val="0"/>
              <w:tabs>
                <w:tab w:val="decimal" w:pos="706"/>
              </w:tabs>
              <w:autoSpaceDE w:val="0"/>
              <w:autoSpaceDN w:val="0"/>
              <w:adjustRightInd w:val="0"/>
              <w:spacing w:after="0" w:line="240" w:lineRule="auto"/>
              <w:ind w:firstLine="0"/>
              <w:jc w:val="left"/>
            </w:pPr>
            <w:r>
              <w:t>2.231</w:t>
            </w:r>
          </w:p>
        </w:tc>
        <w:tc>
          <w:tcPr>
            <w:tcW w:w="1422" w:type="dxa"/>
            <w:hideMark/>
          </w:tcPr>
          <w:p w14:paraId="6565E1B5" w14:textId="77777777" w:rsidR="00407106" w:rsidRDefault="00407106">
            <w:pPr>
              <w:widowControl w:val="0"/>
              <w:tabs>
                <w:tab w:val="decimal" w:pos="706"/>
              </w:tabs>
              <w:autoSpaceDE w:val="0"/>
              <w:autoSpaceDN w:val="0"/>
              <w:adjustRightInd w:val="0"/>
              <w:spacing w:after="0" w:line="240" w:lineRule="auto"/>
              <w:ind w:firstLine="0"/>
              <w:jc w:val="left"/>
            </w:pPr>
            <w:r>
              <w:t>1.999</w:t>
            </w:r>
          </w:p>
        </w:tc>
        <w:tc>
          <w:tcPr>
            <w:tcW w:w="1422" w:type="dxa"/>
            <w:hideMark/>
          </w:tcPr>
          <w:p w14:paraId="1090D158" w14:textId="77777777" w:rsidR="00407106" w:rsidRDefault="00407106">
            <w:pPr>
              <w:widowControl w:val="0"/>
              <w:tabs>
                <w:tab w:val="decimal" w:pos="706"/>
              </w:tabs>
              <w:autoSpaceDE w:val="0"/>
              <w:autoSpaceDN w:val="0"/>
              <w:adjustRightInd w:val="0"/>
              <w:spacing w:after="0" w:line="240" w:lineRule="auto"/>
              <w:ind w:firstLine="0"/>
              <w:jc w:val="left"/>
            </w:pPr>
            <w:r>
              <w:t>1.027</w:t>
            </w:r>
          </w:p>
        </w:tc>
        <w:tc>
          <w:tcPr>
            <w:tcW w:w="1422" w:type="dxa"/>
            <w:hideMark/>
          </w:tcPr>
          <w:p w14:paraId="1EBBE8B9" w14:textId="77777777" w:rsidR="00407106" w:rsidRDefault="00407106">
            <w:pPr>
              <w:widowControl w:val="0"/>
              <w:tabs>
                <w:tab w:val="decimal" w:pos="706"/>
              </w:tabs>
              <w:autoSpaceDE w:val="0"/>
              <w:autoSpaceDN w:val="0"/>
              <w:adjustRightInd w:val="0"/>
              <w:spacing w:after="0" w:line="240" w:lineRule="auto"/>
              <w:ind w:firstLine="0"/>
              <w:jc w:val="left"/>
            </w:pPr>
            <w:r>
              <w:t>1.465</w:t>
            </w:r>
          </w:p>
        </w:tc>
        <w:tc>
          <w:tcPr>
            <w:tcW w:w="1422" w:type="dxa"/>
            <w:hideMark/>
          </w:tcPr>
          <w:p w14:paraId="29DBCD30" w14:textId="77777777" w:rsidR="00407106" w:rsidRDefault="00407106">
            <w:pPr>
              <w:widowControl w:val="0"/>
              <w:tabs>
                <w:tab w:val="decimal" w:pos="706"/>
              </w:tabs>
              <w:autoSpaceDE w:val="0"/>
              <w:autoSpaceDN w:val="0"/>
              <w:adjustRightInd w:val="0"/>
              <w:spacing w:after="0" w:line="240" w:lineRule="auto"/>
              <w:ind w:firstLine="0"/>
              <w:jc w:val="left"/>
            </w:pPr>
            <w:r>
              <w:t>2.739</w:t>
            </w:r>
          </w:p>
        </w:tc>
      </w:tr>
      <w:tr w:rsidR="00407106" w14:paraId="25594186" w14:textId="77777777" w:rsidTr="00407106">
        <w:tc>
          <w:tcPr>
            <w:tcW w:w="2358" w:type="dxa"/>
            <w:hideMark/>
          </w:tcPr>
          <w:p w14:paraId="7D3CDF85" w14:textId="77777777" w:rsidR="00407106" w:rsidRDefault="00407106">
            <w:pPr>
              <w:widowControl w:val="0"/>
              <w:autoSpaceDE w:val="0"/>
              <w:autoSpaceDN w:val="0"/>
              <w:adjustRightInd w:val="0"/>
              <w:spacing w:after="0" w:line="240" w:lineRule="auto"/>
              <w:ind w:firstLine="0"/>
              <w:rPr>
                <w:i/>
              </w:rPr>
            </w:pPr>
            <w:r>
              <w:rPr>
                <w:i/>
              </w:rPr>
              <w:t>LOSS</w:t>
            </w:r>
          </w:p>
        </w:tc>
        <w:tc>
          <w:tcPr>
            <w:tcW w:w="1422" w:type="dxa"/>
            <w:hideMark/>
          </w:tcPr>
          <w:p w14:paraId="2357ED53" w14:textId="77777777" w:rsidR="00407106" w:rsidRDefault="00407106">
            <w:pPr>
              <w:widowControl w:val="0"/>
              <w:tabs>
                <w:tab w:val="decimal" w:pos="706"/>
              </w:tabs>
              <w:autoSpaceDE w:val="0"/>
              <w:autoSpaceDN w:val="0"/>
              <w:adjustRightInd w:val="0"/>
              <w:spacing w:after="0" w:line="240" w:lineRule="auto"/>
              <w:ind w:firstLine="0"/>
              <w:jc w:val="left"/>
            </w:pPr>
            <w:r>
              <w:t>0.221</w:t>
            </w:r>
          </w:p>
        </w:tc>
        <w:tc>
          <w:tcPr>
            <w:tcW w:w="1422" w:type="dxa"/>
            <w:hideMark/>
          </w:tcPr>
          <w:p w14:paraId="7F38544D"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2F07154B" w14:textId="77777777" w:rsidR="00407106" w:rsidRDefault="00407106">
            <w:pPr>
              <w:widowControl w:val="0"/>
              <w:tabs>
                <w:tab w:val="decimal" w:pos="706"/>
              </w:tabs>
              <w:autoSpaceDE w:val="0"/>
              <w:autoSpaceDN w:val="0"/>
              <w:adjustRightInd w:val="0"/>
              <w:spacing w:after="0" w:line="240" w:lineRule="auto"/>
              <w:ind w:firstLine="0"/>
              <w:jc w:val="left"/>
            </w:pPr>
            <w:r>
              <w:t>0.415</w:t>
            </w:r>
          </w:p>
        </w:tc>
        <w:tc>
          <w:tcPr>
            <w:tcW w:w="1422" w:type="dxa"/>
            <w:hideMark/>
          </w:tcPr>
          <w:p w14:paraId="3DC8B9E2"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588FF28F" w14:textId="77777777" w:rsidR="00407106" w:rsidRDefault="00407106">
            <w:pPr>
              <w:widowControl w:val="0"/>
              <w:tabs>
                <w:tab w:val="decimal" w:pos="706"/>
              </w:tabs>
              <w:autoSpaceDE w:val="0"/>
              <w:autoSpaceDN w:val="0"/>
              <w:adjustRightInd w:val="0"/>
              <w:spacing w:after="0" w:line="240" w:lineRule="auto"/>
              <w:ind w:firstLine="0"/>
              <w:jc w:val="left"/>
            </w:pPr>
            <w:r>
              <w:t>0.000</w:t>
            </w:r>
          </w:p>
        </w:tc>
      </w:tr>
      <w:tr w:rsidR="00407106" w14:paraId="25AAFDDA" w14:textId="77777777" w:rsidTr="00407106">
        <w:tc>
          <w:tcPr>
            <w:tcW w:w="2358" w:type="dxa"/>
            <w:hideMark/>
          </w:tcPr>
          <w:p w14:paraId="6C3388E5" w14:textId="77777777" w:rsidR="00407106" w:rsidRDefault="00407106">
            <w:pPr>
              <w:widowControl w:val="0"/>
              <w:autoSpaceDE w:val="0"/>
              <w:autoSpaceDN w:val="0"/>
              <w:adjustRightInd w:val="0"/>
              <w:spacing w:after="0" w:line="240" w:lineRule="auto"/>
              <w:ind w:firstLine="0"/>
            </w:pPr>
            <w:r>
              <w:rPr>
                <w:i/>
              </w:rPr>
              <w:t>FOLL_FOR*</w:t>
            </w:r>
          </w:p>
        </w:tc>
        <w:tc>
          <w:tcPr>
            <w:tcW w:w="1422" w:type="dxa"/>
            <w:hideMark/>
          </w:tcPr>
          <w:p w14:paraId="1017A385" w14:textId="77777777" w:rsidR="00407106" w:rsidRDefault="00407106">
            <w:pPr>
              <w:widowControl w:val="0"/>
              <w:tabs>
                <w:tab w:val="decimal" w:pos="706"/>
              </w:tabs>
              <w:autoSpaceDE w:val="0"/>
              <w:autoSpaceDN w:val="0"/>
              <w:adjustRightInd w:val="0"/>
              <w:spacing w:after="0" w:line="240" w:lineRule="auto"/>
              <w:ind w:firstLine="0"/>
              <w:jc w:val="left"/>
            </w:pPr>
            <w:r>
              <w:t>13.833</w:t>
            </w:r>
          </w:p>
        </w:tc>
        <w:tc>
          <w:tcPr>
            <w:tcW w:w="1422" w:type="dxa"/>
            <w:hideMark/>
          </w:tcPr>
          <w:p w14:paraId="75E8CF33" w14:textId="77777777" w:rsidR="00407106" w:rsidRDefault="00407106">
            <w:pPr>
              <w:widowControl w:val="0"/>
              <w:tabs>
                <w:tab w:val="decimal" w:pos="706"/>
              </w:tabs>
              <w:autoSpaceDE w:val="0"/>
              <w:autoSpaceDN w:val="0"/>
              <w:adjustRightInd w:val="0"/>
              <w:spacing w:after="0" w:line="240" w:lineRule="auto"/>
              <w:ind w:firstLine="0"/>
              <w:jc w:val="left"/>
            </w:pPr>
            <w:r>
              <w:t>11.000</w:t>
            </w:r>
          </w:p>
        </w:tc>
        <w:tc>
          <w:tcPr>
            <w:tcW w:w="1422" w:type="dxa"/>
            <w:hideMark/>
          </w:tcPr>
          <w:p w14:paraId="7F61C5F8" w14:textId="77777777" w:rsidR="00407106" w:rsidRDefault="00407106">
            <w:pPr>
              <w:widowControl w:val="0"/>
              <w:tabs>
                <w:tab w:val="decimal" w:pos="706"/>
              </w:tabs>
              <w:autoSpaceDE w:val="0"/>
              <w:autoSpaceDN w:val="0"/>
              <w:adjustRightInd w:val="0"/>
              <w:spacing w:after="0" w:line="240" w:lineRule="auto"/>
              <w:ind w:firstLine="0"/>
              <w:jc w:val="left"/>
            </w:pPr>
            <w:r>
              <w:t>10.007</w:t>
            </w:r>
          </w:p>
        </w:tc>
        <w:tc>
          <w:tcPr>
            <w:tcW w:w="1422" w:type="dxa"/>
            <w:hideMark/>
          </w:tcPr>
          <w:p w14:paraId="64F4B167" w14:textId="77777777" w:rsidR="00407106" w:rsidRDefault="00407106">
            <w:pPr>
              <w:widowControl w:val="0"/>
              <w:tabs>
                <w:tab w:val="decimal" w:pos="706"/>
              </w:tabs>
              <w:autoSpaceDE w:val="0"/>
              <w:autoSpaceDN w:val="0"/>
              <w:adjustRightInd w:val="0"/>
              <w:spacing w:after="0" w:line="240" w:lineRule="auto"/>
              <w:ind w:firstLine="0"/>
              <w:jc w:val="left"/>
            </w:pPr>
            <w:r>
              <w:t>6.000</w:t>
            </w:r>
          </w:p>
        </w:tc>
        <w:tc>
          <w:tcPr>
            <w:tcW w:w="1422" w:type="dxa"/>
            <w:hideMark/>
          </w:tcPr>
          <w:p w14:paraId="1A46B56E" w14:textId="77777777" w:rsidR="00407106" w:rsidRDefault="00407106">
            <w:pPr>
              <w:widowControl w:val="0"/>
              <w:tabs>
                <w:tab w:val="decimal" w:pos="706"/>
              </w:tabs>
              <w:autoSpaceDE w:val="0"/>
              <w:autoSpaceDN w:val="0"/>
              <w:adjustRightInd w:val="0"/>
              <w:spacing w:after="0" w:line="240" w:lineRule="auto"/>
              <w:ind w:firstLine="0"/>
              <w:jc w:val="left"/>
            </w:pPr>
            <w:r>
              <w:t>19.000</w:t>
            </w:r>
          </w:p>
        </w:tc>
      </w:tr>
      <w:tr w:rsidR="00407106" w14:paraId="551E5FD4" w14:textId="77777777" w:rsidTr="00407106">
        <w:tc>
          <w:tcPr>
            <w:tcW w:w="2358" w:type="dxa"/>
            <w:tcBorders>
              <w:top w:val="nil"/>
              <w:left w:val="nil"/>
              <w:bottom w:val="single" w:sz="4" w:space="0" w:color="auto"/>
              <w:right w:val="nil"/>
            </w:tcBorders>
            <w:hideMark/>
          </w:tcPr>
          <w:p w14:paraId="2BD95336" w14:textId="77777777" w:rsidR="00407106" w:rsidRDefault="00407106">
            <w:pPr>
              <w:widowControl w:val="0"/>
              <w:autoSpaceDE w:val="0"/>
              <w:autoSpaceDN w:val="0"/>
              <w:adjustRightInd w:val="0"/>
              <w:spacing w:after="0" w:line="240" w:lineRule="auto"/>
              <w:ind w:firstLine="0"/>
            </w:pPr>
            <w:r>
              <w:rPr>
                <w:i/>
              </w:rPr>
              <w:t>HORIZON</w:t>
            </w:r>
          </w:p>
        </w:tc>
        <w:tc>
          <w:tcPr>
            <w:tcW w:w="1422" w:type="dxa"/>
            <w:tcBorders>
              <w:top w:val="nil"/>
              <w:left w:val="nil"/>
              <w:bottom w:val="single" w:sz="4" w:space="0" w:color="auto"/>
              <w:right w:val="nil"/>
            </w:tcBorders>
            <w:hideMark/>
          </w:tcPr>
          <w:p w14:paraId="4B5A0F3D" w14:textId="77777777" w:rsidR="00407106" w:rsidRDefault="00407106">
            <w:pPr>
              <w:widowControl w:val="0"/>
              <w:tabs>
                <w:tab w:val="decimal" w:pos="706"/>
              </w:tabs>
              <w:autoSpaceDE w:val="0"/>
              <w:autoSpaceDN w:val="0"/>
              <w:adjustRightInd w:val="0"/>
              <w:spacing w:after="0" w:line="240" w:lineRule="auto"/>
              <w:ind w:firstLine="0"/>
              <w:jc w:val="left"/>
            </w:pPr>
            <w:r>
              <w:t>99.391</w:t>
            </w:r>
          </w:p>
        </w:tc>
        <w:tc>
          <w:tcPr>
            <w:tcW w:w="1422" w:type="dxa"/>
            <w:tcBorders>
              <w:top w:val="nil"/>
              <w:left w:val="nil"/>
              <w:bottom w:val="single" w:sz="4" w:space="0" w:color="auto"/>
              <w:right w:val="nil"/>
            </w:tcBorders>
            <w:hideMark/>
          </w:tcPr>
          <w:p w14:paraId="59078215" w14:textId="77777777" w:rsidR="00407106" w:rsidRDefault="00407106">
            <w:pPr>
              <w:widowControl w:val="0"/>
              <w:tabs>
                <w:tab w:val="decimal" w:pos="706"/>
              </w:tabs>
              <w:autoSpaceDE w:val="0"/>
              <w:autoSpaceDN w:val="0"/>
              <w:adjustRightInd w:val="0"/>
              <w:spacing w:after="0" w:line="240" w:lineRule="auto"/>
              <w:ind w:firstLine="0"/>
              <w:jc w:val="left"/>
            </w:pPr>
            <w:r>
              <w:t>98.000</w:t>
            </w:r>
          </w:p>
        </w:tc>
        <w:tc>
          <w:tcPr>
            <w:tcW w:w="1422" w:type="dxa"/>
            <w:tcBorders>
              <w:top w:val="nil"/>
              <w:left w:val="nil"/>
              <w:bottom w:val="single" w:sz="4" w:space="0" w:color="auto"/>
              <w:right w:val="nil"/>
            </w:tcBorders>
            <w:hideMark/>
          </w:tcPr>
          <w:p w14:paraId="10164130" w14:textId="77777777" w:rsidR="00407106" w:rsidRDefault="00407106">
            <w:pPr>
              <w:widowControl w:val="0"/>
              <w:tabs>
                <w:tab w:val="decimal" w:pos="706"/>
              </w:tabs>
              <w:autoSpaceDE w:val="0"/>
              <w:autoSpaceDN w:val="0"/>
              <w:adjustRightInd w:val="0"/>
              <w:spacing w:after="0" w:line="240" w:lineRule="auto"/>
              <w:ind w:firstLine="0"/>
              <w:jc w:val="left"/>
            </w:pPr>
            <w:r>
              <w:t>38.358</w:t>
            </w:r>
          </w:p>
        </w:tc>
        <w:tc>
          <w:tcPr>
            <w:tcW w:w="1422" w:type="dxa"/>
            <w:tcBorders>
              <w:top w:val="nil"/>
              <w:left w:val="nil"/>
              <w:bottom w:val="single" w:sz="4" w:space="0" w:color="auto"/>
              <w:right w:val="nil"/>
            </w:tcBorders>
            <w:hideMark/>
          </w:tcPr>
          <w:p w14:paraId="40CF94F2" w14:textId="77777777" w:rsidR="00407106" w:rsidRDefault="00407106">
            <w:pPr>
              <w:widowControl w:val="0"/>
              <w:tabs>
                <w:tab w:val="decimal" w:pos="706"/>
              </w:tabs>
              <w:autoSpaceDE w:val="0"/>
              <w:autoSpaceDN w:val="0"/>
              <w:adjustRightInd w:val="0"/>
              <w:spacing w:after="0" w:line="240" w:lineRule="auto"/>
              <w:ind w:firstLine="0"/>
              <w:jc w:val="left"/>
            </w:pPr>
            <w:r>
              <w:t>90.000</w:t>
            </w:r>
          </w:p>
        </w:tc>
        <w:tc>
          <w:tcPr>
            <w:tcW w:w="1422" w:type="dxa"/>
            <w:tcBorders>
              <w:top w:val="nil"/>
              <w:left w:val="nil"/>
              <w:bottom w:val="single" w:sz="4" w:space="0" w:color="auto"/>
              <w:right w:val="nil"/>
            </w:tcBorders>
            <w:hideMark/>
          </w:tcPr>
          <w:p w14:paraId="7691DED4" w14:textId="77777777" w:rsidR="00407106" w:rsidRDefault="00407106">
            <w:pPr>
              <w:widowControl w:val="0"/>
              <w:tabs>
                <w:tab w:val="decimal" w:pos="706"/>
              </w:tabs>
              <w:autoSpaceDE w:val="0"/>
              <w:autoSpaceDN w:val="0"/>
              <w:adjustRightInd w:val="0"/>
              <w:spacing w:after="0" w:line="240" w:lineRule="auto"/>
              <w:ind w:firstLine="0"/>
              <w:jc w:val="left"/>
            </w:pPr>
            <w:r>
              <w:t>112.000</w:t>
            </w:r>
          </w:p>
        </w:tc>
      </w:tr>
      <w:tr w:rsidR="00407106" w14:paraId="364B54D8" w14:textId="77777777" w:rsidTr="00407106">
        <w:tc>
          <w:tcPr>
            <w:tcW w:w="2358" w:type="dxa"/>
          </w:tcPr>
          <w:p w14:paraId="094F28C0" w14:textId="77777777" w:rsidR="00407106" w:rsidRDefault="00407106">
            <w:pPr>
              <w:widowControl w:val="0"/>
              <w:autoSpaceDE w:val="0"/>
              <w:autoSpaceDN w:val="0"/>
              <w:adjustRightInd w:val="0"/>
              <w:spacing w:after="0" w:line="240" w:lineRule="auto"/>
              <w:ind w:firstLine="0"/>
              <w:rPr>
                <w:i/>
              </w:rPr>
            </w:pPr>
          </w:p>
        </w:tc>
        <w:tc>
          <w:tcPr>
            <w:tcW w:w="1422" w:type="dxa"/>
          </w:tcPr>
          <w:p w14:paraId="3CDB1455"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3BA7DEC4"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3219CF88"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233B7571" w14:textId="77777777" w:rsidR="00407106" w:rsidRDefault="00407106">
            <w:pPr>
              <w:widowControl w:val="0"/>
              <w:tabs>
                <w:tab w:val="decimal" w:pos="706"/>
              </w:tabs>
              <w:autoSpaceDE w:val="0"/>
              <w:autoSpaceDN w:val="0"/>
              <w:adjustRightInd w:val="0"/>
              <w:spacing w:after="0" w:line="240" w:lineRule="auto"/>
              <w:ind w:firstLine="0"/>
              <w:jc w:val="left"/>
            </w:pPr>
          </w:p>
        </w:tc>
        <w:tc>
          <w:tcPr>
            <w:tcW w:w="1422" w:type="dxa"/>
          </w:tcPr>
          <w:p w14:paraId="3B152C25" w14:textId="77777777" w:rsidR="00407106" w:rsidRDefault="00407106">
            <w:pPr>
              <w:widowControl w:val="0"/>
              <w:tabs>
                <w:tab w:val="decimal" w:pos="706"/>
              </w:tabs>
              <w:autoSpaceDE w:val="0"/>
              <w:autoSpaceDN w:val="0"/>
              <w:adjustRightInd w:val="0"/>
              <w:spacing w:after="0" w:line="240" w:lineRule="auto"/>
              <w:ind w:firstLine="0"/>
              <w:jc w:val="left"/>
            </w:pPr>
          </w:p>
        </w:tc>
      </w:tr>
    </w:tbl>
    <w:p w14:paraId="0302AE4D" w14:textId="77777777" w:rsidR="00407106" w:rsidRDefault="00407106" w:rsidP="00407106">
      <w:pPr>
        <w:spacing w:after="160" w:line="256" w:lineRule="auto"/>
        <w:ind w:firstLine="0"/>
        <w:jc w:val="left"/>
      </w:pPr>
    </w:p>
    <w:p w14:paraId="18E56C8F" w14:textId="77777777" w:rsidR="00407106" w:rsidRDefault="00407106" w:rsidP="00407106">
      <w:pPr>
        <w:spacing w:after="160" w:line="256" w:lineRule="auto"/>
        <w:ind w:firstLine="0"/>
        <w:jc w:val="left"/>
      </w:pPr>
    </w:p>
    <w:p w14:paraId="3482605A" w14:textId="77777777" w:rsidR="00407106" w:rsidRDefault="00407106" w:rsidP="00407106">
      <w:pPr>
        <w:keepNext/>
        <w:widowControl w:val="0"/>
        <w:autoSpaceDE w:val="0"/>
        <w:autoSpaceDN w:val="0"/>
        <w:adjustRightInd w:val="0"/>
        <w:spacing w:after="0" w:line="240" w:lineRule="auto"/>
        <w:ind w:firstLine="0"/>
      </w:pPr>
      <w:r>
        <w:t>Panel B: Analyst-firm-year level sample</w:t>
      </w:r>
    </w:p>
    <w:tbl>
      <w:tblPr>
        <w:tblW w:w="0" w:type="dxa"/>
        <w:tblInd w:w="-108" w:type="dxa"/>
        <w:tblLayout w:type="fixed"/>
        <w:tblLook w:val="04A0" w:firstRow="1" w:lastRow="0" w:firstColumn="1" w:lastColumn="0" w:noHBand="0" w:noVBand="1"/>
      </w:tblPr>
      <w:tblGrid>
        <w:gridCol w:w="2358"/>
        <w:gridCol w:w="1422"/>
        <w:gridCol w:w="1422"/>
        <w:gridCol w:w="1422"/>
        <w:gridCol w:w="1422"/>
        <w:gridCol w:w="1422"/>
      </w:tblGrid>
      <w:tr w:rsidR="00407106" w14:paraId="1ED4E22D" w14:textId="77777777" w:rsidTr="00407106">
        <w:tc>
          <w:tcPr>
            <w:tcW w:w="2358" w:type="dxa"/>
            <w:tcBorders>
              <w:top w:val="single" w:sz="4" w:space="0" w:color="auto"/>
              <w:left w:val="nil"/>
              <w:bottom w:val="nil"/>
              <w:right w:val="nil"/>
            </w:tcBorders>
          </w:tcPr>
          <w:p w14:paraId="08B7223C" w14:textId="77777777" w:rsidR="00407106" w:rsidRDefault="00407106">
            <w:pPr>
              <w:widowControl w:val="0"/>
              <w:autoSpaceDE w:val="0"/>
              <w:autoSpaceDN w:val="0"/>
              <w:adjustRightInd w:val="0"/>
              <w:spacing w:after="0" w:line="240" w:lineRule="auto"/>
              <w:ind w:firstLine="0"/>
            </w:pPr>
          </w:p>
        </w:tc>
        <w:tc>
          <w:tcPr>
            <w:tcW w:w="1422" w:type="dxa"/>
            <w:tcBorders>
              <w:top w:val="single" w:sz="4" w:space="0" w:color="auto"/>
              <w:left w:val="nil"/>
              <w:bottom w:val="nil"/>
              <w:right w:val="nil"/>
            </w:tcBorders>
          </w:tcPr>
          <w:p w14:paraId="74A8FA7C"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119E6B13"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057E6D7B"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5E3AB64A" w14:textId="77777777" w:rsidR="00407106" w:rsidRDefault="00407106">
            <w:pPr>
              <w:widowControl w:val="0"/>
              <w:autoSpaceDE w:val="0"/>
              <w:autoSpaceDN w:val="0"/>
              <w:adjustRightInd w:val="0"/>
              <w:spacing w:after="0" w:line="240" w:lineRule="auto"/>
              <w:ind w:firstLine="0"/>
              <w:jc w:val="center"/>
            </w:pPr>
          </w:p>
        </w:tc>
        <w:tc>
          <w:tcPr>
            <w:tcW w:w="1422" w:type="dxa"/>
            <w:tcBorders>
              <w:top w:val="single" w:sz="4" w:space="0" w:color="auto"/>
              <w:left w:val="nil"/>
              <w:bottom w:val="nil"/>
              <w:right w:val="nil"/>
            </w:tcBorders>
          </w:tcPr>
          <w:p w14:paraId="0D700DFA" w14:textId="77777777" w:rsidR="00407106" w:rsidRDefault="00407106">
            <w:pPr>
              <w:widowControl w:val="0"/>
              <w:autoSpaceDE w:val="0"/>
              <w:autoSpaceDN w:val="0"/>
              <w:adjustRightInd w:val="0"/>
              <w:spacing w:after="0" w:line="240" w:lineRule="auto"/>
              <w:ind w:firstLine="0"/>
              <w:jc w:val="center"/>
            </w:pPr>
          </w:p>
        </w:tc>
      </w:tr>
      <w:tr w:rsidR="00407106" w14:paraId="7FA024CA" w14:textId="77777777" w:rsidTr="00407106">
        <w:tc>
          <w:tcPr>
            <w:tcW w:w="2358" w:type="dxa"/>
            <w:tcBorders>
              <w:top w:val="nil"/>
              <w:left w:val="nil"/>
              <w:bottom w:val="single" w:sz="4" w:space="0" w:color="auto"/>
              <w:right w:val="nil"/>
            </w:tcBorders>
          </w:tcPr>
          <w:p w14:paraId="67F58E38" w14:textId="77777777" w:rsidR="00407106" w:rsidRDefault="00407106">
            <w:pPr>
              <w:widowControl w:val="0"/>
              <w:autoSpaceDE w:val="0"/>
              <w:autoSpaceDN w:val="0"/>
              <w:adjustRightInd w:val="0"/>
              <w:spacing w:after="0" w:line="240" w:lineRule="auto"/>
              <w:ind w:firstLine="0"/>
            </w:pPr>
          </w:p>
        </w:tc>
        <w:tc>
          <w:tcPr>
            <w:tcW w:w="1422" w:type="dxa"/>
            <w:tcBorders>
              <w:top w:val="nil"/>
              <w:left w:val="nil"/>
              <w:bottom w:val="single" w:sz="4" w:space="0" w:color="auto"/>
              <w:right w:val="nil"/>
            </w:tcBorders>
            <w:hideMark/>
          </w:tcPr>
          <w:p w14:paraId="525DEB2F" w14:textId="77777777" w:rsidR="00407106" w:rsidRDefault="00407106">
            <w:pPr>
              <w:widowControl w:val="0"/>
              <w:autoSpaceDE w:val="0"/>
              <w:autoSpaceDN w:val="0"/>
              <w:adjustRightInd w:val="0"/>
              <w:spacing w:after="0" w:line="240" w:lineRule="auto"/>
              <w:ind w:firstLine="0"/>
              <w:jc w:val="center"/>
            </w:pPr>
            <w:r>
              <w:t>Mean</w:t>
            </w:r>
          </w:p>
        </w:tc>
        <w:tc>
          <w:tcPr>
            <w:tcW w:w="1422" w:type="dxa"/>
            <w:tcBorders>
              <w:top w:val="nil"/>
              <w:left w:val="nil"/>
              <w:bottom w:val="single" w:sz="4" w:space="0" w:color="auto"/>
              <w:right w:val="nil"/>
            </w:tcBorders>
            <w:hideMark/>
          </w:tcPr>
          <w:p w14:paraId="7814590A" w14:textId="77777777" w:rsidR="00407106" w:rsidRDefault="00407106">
            <w:pPr>
              <w:widowControl w:val="0"/>
              <w:autoSpaceDE w:val="0"/>
              <w:autoSpaceDN w:val="0"/>
              <w:adjustRightInd w:val="0"/>
              <w:spacing w:after="0" w:line="240" w:lineRule="auto"/>
              <w:ind w:firstLine="0"/>
              <w:jc w:val="center"/>
            </w:pPr>
            <w:r>
              <w:t>Median</w:t>
            </w:r>
          </w:p>
        </w:tc>
        <w:tc>
          <w:tcPr>
            <w:tcW w:w="1422" w:type="dxa"/>
            <w:tcBorders>
              <w:top w:val="nil"/>
              <w:left w:val="nil"/>
              <w:bottom w:val="single" w:sz="4" w:space="0" w:color="auto"/>
              <w:right w:val="nil"/>
            </w:tcBorders>
            <w:hideMark/>
          </w:tcPr>
          <w:p w14:paraId="3FA8D536" w14:textId="77777777" w:rsidR="00407106" w:rsidRDefault="00407106">
            <w:pPr>
              <w:widowControl w:val="0"/>
              <w:autoSpaceDE w:val="0"/>
              <w:autoSpaceDN w:val="0"/>
              <w:adjustRightInd w:val="0"/>
              <w:spacing w:after="0" w:line="240" w:lineRule="auto"/>
              <w:ind w:firstLine="0"/>
              <w:jc w:val="center"/>
            </w:pPr>
            <w:r>
              <w:t>Std. Dev.</w:t>
            </w:r>
          </w:p>
        </w:tc>
        <w:tc>
          <w:tcPr>
            <w:tcW w:w="1422" w:type="dxa"/>
            <w:tcBorders>
              <w:top w:val="nil"/>
              <w:left w:val="nil"/>
              <w:bottom w:val="single" w:sz="4" w:space="0" w:color="auto"/>
              <w:right w:val="nil"/>
            </w:tcBorders>
            <w:hideMark/>
          </w:tcPr>
          <w:p w14:paraId="4B0846C4" w14:textId="77777777" w:rsidR="00407106" w:rsidRDefault="00407106">
            <w:pPr>
              <w:widowControl w:val="0"/>
              <w:autoSpaceDE w:val="0"/>
              <w:autoSpaceDN w:val="0"/>
              <w:adjustRightInd w:val="0"/>
              <w:spacing w:after="0" w:line="240" w:lineRule="auto"/>
              <w:ind w:firstLine="0"/>
              <w:jc w:val="center"/>
            </w:pPr>
            <w:r>
              <w:t>1st Quartile</w:t>
            </w:r>
          </w:p>
        </w:tc>
        <w:tc>
          <w:tcPr>
            <w:tcW w:w="1422" w:type="dxa"/>
            <w:tcBorders>
              <w:top w:val="nil"/>
              <w:left w:val="nil"/>
              <w:bottom w:val="single" w:sz="4" w:space="0" w:color="auto"/>
              <w:right w:val="nil"/>
            </w:tcBorders>
            <w:hideMark/>
          </w:tcPr>
          <w:p w14:paraId="178FB85A" w14:textId="77777777" w:rsidR="00407106" w:rsidRDefault="00407106">
            <w:pPr>
              <w:widowControl w:val="0"/>
              <w:autoSpaceDE w:val="0"/>
              <w:autoSpaceDN w:val="0"/>
              <w:adjustRightInd w:val="0"/>
              <w:spacing w:after="0" w:line="240" w:lineRule="auto"/>
              <w:ind w:firstLine="0"/>
              <w:jc w:val="center"/>
            </w:pPr>
            <w:r>
              <w:t>3rd Quartile</w:t>
            </w:r>
          </w:p>
        </w:tc>
      </w:tr>
      <w:tr w:rsidR="00407106" w14:paraId="57FA75A4" w14:textId="77777777" w:rsidTr="00407106">
        <w:tc>
          <w:tcPr>
            <w:tcW w:w="2358" w:type="dxa"/>
            <w:tcBorders>
              <w:top w:val="single" w:sz="4" w:space="0" w:color="auto"/>
              <w:left w:val="nil"/>
              <w:bottom w:val="nil"/>
              <w:right w:val="nil"/>
            </w:tcBorders>
            <w:hideMark/>
          </w:tcPr>
          <w:p w14:paraId="3DB06041" w14:textId="77777777" w:rsidR="00407106" w:rsidRDefault="00407106">
            <w:pPr>
              <w:widowControl w:val="0"/>
              <w:autoSpaceDE w:val="0"/>
              <w:autoSpaceDN w:val="0"/>
              <w:adjustRightInd w:val="0"/>
              <w:spacing w:after="0" w:line="240" w:lineRule="auto"/>
              <w:ind w:firstLine="0"/>
              <w:rPr>
                <w:i/>
              </w:rPr>
            </w:pPr>
            <w:r>
              <w:rPr>
                <w:i/>
              </w:rPr>
              <w:t>GEXP*</w:t>
            </w:r>
          </w:p>
        </w:tc>
        <w:tc>
          <w:tcPr>
            <w:tcW w:w="1422" w:type="dxa"/>
            <w:tcBorders>
              <w:top w:val="single" w:sz="4" w:space="0" w:color="auto"/>
              <w:left w:val="nil"/>
              <w:bottom w:val="nil"/>
              <w:right w:val="nil"/>
            </w:tcBorders>
            <w:hideMark/>
          </w:tcPr>
          <w:p w14:paraId="326975A8" w14:textId="77777777" w:rsidR="00407106" w:rsidRDefault="00407106">
            <w:pPr>
              <w:widowControl w:val="0"/>
              <w:tabs>
                <w:tab w:val="decimal" w:pos="706"/>
              </w:tabs>
              <w:autoSpaceDE w:val="0"/>
              <w:autoSpaceDN w:val="0"/>
              <w:adjustRightInd w:val="0"/>
              <w:spacing w:after="0" w:line="240" w:lineRule="auto"/>
              <w:ind w:firstLine="0"/>
              <w:jc w:val="left"/>
            </w:pPr>
            <w:r>
              <w:t>9.356</w:t>
            </w:r>
          </w:p>
        </w:tc>
        <w:tc>
          <w:tcPr>
            <w:tcW w:w="1422" w:type="dxa"/>
            <w:tcBorders>
              <w:top w:val="single" w:sz="4" w:space="0" w:color="auto"/>
              <w:left w:val="nil"/>
              <w:bottom w:val="nil"/>
              <w:right w:val="nil"/>
            </w:tcBorders>
            <w:hideMark/>
          </w:tcPr>
          <w:p w14:paraId="12D371EB" w14:textId="77777777" w:rsidR="00407106" w:rsidRDefault="00407106">
            <w:pPr>
              <w:widowControl w:val="0"/>
              <w:tabs>
                <w:tab w:val="decimal" w:pos="706"/>
              </w:tabs>
              <w:autoSpaceDE w:val="0"/>
              <w:autoSpaceDN w:val="0"/>
              <w:adjustRightInd w:val="0"/>
              <w:spacing w:after="0" w:line="240" w:lineRule="auto"/>
              <w:ind w:firstLine="0"/>
              <w:jc w:val="left"/>
            </w:pPr>
            <w:r>
              <w:t>8.000</w:t>
            </w:r>
          </w:p>
        </w:tc>
        <w:tc>
          <w:tcPr>
            <w:tcW w:w="1422" w:type="dxa"/>
            <w:tcBorders>
              <w:top w:val="single" w:sz="4" w:space="0" w:color="auto"/>
              <w:left w:val="nil"/>
              <w:bottom w:val="nil"/>
              <w:right w:val="nil"/>
            </w:tcBorders>
            <w:hideMark/>
          </w:tcPr>
          <w:p w14:paraId="54C60D93" w14:textId="77777777" w:rsidR="00407106" w:rsidRDefault="00407106">
            <w:pPr>
              <w:widowControl w:val="0"/>
              <w:tabs>
                <w:tab w:val="decimal" w:pos="706"/>
              </w:tabs>
              <w:autoSpaceDE w:val="0"/>
              <w:autoSpaceDN w:val="0"/>
              <w:adjustRightInd w:val="0"/>
              <w:spacing w:after="0" w:line="240" w:lineRule="auto"/>
              <w:ind w:firstLine="0"/>
              <w:jc w:val="left"/>
            </w:pPr>
            <w:r>
              <w:t>6.482</w:t>
            </w:r>
          </w:p>
        </w:tc>
        <w:tc>
          <w:tcPr>
            <w:tcW w:w="1422" w:type="dxa"/>
            <w:tcBorders>
              <w:top w:val="single" w:sz="4" w:space="0" w:color="auto"/>
              <w:left w:val="nil"/>
              <w:bottom w:val="nil"/>
              <w:right w:val="nil"/>
            </w:tcBorders>
            <w:hideMark/>
          </w:tcPr>
          <w:p w14:paraId="4D03AC00" w14:textId="77777777" w:rsidR="00407106" w:rsidRDefault="00407106">
            <w:pPr>
              <w:widowControl w:val="0"/>
              <w:tabs>
                <w:tab w:val="decimal" w:pos="706"/>
              </w:tabs>
              <w:autoSpaceDE w:val="0"/>
              <w:autoSpaceDN w:val="0"/>
              <w:adjustRightInd w:val="0"/>
              <w:spacing w:after="0" w:line="240" w:lineRule="auto"/>
              <w:ind w:firstLine="0"/>
              <w:jc w:val="left"/>
            </w:pPr>
            <w:r>
              <w:t>4.000</w:t>
            </w:r>
          </w:p>
        </w:tc>
        <w:tc>
          <w:tcPr>
            <w:tcW w:w="1422" w:type="dxa"/>
            <w:tcBorders>
              <w:top w:val="single" w:sz="4" w:space="0" w:color="auto"/>
              <w:left w:val="nil"/>
              <w:bottom w:val="nil"/>
              <w:right w:val="nil"/>
            </w:tcBorders>
            <w:hideMark/>
          </w:tcPr>
          <w:p w14:paraId="20EA4F8C" w14:textId="77777777" w:rsidR="00407106" w:rsidRDefault="00407106">
            <w:pPr>
              <w:widowControl w:val="0"/>
              <w:tabs>
                <w:tab w:val="decimal" w:pos="706"/>
              </w:tabs>
              <w:autoSpaceDE w:val="0"/>
              <w:autoSpaceDN w:val="0"/>
              <w:adjustRightInd w:val="0"/>
              <w:spacing w:after="0" w:line="240" w:lineRule="auto"/>
              <w:ind w:firstLine="0"/>
              <w:jc w:val="left"/>
            </w:pPr>
            <w:r>
              <w:t>13.000</w:t>
            </w:r>
          </w:p>
        </w:tc>
      </w:tr>
      <w:tr w:rsidR="00407106" w14:paraId="3C1BC19F" w14:textId="77777777" w:rsidTr="00407106">
        <w:tc>
          <w:tcPr>
            <w:tcW w:w="2358" w:type="dxa"/>
            <w:hideMark/>
          </w:tcPr>
          <w:p w14:paraId="3E7FEEDE" w14:textId="77777777" w:rsidR="00407106" w:rsidRDefault="00407106">
            <w:pPr>
              <w:widowControl w:val="0"/>
              <w:autoSpaceDE w:val="0"/>
              <w:autoSpaceDN w:val="0"/>
              <w:adjustRightInd w:val="0"/>
              <w:spacing w:after="0" w:line="240" w:lineRule="auto"/>
              <w:ind w:firstLine="0"/>
              <w:rPr>
                <w:i/>
              </w:rPr>
            </w:pPr>
            <w:r>
              <w:rPr>
                <w:i/>
              </w:rPr>
              <w:t>FEXP*</w:t>
            </w:r>
          </w:p>
        </w:tc>
        <w:tc>
          <w:tcPr>
            <w:tcW w:w="1422" w:type="dxa"/>
            <w:hideMark/>
          </w:tcPr>
          <w:p w14:paraId="4CFB8FC4" w14:textId="77777777" w:rsidR="00407106" w:rsidRDefault="00407106">
            <w:pPr>
              <w:widowControl w:val="0"/>
              <w:tabs>
                <w:tab w:val="decimal" w:pos="706"/>
              </w:tabs>
              <w:autoSpaceDE w:val="0"/>
              <w:autoSpaceDN w:val="0"/>
              <w:adjustRightInd w:val="0"/>
              <w:spacing w:after="0" w:line="240" w:lineRule="auto"/>
              <w:ind w:firstLine="0"/>
              <w:jc w:val="left"/>
            </w:pPr>
            <w:r>
              <w:t>4.477</w:t>
            </w:r>
          </w:p>
        </w:tc>
        <w:tc>
          <w:tcPr>
            <w:tcW w:w="1422" w:type="dxa"/>
            <w:hideMark/>
          </w:tcPr>
          <w:p w14:paraId="69C7393A" w14:textId="77777777" w:rsidR="00407106" w:rsidRDefault="00407106">
            <w:pPr>
              <w:widowControl w:val="0"/>
              <w:tabs>
                <w:tab w:val="decimal" w:pos="706"/>
              </w:tabs>
              <w:autoSpaceDE w:val="0"/>
              <w:autoSpaceDN w:val="0"/>
              <w:adjustRightInd w:val="0"/>
              <w:spacing w:after="0" w:line="240" w:lineRule="auto"/>
              <w:ind w:firstLine="0"/>
              <w:jc w:val="left"/>
            </w:pPr>
            <w:r>
              <w:t>3.000</w:t>
            </w:r>
          </w:p>
        </w:tc>
        <w:tc>
          <w:tcPr>
            <w:tcW w:w="1422" w:type="dxa"/>
            <w:hideMark/>
          </w:tcPr>
          <w:p w14:paraId="1AEB5CE9" w14:textId="77777777" w:rsidR="00407106" w:rsidRDefault="00407106">
            <w:pPr>
              <w:widowControl w:val="0"/>
              <w:tabs>
                <w:tab w:val="decimal" w:pos="706"/>
              </w:tabs>
              <w:autoSpaceDE w:val="0"/>
              <w:autoSpaceDN w:val="0"/>
              <w:adjustRightInd w:val="0"/>
              <w:spacing w:after="0" w:line="240" w:lineRule="auto"/>
              <w:ind w:firstLine="0"/>
              <w:jc w:val="left"/>
            </w:pPr>
            <w:r>
              <w:t>3.722</w:t>
            </w:r>
          </w:p>
        </w:tc>
        <w:tc>
          <w:tcPr>
            <w:tcW w:w="1422" w:type="dxa"/>
            <w:hideMark/>
          </w:tcPr>
          <w:p w14:paraId="52580D44" w14:textId="77777777" w:rsidR="00407106" w:rsidRDefault="00407106">
            <w:pPr>
              <w:widowControl w:val="0"/>
              <w:tabs>
                <w:tab w:val="decimal" w:pos="706"/>
              </w:tabs>
              <w:autoSpaceDE w:val="0"/>
              <w:autoSpaceDN w:val="0"/>
              <w:adjustRightInd w:val="0"/>
              <w:spacing w:after="0" w:line="240" w:lineRule="auto"/>
              <w:ind w:firstLine="0"/>
              <w:jc w:val="left"/>
            </w:pPr>
            <w:r>
              <w:t>2.000</w:t>
            </w:r>
          </w:p>
        </w:tc>
        <w:tc>
          <w:tcPr>
            <w:tcW w:w="1422" w:type="dxa"/>
            <w:hideMark/>
          </w:tcPr>
          <w:p w14:paraId="1701D381" w14:textId="77777777" w:rsidR="00407106" w:rsidRDefault="00407106">
            <w:pPr>
              <w:widowControl w:val="0"/>
              <w:tabs>
                <w:tab w:val="decimal" w:pos="706"/>
              </w:tabs>
              <w:autoSpaceDE w:val="0"/>
              <w:autoSpaceDN w:val="0"/>
              <w:adjustRightInd w:val="0"/>
              <w:spacing w:after="0" w:line="240" w:lineRule="auto"/>
              <w:ind w:firstLine="0"/>
              <w:jc w:val="left"/>
            </w:pPr>
            <w:r>
              <w:t>6.000</w:t>
            </w:r>
          </w:p>
        </w:tc>
      </w:tr>
      <w:tr w:rsidR="00407106" w14:paraId="78C239C7" w14:textId="77777777" w:rsidTr="00407106">
        <w:tc>
          <w:tcPr>
            <w:tcW w:w="2358" w:type="dxa"/>
            <w:hideMark/>
          </w:tcPr>
          <w:p w14:paraId="0FDFCEBA" w14:textId="77777777" w:rsidR="00407106" w:rsidRDefault="00407106">
            <w:pPr>
              <w:widowControl w:val="0"/>
              <w:autoSpaceDE w:val="0"/>
              <w:autoSpaceDN w:val="0"/>
              <w:adjustRightInd w:val="0"/>
              <w:spacing w:after="0" w:line="240" w:lineRule="auto"/>
              <w:ind w:firstLine="0"/>
              <w:rPr>
                <w:i/>
              </w:rPr>
            </w:pPr>
            <w:r>
              <w:rPr>
                <w:i/>
              </w:rPr>
              <w:t>INDFOCUS*</w:t>
            </w:r>
          </w:p>
        </w:tc>
        <w:tc>
          <w:tcPr>
            <w:tcW w:w="1422" w:type="dxa"/>
            <w:hideMark/>
          </w:tcPr>
          <w:p w14:paraId="180A6082" w14:textId="77777777" w:rsidR="00407106" w:rsidRDefault="00407106">
            <w:pPr>
              <w:widowControl w:val="0"/>
              <w:tabs>
                <w:tab w:val="decimal" w:pos="706"/>
              </w:tabs>
              <w:autoSpaceDE w:val="0"/>
              <w:autoSpaceDN w:val="0"/>
              <w:adjustRightInd w:val="0"/>
              <w:spacing w:after="0" w:line="240" w:lineRule="auto"/>
              <w:ind w:firstLine="0"/>
              <w:jc w:val="left"/>
            </w:pPr>
            <w:r>
              <w:t>0.570</w:t>
            </w:r>
          </w:p>
        </w:tc>
        <w:tc>
          <w:tcPr>
            <w:tcW w:w="1422" w:type="dxa"/>
            <w:hideMark/>
          </w:tcPr>
          <w:p w14:paraId="612511C6" w14:textId="77777777" w:rsidR="00407106" w:rsidRDefault="00407106">
            <w:pPr>
              <w:widowControl w:val="0"/>
              <w:tabs>
                <w:tab w:val="decimal" w:pos="706"/>
              </w:tabs>
              <w:autoSpaceDE w:val="0"/>
              <w:autoSpaceDN w:val="0"/>
              <w:adjustRightInd w:val="0"/>
              <w:spacing w:after="0" w:line="240" w:lineRule="auto"/>
              <w:ind w:firstLine="0"/>
              <w:jc w:val="left"/>
            </w:pPr>
            <w:r>
              <w:t>0.500</w:t>
            </w:r>
          </w:p>
        </w:tc>
        <w:tc>
          <w:tcPr>
            <w:tcW w:w="1422" w:type="dxa"/>
            <w:hideMark/>
          </w:tcPr>
          <w:p w14:paraId="6627BBC2" w14:textId="77777777" w:rsidR="00407106" w:rsidRDefault="00407106">
            <w:pPr>
              <w:widowControl w:val="0"/>
              <w:tabs>
                <w:tab w:val="decimal" w:pos="706"/>
              </w:tabs>
              <w:autoSpaceDE w:val="0"/>
              <w:autoSpaceDN w:val="0"/>
              <w:adjustRightInd w:val="0"/>
              <w:spacing w:after="0" w:line="240" w:lineRule="auto"/>
              <w:ind w:firstLine="0"/>
              <w:jc w:val="left"/>
            </w:pPr>
            <w:r>
              <w:t>0.326</w:t>
            </w:r>
          </w:p>
        </w:tc>
        <w:tc>
          <w:tcPr>
            <w:tcW w:w="1422" w:type="dxa"/>
            <w:hideMark/>
          </w:tcPr>
          <w:p w14:paraId="1D5AF1B9" w14:textId="77777777" w:rsidR="00407106" w:rsidRDefault="00407106">
            <w:pPr>
              <w:widowControl w:val="0"/>
              <w:tabs>
                <w:tab w:val="decimal" w:pos="706"/>
              </w:tabs>
              <w:autoSpaceDE w:val="0"/>
              <w:autoSpaceDN w:val="0"/>
              <w:adjustRightInd w:val="0"/>
              <w:spacing w:after="0" w:line="240" w:lineRule="auto"/>
              <w:ind w:firstLine="0"/>
              <w:jc w:val="left"/>
            </w:pPr>
            <w:r>
              <w:t>0.333</w:t>
            </w:r>
          </w:p>
        </w:tc>
        <w:tc>
          <w:tcPr>
            <w:tcW w:w="1422" w:type="dxa"/>
            <w:hideMark/>
          </w:tcPr>
          <w:p w14:paraId="44F7FD6E" w14:textId="77777777" w:rsidR="00407106" w:rsidRDefault="00407106">
            <w:pPr>
              <w:widowControl w:val="0"/>
              <w:tabs>
                <w:tab w:val="decimal" w:pos="706"/>
              </w:tabs>
              <w:autoSpaceDE w:val="0"/>
              <w:autoSpaceDN w:val="0"/>
              <w:adjustRightInd w:val="0"/>
              <w:spacing w:after="0" w:line="240" w:lineRule="auto"/>
              <w:ind w:firstLine="0"/>
              <w:jc w:val="left"/>
            </w:pPr>
            <w:r>
              <w:t>1.000</w:t>
            </w:r>
          </w:p>
        </w:tc>
      </w:tr>
      <w:tr w:rsidR="00407106" w14:paraId="0053022D" w14:textId="77777777" w:rsidTr="00407106">
        <w:tc>
          <w:tcPr>
            <w:tcW w:w="2358" w:type="dxa"/>
            <w:hideMark/>
          </w:tcPr>
          <w:p w14:paraId="4E2F78CF" w14:textId="77777777" w:rsidR="00407106" w:rsidRDefault="00407106">
            <w:pPr>
              <w:widowControl w:val="0"/>
              <w:autoSpaceDE w:val="0"/>
              <w:autoSpaceDN w:val="0"/>
              <w:adjustRightInd w:val="0"/>
              <w:spacing w:after="0" w:line="240" w:lineRule="auto"/>
              <w:ind w:firstLine="0"/>
              <w:rPr>
                <w:i/>
              </w:rPr>
            </w:pPr>
            <w:r>
              <w:rPr>
                <w:i/>
              </w:rPr>
              <w:t>CFA</w:t>
            </w:r>
          </w:p>
        </w:tc>
        <w:tc>
          <w:tcPr>
            <w:tcW w:w="1422" w:type="dxa"/>
            <w:hideMark/>
          </w:tcPr>
          <w:p w14:paraId="0E3A7E3C" w14:textId="77777777" w:rsidR="00407106" w:rsidRDefault="00407106">
            <w:pPr>
              <w:widowControl w:val="0"/>
              <w:tabs>
                <w:tab w:val="decimal" w:pos="706"/>
              </w:tabs>
              <w:autoSpaceDE w:val="0"/>
              <w:autoSpaceDN w:val="0"/>
              <w:adjustRightInd w:val="0"/>
              <w:spacing w:after="0" w:line="240" w:lineRule="auto"/>
              <w:ind w:firstLine="0"/>
              <w:jc w:val="left"/>
            </w:pPr>
            <w:r>
              <w:t>0.330</w:t>
            </w:r>
          </w:p>
        </w:tc>
        <w:tc>
          <w:tcPr>
            <w:tcW w:w="1422" w:type="dxa"/>
            <w:hideMark/>
          </w:tcPr>
          <w:p w14:paraId="75097FE3"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087C1B3C" w14:textId="77777777" w:rsidR="00407106" w:rsidRDefault="00407106">
            <w:pPr>
              <w:widowControl w:val="0"/>
              <w:tabs>
                <w:tab w:val="decimal" w:pos="706"/>
              </w:tabs>
              <w:autoSpaceDE w:val="0"/>
              <w:autoSpaceDN w:val="0"/>
              <w:adjustRightInd w:val="0"/>
              <w:spacing w:after="0" w:line="240" w:lineRule="auto"/>
              <w:ind w:firstLine="0"/>
              <w:jc w:val="left"/>
            </w:pPr>
            <w:r>
              <w:t>0.470</w:t>
            </w:r>
          </w:p>
        </w:tc>
        <w:tc>
          <w:tcPr>
            <w:tcW w:w="1422" w:type="dxa"/>
            <w:hideMark/>
          </w:tcPr>
          <w:p w14:paraId="1C2D7257"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16882729" w14:textId="77777777" w:rsidR="00407106" w:rsidRDefault="00407106">
            <w:pPr>
              <w:widowControl w:val="0"/>
              <w:tabs>
                <w:tab w:val="decimal" w:pos="706"/>
              </w:tabs>
              <w:autoSpaceDE w:val="0"/>
              <w:autoSpaceDN w:val="0"/>
              <w:adjustRightInd w:val="0"/>
              <w:spacing w:after="0" w:line="240" w:lineRule="auto"/>
              <w:ind w:firstLine="0"/>
              <w:jc w:val="left"/>
            </w:pPr>
            <w:r>
              <w:t>1.000</w:t>
            </w:r>
          </w:p>
        </w:tc>
      </w:tr>
      <w:tr w:rsidR="00407106" w14:paraId="5ADFC447" w14:textId="77777777" w:rsidTr="00407106">
        <w:tc>
          <w:tcPr>
            <w:tcW w:w="2358" w:type="dxa"/>
            <w:hideMark/>
          </w:tcPr>
          <w:p w14:paraId="0B872742" w14:textId="77777777" w:rsidR="00407106" w:rsidRDefault="00407106">
            <w:pPr>
              <w:widowControl w:val="0"/>
              <w:autoSpaceDE w:val="0"/>
              <w:autoSpaceDN w:val="0"/>
              <w:adjustRightInd w:val="0"/>
              <w:spacing w:after="0" w:line="240" w:lineRule="auto"/>
              <w:ind w:firstLine="0"/>
              <w:rPr>
                <w:i/>
              </w:rPr>
            </w:pPr>
            <w:r>
              <w:rPr>
                <w:i/>
              </w:rPr>
              <w:t>EXPRT-FAIR</w:t>
            </w:r>
          </w:p>
        </w:tc>
        <w:tc>
          <w:tcPr>
            <w:tcW w:w="1422" w:type="dxa"/>
            <w:hideMark/>
          </w:tcPr>
          <w:p w14:paraId="5AF9B737" w14:textId="77777777" w:rsidR="00407106" w:rsidRDefault="00407106">
            <w:pPr>
              <w:widowControl w:val="0"/>
              <w:tabs>
                <w:tab w:val="decimal" w:pos="706"/>
              </w:tabs>
              <w:autoSpaceDE w:val="0"/>
              <w:autoSpaceDN w:val="0"/>
              <w:adjustRightInd w:val="0"/>
              <w:spacing w:after="0" w:line="240" w:lineRule="auto"/>
              <w:ind w:firstLine="0"/>
              <w:jc w:val="left"/>
            </w:pPr>
            <w:r>
              <w:t>0.619</w:t>
            </w:r>
          </w:p>
        </w:tc>
        <w:tc>
          <w:tcPr>
            <w:tcW w:w="1422" w:type="dxa"/>
            <w:hideMark/>
          </w:tcPr>
          <w:p w14:paraId="38F68F97" w14:textId="77777777" w:rsidR="00407106" w:rsidRDefault="00407106">
            <w:pPr>
              <w:widowControl w:val="0"/>
              <w:tabs>
                <w:tab w:val="decimal" w:pos="706"/>
              </w:tabs>
              <w:autoSpaceDE w:val="0"/>
              <w:autoSpaceDN w:val="0"/>
              <w:adjustRightInd w:val="0"/>
              <w:spacing w:after="0" w:line="240" w:lineRule="auto"/>
              <w:ind w:firstLine="0"/>
              <w:jc w:val="left"/>
            </w:pPr>
            <w:r>
              <w:t>1.000</w:t>
            </w:r>
          </w:p>
        </w:tc>
        <w:tc>
          <w:tcPr>
            <w:tcW w:w="1422" w:type="dxa"/>
            <w:hideMark/>
          </w:tcPr>
          <w:p w14:paraId="65EF5D82" w14:textId="77777777" w:rsidR="00407106" w:rsidRDefault="00407106">
            <w:pPr>
              <w:widowControl w:val="0"/>
              <w:tabs>
                <w:tab w:val="decimal" w:pos="706"/>
              </w:tabs>
              <w:autoSpaceDE w:val="0"/>
              <w:autoSpaceDN w:val="0"/>
              <w:adjustRightInd w:val="0"/>
              <w:spacing w:after="0" w:line="240" w:lineRule="auto"/>
              <w:ind w:firstLine="0"/>
              <w:jc w:val="left"/>
            </w:pPr>
            <w:r>
              <w:t>0.486</w:t>
            </w:r>
          </w:p>
        </w:tc>
        <w:tc>
          <w:tcPr>
            <w:tcW w:w="1422" w:type="dxa"/>
            <w:hideMark/>
          </w:tcPr>
          <w:p w14:paraId="2AE33346"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6932BF3F" w14:textId="77777777" w:rsidR="00407106" w:rsidRDefault="00407106">
            <w:pPr>
              <w:widowControl w:val="0"/>
              <w:tabs>
                <w:tab w:val="decimal" w:pos="706"/>
              </w:tabs>
              <w:autoSpaceDE w:val="0"/>
              <w:autoSpaceDN w:val="0"/>
              <w:adjustRightInd w:val="0"/>
              <w:spacing w:after="0" w:line="240" w:lineRule="auto"/>
              <w:ind w:firstLine="0"/>
              <w:jc w:val="left"/>
            </w:pPr>
            <w:r>
              <w:t>1.000</w:t>
            </w:r>
          </w:p>
        </w:tc>
      </w:tr>
      <w:tr w:rsidR="00407106" w14:paraId="3D542585" w14:textId="77777777" w:rsidTr="00407106">
        <w:tc>
          <w:tcPr>
            <w:tcW w:w="2358" w:type="dxa"/>
            <w:hideMark/>
          </w:tcPr>
          <w:p w14:paraId="5579C350" w14:textId="77777777" w:rsidR="00407106" w:rsidRDefault="00407106">
            <w:pPr>
              <w:widowControl w:val="0"/>
              <w:autoSpaceDE w:val="0"/>
              <w:autoSpaceDN w:val="0"/>
              <w:adjustRightInd w:val="0"/>
              <w:spacing w:after="0" w:line="240" w:lineRule="auto"/>
              <w:ind w:firstLine="0"/>
              <w:rPr>
                <w:i/>
              </w:rPr>
            </w:pPr>
            <w:r>
              <w:rPr>
                <w:i/>
              </w:rPr>
              <w:t>EXPRT-DERIV</w:t>
            </w:r>
          </w:p>
        </w:tc>
        <w:tc>
          <w:tcPr>
            <w:tcW w:w="1422" w:type="dxa"/>
            <w:hideMark/>
          </w:tcPr>
          <w:p w14:paraId="3B46C701" w14:textId="77777777" w:rsidR="00407106" w:rsidRDefault="00407106">
            <w:pPr>
              <w:widowControl w:val="0"/>
              <w:tabs>
                <w:tab w:val="decimal" w:pos="706"/>
              </w:tabs>
              <w:autoSpaceDE w:val="0"/>
              <w:autoSpaceDN w:val="0"/>
              <w:adjustRightInd w:val="0"/>
              <w:spacing w:after="0" w:line="240" w:lineRule="auto"/>
              <w:ind w:firstLine="0"/>
              <w:jc w:val="left"/>
            </w:pPr>
            <w:r>
              <w:t>0.624</w:t>
            </w:r>
          </w:p>
        </w:tc>
        <w:tc>
          <w:tcPr>
            <w:tcW w:w="1422" w:type="dxa"/>
            <w:hideMark/>
          </w:tcPr>
          <w:p w14:paraId="254D3D45" w14:textId="77777777" w:rsidR="00407106" w:rsidRDefault="00407106">
            <w:pPr>
              <w:widowControl w:val="0"/>
              <w:tabs>
                <w:tab w:val="decimal" w:pos="706"/>
              </w:tabs>
              <w:autoSpaceDE w:val="0"/>
              <w:autoSpaceDN w:val="0"/>
              <w:adjustRightInd w:val="0"/>
              <w:spacing w:after="0" w:line="240" w:lineRule="auto"/>
              <w:ind w:firstLine="0"/>
              <w:jc w:val="left"/>
            </w:pPr>
            <w:r>
              <w:t>1.000</w:t>
            </w:r>
          </w:p>
        </w:tc>
        <w:tc>
          <w:tcPr>
            <w:tcW w:w="1422" w:type="dxa"/>
            <w:hideMark/>
          </w:tcPr>
          <w:p w14:paraId="1F34339F" w14:textId="77777777" w:rsidR="00407106" w:rsidRDefault="00407106">
            <w:pPr>
              <w:widowControl w:val="0"/>
              <w:tabs>
                <w:tab w:val="decimal" w:pos="706"/>
              </w:tabs>
              <w:autoSpaceDE w:val="0"/>
              <w:autoSpaceDN w:val="0"/>
              <w:adjustRightInd w:val="0"/>
              <w:spacing w:after="0" w:line="240" w:lineRule="auto"/>
              <w:ind w:firstLine="0"/>
              <w:jc w:val="left"/>
            </w:pPr>
            <w:r>
              <w:t>0.484</w:t>
            </w:r>
          </w:p>
        </w:tc>
        <w:tc>
          <w:tcPr>
            <w:tcW w:w="1422" w:type="dxa"/>
            <w:hideMark/>
          </w:tcPr>
          <w:p w14:paraId="30AD0D0A"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79DA0DE6" w14:textId="77777777" w:rsidR="00407106" w:rsidRDefault="00407106">
            <w:pPr>
              <w:widowControl w:val="0"/>
              <w:tabs>
                <w:tab w:val="decimal" w:pos="706"/>
              </w:tabs>
              <w:autoSpaceDE w:val="0"/>
              <w:autoSpaceDN w:val="0"/>
              <w:adjustRightInd w:val="0"/>
              <w:spacing w:after="0" w:line="240" w:lineRule="auto"/>
              <w:ind w:firstLine="0"/>
              <w:jc w:val="left"/>
            </w:pPr>
            <w:r>
              <w:t>1.000</w:t>
            </w:r>
          </w:p>
        </w:tc>
      </w:tr>
      <w:tr w:rsidR="00407106" w14:paraId="4FC97902" w14:textId="77777777" w:rsidTr="00407106">
        <w:tc>
          <w:tcPr>
            <w:tcW w:w="2358" w:type="dxa"/>
            <w:hideMark/>
          </w:tcPr>
          <w:p w14:paraId="6030279F" w14:textId="77777777" w:rsidR="00407106" w:rsidRDefault="00407106">
            <w:pPr>
              <w:widowControl w:val="0"/>
              <w:autoSpaceDE w:val="0"/>
              <w:autoSpaceDN w:val="0"/>
              <w:adjustRightInd w:val="0"/>
              <w:spacing w:after="0" w:line="240" w:lineRule="auto"/>
              <w:ind w:firstLine="0"/>
              <w:rPr>
                <w:i/>
              </w:rPr>
            </w:pPr>
            <w:r>
              <w:rPr>
                <w:i/>
              </w:rPr>
              <w:t>EXPRT-PENS</w:t>
            </w:r>
          </w:p>
        </w:tc>
        <w:tc>
          <w:tcPr>
            <w:tcW w:w="1422" w:type="dxa"/>
            <w:hideMark/>
          </w:tcPr>
          <w:p w14:paraId="326CE377" w14:textId="77777777" w:rsidR="00407106" w:rsidRDefault="00407106">
            <w:pPr>
              <w:widowControl w:val="0"/>
              <w:tabs>
                <w:tab w:val="decimal" w:pos="706"/>
              </w:tabs>
              <w:autoSpaceDE w:val="0"/>
              <w:autoSpaceDN w:val="0"/>
              <w:adjustRightInd w:val="0"/>
              <w:spacing w:after="0" w:line="240" w:lineRule="auto"/>
              <w:ind w:firstLine="0"/>
              <w:jc w:val="left"/>
            </w:pPr>
            <w:r>
              <w:t>0.588</w:t>
            </w:r>
          </w:p>
        </w:tc>
        <w:tc>
          <w:tcPr>
            <w:tcW w:w="1422" w:type="dxa"/>
            <w:hideMark/>
          </w:tcPr>
          <w:p w14:paraId="165F2ADE" w14:textId="77777777" w:rsidR="00407106" w:rsidRDefault="00407106">
            <w:pPr>
              <w:widowControl w:val="0"/>
              <w:tabs>
                <w:tab w:val="decimal" w:pos="706"/>
              </w:tabs>
              <w:autoSpaceDE w:val="0"/>
              <w:autoSpaceDN w:val="0"/>
              <w:adjustRightInd w:val="0"/>
              <w:spacing w:after="0" w:line="240" w:lineRule="auto"/>
              <w:ind w:firstLine="0"/>
              <w:jc w:val="left"/>
            </w:pPr>
            <w:r>
              <w:t>1.000</w:t>
            </w:r>
          </w:p>
        </w:tc>
        <w:tc>
          <w:tcPr>
            <w:tcW w:w="1422" w:type="dxa"/>
            <w:hideMark/>
          </w:tcPr>
          <w:p w14:paraId="5BFC49EF" w14:textId="77777777" w:rsidR="00407106" w:rsidRDefault="00407106">
            <w:pPr>
              <w:widowControl w:val="0"/>
              <w:tabs>
                <w:tab w:val="decimal" w:pos="706"/>
              </w:tabs>
              <w:autoSpaceDE w:val="0"/>
              <w:autoSpaceDN w:val="0"/>
              <w:adjustRightInd w:val="0"/>
              <w:spacing w:after="0" w:line="240" w:lineRule="auto"/>
              <w:ind w:firstLine="0"/>
              <w:jc w:val="left"/>
            </w:pPr>
            <w:r>
              <w:t>0.492</w:t>
            </w:r>
          </w:p>
        </w:tc>
        <w:tc>
          <w:tcPr>
            <w:tcW w:w="1422" w:type="dxa"/>
            <w:hideMark/>
          </w:tcPr>
          <w:p w14:paraId="78AD3402" w14:textId="77777777" w:rsidR="00407106" w:rsidRDefault="00407106">
            <w:pPr>
              <w:widowControl w:val="0"/>
              <w:tabs>
                <w:tab w:val="decimal" w:pos="706"/>
              </w:tabs>
              <w:autoSpaceDE w:val="0"/>
              <w:autoSpaceDN w:val="0"/>
              <w:adjustRightInd w:val="0"/>
              <w:spacing w:after="0" w:line="240" w:lineRule="auto"/>
              <w:ind w:firstLine="0"/>
              <w:jc w:val="left"/>
            </w:pPr>
            <w:r>
              <w:t>0.000</w:t>
            </w:r>
          </w:p>
        </w:tc>
        <w:tc>
          <w:tcPr>
            <w:tcW w:w="1422" w:type="dxa"/>
            <w:hideMark/>
          </w:tcPr>
          <w:p w14:paraId="27B116EE" w14:textId="77777777" w:rsidR="00407106" w:rsidRDefault="00407106">
            <w:pPr>
              <w:widowControl w:val="0"/>
              <w:tabs>
                <w:tab w:val="decimal" w:pos="706"/>
              </w:tabs>
              <w:autoSpaceDE w:val="0"/>
              <w:autoSpaceDN w:val="0"/>
              <w:adjustRightInd w:val="0"/>
              <w:spacing w:after="0" w:line="240" w:lineRule="auto"/>
              <w:ind w:firstLine="0"/>
              <w:jc w:val="left"/>
            </w:pPr>
            <w:r>
              <w:t>1.000</w:t>
            </w:r>
          </w:p>
        </w:tc>
      </w:tr>
      <w:tr w:rsidR="00407106" w14:paraId="3B36B5A1" w14:textId="77777777" w:rsidTr="00407106">
        <w:tc>
          <w:tcPr>
            <w:tcW w:w="2358" w:type="dxa"/>
            <w:tcBorders>
              <w:top w:val="nil"/>
              <w:left w:val="nil"/>
              <w:bottom w:val="single" w:sz="4" w:space="0" w:color="auto"/>
              <w:right w:val="nil"/>
            </w:tcBorders>
            <w:hideMark/>
          </w:tcPr>
          <w:p w14:paraId="7F3425AD" w14:textId="77777777" w:rsidR="00407106" w:rsidRDefault="00407106">
            <w:pPr>
              <w:widowControl w:val="0"/>
              <w:autoSpaceDE w:val="0"/>
              <w:autoSpaceDN w:val="0"/>
              <w:adjustRightInd w:val="0"/>
              <w:spacing w:after="0" w:line="240" w:lineRule="auto"/>
              <w:ind w:firstLine="0"/>
              <w:rPr>
                <w:i/>
              </w:rPr>
            </w:pPr>
            <w:r>
              <w:rPr>
                <w:i/>
              </w:rPr>
              <w:t>FORAGE*</w:t>
            </w:r>
          </w:p>
        </w:tc>
        <w:tc>
          <w:tcPr>
            <w:tcW w:w="1422" w:type="dxa"/>
            <w:tcBorders>
              <w:top w:val="nil"/>
              <w:left w:val="nil"/>
              <w:bottom w:val="single" w:sz="4" w:space="0" w:color="auto"/>
              <w:right w:val="nil"/>
            </w:tcBorders>
            <w:hideMark/>
          </w:tcPr>
          <w:p w14:paraId="0E9669E4" w14:textId="77777777" w:rsidR="00407106" w:rsidRDefault="00407106">
            <w:pPr>
              <w:widowControl w:val="0"/>
              <w:tabs>
                <w:tab w:val="decimal" w:pos="706"/>
              </w:tabs>
              <w:autoSpaceDE w:val="0"/>
              <w:autoSpaceDN w:val="0"/>
              <w:adjustRightInd w:val="0"/>
              <w:spacing w:after="0" w:line="240" w:lineRule="auto"/>
              <w:ind w:firstLine="0"/>
              <w:jc w:val="left"/>
            </w:pPr>
            <w:r>
              <w:t>109.661</w:t>
            </w:r>
          </w:p>
        </w:tc>
        <w:tc>
          <w:tcPr>
            <w:tcW w:w="1422" w:type="dxa"/>
            <w:tcBorders>
              <w:top w:val="nil"/>
              <w:left w:val="nil"/>
              <w:bottom w:val="single" w:sz="4" w:space="0" w:color="auto"/>
              <w:right w:val="nil"/>
            </w:tcBorders>
            <w:hideMark/>
          </w:tcPr>
          <w:p w14:paraId="3B691609" w14:textId="77777777" w:rsidR="00407106" w:rsidRDefault="00407106">
            <w:pPr>
              <w:widowControl w:val="0"/>
              <w:tabs>
                <w:tab w:val="decimal" w:pos="706"/>
              </w:tabs>
              <w:autoSpaceDE w:val="0"/>
              <w:autoSpaceDN w:val="0"/>
              <w:adjustRightInd w:val="0"/>
              <w:spacing w:after="0" w:line="240" w:lineRule="auto"/>
              <w:ind w:firstLine="0"/>
              <w:jc w:val="left"/>
            </w:pPr>
            <w:r>
              <w:t>97.000</w:t>
            </w:r>
          </w:p>
        </w:tc>
        <w:tc>
          <w:tcPr>
            <w:tcW w:w="1422" w:type="dxa"/>
            <w:tcBorders>
              <w:top w:val="nil"/>
              <w:left w:val="nil"/>
              <w:bottom w:val="single" w:sz="4" w:space="0" w:color="auto"/>
              <w:right w:val="nil"/>
            </w:tcBorders>
            <w:hideMark/>
          </w:tcPr>
          <w:p w14:paraId="497F38AD" w14:textId="77777777" w:rsidR="00407106" w:rsidRDefault="00407106">
            <w:pPr>
              <w:widowControl w:val="0"/>
              <w:tabs>
                <w:tab w:val="decimal" w:pos="706"/>
              </w:tabs>
              <w:autoSpaceDE w:val="0"/>
              <w:autoSpaceDN w:val="0"/>
              <w:adjustRightInd w:val="0"/>
              <w:spacing w:after="0" w:line="240" w:lineRule="auto"/>
              <w:ind w:firstLine="0"/>
              <w:jc w:val="left"/>
            </w:pPr>
            <w:r>
              <w:t>84.313</w:t>
            </w:r>
          </w:p>
        </w:tc>
        <w:tc>
          <w:tcPr>
            <w:tcW w:w="1422" w:type="dxa"/>
            <w:tcBorders>
              <w:top w:val="nil"/>
              <w:left w:val="nil"/>
              <w:bottom w:val="single" w:sz="4" w:space="0" w:color="auto"/>
              <w:right w:val="nil"/>
            </w:tcBorders>
            <w:hideMark/>
          </w:tcPr>
          <w:p w14:paraId="30AE23C8" w14:textId="77777777" w:rsidR="00407106" w:rsidRDefault="00407106">
            <w:pPr>
              <w:widowControl w:val="0"/>
              <w:tabs>
                <w:tab w:val="decimal" w:pos="706"/>
              </w:tabs>
              <w:autoSpaceDE w:val="0"/>
              <w:autoSpaceDN w:val="0"/>
              <w:adjustRightInd w:val="0"/>
              <w:spacing w:after="0" w:line="240" w:lineRule="auto"/>
              <w:ind w:firstLine="0"/>
              <w:jc w:val="left"/>
            </w:pPr>
            <w:r>
              <w:t>50.000</w:t>
            </w:r>
          </w:p>
        </w:tc>
        <w:tc>
          <w:tcPr>
            <w:tcW w:w="1422" w:type="dxa"/>
            <w:tcBorders>
              <w:top w:val="nil"/>
              <w:left w:val="nil"/>
              <w:bottom w:val="single" w:sz="4" w:space="0" w:color="auto"/>
              <w:right w:val="nil"/>
            </w:tcBorders>
            <w:hideMark/>
          </w:tcPr>
          <w:p w14:paraId="239F8ED1" w14:textId="77777777" w:rsidR="00407106" w:rsidRDefault="00407106">
            <w:pPr>
              <w:widowControl w:val="0"/>
              <w:tabs>
                <w:tab w:val="decimal" w:pos="706"/>
              </w:tabs>
              <w:autoSpaceDE w:val="0"/>
              <w:autoSpaceDN w:val="0"/>
              <w:adjustRightInd w:val="0"/>
              <w:spacing w:after="0" w:line="240" w:lineRule="auto"/>
              <w:ind w:firstLine="0"/>
              <w:jc w:val="left"/>
            </w:pPr>
            <w:r>
              <w:t>118.000</w:t>
            </w:r>
          </w:p>
        </w:tc>
      </w:tr>
    </w:tbl>
    <w:p w14:paraId="3CE2A2D4" w14:textId="77777777" w:rsidR="00407106" w:rsidRDefault="00407106" w:rsidP="00407106">
      <w:pPr>
        <w:keepNext/>
        <w:widowControl w:val="0"/>
        <w:autoSpaceDE w:val="0"/>
        <w:autoSpaceDN w:val="0"/>
        <w:adjustRightInd w:val="0"/>
        <w:spacing w:after="0" w:line="240" w:lineRule="auto"/>
        <w:ind w:firstLine="0"/>
      </w:pPr>
    </w:p>
    <w:p w14:paraId="5D8D617A" w14:textId="77777777" w:rsidR="00407106" w:rsidRDefault="00407106" w:rsidP="00407106">
      <w:pPr>
        <w:spacing w:after="0" w:line="256" w:lineRule="auto"/>
        <w:ind w:firstLine="0"/>
        <w:jc w:val="left"/>
        <w:sectPr w:rsidR="00407106">
          <w:pgSz w:w="12240" w:h="15840"/>
          <w:pgMar w:top="1440" w:right="1440" w:bottom="1440" w:left="1440" w:header="720" w:footer="720" w:gutter="0"/>
          <w:pgNumType w:start="0"/>
          <w:cols w:space="720"/>
        </w:sectPr>
      </w:pPr>
    </w:p>
    <w:p w14:paraId="13E16395" w14:textId="77777777" w:rsidR="00407106" w:rsidRDefault="00407106" w:rsidP="00407106">
      <w:pPr>
        <w:keepNext/>
        <w:widowControl w:val="0"/>
        <w:autoSpaceDE w:val="0"/>
        <w:autoSpaceDN w:val="0"/>
        <w:adjustRightInd w:val="0"/>
        <w:spacing w:after="0" w:line="240" w:lineRule="auto"/>
        <w:ind w:firstLine="0"/>
        <w:jc w:val="center"/>
        <w:rPr>
          <w:b/>
        </w:rPr>
      </w:pPr>
      <w:r>
        <w:rPr>
          <w:b/>
        </w:rPr>
        <w:lastRenderedPageBreak/>
        <w:t>TABLE 4</w:t>
      </w:r>
    </w:p>
    <w:p w14:paraId="48B611F0" w14:textId="77777777" w:rsidR="00407106" w:rsidRDefault="00407106" w:rsidP="00407106">
      <w:pPr>
        <w:keepNext/>
        <w:widowControl w:val="0"/>
        <w:autoSpaceDE w:val="0"/>
        <w:autoSpaceDN w:val="0"/>
        <w:adjustRightInd w:val="0"/>
        <w:spacing w:after="0" w:line="240" w:lineRule="auto"/>
        <w:ind w:firstLine="0"/>
        <w:jc w:val="center"/>
        <w:rPr>
          <w:i/>
        </w:rPr>
      </w:pPr>
      <w:r>
        <w:rPr>
          <w:i/>
        </w:rPr>
        <w:t xml:space="preserve">Accounting complexity and forecast accuracy &amp; dispersion and value of recommendation revisions </w:t>
      </w:r>
    </w:p>
    <w:p w14:paraId="0BDAF09E" w14:textId="77777777" w:rsidR="00407106" w:rsidRDefault="00407106" w:rsidP="00407106">
      <w:pPr>
        <w:spacing w:after="0" w:line="240" w:lineRule="auto"/>
        <w:ind w:firstLine="0"/>
      </w:pPr>
      <w:r>
        <w:t>This table reports the OLS estimation results of three specifications of the following equation, which involves the regression of measures of analysts’ performance on accounting reporting complexity, control variables and industry and year fixed effects.</w:t>
      </w:r>
    </w:p>
    <w:p w14:paraId="694D9B5D" w14:textId="77777777" w:rsidR="00407106" w:rsidRDefault="00407106" w:rsidP="00407106">
      <w:pPr>
        <w:spacing w:before="120" w:after="120" w:line="240" w:lineRule="auto"/>
        <w:ind w:firstLine="0"/>
        <w:jc w:val="center"/>
        <w:rPr>
          <w:vertAlign w:val="subscript"/>
        </w:rPr>
      </w:pPr>
      <w:r>
        <w:t>DV</w:t>
      </w:r>
      <w:r>
        <w:rPr>
          <w:vertAlign w:val="subscript"/>
        </w:rPr>
        <w:t>it</w:t>
      </w:r>
      <w:r>
        <w:t xml:space="preserve"> = α + β</w:t>
      </w:r>
      <w:r>
        <w:rPr>
          <w:vertAlign w:val="subscript"/>
        </w:rPr>
        <w:t>1</w:t>
      </w:r>
      <w:r>
        <w:t>ARC + ∑γControls + ∑δIndustry + ∑θYear + ε</w:t>
      </w:r>
      <w:r>
        <w:rPr>
          <w:vertAlign w:val="subscript"/>
        </w:rPr>
        <w:t>it</w:t>
      </w:r>
    </w:p>
    <w:p w14:paraId="614E20F1" w14:textId="77777777" w:rsidR="00407106" w:rsidRDefault="00407106" w:rsidP="00407106">
      <w:pPr>
        <w:spacing w:after="0" w:line="240" w:lineRule="auto"/>
        <w:ind w:firstLine="0"/>
      </w:pPr>
      <w:r>
        <w:t>The three dependent variables (</w:t>
      </w:r>
      <w:r>
        <w:rPr>
          <w:i/>
        </w:rPr>
        <w:t>DV</w:t>
      </w:r>
      <w:r>
        <w:t>s) are forecast accuracy (</w:t>
      </w:r>
      <w:r>
        <w:rPr>
          <w:i/>
        </w:rPr>
        <w:t>ACCURACY</w:t>
      </w:r>
      <w:r>
        <w:t>), forecast dispersion (</w:t>
      </w:r>
      <w:r>
        <w:rPr>
          <w:i/>
        </w:rPr>
        <w:t>FORDISP</w:t>
      </w:r>
      <w:r>
        <w:t>), and the value of recommendation revisions (</w:t>
      </w:r>
      <w:r>
        <w:rPr>
          <w:i/>
        </w:rPr>
        <w:t>RECVAL</w:t>
      </w:r>
      <w:r>
        <w:t xml:space="preserve">). </w:t>
      </w:r>
      <w:r>
        <w:rPr>
          <w:i/>
        </w:rPr>
        <w:t>ACCURACY</w:t>
      </w:r>
      <w:r>
        <w:t xml:space="preserve"> is defined as the absolute value of reported earnings minus the median earnings forecast for the fiscal year scaled by price and multiplied by -100. </w:t>
      </w:r>
      <w:r>
        <w:rPr>
          <w:i/>
        </w:rPr>
        <w:t>FORDISP</w:t>
      </w:r>
      <w:r>
        <w:t xml:space="preserve"> equals the standard deviation of analysts’ annual earnings estimates divided by the end of fiscal year share price and multiplied by 100 (I/B/E/S and Compustat). </w:t>
      </w:r>
      <w:r>
        <w:rPr>
          <w:i/>
        </w:rPr>
        <w:t>RECVAL</w:t>
      </w:r>
      <w:r>
        <w:t xml:space="preserve"> is calculated as the mean three-day abnormal market reaction associated with recommendation revisions issued during the fiscal year. </w:t>
      </w:r>
      <w:r>
        <w:rPr>
          <w:i/>
        </w:rPr>
        <w:t>ARC</w:t>
      </w:r>
      <w:r>
        <w:t xml:space="preserve"> is the natural logarithm of one plus the total number of </w:t>
      </w:r>
      <w:bookmarkStart w:id="18" w:name="OLE_LINK9"/>
      <w:r>
        <w:t xml:space="preserve">monetary </w:t>
      </w:r>
      <w:bookmarkEnd w:id="18"/>
      <w:r>
        <w:t xml:space="preserve">tags reported in Item 8 of 10-K filings, which includes the financial statements and notes. The </w:t>
      </w:r>
      <w:r>
        <w:rPr>
          <w:i/>
        </w:rPr>
        <w:t>t-</w:t>
      </w:r>
      <w:r>
        <w:t xml:space="preserve">statistics are in parenthesis, next to the coefficient estimates, and are computed based on standard errors clustered by firm. The symbols *, **, and *** indicate statistical significance at the ten, five, and one percent levels, respectively. Industry and year fixed-effects are included in all models. The number of observations and goodness of fit statistics are reported at the bottom of the table. </w:t>
      </w:r>
    </w:p>
    <w:p w14:paraId="0D529572" w14:textId="77777777" w:rsidR="00407106" w:rsidRDefault="00407106" w:rsidP="00407106">
      <w:pPr>
        <w:spacing w:after="0" w:line="240" w:lineRule="auto"/>
        <w:ind w:firstLine="0"/>
      </w:pPr>
    </w:p>
    <w:tbl>
      <w:tblPr>
        <w:tblW w:w="0" w:type="dxa"/>
        <w:tblLayout w:type="fixed"/>
        <w:tblLook w:val="04A0" w:firstRow="1" w:lastRow="0" w:firstColumn="1" w:lastColumn="0" w:noHBand="0" w:noVBand="1"/>
      </w:tblPr>
      <w:tblGrid>
        <w:gridCol w:w="2610"/>
        <w:gridCol w:w="1125"/>
        <w:gridCol w:w="1125"/>
        <w:gridCol w:w="1125"/>
        <w:gridCol w:w="1125"/>
        <w:gridCol w:w="1125"/>
        <w:gridCol w:w="1125"/>
      </w:tblGrid>
      <w:tr w:rsidR="00407106" w14:paraId="499A80C2" w14:textId="77777777" w:rsidTr="00407106">
        <w:trPr>
          <w:trHeight w:hRule="exact" w:val="360"/>
        </w:trPr>
        <w:tc>
          <w:tcPr>
            <w:tcW w:w="2610" w:type="dxa"/>
            <w:tcBorders>
              <w:top w:val="single" w:sz="4" w:space="0" w:color="auto"/>
              <w:left w:val="nil"/>
              <w:bottom w:val="single" w:sz="4" w:space="0" w:color="auto"/>
              <w:right w:val="nil"/>
            </w:tcBorders>
            <w:vAlign w:val="center"/>
            <w:hideMark/>
          </w:tcPr>
          <w:p w14:paraId="343BEC5D"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2250" w:type="dxa"/>
            <w:gridSpan w:val="2"/>
            <w:tcBorders>
              <w:top w:val="single" w:sz="4" w:space="0" w:color="auto"/>
              <w:left w:val="nil"/>
              <w:bottom w:val="single" w:sz="4" w:space="0" w:color="auto"/>
              <w:right w:val="nil"/>
            </w:tcBorders>
            <w:vAlign w:val="center"/>
            <w:hideMark/>
          </w:tcPr>
          <w:p w14:paraId="79E77D3B"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ACCURACY</w:t>
            </w:r>
          </w:p>
        </w:tc>
        <w:tc>
          <w:tcPr>
            <w:tcW w:w="2250" w:type="dxa"/>
            <w:gridSpan w:val="2"/>
            <w:tcBorders>
              <w:top w:val="single" w:sz="4" w:space="0" w:color="auto"/>
              <w:left w:val="nil"/>
              <w:bottom w:val="single" w:sz="4" w:space="0" w:color="auto"/>
              <w:right w:val="nil"/>
            </w:tcBorders>
            <w:vAlign w:val="center"/>
            <w:hideMark/>
          </w:tcPr>
          <w:p w14:paraId="40BC2B48"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FORDISP</w:t>
            </w:r>
          </w:p>
        </w:tc>
        <w:tc>
          <w:tcPr>
            <w:tcW w:w="2250" w:type="dxa"/>
            <w:gridSpan w:val="2"/>
            <w:tcBorders>
              <w:top w:val="single" w:sz="4" w:space="0" w:color="auto"/>
              <w:left w:val="nil"/>
              <w:bottom w:val="single" w:sz="4" w:space="0" w:color="auto"/>
              <w:right w:val="nil"/>
            </w:tcBorders>
            <w:vAlign w:val="center"/>
            <w:hideMark/>
          </w:tcPr>
          <w:p w14:paraId="0DD543E6"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RECVAL</w:t>
            </w:r>
          </w:p>
        </w:tc>
      </w:tr>
      <w:tr w:rsidR="00407106" w14:paraId="1389C501" w14:textId="77777777" w:rsidTr="00407106">
        <w:trPr>
          <w:trHeight w:hRule="exact" w:val="360"/>
        </w:trPr>
        <w:tc>
          <w:tcPr>
            <w:tcW w:w="2610" w:type="dxa"/>
            <w:tcBorders>
              <w:top w:val="single" w:sz="4" w:space="0" w:color="auto"/>
              <w:left w:val="nil"/>
              <w:bottom w:val="nil"/>
              <w:right w:val="nil"/>
            </w:tcBorders>
            <w:vAlign w:val="center"/>
          </w:tcPr>
          <w:p w14:paraId="474A60C7" w14:textId="77777777" w:rsidR="00407106" w:rsidRDefault="00407106">
            <w:pPr>
              <w:widowControl w:val="0"/>
              <w:autoSpaceDE w:val="0"/>
              <w:autoSpaceDN w:val="0"/>
              <w:adjustRightInd w:val="0"/>
              <w:spacing w:after="0" w:line="240" w:lineRule="auto"/>
              <w:ind w:firstLine="0"/>
              <w:jc w:val="left"/>
              <w:rPr>
                <w:sz w:val="22"/>
                <w:szCs w:val="22"/>
              </w:rPr>
            </w:pPr>
          </w:p>
        </w:tc>
        <w:tc>
          <w:tcPr>
            <w:tcW w:w="2250" w:type="dxa"/>
            <w:gridSpan w:val="2"/>
            <w:tcBorders>
              <w:top w:val="single" w:sz="4" w:space="0" w:color="auto"/>
              <w:left w:val="nil"/>
              <w:bottom w:val="nil"/>
              <w:right w:val="nil"/>
            </w:tcBorders>
            <w:vAlign w:val="center"/>
            <w:hideMark/>
          </w:tcPr>
          <w:p w14:paraId="0B6F850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2250" w:type="dxa"/>
            <w:gridSpan w:val="2"/>
            <w:tcBorders>
              <w:top w:val="single" w:sz="4" w:space="0" w:color="auto"/>
              <w:left w:val="nil"/>
              <w:bottom w:val="nil"/>
              <w:right w:val="nil"/>
            </w:tcBorders>
            <w:vAlign w:val="center"/>
            <w:hideMark/>
          </w:tcPr>
          <w:p w14:paraId="504EB24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2250" w:type="dxa"/>
            <w:gridSpan w:val="2"/>
            <w:tcBorders>
              <w:top w:val="single" w:sz="4" w:space="0" w:color="auto"/>
              <w:left w:val="nil"/>
              <w:bottom w:val="nil"/>
              <w:right w:val="nil"/>
            </w:tcBorders>
            <w:vAlign w:val="center"/>
            <w:hideMark/>
          </w:tcPr>
          <w:p w14:paraId="761B61F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r>
      <w:tr w:rsidR="00407106" w14:paraId="45B93A0C" w14:textId="77777777" w:rsidTr="00407106">
        <w:tc>
          <w:tcPr>
            <w:tcW w:w="2610" w:type="dxa"/>
            <w:tcBorders>
              <w:top w:val="single" w:sz="4" w:space="0" w:color="auto"/>
              <w:left w:val="nil"/>
              <w:bottom w:val="nil"/>
              <w:right w:val="nil"/>
            </w:tcBorders>
            <w:hideMark/>
          </w:tcPr>
          <w:p w14:paraId="2757787A" w14:textId="77777777" w:rsidR="00407106" w:rsidRDefault="00407106">
            <w:pPr>
              <w:widowControl w:val="0"/>
              <w:autoSpaceDE w:val="0"/>
              <w:autoSpaceDN w:val="0"/>
              <w:adjustRightInd w:val="0"/>
              <w:spacing w:after="0" w:line="240" w:lineRule="auto"/>
              <w:ind w:firstLine="0"/>
              <w:rPr>
                <w:sz w:val="22"/>
                <w:szCs w:val="22"/>
              </w:rPr>
            </w:pPr>
            <w:r>
              <w:rPr>
                <w:sz w:val="22"/>
                <w:szCs w:val="22"/>
              </w:rPr>
              <w:t>Intercept</w:t>
            </w:r>
          </w:p>
        </w:tc>
        <w:tc>
          <w:tcPr>
            <w:tcW w:w="1125" w:type="dxa"/>
            <w:tcBorders>
              <w:top w:val="single" w:sz="4" w:space="0" w:color="auto"/>
              <w:left w:val="nil"/>
              <w:bottom w:val="nil"/>
              <w:right w:val="nil"/>
            </w:tcBorders>
            <w:hideMark/>
          </w:tcPr>
          <w:p w14:paraId="61B5B43D"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4.073</w:t>
            </w:r>
            <w:r>
              <w:rPr>
                <w:sz w:val="22"/>
                <w:szCs w:val="22"/>
                <w:vertAlign w:val="superscript"/>
              </w:rPr>
              <w:t>***</w:t>
            </w:r>
          </w:p>
        </w:tc>
        <w:tc>
          <w:tcPr>
            <w:tcW w:w="1125" w:type="dxa"/>
            <w:tcBorders>
              <w:top w:val="single" w:sz="4" w:space="0" w:color="auto"/>
              <w:left w:val="nil"/>
              <w:bottom w:val="nil"/>
              <w:right w:val="nil"/>
            </w:tcBorders>
            <w:hideMark/>
          </w:tcPr>
          <w:p w14:paraId="12D072C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(4.62)</w:t>
            </w:r>
          </w:p>
        </w:tc>
        <w:tc>
          <w:tcPr>
            <w:tcW w:w="1125" w:type="dxa"/>
            <w:tcBorders>
              <w:top w:val="single" w:sz="4" w:space="0" w:color="auto"/>
              <w:left w:val="nil"/>
              <w:bottom w:val="nil"/>
              <w:right w:val="nil"/>
            </w:tcBorders>
            <w:hideMark/>
          </w:tcPr>
          <w:p w14:paraId="61D04EB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-6.182</w:t>
            </w:r>
            <w:r>
              <w:rPr>
                <w:sz w:val="22"/>
                <w:szCs w:val="22"/>
                <w:vertAlign w:val="superscript"/>
              </w:rPr>
              <w:t>***</w:t>
            </w:r>
          </w:p>
        </w:tc>
        <w:tc>
          <w:tcPr>
            <w:tcW w:w="1125" w:type="dxa"/>
            <w:tcBorders>
              <w:top w:val="single" w:sz="4" w:space="0" w:color="auto"/>
              <w:left w:val="nil"/>
              <w:bottom w:val="nil"/>
              <w:right w:val="nil"/>
            </w:tcBorders>
            <w:hideMark/>
          </w:tcPr>
          <w:p w14:paraId="0F68266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(-4.71)</w:t>
            </w:r>
          </w:p>
        </w:tc>
        <w:tc>
          <w:tcPr>
            <w:tcW w:w="1125" w:type="dxa"/>
            <w:tcBorders>
              <w:top w:val="single" w:sz="4" w:space="0" w:color="auto"/>
              <w:left w:val="nil"/>
              <w:bottom w:val="nil"/>
              <w:right w:val="nil"/>
            </w:tcBorders>
            <w:hideMark/>
          </w:tcPr>
          <w:p w14:paraId="2995530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5.468</w:t>
            </w:r>
            <w:r>
              <w:rPr>
                <w:sz w:val="22"/>
                <w:szCs w:val="22"/>
                <w:vertAlign w:val="superscript"/>
              </w:rPr>
              <w:t>***</w:t>
            </w:r>
          </w:p>
        </w:tc>
        <w:tc>
          <w:tcPr>
            <w:tcW w:w="1125" w:type="dxa"/>
            <w:tcBorders>
              <w:top w:val="single" w:sz="4" w:space="0" w:color="auto"/>
              <w:left w:val="nil"/>
              <w:bottom w:val="nil"/>
              <w:right w:val="nil"/>
            </w:tcBorders>
            <w:hideMark/>
          </w:tcPr>
          <w:p w14:paraId="609EC35A"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(2.84)</w:t>
            </w:r>
          </w:p>
        </w:tc>
      </w:tr>
      <w:tr w:rsidR="00407106" w14:paraId="5CBF883A" w14:textId="77777777" w:rsidTr="00407106">
        <w:tc>
          <w:tcPr>
            <w:tcW w:w="2610" w:type="dxa"/>
          </w:tcPr>
          <w:p w14:paraId="6DF4BCD7" w14:textId="77777777" w:rsidR="00407106" w:rsidRDefault="00407106">
            <w:pPr>
              <w:widowControl w:val="0"/>
              <w:autoSpaceDE w:val="0"/>
              <w:autoSpaceDN w:val="0"/>
              <w:adjustRightInd w:val="0"/>
              <w:spacing w:after="0" w:line="240" w:lineRule="auto"/>
              <w:ind w:firstLine="0"/>
              <w:rPr>
                <w:sz w:val="22"/>
                <w:szCs w:val="22"/>
              </w:rPr>
            </w:pPr>
          </w:p>
        </w:tc>
        <w:tc>
          <w:tcPr>
            <w:tcW w:w="1125" w:type="dxa"/>
          </w:tcPr>
          <w:p w14:paraId="60FD862E"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79117922"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2E61192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5E0F5E5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0EA3E42A"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4074D29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r>
      <w:tr w:rsidR="00407106" w14:paraId="33A54186" w14:textId="77777777" w:rsidTr="00407106">
        <w:tc>
          <w:tcPr>
            <w:tcW w:w="2610" w:type="dxa"/>
            <w:hideMark/>
          </w:tcPr>
          <w:p w14:paraId="3AD9FAB4"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Accounting complexity:</w:t>
            </w:r>
          </w:p>
        </w:tc>
        <w:tc>
          <w:tcPr>
            <w:tcW w:w="1125" w:type="dxa"/>
          </w:tcPr>
          <w:p w14:paraId="577398DE"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08BC4F7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3B40973D"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37F6DC4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146E20F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5FF42110"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r>
      <w:tr w:rsidR="00407106" w14:paraId="52C82A4F" w14:textId="77777777" w:rsidTr="00407106">
        <w:tc>
          <w:tcPr>
            <w:tcW w:w="2610" w:type="dxa"/>
            <w:hideMark/>
          </w:tcPr>
          <w:p w14:paraId="65CF7BEF"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w:t>
            </w:r>
          </w:p>
        </w:tc>
        <w:tc>
          <w:tcPr>
            <w:tcW w:w="1125" w:type="dxa"/>
            <w:hideMark/>
          </w:tcPr>
          <w:p w14:paraId="63D259E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-0.323</w:t>
            </w:r>
            <w:r>
              <w:rPr>
                <w:sz w:val="22"/>
                <w:szCs w:val="22"/>
                <w:vertAlign w:val="superscript"/>
              </w:rPr>
              <w:t>***</w:t>
            </w:r>
          </w:p>
        </w:tc>
        <w:tc>
          <w:tcPr>
            <w:tcW w:w="1125" w:type="dxa"/>
            <w:hideMark/>
          </w:tcPr>
          <w:p w14:paraId="17CF400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(-3.15)</w:t>
            </w:r>
          </w:p>
        </w:tc>
        <w:tc>
          <w:tcPr>
            <w:tcW w:w="1125" w:type="dxa"/>
            <w:hideMark/>
          </w:tcPr>
          <w:p w14:paraId="04D8B30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0.479</w:t>
            </w:r>
            <w:r>
              <w:rPr>
                <w:sz w:val="22"/>
                <w:szCs w:val="22"/>
                <w:vertAlign w:val="superscript"/>
              </w:rPr>
              <w:t>***</w:t>
            </w:r>
          </w:p>
        </w:tc>
        <w:tc>
          <w:tcPr>
            <w:tcW w:w="1125" w:type="dxa"/>
            <w:hideMark/>
          </w:tcPr>
          <w:p w14:paraId="0858BC8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(3.24)</w:t>
            </w:r>
          </w:p>
        </w:tc>
        <w:tc>
          <w:tcPr>
            <w:tcW w:w="1125" w:type="dxa"/>
            <w:hideMark/>
          </w:tcPr>
          <w:p w14:paraId="4F456E9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-0.899</w:t>
            </w:r>
            <w:r>
              <w:rPr>
                <w:sz w:val="22"/>
                <w:szCs w:val="22"/>
                <w:vertAlign w:val="superscript"/>
              </w:rPr>
              <w:t>***</w:t>
            </w:r>
          </w:p>
        </w:tc>
        <w:tc>
          <w:tcPr>
            <w:tcW w:w="1125" w:type="dxa"/>
            <w:hideMark/>
          </w:tcPr>
          <w:p w14:paraId="35B0981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(-3.38)</w:t>
            </w:r>
          </w:p>
        </w:tc>
      </w:tr>
      <w:tr w:rsidR="00407106" w14:paraId="54F32DA8" w14:textId="77777777" w:rsidTr="00407106">
        <w:tc>
          <w:tcPr>
            <w:tcW w:w="2610" w:type="dxa"/>
          </w:tcPr>
          <w:p w14:paraId="640C051E" w14:textId="77777777" w:rsidR="00407106" w:rsidRDefault="00407106">
            <w:pPr>
              <w:widowControl w:val="0"/>
              <w:autoSpaceDE w:val="0"/>
              <w:autoSpaceDN w:val="0"/>
              <w:adjustRightInd w:val="0"/>
              <w:spacing w:after="0" w:line="240" w:lineRule="auto"/>
              <w:ind w:firstLine="0"/>
              <w:rPr>
                <w:sz w:val="22"/>
                <w:szCs w:val="22"/>
              </w:rPr>
            </w:pPr>
          </w:p>
        </w:tc>
        <w:tc>
          <w:tcPr>
            <w:tcW w:w="1125" w:type="dxa"/>
          </w:tcPr>
          <w:p w14:paraId="3C2D49B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3072721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31907A95"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0EBB7AE0"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4965A78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5BD9FE0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r>
      <w:tr w:rsidR="00407106" w14:paraId="72AF605C" w14:textId="77777777" w:rsidTr="00407106">
        <w:tc>
          <w:tcPr>
            <w:tcW w:w="2610" w:type="dxa"/>
            <w:hideMark/>
          </w:tcPr>
          <w:p w14:paraId="102B5B14"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Information environment:</w:t>
            </w:r>
          </w:p>
        </w:tc>
        <w:tc>
          <w:tcPr>
            <w:tcW w:w="1125" w:type="dxa"/>
          </w:tcPr>
          <w:p w14:paraId="6A51C7F5"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5E70FCF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2FA545F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727A752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5EECC071"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3B9F8B4A"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r>
      <w:tr w:rsidR="00407106" w14:paraId="4BA5DB5F" w14:textId="77777777" w:rsidTr="00407106">
        <w:tc>
          <w:tcPr>
            <w:tcW w:w="2610" w:type="dxa"/>
            <w:hideMark/>
          </w:tcPr>
          <w:p w14:paraId="4D109864"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LOGMV</w:t>
            </w:r>
          </w:p>
        </w:tc>
        <w:tc>
          <w:tcPr>
            <w:tcW w:w="1125" w:type="dxa"/>
            <w:hideMark/>
          </w:tcPr>
          <w:p w14:paraId="10B30E9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0.033</w:t>
            </w:r>
          </w:p>
        </w:tc>
        <w:tc>
          <w:tcPr>
            <w:tcW w:w="1125" w:type="dxa"/>
            <w:hideMark/>
          </w:tcPr>
          <w:p w14:paraId="40449884"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(0.81)</w:t>
            </w:r>
          </w:p>
        </w:tc>
        <w:tc>
          <w:tcPr>
            <w:tcW w:w="1125" w:type="dxa"/>
            <w:hideMark/>
          </w:tcPr>
          <w:p w14:paraId="229BE6F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-0.107</w:t>
            </w:r>
            <w:r>
              <w:rPr>
                <w:sz w:val="22"/>
                <w:szCs w:val="22"/>
                <w:vertAlign w:val="superscript"/>
              </w:rPr>
              <w:t>*</w:t>
            </w:r>
          </w:p>
        </w:tc>
        <w:tc>
          <w:tcPr>
            <w:tcW w:w="1125" w:type="dxa"/>
            <w:hideMark/>
          </w:tcPr>
          <w:p w14:paraId="51F8FBA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(-1.78)</w:t>
            </w:r>
          </w:p>
        </w:tc>
        <w:tc>
          <w:tcPr>
            <w:tcW w:w="1125" w:type="dxa"/>
            <w:hideMark/>
          </w:tcPr>
          <w:p w14:paraId="57DB3904"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-0.145</w:t>
            </w:r>
            <w:r>
              <w:rPr>
                <w:sz w:val="22"/>
                <w:szCs w:val="22"/>
                <w:vertAlign w:val="superscript"/>
              </w:rPr>
              <w:t>*</w:t>
            </w:r>
          </w:p>
        </w:tc>
        <w:tc>
          <w:tcPr>
            <w:tcW w:w="1125" w:type="dxa"/>
            <w:hideMark/>
          </w:tcPr>
          <w:p w14:paraId="10273841"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(-1.79)</w:t>
            </w:r>
          </w:p>
        </w:tc>
      </w:tr>
      <w:tr w:rsidR="00407106" w14:paraId="4D83AA8F" w14:textId="77777777" w:rsidTr="00407106">
        <w:tc>
          <w:tcPr>
            <w:tcW w:w="2610" w:type="dxa"/>
            <w:hideMark/>
          </w:tcPr>
          <w:p w14:paraId="34DDA979"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IO</w:t>
            </w:r>
          </w:p>
        </w:tc>
        <w:tc>
          <w:tcPr>
            <w:tcW w:w="1125" w:type="dxa"/>
            <w:hideMark/>
          </w:tcPr>
          <w:p w14:paraId="36BB5841"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0.006</w:t>
            </w:r>
            <w:r>
              <w:rPr>
                <w:sz w:val="22"/>
                <w:szCs w:val="22"/>
                <w:vertAlign w:val="superscript"/>
              </w:rPr>
              <w:t>***</w:t>
            </w:r>
          </w:p>
        </w:tc>
        <w:tc>
          <w:tcPr>
            <w:tcW w:w="1125" w:type="dxa"/>
            <w:hideMark/>
          </w:tcPr>
          <w:p w14:paraId="4C35928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(4.31)</w:t>
            </w:r>
          </w:p>
        </w:tc>
        <w:tc>
          <w:tcPr>
            <w:tcW w:w="1125" w:type="dxa"/>
            <w:hideMark/>
          </w:tcPr>
          <w:p w14:paraId="3E43018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-0.014</w:t>
            </w:r>
            <w:r>
              <w:rPr>
                <w:sz w:val="22"/>
                <w:szCs w:val="22"/>
                <w:vertAlign w:val="superscript"/>
              </w:rPr>
              <w:t>***</w:t>
            </w:r>
          </w:p>
        </w:tc>
        <w:tc>
          <w:tcPr>
            <w:tcW w:w="1125" w:type="dxa"/>
            <w:hideMark/>
          </w:tcPr>
          <w:p w14:paraId="2B9DC87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(-6.80)</w:t>
            </w:r>
          </w:p>
        </w:tc>
        <w:tc>
          <w:tcPr>
            <w:tcW w:w="1125" w:type="dxa"/>
            <w:hideMark/>
          </w:tcPr>
          <w:p w14:paraId="5F20812D"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-0.002</w:t>
            </w:r>
          </w:p>
        </w:tc>
        <w:tc>
          <w:tcPr>
            <w:tcW w:w="1125" w:type="dxa"/>
            <w:hideMark/>
          </w:tcPr>
          <w:p w14:paraId="7D08968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(-0.41)</w:t>
            </w:r>
          </w:p>
        </w:tc>
      </w:tr>
      <w:tr w:rsidR="00407106" w14:paraId="04A700F8" w14:textId="77777777" w:rsidTr="00407106">
        <w:tc>
          <w:tcPr>
            <w:tcW w:w="2610" w:type="dxa"/>
            <w:hideMark/>
          </w:tcPr>
          <w:p w14:paraId="4F3310F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B/M</w:t>
            </w:r>
          </w:p>
        </w:tc>
        <w:tc>
          <w:tcPr>
            <w:tcW w:w="1125" w:type="dxa"/>
            <w:hideMark/>
          </w:tcPr>
          <w:p w14:paraId="751F4FA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-0.517</w:t>
            </w:r>
            <w:r>
              <w:rPr>
                <w:sz w:val="22"/>
                <w:szCs w:val="22"/>
                <w:vertAlign w:val="superscript"/>
              </w:rPr>
              <w:t>***</w:t>
            </w:r>
          </w:p>
        </w:tc>
        <w:tc>
          <w:tcPr>
            <w:tcW w:w="1125" w:type="dxa"/>
            <w:hideMark/>
          </w:tcPr>
          <w:p w14:paraId="4D3F13F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(-4.00)</w:t>
            </w:r>
          </w:p>
        </w:tc>
        <w:tc>
          <w:tcPr>
            <w:tcW w:w="1125" w:type="dxa"/>
            <w:hideMark/>
          </w:tcPr>
          <w:p w14:paraId="07EE501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1.062</w:t>
            </w:r>
            <w:r>
              <w:rPr>
                <w:sz w:val="22"/>
                <w:szCs w:val="22"/>
                <w:vertAlign w:val="superscript"/>
              </w:rPr>
              <w:t>***</w:t>
            </w:r>
          </w:p>
        </w:tc>
        <w:tc>
          <w:tcPr>
            <w:tcW w:w="1125" w:type="dxa"/>
            <w:hideMark/>
          </w:tcPr>
          <w:p w14:paraId="5C8335E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(5.58)</w:t>
            </w:r>
          </w:p>
        </w:tc>
        <w:tc>
          <w:tcPr>
            <w:tcW w:w="1125" w:type="dxa"/>
            <w:hideMark/>
          </w:tcPr>
          <w:p w14:paraId="30B7DDE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0.573</w:t>
            </w:r>
            <w:r>
              <w:rPr>
                <w:sz w:val="22"/>
                <w:szCs w:val="22"/>
                <w:vertAlign w:val="superscript"/>
              </w:rPr>
              <w:t>**</w:t>
            </w:r>
          </w:p>
        </w:tc>
        <w:tc>
          <w:tcPr>
            <w:tcW w:w="1125" w:type="dxa"/>
            <w:hideMark/>
          </w:tcPr>
          <w:p w14:paraId="18C97C01"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(2.51)</w:t>
            </w:r>
          </w:p>
        </w:tc>
      </w:tr>
      <w:tr w:rsidR="00407106" w14:paraId="1456FBA9" w14:textId="77777777" w:rsidTr="00407106">
        <w:tc>
          <w:tcPr>
            <w:tcW w:w="2610" w:type="dxa"/>
            <w:hideMark/>
          </w:tcPr>
          <w:p w14:paraId="15DCCBF7"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GROWTH</w:t>
            </w:r>
          </w:p>
        </w:tc>
        <w:tc>
          <w:tcPr>
            <w:tcW w:w="1125" w:type="dxa"/>
            <w:hideMark/>
          </w:tcPr>
          <w:p w14:paraId="52897A1A"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0.066</w:t>
            </w:r>
          </w:p>
        </w:tc>
        <w:tc>
          <w:tcPr>
            <w:tcW w:w="1125" w:type="dxa"/>
            <w:hideMark/>
          </w:tcPr>
          <w:p w14:paraId="7F1E1A3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(0.80)</w:t>
            </w:r>
          </w:p>
        </w:tc>
        <w:tc>
          <w:tcPr>
            <w:tcW w:w="1125" w:type="dxa"/>
            <w:hideMark/>
          </w:tcPr>
          <w:p w14:paraId="40DFFFCD"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-0.052</w:t>
            </w:r>
          </w:p>
        </w:tc>
        <w:tc>
          <w:tcPr>
            <w:tcW w:w="1125" w:type="dxa"/>
            <w:hideMark/>
          </w:tcPr>
          <w:p w14:paraId="6C653D40"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(-0.36)</w:t>
            </w:r>
          </w:p>
        </w:tc>
        <w:tc>
          <w:tcPr>
            <w:tcW w:w="1125" w:type="dxa"/>
            <w:hideMark/>
          </w:tcPr>
          <w:p w14:paraId="02EBC20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-0.826</w:t>
            </w:r>
            <w:r>
              <w:rPr>
                <w:sz w:val="22"/>
                <w:szCs w:val="22"/>
                <w:vertAlign w:val="superscript"/>
              </w:rPr>
              <w:t>**</w:t>
            </w:r>
          </w:p>
        </w:tc>
        <w:tc>
          <w:tcPr>
            <w:tcW w:w="1125" w:type="dxa"/>
            <w:hideMark/>
          </w:tcPr>
          <w:p w14:paraId="297F511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(-2.44)</w:t>
            </w:r>
          </w:p>
        </w:tc>
      </w:tr>
      <w:tr w:rsidR="00407106" w14:paraId="42E60316" w14:textId="77777777" w:rsidTr="00407106">
        <w:tc>
          <w:tcPr>
            <w:tcW w:w="2610" w:type="dxa"/>
            <w:hideMark/>
          </w:tcPr>
          <w:p w14:paraId="68014920"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NEWS10K</w:t>
            </w:r>
          </w:p>
        </w:tc>
        <w:tc>
          <w:tcPr>
            <w:tcW w:w="1125" w:type="dxa"/>
            <w:hideMark/>
          </w:tcPr>
          <w:p w14:paraId="145F3C7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-3.887</w:t>
            </w:r>
            <w:r>
              <w:rPr>
                <w:sz w:val="22"/>
                <w:szCs w:val="22"/>
                <w:vertAlign w:val="superscript"/>
              </w:rPr>
              <w:t>***</w:t>
            </w:r>
          </w:p>
        </w:tc>
        <w:tc>
          <w:tcPr>
            <w:tcW w:w="1125" w:type="dxa"/>
            <w:hideMark/>
          </w:tcPr>
          <w:p w14:paraId="249EC9DE"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(-3.82)</w:t>
            </w:r>
          </w:p>
        </w:tc>
        <w:tc>
          <w:tcPr>
            <w:tcW w:w="1125" w:type="dxa"/>
            <w:hideMark/>
          </w:tcPr>
          <w:p w14:paraId="7AB30510"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3.672</w:t>
            </w:r>
            <w:r>
              <w:rPr>
                <w:sz w:val="22"/>
                <w:szCs w:val="22"/>
                <w:vertAlign w:val="superscript"/>
              </w:rPr>
              <w:t>**</w:t>
            </w:r>
          </w:p>
        </w:tc>
        <w:tc>
          <w:tcPr>
            <w:tcW w:w="1125" w:type="dxa"/>
            <w:hideMark/>
          </w:tcPr>
          <w:p w14:paraId="40D6389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(2.47)</w:t>
            </w:r>
          </w:p>
        </w:tc>
        <w:tc>
          <w:tcPr>
            <w:tcW w:w="1125" w:type="dxa"/>
            <w:hideMark/>
          </w:tcPr>
          <w:p w14:paraId="7545C36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-3.375</w:t>
            </w:r>
          </w:p>
        </w:tc>
        <w:tc>
          <w:tcPr>
            <w:tcW w:w="1125" w:type="dxa"/>
            <w:hideMark/>
          </w:tcPr>
          <w:p w14:paraId="106662B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(-1.29)</w:t>
            </w:r>
          </w:p>
        </w:tc>
      </w:tr>
      <w:tr w:rsidR="00407106" w14:paraId="0C10DA78" w14:textId="77777777" w:rsidTr="00407106">
        <w:tc>
          <w:tcPr>
            <w:tcW w:w="2610" w:type="dxa"/>
            <w:hideMark/>
          </w:tcPr>
          <w:p w14:paraId="0D113F75"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LOGFOLL_FOR</w:t>
            </w:r>
          </w:p>
        </w:tc>
        <w:tc>
          <w:tcPr>
            <w:tcW w:w="1125" w:type="dxa"/>
            <w:hideMark/>
          </w:tcPr>
          <w:p w14:paraId="69BC248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0.210</w:t>
            </w:r>
            <w:r>
              <w:rPr>
                <w:sz w:val="22"/>
                <w:szCs w:val="22"/>
                <w:vertAlign w:val="superscript"/>
              </w:rPr>
              <w:t>***</w:t>
            </w:r>
          </w:p>
        </w:tc>
        <w:tc>
          <w:tcPr>
            <w:tcW w:w="1125" w:type="dxa"/>
            <w:hideMark/>
          </w:tcPr>
          <w:p w14:paraId="71D20B4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(2.74)</w:t>
            </w:r>
          </w:p>
        </w:tc>
        <w:tc>
          <w:tcPr>
            <w:tcW w:w="1125" w:type="dxa"/>
            <w:hideMark/>
          </w:tcPr>
          <w:p w14:paraId="2207CAD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0.066</w:t>
            </w:r>
          </w:p>
        </w:tc>
        <w:tc>
          <w:tcPr>
            <w:tcW w:w="1125" w:type="dxa"/>
            <w:hideMark/>
          </w:tcPr>
          <w:p w14:paraId="1FFE1D9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(0.57)</w:t>
            </w:r>
          </w:p>
        </w:tc>
        <w:tc>
          <w:tcPr>
            <w:tcW w:w="1125" w:type="dxa"/>
            <w:hideMark/>
          </w:tcPr>
          <w:p w14:paraId="72C1B7CA"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-0.539</w:t>
            </w:r>
            <w:r>
              <w:rPr>
                <w:sz w:val="22"/>
                <w:szCs w:val="22"/>
                <w:vertAlign w:val="superscript"/>
              </w:rPr>
              <w:t>***</w:t>
            </w:r>
          </w:p>
        </w:tc>
        <w:tc>
          <w:tcPr>
            <w:tcW w:w="1125" w:type="dxa"/>
            <w:hideMark/>
          </w:tcPr>
          <w:p w14:paraId="0CB4B85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(-3.00)</w:t>
            </w:r>
          </w:p>
        </w:tc>
      </w:tr>
      <w:tr w:rsidR="00407106" w14:paraId="49FCBA54" w14:textId="77777777" w:rsidTr="00407106">
        <w:tc>
          <w:tcPr>
            <w:tcW w:w="2610" w:type="dxa"/>
            <w:hideMark/>
          </w:tcPr>
          <w:p w14:paraId="7D99E08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LOGHORIZON</w:t>
            </w:r>
          </w:p>
        </w:tc>
        <w:tc>
          <w:tcPr>
            <w:tcW w:w="1125" w:type="dxa"/>
            <w:hideMark/>
          </w:tcPr>
          <w:p w14:paraId="1348221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-0.170</w:t>
            </w:r>
            <w:r>
              <w:rPr>
                <w:sz w:val="22"/>
                <w:szCs w:val="22"/>
                <w:vertAlign w:val="superscript"/>
              </w:rPr>
              <w:t>***</w:t>
            </w:r>
          </w:p>
        </w:tc>
        <w:tc>
          <w:tcPr>
            <w:tcW w:w="1125" w:type="dxa"/>
            <w:hideMark/>
          </w:tcPr>
          <w:p w14:paraId="5151A8D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(-3.52)</w:t>
            </w:r>
          </w:p>
        </w:tc>
        <w:tc>
          <w:tcPr>
            <w:tcW w:w="1125" w:type="dxa"/>
            <w:hideMark/>
          </w:tcPr>
          <w:p w14:paraId="44C75F6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0.318</w:t>
            </w:r>
            <w:r>
              <w:rPr>
                <w:sz w:val="22"/>
                <w:szCs w:val="22"/>
                <w:vertAlign w:val="superscript"/>
              </w:rPr>
              <w:t>***</w:t>
            </w:r>
          </w:p>
        </w:tc>
        <w:tc>
          <w:tcPr>
            <w:tcW w:w="1125" w:type="dxa"/>
            <w:hideMark/>
          </w:tcPr>
          <w:p w14:paraId="2FA3D2B4"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(4.47)</w:t>
            </w:r>
          </w:p>
        </w:tc>
        <w:tc>
          <w:tcPr>
            <w:tcW w:w="1125" w:type="dxa"/>
            <w:hideMark/>
          </w:tcPr>
          <w:p w14:paraId="3AD7068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-0.289</w:t>
            </w:r>
            <w:r>
              <w:rPr>
                <w:sz w:val="22"/>
                <w:szCs w:val="22"/>
                <w:vertAlign w:val="superscript"/>
              </w:rPr>
              <w:t>**</w:t>
            </w:r>
          </w:p>
        </w:tc>
        <w:tc>
          <w:tcPr>
            <w:tcW w:w="1125" w:type="dxa"/>
            <w:hideMark/>
          </w:tcPr>
          <w:p w14:paraId="6622394A"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(-2.31)</w:t>
            </w:r>
          </w:p>
        </w:tc>
      </w:tr>
      <w:tr w:rsidR="00407106" w14:paraId="58779094" w14:textId="77777777" w:rsidTr="00407106">
        <w:tc>
          <w:tcPr>
            <w:tcW w:w="2610" w:type="dxa"/>
          </w:tcPr>
          <w:p w14:paraId="7F84F850" w14:textId="77777777" w:rsidR="00407106" w:rsidRDefault="00407106">
            <w:pPr>
              <w:widowControl w:val="0"/>
              <w:autoSpaceDE w:val="0"/>
              <w:autoSpaceDN w:val="0"/>
              <w:adjustRightInd w:val="0"/>
              <w:spacing w:after="0" w:line="240" w:lineRule="auto"/>
              <w:ind w:firstLine="0"/>
              <w:rPr>
                <w:sz w:val="22"/>
                <w:szCs w:val="22"/>
              </w:rPr>
            </w:pPr>
          </w:p>
        </w:tc>
        <w:tc>
          <w:tcPr>
            <w:tcW w:w="1125" w:type="dxa"/>
          </w:tcPr>
          <w:p w14:paraId="2B370010"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780A27F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38AC6435"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488D1CB2"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6892B18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5EB1723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r>
      <w:tr w:rsidR="00407106" w14:paraId="4707F58E" w14:textId="77777777" w:rsidTr="00407106">
        <w:tc>
          <w:tcPr>
            <w:tcW w:w="2610" w:type="dxa"/>
            <w:hideMark/>
          </w:tcPr>
          <w:p w14:paraId="7DF26D7B"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Incentive to cover:</w:t>
            </w:r>
          </w:p>
        </w:tc>
        <w:tc>
          <w:tcPr>
            <w:tcW w:w="1125" w:type="dxa"/>
          </w:tcPr>
          <w:p w14:paraId="585F013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4FBE8CC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5C2C449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294FACC5"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70A3D49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581F623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r>
      <w:tr w:rsidR="00407106" w14:paraId="3C851683" w14:textId="77777777" w:rsidTr="00407106">
        <w:tc>
          <w:tcPr>
            <w:tcW w:w="2610" w:type="dxa"/>
            <w:hideMark/>
          </w:tcPr>
          <w:p w14:paraId="1764220E"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TURN</w:t>
            </w:r>
          </w:p>
        </w:tc>
        <w:tc>
          <w:tcPr>
            <w:tcW w:w="1125" w:type="dxa"/>
            <w:hideMark/>
          </w:tcPr>
          <w:p w14:paraId="777B21EA"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-0.000</w:t>
            </w:r>
          </w:p>
        </w:tc>
        <w:tc>
          <w:tcPr>
            <w:tcW w:w="1125" w:type="dxa"/>
            <w:hideMark/>
          </w:tcPr>
          <w:p w14:paraId="49D0FC01"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(-1.51)</w:t>
            </w:r>
          </w:p>
        </w:tc>
        <w:tc>
          <w:tcPr>
            <w:tcW w:w="1125" w:type="dxa"/>
            <w:hideMark/>
          </w:tcPr>
          <w:p w14:paraId="71607EB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0.001</w:t>
            </w:r>
            <w:r>
              <w:rPr>
                <w:sz w:val="22"/>
                <w:szCs w:val="22"/>
                <w:vertAlign w:val="superscript"/>
              </w:rPr>
              <w:t>**</w:t>
            </w:r>
          </w:p>
        </w:tc>
        <w:tc>
          <w:tcPr>
            <w:tcW w:w="1125" w:type="dxa"/>
            <w:hideMark/>
          </w:tcPr>
          <w:p w14:paraId="1DEA0FD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(2.39)</w:t>
            </w:r>
          </w:p>
        </w:tc>
        <w:tc>
          <w:tcPr>
            <w:tcW w:w="1125" w:type="dxa"/>
            <w:hideMark/>
          </w:tcPr>
          <w:p w14:paraId="376E918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-0.002</w:t>
            </w:r>
            <w:r>
              <w:rPr>
                <w:sz w:val="22"/>
                <w:szCs w:val="22"/>
                <w:vertAlign w:val="superscript"/>
              </w:rPr>
              <w:t>***</w:t>
            </w:r>
          </w:p>
        </w:tc>
        <w:tc>
          <w:tcPr>
            <w:tcW w:w="1125" w:type="dxa"/>
            <w:hideMark/>
          </w:tcPr>
          <w:p w14:paraId="27D1F3D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(-2.82)</w:t>
            </w:r>
          </w:p>
        </w:tc>
      </w:tr>
      <w:tr w:rsidR="00407106" w14:paraId="35D07FBC" w14:textId="77777777" w:rsidTr="00407106">
        <w:tc>
          <w:tcPr>
            <w:tcW w:w="2610" w:type="dxa"/>
            <w:hideMark/>
          </w:tcPr>
          <w:p w14:paraId="58BD8664"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ADV</w:t>
            </w:r>
          </w:p>
        </w:tc>
        <w:tc>
          <w:tcPr>
            <w:tcW w:w="1125" w:type="dxa"/>
            <w:hideMark/>
          </w:tcPr>
          <w:p w14:paraId="79D98C42"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-0.971</w:t>
            </w:r>
          </w:p>
        </w:tc>
        <w:tc>
          <w:tcPr>
            <w:tcW w:w="1125" w:type="dxa"/>
            <w:hideMark/>
          </w:tcPr>
          <w:p w14:paraId="29E6A954"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(-1.24)</w:t>
            </w:r>
          </w:p>
        </w:tc>
        <w:tc>
          <w:tcPr>
            <w:tcW w:w="1125" w:type="dxa"/>
            <w:hideMark/>
          </w:tcPr>
          <w:p w14:paraId="10FABDF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0.228</w:t>
            </w:r>
          </w:p>
        </w:tc>
        <w:tc>
          <w:tcPr>
            <w:tcW w:w="1125" w:type="dxa"/>
            <w:hideMark/>
          </w:tcPr>
          <w:p w14:paraId="7E56FE14"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(0.23)</w:t>
            </w:r>
          </w:p>
        </w:tc>
        <w:tc>
          <w:tcPr>
            <w:tcW w:w="1125" w:type="dxa"/>
            <w:hideMark/>
          </w:tcPr>
          <w:p w14:paraId="6A5E326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7.338</w:t>
            </w:r>
            <w:r>
              <w:rPr>
                <w:sz w:val="22"/>
                <w:szCs w:val="22"/>
                <w:vertAlign w:val="superscript"/>
              </w:rPr>
              <w:t>***</w:t>
            </w:r>
          </w:p>
        </w:tc>
        <w:tc>
          <w:tcPr>
            <w:tcW w:w="1125" w:type="dxa"/>
            <w:hideMark/>
          </w:tcPr>
          <w:p w14:paraId="3AC1BF31"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(3.39)</w:t>
            </w:r>
          </w:p>
        </w:tc>
      </w:tr>
      <w:tr w:rsidR="00407106" w14:paraId="4955558B" w14:textId="77777777" w:rsidTr="00407106">
        <w:tc>
          <w:tcPr>
            <w:tcW w:w="2610" w:type="dxa"/>
            <w:hideMark/>
          </w:tcPr>
          <w:p w14:paraId="1AC12D56"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RND</w:t>
            </w:r>
          </w:p>
        </w:tc>
        <w:tc>
          <w:tcPr>
            <w:tcW w:w="1125" w:type="dxa"/>
            <w:hideMark/>
          </w:tcPr>
          <w:p w14:paraId="7FF4EE24"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1.099</w:t>
            </w:r>
            <w:r>
              <w:rPr>
                <w:sz w:val="22"/>
                <w:szCs w:val="22"/>
                <w:vertAlign w:val="superscript"/>
              </w:rPr>
              <w:t>***</w:t>
            </w:r>
          </w:p>
        </w:tc>
        <w:tc>
          <w:tcPr>
            <w:tcW w:w="1125" w:type="dxa"/>
            <w:hideMark/>
          </w:tcPr>
          <w:p w14:paraId="7260DA3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(3.84)</w:t>
            </w:r>
          </w:p>
        </w:tc>
        <w:tc>
          <w:tcPr>
            <w:tcW w:w="1125" w:type="dxa"/>
            <w:hideMark/>
          </w:tcPr>
          <w:p w14:paraId="08A0ECB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-1.716</w:t>
            </w:r>
            <w:r>
              <w:rPr>
                <w:sz w:val="22"/>
                <w:szCs w:val="22"/>
                <w:vertAlign w:val="superscript"/>
              </w:rPr>
              <w:t>***</w:t>
            </w:r>
          </w:p>
        </w:tc>
        <w:tc>
          <w:tcPr>
            <w:tcW w:w="1125" w:type="dxa"/>
            <w:hideMark/>
          </w:tcPr>
          <w:p w14:paraId="20A5F5E2"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(-3.33)</w:t>
            </w:r>
          </w:p>
        </w:tc>
        <w:tc>
          <w:tcPr>
            <w:tcW w:w="1125" w:type="dxa"/>
            <w:hideMark/>
          </w:tcPr>
          <w:p w14:paraId="19D6AAE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-0.516</w:t>
            </w:r>
          </w:p>
        </w:tc>
        <w:tc>
          <w:tcPr>
            <w:tcW w:w="1125" w:type="dxa"/>
            <w:hideMark/>
          </w:tcPr>
          <w:p w14:paraId="5B683F6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(-0.51)</w:t>
            </w:r>
          </w:p>
        </w:tc>
      </w:tr>
      <w:tr w:rsidR="00407106" w14:paraId="44CACBEC" w14:textId="77777777" w:rsidTr="00407106">
        <w:tc>
          <w:tcPr>
            <w:tcW w:w="2610" w:type="dxa"/>
            <w:tcBorders>
              <w:top w:val="nil"/>
              <w:left w:val="nil"/>
              <w:bottom w:val="single" w:sz="4" w:space="0" w:color="auto"/>
              <w:right w:val="nil"/>
            </w:tcBorders>
            <w:hideMark/>
          </w:tcPr>
          <w:p w14:paraId="69BF8A63"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ROA</w:t>
            </w:r>
          </w:p>
        </w:tc>
        <w:tc>
          <w:tcPr>
            <w:tcW w:w="1125" w:type="dxa"/>
            <w:tcBorders>
              <w:top w:val="nil"/>
              <w:left w:val="nil"/>
              <w:bottom w:val="single" w:sz="4" w:space="0" w:color="auto"/>
              <w:right w:val="nil"/>
            </w:tcBorders>
            <w:hideMark/>
          </w:tcPr>
          <w:p w14:paraId="742CF072"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0.625</w:t>
            </w:r>
            <w:r>
              <w:rPr>
                <w:sz w:val="22"/>
                <w:szCs w:val="22"/>
                <w:vertAlign w:val="superscript"/>
              </w:rPr>
              <w:t>*</w:t>
            </w:r>
          </w:p>
        </w:tc>
        <w:tc>
          <w:tcPr>
            <w:tcW w:w="1125" w:type="dxa"/>
            <w:tcBorders>
              <w:top w:val="nil"/>
              <w:left w:val="nil"/>
              <w:bottom w:val="single" w:sz="4" w:space="0" w:color="auto"/>
              <w:right w:val="nil"/>
            </w:tcBorders>
            <w:hideMark/>
          </w:tcPr>
          <w:p w14:paraId="7B11489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(1.68)</w:t>
            </w:r>
          </w:p>
        </w:tc>
        <w:tc>
          <w:tcPr>
            <w:tcW w:w="1125" w:type="dxa"/>
            <w:tcBorders>
              <w:top w:val="nil"/>
              <w:left w:val="nil"/>
              <w:bottom w:val="single" w:sz="4" w:space="0" w:color="auto"/>
              <w:right w:val="nil"/>
            </w:tcBorders>
            <w:hideMark/>
          </w:tcPr>
          <w:p w14:paraId="611B8AF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-2.610</w:t>
            </w:r>
            <w:r>
              <w:rPr>
                <w:sz w:val="22"/>
                <w:szCs w:val="22"/>
                <w:vertAlign w:val="superscript"/>
              </w:rPr>
              <w:t>***</w:t>
            </w:r>
          </w:p>
        </w:tc>
        <w:tc>
          <w:tcPr>
            <w:tcW w:w="1125" w:type="dxa"/>
            <w:tcBorders>
              <w:top w:val="nil"/>
              <w:left w:val="nil"/>
              <w:bottom w:val="single" w:sz="4" w:space="0" w:color="auto"/>
              <w:right w:val="nil"/>
            </w:tcBorders>
            <w:hideMark/>
          </w:tcPr>
          <w:p w14:paraId="78AF477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(-3.99)</w:t>
            </w:r>
          </w:p>
        </w:tc>
        <w:tc>
          <w:tcPr>
            <w:tcW w:w="1125" w:type="dxa"/>
            <w:tcBorders>
              <w:top w:val="nil"/>
              <w:left w:val="nil"/>
              <w:bottom w:val="single" w:sz="4" w:space="0" w:color="auto"/>
              <w:right w:val="nil"/>
            </w:tcBorders>
            <w:hideMark/>
          </w:tcPr>
          <w:p w14:paraId="7756D98E"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-2.238</w:t>
            </w:r>
            <w:r>
              <w:rPr>
                <w:sz w:val="22"/>
                <w:szCs w:val="22"/>
                <w:vertAlign w:val="superscript"/>
              </w:rPr>
              <w:t>**</w:t>
            </w:r>
          </w:p>
        </w:tc>
        <w:tc>
          <w:tcPr>
            <w:tcW w:w="1125" w:type="dxa"/>
            <w:tcBorders>
              <w:top w:val="nil"/>
              <w:left w:val="nil"/>
              <w:bottom w:val="single" w:sz="4" w:space="0" w:color="auto"/>
              <w:right w:val="nil"/>
            </w:tcBorders>
            <w:hideMark/>
          </w:tcPr>
          <w:p w14:paraId="59E517B1"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(-2.06)</w:t>
            </w:r>
          </w:p>
        </w:tc>
      </w:tr>
    </w:tbl>
    <w:p w14:paraId="32FE08C8" w14:textId="77777777" w:rsidR="00407106" w:rsidRDefault="00407106" w:rsidP="00407106">
      <w:pPr>
        <w:keepNext/>
        <w:widowControl w:val="0"/>
        <w:autoSpaceDE w:val="0"/>
        <w:autoSpaceDN w:val="0"/>
        <w:adjustRightInd w:val="0"/>
        <w:spacing w:after="0" w:line="240" w:lineRule="auto"/>
        <w:ind w:firstLine="0"/>
        <w:jc w:val="center"/>
        <w:rPr>
          <w:b/>
        </w:rPr>
      </w:pPr>
    </w:p>
    <w:p w14:paraId="56A3B7A6" w14:textId="77777777" w:rsidR="00407106" w:rsidRDefault="00407106" w:rsidP="00407106">
      <w:pPr>
        <w:spacing w:line="276" w:lineRule="auto"/>
        <w:ind w:firstLine="0"/>
        <w:jc w:val="left"/>
        <w:rPr>
          <w:b/>
        </w:rPr>
      </w:pPr>
      <w:r>
        <w:rPr>
          <w:b/>
        </w:rPr>
        <w:br w:type="page"/>
      </w:r>
    </w:p>
    <w:p w14:paraId="61C930B9" w14:textId="77777777" w:rsidR="00407106" w:rsidRDefault="00407106" w:rsidP="00407106">
      <w:pPr>
        <w:keepNext/>
        <w:widowControl w:val="0"/>
        <w:autoSpaceDE w:val="0"/>
        <w:autoSpaceDN w:val="0"/>
        <w:adjustRightInd w:val="0"/>
        <w:spacing w:after="0" w:line="240" w:lineRule="auto"/>
        <w:ind w:firstLine="0"/>
        <w:jc w:val="center"/>
        <w:rPr>
          <w:b/>
        </w:rPr>
      </w:pPr>
      <w:r>
        <w:rPr>
          <w:b/>
        </w:rPr>
        <w:lastRenderedPageBreak/>
        <w:t xml:space="preserve">TABLE 4 – </w:t>
      </w:r>
      <w:r>
        <w:rPr>
          <w:i/>
        </w:rPr>
        <w:t>Continued</w:t>
      </w:r>
    </w:p>
    <w:p w14:paraId="7E5F05BD" w14:textId="77777777" w:rsidR="00407106" w:rsidRDefault="00407106" w:rsidP="00407106">
      <w:pPr>
        <w:keepNext/>
        <w:widowControl w:val="0"/>
        <w:autoSpaceDE w:val="0"/>
        <w:autoSpaceDN w:val="0"/>
        <w:adjustRightInd w:val="0"/>
        <w:spacing w:after="0" w:line="240" w:lineRule="auto"/>
        <w:ind w:firstLine="0"/>
        <w:jc w:val="center"/>
        <w:rPr>
          <w:i/>
        </w:rPr>
      </w:pPr>
      <w:r>
        <w:rPr>
          <w:i/>
        </w:rPr>
        <w:t xml:space="preserve">Accounting complexity and forecast accuracy &amp; dispersion and value of recommendation revisions </w:t>
      </w:r>
    </w:p>
    <w:tbl>
      <w:tblPr>
        <w:tblW w:w="0" w:type="dxa"/>
        <w:tblLayout w:type="fixed"/>
        <w:tblLook w:val="04A0" w:firstRow="1" w:lastRow="0" w:firstColumn="1" w:lastColumn="0" w:noHBand="0" w:noVBand="1"/>
      </w:tblPr>
      <w:tblGrid>
        <w:gridCol w:w="2610"/>
        <w:gridCol w:w="1125"/>
        <w:gridCol w:w="1125"/>
        <w:gridCol w:w="1125"/>
        <w:gridCol w:w="1125"/>
        <w:gridCol w:w="1125"/>
        <w:gridCol w:w="1125"/>
      </w:tblGrid>
      <w:tr w:rsidR="00407106" w14:paraId="74B0A026" w14:textId="77777777" w:rsidTr="00407106">
        <w:trPr>
          <w:trHeight w:hRule="exact" w:val="360"/>
        </w:trPr>
        <w:tc>
          <w:tcPr>
            <w:tcW w:w="2610" w:type="dxa"/>
            <w:tcBorders>
              <w:top w:val="single" w:sz="4" w:space="0" w:color="auto"/>
              <w:left w:val="nil"/>
              <w:bottom w:val="single" w:sz="4" w:space="0" w:color="auto"/>
              <w:right w:val="nil"/>
            </w:tcBorders>
            <w:vAlign w:val="center"/>
            <w:hideMark/>
          </w:tcPr>
          <w:p w14:paraId="1E6C3061"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2250" w:type="dxa"/>
            <w:gridSpan w:val="2"/>
            <w:tcBorders>
              <w:top w:val="single" w:sz="4" w:space="0" w:color="auto"/>
              <w:left w:val="nil"/>
              <w:bottom w:val="single" w:sz="4" w:space="0" w:color="auto"/>
              <w:right w:val="nil"/>
            </w:tcBorders>
            <w:vAlign w:val="center"/>
            <w:hideMark/>
          </w:tcPr>
          <w:p w14:paraId="3788B183"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ACCURACY</w:t>
            </w:r>
          </w:p>
        </w:tc>
        <w:tc>
          <w:tcPr>
            <w:tcW w:w="2250" w:type="dxa"/>
            <w:gridSpan w:val="2"/>
            <w:tcBorders>
              <w:top w:val="single" w:sz="4" w:space="0" w:color="auto"/>
              <w:left w:val="nil"/>
              <w:bottom w:val="single" w:sz="4" w:space="0" w:color="auto"/>
              <w:right w:val="nil"/>
            </w:tcBorders>
            <w:vAlign w:val="center"/>
            <w:hideMark/>
          </w:tcPr>
          <w:p w14:paraId="120EB1E1"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FORDISP</w:t>
            </w:r>
          </w:p>
        </w:tc>
        <w:tc>
          <w:tcPr>
            <w:tcW w:w="2250" w:type="dxa"/>
            <w:gridSpan w:val="2"/>
            <w:tcBorders>
              <w:top w:val="single" w:sz="4" w:space="0" w:color="auto"/>
              <w:left w:val="nil"/>
              <w:bottom w:val="single" w:sz="4" w:space="0" w:color="auto"/>
              <w:right w:val="nil"/>
            </w:tcBorders>
            <w:vAlign w:val="center"/>
            <w:hideMark/>
          </w:tcPr>
          <w:p w14:paraId="58CABC8F"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RECVAL</w:t>
            </w:r>
          </w:p>
        </w:tc>
      </w:tr>
      <w:tr w:rsidR="00407106" w14:paraId="7BDE8ED9" w14:textId="77777777" w:rsidTr="00407106">
        <w:trPr>
          <w:trHeight w:hRule="exact" w:val="360"/>
        </w:trPr>
        <w:tc>
          <w:tcPr>
            <w:tcW w:w="2610" w:type="dxa"/>
            <w:tcBorders>
              <w:top w:val="single" w:sz="4" w:space="0" w:color="auto"/>
              <w:left w:val="nil"/>
              <w:bottom w:val="single" w:sz="4" w:space="0" w:color="auto"/>
              <w:right w:val="nil"/>
            </w:tcBorders>
            <w:vAlign w:val="center"/>
          </w:tcPr>
          <w:p w14:paraId="36FCC8B7" w14:textId="77777777" w:rsidR="00407106" w:rsidRDefault="00407106">
            <w:pPr>
              <w:widowControl w:val="0"/>
              <w:autoSpaceDE w:val="0"/>
              <w:autoSpaceDN w:val="0"/>
              <w:adjustRightInd w:val="0"/>
              <w:spacing w:after="0" w:line="240" w:lineRule="auto"/>
              <w:ind w:firstLine="0"/>
              <w:jc w:val="left"/>
              <w:rPr>
                <w:sz w:val="22"/>
                <w:szCs w:val="22"/>
              </w:rPr>
            </w:pPr>
          </w:p>
        </w:tc>
        <w:tc>
          <w:tcPr>
            <w:tcW w:w="2250" w:type="dxa"/>
            <w:gridSpan w:val="2"/>
            <w:tcBorders>
              <w:top w:val="single" w:sz="4" w:space="0" w:color="auto"/>
              <w:left w:val="nil"/>
              <w:bottom w:val="single" w:sz="4" w:space="0" w:color="auto"/>
              <w:right w:val="nil"/>
            </w:tcBorders>
            <w:vAlign w:val="center"/>
            <w:hideMark/>
          </w:tcPr>
          <w:p w14:paraId="1AACF88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2250" w:type="dxa"/>
            <w:gridSpan w:val="2"/>
            <w:tcBorders>
              <w:top w:val="single" w:sz="4" w:space="0" w:color="auto"/>
              <w:left w:val="nil"/>
              <w:bottom w:val="single" w:sz="4" w:space="0" w:color="auto"/>
              <w:right w:val="nil"/>
            </w:tcBorders>
            <w:vAlign w:val="center"/>
            <w:hideMark/>
          </w:tcPr>
          <w:p w14:paraId="78C67FD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2250" w:type="dxa"/>
            <w:gridSpan w:val="2"/>
            <w:tcBorders>
              <w:top w:val="single" w:sz="4" w:space="0" w:color="auto"/>
              <w:left w:val="nil"/>
              <w:bottom w:val="single" w:sz="4" w:space="0" w:color="auto"/>
              <w:right w:val="nil"/>
            </w:tcBorders>
            <w:vAlign w:val="center"/>
            <w:hideMark/>
          </w:tcPr>
          <w:p w14:paraId="7224766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r>
      <w:tr w:rsidR="00407106" w14:paraId="767EC139" w14:textId="77777777" w:rsidTr="00407106">
        <w:tc>
          <w:tcPr>
            <w:tcW w:w="2610" w:type="dxa"/>
            <w:hideMark/>
          </w:tcPr>
          <w:p w14:paraId="241B27C6"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Complexity:</w:t>
            </w:r>
          </w:p>
        </w:tc>
        <w:tc>
          <w:tcPr>
            <w:tcW w:w="1125" w:type="dxa"/>
          </w:tcPr>
          <w:p w14:paraId="40D1A40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458E9D3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0B327724"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2A1154F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75F5DDC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744AD94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r>
      <w:tr w:rsidR="00407106" w14:paraId="6E47AA4A" w14:textId="77777777" w:rsidTr="00407106">
        <w:tc>
          <w:tcPr>
            <w:tcW w:w="2610" w:type="dxa"/>
            <w:hideMark/>
          </w:tcPr>
          <w:p w14:paraId="77C7A3B6"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FOROPS</w:t>
            </w:r>
          </w:p>
        </w:tc>
        <w:tc>
          <w:tcPr>
            <w:tcW w:w="1125" w:type="dxa"/>
            <w:hideMark/>
          </w:tcPr>
          <w:p w14:paraId="40E06EA2"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0.099</w:t>
            </w:r>
            <w:r>
              <w:rPr>
                <w:sz w:val="22"/>
                <w:szCs w:val="22"/>
                <w:vertAlign w:val="superscript"/>
              </w:rPr>
              <w:t>**</w:t>
            </w:r>
          </w:p>
        </w:tc>
        <w:tc>
          <w:tcPr>
            <w:tcW w:w="1125" w:type="dxa"/>
            <w:hideMark/>
          </w:tcPr>
          <w:p w14:paraId="7D011DE1"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(2.20)</w:t>
            </w:r>
          </w:p>
        </w:tc>
        <w:tc>
          <w:tcPr>
            <w:tcW w:w="1125" w:type="dxa"/>
            <w:hideMark/>
          </w:tcPr>
          <w:p w14:paraId="2EE4498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-0.117</w:t>
            </w:r>
            <w:r>
              <w:rPr>
                <w:sz w:val="22"/>
                <w:szCs w:val="22"/>
                <w:vertAlign w:val="superscript"/>
              </w:rPr>
              <w:t>*</w:t>
            </w:r>
          </w:p>
        </w:tc>
        <w:tc>
          <w:tcPr>
            <w:tcW w:w="1125" w:type="dxa"/>
            <w:hideMark/>
          </w:tcPr>
          <w:p w14:paraId="06E6C081"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(-1.66)</w:t>
            </w:r>
          </w:p>
        </w:tc>
        <w:tc>
          <w:tcPr>
            <w:tcW w:w="1125" w:type="dxa"/>
            <w:hideMark/>
          </w:tcPr>
          <w:p w14:paraId="5D73C84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-0.111</w:t>
            </w:r>
          </w:p>
        </w:tc>
        <w:tc>
          <w:tcPr>
            <w:tcW w:w="1125" w:type="dxa"/>
            <w:hideMark/>
          </w:tcPr>
          <w:p w14:paraId="3DD6A36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(-0.83)</w:t>
            </w:r>
          </w:p>
        </w:tc>
      </w:tr>
      <w:tr w:rsidR="00407106" w14:paraId="10D472AD" w14:textId="77777777" w:rsidTr="00407106">
        <w:tc>
          <w:tcPr>
            <w:tcW w:w="2610" w:type="dxa"/>
            <w:hideMark/>
          </w:tcPr>
          <w:p w14:paraId="4E5CCD19"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LOGSGMT</w:t>
            </w:r>
          </w:p>
        </w:tc>
        <w:tc>
          <w:tcPr>
            <w:tcW w:w="1125" w:type="dxa"/>
            <w:hideMark/>
          </w:tcPr>
          <w:p w14:paraId="5935076E"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-0.042</w:t>
            </w:r>
          </w:p>
        </w:tc>
        <w:tc>
          <w:tcPr>
            <w:tcW w:w="1125" w:type="dxa"/>
            <w:hideMark/>
          </w:tcPr>
          <w:p w14:paraId="626AEE8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(-1.13)</w:t>
            </w:r>
          </w:p>
        </w:tc>
        <w:tc>
          <w:tcPr>
            <w:tcW w:w="1125" w:type="dxa"/>
            <w:hideMark/>
          </w:tcPr>
          <w:p w14:paraId="3B4CF27A"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0.083</w:t>
            </w:r>
          </w:p>
        </w:tc>
        <w:tc>
          <w:tcPr>
            <w:tcW w:w="1125" w:type="dxa"/>
            <w:hideMark/>
          </w:tcPr>
          <w:p w14:paraId="11FF18D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(1.53)</w:t>
            </w:r>
          </w:p>
        </w:tc>
        <w:tc>
          <w:tcPr>
            <w:tcW w:w="1125" w:type="dxa"/>
            <w:hideMark/>
          </w:tcPr>
          <w:p w14:paraId="02681CB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-0.084</w:t>
            </w:r>
          </w:p>
        </w:tc>
        <w:tc>
          <w:tcPr>
            <w:tcW w:w="1125" w:type="dxa"/>
            <w:hideMark/>
          </w:tcPr>
          <w:p w14:paraId="6F22459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(-0.99)</w:t>
            </w:r>
          </w:p>
        </w:tc>
      </w:tr>
      <w:tr w:rsidR="00407106" w14:paraId="330F5E4A" w14:textId="77777777" w:rsidTr="00407106">
        <w:tc>
          <w:tcPr>
            <w:tcW w:w="2610" w:type="dxa"/>
            <w:hideMark/>
          </w:tcPr>
          <w:p w14:paraId="413FFF89"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EARNVOL</w:t>
            </w:r>
          </w:p>
        </w:tc>
        <w:tc>
          <w:tcPr>
            <w:tcW w:w="1125" w:type="dxa"/>
            <w:hideMark/>
          </w:tcPr>
          <w:p w14:paraId="4F3AF672"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0.005</w:t>
            </w:r>
          </w:p>
        </w:tc>
        <w:tc>
          <w:tcPr>
            <w:tcW w:w="1125" w:type="dxa"/>
            <w:hideMark/>
          </w:tcPr>
          <w:p w14:paraId="240D5ECA"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(1.10)</w:t>
            </w:r>
          </w:p>
        </w:tc>
        <w:tc>
          <w:tcPr>
            <w:tcW w:w="1125" w:type="dxa"/>
            <w:hideMark/>
          </w:tcPr>
          <w:p w14:paraId="2FFA2A0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0.033</w:t>
            </w:r>
            <w:r>
              <w:rPr>
                <w:sz w:val="22"/>
                <w:szCs w:val="22"/>
                <w:vertAlign w:val="superscript"/>
              </w:rPr>
              <w:t>***</w:t>
            </w:r>
          </w:p>
        </w:tc>
        <w:tc>
          <w:tcPr>
            <w:tcW w:w="1125" w:type="dxa"/>
            <w:hideMark/>
          </w:tcPr>
          <w:p w14:paraId="2B2AFC5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(4.05)</w:t>
            </w:r>
          </w:p>
        </w:tc>
        <w:tc>
          <w:tcPr>
            <w:tcW w:w="1125" w:type="dxa"/>
            <w:hideMark/>
          </w:tcPr>
          <w:p w14:paraId="2B1ED552"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-0.001</w:t>
            </w:r>
          </w:p>
        </w:tc>
        <w:tc>
          <w:tcPr>
            <w:tcW w:w="1125" w:type="dxa"/>
            <w:hideMark/>
          </w:tcPr>
          <w:p w14:paraId="58EA641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(-0.13)</w:t>
            </w:r>
          </w:p>
        </w:tc>
      </w:tr>
      <w:tr w:rsidR="00407106" w14:paraId="22378EC7" w14:textId="77777777" w:rsidTr="00407106">
        <w:tc>
          <w:tcPr>
            <w:tcW w:w="2610" w:type="dxa"/>
            <w:hideMark/>
          </w:tcPr>
          <w:p w14:paraId="6FA107BC"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FOG10K</w:t>
            </w:r>
          </w:p>
        </w:tc>
        <w:tc>
          <w:tcPr>
            <w:tcW w:w="1125" w:type="dxa"/>
            <w:hideMark/>
          </w:tcPr>
          <w:p w14:paraId="0FB2A2B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-0.014</w:t>
            </w:r>
          </w:p>
        </w:tc>
        <w:tc>
          <w:tcPr>
            <w:tcW w:w="1125" w:type="dxa"/>
            <w:hideMark/>
          </w:tcPr>
          <w:p w14:paraId="531A3F25"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(-0.72)</w:t>
            </w:r>
          </w:p>
        </w:tc>
        <w:tc>
          <w:tcPr>
            <w:tcW w:w="1125" w:type="dxa"/>
            <w:hideMark/>
          </w:tcPr>
          <w:p w14:paraId="30F54C6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0.046</w:t>
            </w:r>
          </w:p>
        </w:tc>
        <w:tc>
          <w:tcPr>
            <w:tcW w:w="1125" w:type="dxa"/>
            <w:hideMark/>
          </w:tcPr>
          <w:p w14:paraId="4D80DCB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(1.52)</w:t>
            </w:r>
          </w:p>
        </w:tc>
        <w:tc>
          <w:tcPr>
            <w:tcW w:w="1125" w:type="dxa"/>
            <w:hideMark/>
          </w:tcPr>
          <w:p w14:paraId="63A03564"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-0.018</w:t>
            </w:r>
          </w:p>
        </w:tc>
        <w:tc>
          <w:tcPr>
            <w:tcW w:w="1125" w:type="dxa"/>
            <w:hideMark/>
          </w:tcPr>
          <w:p w14:paraId="142D202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(-0.36)</w:t>
            </w:r>
          </w:p>
        </w:tc>
      </w:tr>
      <w:tr w:rsidR="00407106" w14:paraId="0F0505B9" w14:textId="77777777" w:rsidTr="00407106">
        <w:tc>
          <w:tcPr>
            <w:tcW w:w="2610" w:type="dxa"/>
            <w:hideMark/>
          </w:tcPr>
          <w:p w14:paraId="486D1F84"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LOGWORDS</w:t>
            </w:r>
          </w:p>
        </w:tc>
        <w:tc>
          <w:tcPr>
            <w:tcW w:w="1125" w:type="dxa"/>
            <w:hideMark/>
          </w:tcPr>
          <w:p w14:paraId="1D5EDFC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-0.157</w:t>
            </w:r>
            <w:r>
              <w:rPr>
                <w:sz w:val="22"/>
                <w:szCs w:val="22"/>
                <w:vertAlign w:val="superscript"/>
              </w:rPr>
              <w:t>*</w:t>
            </w:r>
          </w:p>
        </w:tc>
        <w:tc>
          <w:tcPr>
            <w:tcW w:w="1125" w:type="dxa"/>
            <w:hideMark/>
          </w:tcPr>
          <w:p w14:paraId="5BBB7A15"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(-1.92)</w:t>
            </w:r>
          </w:p>
        </w:tc>
        <w:tc>
          <w:tcPr>
            <w:tcW w:w="1125" w:type="dxa"/>
            <w:hideMark/>
          </w:tcPr>
          <w:p w14:paraId="4247589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0.113</w:t>
            </w:r>
          </w:p>
        </w:tc>
        <w:tc>
          <w:tcPr>
            <w:tcW w:w="1125" w:type="dxa"/>
            <w:hideMark/>
          </w:tcPr>
          <w:p w14:paraId="461E4DF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(0.86)</w:t>
            </w:r>
          </w:p>
        </w:tc>
        <w:tc>
          <w:tcPr>
            <w:tcW w:w="1125" w:type="dxa"/>
            <w:hideMark/>
          </w:tcPr>
          <w:p w14:paraId="13A267B5"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0.394</w:t>
            </w:r>
            <w:r>
              <w:rPr>
                <w:sz w:val="22"/>
                <w:szCs w:val="22"/>
                <w:vertAlign w:val="superscript"/>
              </w:rPr>
              <w:t>**</w:t>
            </w:r>
          </w:p>
        </w:tc>
        <w:tc>
          <w:tcPr>
            <w:tcW w:w="1125" w:type="dxa"/>
            <w:hideMark/>
          </w:tcPr>
          <w:p w14:paraId="58715635"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(2.13)</w:t>
            </w:r>
          </w:p>
        </w:tc>
      </w:tr>
      <w:tr w:rsidR="00407106" w14:paraId="68E557B0" w14:textId="77777777" w:rsidTr="00407106">
        <w:tc>
          <w:tcPr>
            <w:tcW w:w="2610" w:type="dxa"/>
          </w:tcPr>
          <w:p w14:paraId="4EB95536" w14:textId="77777777" w:rsidR="00407106" w:rsidRDefault="00407106">
            <w:pPr>
              <w:widowControl w:val="0"/>
              <w:autoSpaceDE w:val="0"/>
              <w:autoSpaceDN w:val="0"/>
              <w:adjustRightInd w:val="0"/>
              <w:spacing w:after="0" w:line="240" w:lineRule="auto"/>
              <w:ind w:firstLine="0"/>
              <w:rPr>
                <w:i/>
                <w:sz w:val="22"/>
                <w:szCs w:val="22"/>
              </w:rPr>
            </w:pPr>
          </w:p>
        </w:tc>
        <w:tc>
          <w:tcPr>
            <w:tcW w:w="1125" w:type="dxa"/>
          </w:tcPr>
          <w:p w14:paraId="3706CBA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1ABF0FF2"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2ED387B0"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04093D70"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7186A4A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5566EED5"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r>
      <w:tr w:rsidR="00407106" w14:paraId="58895DD1" w14:textId="77777777" w:rsidTr="00407106">
        <w:tc>
          <w:tcPr>
            <w:tcW w:w="2610" w:type="dxa"/>
            <w:hideMark/>
          </w:tcPr>
          <w:p w14:paraId="4161F3DF"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Uncertainty:</w:t>
            </w:r>
          </w:p>
        </w:tc>
        <w:tc>
          <w:tcPr>
            <w:tcW w:w="1125" w:type="dxa"/>
          </w:tcPr>
          <w:p w14:paraId="65D5924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4D5A30B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180CDFA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40EC384C"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41388B69"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c>
          <w:tcPr>
            <w:tcW w:w="1125" w:type="dxa"/>
          </w:tcPr>
          <w:p w14:paraId="3148FFC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p>
        </w:tc>
      </w:tr>
      <w:tr w:rsidR="00407106" w14:paraId="3F1C292F" w14:textId="77777777" w:rsidTr="00407106">
        <w:tc>
          <w:tcPr>
            <w:tcW w:w="2610" w:type="dxa"/>
            <w:hideMark/>
          </w:tcPr>
          <w:p w14:paraId="28E103AD"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STDRET</w:t>
            </w:r>
          </w:p>
        </w:tc>
        <w:tc>
          <w:tcPr>
            <w:tcW w:w="1125" w:type="dxa"/>
            <w:hideMark/>
          </w:tcPr>
          <w:p w14:paraId="5B56DB23"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-0.242</w:t>
            </w:r>
            <w:r>
              <w:rPr>
                <w:sz w:val="22"/>
                <w:szCs w:val="22"/>
                <w:vertAlign w:val="superscript"/>
              </w:rPr>
              <w:t>***</w:t>
            </w:r>
          </w:p>
        </w:tc>
        <w:tc>
          <w:tcPr>
            <w:tcW w:w="1125" w:type="dxa"/>
            <w:hideMark/>
          </w:tcPr>
          <w:p w14:paraId="2E21BF02"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(-4.19)</w:t>
            </w:r>
          </w:p>
        </w:tc>
        <w:tc>
          <w:tcPr>
            <w:tcW w:w="1125" w:type="dxa"/>
            <w:hideMark/>
          </w:tcPr>
          <w:p w14:paraId="5FA97BC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0.596</w:t>
            </w:r>
            <w:r>
              <w:rPr>
                <w:sz w:val="22"/>
                <w:szCs w:val="22"/>
                <w:vertAlign w:val="superscript"/>
              </w:rPr>
              <w:t>***</w:t>
            </w:r>
          </w:p>
        </w:tc>
        <w:tc>
          <w:tcPr>
            <w:tcW w:w="1125" w:type="dxa"/>
            <w:hideMark/>
          </w:tcPr>
          <w:p w14:paraId="03FE692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(6.53)</w:t>
            </w:r>
          </w:p>
        </w:tc>
        <w:tc>
          <w:tcPr>
            <w:tcW w:w="1125" w:type="dxa"/>
            <w:hideMark/>
          </w:tcPr>
          <w:p w14:paraId="521480D7"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1.906</w:t>
            </w:r>
            <w:r>
              <w:rPr>
                <w:sz w:val="22"/>
                <w:szCs w:val="22"/>
                <w:vertAlign w:val="superscript"/>
              </w:rPr>
              <w:t>***</w:t>
            </w:r>
          </w:p>
        </w:tc>
        <w:tc>
          <w:tcPr>
            <w:tcW w:w="1125" w:type="dxa"/>
            <w:hideMark/>
          </w:tcPr>
          <w:p w14:paraId="779F8E1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(10.58)</w:t>
            </w:r>
          </w:p>
        </w:tc>
      </w:tr>
      <w:tr w:rsidR="00407106" w14:paraId="3814B6D9" w14:textId="77777777" w:rsidTr="00407106">
        <w:tc>
          <w:tcPr>
            <w:tcW w:w="2610" w:type="dxa"/>
            <w:hideMark/>
          </w:tcPr>
          <w:p w14:paraId="3664B589"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LOSS</w:t>
            </w:r>
          </w:p>
        </w:tc>
        <w:tc>
          <w:tcPr>
            <w:tcW w:w="1125" w:type="dxa"/>
            <w:hideMark/>
          </w:tcPr>
          <w:p w14:paraId="50950AD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-0.867</w:t>
            </w:r>
            <w:r>
              <w:rPr>
                <w:sz w:val="22"/>
                <w:szCs w:val="22"/>
                <w:vertAlign w:val="superscript"/>
              </w:rPr>
              <w:t>***</w:t>
            </w:r>
          </w:p>
        </w:tc>
        <w:tc>
          <w:tcPr>
            <w:tcW w:w="1125" w:type="dxa"/>
            <w:hideMark/>
          </w:tcPr>
          <w:p w14:paraId="00CE5558"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(-8.79)</w:t>
            </w:r>
          </w:p>
        </w:tc>
        <w:tc>
          <w:tcPr>
            <w:tcW w:w="1125" w:type="dxa"/>
            <w:hideMark/>
          </w:tcPr>
          <w:p w14:paraId="06ACC60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1.203</w:t>
            </w:r>
            <w:r>
              <w:rPr>
                <w:sz w:val="22"/>
                <w:szCs w:val="22"/>
                <w:vertAlign w:val="superscript"/>
              </w:rPr>
              <w:t>***</w:t>
            </w:r>
          </w:p>
        </w:tc>
        <w:tc>
          <w:tcPr>
            <w:tcW w:w="1125" w:type="dxa"/>
            <w:hideMark/>
          </w:tcPr>
          <w:p w14:paraId="2D35785F"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(8.45)</w:t>
            </w:r>
          </w:p>
        </w:tc>
        <w:tc>
          <w:tcPr>
            <w:tcW w:w="1125" w:type="dxa"/>
            <w:hideMark/>
          </w:tcPr>
          <w:p w14:paraId="7757AF96"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0.137</w:t>
            </w:r>
          </w:p>
        </w:tc>
        <w:tc>
          <w:tcPr>
            <w:tcW w:w="1125" w:type="dxa"/>
            <w:hideMark/>
          </w:tcPr>
          <w:p w14:paraId="79F7F23B" w14:textId="77777777" w:rsidR="00407106" w:rsidRDefault="00407106">
            <w:pPr>
              <w:widowControl w:val="0"/>
              <w:tabs>
                <w:tab w:val="decimal" w:pos="360"/>
              </w:tabs>
              <w:autoSpaceDE w:val="0"/>
              <w:autoSpaceDN w:val="0"/>
              <w:adjustRightInd w:val="0"/>
              <w:spacing w:after="0" w:line="240" w:lineRule="auto"/>
              <w:ind w:firstLine="0"/>
              <w:jc w:val="left"/>
              <w:rPr>
                <w:sz w:val="22"/>
                <w:szCs w:val="22"/>
              </w:rPr>
            </w:pPr>
            <w:r>
              <w:rPr>
                <w:sz w:val="22"/>
                <w:szCs w:val="22"/>
              </w:rPr>
              <w:t>(0.50)</w:t>
            </w:r>
          </w:p>
        </w:tc>
      </w:tr>
      <w:tr w:rsidR="00407106" w14:paraId="5BF37DF8" w14:textId="77777777" w:rsidTr="00407106">
        <w:tc>
          <w:tcPr>
            <w:tcW w:w="2610" w:type="dxa"/>
          </w:tcPr>
          <w:p w14:paraId="0DB76E97" w14:textId="77777777" w:rsidR="00407106" w:rsidRDefault="00407106">
            <w:pPr>
              <w:widowControl w:val="0"/>
              <w:autoSpaceDE w:val="0"/>
              <w:autoSpaceDN w:val="0"/>
              <w:adjustRightInd w:val="0"/>
              <w:spacing w:after="0" w:line="240" w:lineRule="auto"/>
              <w:ind w:firstLine="0"/>
              <w:rPr>
                <w:sz w:val="22"/>
                <w:szCs w:val="22"/>
              </w:rPr>
            </w:pPr>
          </w:p>
        </w:tc>
        <w:tc>
          <w:tcPr>
            <w:tcW w:w="1125" w:type="dxa"/>
          </w:tcPr>
          <w:p w14:paraId="511A3C78"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Pr>
          <w:p w14:paraId="768EA879"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Pr>
          <w:p w14:paraId="59E224D7"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Pr>
          <w:p w14:paraId="53AC21BF"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Pr>
          <w:p w14:paraId="0D978DD5"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Pr>
          <w:p w14:paraId="0A28D802"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9A01B4E" w14:textId="77777777" w:rsidTr="00407106">
        <w:tc>
          <w:tcPr>
            <w:tcW w:w="2610" w:type="dxa"/>
            <w:tcBorders>
              <w:top w:val="nil"/>
              <w:left w:val="nil"/>
              <w:bottom w:val="single" w:sz="4" w:space="0" w:color="auto"/>
              <w:right w:val="nil"/>
            </w:tcBorders>
            <w:hideMark/>
          </w:tcPr>
          <w:p w14:paraId="27348A9B" w14:textId="77777777" w:rsidR="00407106" w:rsidRDefault="00407106">
            <w:pPr>
              <w:widowControl w:val="0"/>
              <w:autoSpaceDE w:val="0"/>
              <w:autoSpaceDN w:val="0"/>
              <w:adjustRightInd w:val="0"/>
              <w:spacing w:after="0" w:line="240" w:lineRule="auto"/>
              <w:ind w:firstLine="0"/>
              <w:rPr>
                <w:sz w:val="22"/>
                <w:szCs w:val="22"/>
              </w:rPr>
            </w:pPr>
            <w:r>
              <w:rPr>
                <w:sz w:val="22"/>
                <w:szCs w:val="22"/>
              </w:rPr>
              <w:t xml:space="preserve">Industry &amp; Year Dummies </w:t>
            </w:r>
          </w:p>
        </w:tc>
        <w:tc>
          <w:tcPr>
            <w:tcW w:w="1125" w:type="dxa"/>
            <w:tcBorders>
              <w:top w:val="nil"/>
              <w:left w:val="nil"/>
              <w:bottom w:val="single" w:sz="4" w:space="0" w:color="auto"/>
              <w:right w:val="nil"/>
            </w:tcBorders>
            <w:hideMark/>
          </w:tcPr>
          <w:p w14:paraId="25B62B4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125" w:type="dxa"/>
            <w:tcBorders>
              <w:top w:val="nil"/>
              <w:left w:val="nil"/>
              <w:bottom w:val="single" w:sz="4" w:space="0" w:color="auto"/>
              <w:right w:val="nil"/>
            </w:tcBorders>
          </w:tcPr>
          <w:p w14:paraId="58A7543A"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nil"/>
              <w:left w:val="nil"/>
              <w:bottom w:val="single" w:sz="4" w:space="0" w:color="auto"/>
              <w:right w:val="nil"/>
            </w:tcBorders>
            <w:hideMark/>
          </w:tcPr>
          <w:p w14:paraId="2657249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125" w:type="dxa"/>
            <w:tcBorders>
              <w:top w:val="nil"/>
              <w:left w:val="nil"/>
              <w:bottom w:val="single" w:sz="4" w:space="0" w:color="auto"/>
              <w:right w:val="nil"/>
            </w:tcBorders>
          </w:tcPr>
          <w:p w14:paraId="78228CF0"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nil"/>
              <w:left w:val="nil"/>
              <w:bottom w:val="single" w:sz="4" w:space="0" w:color="auto"/>
              <w:right w:val="nil"/>
            </w:tcBorders>
            <w:hideMark/>
          </w:tcPr>
          <w:p w14:paraId="6085D13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125" w:type="dxa"/>
            <w:tcBorders>
              <w:top w:val="nil"/>
              <w:left w:val="nil"/>
              <w:bottom w:val="single" w:sz="4" w:space="0" w:color="auto"/>
              <w:right w:val="nil"/>
            </w:tcBorders>
          </w:tcPr>
          <w:p w14:paraId="08B818E7"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46547912" w14:textId="77777777" w:rsidTr="00407106">
        <w:tc>
          <w:tcPr>
            <w:tcW w:w="2610" w:type="dxa"/>
            <w:tcBorders>
              <w:top w:val="single" w:sz="4" w:space="0" w:color="auto"/>
              <w:left w:val="nil"/>
              <w:bottom w:val="nil"/>
              <w:right w:val="nil"/>
            </w:tcBorders>
            <w:hideMark/>
          </w:tcPr>
          <w:p w14:paraId="2E443A75" w14:textId="77777777" w:rsidR="00407106" w:rsidRDefault="00407106">
            <w:pPr>
              <w:widowControl w:val="0"/>
              <w:autoSpaceDE w:val="0"/>
              <w:autoSpaceDN w:val="0"/>
              <w:adjustRightInd w:val="0"/>
              <w:spacing w:after="0" w:line="240" w:lineRule="auto"/>
              <w:ind w:firstLine="0"/>
              <w:rPr>
                <w:sz w:val="22"/>
                <w:szCs w:val="22"/>
              </w:rPr>
            </w:pPr>
            <w:r>
              <w:rPr>
                <w:i/>
                <w:iCs/>
                <w:sz w:val="22"/>
                <w:szCs w:val="22"/>
              </w:rPr>
              <w:t>N</w:t>
            </w:r>
          </w:p>
        </w:tc>
        <w:tc>
          <w:tcPr>
            <w:tcW w:w="1125" w:type="dxa"/>
            <w:tcBorders>
              <w:top w:val="single" w:sz="4" w:space="0" w:color="auto"/>
              <w:left w:val="nil"/>
              <w:bottom w:val="nil"/>
              <w:right w:val="nil"/>
            </w:tcBorders>
            <w:hideMark/>
          </w:tcPr>
          <w:p w14:paraId="0A835A0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8,361</w:t>
            </w:r>
          </w:p>
        </w:tc>
        <w:tc>
          <w:tcPr>
            <w:tcW w:w="1125" w:type="dxa"/>
            <w:tcBorders>
              <w:top w:val="single" w:sz="4" w:space="0" w:color="auto"/>
              <w:left w:val="nil"/>
              <w:bottom w:val="nil"/>
              <w:right w:val="nil"/>
            </w:tcBorders>
          </w:tcPr>
          <w:p w14:paraId="6C223308"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single" w:sz="4" w:space="0" w:color="auto"/>
              <w:left w:val="nil"/>
              <w:bottom w:val="nil"/>
              <w:right w:val="nil"/>
            </w:tcBorders>
            <w:hideMark/>
          </w:tcPr>
          <w:p w14:paraId="770CAE5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8,361</w:t>
            </w:r>
          </w:p>
        </w:tc>
        <w:tc>
          <w:tcPr>
            <w:tcW w:w="1125" w:type="dxa"/>
            <w:tcBorders>
              <w:top w:val="single" w:sz="4" w:space="0" w:color="auto"/>
              <w:left w:val="nil"/>
              <w:bottom w:val="nil"/>
              <w:right w:val="nil"/>
            </w:tcBorders>
          </w:tcPr>
          <w:p w14:paraId="3C894A4C"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single" w:sz="4" w:space="0" w:color="auto"/>
              <w:left w:val="nil"/>
              <w:bottom w:val="nil"/>
              <w:right w:val="nil"/>
            </w:tcBorders>
            <w:hideMark/>
          </w:tcPr>
          <w:p w14:paraId="79F427D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6,417</w:t>
            </w:r>
          </w:p>
        </w:tc>
        <w:tc>
          <w:tcPr>
            <w:tcW w:w="1125" w:type="dxa"/>
            <w:tcBorders>
              <w:top w:val="single" w:sz="4" w:space="0" w:color="auto"/>
              <w:left w:val="nil"/>
              <w:bottom w:val="nil"/>
              <w:right w:val="nil"/>
            </w:tcBorders>
          </w:tcPr>
          <w:p w14:paraId="26A941F7"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417164A" w14:textId="77777777" w:rsidTr="00407106">
        <w:tc>
          <w:tcPr>
            <w:tcW w:w="2610" w:type="dxa"/>
            <w:hideMark/>
          </w:tcPr>
          <w:p w14:paraId="31B5874C" w14:textId="77777777" w:rsidR="00407106" w:rsidRDefault="00407106">
            <w:pPr>
              <w:widowControl w:val="0"/>
              <w:autoSpaceDE w:val="0"/>
              <w:autoSpaceDN w:val="0"/>
              <w:adjustRightInd w:val="0"/>
              <w:spacing w:after="0" w:line="240" w:lineRule="auto"/>
              <w:ind w:firstLine="0"/>
              <w:rPr>
                <w:sz w:val="22"/>
                <w:szCs w:val="22"/>
              </w:rPr>
            </w:pPr>
            <w:r>
              <w:rPr>
                <w:sz w:val="22"/>
                <w:szCs w:val="22"/>
              </w:rPr>
              <w:t>R-square</w:t>
            </w:r>
          </w:p>
        </w:tc>
        <w:tc>
          <w:tcPr>
            <w:tcW w:w="1125" w:type="dxa"/>
            <w:hideMark/>
          </w:tcPr>
          <w:p w14:paraId="1C144DB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0.185</w:t>
            </w:r>
          </w:p>
        </w:tc>
        <w:tc>
          <w:tcPr>
            <w:tcW w:w="1125" w:type="dxa"/>
          </w:tcPr>
          <w:p w14:paraId="51F56C65"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hideMark/>
          </w:tcPr>
          <w:p w14:paraId="4F4C4A8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0.318</w:t>
            </w:r>
          </w:p>
        </w:tc>
        <w:tc>
          <w:tcPr>
            <w:tcW w:w="1125" w:type="dxa"/>
          </w:tcPr>
          <w:p w14:paraId="3CD36C0A"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hideMark/>
          </w:tcPr>
          <w:p w14:paraId="15E49D6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0.225</w:t>
            </w:r>
          </w:p>
        </w:tc>
        <w:tc>
          <w:tcPr>
            <w:tcW w:w="1125" w:type="dxa"/>
          </w:tcPr>
          <w:p w14:paraId="7E77C6EB"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D11D390" w14:textId="77777777" w:rsidTr="00407106">
        <w:tc>
          <w:tcPr>
            <w:tcW w:w="2610" w:type="dxa"/>
            <w:tcBorders>
              <w:top w:val="nil"/>
              <w:left w:val="nil"/>
              <w:bottom w:val="single" w:sz="4" w:space="0" w:color="auto"/>
              <w:right w:val="nil"/>
            </w:tcBorders>
            <w:hideMark/>
          </w:tcPr>
          <w:p w14:paraId="14BEE489" w14:textId="77777777" w:rsidR="00407106" w:rsidRDefault="00407106">
            <w:pPr>
              <w:widowControl w:val="0"/>
              <w:autoSpaceDE w:val="0"/>
              <w:autoSpaceDN w:val="0"/>
              <w:adjustRightInd w:val="0"/>
              <w:spacing w:after="0" w:line="240" w:lineRule="auto"/>
              <w:ind w:firstLine="0"/>
              <w:rPr>
                <w:sz w:val="22"/>
                <w:szCs w:val="22"/>
              </w:rPr>
            </w:pPr>
            <w:r>
              <w:rPr>
                <w:sz w:val="22"/>
                <w:szCs w:val="22"/>
              </w:rPr>
              <w:t>Adj. R-square</w:t>
            </w:r>
          </w:p>
        </w:tc>
        <w:tc>
          <w:tcPr>
            <w:tcW w:w="1125" w:type="dxa"/>
            <w:tcBorders>
              <w:top w:val="nil"/>
              <w:left w:val="nil"/>
              <w:bottom w:val="single" w:sz="4" w:space="0" w:color="auto"/>
              <w:right w:val="nil"/>
            </w:tcBorders>
            <w:hideMark/>
          </w:tcPr>
          <w:p w14:paraId="7A52127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0.182</w:t>
            </w:r>
          </w:p>
        </w:tc>
        <w:tc>
          <w:tcPr>
            <w:tcW w:w="1125" w:type="dxa"/>
            <w:tcBorders>
              <w:top w:val="nil"/>
              <w:left w:val="nil"/>
              <w:bottom w:val="single" w:sz="4" w:space="0" w:color="auto"/>
              <w:right w:val="nil"/>
            </w:tcBorders>
          </w:tcPr>
          <w:p w14:paraId="399B5000"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nil"/>
              <w:left w:val="nil"/>
              <w:bottom w:val="single" w:sz="4" w:space="0" w:color="auto"/>
              <w:right w:val="nil"/>
            </w:tcBorders>
            <w:hideMark/>
          </w:tcPr>
          <w:p w14:paraId="1658D1B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0.315</w:t>
            </w:r>
          </w:p>
        </w:tc>
        <w:tc>
          <w:tcPr>
            <w:tcW w:w="1125" w:type="dxa"/>
            <w:tcBorders>
              <w:top w:val="nil"/>
              <w:left w:val="nil"/>
              <w:bottom w:val="single" w:sz="4" w:space="0" w:color="auto"/>
              <w:right w:val="nil"/>
            </w:tcBorders>
          </w:tcPr>
          <w:p w14:paraId="6872186B"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nil"/>
              <w:left w:val="nil"/>
              <w:bottom w:val="single" w:sz="4" w:space="0" w:color="auto"/>
              <w:right w:val="nil"/>
            </w:tcBorders>
            <w:hideMark/>
          </w:tcPr>
          <w:p w14:paraId="7C1FB0E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0.221</w:t>
            </w:r>
          </w:p>
        </w:tc>
        <w:tc>
          <w:tcPr>
            <w:tcW w:w="1125" w:type="dxa"/>
            <w:tcBorders>
              <w:top w:val="nil"/>
              <w:left w:val="nil"/>
              <w:bottom w:val="single" w:sz="4" w:space="0" w:color="auto"/>
              <w:right w:val="nil"/>
            </w:tcBorders>
          </w:tcPr>
          <w:p w14:paraId="66D1E382" w14:textId="77777777" w:rsidR="00407106" w:rsidRDefault="00407106">
            <w:pPr>
              <w:widowControl w:val="0"/>
              <w:autoSpaceDE w:val="0"/>
              <w:autoSpaceDN w:val="0"/>
              <w:adjustRightInd w:val="0"/>
              <w:spacing w:after="0" w:line="240" w:lineRule="auto"/>
              <w:ind w:firstLine="0"/>
              <w:jc w:val="center"/>
              <w:rPr>
                <w:sz w:val="22"/>
                <w:szCs w:val="22"/>
              </w:rPr>
            </w:pPr>
          </w:p>
        </w:tc>
      </w:tr>
    </w:tbl>
    <w:p w14:paraId="4FEDECEA" w14:textId="77777777" w:rsidR="00407106" w:rsidRDefault="00407106" w:rsidP="00407106">
      <w:pPr>
        <w:spacing w:line="276" w:lineRule="auto"/>
        <w:ind w:firstLine="0"/>
        <w:jc w:val="left"/>
        <w:rPr>
          <w:i/>
        </w:rPr>
      </w:pPr>
      <w:r>
        <w:rPr>
          <w:i/>
        </w:rPr>
        <w:br w:type="page"/>
      </w:r>
    </w:p>
    <w:p w14:paraId="75A6B049" w14:textId="77777777" w:rsidR="00407106" w:rsidRDefault="00407106" w:rsidP="00407106">
      <w:pPr>
        <w:keepNext/>
        <w:widowControl w:val="0"/>
        <w:autoSpaceDE w:val="0"/>
        <w:autoSpaceDN w:val="0"/>
        <w:adjustRightInd w:val="0"/>
        <w:spacing w:after="0" w:line="240" w:lineRule="auto"/>
        <w:ind w:firstLine="0"/>
        <w:jc w:val="center"/>
        <w:rPr>
          <w:b/>
        </w:rPr>
      </w:pPr>
      <w:r>
        <w:rPr>
          <w:b/>
        </w:rPr>
        <w:lastRenderedPageBreak/>
        <w:t>TABLE 5</w:t>
      </w:r>
    </w:p>
    <w:p w14:paraId="16C5D436" w14:textId="77777777" w:rsidR="00407106" w:rsidRDefault="00407106" w:rsidP="00407106">
      <w:pPr>
        <w:keepNext/>
        <w:widowControl w:val="0"/>
        <w:autoSpaceDE w:val="0"/>
        <w:autoSpaceDN w:val="0"/>
        <w:adjustRightInd w:val="0"/>
        <w:spacing w:after="0" w:line="240" w:lineRule="auto"/>
        <w:ind w:firstLine="0"/>
        <w:jc w:val="center"/>
        <w:rPr>
          <w:i/>
        </w:rPr>
      </w:pPr>
      <w:r>
        <w:rPr>
          <w:i/>
        </w:rPr>
        <w:t>Accounting complexity based on financial statements and notes and forecast accuracy &amp; dispersion and value of recommendation revisions: firm-year level sample</w:t>
      </w:r>
    </w:p>
    <w:p w14:paraId="3E6AE07A" w14:textId="77777777" w:rsidR="00407106" w:rsidRDefault="00407106" w:rsidP="00407106">
      <w:pPr>
        <w:spacing w:after="0" w:line="240" w:lineRule="auto"/>
        <w:ind w:firstLine="0"/>
      </w:pPr>
      <w:r>
        <w:t>This table reports the OLS estimation results of three specifications of the following equation, which involves the regression of measures of analysts’ performance on accounting reporting complexity, control variables and industry and year fixed effects.</w:t>
      </w:r>
    </w:p>
    <w:p w14:paraId="25327F64" w14:textId="77777777" w:rsidR="00407106" w:rsidRDefault="00407106" w:rsidP="00407106">
      <w:pPr>
        <w:spacing w:before="120" w:after="120" w:line="240" w:lineRule="auto"/>
        <w:ind w:firstLine="0"/>
        <w:jc w:val="center"/>
        <w:rPr>
          <w:vertAlign w:val="subscript"/>
        </w:rPr>
      </w:pPr>
      <w:r>
        <w:t>DV</w:t>
      </w:r>
      <w:r>
        <w:rPr>
          <w:vertAlign w:val="subscript"/>
        </w:rPr>
        <w:t>it</w:t>
      </w:r>
      <w:r>
        <w:t xml:space="preserve"> = α + β</w:t>
      </w:r>
      <w:r>
        <w:rPr>
          <w:vertAlign w:val="subscript"/>
        </w:rPr>
        <w:t>1</w:t>
      </w:r>
      <w:r>
        <w:t>ARC-FS + β</w:t>
      </w:r>
      <w:r>
        <w:rPr>
          <w:vertAlign w:val="subscript"/>
        </w:rPr>
        <w:t>2</w:t>
      </w:r>
      <w:r>
        <w:t>ARC-NOTES + ∑γControls + ∑δIndustry + ∑θYear + ε</w:t>
      </w:r>
      <w:r>
        <w:rPr>
          <w:vertAlign w:val="subscript"/>
        </w:rPr>
        <w:t>it</w:t>
      </w:r>
    </w:p>
    <w:p w14:paraId="1D4DD55B" w14:textId="77777777" w:rsidR="00407106" w:rsidRDefault="00407106" w:rsidP="00407106">
      <w:pPr>
        <w:spacing w:after="0" w:line="240" w:lineRule="auto"/>
        <w:ind w:firstLine="0"/>
      </w:pPr>
      <w:r>
        <w:t>The three dependent variables (</w:t>
      </w:r>
      <w:r>
        <w:rPr>
          <w:i/>
        </w:rPr>
        <w:t>DV</w:t>
      </w:r>
      <w:r>
        <w:t>s) are forecast accuracy (</w:t>
      </w:r>
      <w:r>
        <w:rPr>
          <w:i/>
        </w:rPr>
        <w:t>ACCURACY</w:t>
      </w:r>
      <w:r>
        <w:t>), forecast dispersion (</w:t>
      </w:r>
      <w:bookmarkStart w:id="19" w:name="OLE_LINK28"/>
      <w:bookmarkStart w:id="20" w:name="OLE_LINK27"/>
      <w:r>
        <w:rPr>
          <w:i/>
        </w:rPr>
        <w:t>FORDISP</w:t>
      </w:r>
      <w:bookmarkEnd w:id="19"/>
      <w:bookmarkEnd w:id="20"/>
      <w:r>
        <w:t>), and the value of recommendation revisions (</w:t>
      </w:r>
      <w:r>
        <w:rPr>
          <w:i/>
        </w:rPr>
        <w:t>RECVAL</w:t>
      </w:r>
      <w:r>
        <w:t xml:space="preserve">). </w:t>
      </w:r>
      <w:r>
        <w:rPr>
          <w:i/>
        </w:rPr>
        <w:t>ACCURACY</w:t>
      </w:r>
      <w:r>
        <w:t xml:space="preserve"> is defined as the absolute value of reported earnings minus the median earnings forecast for the fiscal year scaled by price and multiplied by -100. </w:t>
      </w:r>
      <w:r>
        <w:rPr>
          <w:i/>
        </w:rPr>
        <w:t>FORDISP</w:t>
      </w:r>
      <w:r>
        <w:t xml:space="preserve"> equals the standard deviation of analysts’ annual earnings estimates divided by the end of fiscal year share price and multiplied by 100. </w:t>
      </w:r>
      <w:r>
        <w:rPr>
          <w:i/>
        </w:rPr>
        <w:t>RECVAL</w:t>
      </w:r>
      <w:r>
        <w:t xml:space="preserve"> is calculated as the mean three-day abnormal market reaction associated with recommendation revisions issued during the fiscal year. </w:t>
      </w:r>
      <w:r>
        <w:rPr>
          <w:i/>
        </w:rPr>
        <w:t>ARC-FS</w:t>
      </w:r>
      <w:r>
        <w:t xml:space="preserve"> is the natural log of one plus the total number of tags reported in the financial statements (Item 8 of 10-K filings), and </w:t>
      </w:r>
      <w:r>
        <w:rPr>
          <w:i/>
        </w:rPr>
        <w:t>ARC-NOTES</w:t>
      </w:r>
      <w:r>
        <w:t xml:space="preserve"> is the natural log of one plus the total number of tags reported in the notes section. The </w:t>
      </w:r>
      <w:r>
        <w:rPr>
          <w:i/>
        </w:rPr>
        <w:t>t-</w:t>
      </w:r>
      <w:r>
        <w:t xml:space="preserve">statistics are in brackets, next to the coefficient estimates, and are computed based on standard errors clustered by firm. The symbols *, **, and *** indicate statistical significance at the ten, five, and one percent levels, respectively. Industry and year fixed-effects are included in all models. The number of observations and goodness of fit statistics are reported at the bottom of the table. </w:t>
      </w:r>
    </w:p>
    <w:p w14:paraId="4DFEB61C" w14:textId="77777777" w:rsidR="00407106" w:rsidRDefault="00407106" w:rsidP="00407106">
      <w:pPr>
        <w:spacing w:after="0" w:line="240" w:lineRule="auto"/>
        <w:ind w:firstLine="0"/>
        <w:rPr>
          <w:i/>
        </w:rPr>
      </w:pPr>
    </w:p>
    <w:tbl>
      <w:tblPr>
        <w:tblW w:w="0" w:type="dxa"/>
        <w:tblLayout w:type="fixed"/>
        <w:tblLook w:val="04A0" w:firstRow="1" w:lastRow="0" w:firstColumn="1" w:lastColumn="0" w:noHBand="0" w:noVBand="1"/>
      </w:tblPr>
      <w:tblGrid>
        <w:gridCol w:w="2610"/>
        <w:gridCol w:w="1125"/>
        <w:gridCol w:w="1125"/>
        <w:gridCol w:w="1125"/>
        <w:gridCol w:w="1125"/>
        <w:gridCol w:w="1125"/>
        <w:gridCol w:w="1125"/>
      </w:tblGrid>
      <w:tr w:rsidR="00407106" w14:paraId="497B839D" w14:textId="77777777" w:rsidTr="00407106">
        <w:trPr>
          <w:trHeight w:hRule="exact" w:val="360"/>
        </w:trPr>
        <w:tc>
          <w:tcPr>
            <w:tcW w:w="2610" w:type="dxa"/>
            <w:tcBorders>
              <w:top w:val="single" w:sz="4" w:space="0" w:color="auto"/>
              <w:left w:val="nil"/>
              <w:bottom w:val="single" w:sz="4" w:space="0" w:color="auto"/>
              <w:right w:val="nil"/>
            </w:tcBorders>
            <w:vAlign w:val="center"/>
            <w:hideMark/>
          </w:tcPr>
          <w:p w14:paraId="3F9D36E6"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2250" w:type="dxa"/>
            <w:gridSpan w:val="2"/>
            <w:tcBorders>
              <w:top w:val="single" w:sz="4" w:space="0" w:color="auto"/>
              <w:left w:val="nil"/>
              <w:bottom w:val="single" w:sz="4" w:space="0" w:color="auto"/>
              <w:right w:val="nil"/>
            </w:tcBorders>
            <w:vAlign w:val="center"/>
            <w:hideMark/>
          </w:tcPr>
          <w:p w14:paraId="0D4FF085"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ACCURACY</w:t>
            </w:r>
          </w:p>
        </w:tc>
        <w:tc>
          <w:tcPr>
            <w:tcW w:w="2250" w:type="dxa"/>
            <w:gridSpan w:val="2"/>
            <w:tcBorders>
              <w:top w:val="single" w:sz="4" w:space="0" w:color="auto"/>
              <w:left w:val="nil"/>
              <w:bottom w:val="single" w:sz="4" w:space="0" w:color="auto"/>
              <w:right w:val="nil"/>
            </w:tcBorders>
            <w:vAlign w:val="center"/>
            <w:hideMark/>
          </w:tcPr>
          <w:p w14:paraId="4ECAE56C"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FORDISP</w:t>
            </w:r>
          </w:p>
        </w:tc>
        <w:tc>
          <w:tcPr>
            <w:tcW w:w="2250" w:type="dxa"/>
            <w:gridSpan w:val="2"/>
            <w:tcBorders>
              <w:top w:val="single" w:sz="4" w:space="0" w:color="auto"/>
              <w:left w:val="nil"/>
              <w:bottom w:val="single" w:sz="4" w:space="0" w:color="auto"/>
              <w:right w:val="nil"/>
            </w:tcBorders>
            <w:vAlign w:val="center"/>
            <w:hideMark/>
          </w:tcPr>
          <w:p w14:paraId="58D04889"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RECVAL</w:t>
            </w:r>
          </w:p>
        </w:tc>
      </w:tr>
      <w:tr w:rsidR="00407106" w14:paraId="21DC01FD" w14:textId="77777777" w:rsidTr="00407106">
        <w:trPr>
          <w:trHeight w:hRule="exact" w:val="360"/>
        </w:trPr>
        <w:tc>
          <w:tcPr>
            <w:tcW w:w="2610" w:type="dxa"/>
            <w:tcBorders>
              <w:top w:val="single" w:sz="4" w:space="0" w:color="auto"/>
              <w:left w:val="nil"/>
              <w:bottom w:val="single" w:sz="4" w:space="0" w:color="auto"/>
              <w:right w:val="nil"/>
            </w:tcBorders>
            <w:vAlign w:val="center"/>
          </w:tcPr>
          <w:p w14:paraId="227501B1" w14:textId="77777777" w:rsidR="00407106" w:rsidRDefault="00407106">
            <w:pPr>
              <w:widowControl w:val="0"/>
              <w:autoSpaceDE w:val="0"/>
              <w:autoSpaceDN w:val="0"/>
              <w:adjustRightInd w:val="0"/>
              <w:spacing w:after="0" w:line="240" w:lineRule="auto"/>
              <w:ind w:firstLine="0"/>
              <w:jc w:val="center"/>
              <w:rPr>
                <w:sz w:val="22"/>
                <w:szCs w:val="22"/>
              </w:rPr>
            </w:pPr>
          </w:p>
        </w:tc>
        <w:tc>
          <w:tcPr>
            <w:tcW w:w="2250" w:type="dxa"/>
            <w:gridSpan w:val="2"/>
            <w:tcBorders>
              <w:top w:val="single" w:sz="4" w:space="0" w:color="auto"/>
              <w:left w:val="nil"/>
              <w:bottom w:val="single" w:sz="4" w:space="0" w:color="auto"/>
              <w:right w:val="nil"/>
            </w:tcBorders>
            <w:vAlign w:val="center"/>
            <w:hideMark/>
          </w:tcPr>
          <w:p w14:paraId="7DCEAD1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2250" w:type="dxa"/>
            <w:gridSpan w:val="2"/>
            <w:tcBorders>
              <w:top w:val="single" w:sz="4" w:space="0" w:color="auto"/>
              <w:left w:val="nil"/>
              <w:bottom w:val="single" w:sz="4" w:space="0" w:color="auto"/>
              <w:right w:val="nil"/>
            </w:tcBorders>
            <w:vAlign w:val="center"/>
            <w:hideMark/>
          </w:tcPr>
          <w:p w14:paraId="7CD3BB6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2250" w:type="dxa"/>
            <w:gridSpan w:val="2"/>
            <w:tcBorders>
              <w:top w:val="single" w:sz="4" w:space="0" w:color="auto"/>
              <w:left w:val="nil"/>
              <w:bottom w:val="single" w:sz="4" w:space="0" w:color="auto"/>
              <w:right w:val="nil"/>
            </w:tcBorders>
            <w:vAlign w:val="center"/>
            <w:hideMark/>
          </w:tcPr>
          <w:p w14:paraId="61CA1D8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r>
      <w:tr w:rsidR="00407106" w14:paraId="2B31FDE4" w14:textId="77777777" w:rsidTr="00407106">
        <w:tc>
          <w:tcPr>
            <w:tcW w:w="2610" w:type="dxa"/>
            <w:tcBorders>
              <w:top w:val="single" w:sz="4" w:space="0" w:color="auto"/>
              <w:left w:val="nil"/>
              <w:bottom w:val="nil"/>
              <w:right w:val="nil"/>
            </w:tcBorders>
            <w:hideMark/>
          </w:tcPr>
          <w:p w14:paraId="10450BFF" w14:textId="77777777" w:rsidR="00407106" w:rsidRDefault="00407106">
            <w:pPr>
              <w:widowControl w:val="0"/>
              <w:autoSpaceDE w:val="0"/>
              <w:autoSpaceDN w:val="0"/>
              <w:adjustRightInd w:val="0"/>
              <w:spacing w:after="0" w:line="240" w:lineRule="auto"/>
              <w:ind w:firstLine="0"/>
              <w:rPr>
                <w:sz w:val="22"/>
                <w:szCs w:val="22"/>
              </w:rPr>
            </w:pPr>
            <w:r>
              <w:rPr>
                <w:sz w:val="22"/>
                <w:szCs w:val="22"/>
              </w:rPr>
              <w:t>Intercept</w:t>
            </w:r>
          </w:p>
        </w:tc>
        <w:tc>
          <w:tcPr>
            <w:tcW w:w="1125" w:type="dxa"/>
            <w:tcBorders>
              <w:top w:val="single" w:sz="4" w:space="0" w:color="auto"/>
              <w:left w:val="nil"/>
              <w:bottom w:val="nil"/>
              <w:right w:val="nil"/>
            </w:tcBorders>
            <w:hideMark/>
          </w:tcPr>
          <w:p w14:paraId="43E9FB3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3.172</w:t>
            </w:r>
            <w:r>
              <w:rPr>
                <w:sz w:val="22"/>
                <w:szCs w:val="22"/>
                <w:vertAlign w:val="superscript"/>
              </w:rPr>
              <w:t>***</w:t>
            </w:r>
          </w:p>
        </w:tc>
        <w:tc>
          <w:tcPr>
            <w:tcW w:w="1125" w:type="dxa"/>
            <w:tcBorders>
              <w:top w:val="single" w:sz="4" w:space="0" w:color="auto"/>
              <w:left w:val="nil"/>
              <w:bottom w:val="nil"/>
              <w:right w:val="nil"/>
            </w:tcBorders>
            <w:hideMark/>
          </w:tcPr>
          <w:p w14:paraId="02586FEA"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(3.35)</w:t>
            </w:r>
          </w:p>
        </w:tc>
        <w:tc>
          <w:tcPr>
            <w:tcW w:w="1125" w:type="dxa"/>
            <w:tcBorders>
              <w:top w:val="single" w:sz="4" w:space="0" w:color="auto"/>
              <w:left w:val="nil"/>
              <w:bottom w:val="nil"/>
              <w:right w:val="nil"/>
            </w:tcBorders>
            <w:hideMark/>
          </w:tcPr>
          <w:p w14:paraId="15CA1730"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-5.697</w:t>
            </w:r>
            <w:r>
              <w:rPr>
                <w:sz w:val="22"/>
                <w:szCs w:val="22"/>
                <w:vertAlign w:val="superscript"/>
              </w:rPr>
              <w:t>***</w:t>
            </w:r>
          </w:p>
        </w:tc>
        <w:tc>
          <w:tcPr>
            <w:tcW w:w="1125" w:type="dxa"/>
            <w:tcBorders>
              <w:top w:val="single" w:sz="4" w:space="0" w:color="auto"/>
              <w:left w:val="nil"/>
              <w:bottom w:val="nil"/>
              <w:right w:val="nil"/>
            </w:tcBorders>
            <w:hideMark/>
          </w:tcPr>
          <w:p w14:paraId="04E8423E"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(-4.00)</w:t>
            </w:r>
          </w:p>
        </w:tc>
        <w:tc>
          <w:tcPr>
            <w:tcW w:w="1125" w:type="dxa"/>
            <w:tcBorders>
              <w:top w:val="single" w:sz="4" w:space="0" w:color="auto"/>
              <w:left w:val="nil"/>
              <w:bottom w:val="nil"/>
              <w:right w:val="nil"/>
            </w:tcBorders>
            <w:hideMark/>
          </w:tcPr>
          <w:p w14:paraId="5D41F8A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6.410</w:t>
            </w:r>
            <w:r>
              <w:rPr>
                <w:sz w:val="22"/>
                <w:szCs w:val="22"/>
                <w:vertAlign w:val="superscript"/>
              </w:rPr>
              <w:t>***</w:t>
            </w:r>
          </w:p>
        </w:tc>
        <w:tc>
          <w:tcPr>
            <w:tcW w:w="1125" w:type="dxa"/>
            <w:tcBorders>
              <w:top w:val="single" w:sz="4" w:space="0" w:color="auto"/>
              <w:left w:val="nil"/>
              <w:bottom w:val="nil"/>
              <w:right w:val="nil"/>
            </w:tcBorders>
            <w:hideMark/>
          </w:tcPr>
          <w:p w14:paraId="46EDC882"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(2.84)</w:t>
            </w:r>
          </w:p>
        </w:tc>
      </w:tr>
      <w:tr w:rsidR="00407106" w14:paraId="5BE823E4" w14:textId="77777777" w:rsidTr="00407106">
        <w:tc>
          <w:tcPr>
            <w:tcW w:w="2610" w:type="dxa"/>
          </w:tcPr>
          <w:p w14:paraId="37E5E56D" w14:textId="77777777" w:rsidR="00407106" w:rsidRDefault="00407106">
            <w:pPr>
              <w:widowControl w:val="0"/>
              <w:autoSpaceDE w:val="0"/>
              <w:autoSpaceDN w:val="0"/>
              <w:adjustRightInd w:val="0"/>
              <w:spacing w:after="0" w:line="240" w:lineRule="auto"/>
              <w:ind w:firstLine="0"/>
              <w:rPr>
                <w:sz w:val="22"/>
                <w:szCs w:val="22"/>
              </w:rPr>
            </w:pPr>
          </w:p>
        </w:tc>
        <w:tc>
          <w:tcPr>
            <w:tcW w:w="1125" w:type="dxa"/>
          </w:tcPr>
          <w:p w14:paraId="099F590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4126E72A"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0C7F01A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7F6E99B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510BD09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4D4E9CF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r>
      <w:tr w:rsidR="00407106" w14:paraId="4CB05DAA" w14:textId="77777777" w:rsidTr="00407106">
        <w:tc>
          <w:tcPr>
            <w:tcW w:w="2610" w:type="dxa"/>
            <w:hideMark/>
          </w:tcPr>
          <w:p w14:paraId="73B5C734"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Accounting complexity:</w:t>
            </w:r>
          </w:p>
        </w:tc>
        <w:tc>
          <w:tcPr>
            <w:tcW w:w="1125" w:type="dxa"/>
          </w:tcPr>
          <w:p w14:paraId="1FA80CE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0D02D84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4130BD2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05D5E122"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792A85E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6F5FE3B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r>
      <w:tr w:rsidR="00407106" w14:paraId="2A1180A4" w14:textId="77777777" w:rsidTr="00407106">
        <w:tc>
          <w:tcPr>
            <w:tcW w:w="2610" w:type="dxa"/>
            <w:hideMark/>
          </w:tcPr>
          <w:p w14:paraId="25062FC8"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ARC-FS</w:t>
            </w:r>
          </w:p>
        </w:tc>
        <w:tc>
          <w:tcPr>
            <w:tcW w:w="1125" w:type="dxa"/>
            <w:hideMark/>
          </w:tcPr>
          <w:p w14:paraId="7963CA25"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0.142</w:t>
            </w:r>
          </w:p>
        </w:tc>
        <w:tc>
          <w:tcPr>
            <w:tcW w:w="1125" w:type="dxa"/>
            <w:hideMark/>
          </w:tcPr>
          <w:p w14:paraId="044EDA0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(0.80)</w:t>
            </w:r>
          </w:p>
        </w:tc>
        <w:tc>
          <w:tcPr>
            <w:tcW w:w="1125" w:type="dxa"/>
            <w:hideMark/>
          </w:tcPr>
          <w:p w14:paraId="600E8692"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0.086</w:t>
            </w:r>
          </w:p>
        </w:tc>
        <w:tc>
          <w:tcPr>
            <w:tcW w:w="1125" w:type="dxa"/>
            <w:hideMark/>
          </w:tcPr>
          <w:p w14:paraId="284D74F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(0.35)</w:t>
            </w:r>
          </w:p>
        </w:tc>
        <w:tc>
          <w:tcPr>
            <w:tcW w:w="1125" w:type="dxa"/>
            <w:hideMark/>
          </w:tcPr>
          <w:p w14:paraId="3E8C1C9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-0.793</w:t>
            </w:r>
            <w:r>
              <w:rPr>
                <w:sz w:val="22"/>
                <w:szCs w:val="22"/>
                <w:vertAlign w:val="superscript"/>
              </w:rPr>
              <w:t>*</w:t>
            </w:r>
          </w:p>
        </w:tc>
        <w:tc>
          <w:tcPr>
            <w:tcW w:w="1125" w:type="dxa"/>
            <w:hideMark/>
          </w:tcPr>
          <w:p w14:paraId="20319AE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(-1.66)</w:t>
            </w:r>
          </w:p>
        </w:tc>
      </w:tr>
      <w:tr w:rsidR="00407106" w14:paraId="03B71D3B" w14:textId="77777777" w:rsidTr="00407106">
        <w:tc>
          <w:tcPr>
            <w:tcW w:w="2610" w:type="dxa"/>
            <w:hideMark/>
          </w:tcPr>
          <w:p w14:paraId="7C80E7C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w:t>
            </w:r>
          </w:p>
        </w:tc>
        <w:tc>
          <w:tcPr>
            <w:tcW w:w="1125" w:type="dxa"/>
            <w:hideMark/>
          </w:tcPr>
          <w:p w14:paraId="78495D3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-0.285</w:t>
            </w:r>
            <w:r>
              <w:rPr>
                <w:sz w:val="22"/>
                <w:szCs w:val="22"/>
                <w:vertAlign w:val="superscript"/>
              </w:rPr>
              <w:t>***</w:t>
            </w:r>
          </w:p>
        </w:tc>
        <w:tc>
          <w:tcPr>
            <w:tcW w:w="1125" w:type="dxa"/>
            <w:hideMark/>
          </w:tcPr>
          <w:p w14:paraId="318AEF29"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(-3.11)</w:t>
            </w:r>
          </w:p>
        </w:tc>
        <w:tc>
          <w:tcPr>
            <w:tcW w:w="1125" w:type="dxa"/>
            <w:hideMark/>
          </w:tcPr>
          <w:p w14:paraId="3A05D76E"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0.344</w:t>
            </w:r>
            <w:r>
              <w:rPr>
                <w:sz w:val="22"/>
                <w:szCs w:val="22"/>
                <w:vertAlign w:val="superscript"/>
              </w:rPr>
              <w:t>***</w:t>
            </w:r>
          </w:p>
        </w:tc>
        <w:tc>
          <w:tcPr>
            <w:tcW w:w="1125" w:type="dxa"/>
            <w:hideMark/>
          </w:tcPr>
          <w:p w14:paraId="0D266125"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(2.69)</w:t>
            </w:r>
          </w:p>
        </w:tc>
        <w:tc>
          <w:tcPr>
            <w:tcW w:w="1125" w:type="dxa"/>
            <w:hideMark/>
          </w:tcPr>
          <w:p w14:paraId="1469752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-0.470</w:t>
            </w:r>
            <w:r>
              <w:rPr>
                <w:sz w:val="22"/>
                <w:szCs w:val="22"/>
                <w:vertAlign w:val="superscript"/>
              </w:rPr>
              <w:t>**</w:t>
            </w:r>
          </w:p>
        </w:tc>
        <w:tc>
          <w:tcPr>
            <w:tcW w:w="1125" w:type="dxa"/>
            <w:hideMark/>
          </w:tcPr>
          <w:p w14:paraId="2CC103A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(-2.03)</w:t>
            </w:r>
          </w:p>
        </w:tc>
      </w:tr>
      <w:tr w:rsidR="00407106" w14:paraId="2501E4AC" w14:textId="77777777" w:rsidTr="00407106">
        <w:tc>
          <w:tcPr>
            <w:tcW w:w="2610" w:type="dxa"/>
          </w:tcPr>
          <w:p w14:paraId="22E90CF1" w14:textId="77777777" w:rsidR="00407106" w:rsidRDefault="00407106">
            <w:pPr>
              <w:widowControl w:val="0"/>
              <w:autoSpaceDE w:val="0"/>
              <w:autoSpaceDN w:val="0"/>
              <w:adjustRightInd w:val="0"/>
              <w:spacing w:after="0" w:line="240" w:lineRule="auto"/>
              <w:ind w:firstLine="0"/>
              <w:rPr>
                <w:sz w:val="22"/>
                <w:szCs w:val="22"/>
                <w:u w:val="single"/>
              </w:rPr>
            </w:pPr>
          </w:p>
        </w:tc>
        <w:tc>
          <w:tcPr>
            <w:tcW w:w="1125" w:type="dxa"/>
          </w:tcPr>
          <w:p w14:paraId="61A24F58"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2ACABBF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3E9A844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48D2119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3DFA316A"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42467BA3"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r>
      <w:tr w:rsidR="00407106" w14:paraId="04901223" w14:textId="77777777" w:rsidTr="00407106">
        <w:tc>
          <w:tcPr>
            <w:tcW w:w="2610" w:type="dxa"/>
            <w:hideMark/>
          </w:tcPr>
          <w:p w14:paraId="54AE66C3"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Information environment:</w:t>
            </w:r>
          </w:p>
        </w:tc>
        <w:tc>
          <w:tcPr>
            <w:tcW w:w="1125" w:type="dxa"/>
          </w:tcPr>
          <w:p w14:paraId="41A91D3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0FD34AD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37EAA485"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3FB665A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53674BC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3CD2F865"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r>
      <w:tr w:rsidR="00407106" w14:paraId="6DA5B46C" w14:textId="77777777" w:rsidTr="00407106">
        <w:tc>
          <w:tcPr>
            <w:tcW w:w="2610" w:type="dxa"/>
            <w:hideMark/>
          </w:tcPr>
          <w:p w14:paraId="26147B38"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LOGMV</w:t>
            </w:r>
          </w:p>
        </w:tc>
        <w:tc>
          <w:tcPr>
            <w:tcW w:w="1125" w:type="dxa"/>
            <w:hideMark/>
          </w:tcPr>
          <w:p w14:paraId="7AC7D72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0.033</w:t>
            </w:r>
          </w:p>
        </w:tc>
        <w:tc>
          <w:tcPr>
            <w:tcW w:w="1125" w:type="dxa"/>
            <w:hideMark/>
          </w:tcPr>
          <w:p w14:paraId="5F95DBC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(0.83)</w:t>
            </w:r>
          </w:p>
        </w:tc>
        <w:tc>
          <w:tcPr>
            <w:tcW w:w="1125" w:type="dxa"/>
            <w:hideMark/>
          </w:tcPr>
          <w:p w14:paraId="131CDDE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-0.106</w:t>
            </w:r>
            <w:r>
              <w:rPr>
                <w:sz w:val="22"/>
                <w:szCs w:val="22"/>
                <w:vertAlign w:val="superscript"/>
              </w:rPr>
              <w:t>*</w:t>
            </w:r>
          </w:p>
        </w:tc>
        <w:tc>
          <w:tcPr>
            <w:tcW w:w="1125" w:type="dxa"/>
            <w:hideMark/>
          </w:tcPr>
          <w:p w14:paraId="557A79E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(-1.77)</w:t>
            </w:r>
          </w:p>
        </w:tc>
        <w:tc>
          <w:tcPr>
            <w:tcW w:w="1125" w:type="dxa"/>
            <w:hideMark/>
          </w:tcPr>
          <w:p w14:paraId="56A38495"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-0.154</w:t>
            </w:r>
            <w:r>
              <w:rPr>
                <w:sz w:val="22"/>
                <w:szCs w:val="22"/>
                <w:vertAlign w:val="superscript"/>
              </w:rPr>
              <w:t>*</w:t>
            </w:r>
          </w:p>
        </w:tc>
        <w:tc>
          <w:tcPr>
            <w:tcW w:w="1125" w:type="dxa"/>
            <w:hideMark/>
          </w:tcPr>
          <w:p w14:paraId="5A22370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(-1.89)</w:t>
            </w:r>
          </w:p>
        </w:tc>
      </w:tr>
      <w:tr w:rsidR="00407106" w14:paraId="7227FEEC" w14:textId="77777777" w:rsidTr="00407106">
        <w:tc>
          <w:tcPr>
            <w:tcW w:w="2610" w:type="dxa"/>
            <w:hideMark/>
          </w:tcPr>
          <w:p w14:paraId="09078BDF"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IO</w:t>
            </w:r>
          </w:p>
        </w:tc>
        <w:tc>
          <w:tcPr>
            <w:tcW w:w="1125" w:type="dxa"/>
            <w:hideMark/>
          </w:tcPr>
          <w:p w14:paraId="018DAE93"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0.006</w:t>
            </w:r>
            <w:r>
              <w:rPr>
                <w:sz w:val="22"/>
                <w:szCs w:val="22"/>
                <w:vertAlign w:val="superscript"/>
              </w:rPr>
              <w:t>***</w:t>
            </w:r>
          </w:p>
        </w:tc>
        <w:tc>
          <w:tcPr>
            <w:tcW w:w="1125" w:type="dxa"/>
            <w:hideMark/>
          </w:tcPr>
          <w:p w14:paraId="336EF899"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(4.39)</w:t>
            </w:r>
          </w:p>
        </w:tc>
        <w:tc>
          <w:tcPr>
            <w:tcW w:w="1125" w:type="dxa"/>
            <w:hideMark/>
          </w:tcPr>
          <w:p w14:paraId="4343CC1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-0.014</w:t>
            </w:r>
            <w:r>
              <w:rPr>
                <w:sz w:val="22"/>
                <w:szCs w:val="22"/>
                <w:vertAlign w:val="superscript"/>
              </w:rPr>
              <w:t>***</w:t>
            </w:r>
          </w:p>
        </w:tc>
        <w:tc>
          <w:tcPr>
            <w:tcW w:w="1125" w:type="dxa"/>
            <w:hideMark/>
          </w:tcPr>
          <w:p w14:paraId="1AF970C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(-6.83)</w:t>
            </w:r>
          </w:p>
        </w:tc>
        <w:tc>
          <w:tcPr>
            <w:tcW w:w="1125" w:type="dxa"/>
            <w:hideMark/>
          </w:tcPr>
          <w:p w14:paraId="6E6838F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-0.002</w:t>
            </w:r>
          </w:p>
        </w:tc>
        <w:tc>
          <w:tcPr>
            <w:tcW w:w="1125" w:type="dxa"/>
            <w:hideMark/>
          </w:tcPr>
          <w:p w14:paraId="2F5F32AE"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(-0.46)</w:t>
            </w:r>
          </w:p>
        </w:tc>
      </w:tr>
      <w:tr w:rsidR="00407106" w14:paraId="7E6030B2" w14:textId="77777777" w:rsidTr="00407106">
        <w:tc>
          <w:tcPr>
            <w:tcW w:w="2610" w:type="dxa"/>
            <w:hideMark/>
          </w:tcPr>
          <w:p w14:paraId="036B890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B/M</w:t>
            </w:r>
          </w:p>
        </w:tc>
        <w:tc>
          <w:tcPr>
            <w:tcW w:w="1125" w:type="dxa"/>
            <w:hideMark/>
          </w:tcPr>
          <w:p w14:paraId="4F750E49"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-0.514</w:t>
            </w:r>
            <w:r>
              <w:rPr>
                <w:sz w:val="22"/>
                <w:szCs w:val="22"/>
                <w:vertAlign w:val="superscript"/>
              </w:rPr>
              <w:t>***</w:t>
            </w:r>
          </w:p>
        </w:tc>
        <w:tc>
          <w:tcPr>
            <w:tcW w:w="1125" w:type="dxa"/>
            <w:hideMark/>
          </w:tcPr>
          <w:p w14:paraId="58B1F590"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(-3.97)</w:t>
            </w:r>
          </w:p>
        </w:tc>
        <w:tc>
          <w:tcPr>
            <w:tcW w:w="1125" w:type="dxa"/>
            <w:hideMark/>
          </w:tcPr>
          <w:p w14:paraId="3E26767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1.063</w:t>
            </w:r>
            <w:r>
              <w:rPr>
                <w:sz w:val="22"/>
                <w:szCs w:val="22"/>
                <w:vertAlign w:val="superscript"/>
              </w:rPr>
              <w:t>***</w:t>
            </w:r>
          </w:p>
        </w:tc>
        <w:tc>
          <w:tcPr>
            <w:tcW w:w="1125" w:type="dxa"/>
            <w:hideMark/>
          </w:tcPr>
          <w:p w14:paraId="649CB02A"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(5.57)</w:t>
            </w:r>
          </w:p>
        </w:tc>
        <w:tc>
          <w:tcPr>
            <w:tcW w:w="1125" w:type="dxa"/>
            <w:hideMark/>
          </w:tcPr>
          <w:p w14:paraId="6A1F26C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0.565</w:t>
            </w:r>
            <w:r>
              <w:rPr>
                <w:sz w:val="22"/>
                <w:szCs w:val="22"/>
                <w:vertAlign w:val="superscript"/>
              </w:rPr>
              <w:t>**</w:t>
            </w:r>
          </w:p>
        </w:tc>
        <w:tc>
          <w:tcPr>
            <w:tcW w:w="1125" w:type="dxa"/>
            <w:hideMark/>
          </w:tcPr>
          <w:p w14:paraId="481F933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(2.48)</w:t>
            </w:r>
          </w:p>
        </w:tc>
      </w:tr>
      <w:tr w:rsidR="00407106" w14:paraId="6D97BA8A" w14:textId="77777777" w:rsidTr="00407106">
        <w:tc>
          <w:tcPr>
            <w:tcW w:w="2610" w:type="dxa"/>
            <w:hideMark/>
          </w:tcPr>
          <w:p w14:paraId="4B391CF1"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GROWTH</w:t>
            </w:r>
          </w:p>
        </w:tc>
        <w:tc>
          <w:tcPr>
            <w:tcW w:w="1125" w:type="dxa"/>
            <w:hideMark/>
          </w:tcPr>
          <w:p w14:paraId="69182230"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0.066</w:t>
            </w:r>
          </w:p>
        </w:tc>
        <w:tc>
          <w:tcPr>
            <w:tcW w:w="1125" w:type="dxa"/>
            <w:hideMark/>
          </w:tcPr>
          <w:p w14:paraId="5DE4871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(0.79)</w:t>
            </w:r>
          </w:p>
        </w:tc>
        <w:tc>
          <w:tcPr>
            <w:tcW w:w="1125" w:type="dxa"/>
            <w:hideMark/>
          </w:tcPr>
          <w:p w14:paraId="231E8C2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-0.052</w:t>
            </w:r>
          </w:p>
        </w:tc>
        <w:tc>
          <w:tcPr>
            <w:tcW w:w="1125" w:type="dxa"/>
            <w:hideMark/>
          </w:tcPr>
          <w:p w14:paraId="65F3094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(-0.36)</w:t>
            </w:r>
          </w:p>
        </w:tc>
        <w:tc>
          <w:tcPr>
            <w:tcW w:w="1125" w:type="dxa"/>
            <w:hideMark/>
          </w:tcPr>
          <w:p w14:paraId="37B8F96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-0.823</w:t>
            </w:r>
            <w:r>
              <w:rPr>
                <w:sz w:val="22"/>
                <w:szCs w:val="22"/>
                <w:vertAlign w:val="superscript"/>
              </w:rPr>
              <w:t>**</w:t>
            </w:r>
          </w:p>
        </w:tc>
        <w:tc>
          <w:tcPr>
            <w:tcW w:w="1125" w:type="dxa"/>
            <w:hideMark/>
          </w:tcPr>
          <w:p w14:paraId="4E45FA1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(-2.43)</w:t>
            </w:r>
          </w:p>
        </w:tc>
      </w:tr>
      <w:tr w:rsidR="00407106" w14:paraId="659CBF8D" w14:textId="77777777" w:rsidTr="00407106">
        <w:tc>
          <w:tcPr>
            <w:tcW w:w="2610" w:type="dxa"/>
            <w:hideMark/>
          </w:tcPr>
          <w:p w14:paraId="70DC21D6"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NEWS10K</w:t>
            </w:r>
          </w:p>
        </w:tc>
        <w:tc>
          <w:tcPr>
            <w:tcW w:w="1125" w:type="dxa"/>
            <w:hideMark/>
          </w:tcPr>
          <w:p w14:paraId="480B098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-3.871</w:t>
            </w:r>
            <w:r>
              <w:rPr>
                <w:sz w:val="22"/>
                <w:szCs w:val="22"/>
                <w:vertAlign w:val="superscript"/>
              </w:rPr>
              <w:t>***</w:t>
            </w:r>
          </w:p>
        </w:tc>
        <w:tc>
          <w:tcPr>
            <w:tcW w:w="1125" w:type="dxa"/>
            <w:hideMark/>
          </w:tcPr>
          <w:p w14:paraId="6A7A34F8"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(-3.81)</w:t>
            </w:r>
          </w:p>
        </w:tc>
        <w:tc>
          <w:tcPr>
            <w:tcW w:w="1125" w:type="dxa"/>
            <w:hideMark/>
          </w:tcPr>
          <w:p w14:paraId="6D4F0A9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3.660</w:t>
            </w:r>
            <w:r>
              <w:rPr>
                <w:sz w:val="22"/>
                <w:szCs w:val="22"/>
                <w:vertAlign w:val="superscript"/>
              </w:rPr>
              <w:t>**</w:t>
            </w:r>
          </w:p>
        </w:tc>
        <w:tc>
          <w:tcPr>
            <w:tcW w:w="1125" w:type="dxa"/>
            <w:hideMark/>
          </w:tcPr>
          <w:p w14:paraId="0C57719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(2.46)</w:t>
            </w:r>
          </w:p>
        </w:tc>
        <w:tc>
          <w:tcPr>
            <w:tcW w:w="1125" w:type="dxa"/>
            <w:hideMark/>
          </w:tcPr>
          <w:p w14:paraId="11AE9DF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-3.415</w:t>
            </w:r>
          </w:p>
        </w:tc>
        <w:tc>
          <w:tcPr>
            <w:tcW w:w="1125" w:type="dxa"/>
            <w:hideMark/>
          </w:tcPr>
          <w:p w14:paraId="72EF690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(-1.31)</w:t>
            </w:r>
          </w:p>
        </w:tc>
      </w:tr>
      <w:tr w:rsidR="00407106" w14:paraId="264EDEA8" w14:textId="77777777" w:rsidTr="00407106">
        <w:tc>
          <w:tcPr>
            <w:tcW w:w="2610" w:type="dxa"/>
            <w:hideMark/>
          </w:tcPr>
          <w:p w14:paraId="496D833A"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LOGFOLL_FOR</w:t>
            </w:r>
          </w:p>
        </w:tc>
        <w:tc>
          <w:tcPr>
            <w:tcW w:w="1125" w:type="dxa"/>
            <w:hideMark/>
          </w:tcPr>
          <w:p w14:paraId="09501D58"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0.213</w:t>
            </w:r>
            <w:r>
              <w:rPr>
                <w:sz w:val="22"/>
                <w:szCs w:val="22"/>
                <w:vertAlign w:val="superscript"/>
              </w:rPr>
              <w:t>***</w:t>
            </w:r>
          </w:p>
        </w:tc>
        <w:tc>
          <w:tcPr>
            <w:tcW w:w="1125" w:type="dxa"/>
            <w:hideMark/>
          </w:tcPr>
          <w:p w14:paraId="6182613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(2.78)</w:t>
            </w:r>
          </w:p>
        </w:tc>
        <w:tc>
          <w:tcPr>
            <w:tcW w:w="1125" w:type="dxa"/>
            <w:hideMark/>
          </w:tcPr>
          <w:p w14:paraId="61D7F67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0.065</w:t>
            </w:r>
          </w:p>
        </w:tc>
        <w:tc>
          <w:tcPr>
            <w:tcW w:w="1125" w:type="dxa"/>
            <w:hideMark/>
          </w:tcPr>
          <w:p w14:paraId="3517D0C8"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(0.56)</w:t>
            </w:r>
          </w:p>
        </w:tc>
        <w:tc>
          <w:tcPr>
            <w:tcW w:w="1125" w:type="dxa"/>
            <w:hideMark/>
          </w:tcPr>
          <w:p w14:paraId="6DB16B69"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-0.537</w:t>
            </w:r>
            <w:r>
              <w:rPr>
                <w:sz w:val="22"/>
                <w:szCs w:val="22"/>
                <w:vertAlign w:val="superscript"/>
              </w:rPr>
              <w:t>***</w:t>
            </w:r>
          </w:p>
        </w:tc>
        <w:tc>
          <w:tcPr>
            <w:tcW w:w="1125" w:type="dxa"/>
            <w:hideMark/>
          </w:tcPr>
          <w:p w14:paraId="4A72846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(-2.99)</w:t>
            </w:r>
          </w:p>
        </w:tc>
      </w:tr>
      <w:tr w:rsidR="00407106" w14:paraId="50868375" w14:textId="77777777" w:rsidTr="00407106">
        <w:tc>
          <w:tcPr>
            <w:tcW w:w="2610" w:type="dxa"/>
            <w:hideMark/>
          </w:tcPr>
          <w:p w14:paraId="3AC08815"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LOGHORIZON</w:t>
            </w:r>
          </w:p>
        </w:tc>
        <w:tc>
          <w:tcPr>
            <w:tcW w:w="1125" w:type="dxa"/>
            <w:hideMark/>
          </w:tcPr>
          <w:p w14:paraId="07315830"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-0.172</w:t>
            </w:r>
            <w:r>
              <w:rPr>
                <w:sz w:val="22"/>
                <w:szCs w:val="22"/>
                <w:vertAlign w:val="superscript"/>
              </w:rPr>
              <w:t>***</w:t>
            </w:r>
          </w:p>
        </w:tc>
        <w:tc>
          <w:tcPr>
            <w:tcW w:w="1125" w:type="dxa"/>
            <w:hideMark/>
          </w:tcPr>
          <w:p w14:paraId="0B10D2A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(-3.58)</w:t>
            </w:r>
          </w:p>
        </w:tc>
        <w:tc>
          <w:tcPr>
            <w:tcW w:w="1125" w:type="dxa"/>
            <w:hideMark/>
          </w:tcPr>
          <w:p w14:paraId="1F6E006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0.319</w:t>
            </w:r>
            <w:r>
              <w:rPr>
                <w:sz w:val="22"/>
                <w:szCs w:val="22"/>
                <w:vertAlign w:val="superscript"/>
              </w:rPr>
              <w:t>***</w:t>
            </w:r>
          </w:p>
        </w:tc>
        <w:tc>
          <w:tcPr>
            <w:tcW w:w="1125" w:type="dxa"/>
            <w:hideMark/>
          </w:tcPr>
          <w:p w14:paraId="5A12179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(4.48)</w:t>
            </w:r>
          </w:p>
        </w:tc>
        <w:tc>
          <w:tcPr>
            <w:tcW w:w="1125" w:type="dxa"/>
            <w:hideMark/>
          </w:tcPr>
          <w:p w14:paraId="031F7065"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-0.287</w:t>
            </w:r>
            <w:r>
              <w:rPr>
                <w:sz w:val="22"/>
                <w:szCs w:val="22"/>
                <w:vertAlign w:val="superscript"/>
              </w:rPr>
              <w:t>**</w:t>
            </w:r>
          </w:p>
        </w:tc>
        <w:tc>
          <w:tcPr>
            <w:tcW w:w="1125" w:type="dxa"/>
            <w:hideMark/>
          </w:tcPr>
          <w:p w14:paraId="68278E2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(-2.29)</w:t>
            </w:r>
          </w:p>
        </w:tc>
      </w:tr>
      <w:tr w:rsidR="00407106" w14:paraId="78D835EE" w14:textId="77777777" w:rsidTr="00407106">
        <w:tc>
          <w:tcPr>
            <w:tcW w:w="2610" w:type="dxa"/>
          </w:tcPr>
          <w:p w14:paraId="536DFCF0" w14:textId="77777777" w:rsidR="00407106" w:rsidRDefault="00407106">
            <w:pPr>
              <w:widowControl w:val="0"/>
              <w:autoSpaceDE w:val="0"/>
              <w:autoSpaceDN w:val="0"/>
              <w:adjustRightInd w:val="0"/>
              <w:spacing w:after="0" w:line="240" w:lineRule="auto"/>
              <w:ind w:firstLine="0"/>
              <w:rPr>
                <w:sz w:val="22"/>
                <w:szCs w:val="22"/>
              </w:rPr>
            </w:pPr>
          </w:p>
        </w:tc>
        <w:tc>
          <w:tcPr>
            <w:tcW w:w="1125" w:type="dxa"/>
          </w:tcPr>
          <w:p w14:paraId="3D8D706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761F25B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23F6E40E"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5197A94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4244F6F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6AC3E940"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r>
      <w:tr w:rsidR="00407106" w14:paraId="24E430FE" w14:textId="77777777" w:rsidTr="00407106">
        <w:tc>
          <w:tcPr>
            <w:tcW w:w="2610" w:type="dxa"/>
            <w:hideMark/>
          </w:tcPr>
          <w:p w14:paraId="1999EB11"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Incentive to cover:</w:t>
            </w:r>
          </w:p>
        </w:tc>
        <w:tc>
          <w:tcPr>
            <w:tcW w:w="1125" w:type="dxa"/>
          </w:tcPr>
          <w:p w14:paraId="40DBAB8A"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4650A818"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1F4D8E3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7D54AFB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34E6B982"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12676D99"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r>
      <w:tr w:rsidR="00407106" w14:paraId="2EDE5252" w14:textId="77777777" w:rsidTr="00407106">
        <w:tc>
          <w:tcPr>
            <w:tcW w:w="2610" w:type="dxa"/>
            <w:hideMark/>
          </w:tcPr>
          <w:p w14:paraId="613852C5"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TURN</w:t>
            </w:r>
          </w:p>
        </w:tc>
        <w:tc>
          <w:tcPr>
            <w:tcW w:w="1125" w:type="dxa"/>
            <w:hideMark/>
          </w:tcPr>
          <w:p w14:paraId="48CC28E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-0.000</w:t>
            </w:r>
          </w:p>
        </w:tc>
        <w:tc>
          <w:tcPr>
            <w:tcW w:w="1125" w:type="dxa"/>
            <w:hideMark/>
          </w:tcPr>
          <w:p w14:paraId="5B492D5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(-1.53)</w:t>
            </w:r>
          </w:p>
        </w:tc>
        <w:tc>
          <w:tcPr>
            <w:tcW w:w="1125" w:type="dxa"/>
            <w:hideMark/>
          </w:tcPr>
          <w:p w14:paraId="215DF24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0.001</w:t>
            </w:r>
            <w:r>
              <w:rPr>
                <w:sz w:val="22"/>
                <w:szCs w:val="22"/>
                <w:vertAlign w:val="superscript"/>
              </w:rPr>
              <w:t>**</w:t>
            </w:r>
          </w:p>
        </w:tc>
        <w:tc>
          <w:tcPr>
            <w:tcW w:w="1125" w:type="dxa"/>
            <w:hideMark/>
          </w:tcPr>
          <w:p w14:paraId="2C25193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(2.39)</w:t>
            </w:r>
          </w:p>
        </w:tc>
        <w:tc>
          <w:tcPr>
            <w:tcW w:w="1125" w:type="dxa"/>
            <w:hideMark/>
          </w:tcPr>
          <w:p w14:paraId="2645110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-0.002</w:t>
            </w:r>
            <w:r>
              <w:rPr>
                <w:sz w:val="22"/>
                <w:szCs w:val="22"/>
                <w:vertAlign w:val="superscript"/>
              </w:rPr>
              <w:t>***</w:t>
            </w:r>
          </w:p>
        </w:tc>
        <w:tc>
          <w:tcPr>
            <w:tcW w:w="1125" w:type="dxa"/>
            <w:hideMark/>
          </w:tcPr>
          <w:p w14:paraId="42AAD5F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(-2.82)</w:t>
            </w:r>
          </w:p>
        </w:tc>
      </w:tr>
      <w:tr w:rsidR="00407106" w14:paraId="2A6CA619" w14:textId="77777777" w:rsidTr="00407106">
        <w:tc>
          <w:tcPr>
            <w:tcW w:w="2610" w:type="dxa"/>
            <w:hideMark/>
          </w:tcPr>
          <w:p w14:paraId="2208F07A"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ADV</w:t>
            </w:r>
          </w:p>
        </w:tc>
        <w:tc>
          <w:tcPr>
            <w:tcW w:w="1125" w:type="dxa"/>
            <w:hideMark/>
          </w:tcPr>
          <w:p w14:paraId="4BFE463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-0.966</w:t>
            </w:r>
          </w:p>
        </w:tc>
        <w:tc>
          <w:tcPr>
            <w:tcW w:w="1125" w:type="dxa"/>
            <w:hideMark/>
          </w:tcPr>
          <w:p w14:paraId="74D9B520"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(-1.23)</w:t>
            </w:r>
          </w:p>
        </w:tc>
        <w:tc>
          <w:tcPr>
            <w:tcW w:w="1125" w:type="dxa"/>
            <w:hideMark/>
          </w:tcPr>
          <w:p w14:paraId="5F068F73"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0.222</w:t>
            </w:r>
          </w:p>
        </w:tc>
        <w:tc>
          <w:tcPr>
            <w:tcW w:w="1125" w:type="dxa"/>
            <w:hideMark/>
          </w:tcPr>
          <w:p w14:paraId="19BA0E50"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(0.22)</w:t>
            </w:r>
          </w:p>
        </w:tc>
        <w:tc>
          <w:tcPr>
            <w:tcW w:w="1125" w:type="dxa"/>
            <w:hideMark/>
          </w:tcPr>
          <w:p w14:paraId="11C3DD3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7.384</w:t>
            </w:r>
            <w:r>
              <w:rPr>
                <w:sz w:val="22"/>
                <w:szCs w:val="22"/>
                <w:vertAlign w:val="superscript"/>
              </w:rPr>
              <w:t>***</w:t>
            </w:r>
          </w:p>
        </w:tc>
        <w:tc>
          <w:tcPr>
            <w:tcW w:w="1125" w:type="dxa"/>
            <w:hideMark/>
          </w:tcPr>
          <w:p w14:paraId="220B669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(3.42)</w:t>
            </w:r>
          </w:p>
        </w:tc>
      </w:tr>
      <w:tr w:rsidR="00407106" w14:paraId="6920D00A" w14:textId="77777777" w:rsidTr="00407106">
        <w:tc>
          <w:tcPr>
            <w:tcW w:w="2610" w:type="dxa"/>
            <w:hideMark/>
          </w:tcPr>
          <w:p w14:paraId="252CD9BC"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RND</w:t>
            </w:r>
          </w:p>
        </w:tc>
        <w:tc>
          <w:tcPr>
            <w:tcW w:w="1125" w:type="dxa"/>
            <w:hideMark/>
          </w:tcPr>
          <w:p w14:paraId="44A9D42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1.104</w:t>
            </w:r>
            <w:r>
              <w:rPr>
                <w:sz w:val="22"/>
                <w:szCs w:val="22"/>
                <w:vertAlign w:val="superscript"/>
              </w:rPr>
              <w:t>***</w:t>
            </w:r>
          </w:p>
        </w:tc>
        <w:tc>
          <w:tcPr>
            <w:tcW w:w="1125" w:type="dxa"/>
            <w:hideMark/>
          </w:tcPr>
          <w:p w14:paraId="423D4B6A"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(3.86)</w:t>
            </w:r>
          </w:p>
        </w:tc>
        <w:tc>
          <w:tcPr>
            <w:tcW w:w="1125" w:type="dxa"/>
            <w:hideMark/>
          </w:tcPr>
          <w:p w14:paraId="4482FA8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-1.715</w:t>
            </w:r>
            <w:r>
              <w:rPr>
                <w:sz w:val="22"/>
                <w:szCs w:val="22"/>
                <w:vertAlign w:val="superscript"/>
              </w:rPr>
              <w:t>***</w:t>
            </w:r>
          </w:p>
        </w:tc>
        <w:tc>
          <w:tcPr>
            <w:tcW w:w="1125" w:type="dxa"/>
            <w:hideMark/>
          </w:tcPr>
          <w:p w14:paraId="6FD1B86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(-3.33)</w:t>
            </w:r>
          </w:p>
        </w:tc>
        <w:tc>
          <w:tcPr>
            <w:tcW w:w="1125" w:type="dxa"/>
            <w:hideMark/>
          </w:tcPr>
          <w:p w14:paraId="5B9D0DF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-0.516</w:t>
            </w:r>
          </w:p>
        </w:tc>
        <w:tc>
          <w:tcPr>
            <w:tcW w:w="1125" w:type="dxa"/>
            <w:hideMark/>
          </w:tcPr>
          <w:p w14:paraId="332D3A42"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(-0.51)</w:t>
            </w:r>
          </w:p>
        </w:tc>
      </w:tr>
      <w:tr w:rsidR="00407106" w14:paraId="12C58043" w14:textId="77777777" w:rsidTr="00407106">
        <w:tc>
          <w:tcPr>
            <w:tcW w:w="2610" w:type="dxa"/>
            <w:tcBorders>
              <w:top w:val="nil"/>
              <w:left w:val="nil"/>
              <w:bottom w:val="single" w:sz="4" w:space="0" w:color="auto"/>
              <w:right w:val="nil"/>
            </w:tcBorders>
            <w:hideMark/>
          </w:tcPr>
          <w:p w14:paraId="2AD9F636"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ROA</w:t>
            </w:r>
          </w:p>
        </w:tc>
        <w:tc>
          <w:tcPr>
            <w:tcW w:w="1125" w:type="dxa"/>
            <w:tcBorders>
              <w:top w:val="nil"/>
              <w:left w:val="nil"/>
              <w:bottom w:val="single" w:sz="4" w:space="0" w:color="auto"/>
              <w:right w:val="nil"/>
            </w:tcBorders>
            <w:hideMark/>
          </w:tcPr>
          <w:p w14:paraId="06C742A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0.633</w:t>
            </w:r>
            <w:r>
              <w:rPr>
                <w:sz w:val="22"/>
                <w:szCs w:val="22"/>
                <w:vertAlign w:val="superscript"/>
              </w:rPr>
              <w:t>*</w:t>
            </w:r>
          </w:p>
        </w:tc>
        <w:tc>
          <w:tcPr>
            <w:tcW w:w="1125" w:type="dxa"/>
            <w:tcBorders>
              <w:top w:val="nil"/>
              <w:left w:val="nil"/>
              <w:bottom w:val="single" w:sz="4" w:space="0" w:color="auto"/>
              <w:right w:val="nil"/>
            </w:tcBorders>
            <w:hideMark/>
          </w:tcPr>
          <w:p w14:paraId="2554834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(1.71)</w:t>
            </w:r>
          </w:p>
        </w:tc>
        <w:tc>
          <w:tcPr>
            <w:tcW w:w="1125" w:type="dxa"/>
            <w:tcBorders>
              <w:top w:val="nil"/>
              <w:left w:val="nil"/>
              <w:bottom w:val="single" w:sz="4" w:space="0" w:color="auto"/>
              <w:right w:val="nil"/>
            </w:tcBorders>
            <w:hideMark/>
          </w:tcPr>
          <w:p w14:paraId="363D956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-2.620</w:t>
            </w:r>
            <w:r>
              <w:rPr>
                <w:sz w:val="22"/>
                <w:szCs w:val="22"/>
                <w:vertAlign w:val="superscript"/>
              </w:rPr>
              <w:t>***</w:t>
            </w:r>
          </w:p>
        </w:tc>
        <w:tc>
          <w:tcPr>
            <w:tcW w:w="1125" w:type="dxa"/>
            <w:tcBorders>
              <w:top w:val="nil"/>
              <w:left w:val="nil"/>
              <w:bottom w:val="single" w:sz="4" w:space="0" w:color="auto"/>
              <w:right w:val="nil"/>
            </w:tcBorders>
            <w:hideMark/>
          </w:tcPr>
          <w:p w14:paraId="739A9E3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(-4.01)</w:t>
            </w:r>
          </w:p>
        </w:tc>
        <w:tc>
          <w:tcPr>
            <w:tcW w:w="1125" w:type="dxa"/>
            <w:tcBorders>
              <w:top w:val="nil"/>
              <w:left w:val="nil"/>
              <w:bottom w:val="single" w:sz="4" w:space="0" w:color="auto"/>
              <w:right w:val="nil"/>
            </w:tcBorders>
            <w:hideMark/>
          </w:tcPr>
          <w:p w14:paraId="0DB4641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-2.209</w:t>
            </w:r>
            <w:r>
              <w:rPr>
                <w:sz w:val="22"/>
                <w:szCs w:val="22"/>
                <w:vertAlign w:val="superscript"/>
              </w:rPr>
              <w:t>**</w:t>
            </w:r>
          </w:p>
        </w:tc>
        <w:tc>
          <w:tcPr>
            <w:tcW w:w="1125" w:type="dxa"/>
            <w:tcBorders>
              <w:top w:val="nil"/>
              <w:left w:val="nil"/>
              <w:bottom w:val="single" w:sz="4" w:space="0" w:color="auto"/>
              <w:right w:val="nil"/>
            </w:tcBorders>
            <w:hideMark/>
          </w:tcPr>
          <w:p w14:paraId="5C71BF5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(-2.03)</w:t>
            </w:r>
          </w:p>
        </w:tc>
      </w:tr>
    </w:tbl>
    <w:p w14:paraId="3DD64B27" w14:textId="77777777" w:rsidR="00407106" w:rsidRDefault="00407106" w:rsidP="00407106">
      <w:pPr>
        <w:keepNext/>
        <w:widowControl w:val="0"/>
        <w:autoSpaceDE w:val="0"/>
        <w:autoSpaceDN w:val="0"/>
        <w:adjustRightInd w:val="0"/>
        <w:spacing w:after="0" w:line="240" w:lineRule="auto"/>
        <w:ind w:firstLine="0"/>
        <w:jc w:val="center"/>
        <w:rPr>
          <w:b/>
        </w:rPr>
      </w:pPr>
    </w:p>
    <w:p w14:paraId="610DF593" w14:textId="77777777" w:rsidR="00407106" w:rsidRDefault="00407106" w:rsidP="00407106">
      <w:pPr>
        <w:spacing w:line="276" w:lineRule="auto"/>
        <w:ind w:firstLine="0"/>
        <w:jc w:val="left"/>
        <w:rPr>
          <w:b/>
        </w:rPr>
      </w:pPr>
      <w:r>
        <w:rPr>
          <w:b/>
        </w:rPr>
        <w:br w:type="page"/>
      </w:r>
    </w:p>
    <w:p w14:paraId="6F930382" w14:textId="77777777" w:rsidR="00407106" w:rsidRDefault="00407106" w:rsidP="00407106">
      <w:pPr>
        <w:keepNext/>
        <w:widowControl w:val="0"/>
        <w:autoSpaceDE w:val="0"/>
        <w:autoSpaceDN w:val="0"/>
        <w:adjustRightInd w:val="0"/>
        <w:spacing w:after="0" w:line="240" w:lineRule="auto"/>
        <w:ind w:firstLine="0"/>
        <w:jc w:val="center"/>
        <w:rPr>
          <w:b/>
        </w:rPr>
      </w:pPr>
      <w:r>
        <w:rPr>
          <w:b/>
        </w:rPr>
        <w:lastRenderedPageBreak/>
        <w:t xml:space="preserve">TABLE 5 – </w:t>
      </w:r>
      <w:r>
        <w:rPr>
          <w:i/>
        </w:rPr>
        <w:t>Continued</w:t>
      </w:r>
    </w:p>
    <w:p w14:paraId="75FA7CC6" w14:textId="77777777" w:rsidR="00407106" w:rsidRDefault="00407106" w:rsidP="00407106">
      <w:pPr>
        <w:keepNext/>
        <w:widowControl w:val="0"/>
        <w:autoSpaceDE w:val="0"/>
        <w:autoSpaceDN w:val="0"/>
        <w:adjustRightInd w:val="0"/>
        <w:spacing w:after="0" w:line="240" w:lineRule="auto"/>
        <w:ind w:firstLine="0"/>
        <w:jc w:val="center"/>
      </w:pPr>
      <w:r>
        <w:rPr>
          <w:i/>
        </w:rPr>
        <w:t>Accounting complexity based on financial statements and notes and forecast accuracy &amp; dispersion and value of recommendation revisions: firm-year level sample</w:t>
      </w:r>
    </w:p>
    <w:tbl>
      <w:tblPr>
        <w:tblW w:w="0" w:type="dxa"/>
        <w:tblLayout w:type="fixed"/>
        <w:tblLook w:val="04A0" w:firstRow="1" w:lastRow="0" w:firstColumn="1" w:lastColumn="0" w:noHBand="0" w:noVBand="1"/>
      </w:tblPr>
      <w:tblGrid>
        <w:gridCol w:w="2610"/>
        <w:gridCol w:w="1125"/>
        <w:gridCol w:w="1125"/>
        <w:gridCol w:w="1125"/>
        <w:gridCol w:w="1125"/>
        <w:gridCol w:w="1125"/>
        <w:gridCol w:w="1125"/>
      </w:tblGrid>
      <w:tr w:rsidR="00407106" w14:paraId="63BEC3D1" w14:textId="77777777" w:rsidTr="00407106">
        <w:trPr>
          <w:trHeight w:hRule="exact" w:val="360"/>
        </w:trPr>
        <w:tc>
          <w:tcPr>
            <w:tcW w:w="2610" w:type="dxa"/>
            <w:tcBorders>
              <w:top w:val="single" w:sz="4" w:space="0" w:color="auto"/>
              <w:left w:val="nil"/>
              <w:bottom w:val="single" w:sz="4" w:space="0" w:color="auto"/>
              <w:right w:val="nil"/>
            </w:tcBorders>
            <w:vAlign w:val="center"/>
            <w:hideMark/>
          </w:tcPr>
          <w:p w14:paraId="25919D29"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2250" w:type="dxa"/>
            <w:gridSpan w:val="2"/>
            <w:tcBorders>
              <w:top w:val="single" w:sz="4" w:space="0" w:color="auto"/>
              <w:left w:val="nil"/>
              <w:bottom w:val="single" w:sz="4" w:space="0" w:color="auto"/>
              <w:right w:val="nil"/>
            </w:tcBorders>
            <w:vAlign w:val="center"/>
            <w:hideMark/>
          </w:tcPr>
          <w:p w14:paraId="5E46F0A7"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ACCURACY</w:t>
            </w:r>
          </w:p>
        </w:tc>
        <w:tc>
          <w:tcPr>
            <w:tcW w:w="2250" w:type="dxa"/>
            <w:gridSpan w:val="2"/>
            <w:tcBorders>
              <w:top w:val="single" w:sz="4" w:space="0" w:color="auto"/>
              <w:left w:val="nil"/>
              <w:bottom w:val="single" w:sz="4" w:space="0" w:color="auto"/>
              <w:right w:val="nil"/>
            </w:tcBorders>
            <w:vAlign w:val="center"/>
            <w:hideMark/>
          </w:tcPr>
          <w:p w14:paraId="628B30CD"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FORDISP</w:t>
            </w:r>
          </w:p>
        </w:tc>
        <w:tc>
          <w:tcPr>
            <w:tcW w:w="2250" w:type="dxa"/>
            <w:gridSpan w:val="2"/>
            <w:tcBorders>
              <w:top w:val="single" w:sz="4" w:space="0" w:color="auto"/>
              <w:left w:val="nil"/>
              <w:bottom w:val="single" w:sz="4" w:space="0" w:color="auto"/>
              <w:right w:val="nil"/>
            </w:tcBorders>
            <w:vAlign w:val="center"/>
            <w:hideMark/>
          </w:tcPr>
          <w:p w14:paraId="10DC052A" w14:textId="77777777" w:rsidR="00407106" w:rsidRDefault="00407106">
            <w:pPr>
              <w:widowControl w:val="0"/>
              <w:autoSpaceDE w:val="0"/>
              <w:autoSpaceDN w:val="0"/>
              <w:adjustRightInd w:val="0"/>
              <w:spacing w:after="0" w:line="240" w:lineRule="auto"/>
              <w:ind w:firstLine="0"/>
              <w:jc w:val="center"/>
              <w:rPr>
                <w:i/>
                <w:sz w:val="22"/>
                <w:szCs w:val="22"/>
              </w:rPr>
            </w:pPr>
            <w:r>
              <w:rPr>
                <w:i/>
                <w:sz w:val="22"/>
                <w:szCs w:val="22"/>
              </w:rPr>
              <w:t>RECVAL</w:t>
            </w:r>
          </w:p>
        </w:tc>
      </w:tr>
      <w:tr w:rsidR="00407106" w14:paraId="4BD4C7ED" w14:textId="77777777" w:rsidTr="00407106">
        <w:trPr>
          <w:trHeight w:hRule="exact" w:val="360"/>
        </w:trPr>
        <w:tc>
          <w:tcPr>
            <w:tcW w:w="2610" w:type="dxa"/>
            <w:tcBorders>
              <w:top w:val="single" w:sz="4" w:space="0" w:color="auto"/>
              <w:left w:val="nil"/>
              <w:bottom w:val="single" w:sz="4" w:space="0" w:color="auto"/>
              <w:right w:val="nil"/>
            </w:tcBorders>
            <w:vAlign w:val="center"/>
          </w:tcPr>
          <w:p w14:paraId="286B2589" w14:textId="77777777" w:rsidR="00407106" w:rsidRDefault="00407106">
            <w:pPr>
              <w:widowControl w:val="0"/>
              <w:autoSpaceDE w:val="0"/>
              <w:autoSpaceDN w:val="0"/>
              <w:adjustRightInd w:val="0"/>
              <w:spacing w:after="0" w:line="240" w:lineRule="auto"/>
              <w:ind w:firstLine="0"/>
              <w:jc w:val="center"/>
              <w:rPr>
                <w:sz w:val="22"/>
                <w:szCs w:val="22"/>
              </w:rPr>
            </w:pPr>
          </w:p>
        </w:tc>
        <w:tc>
          <w:tcPr>
            <w:tcW w:w="2250" w:type="dxa"/>
            <w:gridSpan w:val="2"/>
            <w:tcBorders>
              <w:top w:val="single" w:sz="4" w:space="0" w:color="auto"/>
              <w:left w:val="nil"/>
              <w:bottom w:val="single" w:sz="4" w:space="0" w:color="auto"/>
              <w:right w:val="nil"/>
            </w:tcBorders>
            <w:vAlign w:val="center"/>
            <w:hideMark/>
          </w:tcPr>
          <w:p w14:paraId="318BAED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2250" w:type="dxa"/>
            <w:gridSpan w:val="2"/>
            <w:tcBorders>
              <w:top w:val="single" w:sz="4" w:space="0" w:color="auto"/>
              <w:left w:val="nil"/>
              <w:bottom w:val="single" w:sz="4" w:space="0" w:color="auto"/>
              <w:right w:val="nil"/>
            </w:tcBorders>
            <w:vAlign w:val="center"/>
            <w:hideMark/>
          </w:tcPr>
          <w:p w14:paraId="56C05A0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2250" w:type="dxa"/>
            <w:gridSpan w:val="2"/>
            <w:tcBorders>
              <w:top w:val="single" w:sz="4" w:space="0" w:color="auto"/>
              <w:left w:val="nil"/>
              <w:bottom w:val="single" w:sz="4" w:space="0" w:color="auto"/>
              <w:right w:val="nil"/>
            </w:tcBorders>
            <w:vAlign w:val="center"/>
            <w:hideMark/>
          </w:tcPr>
          <w:p w14:paraId="2C4AC78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r>
      <w:tr w:rsidR="00407106" w14:paraId="087FB9E3" w14:textId="77777777" w:rsidTr="00407106">
        <w:tc>
          <w:tcPr>
            <w:tcW w:w="2610" w:type="dxa"/>
            <w:hideMark/>
          </w:tcPr>
          <w:p w14:paraId="3D06B90C"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Complexity:</w:t>
            </w:r>
          </w:p>
        </w:tc>
        <w:tc>
          <w:tcPr>
            <w:tcW w:w="1125" w:type="dxa"/>
          </w:tcPr>
          <w:p w14:paraId="45F5D50E"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02FB4FC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7E3163E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47D1AAF9"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5198E32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714F410E"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r>
      <w:tr w:rsidR="00407106" w14:paraId="4100738D" w14:textId="77777777" w:rsidTr="00407106">
        <w:tc>
          <w:tcPr>
            <w:tcW w:w="2610" w:type="dxa"/>
            <w:hideMark/>
          </w:tcPr>
          <w:p w14:paraId="270B006C"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FOROPS</w:t>
            </w:r>
          </w:p>
        </w:tc>
        <w:tc>
          <w:tcPr>
            <w:tcW w:w="1125" w:type="dxa"/>
            <w:hideMark/>
          </w:tcPr>
          <w:p w14:paraId="6C1C0998"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0.095</w:t>
            </w:r>
            <w:r>
              <w:rPr>
                <w:sz w:val="22"/>
                <w:szCs w:val="22"/>
                <w:vertAlign w:val="superscript"/>
              </w:rPr>
              <w:t>**</w:t>
            </w:r>
          </w:p>
        </w:tc>
        <w:tc>
          <w:tcPr>
            <w:tcW w:w="1125" w:type="dxa"/>
            <w:hideMark/>
          </w:tcPr>
          <w:p w14:paraId="0AA90EA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(2.11)</w:t>
            </w:r>
          </w:p>
        </w:tc>
        <w:tc>
          <w:tcPr>
            <w:tcW w:w="1125" w:type="dxa"/>
            <w:hideMark/>
          </w:tcPr>
          <w:p w14:paraId="12A4991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-0.117</w:t>
            </w:r>
            <w:r>
              <w:rPr>
                <w:sz w:val="22"/>
                <w:szCs w:val="22"/>
                <w:vertAlign w:val="superscript"/>
              </w:rPr>
              <w:t>*</w:t>
            </w:r>
          </w:p>
        </w:tc>
        <w:tc>
          <w:tcPr>
            <w:tcW w:w="1125" w:type="dxa"/>
            <w:hideMark/>
          </w:tcPr>
          <w:p w14:paraId="4F925243"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(-1.66)</w:t>
            </w:r>
          </w:p>
        </w:tc>
        <w:tc>
          <w:tcPr>
            <w:tcW w:w="1125" w:type="dxa"/>
            <w:hideMark/>
          </w:tcPr>
          <w:p w14:paraId="3B6AA9A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-0.096</w:t>
            </w:r>
          </w:p>
        </w:tc>
        <w:tc>
          <w:tcPr>
            <w:tcW w:w="1125" w:type="dxa"/>
            <w:hideMark/>
          </w:tcPr>
          <w:p w14:paraId="05FC7425"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(-0.72)</w:t>
            </w:r>
          </w:p>
        </w:tc>
      </w:tr>
      <w:tr w:rsidR="00407106" w14:paraId="1C01A057" w14:textId="77777777" w:rsidTr="00407106">
        <w:tc>
          <w:tcPr>
            <w:tcW w:w="2610" w:type="dxa"/>
            <w:hideMark/>
          </w:tcPr>
          <w:p w14:paraId="495DC655"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LOGSGMT</w:t>
            </w:r>
          </w:p>
        </w:tc>
        <w:tc>
          <w:tcPr>
            <w:tcW w:w="1125" w:type="dxa"/>
            <w:hideMark/>
          </w:tcPr>
          <w:p w14:paraId="2D8E8A1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-0.040</w:t>
            </w:r>
          </w:p>
        </w:tc>
        <w:tc>
          <w:tcPr>
            <w:tcW w:w="1125" w:type="dxa"/>
            <w:hideMark/>
          </w:tcPr>
          <w:p w14:paraId="50554F3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(-1.07)</w:t>
            </w:r>
          </w:p>
        </w:tc>
        <w:tc>
          <w:tcPr>
            <w:tcW w:w="1125" w:type="dxa"/>
            <w:hideMark/>
          </w:tcPr>
          <w:p w14:paraId="73CC6178"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0.083</w:t>
            </w:r>
          </w:p>
        </w:tc>
        <w:tc>
          <w:tcPr>
            <w:tcW w:w="1125" w:type="dxa"/>
            <w:hideMark/>
          </w:tcPr>
          <w:p w14:paraId="02C421C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(1.51)</w:t>
            </w:r>
          </w:p>
        </w:tc>
        <w:tc>
          <w:tcPr>
            <w:tcW w:w="1125" w:type="dxa"/>
            <w:hideMark/>
          </w:tcPr>
          <w:p w14:paraId="3951437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-0.089</w:t>
            </w:r>
          </w:p>
        </w:tc>
        <w:tc>
          <w:tcPr>
            <w:tcW w:w="1125" w:type="dxa"/>
            <w:hideMark/>
          </w:tcPr>
          <w:p w14:paraId="7D96C49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(-1.05)</w:t>
            </w:r>
          </w:p>
        </w:tc>
      </w:tr>
      <w:tr w:rsidR="00407106" w14:paraId="520BBC5E" w14:textId="77777777" w:rsidTr="00407106">
        <w:tc>
          <w:tcPr>
            <w:tcW w:w="2610" w:type="dxa"/>
            <w:hideMark/>
          </w:tcPr>
          <w:p w14:paraId="0570F344"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EARNVOL</w:t>
            </w:r>
          </w:p>
        </w:tc>
        <w:tc>
          <w:tcPr>
            <w:tcW w:w="1125" w:type="dxa"/>
            <w:hideMark/>
          </w:tcPr>
          <w:p w14:paraId="59311A05"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0.005</w:t>
            </w:r>
          </w:p>
        </w:tc>
        <w:tc>
          <w:tcPr>
            <w:tcW w:w="1125" w:type="dxa"/>
            <w:hideMark/>
          </w:tcPr>
          <w:p w14:paraId="4BC012F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(1.10)</w:t>
            </w:r>
          </w:p>
        </w:tc>
        <w:tc>
          <w:tcPr>
            <w:tcW w:w="1125" w:type="dxa"/>
            <w:hideMark/>
          </w:tcPr>
          <w:p w14:paraId="22A5B108"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0.033</w:t>
            </w:r>
            <w:r>
              <w:rPr>
                <w:sz w:val="22"/>
                <w:szCs w:val="22"/>
                <w:vertAlign w:val="superscript"/>
              </w:rPr>
              <w:t>***</w:t>
            </w:r>
          </w:p>
        </w:tc>
        <w:tc>
          <w:tcPr>
            <w:tcW w:w="1125" w:type="dxa"/>
            <w:hideMark/>
          </w:tcPr>
          <w:p w14:paraId="4985451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(4.06)</w:t>
            </w:r>
          </w:p>
        </w:tc>
        <w:tc>
          <w:tcPr>
            <w:tcW w:w="1125" w:type="dxa"/>
            <w:hideMark/>
          </w:tcPr>
          <w:p w14:paraId="18B769C1"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-0.002</w:t>
            </w:r>
          </w:p>
        </w:tc>
        <w:tc>
          <w:tcPr>
            <w:tcW w:w="1125" w:type="dxa"/>
            <w:hideMark/>
          </w:tcPr>
          <w:p w14:paraId="4F60DD0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(-0.15)</w:t>
            </w:r>
          </w:p>
        </w:tc>
      </w:tr>
      <w:tr w:rsidR="00407106" w14:paraId="11BB5D65" w14:textId="77777777" w:rsidTr="00407106">
        <w:tc>
          <w:tcPr>
            <w:tcW w:w="2610" w:type="dxa"/>
            <w:hideMark/>
          </w:tcPr>
          <w:p w14:paraId="27463ACA"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FOG10K</w:t>
            </w:r>
          </w:p>
        </w:tc>
        <w:tc>
          <w:tcPr>
            <w:tcW w:w="1125" w:type="dxa"/>
            <w:hideMark/>
          </w:tcPr>
          <w:p w14:paraId="4C4A2CA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-0.015</w:t>
            </w:r>
          </w:p>
        </w:tc>
        <w:tc>
          <w:tcPr>
            <w:tcW w:w="1125" w:type="dxa"/>
            <w:hideMark/>
          </w:tcPr>
          <w:p w14:paraId="549FD14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(-0.72)</w:t>
            </w:r>
          </w:p>
        </w:tc>
        <w:tc>
          <w:tcPr>
            <w:tcW w:w="1125" w:type="dxa"/>
            <w:hideMark/>
          </w:tcPr>
          <w:p w14:paraId="122C0C4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0.045</w:t>
            </w:r>
          </w:p>
        </w:tc>
        <w:tc>
          <w:tcPr>
            <w:tcW w:w="1125" w:type="dxa"/>
            <w:hideMark/>
          </w:tcPr>
          <w:p w14:paraId="3EE09D58"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(1.51)</w:t>
            </w:r>
          </w:p>
        </w:tc>
        <w:tc>
          <w:tcPr>
            <w:tcW w:w="1125" w:type="dxa"/>
            <w:hideMark/>
          </w:tcPr>
          <w:p w14:paraId="4A011BB9"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-0.019</w:t>
            </w:r>
          </w:p>
        </w:tc>
        <w:tc>
          <w:tcPr>
            <w:tcW w:w="1125" w:type="dxa"/>
            <w:hideMark/>
          </w:tcPr>
          <w:p w14:paraId="2791717C"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(-0.39)</w:t>
            </w:r>
          </w:p>
        </w:tc>
      </w:tr>
      <w:tr w:rsidR="00407106" w14:paraId="18B4DE79" w14:textId="77777777" w:rsidTr="00407106">
        <w:tc>
          <w:tcPr>
            <w:tcW w:w="2610" w:type="dxa"/>
            <w:hideMark/>
          </w:tcPr>
          <w:p w14:paraId="5BFA99C5"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LOGWORDS</w:t>
            </w:r>
          </w:p>
        </w:tc>
        <w:tc>
          <w:tcPr>
            <w:tcW w:w="1125" w:type="dxa"/>
            <w:hideMark/>
          </w:tcPr>
          <w:p w14:paraId="37EA0F9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-0.166</w:t>
            </w:r>
            <w:r>
              <w:rPr>
                <w:sz w:val="22"/>
                <w:szCs w:val="22"/>
                <w:vertAlign w:val="superscript"/>
              </w:rPr>
              <w:t>**</w:t>
            </w:r>
          </w:p>
        </w:tc>
        <w:tc>
          <w:tcPr>
            <w:tcW w:w="1125" w:type="dxa"/>
            <w:hideMark/>
          </w:tcPr>
          <w:p w14:paraId="29657C82"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(-2.02)</w:t>
            </w:r>
          </w:p>
        </w:tc>
        <w:tc>
          <w:tcPr>
            <w:tcW w:w="1125" w:type="dxa"/>
            <w:hideMark/>
          </w:tcPr>
          <w:p w14:paraId="356660D7"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0.117</w:t>
            </w:r>
          </w:p>
        </w:tc>
        <w:tc>
          <w:tcPr>
            <w:tcW w:w="1125" w:type="dxa"/>
            <w:hideMark/>
          </w:tcPr>
          <w:p w14:paraId="339DFB3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(0.89)</w:t>
            </w:r>
          </w:p>
        </w:tc>
        <w:tc>
          <w:tcPr>
            <w:tcW w:w="1125" w:type="dxa"/>
            <w:hideMark/>
          </w:tcPr>
          <w:p w14:paraId="4EBC128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0.410</w:t>
            </w:r>
            <w:r>
              <w:rPr>
                <w:sz w:val="22"/>
                <w:szCs w:val="22"/>
                <w:vertAlign w:val="superscript"/>
              </w:rPr>
              <w:t>**</w:t>
            </w:r>
          </w:p>
        </w:tc>
        <w:tc>
          <w:tcPr>
            <w:tcW w:w="1125" w:type="dxa"/>
            <w:hideMark/>
          </w:tcPr>
          <w:p w14:paraId="20207853"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(2.22)</w:t>
            </w:r>
          </w:p>
        </w:tc>
      </w:tr>
      <w:tr w:rsidR="00407106" w14:paraId="01878A7C" w14:textId="77777777" w:rsidTr="00407106">
        <w:tc>
          <w:tcPr>
            <w:tcW w:w="2610" w:type="dxa"/>
          </w:tcPr>
          <w:p w14:paraId="6DC78505" w14:textId="77777777" w:rsidR="00407106" w:rsidRDefault="00407106">
            <w:pPr>
              <w:widowControl w:val="0"/>
              <w:autoSpaceDE w:val="0"/>
              <w:autoSpaceDN w:val="0"/>
              <w:adjustRightInd w:val="0"/>
              <w:spacing w:after="0" w:line="240" w:lineRule="auto"/>
              <w:ind w:firstLine="0"/>
              <w:rPr>
                <w:i/>
                <w:sz w:val="22"/>
                <w:szCs w:val="22"/>
              </w:rPr>
            </w:pPr>
          </w:p>
        </w:tc>
        <w:tc>
          <w:tcPr>
            <w:tcW w:w="1125" w:type="dxa"/>
          </w:tcPr>
          <w:p w14:paraId="1A471272"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339B5C2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6A2C367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3D324055"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4BDAD332"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24E50899"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r>
      <w:tr w:rsidR="00407106" w14:paraId="27B37D7C" w14:textId="77777777" w:rsidTr="00407106">
        <w:tc>
          <w:tcPr>
            <w:tcW w:w="2610" w:type="dxa"/>
            <w:hideMark/>
          </w:tcPr>
          <w:p w14:paraId="47D873AA"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Uncertainty:</w:t>
            </w:r>
          </w:p>
        </w:tc>
        <w:tc>
          <w:tcPr>
            <w:tcW w:w="1125" w:type="dxa"/>
          </w:tcPr>
          <w:p w14:paraId="55DA1893"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2AEDA03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7928052A"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0F5B1C63"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355CCCD2"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c>
          <w:tcPr>
            <w:tcW w:w="1125" w:type="dxa"/>
          </w:tcPr>
          <w:p w14:paraId="442A595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p>
        </w:tc>
      </w:tr>
      <w:tr w:rsidR="00407106" w14:paraId="0890731B" w14:textId="77777777" w:rsidTr="00407106">
        <w:tc>
          <w:tcPr>
            <w:tcW w:w="2610" w:type="dxa"/>
            <w:hideMark/>
          </w:tcPr>
          <w:p w14:paraId="2BE1CE12"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STDRET</w:t>
            </w:r>
          </w:p>
        </w:tc>
        <w:tc>
          <w:tcPr>
            <w:tcW w:w="1125" w:type="dxa"/>
            <w:hideMark/>
          </w:tcPr>
          <w:p w14:paraId="10AB6215"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-0.241</w:t>
            </w:r>
            <w:r>
              <w:rPr>
                <w:sz w:val="22"/>
                <w:szCs w:val="22"/>
                <w:vertAlign w:val="superscript"/>
              </w:rPr>
              <w:t>***</w:t>
            </w:r>
          </w:p>
        </w:tc>
        <w:tc>
          <w:tcPr>
            <w:tcW w:w="1125" w:type="dxa"/>
            <w:hideMark/>
          </w:tcPr>
          <w:p w14:paraId="19DE756E"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(-4.19)</w:t>
            </w:r>
          </w:p>
        </w:tc>
        <w:tc>
          <w:tcPr>
            <w:tcW w:w="1125" w:type="dxa"/>
            <w:hideMark/>
          </w:tcPr>
          <w:p w14:paraId="064BC07A"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0.596</w:t>
            </w:r>
            <w:r>
              <w:rPr>
                <w:sz w:val="22"/>
                <w:szCs w:val="22"/>
                <w:vertAlign w:val="superscript"/>
              </w:rPr>
              <w:t>***</w:t>
            </w:r>
          </w:p>
        </w:tc>
        <w:tc>
          <w:tcPr>
            <w:tcW w:w="1125" w:type="dxa"/>
            <w:hideMark/>
          </w:tcPr>
          <w:p w14:paraId="2323AEB0"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(6.54)</w:t>
            </w:r>
          </w:p>
        </w:tc>
        <w:tc>
          <w:tcPr>
            <w:tcW w:w="1125" w:type="dxa"/>
            <w:hideMark/>
          </w:tcPr>
          <w:p w14:paraId="2AF1496A"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1.904</w:t>
            </w:r>
            <w:r>
              <w:rPr>
                <w:sz w:val="22"/>
                <w:szCs w:val="22"/>
                <w:vertAlign w:val="superscript"/>
              </w:rPr>
              <w:t>***</w:t>
            </w:r>
          </w:p>
        </w:tc>
        <w:tc>
          <w:tcPr>
            <w:tcW w:w="1125" w:type="dxa"/>
            <w:hideMark/>
          </w:tcPr>
          <w:p w14:paraId="059A392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(10.56)</w:t>
            </w:r>
          </w:p>
        </w:tc>
      </w:tr>
      <w:tr w:rsidR="00407106" w14:paraId="5F3A0550" w14:textId="77777777" w:rsidTr="00407106">
        <w:tc>
          <w:tcPr>
            <w:tcW w:w="2610" w:type="dxa"/>
            <w:hideMark/>
          </w:tcPr>
          <w:p w14:paraId="289C7AAC"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LOSS</w:t>
            </w:r>
          </w:p>
        </w:tc>
        <w:tc>
          <w:tcPr>
            <w:tcW w:w="1125" w:type="dxa"/>
            <w:hideMark/>
          </w:tcPr>
          <w:p w14:paraId="161AE43D"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-0.867</w:t>
            </w:r>
            <w:r>
              <w:rPr>
                <w:sz w:val="22"/>
                <w:szCs w:val="22"/>
                <w:vertAlign w:val="superscript"/>
              </w:rPr>
              <w:t>***</w:t>
            </w:r>
          </w:p>
        </w:tc>
        <w:tc>
          <w:tcPr>
            <w:tcW w:w="1125" w:type="dxa"/>
            <w:hideMark/>
          </w:tcPr>
          <w:p w14:paraId="20B2C424"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(-8.79)</w:t>
            </w:r>
          </w:p>
        </w:tc>
        <w:tc>
          <w:tcPr>
            <w:tcW w:w="1125" w:type="dxa"/>
            <w:hideMark/>
          </w:tcPr>
          <w:p w14:paraId="051B539A"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1.202</w:t>
            </w:r>
            <w:r>
              <w:rPr>
                <w:sz w:val="22"/>
                <w:szCs w:val="22"/>
                <w:vertAlign w:val="superscript"/>
              </w:rPr>
              <w:t>***</w:t>
            </w:r>
          </w:p>
        </w:tc>
        <w:tc>
          <w:tcPr>
            <w:tcW w:w="1125" w:type="dxa"/>
            <w:hideMark/>
          </w:tcPr>
          <w:p w14:paraId="0462E91B"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(8.45)</w:t>
            </w:r>
          </w:p>
        </w:tc>
        <w:tc>
          <w:tcPr>
            <w:tcW w:w="1125" w:type="dxa"/>
            <w:hideMark/>
          </w:tcPr>
          <w:p w14:paraId="61956016"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0.137</w:t>
            </w:r>
          </w:p>
        </w:tc>
        <w:tc>
          <w:tcPr>
            <w:tcW w:w="1125" w:type="dxa"/>
            <w:hideMark/>
          </w:tcPr>
          <w:p w14:paraId="3A941D6F" w14:textId="77777777" w:rsidR="00407106" w:rsidRDefault="00407106">
            <w:pPr>
              <w:widowControl w:val="0"/>
              <w:tabs>
                <w:tab w:val="decimal" w:pos="252"/>
              </w:tabs>
              <w:autoSpaceDE w:val="0"/>
              <w:autoSpaceDN w:val="0"/>
              <w:adjustRightInd w:val="0"/>
              <w:spacing w:after="0" w:line="240" w:lineRule="auto"/>
              <w:ind w:firstLine="0"/>
              <w:jc w:val="left"/>
              <w:rPr>
                <w:sz w:val="22"/>
                <w:szCs w:val="22"/>
              </w:rPr>
            </w:pPr>
            <w:r>
              <w:rPr>
                <w:sz w:val="22"/>
                <w:szCs w:val="22"/>
              </w:rPr>
              <w:t>(0.50)</w:t>
            </w:r>
          </w:p>
        </w:tc>
      </w:tr>
      <w:tr w:rsidR="00407106" w14:paraId="4205C1F4" w14:textId="77777777" w:rsidTr="00407106">
        <w:tc>
          <w:tcPr>
            <w:tcW w:w="2610" w:type="dxa"/>
          </w:tcPr>
          <w:p w14:paraId="4FEAADAC" w14:textId="77777777" w:rsidR="00407106" w:rsidRDefault="00407106">
            <w:pPr>
              <w:widowControl w:val="0"/>
              <w:autoSpaceDE w:val="0"/>
              <w:autoSpaceDN w:val="0"/>
              <w:adjustRightInd w:val="0"/>
              <w:spacing w:after="0" w:line="240" w:lineRule="auto"/>
              <w:ind w:firstLine="0"/>
              <w:rPr>
                <w:sz w:val="22"/>
                <w:szCs w:val="22"/>
              </w:rPr>
            </w:pPr>
          </w:p>
        </w:tc>
        <w:tc>
          <w:tcPr>
            <w:tcW w:w="1125" w:type="dxa"/>
          </w:tcPr>
          <w:p w14:paraId="791570A1" w14:textId="77777777" w:rsidR="00407106" w:rsidRDefault="00407106">
            <w:pPr>
              <w:widowControl w:val="0"/>
              <w:autoSpaceDE w:val="0"/>
              <w:autoSpaceDN w:val="0"/>
              <w:adjustRightInd w:val="0"/>
              <w:spacing w:after="0" w:line="240" w:lineRule="auto"/>
              <w:ind w:firstLine="0"/>
              <w:jc w:val="left"/>
              <w:rPr>
                <w:sz w:val="22"/>
                <w:szCs w:val="22"/>
              </w:rPr>
            </w:pPr>
          </w:p>
        </w:tc>
        <w:tc>
          <w:tcPr>
            <w:tcW w:w="1125" w:type="dxa"/>
          </w:tcPr>
          <w:p w14:paraId="468EC5D3" w14:textId="77777777" w:rsidR="00407106" w:rsidRDefault="00407106">
            <w:pPr>
              <w:widowControl w:val="0"/>
              <w:autoSpaceDE w:val="0"/>
              <w:autoSpaceDN w:val="0"/>
              <w:adjustRightInd w:val="0"/>
              <w:spacing w:after="0" w:line="240" w:lineRule="auto"/>
              <w:ind w:firstLine="0"/>
              <w:jc w:val="left"/>
              <w:rPr>
                <w:sz w:val="22"/>
                <w:szCs w:val="22"/>
              </w:rPr>
            </w:pPr>
          </w:p>
        </w:tc>
        <w:tc>
          <w:tcPr>
            <w:tcW w:w="1125" w:type="dxa"/>
          </w:tcPr>
          <w:p w14:paraId="6E481ADF" w14:textId="77777777" w:rsidR="00407106" w:rsidRDefault="00407106">
            <w:pPr>
              <w:widowControl w:val="0"/>
              <w:autoSpaceDE w:val="0"/>
              <w:autoSpaceDN w:val="0"/>
              <w:adjustRightInd w:val="0"/>
              <w:spacing w:after="0" w:line="240" w:lineRule="auto"/>
              <w:ind w:firstLine="0"/>
              <w:jc w:val="left"/>
              <w:rPr>
                <w:sz w:val="22"/>
                <w:szCs w:val="22"/>
              </w:rPr>
            </w:pPr>
          </w:p>
        </w:tc>
        <w:tc>
          <w:tcPr>
            <w:tcW w:w="1125" w:type="dxa"/>
          </w:tcPr>
          <w:p w14:paraId="5F3BDA71" w14:textId="77777777" w:rsidR="00407106" w:rsidRDefault="00407106">
            <w:pPr>
              <w:widowControl w:val="0"/>
              <w:autoSpaceDE w:val="0"/>
              <w:autoSpaceDN w:val="0"/>
              <w:adjustRightInd w:val="0"/>
              <w:spacing w:after="0" w:line="240" w:lineRule="auto"/>
              <w:ind w:firstLine="0"/>
              <w:jc w:val="left"/>
              <w:rPr>
                <w:sz w:val="22"/>
                <w:szCs w:val="22"/>
              </w:rPr>
            </w:pPr>
          </w:p>
        </w:tc>
        <w:tc>
          <w:tcPr>
            <w:tcW w:w="1125" w:type="dxa"/>
          </w:tcPr>
          <w:p w14:paraId="1637FD97" w14:textId="77777777" w:rsidR="00407106" w:rsidRDefault="00407106">
            <w:pPr>
              <w:widowControl w:val="0"/>
              <w:autoSpaceDE w:val="0"/>
              <w:autoSpaceDN w:val="0"/>
              <w:adjustRightInd w:val="0"/>
              <w:spacing w:after="0" w:line="240" w:lineRule="auto"/>
              <w:ind w:firstLine="0"/>
              <w:jc w:val="left"/>
              <w:rPr>
                <w:sz w:val="22"/>
                <w:szCs w:val="22"/>
              </w:rPr>
            </w:pPr>
          </w:p>
        </w:tc>
        <w:tc>
          <w:tcPr>
            <w:tcW w:w="1125" w:type="dxa"/>
          </w:tcPr>
          <w:p w14:paraId="7D0849D7" w14:textId="77777777" w:rsidR="00407106" w:rsidRDefault="00407106">
            <w:pPr>
              <w:widowControl w:val="0"/>
              <w:autoSpaceDE w:val="0"/>
              <w:autoSpaceDN w:val="0"/>
              <w:adjustRightInd w:val="0"/>
              <w:spacing w:after="0" w:line="240" w:lineRule="auto"/>
              <w:ind w:firstLine="0"/>
              <w:jc w:val="left"/>
              <w:rPr>
                <w:sz w:val="22"/>
                <w:szCs w:val="22"/>
              </w:rPr>
            </w:pPr>
          </w:p>
        </w:tc>
      </w:tr>
      <w:tr w:rsidR="00407106" w14:paraId="5E67CF7F" w14:textId="77777777" w:rsidTr="00407106">
        <w:tc>
          <w:tcPr>
            <w:tcW w:w="2610" w:type="dxa"/>
            <w:tcBorders>
              <w:top w:val="nil"/>
              <w:left w:val="nil"/>
              <w:bottom w:val="single" w:sz="4" w:space="0" w:color="auto"/>
              <w:right w:val="nil"/>
            </w:tcBorders>
            <w:hideMark/>
          </w:tcPr>
          <w:p w14:paraId="71EE896D" w14:textId="77777777" w:rsidR="00407106" w:rsidRDefault="00407106">
            <w:pPr>
              <w:widowControl w:val="0"/>
              <w:autoSpaceDE w:val="0"/>
              <w:autoSpaceDN w:val="0"/>
              <w:adjustRightInd w:val="0"/>
              <w:spacing w:after="0" w:line="240" w:lineRule="auto"/>
              <w:ind w:firstLine="0"/>
              <w:rPr>
                <w:sz w:val="22"/>
                <w:szCs w:val="22"/>
              </w:rPr>
            </w:pPr>
            <w:r>
              <w:rPr>
                <w:sz w:val="22"/>
                <w:szCs w:val="22"/>
              </w:rPr>
              <w:t xml:space="preserve">Industry &amp; Year Dummies </w:t>
            </w:r>
          </w:p>
        </w:tc>
        <w:tc>
          <w:tcPr>
            <w:tcW w:w="1125" w:type="dxa"/>
            <w:tcBorders>
              <w:top w:val="nil"/>
              <w:left w:val="nil"/>
              <w:bottom w:val="single" w:sz="4" w:space="0" w:color="auto"/>
              <w:right w:val="nil"/>
            </w:tcBorders>
            <w:hideMark/>
          </w:tcPr>
          <w:p w14:paraId="671B07F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125" w:type="dxa"/>
            <w:tcBorders>
              <w:top w:val="nil"/>
              <w:left w:val="nil"/>
              <w:bottom w:val="single" w:sz="4" w:space="0" w:color="auto"/>
              <w:right w:val="nil"/>
            </w:tcBorders>
          </w:tcPr>
          <w:p w14:paraId="130E7C9C"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nil"/>
              <w:left w:val="nil"/>
              <w:bottom w:val="single" w:sz="4" w:space="0" w:color="auto"/>
              <w:right w:val="nil"/>
            </w:tcBorders>
            <w:hideMark/>
          </w:tcPr>
          <w:p w14:paraId="2DCF1E4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125" w:type="dxa"/>
            <w:tcBorders>
              <w:top w:val="nil"/>
              <w:left w:val="nil"/>
              <w:bottom w:val="single" w:sz="4" w:space="0" w:color="auto"/>
              <w:right w:val="nil"/>
            </w:tcBorders>
          </w:tcPr>
          <w:p w14:paraId="7DC946B5"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nil"/>
              <w:left w:val="nil"/>
              <w:bottom w:val="single" w:sz="4" w:space="0" w:color="auto"/>
              <w:right w:val="nil"/>
            </w:tcBorders>
            <w:hideMark/>
          </w:tcPr>
          <w:p w14:paraId="2DAA817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125" w:type="dxa"/>
            <w:tcBorders>
              <w:top w:val="nil"/>
              <w:left w:val="nil"/>
              <w:bottom w:val="single" w:sz="4" w:space="0" w:color="auto"/>
              <w:right w:val="nil"/>
            </w:tcBorders>
          </w:tcPr>
          <w:p w14:paraId="0134B747"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5B9BACD" w14:textId="77777777" w:rsidTr="00407106">
        <w:tc>
          <w:tcPr>
            <w:tcW w:w="2610" w:type="dxa"/>
            <w:tcBorders>
              <w:top w:val="single" w:sz="4" w:space="0" w:color="auto"/>
              <w:left w:val="nil"/>
              <w:bottom w:val="nil"/>
              <w:right w:val="nil"/>
            </w:tcBorders>
            <w:hideMark/>
          </w:tcPr>
          <w:p w14:paraId="4F901786" w14:textId="77777777" w:rsidR="00407106" w:rsidRDefault="00407106">
            <w:pPr>
              <w:widowControl w:val="0"/>
              <w:autoSpaceDE w:val="0"/>
              <w:autoSpaceDN w:val="0"/>
              <w:adjustRightInd w:val="0"/>
              <w:spacing w:after="0" w:line="240" w:lineRule="auto"/>
              <w:ind w:firstLine="0"/>
              <w:rPr>
                <w:sz w:val="22"/>
                <w:szCs w:val="22"/>
              </w:rPr>
            </w:pPr>
            <w:r>
              <w:rPr>
                <w:i/>
                <w:iCs/>
                <w:sz w:val="22"/>
                <w:szCs w:val="22"/>
              </w:rPr>
              <w:t>N</w:t>
            </w:r>
          </w:p>
        </w:tc>
        <w:tc>
          <w:tcPr>
            <w:tcW w:w="1125" w:type="dxa"/>
            <w:tcBorders>
              <w:top w:val="single" w:sz="4" w:space="0" w:color="auto"/>
              <w:left w:val="nil"/>
              <w:bottom w:val="nil"/>
              <w:right w:val="nil"/>
            </w:tcBorders>
            <w:hideMark/>
          </w:tcPr>
          <w:p w14:paraId="65E3538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8,361</w:t>
            </w:r>
          </w:p>
        </w:tc>
        <w:tc>
          <w:tcPr>
            <w:tcW w:w="1125" w:type="dxa"/>
            <w:tcBorders>
              <w:top w:val="single" w:sz="4" w:space="0" w:color="auto"/>
              <w:left w:val="nil"/>
              <w:bottom w:val="nil"/>
              <w:right w:val="nil"/>
            </w:tcBorders>
          </w:tcPr>
          <w:p w14:paraId="5D0973A8"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single" w:sz="4" w:space="0" w:color="auto"/>
              <w:left w:val="nil"/>
              <w:bottom w:val="nil"/>
              <w:right w:val="nil"/>
            </w:tcBorders>
            <w:hideMark/>
          </w:tcPr>
          <w:p w14:paraId="4EA6E4A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8,361</w:t>
            </w:r>
          </w:p>
        </w:tc>
        <w:tc>
          <w:tcPr>
            <w:tcW w:w="1125" w:type="dxa"/>
            <w:tcBorders>
              <w:top w:val="single" w:sz="4" w:space="0" w:color="auto"/>
              <w:left w:val="nil"/>
              <w:bottom w:val="nil"/>
              <w:right w:val="nil"/>
            </w:tcBorders>
          </w:tcPr>
          <w:p w14:paraId="739E8E5E"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single" w:sz="4" w:space="0" w:color="auto"/>
              <w:left w:val="nil"/>
              <w:bottom w:val="nil"/>
              <w:right w:val="nil"/>
            </w:tcBorders>
            <w:hideMark/>
          </w:tcPr>
          <w:p w14:paraId="24C892B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6,417</w:t>
            </w:r>
          </w:p>
        </w:tc>
        <w:tc>
          <w:tcPr>
            <w:tcW w:w="1125" w:type="dxa"/>
            <w:tcBorders>
              <w:top w:val="single" w:sz="4" w:space="0" w:color="auto"/>
              <w:left w:val="nil"/>
              <w:bottom w:val="nil"/>
              <w:right w:val="nil"/>
            </w:tcBorders>
          </w:tcPr>
          <w:p w14:paraId="3DB1B6AC"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4D84B82A" w14:textId="77777777" w:rsidTr="00407106">
        <w:tc>
          <w:tcPr>
            <w:tcW w:w="2610" w:type="dxa"/>
            <w:hideMark/>
          </w:tcPr>
          <w:p w14:paraId="21402DE8" w14:textId="77777777" w:rsidR="00407106" w:rsidRDefault="00407106">
            <w:pPr>
              <w:widowControl w:val="0"/>
              <w:autoSpaceDE w:val="0"/>
              <w:autoSpaceDN w:val="0"/>
              <w:adjustRightInd w:val="0"/>
              <w:spacing w:after="0" w:line="240" w:lineRule="auto"/>
              <w:ind w:firstLine="0"/>
              <w:rPr>
                <w:sz w:val="22"/>
                <w:szCs w:val="22"/>
              </w:rPr>
            </w:pPr>
            <w:r>
              <w:rPr>
                <w:sz w:val="22"/>
                <w:szCs w:val="22"/>
              </w:rPr>
              <w:t>R-square</w:t>
            </w:r>
          </w:p>
        </w:tc>
        <w:tc>
          <w:tcPr>
            <w:tcW w:w="1125" w:type="dxa"/>
            <w:hideMark/>
          </w:tcPr>
          <w:p w14:paraId="362DD22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0.185</w:t>
            </w:r>
          </w:p>
        </w:tc>
        <w:tc>
          <w:tcPr>
            <w:tcW w:w="1125" w:type="dxa"/>
          </w:tcPr>
          <w:p w14:paraId="16E511B2"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hideMark/>
          </w:tcPr>
          <w:p w14:paraId="6CE48B1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0.318</w:t>
            </w:r>
          </w:p>
        </w:tc>
        <w:tc>
          <w:tcPr>
            <w:tcW w:w="1125" w:type="dxa"/>
          </w:tcPr>
          <w:p w14:paraId="16B9D33F"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hideMark/>
          </w:tcPr>
          <w:p w14:paraId="71E9C72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0.225</w:t>
            </w:r>
          </w:p>
        </w:tc>
        <w:tc>
          <w:tcPr>
            <w:tcW w:w="1125" w:type="dxa"/>
          </w:tcPr>
          <w:p w14:paraId="308A87B3"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8514861" w14:textId="77777777" w:rsidTr="00407106">
        <w:tc>
          <w:tcPr>
            <w:tcW w:w="2610" w:type="dxa"/>
            <w:tcBorders>
              <w:top w:val="nil"/>
              <w:left w:val="nil"/>
              <w:bottom w:val="single" w:sz="4" w:space="0" w:color="auto"/>
              <w:right w:val="nil"/>
            </w:tcBorders>
            <w:hideMark/>
          </w:tcPr>
          <w:p w14:paraId="779A10CD" w14:textId="77777777" w:rsidR="00407106" w:rsidRDefault="00407106">
            <w:pPr>
              <w:widowControl w:val="0"/>
              <w:autoSpaceDE w:val="0"/>
              <w:autoSpaceDN w:val="0"/>
              <w:adjustRightInd w:val="0"/>
              <w:spacing w:after="0" w:line="240" w:lineRule="auto"/>
              <w:ind w:firstLine="0"/>
              <w:rPr>
                <w:sz w:val="22"/>
                <w:szCs w:val="22"/>
              </w:rPr>
            </w:pPr>
            <w:r>
              <w:rPr>
                <w:sz w:val="22"/>
                <w:szCs w:val="22"/>
              </w:rPr>
              <w:t>Adj. R-square</w:t>
            </w:r>
          </w:p>
        </w:tc>
        <w:tc>
          <w:tcPr>
            <w:tcW w:w="1125" w:type="dxa"/>
            <w:tcBorders>
              <w:top w:val="nil"/>
              <w:left w:val="nil"/>
              <w:bottom w:val="single" w:sz="4" w:space="0" w:color="auto"/>
              <w:right w:val="nil"/>
            </w:tcBorders>
            <w:hideMark/>
          </w:tcPr>
          <w:p w14:paraId="6C8377B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0.182</w:t>
            </w:r>
          </w:p>
        </w:tc>
        <w:tc>
          <w:tcPr>
            <w:tcW w:w="1125" w:type="dxa"/>
            <w:tcBorders>
              <w:top w:val="nil"/>
              <w:left w:val="nil"/>
              <w:bottom w:val="single" w:sz="4" w:space="0" w:color="auto"/>
              <w:right w:val="nil"/>
            </w:tcBorders>
          </w:tcPr>
          <w:p w14:paraId="0A9583D3"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nil"/>
              <w:left w:val="nil"/>
              <w:bottom w:val="single" w:sz="4" w:space="0" w:color="auto"/>
              <w:right w:val="nil"/>
            </w:tcBorders>
            <w:hideMark/>
          </w:tcPr>
          <w:p w14:paraId="24EEFA5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0.315</w:t>
            </w:r>
          </w:p>
        </w:tc>
        <w:tc>
          <w:tcPr>
            <w:tcW w:w="1125" w:type="dxa"/>
            <w:tcBorders>
              <w:top w:val="nil"/>
              <w:left w:val="nil"/>
              <w:bottom w:val="single" w:sz="4" w:space="0" w:color="auto"/>
              <w:right w:val="nil"/>
            </w:tcBorders>
          </w:tcPr>
          <w:p w14:paraId="7F078AE9" w14:textId="77777777" w:rsidR="00407106" w:rsidRDefault="00407106">
            <w:pPr>
              <w:widowControl w:val="0"/>
              <w:autoSpaceDE w:val="0"/>
              <w:autoSpaceDN w:val="0"/>
              <w:adjustRightInd w:val="0"/>
              <w:spacing w:after="0" w:line="240" w:lineRule="auto"/>
              <w:ind w:firstLine="0"/>
              <w:jc w:val="center"/>
              <w:rPr>
                <w:sz w:val="22"/>
                <w:szCs w:val="22"/>
              </w:rPr>
            </w:pPr>
          </w:p>
        </w:tc>
        <w:tc>
          <w:tcPr>
            <w:tcW w:w="1125" w:type="dxa"/>
            <w:tcBorders>
              <w:top w:val="nil"/>
              <w:left w:val="nil"/>
              <w:bottom w:val="single" w:sz="4" w:space="0" w:color="auto"/>
              <w:right w:val="nil"/>
            </w:tcBorders>
            <w:hideMark/>
          </w:tcPr>
          <w:p w14:paraId="5F6917A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0.221</w:t>
            </w:r>
          </w:p>
        </w:tc>
        <w:tc>
          <w:tcPr>
            <w:tcW w:w="1125" w:type="dxa"/>
            <w:tcBorders>
              <w:top w:val="nil"/>
              <w:left w:val="nil"/>
              <w:bottom w:val="single" w:sz="4" w:space="0" w:color="auto"/>
              <w:right w:val="nil"/>
            </w:tcBorders>
          </w:tcPr>
          <w:p w14:paraId="5DBC9FF4" w14:textId="77777777" w:rsidR="00407106" w:rsidRDefault="00407106">
            <w:pPr>
              <w:widowControl w:val="0"/>
              <w:autoSpaceDE w:val="0"/>
              <w:autoSpaceDN w:val="0"/>
              <w:adjustRightInd w:val="0"/>
              <w:spacing w:after="0" w:line="240" w:lineRule="auto"/>
              <w:ind w:firstLine="0"/>
              <w:jc w:val="center"/>
              <w:rPr>
                <w:sz w:val="22"/>
                <w:szCs w:val="22"/>
              </w:rPr>
            </w:pPr>
          </w:p>
        </w:tc>
      </w:tr>
    </w:tbl>
    <w:p w14:paraId="51528AED" w14:textId="77777777" w:rsidR="00407106" w:rsidRDefault="00407106" w:rsidP="00407106">
      <w:pPr>
        <w:spacing w:after="0" w:line="240" w:lineRule="auto"/>
        <w:ind w:firstLine="0"/>
        <w:jc w:val="left"/>
        <w:sectPr w:rsidR="00407106">
          <w:pgSz w:w="12240" w:h="15840"/>
          <w:pgMar w:top="1440" w:right="1440" w:bottom="1440" w:left="1440" w:header="720" w:footer="720" w:gutter="0"/>
          <w:cols w:space="720"/>
        </w:sectPr>
      </w:pPr>
    </w:p>
    <w:p w14:paraId="66A89032" w14:textId="77777777" w:rsidR="00407106" w:rsidRDefault="00407106" w:rsidP="00407106">
      <w:pPr>
        <w:keepNext/>
        <w:widowControl w:val="0"/>
        <w:autoSpaceDE w:val="0"/>
        <w:autoSpaceDN w:val="0"/>
        <w:adjustRightInd w:val="0"/>
        <w:spacing w:after="0" w:line="240" w:lineRule="auto"/>
        <w:ind w:firstLine="0"/>
        <w:jc w:val="center"/>
        <w:rPr>
          <w:b/>
        </w:rPr>
      </w:pPr>
      <w:r>
        <w:rPr>
          <w:b/>
        </w:rPr>
        <w:lastRenderedPageBreak/>
        <w:t>TABLE 6</w:t>
      </w:r>
    </w:p>
    <w:p w14:paraId="6BB0AFCB" w14:textId="77777777" w:rsidR="00407106" w:rsidRDefault="00407106" w:rsidP="00407106">
      <w:pPr>
        <w:keepNext/>
        <w:widowControl w:val="0"/>
        <w:autoSpaceDE w:val="0"/>
        <w:autoSpaceDN w:val="0"/>
        <w:adjustRightInd w:val="0"/>
        <w:spacing w:after="0" w:line="240" w:lineRule="auto"/>
        <w:ind w:firstLine="0"/>
        <w:jc w:val="center"/>
        <w:rPr>
          <w:i/>
        </w:rPr>
      </w:pPr>
      <w:r>
        <w:rPr>
          <w:i/>
        </w:rPr>
        <w:t>Accounting complexity based on financial statements and notes and forecast accuracy: analyst-firm-year level sample</w:t>
      </w:r>
    </w:p>
    <w:p w14:paraId="7454F295" w14:textId="77777777" w:rsidR="00407106" w:rsidRDefault="00407106" w:rsidP="00407106">
      <w:pPr>
        <w:keepNext/>
        <w:widowControl w:val="0"/>
        <w:autoSpaceDE w:val="0"/>
        <w:autoSpaceDN w:val="0"/>
        <w:adjustRightInd w:val="0"/>
        <w:spacing w:after="0" w:line="240" w:lineRule="auto"/>
        <w:ind w:firstLine="0"/>
      </w:pPr>
      <w:r>
        <w:t>This table presents the estimation results of the following equation where the dependent variable is the absolute value of forecast errors.</w:t>
      </w:r>
    </w:p>
    <w:p w14:paraId="79EB376F" w14:textId="77777777" w:rsidR="00407106" w:rsidRDefault="00407106" w:rsidP="00407106">
      <w:pPr>
        <w:keepNext/>
        <w:widowControl w:val="0"/>
        <w:autoSpaceDE w:val="0"/>
        <w:autoSpaceDN w:val="0"/>
        <w:adjustRightInd w:val="0"/>
        <w:spacing w:before="120" w:after="120" w:line="240" w:lineRule="auto"/>
        <w:ind w:firstLine="0"/>
        <w:jc w:val="center"/>
      </w:pPr>
      <w:r>
        <w:t>-1 × |Forecast Error| = α + β</w:t>
      </w:r>
      <w:r>
        <w:rPr>
          <w:vertAlign w:val="subscript"/>
        </w:rPr>
        <w:t>1</w:t>
      </w:r>
      <w:r>
        <w:t>ARC + β</w:t>
      </w:r>
      <w:r>
        <w:rPr>
          <w:vertAlign w:val="subscript"/>
        </w:rPr>
        <w:t>2</w:t>
      </w:r>
      <w:r>
        <w:t>ARC-FS + β</w:t>
      </w:r>
      <w:r>
        <w:rPr>
          <w:vertAlign w:val="subscript"/>
        </w:rPr>
        <w:t>3</w:t>
      </w:r>
      <w:r>
        <w:t>ARC-NOTES + ∑γControls + ∑δIndustry + ∑θYear + ε</w:t>
      </w:r>
      <w:r>
        <w:rPr>
          <w:vertAlign w:val="subscript"/>
        </w:rPr>
        <w:t>it</w:t>
      </w:r>
      <w:r>
        <w:t>.</w:t>
      </w:r>
    </w:p>
    <w:p w14:paraId="4FBAA086" w14:textId="77777777" w:rsidR="00407106" w:rsidRDefault="00407106" w:rsidP="00407106">
      <w:pPr>
        <w:keepNext/>
        <w:widowControl w:val="0"/>
        <w:autoSpaceDE w:val="0"/>
        <w:autoSpaceDN w:val="0"/>
        <w:adjustRightInd w:val="0"/>
        <w:spacing w:after="0" w:line="240" w:lineRule="auto"/>
        <w:ind w:firstLine="0"/>
      </w:pPr>
      <w:r>
        <w:t>|</w:t>
      </w:r>
      <w:r>
        <w:rPr>
          <w:i/>
        </w:rPr>
        <w:t>Forecast Error</w:t>
      </w:r>
      <w:r>
        <w:t xml:space="preserve">| is calculated as the absolute value of actual minus forecasted earnings scaled by price and multiplied by 100. </w:t>
      </w:r>
      <w:r>
        <w:rPr>
          <w:i/>
        </w:rPr>
        <w:t>ARC</w:t>
      </w:r>
      <w:r>
        <w:t xml:space="preserve"> equals the natural logarithm of one plus the total number of monetary tags reported in Item 8 of 10-K filings, which includes the financial statements and notes. </w:t>
      </w:r>
      <w:r>
        <w:rPr>
          <w:i/>
        </w:rPr>
        <w:t>ARC-FS</w:t>
      </w:r>
      <w:r>
        <w:t xml:space="preserve"> is the natural logarithm of one plus the total number of tags reported in the financial statements (Item 8 of 10-K filings), and </w:t>
      </w:r>
      <w:r>
        <w:rPr>
          <w:i/>
        </w:rPr>
        <w:t>ARC-NOTES</w:t>
      </w:r>
      <w:r>
        <w:t xml:space="preserve"> is the natural logarithm of one plus the total number of tags reported in the notes section. The </w:t>
      </w:r>
      <w:r>
        <w:rPr>
          <w:i/>
        </w:rPr>
        <w:t>t</w:t>
      </w:r>
      <w:r>
        <w:t>-statistics are in brackets, next to the coefficient estimates, and are computed based on standard errors clustered by analyst and firm. The symbols *, **, and *** indicate statistical significance at the ten, five, and one percent levels, respectively. Industry and year fixed-effects are included in all models. The number of observations and goodness of fit statistics are reported at the bottom of the table.</w:t>
      </w:r>
    </w:p>
    <w:p w14:paraId="45AD109E" w14:textId="77777777" w:rsidR="00407106" w:rsidRDefault="00407106" w:rsidP="00407106">
      <w:pPr>
        <w:keepNext/>
        <w:widowControl w:val="0"/>
        <w:autoSpaceDE w:val="0"/>
        <w:autoSpaceDN w:val="0"/>
        <w:adjustRightInd w:val="0"/>
        <w:spacing w:after="0" w:line="240" w:lineRule="auto"/>
        <w:ind w:firstLine="0"/>
      </w:pPr>
    </w:p>
    <w:tbl>
      <w:tblPr>
        <w:tblW w:w="0" w:type="dxa"/>
        <w:tblLayout w:type="fixed"/>
        <w:tblLook w:val="04A0" w:firstRow="1" w:lastRow="0" w:firstColumn="1" w:lastColumn="0" w:noHBand="0" w:noVBand="1"/>
      </w:tblPr>
      <w:tblGrid>
        <w:gridCol w:w="2520"/>
        <w:gridCol w:w="1305"/>
        <w:gridCol w:w="1305"/>
        <w:gridCol w:w="1305"/>
        <w:gridCol w:w="1305"/>
        <w:gridCol w:w="1305"/>
        <w:gridCol w:w="1305"/>
        <w:gridCol w:w="1305"/>
        <w:gridCol w:w="1305"/>
      </w:tblGrid>
      <w:tr w:rsidR="00407106" w14:paraId="75DE31DF" w14:textId="77777777" w:rsidTr="00407106">
        <w:trPr>
          <w:trHeight w:hRule="exact" w:val="360"/>
        </w:trPr>
        <w:tc>
          <w:tcPr>
            <w:tcW w:w="2520" w:type="dxa"/>
            <w:tcBorders>
              <w:top w:val="single" w:sz="4" w:space="0" w:color="auto"/>
              <w:left w:val="nil"/>
              <w:bottom w:val="single" w:sz="4" w:space="0" w:color="auto"/>
              <w:right w:val="nil"/>
            </w:tcBorders>
            <w:vAlign w:val="center"/>
            <w:hideMark/>
          </w:tcPr>
          <w:p w14:paraId="1B63525F"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10440" w:type="dxa"/>
            <w:gridSpan w:val="8"/>
            <w:tcBorders>
              <w:top w:val="single" w:sz="4" w:space="0" w:color="auto"/>
              <w:left w:val="nil"/>
              <w:bottom w:val="single" w:sz="4" w:space="0" w:color="auto"/>
              <w:right w:val="nil"/>
            </w:tcBorders>
            <w:vAlign w:val="center"/>
            <w:hideMark/>
          </w:tcPr>
          <w:p w14:paraId="4C5BB93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 × |Forecast Error|</w:t>
            </w:r>
          </w:p>
        </w:tc>
      </w:tr>
      <w:tr w:rsidR="00407106" w14:paraId="338CC46A" w14:textId="77777777" w:rsidTr="00407106">
        <w:trPr>
          <w:trHeight w:hRule="exact" w:val="360"/>
        </w:trPr>
        <w:tc>
          <w:tcPr>
            <w:tcW w:w="2520" w:type="dxa"/>
            <w:tcBorders>
              <w:top w:val="single" w:sz="4" w:space="0" w:color="auto"/>
              <w:left w:val="nil"/>
              <w:bottom w:val="single" w:sz="4" w:space="0" w:color="auto"/>
              <w:right w:val="nil"/>
            </w:tcBorders>
            <w:vAlign w:val="center"/>
          </w:tcPr>
          <w:p w14:paraId="682C3A9C"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single" w:sz="4" w:space="0" w:color="auto"/>
              <w:right w:val="nil"/>
            </w:tcBorders>
            <w:vAlign w:val="center"/>
            <w:hideMark/>
          </w:tcPr>
          <w:p w14:paraId="03D1639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1305" w:type="dxa"/>
            <w:tcBorders>
              <w:top w:val="single" w:sz="4" w:space="0" w:color="auto"/>
              <w:left w:val="nil"/>
              <w:bottom w:val="single" w:sz="4" w:space="0" w:color="auto"/>
              <w:right w:val="nil"/>
            </w:tcBorders>
            <w:vAlign w:val="center"/>
          </w:tcPr>
          <w:p w14:paraId="12E6676F"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single" w:sz="4" w:space="0" w:color="auto"/>
              <w:right w:val="nil"/>
            </w:tcBorders>
            <w:vAlign w:val="center"/>
            <w:hideMark/>
          </w:tcPr>
          <w:p w14:paraId="2C1ABD0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1305" w:type="dxa"/>
            <w:tcBorders>
              <w:top w:val="single" w:sz="4" w:space="0" w:color="auto"/>
              <w:left w:val="nil"/>
              <w:bottom w:val="single" w:sz="4" w:space="0" w:color="auto"/>
              <w:right w:val="nil"/>
            </w:tcBorders>
            <w:vAlign w:val="center"/>
          </w:tcPr>
          <w:p w14:paraId="18D3909D"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single" w:sz="4" w:space="0" w:color="auto"/>
              <w:right w:val="nil"/>
            </w:tcBorders>
            <w:vAlign w:val="center"/>
            <w:hideMark/>
          </w:tcPr>
          <w:p w14:paraId="075F984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c>
          <w:tcPr>
            <w:tcW w:w="1305" w:type="dxa"/>
            <w:tcBorders>
              <w:top w:val="single" w:sz="4" w:space="0" w:color="auto"/>
              <w:left w:val="nil"/>
              <w:bottom w:val="single" w:sz="4" w:space="0" w:color="auto"/>
              <w:right w:val="nil"/>
            </w:tcBorders>
            <w:vAlign w:val="center"/>
          </w:tcPr>
          <w:p w14:paraId="79627D76"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single" w:sz="4" w:space="0" w:color="auto"/>
              <w:right w:val="nil"/>
            </w:tcBorders>
            <w:vAlign w:val="center"/>
            <w:hideMark/>
          </w:tcPr>
          <w:p w14:paraId="5274209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w:t>
            </w:r>
          </w:p>
        </w:tc>
        <w:tc>
          <w:tcPr>
            <w:tcW w:w="1305" w:type="dxa"/>
            <w:tcBorders>
              <w:top w:val="single" w:sz="4" w:space="0" w:color="auto"/>
              <w:left w:val="nil"/>
              <w:bottom w:val="single" w:sz="4" w:space="0" w:color="auto"/>
              <w:right w:val="nil"/>
            </w:tcBorders>
            <w:vAlign w:val="center"/>
          </w:tcPr>
          <w:p w14:paraId="4C13ED8B"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202CB05" w14:textId="77777777" w:rsidTr="00407106">
        <w:tc>
          <w:tcPr>
            <w:tcW w:w="2520" w:type="dxa"/>
            <w:tcBorders>
              <w:top w:val="single" w:sz="4" w:space="0" w:color="auto"/>
              <w:left w:val="nil"/>
              <w:bottom w:val="nil"/>
              <w:right w:val="nil"/>
            </w:tcBorders>
            <w:hideMark/>
          </w:tcPr>
          <w:p w14:paraId="3A57E4F5"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Accounting complexity:</w:t>
            </w:r>
          </w:p>
        </w:tc>
        <w:tc>
          <w:tcPr>
            <w:tcW w:w="1305" w:type="dxa"/>
            <w:tcBorders>
              <w:top w:val="single" w:sz="4" w:space="0" w:color="auto"/>
              <w:left w:val="nil"/>
              <w:bottom w:val="nil"/>
              <w:right w:val="nil"/>
            </w:tcBorders>
          </w:tcPr>
          <w:p w14:paraId="58F76BA9"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nil"/>
              <w:right w:val="nil"/>
            </w:tcBorders>
          </w:tcPr>
          <w:p w14:paraId="26EA1860"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nil"/>
              <w:right w:val="nil"/>
            </w:tcBorders>
          </w:tcPr>
          <w:p w14:paraId="7DB5D684"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nil"/>
              <w:right w:val="nil"/>
            </w:tcBorders>
          </w:tcPr>
          <w:p w14:paraId="43F37645"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nil"/>
              <w:right w:val="nil"/>
            </w:tcBorders>
          </w:tcPr>
          <w:p w14:paraId="6E0D19B1"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nil"/>
              <w:right w:val="nil"/>
            </w:tcBorders>
          </w:tcPr>
          <w:p w14:paraId="079F9955"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nil"/>
              <w:right w:val="nil"/>
            </w:tcBorders>
          </w:tcPr>
          <w:p w14:paraId="10CA1970"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Borders>
              <w:top w:val="single" w:sz="4" w:space="0" w:color="auto"/>
              <w:left w:val="nil"/>
              <w:bottom w:val="nil"/>
              <w:right w:val="nil"/>
            </w:tcBorders>
          </w:tcPr>
          <w:p w14:paraId="343EA312"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C71778F" w14:textId="77777777" w:rsidTr="00407106">
        <w:tc>
          <w:tcPr>
            <w:tcW w:w="2520" w:type="dxa"/>
            <w:hideMark/>
          </w:tcPr>
          <w:p w14:paraId="203364B9"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w:t>
            </w:r>
          </w:p>
        </w:tc>
        <w:tc>
          <w:tcPr>
            <w:tcW w:w="1305" w:type="dxa"/>
            <w:hideMark/>
          </w:tcPr>
          <w:p w14:paraId="6EABC1E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r>
              <w:rPr>
                <w:sz w:val="22"/>
                <w:szCs w:val="22"/>
                <w:vertAlign w:val="superscript"/>
              </w:rPr>
              <w:t>**</w:t>
            </w:r>
          </w:p>
        </w:tc>
        <w:tc>
          <w:tcPr>
            <w:tcW w:w="1305" w:type="dxa"/>
            <w:hideMark/>
          </w:tcPr>
          <w:p w14:paraId="4E39C92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(-2.19)</w:t>
            </w:r>
          </w:p>
        </w:tc>
        <w:tc>
          <w:tcPr>
            <w:tcW w:w="1305" w:type="dxa"/>
          </w:tcPr>
          <w:p w14:paraId="19E7A7AE"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67187A00"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310D5041"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66CCA9EC"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549FBA8B"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0EC45159"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6D4FFA1" w14:textId="77777777" w:rsidTr="00407106">
        <w:tc>
          <w:tcPr>
            <w:tcW w:w="2520" w:type="dxa"/>
            <w:hideMark/>
          </w:tcPr>
          <w:p w14:paraId="48047394"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ARC-FS</w:t>
            </w:r>
          </w:p>
        </w:tc>
        <w:tc>
          <w:tcPr>
            <w:tcW w:w="1305" w:type="dxa"/>
          </w:tcPr>
          <w:p w14:paraId="6DD2CB4E"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4ACE67AC"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hideMark/>
          </w:tcPr>
          <w:p w14:paraId="6B6C008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-0.141</w:t>
            </w:r>
          </w:p>
        </w:tc>
        <w:tc>
          <w:tcPr>
            <w:tcW w:w="1305" w:type="dxa"/>
            <w:hideMark/>
          </w:tcPr>
          <w:p w14:paraId="295D537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(-0.90)</w:t>
            </w:r>
          </w:p>
        </w:tc>
        <w:tc>
          <w:tcPr>
            <w:tcW w:w="1305" w:type="dxa"/>
          </w:tcPr>
          <w:p w14:paraId="7C5727EF"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36A3EEC4"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hideMark/>
          </w:tcPr>
          <w:p w14:paraId="4A0BA14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0.068</w:t>
            </w:r>
          </w:p>
        </w:tc>
        <w:tc>
          <w:tcPr>
            <w:tcW w:w="1305" w:type="dxa"/>
            <w:hideMark/>
          </w:tcPr>
          <w:p w14:paraId="3B36227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(0.41)</w:t>
            </w:r>
          </w:p>
        </w:tc>
      </w:tr>
      <w:tr w:rsidR="00407106" w14:paraId="6D33CAE7" w14:textId="77777777" w:rsidTr="00407106">
        <w:tc>
          <w:tcPr>
            <w:tcW w:w="2520" w:type="dxa"/>
            <w:hideMark/>
          </w:tcPr>
          <w:p w14:paraId="545F9981"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w:t>
            </w:r>
          </w:p>
        </w:tc>
        <w:tc>
          <w:tcPr>
            <w:tcW w:w="1305" w:type="dxa"/>
          </w:tcPr>
          <w:p w14:paraId="7290D7C8"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39B2FF6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22FCF40D"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5D2B6432"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hideMark/>
          </w:tcPr>
          <w:p w14:paraId="64AFCB5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-0.195</w:t>
            </w:r>
            <w:r>
              <w:rPr>
                <w:sz w:val="22"/>
                <w:szCs w:val="22"/>
                <w:vertAlign w:val="superscript"/>
              </w:rPr>
              <w:t>**</w:t>
            </w:r>
          </w:p>
        </w:tc>
        <w:tc>
          <w:tcPr>
            <w:tcW w:w="1305" w:type="dxa"/>
            <w:hideMark/>
          </w:tcPr>
          <w:p w14:paraId="4717FDF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(-2.30)</w:t>
            </w:r>
          </w:p>
        </w:tc>
        <w:tc>
          <w:tcPr>
            <w:tcW w:w="1305" w:type="dxa"/>
            <w:hideMark/>
          </w:tcPr>
          <w:p w14:paraId="7E773CF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-0.211</w:t>
            </w:r>
            <w:r>
              <w:rPr>
                <w:sz w:val="22"/>
                <w:szCs w:val="22"/>
                <w:vertAlign w:val="superscript"/>
              </w:rPr>
              <w:t>**</w:t>
            </w:r>
          </w:p>
        </w:tc>
        <w:tc>
          <w:tcPr>
            <w:tcW w:w="1305" w:type="dxa"/>
            <w:hideMark/>
          </w:tcPr>
          <w:p w14:paraId="3F6A546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(-2.35)</w:t>
            </w:r>
          </w:p>
        </w:tc>
      </w:tr>
      <w:tr w:rsidR="00407106" w14:paraId="5383CC40" w14:textId="77777777" w:rsidTr="00407106">
        <w:tc>
          <w:tcPr>
            <w:tcW w:w="2520" w:type="dxa"/>
          </w:tcPr>
          <w:p w14:paraId="76FBEC90" w14:textId="77777777" w:rsidR="00407106" w:rsidRDefault="00407106">
            <w:pPr>
              <w:widowControl w:val="0"/>
              <w:autoSpaceDE w:val="0"/>
              <w:autoSpaceDN w:val="0"/>
              <w:adjustRightInd w:val="0"/>
              <w:spacing w:after="0" w:line="240" w:lineRule="auto"/>
              <w:ind w:firstLine="0"/>
              <w:rPr>
                <w:sz w:val="22"/>
                <w:szCs w:val="22"/>
              </w:rPr>
            </w:pPr>
          </w:p>
        </w:tc>
        <w:tc>
          <w:tcPr>
            <w:tcW w:w="1305" w:type="dxa"/>
          </w:tcPr>
          <w:p w14:paraId="39AF38D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12245292"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168062F0"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566057FE"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491C9E10"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69E8B024"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1EBA373D"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68E5D0B0"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D7BAF99" w14:textId="77777777" w:rsidTr="00407106">
        <w:tc>
          <w:tcPr>
            <w:tcW w:w="2520" w:type="dxa"/>
            <w:hideMark/>
          </w:tcPr>
          <w:p w14:paraId="023F84B3"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Information environment:</w:t>
            </w:r>
          </w:p>
        </w:tc>
        <w:tc>
          <w:tcPr>
            <w:tcW w:w="1305" w:type="dxa"/>
          </w:tcPr>
          <w:p w14:paraId="59D28B83"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7D3EFB2D"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7436F55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7B6EFE84"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6C270E2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3156E64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6DCD1239"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6F410C24"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073D41F" w14:textId="77777777" w:rsidTr="00407106">
        <w:tc>
          <w:tcPr>
            <w:tcW w:w="2520" w:type="dxa"/>
            <w:hideMark/>
          </w:tcPr>
          <w:p w14:paraId="7D0C576C"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LOGMV</w:t>
            </w:r>
          </w:p>
        </w:tc>
        <w:tc>
          <w:tcPr>
            <w:tcW w:w="1305" w:type="dxa"/>
            <w:hideMark/>
          </w:tcPr>
          <w:p w14:paraId="5D82B81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0.097</w:t>
            </w:r>
            <w:r>
              <w:rPr>
                <w:sz w:val="22"/>
                <w:szCs w:val="22"/>
                <w:vertAlign w:val="superscript"/>
              </w:rPr>
              <w:t>***</w:t>
            </w:r>
          </w:p>
        </w:tc>
        <w:tc>
          <w:tcPr>
            <w:tcW w:w="1305" w:type="dxa"/>
            <w:hideMark/>
          </w:tcPr>
          <w:p w14:paraId="7ADCBC3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(5.20)</w:t>
            </w:r>
          </w:p>
        </w:tc>
        <w:tc>
          <w:tcPr>
            <w:tcW w:w="1305" w:type="dxa"/>
            <w:hideMark/>
          </w:tcPr>
          <w:p w14:paraId="012C975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0.082</w:t>
            </w:r>
            <w:r>
              <w:rPr>
                <w:sz w:val="22"/>
                <w:szCs w:val="22"/>
                <w:vertAlign w:val="superscript"/>
              </w:rPr>
              <w:t>***</w:t>
            </w:r>
          </w:p>
        </w:tc>
        <w:tc>
          <w:tcPr>
            <w:tcW w:w="1305" w:type="dxa"/>
            <w:hideMark/>
          </w:tcPr>
          <w:p w14:paraId="26B6C20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(4.65)</w:t>
            </w:r>
          </w:p>
        </w:tc>
        <w:tc>
          <w:tcPr>
            <w:tcW w:w="1305" w:type="dxa"/>
            <w:hideMark/>
          </w:tcPr>
          <w:p w14:paraId="4C3EE6E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0.098</w:t>
            </w:r>
            <w:r>
              <w:rPr>
                <w:sz w:val="22"/>
                <w:szCs w:val="22"/>
                <w:vertAlign w:val="superscript"/>
              </w:rPr>
              <w:t>***</w:t>
            </w:r>
          </w:p>
        </w:tc>
        <w:tc>
          <w:tcPr>
            <w:tcW w:w="1305" w:type="dxa"/>
            <w:hideMark/>
          </w:tcPr>
          <w:p w14:paraId="242C24A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(5.27)</w:t>
            </w:r>
          </w:p>
        </w:tc>
        <w:tc>
          <w:tcPr>
            <w:tcW w:w="1305" w:type="dxa"/>
            <w:hideMark/>
          </w:tcPr>
          <w:p w14:paraId="4C8649B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0.098</w:t>
            </w:r>
            <w:r>
              <w:rPr>
                <w:sz w:val="22"/>
                <w:szCs w:val="22"/>
                <w:vertAlign w:val="superscript"/>
              </w:rPr>
              <w:t>***</w:t>
            </w:r>
          </w:p>
        </w:tc>
        <w:tc>
          <w:tcPr>
            <w:tcW w:w="1305" w:type="dxa"/>
            <w:hideMark/>
          </w:tcPr>
          <w:p w14:paraId="56C7F7A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(5.34)</w:t>
            </w:r>
          </w:p>
        </w:tc>
      </w:tr>
      <w:tr w:rsidR="00407106" w14:paraId="6753D1A1" w14:textId="77777777" w:rsidTr="00407106">
        <w:tc>
          <w:tcPr>
            <w:tcW w:w="2520" w:type="dxa"/>
            <w:hideMark/>
          </w:tcPr>
          <w:p w14:paraId="069D940A"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IO</w:t>
            </w:r>
          </w:p>
        </w:tc>
        <w:tc>
          <w:tcPr>
            <w:tcW w:w="1305" w:type="dxa"/>
            <w:hideMark/>
          </w:tcPr>
          <w:p w14:paraId="6644F0E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0.012</w:t>
            </w:r>
            <w:r>
              <w:rPr>
                <w:sz w:val="22"/>
                <w:szCs w:val="22"/>
                <w:vertAlign w:val="superscript"/>
              </w:rPr>
              <w:t>***</w:t>
            </w:r>
          </w:p>
        </w:tc>
        <w:tc>
          <w:tcPr>
            <w:tcW w:w="1305" w:type="dxa"/>
            <w:hideMark/>
          </w:tcPr>
          <w:p w14:paraId="7DDA299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(7.86)</w:t>
            </w:r>
          </w:p>
        </w:tc>
        <w:tc>
          <w:tcPr>
            <w:tcW w:w="1305" w:type="dxa"/>
            <w:hideMark/>
          </w:tcPr>
          <w:p w14:paraId="3579E8E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0.012</w:t>
            </w:r>
            <w:r>
              <w:rPr>
                <w:sz w:val="22"/>
                <w:szCs w:val="22"/>
                <w:vertAlign w:val="superscript"/>
              </w:rPr>
              <w:t>***</w:t>
            </w:r>
          </w:p>
        </w:tc>
        <w:tc>
          <w:tcPr>
            <w:tcW w:w="1305" w:type="dxa"/>
            <w:hideMark/>
          </w:tcPr>
          <w:p w14:paraId="20E9EE7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(7.79)</w:t>
            </w:r>
          </w:p>
        </w:tc>
        <w:tc>
          <w:tcPr>
            <w:tcW w:w="1305" w:type="dxa"/>
            <w:hideMark/>
          </w:tcPr>
          <w:p w14:paraId="496E3CA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0.012</w:t>
            </w:r>
            <w:r>
              <w:rPr>
                <w:sz w:val="22"/>
                <w:szCs w:val="22"/>
                <w:vertAlign w:val="superscript"/>
              </w:rPr>
              <w:t>***</w:t>
            </w:r>
          </w:p>
        </w:tc>
        <w:tc>
          <w:tcPr>
            <w:tcW w:w="1305" w:type="dxa"/>
            <w:hideMark/>
          </w:tcPr>
          <w:p w14:paraId="251A6C7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(7.90)</w:t>
            </w:r>
          </w:p>
        </w:tc>
        <w:tc>
          <w:tcPr>
            <w:tcW w:w="1305" w:type="dxa"/>
            <w:hideMark/>
          </w:tcPr>
          <w:p w14:paraId="01C03D9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0.012</w:t>
            </w:r>
            <w:r>
              <w:rPr>
                <w:sz w:val="22"/>
                <w:szCs w:val="22"/>
                <w:vertAlign w:val="superscript"/>
              </w:rPr>
              <w:t>***</w:t>
            </w:r>
          </w:p>
        </w:tc>
        <w:tc>
          <w:tcPr>
            <w:tcW w:w="1305" w:type="dxa"/>
            <w:hideMark/>
          </w:tcPr>
          <w:p w14:paraId="4706B4D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(7.89)</w:t>
            </w:r>
          </w:p>
        </w:tc>
      </w:tr>
      <w:tr w:rsidR="00407106" w14:paraId="7E31F45B" w14:textId="77777777" w:rsidTr="00407106">
        <w:tc>
          <w:tcPr>
            <w:tcW w:w="2520" w:type="dxa"/>
            <w:hideMark/>
          </w:tcPr>
          <w:p w14:paraId="159DE934"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B/M</w:t>
            </w:r>
          </w:p>
        </w:tc>
        <w:tc>
          <w:tcPr>
            <w:tcW w:w="1305" w:type="dxa"/>
            <w:hideMark/>
          </w:tcPr>
          <w:p w14:paraId="66082FF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-0.726</w:t>
            </w:r>
            <w:r>
              <w:rPr>
                <w:sz w:val="22"/>
                <w:szCs w:val="22"/>
                <w:vertAlign w:val="superscript"/>
              </w:rPr>
              <w:t>***</w:t>
            </w:r>
          </w:p>
        </w:tc>
        <w:tc>
          <w:tcPr>
            <w:tcW w:w="1305" w:type="dxa"/>
            <w:hideMark/>
          </w:tcPr>
          <w:p w14:paraId="6324891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(-6.12)</w:t>
            </w:r>
          </w:p>
        </w:tc>
        <w:tc>
          <w:tcPr>
            <w:tcW w:w="1305" w:type="dxa"/>
            <w:hideMark/>
          </w:tcPr>
          <w:p w14:paraId="0BAC355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-0.766</w:t>
            </w:r>
            <w:r>
              <w:rPr>
                <w:sz w:val="22"/>
                <w:szCs w:val="22"/>
                <w:vertAlign w:val="superscript"/>
              </w:rPr>
              <w:t>***</w:t>
            </w:r>
          </w:p>
        </w:tc>
        <w:tc>
          <w:tcPr>
            <w:tcW w:w="1305" w:type="dxa"/>
            <w:hideMark/>
          </w:tcPr>
          <w:p w14:paraId="6885FE8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(-6.63)</w:t>
            </w:r>
          </w:p>
        </w:tc>
        <w:tc>
          <w:tcPr>
            <w:tcW w:w="1305" w:type="dxa"/>
            <w:hideMark/>
          </w:tcPr>
          <w:p w14:paraId="7781566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-0.725</w:t>
            </w:r>
            <w:r>
              <w:rPr>
                <w:sz w:val="22"/>
                <w:szCs w:val="22"/>
                <w:vertAlign w:val="superscript"/>
              </w:rPr>
              <w:t>***</w:t>
            </w:r>
          </w:p>
        </w:tc>
        <w:tc>
          <w:tcPr>
            <w:tcW w:w="1305" w:type="dxa"/>
            <w:hideMark/>
          </w:tcPr>
          <w:p w14:paraId="37DDA35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(-6.14)</w:t>
            </w:r>
          </w:p>
        </w:tc>
        <w:tc>
          <w:tcPr>
            <w:tcW w:w="1305" w:type="dxa"/>
            <w:hideMark/>
          </w:tcPr>
          <w:p w14:paraId="4CCEF68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-0.724</w:t>
            </w:r>
            <w:r>
              <w:rPr>
                <w:sz w:val="22"/>
                <w:szCs w:val="22"/>
                <w:vertAlign w:val="superscript"/>
              </w:rPr>
              <w:t>***</w:t>
            </w:r>
          </w:p>
        </w:tc>
        <w:tc>
          <w:tcPr>
            <w:tcW w:w="1305" w:type="dxa"/>
            <w:hideMark/>
          </w:tcPr>
          <w:p w14:paraId="3AD450F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(-6.15)</w:t>
            </w:r>
          </w:p>
        </w:tc>
      </w:tr>
      <w:tr w:rsidR="00407106" w14:paraId="1699EF4C" w14:textId="77777777" w:rsidTr="00407106">
        <w:tc>
          <w:tcPr>
            <w:tcW w:w="2520" w:type="dxa"/>
            <w:hideMark/>
          </w:tcPr>
          <w:p w14:paraId="5D7839D9"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GROWTH</w:t>
            </w:r>
          </w:p>
        </w:tc>
        <w:tc>
          <w:tcPr>
            <w:tcW w:w="1305" w:type="dxa"/>
            <w:hideMark/>
          </w:tcPr>
          <w:p w14:paraId="68501E2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0.160</w:t>
            </w:r>
          </w:p>
        </w:tc>
        <w:tc>
          <w:tcPr>
            <w:tcW w:w="1305" w:type="dxa"/>
            <w:hideMark/>
          </w:tcPr>
          <w:p w14:paraId="64A1ED0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(1.50)</w:t>
            </w:r>
          </w:p>
        </w:tc>
        <w:tc>
          <w:tcPr>
            <w:tcW w:w="1305" w:type="dxa"/>
            <w:hideMark/>
          </w:tcPr>
          <w:p w14:paraId="330FE39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0.183</w:t>
            </w:r>
            <w:r>
              <w:rPr>
                <w:sz w:val="22"/>
                <w:szCs w:val="22"/>
                <w:vertAlign w:val="superscript"/>
              </w:rPr>
              <w:t>*</w:t>
            </w:r>
          </w:p>
        </w:tc>
        <w:tc>
          <w:tcPr>
            <w:tcW w:w="1305" w:type="dxa"/>
            <w:hideMark/>
          </w:tcPr>
          <w:p w14:paraId="039BDA5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(1.68)</w:t>
            </w:r>
          </w:p>
        </w:tc>
        <w:tc>
          <w:tcPr>
            <w:tcW w:w="1305" w:type="dxa"/>
            <w:hideMark/>
          </w:tcPr>
          <w:p w14:paraId="0D1459C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0.159</w:t>
            </w:r>
          </w:p>
        </w:tc>
        <w:tc>
          <w:tcPr>
            <w:tcW w:w="1305" w:type="dxa"/>
            <w:hideMark/>
          </w:tcPr>
          <w:p w14:paraId="60C5122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(1.49)</w:t>
            </w:r>
          </w:p>
        </w:tc>
        <w:tc>
          <w:tcPr>
            <w:tcW w:w="1305" w:type="dxa"/>
            <w:hideMark/>
          </w:tcPr>
          <w:p w14:paraId="0355C9A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0.159</w:t>
            </w:r>
          </w:p>
        </w:tc>
        <w:tc>
          <w:tcPr>
            <w:tcW w:w="1305" w:type="dxa"/>
            <w:hideMark/>
          </w:tcPr>
          <w:p w14:paraId="0D266FC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(1.48)</w:t>
            </w:r>
          </w:p>
        </w:tc>
      </w:tr>
      <w:tr w:rsidR="00407106" w14:paraId="73C419C7" w14:textId="77777777" w:rsidTr="00407106">
        <w:tc>
          <w:tcPr>
            <w:tcW w:w="2520" w:type="dxa"/>
            <w:hideMark/>
          </w:tcPr>
          <w:p w14:paraId="2A7DE238"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NEWS10K</w:t>
            </w:r>
          </w:p>
        </w:tc>
        <w:tc>
          <w:tcPr>
            <w:tcW w:w="1305" w:type="dxa"/>
            <w:hideMark/>
          </w:tcPr>
          <w:p w14:paraId="3A5C4D3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-4.234</w:t>
            </w:r>
            <w:r>
              <w:rPr>
                <w:sz w:val="22"/>
                <w:szCs w:val="22"/>
                <w:vertAlign w:val="superscript"/>
              </w:rPr>
              <w:t>***</w:t>
            </w:r>
          </w:p>
        </w:tc>
        <w:tc>
          <w:tcPr>
            <w:tcW w:w="1305" w:type="dxa"/>
            <w:hideMark/>
          </w:tcPr>
          <w:p w14:paraId="020C27A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(-3.87)</w:t>
            </w:r>
          </w:p>
        </w:tc>
        <w:tc>
          <w:tcPr>
            <w:tcW w:w="1305" w:type="dxa"/>
            <w:hideMark/>
          </w:tcPr>
          <w:p w14:paraId="275918B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-4.210</w:t>
            </w:r>
            <w:r>
              <w:rPr>
                <w:sz w:val="22"/>
                <w:szCs w:val="22"/>
                <w:vertAlign w:val="superscript"/>
              </w:rPr>
              <w:t>***</w:t>
            </w:r>
          </w:p>
        </w:tc>
        <w:tc>
          <w:tcPr>
            <w:tcW w:w="1305" w:type="dxa"/>
            <w:hideMark/>
          </w:tcPr>
          <w:p w14:paraId="2016EEE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(-3.84)</w:t>
            </w:r>
          </w:p>
        </w:tc>
        <w:tc>
          <w:tcPr>
            <w:tcW w:w="1305" w:type="dxa"/>
            <w:hideMark/>
          </w:tcPr>
          <w:p w14:paraId="2AD8793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-4.226</w:t>
            </w:r>
            <w:r>
              <w:rPr>
                <w:sz w:val="22"/>
                <w:szCs w:val="22"/>
                <w:vertAlign w:val="superscript"/>
              </w:rPr>
              <w:t>***</w:t>
            </w:r>
          </w:p>
        </w:tc>
        <w:tc>
          <w:tcPr>
            <w:tcW w:w="1305" w:type="dxa"/>
            <w:hideMark/>
          </w:tcPr>
          <w:p w14:paraId="4DAE6C7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(-3.86)</w:t>
            </w:r>
          </w:p>
        </w:tc>
        <w:tc>
          <w:tcPr>
            <w:tcW w:w="1305" w:type="dxa"/>
            <w:hideMark/>
          </w:tcPr>
          <w:p w14:paraId="37843AB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-4.221</w:t>
            </w:r>
            <w:r>
              <w:rPr>
                <w:sz w:val="22"/>
                <w:szCs w:val="22"/>
                <w:vertAlign w:val="superscript"/>
              </w:rPr>
              <w:t>***</w:t>
            </w:r>
          </w:p>
        </w:tc>
        <w:tc>
          <w:tcPr>
            <w:tcW w:w="1305" w:type="dxa"/>
            <w:hideMark/>
          </w:tcPr>
          <w:p w14:paraId="66CD79B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(-3.86)</w:t>
            </w:r>
          </w:p>
        </w:tc>
      </w:tr>
      <w:tr w:rsidR="00407106" w14:paraId="3A959E81" w14:textId="77777777" w:rsidTr="00407106">
        <w:tc>
          <w:tcPr>
            <w:tcW w:w="2520" w:type="dxa"/>
          </w:tcPr>
          <w:p w14:paraId="451DEA7E" w14:textId="77777777" w:rsidR="00407106" w:rsidRDefault="00407106">
            <w:pPr>
              <w:widowControl w:val="0"/>
              <w:autoSpaceDE w:val="0"/>
              <w:autoSpaceDN w:val="0"/>
              <w:adjustRightInd w:val="0"/>
              <w:spacing w:after="0" w:line="240" w:lineRule="auto"/>
              <w:ind w:firstLine="0"/>
              <w:rPr>
                <w:sz w:val="22"/>
                <w:szCs w:val="22"/>
                <w:u w:val="single"/>
              </w:rPr>
            </w:pPr>
          </w:p>
        </w:tc>
        <w:tc>
          <w:tcPr>
            <w:tcW w:w="1305" w:type="dxa"/>
          </w:tcPr>
          <w:p w14:paraId="27B9BFB6"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1BFC7E1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407DEB15"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39B05D58"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3DF9D535"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34751CBC"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0BDC20E8"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16E71822"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C3A7E30" w14:textId="77777777" w:rsidTr="00407106">
        <w:tc>
          <w:tcPr>
            <w:tcW w:w="2520" w:type="dxa"/>
            <w:hideMark/>
          </w:tcPr>
          <w:p w14:paraId="18EE7FA6"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Incentive to cover:</w:t>
            </w:r>
          </w:p>
        </w:tc>
        <w:tc>
          <w:tcPr>
            <w:tcW w:w="1305" w:type="dxa"/>
          </w:tcPr>
          <w:p w14:paraId="10A3D368"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77F1F6EC"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189ABA24"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02E3BB0B"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758B3ECE"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79F54C50"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527D83FC"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tcPr>
          <w:p w14:paraId="343D3C2E"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CC997A7" w14:textId="77777777" w:rsidTr="00407106">
        <w:tc>
          <w:tcPr>
            <w:tcW w:w="2520" w:type="dxa"/>
            <w:hideMark/>
          </w:tcPr>
          <w:p w14:paraId="5B07CA3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TURN</w:t>
            </w:r>
          </w:p>
        </w:tc>
        <w:tc>
          <w:tcPr>
            <w:tcW w:w="1305" w:type="dxa"/>
            <w:hideMark/>
          </w:tcPr>
          <w:p w14:paraId="54E62E9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305" w:type="dxa"/>
            <w:hideMark/>
          </w:tcPr>
          <w:p w14:paraId="1D9766E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(-1.30)</w:t>
            </w:r>
          </w:p>
        </w:tc>
        <w:tc>
          <w:tcPr>
            <w:tcW w:w="1305" w:type="dxa"/>
            <w:hideMark/>
          </w:tcPr>
          <w:p w14:paraId="545356E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305" w:type="dxa"/>
            <w:hideMark/>
          </w:tcPr>
          <w:p w14:paraId="1C3AA5F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(-1.40)</w:t>
            </w:r>
          </w:p>
        </w:tc>
        <w:tc>
          <w:tcPr>
            <w:tcW w:w="1305" w:type="dxa"/>
            <w:hideMark/>
          </w:tcPr>
          <w:p w14:paraId="10FE468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305" w:type="dxa"/>
            <w:hideMark/>
          </w:tcPr>
          <w:p w14:paraId="05E499A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(-1.28)</w:t>
            </w:r>
          </w:p>
        </w:tc>
        <w:tc>
          <w:tcPr>
            <w:tcW w:w="1305" w:type="dxa"/>
            <w:hideMark/>
          </w:tcPr>
          <w:p w14:paraId="2DE7C27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305" w:type="dxa"/>
            <w:hideMark/>
          </w:tcPr>
          <w:p w14:paraId="2F1BE91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(-1.28)</w:t>
            </w:r>
          </w:p>
        </w:tc>
      </w:tr>
      <w:tr w:rsidR="00407106" w14:paraId="0D7DF42A" w14:textId="77777777" w:rsidTr="00407106">
        <w:tc>
          <w:tcPr>
            <w:tcW w:w="2520" w:type="dxa"/>
            <w:hideMark/>
          </w:tcPr>
          <w:p w14:paraId="3CCBD761"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ADV</w:t>
            </w:r>
          </w:p>
        </w:tc>
        <w:tc>
          <w:tcPr>
            <w:tcW w:w="1305" w:type="dxa"/>
            <w:hideMark/>
          </w:tcPr>
          <w:p w14:paraId="73128BC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-0.372</w:t>
            </w:r>
          </w:p>
        </w:tc>
        <w:tc>
          <w:tcPr>
            <w:tcW w:w="1305" w:type="dxa"/>
            <w:hideMark/>
          </w:tcPr>
          <w:p w14:paraId="29899F4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(-0.73)</w:t>
            </w:r>
          </w:p>
        </w:tc>
        <w:tc>
          <w:tcPr>
            <w:tcW w:w="1305" w:type="dxa"/>
            <w:hideMark/>
          </w:tcPr>
          <w:p w14:paraId="1FB000A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-0.281</w:t>
            </w:r>
          </w:p>
        </w:tc>
        <w:tc>
          <w:tcPr>
            <w:tcW w:w="1305" w:type="dxa"/>
            <w:hideMark/>
          </w:tcPr>
          <w:p w14:paraId="3E1586F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(-0.55)</w:t>
            </w:r>
          </w:p>
        </w:tc>
        <w:tc>
          <w:tcPr>
            <w:tcW w:w="1305" w:type="dxa"/>
            <w:hideMark/>
          </w:tcPr>
          <w:p w14:paraId="5AE7A77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-0.375</w:t>
            </w:r>
          </w:p>
        </w:tc>
        <w:tc>
          <w:tcPr>
            <w:tcW w:w="1305" w:type="dxa"/>
            <w:hideMark/>
          </w:tcPr>
          <w:p w14:paraId="040F819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(-0.74)</w:t>
            </w:r>
          </w:p>
        </w:tc>
        <w:tc>
          <w:tcPr>
            <w:tcW w:w="1305" w:type="dxa"/>
            <w:hideMark/>
          </w:tcPr>
          <w:p w14:paraId="61EBCBD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-0.377</w:t>
            </w:r>
          </w:p>
        </w:tc>
        <w:tc>
          <w:tcPr>
            <w:tcW w:w="1305" w:type="dxa"/>
            <w:hideMark/>
          </w:tcPr>
          <w:p w14:paraId="2DF790E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(-0.74)</w:t>
            </w:r>
          </w:p>
        </w:tc>
      </w:tr>
      <w:tr w:rsidR="00407106" w14:paraId="5319D14E" w14:textId="77777777" w:rsidTr="00407106">
        <w:tc>
          <w:tcPr>
            <w:tcW w:w="2520" w:type="dxa"/>
            <w:hideMark/>
          </w:tcPr>
          <w:p w14:paraId="340C9C5E"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RND</w:t>
            </w:r>
          </w:p>
        </w:tc>
        <w:tc>
          <w:tcPr>
            <w:tcW w:w="1305" w:type="dxa"/>
            <w:hideMark/>
          </w:tcPr>
          <w:p w14:paraId="62D782F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0.901</w:t>
            </w:r>
            <w:r>
              <w:rPr>
                <w:sz w:val="22"/>
                <w:szCs w:val="22"/>
                <w:vertAlign w:val="superscript"/>
              </w:rPr>
              <w:t>***</w:t>
            </w:r>
          </w:p>
        </w:tc>
        <w:tc>
          <w:tcPr>
            <w:tcW w:w="1305" w:type="dxa"/>
            <w:hideMark/>
          </w:tcPr>
          <w:p w14:paraId="00C7F5C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(2.95)</w:t>
            </w:r>
          </w:p>
        </w:tc>
        <w:tc>
          <w:tcPr>
            <w:tcW w:w="1305" w:type="dxa"/>
            <w:hideMark/>
          </w:tcPr>
          <w:p w14:paraId="122CA80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1.011</w:t>
            </w:r>
            <w:r>
              <w:rPr>
                <w:sz w:val="22"/>
                <w:szCs w:val="22"/>
                <w:vertAlign w:val="superscript"/>
              </w:rPr>
              <w:t>***</w:t>
            </w:r>
          </w:p>
        </w:tc>
        <w:tc>
          <w:tcPr>
            <w:tcW w:w="1305" w:type="dxa"/>
            <w:hideMark/>
          </w:tcPr>
          <w:p w14:paraId="56374BD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(3.35)</w:t>
            </w:r>
          </w:p>
        </w:tc>
        <w:tc>
          <w:tcPr>
            <w:tcW w:w="1305" w:type="dxa"/>
            <w:hideMark/>
          </w:tcPr>
          <w:p w14:paraId="2264818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0.897</w:t>
            </w:r>
            <w:r>
              <w:rPr>
                <w:sz w:val="22"/>
                <w:szCs w:val="22"/>
                <w:vertAlign w:val="superscript"/>
              </w:rPr>
              <w:t>***</w:t>
            </w:r>
          </w:p>
        </w:tc>
        <w:tc>
          <w:tcPr>
            <w:tcW w:w="1305" w:type="dxa"/>
            <w:hideMark/>
          </w:tcPr>
          <w:p w14:paraId="04C91BA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(2.94)</w:t>
            </w:r>
          </w:p>
        </w:tc>
        <w:tc>
          <w:tcPr>
            <w:tcW w:w="1305" w:type="dxa"/>
            <w:hideMark/>
          </w:tcPr>
          <w:p w14:paraId="32370E8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0.898</w:t>
            </w:r>
            <w:r>
              <w:rPr>
                <w:sz w:val="22"/>
                <w:szCs w:val="22"/>
                <w:vertAlign w:val="superscript"/>
              </w:rPr>
              <w:t>***</w:t>
            </w:r>
          </w:p>
        </w:tc>
        <w:tc>
          <w:tcPr>
            <w:tcW w:w="1305" w:type="dxa"/>
            <w:hideMark/>
          </w:tcPr>
          <w:p w14:paraId="0534BBE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(2.95)</w:t>
            </w:r>
          </w:p>
        </w:tc>
      </w:tr>
      <w:tr w:rsidR="00407106" w14:paraId="7F00FD23" w14:textId="77777777" w:rsidTr="00407106">
        <w:tc>
          <w:tcPr>
            <w:tcW w:w="2520" w:type="dxa"/>
            <w:tcBorders>
              <w:top w:val="nil"/>
              <w:left w:val="nil"/>
              <w:bottom w:val="single" w:sz="4" w:space="0" w:color="auto"/>
              <w:right w:val="nil"/>
            </w:tcBorders>
            <w:hideMark/>
          </w:tcPr>
          <w:p w14:paraId="207F7A40"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ROA</w:t>
            </w:r>
          </w:p>
        </w:tc>
        <w:tc>
          <w:tcPr>
            <w:tcW w:w="1305" w:type="dxa"/>
            <w:tcBorders>
              <w:top w:val="nil"/>
              <w:left w:val="nil"/>
              <w:bottom w:val="single" w:sz="4" w:space="0" w:color="auto"/>
              <w:right w:val="nil"/>
            </w:tcBorders>
            <w:hideMark/>
          </w:tcPr>
          <w:p w14:paraId="5581A5B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1.483</w:t>
            </w:r>
            <w:r>
              <w:rPr>
                <w:sz w:val="22"/>
                <w:szCs w:val="22"/>
                <w:vertAlign w:val="superscript"/>
              </w:rPr>
              <w:t>***</w:t>
            </w:r>
          </w:p>
        </w:tc>
        <w:tc>
          <w:tcPr>
            <w:tcW w:w="1305" w:type="dxa"/>
            <w:tcBorders>
              <w:top w:val="nil"/>
              <w:left w:val="nil"/>
              <w:bottom w:val="single" w:sz="4" w:space="0" w:color="auto"/>
              <w:right w:val="nil"/>
            </w:tcBorders>
            <w:hideMark/>
          </w:tcPr>
          <w:p w14:paraId="69BF4DB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(3.40)</w:t>
            </w:r>
          </w:p>
        </w:tc>
        <w:tc>
          <w:tcPr>
            <w:tcW w:w="1305" w:type="dxa"/>
            <w:tcBorders>
              <w:top w:val="nil"/>
              <w:left w:val="nil"/>
              <w:bottom w:val="single" w:sz="4" w:space="0" w:color="auto"/>
              <w:right w:val="nil"/>
            </w:tcBorders>
            <w:hideMark/>
          </w:tcPr>
          <w:p w14:paraId="6B158FC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1.560</w:t>
            </w:r>
            <w:r>
              <w:rPr>
                <w:sz w:val="22"/>
                <w:szCs w:val="22"/>
                <w:vertAlign w:val="superscript"/>
              </w:rPr>
              <w:t>***</w:t>
            </w:r>
          </w:p>
        </w:tc>
        <w:tc>
          <w:tcPr>
            <w:tcW w:w="1305" w:type="dxa"/>
            <w:tcBorders>
              <w:top w:val="nil"/>
              <w:left w:val="nil"/>
              <w:bottom w:val="single" w:sz="4" w:space="0" w:color="auto"/>
              <w:right w:val="nil"/>
            </w:tcBorders>
            <w:hideMark/>
          </w:tcPr>
          <w:p w14:paraId="353A339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(3.64)</w:t>
            </w:r>
          </w:p>
        </w:tc>
        <w:tc>
          <w:tcPr>
            <w:tcW w:w="1305" w:type="dxa"/>
            <w:tcBorders>
              <w:top w:val="nil"/>
              <w:left w:val="nil"/>
              <w:bottom w:val="single" w:sz="4" w:space="0" w:color="auto"/>
              <w:right w:val="nil"/>
            </w:tcBorders>
            <w:hideMark/>
          </w:tcPr>
          <w:p w14:paraId="14D90CD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1.484</w:t>
            </w:r>
            <w:r>
              <w:rPr>
                <w:sz w:val="22"/>
                <w:szCs w:val="22"/>
                <w:vertAlign w:val="superscript"/>
              </w:rPr>
              <w:t>***</w:t>
            </w:r>
          </w:p>
        </w:tc>
        <w:tc>
          <w:tcPr>
            <w:tcW w:w="1305" w:type="dxa"/>
            <w:tcBorders>
              <w:top w:val="nil"/>
              <w:left w:val="nil"/>
              <w:bottom w:val="single" w:sz="4" w:space="0" w:color="auto"/>
              <w:right w:val="nil"/>
            </w:tcBorders>
            <w:hideMark/>
          </w:tcPr>
          <w:p w14:paraId="65CE01F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(3.40)</w:t>
            </w:r>
          </w:p>
        </w:tc>
        <w:tc>
          <w:tcPr>
            <w:tcW w:w="1305" w:type="dxa"/>
            <w:tcBorders>
              <w:top w:val="nil"/>
              <w:left w:val="nil"/>
              <w:bottom w:val="single" w:sz="4" w:space="0" w:color="auto"/>
              <w:right w:val="nil"/>
            </w:tcBorders>
            <w:hideMark/>
          </w:tcPr>
          <w:p w14:paraId="2B2E88F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1.484</w:t>
            </w:r>
            <w:r>
              <w:rPr>
                <w:sz w:val="22"/>
                <w:szCs w:val="22"/>
                <w:vertAlign w:val="superscript"/>
              </w:rPr>
              <w:t>***</w:t>
            </w:r>
          </w:p>
        </w:tc>
        <w:tc>
          <w:tcPr>
            <w:tcW w:w="1305" w:type="dxa"/>
            <w:tcBorders>
              <w:top w:val="nil"/>
              <w:left w:val="nil"/>
              <w:bottom w:val="single" w:sz="4" w:space="0" w:color="auto"/>
              <w:right w:val="nil"/>
            </w:tcBorders>
            <w:hideMark/>
          </w:tcPr>
          <w:p w14:paraId="33487D7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(3.40)</w:t>
            </w:r>
          </w:p>
        </w:tc>
      </w:tr>
    </w:tbl>
    <w:p w14:paraId="63FC248B" w14:textId="77777777" w:rsidR="00407106" w:rsidRDefault="00407106" w:rsidP="00407106">
      <w:pPr>
        <w:spacing w:line="276" w:lineRule="auto"/>
        <w:ind w:firstLine="0"/>
        <w:jc w:val="left"/>
      </w:pPr>
      <w:r>
        <w:br w:type="page"/>
      </w:r>
    </w:p>
    <w:p w14:paraId="5B12DA03" w14:textId="77777777" w:rsidR="00407106" w:rsidRDefault="00407106" w:rsidP="00407106">
      <w:pPr>
        <w:keepNext/>
        <w:widowControl w:val="0"/>
        <w:autoSpaceDE w:val="0"/>
        <w:autoSpaceDN w:val="0"/>
        <w:adjustRightInd w:val="0"/>
        <w:spacing w:after="0" w:line="240" w:lineRule="auto"/>
        <w:ind w:firstLine="0"/>
        <w:jc w:val="center"/>
        <w:rPr>
          <w:b/>
        </w:rPr>
      </w:pPr>
      <w:r>
        <w:rPr>
          <w:b/>
        </w:rPr>
        <w:lastRenderedPageBreak/>
        <w:t>TABLE 6</w:t>
      </w:r>
      <w:r>
        <w:t xml:space="preserve"> </w:t>
      </w:r>
      <w:r>
        <w:rPr>
          <w:b/>
        </w:rPr>
        <w:t>–</w:t>
      </w:r>
      <w:r>
        <w:t xml:space="preserve"> </w:t>
      </w:r>
      <w:r>
        <w:rPr>
          <w:i/>
        </w:rPr>
        <w:t>Continued</w:t>
      </w:r>
    </w:p>
    <w:p w14:paraId="7D42860B" w14:textId="77777777" w:rsidR="00407106" w:rsidRDefault="00407106" w:rsidP="00407106">
      <w:pPr>
        <w:keepNext/>
        <w:widowControl w:val="0"/>
        <w:autoSpaceDE w:val="0"/>
        <w:autoSpaceDN w:val="0"/>
        <w:adjustRightInd w:val="0"/>
        <w:spacing w:after="0" w:line="240" w:lineRule="auto"/>
        <w:ind w:firstLine="0"/>
        <w:jc w:val="center"/>
      </w:pPr>
      <w:r>
        <w:rPr>
          <w:i/>
        </w:rPr>
        <w:t>Accounting complexity based on financial statements and notes and forecast accuracy: analyst-firm-year level sample</w:t>
      </w:r>
    </w:p>
    <w:tbl>
      <w:tblPr>
        <w:tblW w:w="0" w:type="dxa"/>
        <w:tblLayout w:type="fixed"/>
        <w:tblLook w:val="04A0" w:firstRow="1" w:lastRow="0" w:firstColumn="1" w:lastColumn="0" w:noHBand="0" w:noVBand="1"/>
      </w:tblPr>
      <w:tblGrid>
        <w:gridCol w:w="2520"/>
        <w:gridCol w:w="90"/>
        <w:gridCol w:w="1215"/>
        <w:gridCol w:w="90"/>
        <w:gridCol w:w="1215"/>
        <w:gridCol w:w="90"/>
        <w:gridCol w:w="1215"/>
        <w:gridCol w:w="90"/>
        <w:gridCol w:w="1215"/>
        <w:gridCol w:w="90"/>
        <w:gridCol w:w="1215"/>
        <w:gridCol w:w="90"/>
        <w:gridCol w:w="1215"/>
        <w:gridCol w:w="90"/>
        <w:gridCol w:w="1215"/>
        <w:gridCol w:w="90"/>
        <w:gridCol w:w="1215"/>
        <w:gridCol w:w="90"/>
      </w:tblGrid>
      <w:tr w:rsidR="00407106" w14:paraId="3B224975" w14:textId="77777777" w:rsidTr="00407106">
        <w:trPr>
          <w:trHeight w:hRule="exact" w:val="360"/>
        </w:trPr>
        <w:tc>
          <w:tcPr>
            <w:tcW w:w="2610" w:type="dxa"/>
            <w:gridSpan w:val="2"/>
            <w:tcBorders>
              <w:top w:val="single" w:sz="4" w:space="0" w:color="auto"/>
              <w:left w:val="nil"/>
              <w:bottom w:val="single" w:sz="4" w:space="0" w:color="auto"/>
              <w:right w:val="nil"/>
            </w:tcBorders>
            <w:vAlign w:val="center"/>
            <w:hideMark/>
          </w:tcPr>
          <w:p w14:paraId="7C1D55D8"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10440" w:type="dxa"/>
            <w:gridSpan w:val="16"/>
            <w:tcBorders>
              <w:top w:val="single" w:sz="4" w:space="0" w:color="auto"/>
              <w:left w:val="nil"/>
              <w:bottom w:val="single" w:sz="4" w:space="0" w:color="auto"/>
              <w:right w:val="nil"/>
            </w:tcBorders>
            <w:vAlign w:val="center"/>
            <w:hideMark/>
          </w:tcPr>
          <w:p w14:paraId="0C73376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 × |Forecast Error|</w:t>
            </w:r>
          </w:p>
        </w:tc>
      </w:tr>
      <w:tr w:rsidR="00407106" w14:paraId="3378F351" w14:textId="77777777" w:rsidTr="00407106">
        <w:trPr>
          <w:trHeight w:hRule="exact" w:val="360"/>
        </w:trPr>
        <w:tc>
          <w:tcPr>
            <w:tcW w:w="2610" w:type="dxa"/>
            <w:gridSpan w:val="2"/>
            <w:tcBorders>
              <w:top w:val="single" w:sz="4" w:space="0" w:color="auto"/>
              <w:left w:val="nil"/>
              <w:bottom w:val="single" w:sz="4" w:space="0" w:color="auto"/>
              <w:right w:val="nil"/>
            </w:tcBorders>
            <w:vAlign w:val="center"/>
          </w:tcPr>
          <w:p w14:paraId="2D68E6D2"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Borders>
              <w:top w:val="single" w:sz="4" w:space="0" w:color="auto"/>
              <w:left w:val="nil"/>
              <w:bottom w:val="single" w:sz="4" w:space="0" w:color="auto"/>
              <w:right w:val="nil"/>
            </w:tcBorders>
            <w:vAlign w:val="center"/>
            <w:hideMark/>
          </w:tcPr>
          <w:p w14:paraId="2C6BCD8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1305" w:type="dxa"/>
            <w:gridSpan w:val="2"/>
            <w:tcBorders>
              <w:top w:val="single" w:sz="4" w:space="0" w:color="auto"/>
              <w:left w:val="nil"/>
              <w:bottom w:val="single" w:sz="4" w:space="0" w:color="auto"/>
              <w:right w:val="nil"/>
            </w:tcBorders>
            <w:vAlign w:val="center"/>
          </w:tcPr>
          <w:p w14:paraId="3EB943BC"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Borders>
              <w:top w:val="single" w:sz="4" w:space="0" w:color="auto"/>
              <w:left w:val="nil"/>
              <w:bottom w:val="single" w:sz="4" w:space="0" w:color="auto"/>
              <w:right w:val="nil"/>
            </w:tcBorders>
            <w:vAlign w:val="center"/>
            <w:hideMark/>
          </w:tcPr>
          <w:p w14:paraId="64684EE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1305" w:type="dxa"/>
            <w:gridSpan w:val="2"/>
            <w:tcBorders>
              <w:top w:val="single" w:sz="4" w:space="0" w:color="auto"/>
              <w:left w:val="nil"/>
              <w:bottom w:val="single" w:sz="4" w:space="0" w:color="auto"/>
              <w:right w:val="nil"/>
            </w:tcBorders>
            <w:vAlign w:val="center"/>
          </w:tcPr>
          <w:p w14:paraId="10A7B1F6"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Borders>
              <w:top w:val="single" w:sz="4" w:space="0" w:color="auto"/>
              <w:left w:val="nil"/>
              <w:bottom w:val="single" w:sz="4" w:space="0" w:color="auto"/>
              <w:right w:val="nil"/>
            </w:tcBorders>
            <w:vAlign w:val="center"/>
            <w:hideMark/>
          </w:tcPr>
          <w:p w14:paraId="0C62ED2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c>
          <w:tcPr>
            <w:tcW w:w="1305" w:type="dxa"/>
            <w:gridSpan w:val="2"/>
            <w:tcBorders>
              <w:top w:val="single" w:sz="4" w:space="0" w:color="auto"/>
              <w:left w:val="nil"/>
              <w:bottom w:val="single" w:sz="4" w:space="0" w:color="auto"/>
              <w:right w:val="nil"/>
            </w:tcBorders>
            <w:vAlign w:val="center"/>
          </w:tcPr>
          <w:p w14:paraId="4A2FDEC2"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Borders>
              <w:top w:val="single" w:sz="4" w:space="0" w:color="auto"/>
              <w:left w:val="nil"/>
              <w:bottom w:val="single" w:sz="4" w:space="0" w:color="auto"/>
              <w:right w:val="nil"/>
            </w:tcBorders>
            <w:vAlign w:val="center"/>
            <w:hideMark/>
          </w:tcPr>
          <w:p w14:paraId="2981952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w:t>
            </w:r>
          </w:p>
        </w:tc>
        <w:tc>
          <w:tcPr>
            <w:tcW w:w="1305" w:type="dxa"/>
            <w:gridSpan w:val="2"/>
            <w:tcBorders>
              <w:top w:val="single" w:sz="4" w:space="0" w:color="auto"/>
              <w:left w:val="nil"/>
              <w:bottom w:val="single" w:sz="4" w:space="0" w:color="auto"/>
              <w:right w:val="nil"/>
            </w:tcBorders>
            <w:vAlign w:val="center"/>
          </w:tcPr>
          <w:p w14:paraId="6B443A2E"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51234E2" w14:textId="77777777" w:rsidTr="00407106">
        <w:trPr>
          <w:gridAfter w:val="1"/>
          <w:wAfter w:w="90" w:type="dxa"/>
        </w:trPr>
        <w:tc>
          <w:tcPr>
            <w:tcW w:w="2520" w:type="dxa"/>
            <w:hideMark/>
          </w:tcPr>
          <w:p w14:paraId="421B46F6"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Complexity:</w:t>
            </w:r>
          </w:p>
        </w:tc>
        <w:tc>
          <w:tcPr>
            <w:tcW w:w="1305" w:type="dxa"/>
            <w:gridSpan w:val="2"/>
          </w:tcPr>
          <w:p w14:paraId="2B7E31B9"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23463E55"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58D1F83A"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0A2CAF80"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6F558096"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3E32F872"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4472144A"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678143C8"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415EB5DC" w14:textId="77777777" w:rsidTr="00407106">
        <w:trPr>
          <w:gridAfter w:val="1"/>
          <w:wAfter w:w="90" w:type="dxa"/>
        </w:trPr>
        <w:tc>
          <w:tcPr>
            <w:tcW w:w="2520" w:type="dxa"/>
            <w:hideMark/>
          </w:tcPr>
          <w:p w14:paraId="0683AB28"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FOROPS</w:t>
            </w:r>
          </w:p>
        </w:tc>
        <w:tc>
          <w:tcPr>
            <w:tcW w:w="1305" w:type="dxa"/>
            <w:gridSpan w:val="2"/>
            <w:hideMark/>
          </w:tcPr>
          <w:p w14:paraId="0449C3F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0.098</w:t>
            </w:r>
            <w:r>
              <w:rPr>
                <w:sz w:val="22"/>
                <w:szCs w:val="22"/>
                <w:vertAlign w:val="superscript"/>
              </w:rPr>
              <w:t>**</w:t>
            </w:r>
          </w:p>
        </w:tc>
        <w:tc>
          <w:tcPr>
            <w:tcW w:w="1305" w:type="dxa"/>
            <w:gridSpan w:val="2"/>
            <w:hideMark/>
          </w:tcPr>
          <w:p w14:paraId="1CEFE1E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(2.33)</w:t>
            </w:r>
          </w:p>
        </w:tc>
        <w:tc>
          <w:tcPr>
            <w:tcW w:w="1305" w:type="dxa"/>
            <w:gridSpan w:val="2"/>
            <w:hideMark/>
          </w:tcPr>
          <w:p w14:paraId="39BA287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0.083</w:t>
            </w:r>
            <w:r>
              <w:rPr>
                <w:sz w:val="22"/>
                <w:szCs w:val="22"/>
                <w:vertAlign w:val="superscript"/>
              </w:rPr>
              <w:t>*</w:t>
            </w:r>
          </w:p>
        </w:tc>
        <w:tc>
          <w:tcPr>
            <w:tcW w:w="1305" w:type="dxa"/>
            <w:gridSpan w:val="2"/>
            <w:hideMark/>
          </w:tcPr>
          <w:p w14:paraId="35AF5D5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(1.91)</w:t>
            </w:r>
          </w:p>
        </w:tc>
        <w:tc>
          <w:tcPr>
            <w:tcW w:w="1305" w:type="dxa"/>
            <w:gridSpan w:val="2"/>
            <w:hideMark/>
          </w:tcPr>
          <w:p w14:paraId="239D5D2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0.099</w:t>
            </w:r>
            <w:r>
              <w:rPr>
                <w:sz w:val="22"/>
                <w:szCs w:val="22"/>
                <w:vertAlign w:val="superscript"/>
              </w:rPr>
              <w:t>**</w:t>
            </w:r>
          </w:p>
        </w:tc>
        <w:tc>
          <w:tcPr>
            <w:tcW w:w="1305" w:type="dxa"/>
            <w:gridSpan w:val="2"/>
            <w:hideMark/>
          </w:tcPr>
          <w:p w14:paraId="670A722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(2.34)</w:t>
            </w:r>
          </w:p>
        </w:tc>
        <w:tc>
          <w:tcPr>
            <w:tcW w:w="1305" w:type="dxa"/>
            <w:gridSpan w:val="2"/>
            <w:hideMark/>
          </w:tcPr>
          <w:p w14:paraId="16C9769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0.098</w:t>
            </w:r>
            <w:r>
              <w:rPr>
                <w:sz w:val="22"/>
                <w:szCs w:val="22"/>
                <w:vertAlign w:val="superscript"/>
              </w:rPr>
              <w:t>**</w:t>
            </w:r>
          </w:p>
        </w:tc>
        <w:tc>
          <w:tcPr>
            <w:tcW w:w="1305" w:type="dxa"/>
            <w:gridSpan w:val="2"/>
            <w:hideMark/>
          </w:tcPr>
          <w:p w14:paraId="49D667F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(2.30)</w:t>
            </w:r>
          </w:p>
        </w:tc>
      </w:tr>
      <w:tr w:rsidR="00407106" w14:paraId="47672209" w14:textId="77777777" w:rsidTr="00407106">
        <w:trPr>
          <w:gridAfter w:val="1"/>
          <w:wAfter w:w="90" w:type="dxa"/>
        </w:trPr>
        <w:tc>
          <w:tcPr>
            <w:tcW w:w="2520" w:type="dxa"/>
            <w:hideMark/>
          </w:tcPr>
          <w:p w14:paraId="697397EE"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LOGSGMT</w:t>
            </w:r>
          </w:p>
        </w:tc>
        <w:tc>
          <w:tcPr>
            <w:tcW w:w="1305" w:type="dxa"/>
            <w:gridSpan w:val="2"/>
            <w:hideMark/>
          </w:tcPr>
          <w:p w14:paraId="12986B9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-0.015</w:t>
            </w:r>
          </w:p>
        </w:tc>
        <w:tc>
          <w:tcPr>
            <w:tcW w:w="1305" w:type="dxa"/>
            <w:gridSpan w:val="2"/>
            <w:hideMark/>
          </w:tcPr>
          <w:p w14:paraId="7C64496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(-0.44)</w:t>
            </w:r>
          </w:p>
        </w:tc>
        <w:tc>
          <w:tcPr>
            <w:tcW w:w="1305" w:type="dxa"/>
            <w:gridSpan w:val="2"/>
            <w:hideMark/>
          </w:tcPr>
          <w:p w14:paraId="2E620F6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-0.016</w:t>
            </w:r>
          </w:p>
        </w:tc>
        <w:tc>
          <w:tcPr>
            <w:tcW w:w="1305" w:type="dxa"/>
            <w:gridSpan w:val="2"/>
            <w:hideMark/>
          </w:tcPr>
          <w:p w14:paraId="02F5A17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(-0.48)</w:t>
            </w:r>
          </w:p>
        </w:tc>
        <w:tc>
          <w:tcPr>
            <w:tcW w:w="1305" w:type="dxa"/>
            <w:gridSpan w:val="2"/>
            <w:hideMark/>
          </w:tcPr>
          <w:p w14:paraId="243EEFF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-0.014</w:t>
            </w:r>
          </w:p>
        </w:tc>
        <w:tc>
          <w:tcPr>
            <w:tcW w:w="1305" w:type="dxa"/>
            <w:gridSpan w:val="2"/>
            <w:hideMark/>
          </w:tcPr>
          <w:p w14:paraId="1D8801D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(-0.42)</w:t>
            </w:r>
          </w:p>
        </w:tc>
        <w:tc>
          <w:tcPr>
            <w:tcW w:w="1305" w:type="dxa"/>
            <w:gridSpan w:val="2"/>
            <w:hideMark/>
          </w:tcPr>
          <w:p w14:paraId="05BB674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-0.014</w:t>
            </w:r>
          </w:p>
        </w:tc>
        <w:tc>
          <w:tcPr>
            <w:tcW w:w="1305" w:type="dxa"/>
            <w:gridSpan w:val="2"/>
            <w:hideMark/>
          </w:tcPr>
          <w:p w14:paraId="0176D8C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(-0.40)</w:t>
            </w:r>
          </w:p>
        </w:tc>
      </w:tr>
      <w:tr w:rsidR="00407106" w14:paraId="1BED9E29" w14:textId="77777777" w:rsidTr="00407106">
        <w:trPr>
          <w:gridAfter w:val="1"/>
          <w:wAfter w:w="90" w:type="dxa"/>
        </w:trPr>
        <w:tc>
          <w:tcPr>
            <w:tcW w:w="2520" w:type="dxa"/>
            <w:hideMark/>
          </w:tcPr>
          <w:p w14:paraId="5A9181A5"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EARNVOL</w:t>
            </w:r>
          </w:p>
        </w:tc>
        <w:tc>
          <w:tcPr>
            <w:tcW w:w="1305" w:type="dxa"/>
            <w:gridSpan w:val="2"/>
            <w:hideMark/>
          </w:tcPr>
          <w:p w14:paraId="1B277C1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-0.028</w:t>
            </w:r>
            <w:r>
              <w:rPr>
                <w:sz w:val="22"/>
                <w:szCs w:val="22"/>
                <w:vertAlign w:val="superscript"/>
              </w:rPr>
              <w:t>***</w:t>
            </w:r>
          </w:p>
        </w:tc>
        <w:tc>
          <w:tcPr>
            <w:tcW w:w="1305" w:type="dxa"/>
            <w:gridSpan w:val="2"/>
            <w:hideMark/>
          </w:tcPr>
          <w:p w14:paraId="54D086C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(-4.02)</w:t>
            </w:r>
          </w:p>
        </w:tc>
        <w:tc>
          <w:tcPr>
            <w:tcW w:w="1305" w:type="dxa"/>
            <w:gridSpan w:val="2"/>
            <w:hideMark/>
          </w:tcPr>
          <w:p w14:paraId="5ED0376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-0.028</w:t>
            </w:r>
            <w:r>
              <w:rPr>
                <w:sz w:val="22"/>
                <w:szCs w:val="22"/>
                <w:vertAlign w:val="superscript"/>
              </w:rPr>
              <w:t>***</w:t>
            </w:r>
          </w:p>
        </w:tc>
        <w:tc>
          <w:tcPr>
            <w:tcW w:w="1305" w:type="dxa"/>
            <w:gridSpan w:val="2"/>
            <w:hideMark/>
          </w:tcPr>
          <w:p w14:paraId="74E9FE1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(-4.08)</w:t>
            </w:r>
          </w:p>
        </w:tc>
        <w:tc>
          <w:tcPr>
            <w:tcW w:w="1305" w:type="dxa"/>
            <w:gridSpan w:val="2"/>
            <w:hideMark/>
          </w:tcPr>
          <w:p w14:paraId="4FC6E2B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-0.028</w:t>
            </w:r>
            <w:r>
              <w:rPr>
                <w:sz w:val="22"/>
                <w:szCs w:val="22"/>
                <w:vertAlign w:val="superscript"/>
              </w:rPr>
              <w:t>***</w:t>
            </w:r>
          </w:p>
        </w:tc>
        <w:tc>
          <w:tcPr>
            <w:tcW w:w="1305" w:type="dxa"/>
            <w:gridSpan w:val="2"/>
            <w:hideMark/>
          </w:tcPr>
          <w:p w14:paraId="1BF3B53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(-4.02)</w:t>
            </w:r>
          </w:p>
        </w:tc>
        <w:tc>
          <w:tcPr>
            <w:tcW w:w="1305" w:type="dxa"/>
            <w:gridSpan w:val="2"/>
            <w:hideMark/>
          </w:tcPr>
          <w:p w14:paraId="6F7AA2D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-0.028</w:t>
            </w:r>
            <w:r>
              <w:rPr>
                <w:sz w:val="22"/>
                <w:szCs w:val="22"/>
                <w:vertAlign w:val="superscript"/>
              </w:rPr>
              <w:t>***</w:t>
            </w:r>
          </w:p>
        </w:tc>
        <w:tc>
          <w:tcPr>
            <w:tcW w:w="1305" w:type="dxa"/>
            <w:gridSpan w:val="2"/>
            <w:hideMark/>
          </w:tcPr>
          <w:p w14:paraId="4EC5F8F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(-4.02)</w:t>
            </w:r>
          </w:p>
        </w:tc>
      </w:tr>
      <w:tr w:rsidR="00407106" w14:paraId="6A1361D8" w14:textId="77777777" w:rsidTr="00407106">
        <w:trPr>
          <w:gridAfter w:val="1"/>
          <w:wAfter w:w="90" w:type="dxa"/>
        </w:trPr>
        <w:tc>
          <w:tcPr>
            <w:tcW w:w="2520" w:type="dxa"/>
            <w:hideMark/>
          </w:tcPr>
          <w:p w14:paraId="05D950B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FOG10K</w:t>
            </w:r>
          </w:p>
        </w:tc>
        <w:tc>
          <w:tcPr>
            <w:tcW w:w="1305" w:type="dxa"/>
            <w:gridSpan w:val="2"/>
            <w:hideMark/>
          </w:tcPr>
          <w:p w14:paraId="7CFAD47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-0.014</w:t>
            </w:r>
          </w:p>
        </w:tc>
        <w:tc>
          <w:tcPr>
            <w:tcW w:w="1305" w:type="dxa"/>
            <w:gridSpan w:val="2"/>
            <w:hideMark/>
          </w:tcPr>
          <w:p w14:paraId="3DB6FFA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(-0.72)</w:t>
            </w:r>
          </w:p>
        </w:tc>
        <w:tc>
          <w:tcPr>
            <w:tcW w:w="1305" w:type="dxa"/>
            <w:gridSpan w:val="2"/>
            <w:hideMark/>
          </w:tcPr>
          <w:p w14:paraId="307B6D4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-0.014</w:t>
            </w:r>
          </w:p>
        </w:tc>
        <w:tc>
          <w:tcPr>
            <w:tcW w:w="1305" w:type="dxa"/>
            <w:gridSpan w:val="2"/>
            <w:hideMark/>
          </w:tcPr>
          <w:p w14:paraId="0A1C506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(-0.74)</w:t>
            </w:r>
          </w:p>
        </w:tc>
        <w:tc>
          <w:tcPr>
            <w:tcW w:w="1305" w:type="dxa"/>
            <w:gridSpan w:val="2"/>
            <w:hideMark/>
          </w:tcPr>
          <w:p w14:paraId="7B4552C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-0.013</w:t>
            </w:r>
          </w:p>
        </w:tc>
        <w:tc>
          <w:tcPr>
            <w:tcW w:w="1305" w:type="dxa"/>
            <w:gridSpan w:val="2"/>
            <w:hideMark/>
          </w:tcPr>
          <w:p w14:paraId="2D86D5C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(-0.70)</w:t>
            </w:r>
          </w:p>
        </w:tc>
        <w:tc>
          <w:tcPr>
            <w:tcW w:w="1305" w:type="dxa"/>
            <w:gridSpan w:val="2"/>
            <w:hideMark/>
          </w:tcPr>
          <w:p w14:paraId="28C3C91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-0.013</w:t>
            </w:r>
          </w:p>
        </w:tc>
        <w:tc>
          <w:tcPr>
            <w:tcW w:w="1305" w:type="dxa"/>
            <w:gridSpan w:val="2"/>
            <w:hideMark/>
          </w:tcPr>
          <w:p w14:paraId="7A06987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(-0.69)</w:t>
            </w:r>
          </w:p>
        </w:tc>
      </w:tr>
      <w:tr w:rsidR="00407106" w14:paraId="5C145098" w14:textId="77777777" w:rsidTr="00407106">
        <w:trPr>
          <w:gridAfter w:val="1"/>
          <w:wAfter w:w="90" w:type="dxa"/>
        </w:trPr>
        <w:tc>
          <w:tcPr>
            <w:tcW w:w="2520" w:type="dxa"/>
            <w:hideMark/>
          </w:tcPr>
          <w:p w14:paraId="049D953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LOGWORDS</w:t>
            </w:r>
          </w:p>
        </w:tc>
        <w:tc>
          <w:tcPr>
            <w:tcW w:w="1305" w:type="dxa"/>
            <w:gridSpan w:val="2"/>
            <w:hideMark/>
          </w:tcPr>
          <w:p w14:paraId="2C72B24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-0.076</w:t>
            </w:r>
          </w:p>
        </w:tc>
        <w:tc>
          <w:tcPr>
            <w:tcW w:w="1305" w:type="dxa"/>
            <w:gridSpan w:val="2"/>
            <w:hideMark/>
          </w:tcPr>
          <w:p w14:paraId="472E305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(-0.77)</w:t>
            </w:r>
          </w:p>
        </w:tc>
        <w:tc>
          <w:tcPr>
            <w:tcW w:w="1305" w:type="dxa"/>
            <w:gridSpan w:val="2"/>
            <w:hideMark/>
          </w:tcPr>
          <w:p w14:paraId="5200B48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-0.122</w:t>
            </w:r>
          </w:p>
        </w:tc>
        <w:tc>
          <w:tcPr>
            <w:tcW w:w="1305" w:type="dxa"/>
            <w:gridSpan w:val="2"/>
            <w:hideMark/>
          </w:tcPr>
          <w:p w14:paraId="001A406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(-1.29)</w:t>
            </w:r>
          </w:p>
        </w:tc>
        <w:tc>
          <w:tcPr>
            <w:tcW w:w="1305" w:type="dxa"/>
            <w:gridSpan w:val="2"/>
            <w:hideMark/>
          </w:tcPr>
          <w:p w14:paraId="0A24E94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-0.078</w:t>
            </w:r>
          </w:p>
        </w:tc>
        <w:tc>
          <w:tcPr>
            <w:tcW w:w="1305" w:type="dxa"/>
            <w:gridSpan w:val="2"/>
            <w:hideMark/>
          </w:tcPr>
          <w:p w14:paraId="45166EC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(-0.81)</w:t>
            </w:r>
          </w:p>
        </w:tc>
        <w:tc>
          <w:tcPr>
            <w:tcW w:w="1305" w:type="dxa"/>
            <w:gridSpan w:val="2"/>
            <w:hideMark/>
          </w:tcPr>
          <w:p w14:paraId="08A3FD8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-0.082</w:t>
            </w:r>
          </w:p>
        </w:tc>
        <w:tc>
          <w:tcPr>
            <w:tcW w:w="1305" w:type="dxa"/>
            <w:gridSpan w:val="2"/>
            <w:hideMark/>
          </w:tcPr>
          <w:p w14:paraId="1641242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(-0.83)</w:t>
            </w:r>
          </w:p>
        </w:tc>
      </w:tr>
      <w:tr w:rsidR="00407106" w14:paraId="64FE9708" w14:textId="77777777" w:rsidTr="00407106">
        <w:tc>
          <w:tcPr>
            <w:tcW w:w="2610" w:type="dxa"/>
            <w:gridSpan w:val="2"/>
          </w:tcPr>
          <w:p w14:paraId="1264B70E" w14:textId="77777777" w:rsidR="00407106" w:rsidRDefault="00407106">
            <w:pPr>
              <w:widowControl w:val="0"/>
              <w:autoSpaceDE w:val="0"/>
              <w:autoSpaceDN w:val="0"/>
              <w:adjustRightInd w:val="0"/>
              <w:spacing w:after="0" w:line="240" w:lineRule="auto"/>
              <w:ind w:firstLine="0"/>
              <w:rPr>
                <w:sz w:val="22"/>
                <w:szCs w:val="22"/>
                <w:u w:val="single"/>
              </w:rPr>
            </w:pPr>
          </w:p>
        </w:tc>
        <w:tc>
          <w:tcPr>
            <w:tcW w:w="1305" w:type="dxa"/>
            <w:gridSpan w:val="2"/>
          </w:tcPr>
          <w:p w14:paraId="3CCF53C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78CDBBE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07AE791E"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4B69327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1DC1CC69"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2ECB8F11"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523C5E7C"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710196AE"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568CDAA" w14:textId="77777777" w:rsidTr="00407106">
        <w:tc>
          <w:tcPr>
            <w:tcW w:w="2610" w:type="dxa"/>
            <w:gridSpan w:val="2"/>
            <w:hideMark/>
          </w:tcPr>
          <w:p w14:paraId="15F4F7A2"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Uncertainty:</w:t>
            </w:r>
          </w:p>
        </w:tc>
        <w:tc>
          <w:tcPr>
            <w:tcW w:w="1305" w:type="dxa"/>
            <w:gridSpan w:val="2"/>
          </w:tcPr>
          <w:p w14:paraId="71CCC0A4"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570735A8"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4AA26564"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531894BA"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710E96E2"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57BF4AD8"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60A72C4A"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085AFB56"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0CCE5F5" w14:textId="77777777" w:rsidTr="00407106">
        <w:tc>
          <w:tcPr>
            <w:tcW w:w="2610" w:type="dxa"/>
            <w:gridSpan w:val="2"/>
            <w:hideMark/>
          </w:tcPr>
          <w:p w14:paraId="40A6A7CF"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STDRET</w:t>
            </w:r>
          </w:p>
        </w:tc>
        <w:tc>
          <w:tcPr>
            <w:tcW w:w="1305" w:type="dxa"/>
            <w:gridSpan w:val="2"/>
            <w:hideMark/>
          </w:tcPr>
          <w:p w14:paraId="54807AC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-0.356</w:t>
            </w:r>
            <w:r>
              <w:rPr>
                <w:sz w:val="22"/>
                <w:szCs w:val="22"/>
                <w:vertAlign w:val="superscript"/>
              </w:rPr>
              <w:t>***</w:t>
            </w:r>
          </w:p>
        </w:tc>
        <w:tc>
          <w:tcPr>
            <w:tcW w:w="1305" w:type="dxa"/>
            <w:gridSpan w:val="2"/>
            <w:hideMark/>
          </w:tcPr>
          <w:p w14:paraId="5FF20DA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(-6.28)</w:t>
            </w:r>
          </w:p>
        </w:tc>
        <w:tc>
          <w:tcPr>
            <w:tcW w:w="1305" w:type="dxa"/>
            <w:gridSpan w:val="2"/>
            <w:hideMark/>
          </w:tcPr>
          <w:p w14:paraId="6403EF0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-0.350</w:t>
            </w:r>
            <w:r>
              <w:rPr>
                <w:sz w:val="22"/>
                <w:szCs w:val="22"/>
                <w:vertAlign w:val="superscript"/>
              </w:rPr>
              <w:t>***</w:t>
            </w:r>
          </w:p>
        </w:tc>
        <w:tc>
          <w:tcPr>
            <w:tcW w:w="1305" w:type="dxa"/>
            <w:gridSpan w:val="2"/>
            <w:hideMark/>
          </w:tcPr>
          <w:p w14:paraId="05F5D46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(-6.26)</w:t>
            </w:r>
          </w:p>
        </w:tc>
        <w:tc>
          <w:tcPr>
            <w:tcW w:w="1305" w:type="dxa"/>
            <w:gridSpan w:val="2"/>
            <w:hideMark/>
          </w:tcPr>
          <w:p w14:paraId="42E3679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-0.357</w:t>
            </w:r>
            <w:r>
              <w:rPr>
                <w:sz w:val="22"/>
                <w:szCs w:val="22"/>
                <w:vertAlign w:val="superscript"/>
              </w:rPr>
              <w:t>***</w:t>
            </w:r>
          </w:p>
        </w:tc>
        <w:tc>
          <w:tcPr>
            <w:tcW w:w="1305" w:type="dxa"/>
            <w:gridSpan w:val="2"/>
            <w:hideMark/>
          </w:tcPr>
          <w:p w14:paraId="2909C75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(-6.28)</w:t>
            </w:r>
          </w:p>
        </w:tc>
        <w:tc>
          <w:tcPr>
            <w:tcW w:w="1305" w:type="dxa"/>
            <w:gridSpan w:val="2"/>
            <w:hideMark/>
          </w:tcPr>
          <w:p w14:paraId="773183B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-0.357</w:t>
            </w:r>
            <w:r>
              <w:rPr>
                <w:sz w:val="22"/>
                <w:szCs w:val="22"/>
                <w:vertAlign w:val="superscript"/>
              </w:rPr>
              <w:t>***</w:t>
            </w:r>
          </w:p>
        </w:tc>
        <w:tc>
          <w:tcPr>
            <w:tcW w:w="1305" w:type="dxa"/>
            <w:gridSpan w:val="2"/>
            <w:hideMark/>
          </w:tcPr>
          <w:p w14:paraId="4196C9E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(-6.29)</w:t>
            </w:r>
          </w:p>
        </w:tc>
      </w:tr>
      <w:tr w:rsidR="00407106" w14:paraId="5D07113B" w14:textId="77777777" w:rsidTr="00407106">
        <w:tc>
          <w:tcPr>
            <w:tcW w:w="2610" w:type="dxa"/>
            <w:gridSpan w:val="2"/>
            <w:hideMark/>
          </w:tcPr>
          <w:p w14:paraId="5F9EBA93"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LOSS</w:t>
            </w:r>
          </w:p>
        </w:tc>
        <w:tc>
          <w:tcPr>
            <w:tcW w:w="1305" w:type="dxa"/>
            <w:gridSpan w:val="2"/>
            <w:hideMark/>
          </w:tcPr>
          <w:p w14:paraId="676879A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-0.928</w:t>
            </w:r>
            <w:r>
              <w:rPr>
                <w:sz w:val="22"/>
                <w:szCs w:val="22"/>
                <w:vertAlign w:val="superscript"/>
              </w:rPr>
              <w:t>***</w:t>
            </w:r>
          </w:p>
        </w:tc>
        <w:tc>
          <w:tcPr>
            <w:tcW w:w="1305" w:type="dxa"/>
            <w:gridSpan w:val="2"/>
            <w:hideMark/>
          </w:tcPr>
          <w:p w14:paraId="2E11181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(-8.66)</w:t>
            </w:r>
          </w:p>
        </w:tc>
        <w:tc>
          <w:tcPr>
            <w:tcW w:w="1305" w:type="dxa"/>
            <w:gridSpan w:val="2"/>
            <w:hideMark/>
          </w:tcPr>
          <w:p w14:paraId="60D5612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-0.927</w:t>
            </w:r>
            <w:r>
              <w:rPr>
                <w:sz w:val="22"/>
                <w:szCs w:val="22"/>
                <w:vertAlign w:val="superscript"/>
              </w:rPr>
              <w:t>***</w:t>
            </w:r>
          </w:p>
        </w:tc>
        <w:tc>
          <w:tcPr>
            <w:tcW w:w="1305" w:type="dxa"/>
            <w:gridSpan w:val="2"/>
            <w:hideMark/>
          </w:tcPr>
          <w:p w14:paraId="74FCDD3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(-8.67)</w:t>
            </w:r>
          </w:p>
        </w:tc>
        <w:tc>
          <w:tcPr>
            <w:tcW w:w="1305" w:type="dxa"/>
            <w:gridSpan w:val="2"/>
            <w:hideMark/>
          </w:tcPr>
          <w:p w14:paraId="23C0B00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-0.927</w:t>
            </w:r>
            <w:r>
              <w:rPr>
                <w:sz w:val="22"/>
                <w:szCs w:val="22"/>
                <w:vertAlign w:val="superscript"/>
              </w:rPr>
              <w:t>***</w:t>
            </w:r>
          </w:p>
        </w:tc>
        <w:tc>
          <w:tcPr>
            <w:tcW w:w="1305" w:type="dxa"/>
            <w:gridSpan w:val="2"/>
            <w:hideMark/>
          </w:tcPr>
          <w:p w14:paraId="322EA76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(-8.65)</w:t>
            </w:r>
          </w:p>
        </w:tc>
        <w:tc>
          <w:tcPr>
            <w:tcW w:w="1305" w:type="dxa"/>
            <w:gridSpan w:val="2"/>
            <w:hideMark/>
          </w:tcPr>
          <w:p w14:paraId="42DA167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-0.927</w:t>
            </w:r>
            <w:r>
              <w:rPr>
                <w:sz w:val="22"/>
                <w:szCs w:val="22"/>
                <w:vertAlign w:val="superscript"/>
              </w:rPr>
              <w:t>***</w:t>
            </w:r>
          </w:p>
        </w:tc>
        <w:tc>
          <w:tcPr>
            <w:tcW w:w="1305" w:type="dxa"/>
            <w:gridSpan w:val="2"/>
            <w:hideMark/>
          </w:tcPr>
          <w:p w14:paraId="439C44C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(-8.65)</w:t>
            </w:r>
          </w:p>
        </w:tc>
      </w:tr>
      <w:tr w:rsidR="00407106" w14:paraId="28E4E364" w14:textId="77777777" w:rsidTr="00407106">
        <w:tc>
          <w:tcPr>
            <w:tcW w:w="2610" w:type="dxa"/>
            <w:gridSpan w:val="2"/>
          </w:tcPr>
          <w:p w14:paraId="732CF233" w14:textId="77777777" w:rsidR="00407106" w:rsidRDefault="00407106">
            <w:pPr>
              <w:widowControl w:val="0"/>
              <w:autoSpaceDE w:val="0"/>
              <w:autoSpaceDN w:val="0"/>
              <w:adjustRightInd w:val="0"/>
              <w:spacing w:after="0" w:line="240" w:lineRule="auto"/>
              <w:ind w:firstLine="0"/>
              <w:rPr>
                <w:sz w:val="22"/>
                <w:szCs w:val="22"/>
              </w:rPr>
            </w:pPr>
          </w:p>
        </w:tc>
        <w:tc>
          <w:tcPr>
            <w:tcW w:w="1305" w:type="dxa"/>
            <w:gridSpan w:val="2"/>
          </w:tcPr>
          <w:p w14:paraId="1E5492B4"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2D8CC6C1"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0CB198E8"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1443B801"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04F6A8ED"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05BB462C"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7C7FB0B1"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49AA64AB"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C79636B" w14:textId="77777777" w:rsidTr="00407106">
        <w:tc>
          <w:tcPr>
            <w:tcW w:w="2610" w:type="dxa"/>
            <w:gridSpan w:val="2"/>
            <w:hideMark/>
          </w:tcPr>
          <w:p w14:paraId="6FF4430D"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Forecast attribute:</w:t>
            </w:r>
          </w:p>
        </w:tc>
        <w:tc>
          <w:tcPr>
            <w:tcW w:w="1305" w:type="dxa"/>
            <w:gridSpan w:val="2"/>
          </w:tcPr>
          <w:p w14:paraId="08BD2DC1"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5C910B78"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4371E9F0"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042872E2"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1ECC01A6"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136803F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186CD939"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Pr>
          <w:p w14:paraId="22D625EB"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109E6BE" w14:textId="77777777" w:rsidTr="00407106">
        <w:tc>
          <w:tcPr>
            <w:tcW w:w="2610" w:type="dxa"/>
            <w:gridSpan w:val="2"/>
            <w:hideMark/>
          </w:tcPr>
          <w:p w14:paraId="27E7B872"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FORAGE</w:t>
            </w:r>
          </w:p>
        </w:tc>
        <w:tc>
          <w:tcPr>
            <w:tcW w:w="1305" w:type="dxa"/>
            <w:gridSpan w:val="2"/>
            <w:hideMark/>
          </w:tcPr>
          <w:p w14:paraId="7F9BA63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-0.183</w:t>
            </w:r>
            <w:r>
              <w:rPr>
                <w:sz w:val="22"/>
                <w:szCs w:val="22"/>
                <w:vertAlign w:val="superscript"/>
              </w:rPr>
              <w:t>***</w:t>
            </w:r>
          </w:p>
        </w:tc>
        <w:tc>
          <w:tcPr>
            <w:tcW w:w="1305" w:type="dxa"/>
            <w:gridSpan w:val="2"/>
            <w:hideMark/>
          </w:tcPr>
          <w:p w14:paraId="1144335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(-14.84)</w:t>
            </w:r>
          </w:p>
        </w:tc>
        <w:tc>
          <w:tcPr>
            <w:tcW w:w="1305" w:type="dxa"/>
            <w:gridSpan w:val="2"/>
            <w:hideMark/>
          </w:tcPr>
          <w:p w14:paraId="0071923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-0.182</w:t>
            </w:r>
            <w:r>
              <w:rPr>
                <w:sz w:val="22"/>
                <w:szCs w:val="22"/>
                <w:vertAlign w:val="superscript"/>
              </w:rPr>
              <w:t>***</w:t>
            </w:r>
          </w:p>
        </w:tc>
        <w:tc>
          <w:tcPr>
            <w:tcW w:w="1305" w:type="dxa"/>
            <w:gridSpan w:val="2"/>
            <w:hideMark/>
          </w:tcPr>
          <w:p w14:paraId="20029E5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(-14.78)</w:t>
            </w:r>
          </w:p>
        </w:tc>
        <w:tc>
          <w:tcPr>
            <w:tcW w:w="1305" w:type="dxa"/>
            <w:gridSpan w:val="2"/>
            <w:hideMark/>
          </w:tcPr>
          <w:p w14:paraId="1F8089E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-0.183</w:t>
            </w:r>
            <w:r>
              <w:rPr>
                <w:sz w:val="22"/>
                <w:szCs w:val="22"/>
                <w:vertAlign w:val="superscript"/>
              </w:rPr>
              <w:t>***</w:t>
            </w:r>
          </w:p>
        </w:tc>
        <w:tc>
          <w:tcPr>
            <w:tcW w:w="1305" w:type="dxa"/>
            <w:gridSpan w:val="2"/>
            <w:hideMark/>
          </w:tcPr>
          <w:p w14:paraId="2138422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(-14.84)</w:t>
            </w:r>
          </w:p>
        </w:tc>
        <w:tc>
          <w:tcPr>
            <w:tcW w:w="1305" w:type="dxa"/>
            <w:gridSpan w:val="2"/>
            <w:hideMark/>
          </w:tcPr>
          <w:p w14:paraId="064E5D0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-0.183</w:t>
            </w:r>
            <w:r>
              <w:rPr>
                <w:sz w:val="22"/>
                <w:szCs w:val="22"/>
                <w:vertAlign w:val="superscript"/>
              </w:rPr>
              <w:t>***</w:t>
            </w:r>
          </w:p>
        </w:tc>
        <w:tc>
          <w:tcPr>
            <w:tcW w:w="1305" w:type="dxa"/>
            <w:gridSpan w:val="2"/>
            <w:hideMark/>
          </w:tcPr>
          <w:p w14:paraId="075272C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(-14.79)</w:t>
            </w:r>
          </w:p>
        </w:tc>
      </w:tr>
      <w:tr w:rsidR="00407106" w14:paraId="36816C18" w14:textId="77777777" w:rsidTr="00407106">
        <w:tc>
          <w:tcPr>
            <w:tcW w:w="2610" w:type="dxa"/>
            <w:gridSpan w:val="2"/>
            <w:hideMark/>
          </w:tcPr>
          <w:p w14:paraId="73E5C9D2" w14:textId="77777777" w:rsidR="00407106" w:rsidRDefault="00407106">
            <w:pPr>
              <w:widowControl w:val="0"/>
              <w:autoSpaceDE w:val="0"/>
              <w:autoSpaceDN w:val="0"/>
              <w:adjustRightInd w:val="0"/>
              <w:spacing w:after="0" w:line="240" w:lineRule="auto"/>
              <w:ind w:firstLine="0"/>
              <w:rPr>
                <w:i/>
                <w:sz w:val="22"/>
                <w:szCs w:val="22"/>
              </w:rPr>
            </w:pPr>
            <w:r>
              <w:rPr>
                <w:sz w:val="22"/>
                <w:szCs w:val="22"/>
              </w:rPr>
              <w:t xml:space="preserve">Industry &amp; Year Dummies </w:t>
            </w:r>
          </w:p>
        </w:tc>
        <w:tc>
          <w:tcPr>
            <w:tcW w:w="1305" w:type="dxa"/>
            <w:gridSpan w:val="2"/>
            <w:hideMark/>
          </w:tcPr>
          <w:p w14:paraId="517C67B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305" w:type="dxa"/>
            <w:gridSpan w:val="2"/>
          </w:tcPr>
          <w:p w14:paraId="2CA41D84"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hideMark/>
          </w:tcPr>
          <w:p w14:paraId="2F0D2DB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305" w:type="dxa"/>
            <w:gridSpan w:val="2"/>
          </w:tcPr>
          <w:p w14:paraId="279F9A60"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hideMark/>
          </w:tcPr>
          <w:p w14:paraId="30F226F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305" w:type="dxa"/>
            <w:gridSpan w:val="2"/>
          </w:tcPr>
          <w:p w14:paraId="54CEE179"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hideMark/>
          </w:tcPr>
          <w:p w14:paraId="1FACBAD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305" w:type="dxa"/>
            <w:gridSpan w:val="2"/>
          </w:tcPr>
          <w:p w14:paraId="4087D84A"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EFD7F11" w14:textId="77777777" w:rsidTr="00407106">
        <w:tc>
          <w:tcPr>
            <w:tcW w:w="2610" w:type="dxa"/>
            <w:gridSpan w:val="2"/>
            <w:tcBorders>
              <w:top w:val="single" w:sz="4" w:space="0" w:color="auto"/>
              <w:left w:val="nil"/>
              <w:bottom w:val="nil"/>
              <w:right w:val="nil"/>
            </w:tcBorders>
            <w:hideMark/>
          </w:tcPr>
          <w:p w14:paraId="1E1CAD10" w14:textId="77777777" w:rsidR="00407106" w:rsidRDefault="00407106">
            <w:pPr>
              <w:widowControl w:val="0"/>
              <w:autoSpaceDE w:val="0"/>
              <w:autoSpaceDN w:val="0"/>
              <w:adjustRightInd w:val="0"/>
              <w:spacing w:after="0" w:line="240" w:lineRule="auto"/>
              <w:ind w:firstLine="0"/>
              <w:rPr>
                <w:sz w:val="22"/>
                <w:szCs w:val="22"/>
              </w:rPr>
            </w:pPr>
            <w:r>
              <w:rPr>
                <w:i/>
                <w:iCs/>
                <w:sz w:val="22"/>
                <w:szCs w:val="22"/>
              </w:rPr>
              <w:t>N</w:t>
            </w:r>
          </w:p>
        </w:tc>
        <w:tc>
          <w:tcPr>
            <w:tcW w:w="1305" w:type="dxa"/>
            <w:gridSpan w:val="2"/>
            <w:tcBorders>
              <w:top w:val="single" w:sz="4" w:space="0" w:color="auto"/>
              <w:left w:val="nil"/>
              <w:bottom w:val="nil"/>
              <w:right w:val="nil"/>
            </w:tcBorders>
            <w:hideMark/>
          </w:tcPr>
          <w:p w14:paraId="4D27F83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305" w:type="dxa"/>
            <w:gridSpan w:val="2"/>
            <w:tcBorders>
              <w:top w:val="single" w:sz="4" w:space="0" w:color="auto"/>
              <w:left w:val="nil"/>
              <w:bottom w:val="nil"/>
              <w:right w:val="nil"/>
            </w:tcBorders>
          </w:tcPr>
          <w:p w14:paraId="1169E85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Borders>
              <w:top w:val="single" w:sz="4" w:space="0" w:color="auto"/>
              <w:left w:val="nil"/>
              <w:bottom w:val="nil"/>
              <w:right w:val="nil"/>
            </w:tcBorders>
            <w:hideMark/>
          </w:tcPr>
          <w:p w14:paraId="2703185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305" w:type="dxa"/>
            <w:gridSpan w:val="2"/>
            <w:tcBorders>
              <w:top w:val="single" w:sz="4" w:space="0" w:color="auto"/>
              <w:left w:val="nil"/>
              <w:bottom w:val="nil"/>
              <w:right w:val="nil"/>
            </w:tcBorders>
          </w:tcPr>
          <w:p w14:paraId="3CC98711"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Borders>
              <w:top w:val="single" w:sz="4" w:space="0" w:color="auto"/>
              <w:left w:val="nil"/>
              <w:bottom w:val="nil"/>
              <w:right w:val="nil"/>
            </w:tcBorders>
            <w:hideMark/>
          </w:tcPr>
          <w:p w14:paraId="1A4F594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305" w:type="dxa"/>
            <w:gridSpan w:val="2"/>
            <w:tcBorders>
              <w:top w:val="single" w:sz="4" w:space="0" w:color="auto"/>
              <w:left w:val="nil"/>
              <w:bottom w:val="nil"/>
              <w:right w:val="nil"/>
            </w:tcBorders>
          </w:tcPr>
          <w:p w14:paraId="7120411E"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Borders>
              <w:top w:val="single" w:sz="4" w:space="0" w:color="auto"/>
              <w:left w:val="nil"/>
              <w:bottom w:val="nil"/>
              <w:right w:val="nil"/>
            </w:tcBorders>
            <w:hideMark/>
          </w:tcPr>
          <w:p w14:paraId="7D6F1DA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305" w:type="dxa"/>
            <w:gridSpan w:val="2"/>
            <w:tcBorders>
              <w:top w:val="single" w:sz="4" w:space="0" w:color="auto"/>
              <w:left w:val="nil"/>
              <w:bottom w:val="nil"/>
              <w:right w:val="nil"/>
            </w:tcBorders>
          </w:tcPr>
          <w:p w14:paraId="2AD24067"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5D2F412" w14:textId="77777777" w:rsidTr="00407106">
        <w:tc>
          <w:tcPr>
            <w:tcW w:w="2610" w:type="dxa"/>
            <w:gridSpan w:val="2"/>
            <w:hideMark/>
          </w:tcPr>
          <w:p w14:paraId="3E008C3D" w14:textId="77777777" w:rsidR="00407106" w:rsidRDefault="00407106">
            <w:pPr>
              <w:widowControl w:val="0"/>
              <w:autoSpaceDE w:val="0"/>
              <w:autoSpaceDN w:val="0"/>
              <w:adjustRightInd w:val="0"/>
              <w:spacing w:after="0" w:line="240" w:lineRule="auto"/>
              <w:ind w:firstLine="0"/>
              <w:rPr>
                <w:sz w:val="22"/>
                <w:szCs w:val="22"/>
              </w:rPr>
            </w:pPr>
            <w:r>
              <w:rPr>
                <w:sz w:val="22"/>
                <w:szCs w:val="22"/>
              </w:rPr>
              <w:t>R-square</w:t>
            </w:r>
          </w:p>
        </w:tc>
        <w:tc>
          <w:tcPr>
            <w:tcW w:w="1305" w:type="dxa"/>
            <w:gridSpan w:val="2"/>
            <w:hideMark/>
          </w:tcPr>
          <w:p w14:paraId="3610CA9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305" w:type="dxa"/>
            <w:gridSpan w:val="2"/>
          </w:tcPr>
          <w:p w14:paraId="3D37DE50"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hideMark/>
          </w:tcPr>
          <w:p w14:paraId="2358816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0.246</w:t>
            </w:r>
          </w:p>
        </w:tc>
        <w:tc>
          <w:tcPr>
            <w:tcW w:w="1305" w:type="dxa"/>
            <w:gridSpan w:val="2"/>
          </w:tcPr>
          <w:p w14:paraId="1568F3D5"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hideMark/>
          </w:tcPr>
          <w:p w14:paraId="765EFAA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305" w:type="dxa"/>
            <w:gridSpan w:val="2"/>
          </w:tcPr>
          <w:p w14:paraId="34C3F047"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hideMark/>
          </w:tcPr>
          <w:p w14:paraId="5BE5B26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305" w:type="dxa"/>
            <w:gridSpan w:val="2"/>
          </w:tcPr>
          <w:p w14:paraId="15FAE940"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DF0D6CA" w14:textId="77777777" w:rsidTr="00407106">
        <w:tc>
          <w:tcPr>
            <w:tcW w:w="2610" w:type="dxa"/>
            <w:gridSpan w:val="2"/>
            <w:tcBorders>
              <w:top w:val="nil"/>
              <w:left w:val="nil"/>
              <w:bottom w:val="single" w:sz="4" w:space="0" w:color="auto"/>
              <w:right w:val="nil"/>
            </w:tcBorders>
            <w:hideMark/>
          </w:tcPr>
          <w:p w14:paraId="18EA3CBE" w14:textId="77777777" w:rsidR="00407106" w:rsidRDefault="00407106">
            <w:pPr>
              <w:widowControl w:val="0"/>
              <w:autoSpaceDE w:val="0"/>
              <w:autoSpaceDN w:val="0"/>
              <w:adjustRightInd w:val="0"/>
              <w:spacing w:after="0" w:line="240" w:lineRule="auto"/>
              <w:ind w:firstLine="0"/>
              <w:rPr>
                <w:sz w:val="22"/>
                <w:szCs w:val="22"/>
              </w:rPr>
            </w:pPr>
            <w:r>
              <w:rPr>
                <w:sz w:val="22"/>
                <w:szCs w:val="22"/>
              </w:rPr>
              <w:t>Adj. R-square</w:t>
            </w:r>
          </w:p>
        </w:tc>
        <w:tc>
          <w:tcPr>
            <w:tcW w:w="1305" w:type="dxa"/>
            <w:gridSpan w:val="2"/>
            <w:tcBorders>
              <w:top w:val="nil"/>
              <w:left w:val="nil"/>
              <w:bottom w:val="single" w:sz="4" w:space="0" w:color="auto"/>
              <w:right w:val="nil"/>
            </w:tcBorders>
            <w:hideMark/>
          </w:tcPr>
          <w:p w14:paraId="6D29159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305" w:type="dxa"/>
            <w:gridSpan w:val="2"/>
            <w:tcBorders>
              <w:top w:val="nil"/>
              <w:left w:val="nil"/>
              <w:bottom w:val="single" w:sz="4" w:space="0" w:color="auto"/>
              <w:right w:val="nil"/>
            </w:tcBorders>
          </w:tcPr>
          <w:p w14:paraId="5C2D65FE"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Borders>
              <w:top w:val="nil"/>
              <w:left w:val="nil"/>
              <w:bottom w:val="single" w:sz="4" w:space="0" w:color="auto"/>
              <w:right w:val="nil"/>
            </w:tcBorders>
            <w:hideMark/>
          </w:tcPr>
          <w:p w14:paraId="54AEA71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0.246</w:t>
            </w:r>
          </w:p>
        </w:tc>
        <w:tc>
          <w:tcPr>
            <w:tcW w:w="1305" w:type="dxa"/>
            <w:gridSpan w:val="2"/>
            <w:tcBorders>
              <w:top w:val="nil"/>
              <w:left w:val="nil"/>
              <w:bottom w:val="single" w:sz="4" w:space="0" w:color="auto"/>
              <w:right w:val="nil"/>
            </w:tcBorders>
          </w:tcPr>
          <w:p w14:paraId="4B4D6484"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Borders>
              <w:top w:val="nil"/>
              <w:left w:val="nil"/>
              <w:bottom w:val="single" w:sz="4" w:space="0" w:color="auto"/>
              <w:right w:val="nil"/>
            </w:tcBorders>
            <w:hideMark/>
          </w:tcPr>
          <w:p w14:paraId="7315EE2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305" w:type="dxa"/>
            <w:gridSpan w:val="2"/>
            <w:tcBorders>
              <w:top w:val="nil"/>
              <w:left w:val="nil"/>
              <w:bottom w:val="single" w:sz="4" w:space="0" w:color="auto"/>
              <w:right w:val="nil"/>
            </w:tcBorders>
          </w:tcPr>
          <w:p w14:paraId="2B5E0B9C" w14:textId="77777777" w:rsidR="00407106" w:rsidRDefault="00407106">
            <w:pPr>
              <w:widowControl w:val="0"/>
              <w:autoSpaceDE w:val="0"/>
              <w:autoSpaceDN w:val="0"/>
              <w:adjustRightInd w:val="0"/>
              <w:spacing w:after="0" w:line="240" w:lineRule="auto"/>
              <w:ind w:firstLine="0"/>
              <w:jc w:val="center"/>
              <w:rPr>
                <w:sz w:val="22"/>
                <w:szCs w:val="22"/>
              </w:rPr>
            </w:pPr>
          </w:p>
        </w:tc>
        <w:tc>
          <w:tcPr>
            <w:tcW w:w="1305" w:type="dxa"/>
            <w:gridSpan w:val="2"/>
            <w:tcBorders>
              <w:top w:val="nil"/>
              <w:left w:val="nil"/>
              <w:bottom w:val="single" w:sz="4" w:space="0" w:color="auto"/>
              <w:right w:val="nil"/>
            </w:tcBorders>
            <w:hideMark/>
          </w:tcPr>
          <w:p w14:paraId="51F0376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305" w:type="dxa"/>
            <w:gridSpan w:val="2"/>
            <w:tcBorders>
              <w:top w:val="nil"/>
              <w:left w:val="nil"/>
              <w:bottom w:val="single" w:sz="4" w:space="0" w:color="auto"/>
              <w:right w:val="nil"/>
            </w:tcBorders>
          </w:tcPr>
          <w:p w14:paraId="078AABE3" w14:textId="77777777" w:rsidR="00407106" w:rsidRDefault="00407106">
            <w:pPr>
              <w:widowControl w:val="0"/>
              <w:autoSpaceDE w:val="0"/>
              <w:autoSpaceDN w:val="0"/>
              <w:adjustRightInd w:val="0"/>
              <w:spacing w:after="0" w:line="240" w:lineRule="auto"/>
              <w:ind w:firstLine="0"/>
              <w:jc w:val="center"/>
              <w:rPr>
                <w:sz w:val="22"/>
                <w:szCs w:val="22"/>
              </w:rPr>
            </w:pPr>
          </w:p>
        </w:tc>
      </w:tr>
    </w:tbl>
    <w:p w14:paraId="4B6CED7B" w14:textId="77777777" w:rsidR="00407106" w:rsidRDefault="00407106" w:rsidP="00407106">
      <w:pPr>
        <w:spacing w:after="0" w:line="256" w:lineRule="auto"/>
        <w:ind w:firstLine="0"/>
        <w:jc w:val="left"/>
        <w:sectPr w:rsidR="00407106">
          <w:pgSz w:w="15840" w:h="12240" w:orient="landscape"/>
          <w:pgMar w:top="1440" w:right="1440" w:bottom="1440" w:left="1440" w:header="720" w:footer="720" w:gutter="0"/>
          <w:cols w:space="720"/>
        </w:sectPr>
      </w:pPr>
    </w:p>
    <w:p w14:paraId="2CDF6951" w14:textId="77777777" w:rsidR="00407106" w:rsidRDefault="00407106" w:rsidP="00407106">
      <w:pPr>
        <w:spacing w:after="0" w:line="240" w:lineRule="auto"/>
        <w:ind w:firstLine="0"/>
        <w:jc w:val="center"/>
        <w:rPr>
          <w:b/>
        </w:rPr>
      </w:pPr>
      <w:r>
        <w:rPr>
          <w:b/>
        </w:rPr>
        <w:lastRenderedPageBreak/>
        <w:t>TABLE 7</w:t>
      </w:r>
    </w:p>
    <w:p w14:paraId="11D815E8" w14:textId="77777777" w:rsidR="00407106" w:rsidRDefault="00407106" w:rsidP="00407106">
      <w:pPr>
        <w:keepNext/>
        <w:widowControl w:val="0"/>
        <w:autoSpaceDE w:val="0"/>
        <w:autoSpaceDN w:val="0"/>
        <w:adjustRightInd w:val="0"/>
        <w:spacing w:after="0" w:line="240" w:lineRule="auto"/>
        <w:ind w:firstLine="0"/>
        <w:jc w:val="center"/>
        <w:rPr>
          <w:i/>
        </w:rPr>
      </w:pPr>
      <w:r>
        <w:rPr>
          <w:i/>
        </w:rPr>
        <w:t>Accounting complexity based on financial statements and notes and forecast accuracy: analyst-firm-year level sample</w:t>
      </w:r>
    </w:p>
    <w:p w14:paraId="29CD11B7" w14:textId="77777777" w:rsidR="00407106" w:rsidRDefault="00407106" w:rsidP="00407106">
      <w:pPr>
        <w:keepNext/>
        <w:widowControl w:val="0"/>
        <w:autoSpaceDE w:val="0"/>
        <w:autoSpaceDN w:val="0"/>
        <w:adjustRightInd w:val="0"/>
        <w:spacing w:after="0" w:line="240" w:lineRule="auto"/>
        <w:ind w:firstLine="0"/>
      </w:pPr>
      <w:r>
        <w:t xml:space="preserve">The table below presents the results of the regression analysis (OLS) of analysts’ forecast accuracy at the estimate level. </w:t>
      </w:r>
    </w:p>
    <w:p w14:paraId="3B2D684E" w14:textId="77777777" w:rsidR="00407106" w:rsidRDefault="00407106" w:rsidP="00407106">
      <w:pPr>
        <w:keepNext/>
        <w:widowControl w:val="0"/>
        <w:autoSpaceDE w:val="0"/>
        <w:autoSpaceDN w:val="0"/>
        <w:adjustRightInd w:val="0"/>
        <w:spacing w:before="120" w:after="120" w:line="240" w:lineRule="auto"/>
        <w:ind w:firstLine="0"/>
        <w:jc w:val="center"/>
      </w:pPr>
      <w:r>
        <w:t>-1 × |Forecast Error| = α + β</w:t>
      </w:r>
      <w:r>
        <w:rPr>
          <w:vertAlign w:val="subscript"/>
        </w:rPr>
        <w:t>1</w:t>
      </w:r>
      <w:r>
        <w:t>ARC-NOTES + λ</w:t>
      </w:r>
      <w:r>
        <w:rPr>
          <w:vertAlign w:val="subscript"/>
        </w:rPr>
        <w:t>1</w:t>
      </w:r>
      <w:r>
        <w:t>AQLF +η</w:t>
      </w:r>
      <w:r>
        <w:rPr>
          <w:vertAlign w:val="subscript"/>
        </w:rPr>
        <w:t>1</w:t>
      </w:r>
      <w:r>
        <w:t xml:space="preserve">ARC-NOTES×AQLF </w:t>
      </w:r>
    </w:p>
    <w:p w14:paraId="58075578" w14:textId="77777777" w:rsidR="00407106" w:rsidRDefault="00407106" w:rsidP="00407106">
      <w:pPr>
        <w:keepNext/>
        <w:widowControl w:val="0"/>
        <w:autoSpaceDE w:val="0"/>
        <w:autoSpaceDN w:val="0"/>
        <w:adjustRightInd w:val="0"/>
        <w:spacing w:before="120" w:after="120" w:line="240" w:lineRule="auto"/>
        <w:ind w:firstLine="0"/>
        <w:jc w:val="center"/>
      </w:pPr>
      <w:r>
        <w:t>+ ∑γControls + ∑δIndustry + ∑θYear + ε</w:t>
      </w:r>
      <w:r>
        <w:rPr>
          <w:vertAlign w:val="subscript"/>
        </w:rPr>
        <w:t>it</w:t>
      </w:r>
      <w:r>
        <w:t>.</w:t>
      </w:r>
    </w:p>
    <w:p w14:paraId="2C66D455" w14:textId="77777777" w:rsidR="00407106" w:rsidRDefault="00407106" w:rsidP="00407106">
      <w:pPr>
        <w:keepNext/>
        <w:widowControl w:val="0"/>
        <w:autoSpaceDE w:val="0"/>
        <w:autoSpaceDN w:val="0"/>
        <w:adjustRightInd w:val="0"/>
        <w:spacing w:after="0" w:line="240" w:lineRule="auto"/>
        <w:ind w:firstLine="0"/>
      </w:pPr>
      <w:r>
        <w:t>|</w:t>
      </w:r>
      <w:r>
        <w:rPr>
          <w:i/>
        </w:rPr>
        <w:t>Forecast Error</w:t>
      </w:r>
      <w:r>
        <w:t xml:space="preserve">| is calculated as the absolute value of actual minus forecasted earnings scaled by price and multiplied by 100. </w:t>
      </w:r>
      <w:r>
        <w:rPr>
          <w:i/>
        </w:rPr>
        <w:t>ARC-NOTES</w:t>
      </w:r>
      <w:r>
        <w:t xml:space="preserve"> is the natural logarithm of one plus the total number of monetary tags reported in the notes section. </w:t>
      </w:r>
      <w:r>
        <w:rPr>
          <w:i/>
        </w:rPr>
        <w:t>AQLF</w:t>
      </w:r>
      <w:r>
        <w:t xml:space="preserve"> measures analysts’ qualifications using four different variables: </w:t>
      </w:r>
      <w:r>
        <w:rPr>
          <w:i/>
        </w:rPr>
        <w:t>GEXP</w:t>
      </w:r>
      <w:r>
        <w:t xml:space="preserve">, </w:t>
      </w:r>
      <w:r>
        <w:rPr>
          <w:i/>
        </w:rPr>
        <w:t>FEXP</w:t>
      </w:r>
      <w:r>
        <w:t xml:space="preserve">, </w:t>
      </w:r>
      <w:r>
        <w:rPr>
          <w:i/>
        </w:rPr>
        <w:t>INDFOCUS</w:t>
      </w:r>
      <w:r>
        <w:t xml:space="preserve">, and </w:t>
      </w:r>
      <w:r>
        <w:rPr>
          <w:i/>
        </w:rPr>
        <w:t>CFA</w:t>
      </w:r>
      <w:r>
        <w:t xml:space="preserve">. </w:t>
      </w:r>
      <w:r>
        <w:rPr>
          <w:i/>
        </w:rPr>
        <w:t>GEXP</w:t>
      </w:r>
      <w:r>
        <w:t xml:space="preserve"> equals the number of years since the analyst first appeared in the I/B/E/S database and </w:t>
      </w:r>
      <w:r>
        <w:rPr>
          <w:i/>
        </w:rPr>
        <w:t>FEXP</w:t>
      </w:r>
      <w:r>
        <w:t xml:space="preserve"> equals the number of years since the analyst began issuing forecasts for the company. </w:t>
      </w:r>
      <w:r>
        <w:rPr>
          <w:i/>
        </w:rPr>
        <w:t>INDFOCUS</w:t>
      </w:r>
      <w:r>
        <w:t xml:space="preserve"> equals one divided by the number of industries (FF - 12) represented in the analyst’s portfolio of coverage. </w:t>
      </w:r>
      <w:r>
        <w:rPr>
          <w:i/>
        </w:rPr>
        <w:t>CFA</w:t>
      </w:r>
      <w:r>
        <w:t xml:space="preserve"> is an indicator variable that equals one for analysts who hold a Chartered Financial Analyst credential. </w:t>
      </w:r>
      <w:bookmarkStart w:id="21" w:name="OLE_LINK19"/>
      <w:r>
        <w:t xml:space="preserve">With the exception of CFA, we mean center all variables that are interacted. For each variable, the two rows report estimated coefficients, and t-statistics (in brackets) computed based on standard errors clustered by analyst and firm. </w:t>
      </w:r>
      <w:bookmarkEnd w:id="21"/>
      <w:r>
        <w:t>The symbols *, **, and *** indicate statistical significance at the ten, five, and one percent levels, respectively. Industry and year fixed-effects are included in all models. The number of observations and goodness of fit statistics are reported at the bottom of the table.</w:t>
      </w:r>
    </w:p>
    <w:p w14:paraId="7FEC7E64" w14:textId="77777777" w:rsidR="00407106" w:rsidRDefault="00407106" w:rsidP="00407106">
      <w:pPr>
        <w:keepNext/>
        <w:widowControl w:val="0"/>
        <w:autoSpaceDE w:val="0"/>
        <w:autoSpaceDN w:val="0"/>
        <w:adjustRightInd w:val="0"/>
        <w:spacing w:after="0" w:line="240" w:lineRule="auto"/>
        <w:ind w:firstLine="0"/>
        <w:jc w:val="center"/>
        <w:rPr>
          <w:i/>
        </w:rPr>
      </w:pPr>
    </w:p>
    <w:tbl>
      <w:tblPr>
        <w:tblW w:w="0" w:type="dxa"/>
        <w:tblLayout w:type="fixed"/>
        <w:tblLook w:val="04A0" w:firstRow="1" w:lastRow="0" w:firstColumn="1" w:lastColumn="0" w:noHBand="0" w:noVBand="1"/>
      </w:tblPr>
      <w:tblGrid>
        <w:gridCol w:w="2880"/>
        <w:gridCol w:w="1620"/>
        <w:gridCol w:w="1620"/>
        <w:gridCol w:w="1620"/>
        <w:gridCol w:w="1620"/>
      </w:tblGrid>
      <w:tr w:rsidR="00407106" w14:paraId="75A5948C" w14:textId="77777777" w:rsidTr="00407106">
        <w:trPr>
          <w:trHeight w:hRule="exact" w:val="360"/>
        </w:trPr>
        <w:tc>
          <w:tcPr>
            <w:tcW w:w="2880" w:type="dxa"/>
            <w:tcBorders>
              <w:top w:val="single" w:sz="4" w:space="0" w:color="auto"/>
              <w:left w:val="nil"/>
              <w:bottom w:val="single" w:sz="4" w:space="0" w:color="auto"/>
              <w:right w:val="nil"/>
            </w:tcBorders>
            <w:vAlign w:val="center"/>
            <w:hideMark/>
          </w:tcPr>
          <w:p w14:paraId="2EB9C767"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6480" w:type="dxa"/>
            <w:gridSpan w:val="4"/>
            <w:tcBorders>
              <w:top w:val="single" w:sz="4" w:space="0" w:color="auto"/>
              <w:left w:val="nil"/>
              <w:bottom w:val="single" w:sz="4" w:space="0" w:color="auto"/>
              <w:right w:val="nil"/>
            </w:tcBorders>
            <w:vAlign w:val="center"/>
            <w:hideMark/>
          </w:tcPr>
          <w:p w14:paraId="282384A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 × |Forecast Error|</w:t>
            </w:r>
          </w:p>
        </w:tc>
      </w:tr>
      <w:tr w:rsidR="00407106" w14:paraId="5FCC5C62" w14:textId="77777777" w:rsidTr="00407106">
        <w:trPr>
          <w:trHeight w:hRule="exact" w:val="360"/>
        </w:trPr>
        <w:tc>
          <w:tcPr>
            <w:tcW w:w="2880" w:type="dxa"/>
            <w:tcBorders>
              <w:top w:val="single" w:sz="4" w:space="0" w:color="auto"/>
              <w:left w:val="nil"/>
              <w:bottom w:val="single" w:sz="4" w:space="0" w:color="auto"/>
              <w:right w:val="nil"/>
            </w:tcBorders>
            <w:vAlign w:val="center"/>
          </w:tcPr>
          <w:p w14:paraId="6C40A56F"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Borders>
              <w:top w:val="single" w:sz="4" w:space="0" w:color="auto"/>
              <w:left w:val="nil"/>
              <w:bottom w:val="single" w:sz="4" w:space="0" w:color="auto"/>
              <w:right w:val="nil"/>
            </w:tcBorders>
            <w:vAlign w:val="center"/>
            <w:hideMark/>
          </w:tcPr>
          <w:p w14:paraId="071786C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1620" w:type="dxa"/>
            <w:tcBorders>
              <w:top w:val="single" w:sz="4" w:space="0" w:color="auto"/>
              <w:left w:val="nil"/>
              <w:bottom w:val="single" w:sz="4" w:space="0" w:color="auto"/>
              <w:right w:val="nil"/>
            </w:tcBorders>
            <w:vAlign w:val="center"/>
            <w:hideMark/>
          </w:tcPr>
          <w:p w14:paraId="2C9AC9C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1620" w:type="dxa"/>
            <w:tcBorders>
              <w:top w:val="single" w:sz="4" w:space="0" w:color="auto"/>
              <w:left w:val="nil"/>
              <w:bottom w:val="single" w:sz="4" w:space="0" w:color="auto"/>
              <w:right w:val="nil"/>
            </w:tcBorders>
            <w:vAlign w:val="center"/>
            <w:hideMark/>
          </w:tcPr>
          <w:p w14:paraId="493B9B5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c>
          <w:tcPr>
            <w:tcW w:w="1620" w:type="dxa"/>
            <w:tcBorders>
              <w:top w:val="single" w:sz="4" w:space="0" w:color="auto"/>
              <w:left w:val="nil"/>
              <w:bottom w:val="single" w:sz="4" w:space="0" w:color="auto"/>
              <w:right w:val="nil"/>
            </w:tcBorders>
            <w:vAlign w:val="center"/>
            <w:hideMark/>
          </w:tcPr>
          <w:p w14:paraId="0EC2BCA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w:t>
            </w:r>
          </w:p>
        </w:tc>
      </w:tr>
      <w:tr w:rsidR="00407106" w14:paraId="5B42A3A3" w14:textId="77777777" w:rsidTr="00407106">
        <w:tc>
          <w:tcPr>
            <w:tcW w:w="2880" w:type="dxa"/>
            <w:tcBorders>
              <w:top w:val="single" w:sz="4" w:space="0" w:color="auto"/>
              <w:left w:val="nil"/>
              <w:bottom w:val="nil"/>
              <w:right w:val="nil"/>
            </w:tcBorders>
            <w:hideMark/>
          </w:tcPr>
          <w:p w14:paraId="3E011642"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Accounting complexity:</w:t>
            </w:r>
          </w:p>
        </w:tc>
        <w:tc>
          <w:tcPr>
            <w:tcW w:w="1620" w:type="dxa"/>
            <w:tcBorders>
              <w:top w:val="single" w:sz="4" w:space="0" w:color="auto"/>
              <w:left w:val="nil"/>
              <w:bottom w:val="nil"/>
              <w:right w:val="nil"/>
            </w:tcBorders>
          </w:tcPr>
          <w:p w14:paraId="4ABFC914"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Borders>
              <w:top w:val="single" w:sz="4" w:space="0" w:color="auto"/>
              <w:left w:val="nil"/>
              <w:bottom w:val="nil"/>
              <w:right w:val="nil"/>
            </w:tcBorders>
          </w:tcPr>
          <w:p w14:paraId="3A91DBB5"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Borders>
              <w:top w:val="single" w:sz="4" w:space="0" w:color="auto"/>
              <w:left w:val="nil"/>
              <w:bottom w:val="nil"/>
              <w:right w:val="nil"/>
            </w:tcBorders>
          </w:tcPr>
          <w:p w14:paraId="08A6879F"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Borders>
              <w:top w:val="single" w:sz="4" w:space="0" w:color="auto"/>
              <w:left w:val="nil"/>
              <w:bottom w:val="nil"/>
              <w:right w:val="nil"/>
            </w:tcBorders>
          </w:tcPr>
          <w:p w14:paraId="77ADA292"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78708A68" w14:textId="77777777" w:rsidTr="00407106">
        <w:tc>
          <w:tcPr>
            <w:tcW w:w="2880" w:type="dxa"/>
            <w:hideMark/>
          </w:tcPr>
          <w:p w14:paraId="268C93EF"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w:t>
            </w:r>
          </w:p>
        </w:tc>
        <w:tc>
          <w:tcPr>
            <w:tcW w:w="1620" w:type="dxa"/>
            <w:hideMark/>
          </w:tcPr>
          <w:p w14:paraId="7A140AF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-0.199**</w:t>
            </w:r>
          </w:p>
        </w:tc>
        <w:tc>
          <w:tcPr>
            <w:tcW w:w="1620" w:type="dxa"/>
            <w:hideMark/>
          </w:tcPr>
          <w:p w14:paraId="6DF6A3F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-0.193**</w:t>
            </w:r>
          </w:p>
        </w:tc>
        <w:tc>
          <w:tcPr>
            <w:tcW w:w="1620" w:type="dxa"/>
            <w:hideMark/>
          </w:tcPr>
          <w:p w14:paraId="29FC1D2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-0.209**</w:t>
            </w:r>
          </w:p>
        </w:tc>
        <w:tc>
          <w:tcPr>
            <w:tcW w:w="1620" w:type="dxa"/>
            <w:hideMark/>
          </w:tcPr>
          <w:p w14:paraId="47F761D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-0.226**</w:t>
            </w:r>
          </w:p>
        </w:tc>
      </w:tr>
      <w:tr w:rsidR="00407106" w14:paraId="47C6601B" w14:textId="77777777" w:rsidTr="00407106">
        <w:tc>
          <w:tcPr>
            <w:tcW w:w="2880" w:type="dxa"/>
          </w:tcPr>
          <w:p w14:paraId="107A9ED0"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4B2B3BB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(-2.35)</w:t>
            </w:r>
          </w:p>
        </w:tc>
        <w:tc>
          <w:tcPr>
            <w:tcW w:w="1620" w:type="dxa"/>
            <w:hideMark/>
          </w:tcPr>
          <w:p w14:paraId="549FF25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(-2.29)</w:t>
            </w:r>
          </w:p>
        </w:tc>
        <w:tc>
          <w:tcPr>
            <w:tcW w:w="1620" w:type="dxa"/>
            <w:hideMark/>
          </w:tcPr>
          <w:p w14:paraId="1720D94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(-2.51)</w:t>
            </w:r>
          </w:p>
        </w:tc>
        <w:tc>
          <w:tcPr>
            <w:tcW w:w="1620" w:type="dxa"/>
            <w:hideMark/>
          </w:tcPr>
          <w:p w14:paraId="623C8BA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(-2.55)</w:t>
            </w:r>
          </w:p>
        </w:tc>
      </w:tr>
      <w:tr w:rsidR="00407106" w14:paraId="6AFBFD2D" w14:textId="77777777" w:rsidTr="00407106">
        <w:tc>
          <w:tcPr>
            <w:tcW w:w="2880" w:type="dxa"/>
            <w:hideMark/>
          </w:tcPr>
          <w:p w14:paraId="2061CEDE"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GEXP</w:t>
            </w:r>
          </w:p>
        </w:tc>
        <w:tc>
          <w:tcPr>
            <w:tcW w:w="1620" w:type="dxa"/>
            <w:hideMark/>
          </w:tcPr>
          <w:p w14:paraId="6349D31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0.087***</w:t>
            </w:r>
          </w:p>
        </w:tc>
        <w:tc>
          <w:tcPr>
            <w:tcW w:w="1620" w:type="dxa"/>
          </w:tcPr>
          <w:p w14:paraId="22332AC3"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1FFC50C9"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2DB3EF9C"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2CE285F" w14:textId="77777777" w:rsidTr="00407106">
        <w:tc>
          <w:tcPr>
            <w:tcW w:w="2880" w:type="dxa"/>
          </w:tcPr>
          <w:p w14:paraId="602C8874"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277BB39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(6.06)</w:t>
            </w:r>
          </w:p>
        </w:tc>
        <w:tc>
          <w:tcPr>
            <w:tcW w:w="1620" w:type="dxa"/>
          </w:tcPr>
          <w:p w14:paraId="4FA48AF4"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673A534"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D95B1AD"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34B0D0F" w14:textId="77777777" w:rsidTr="00407106">
        <w:tc>
          <w:tcPr>
            <w:tcW w:w="2880" w:type="dxa"/>
            <w:hideMark/>
          </w:tcPr>
          <w:p w14:paraId="39EF74E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 X GEXP</w:t>
            </w:r>
          </w:p>
        </w:tc>
        <w:tc>
          <w:tcPr>
            <w:tcW w:w="1620" w:type="dxa"/>
            <w:hideMark/>
          </w:tcPr>
          <w:p w14:paraId="32651BE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0.038</w:t>
            </w:r>
          </w:p>
        </w:tc>
        <w:tc>
          <w:tcPr>
            <w:tcW w:w="1620" w:type="dxa"/>
          </w:tcPr>
          <w:p w14:paraId="6BEBAD00"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B58DB86"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2AEA8DB4"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872EA3C" w14:textId="77777777" w:rsidTr="00407106">
        <w:tc>
          <w:tcPr>
            <w:tcW w:w="2880" w:type="dxa"/>
          </w:tcPr>
          <w:p w14:paraId="7140A3AE"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57D442F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(1.24)</w:t>
            </w:r>
          </w:p>
        </w:tc>
        <w:tc>
          <w:tcPr>
            <w:tcW w:w="1620" w:type="dxa"/>
          </w:tcPr>
          <w:p w14:paraId="051B1A11"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BC3A117"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1B07E1EC"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0F3C549" w14:textId="77777777" w:rsidTr="00407106">
        <w:tc>
          <w:tcPr>
            <w:tcW w:w="2880" w:type="dxa"/>
            <w:hideMark/>
          </w:tcPr>
          <w:p w14:paraId="0B90CEED"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FEXP</w:t>
            </w:r>
          </w:p>
        </w:tc>
        <w:tc>
          <w:tcPr>
            <w:tcW w:w="1620" w:type="dxa"/>
          </w:tcPr>
          <w:p w14:paraId="4D5F0661"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51849E7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620" w:type="dxa"/>
          </w:tcPr>
          <w:p w14:paraId="67C106C9"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32E4401"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7A35B155" w14:textId="77777777" w:rsidTr="00407106">
        <w:tc>
          <w:tcPr>
            <w:tcW w:w="2880" w:type="dxa"/>
          </w:tcPr>
          <w:p w14:paraId="32E46327"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7EBC9CA4"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24D238B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w:t>
            </w:r>
          </w:p>
        </w:tc>
        <w:tc>
          <w:tcPr>
            <w:tcW w:w="1620" w:type="dxa"/>
          </w:tcPr>
          <w:p w14:paraId="2FD77990"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85F470D"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487FDECF" w14:textId="77777777" w:rsidTr="00407106">
        <w:tc>
          <w:tcPr>
            <w:tcW w:w="2880" w:type="dxa"/>
            <w:hideMark/>
          </w:tcPr>
          <w:p w14:paraId="78E11491"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 X FEXP</w:t>
            </w:r>
          </w:p>
        </w:tc>
        <w:tc>
          <w:tcPr>
            <w:tcW w:w="1620" w:type="dxa"/>
          </w:tcPr>
          <w:p w14:paraId="6DDF0745"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2026C10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0.183***</w:t>
            </w:r>
          </w:p>
        </w:tc>
        <w:tc>
          <w:tcPr>
            <w:tcW w:w="1620" w:type="dxa"/>
          </w:tcPr>
          <w:p w14:paraId="09C6FC3D"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31C75E78"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9E3C554" w14:textId="77777777" w:rsidTr="00407106">
        <w:tc>
          <w:tcPr>
            <w:tcW w:w="2880" w:type="dxa"/>
          </w:tcPr>
          <w:p w14:paraId="6C939465"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74B0E7CA"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41B92F6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(4.77)</w:t>
            </w:r>
          </w:p>
        </w:tc>
        <w:tc>
          <w:tcPr>
            <w:tcW w:w="1620" w:type="dxa"/>
          </w:tcPr>
          <w:p w14:paraId="785BBE4E"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2A0B244"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4085FF53" w14:textId="77777777" w:rsidTr="00407106">
        <w:tc>
          <w:tcPr>
            <w:tcW w:w="2880" w:type="dxa"/>
            <w:hideMark/>
          </w:tcPr>
          <w:p w14:paraId="5215ED46"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INDFOCUS</w:t>
            </w:r>
          </w:p>
        </w:tc>
        <w:tc>
          <w:tcPr>
            <w:tcW w:w="1620" w:type="dxa"/>
          </w:tcPr>
          <w:p w14:paraId="2E3C7464"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6049F1A0"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0FC7640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0.009</w:t>
            </w:r>
          </w:p>
        </w:tc>
        <w:tc>
          <w:tcPr>
            <w:tcW w:w="1620" w:type="dxa"/>
          </w:tcPr>
          <w:p w14:paraId="6F559019"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3169DB70" w14:textId="77777777" w:rsidTr="00407106">
        <w:tc>
          <w:tcPr>
            <w:tcW w:w="2880" w:type="dxa"/>
          </w:tcPr>
          <w:p w14:paraId="6FA0F0E3"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0C461739"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7F5A8C4"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265856D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(0.17)</w:t>
            </w:r>
          </w:p>
        </w:tc>
        <w:tc>
          <w:tcPr>
            <w:tcW w:w="1620" w:type="dxa"/>
          </w:tcPr>
          <w:p w14:paraId="26088F30"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3BF8855B" w14:textId="77777777" w:rsidTr="00407106">
        <w:tc>
          <w:tcPr>
            <w:tcW w:w="2880" w:type="dxa"/>
            <w:hideMark/>
          </w:tcPr>
          <w:p w14:paraId="4514179A"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 X INDFOCUS</w:t>
            </w:r>
          </w:p>
        </w:tc>
        <w:tc>
          <w:tcPr>
            <w:tcW w:w="1620" w:type="dxa"/>
          </w:tcPr>
          <w:p w14:paraId="2EDA4677"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6CDFCB4"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2764451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0.376***</w:t>
            </w:r>
          </w:p>
        </w:tc>
        <w:tc>
          <w:tcPr>
            <w:tcW w:w="1620" w:type="dxa"/>
          </w:tcPr>
          <w:p w14:paraId="4CBAF93D"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E622916" w14:textId="77777777" w:rsidTr="00407106">
        <w:tc>
          <w:tcPr>
            <w:tcW w:w="2880" w:type="dxa"/>
          </w:tcPr>
          <w:p w14:paraId="4820D8FD"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2F312F16"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CE83C48"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445D4F1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(3.24)</w:t>
            </w:r>
          </w:p>
        </w:tc>
        <w:tc>
          <w:tcPr>
            <w:tcW w:w="1620" w:type="dxa"/>
          </w:tcPr>
          <w:p w14:paraId="4AB07415"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34A01CA" w14:textId="77777777" w:rsidTr="00407106">
        <w:tc>
          <w:tcPr>
            <w:tcW w:w="2880" w:type="dxa"/>
            <w:hideMark/>
          </w:tcPr>
          <w:p w14:paraId="46CF1A91"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CFA</w:t>
            </w:r>
          </w:p>
        </w:tc>
        <w:tc>
          <w:tcPr>
            <w:tcW w:w="1620" w:type="dxa"/>
          </w:tcPr>
          <w:p w14:paraId="123B03F8"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D140C05"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51E0E3C"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6D14D55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0.068***</w:t>
            </w:r>
          </w:p>
        </w:tc>
      </w:tr>
      <w:tr w:rsidR="00407106" w14:paraId="3F72A381" w14:textId="77777777" w:rsidTr="00407106">
        <w:tc>
          <w:tcPr>
            <w:tcW w:w="2880" w:type="dxa"/>
          </w:tcPr>
          <w:p w14:paraId="5933746E"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260675D5"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60E325FF"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5359BA1"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74A029D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(2.96)</w:t>
            </w:r>
          </w:p>
        </w:tc>
      </w:tr>
      <w:tr w:rsidR="00407106" w14:paraId="6ACBEF7B" w14:textId="77777777" w:rsidTr="00407106">
        <w:tc>
          <w:tcPr>
            <w:tcW w:w="2880" w:type="dxa"/>
            <w:hideMark/>
          </w:tcPr>
          <w:p w14:paraId="2BF769E6"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 X CFA</w:t>
            </w:r>
          </w:p>
        </w:tc>
        <w:tc>
          <w:tcPr>
            <w:tcW w:w="1620" w:type="dxa"/>
          </w:tcPr>
          <w:p w14:paraId="4DA674D2"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5DC7515"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5846378"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72E8DF5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0.083*</w:t>
            </w:r>
          </w:p>
        </w:tc>
      </w:tr>
      <w:tr w:rsidR="00407106" w14:paraId="4A294690" w14:textId="77777777" w:rsidTr="00407106">
        <w:tc>
          <w:tcPr>
            <w:tcW w:w="2880" w:type="dxa"/>
            <w:tcBorders>
              <w:top w:val="nil"/>
              <w:left w:val="nil"/>
              <w:bottom w:val="single" w:sz="4" w:space="0" w:color="auto"/>
              <w:right w:val="nil"/>
            </w:tcBorders>
          </w:tcPr>
          <w:p w14:paraId="2CAF1F6C" w14:textId="77777777" w:rsidR="00407106" w:rsidRDefault="00407106">
            <w:pPr>
              <w:widowControl w:val="0"/>
              <w:autoSpaceDE w:val="0"/>
              <w:autoSpaceDN w:val="0"/>
              <w:adjustRightInd w:val="0"/>
              <w:spacing w:after="0" w:line="240" w:lineRule="auto"/>
              <w:ind w:firstLine="0"/>
              <w:rPr>
                <w:sz w:val="22"/>
                <w:szCs w:val="22"/>
              </w:rPr>
            </w:pPr>
          </w:p>
        </w:tc>
        <w:tc>
          <w:tcPr>
            <w:tcW w:w="1620" w:type="dxa"/>
            <w:tcBorders>
              <w:top w:val="nil"/>
              <w:left w:val="nil"/>
              <w:bottom w:val="single" w:sz="4" w:space="0" w:color="auto"/>
              <w:right w:val="nil"/>
            </w:tcBorders>
          </w:tcPr>
          <w:p w14:paraId="55552EB3"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Borders>
              <w:top w:val="nil"/>
              <w:left w:val="nil"/>
              <w:bottom w:val="single" w:sz="4" w:space="0" w:color="auto"/>
              <w:right w:val="nil"/>
            </w:tcBorders>
          </w:tcPr>
          <w:p w14:paraId="3FED7945"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Borders>
              <w:top w:val="nil"/>
              <w:left w:val="nil"/>
              <w:bottom w:val="single" w:sz="4" w:space="0" w:color="auto"/>
              <w:right w:val="nil"/>
            </w:tcBorders>
          </w:tcPr>
          <w:p w14:paraId="145229A8"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Borders>
              <w:top w:val="nil"/>
              <w:left w:val="nil"/>
              <w:bottom w:val="single" w:sz="4" w:space="0" w:color="auto"/>
              <w:right w:val="nil"/>
            </w:tcBorders>
            <w:hideMark/>
          </w:tcPr>
          <w:p w14:paraId="2F14C07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(1.88)</w:t>
            </w:r>
          </w:p>
        </w:tc>
      </w:tr>
    </w:tbl>
    <w:p w14:paraId="2C84E345" w14:textId="77777777" w:rsidR="00407106" w:rsidRDefault="00407106" w:rsidP="00407106">
      <w:pPr>
        <w:spacing w:line="276" w:lineRule="auto"/>
        <w:ind w:firstLine="0"/>
        <w:jc w:val="left"/>
        <w:rPr>
          <w:b/>
        </w:rPr>
      </w:pPr>
      <w:r>
        <w:rPr>
          <w:b/>
        </w:rPr>
        <w:br w:type="page"/>
      </w:r>
    </w:p>
    <w:p w14:paraId="010FA98F" w14:textId="77777777" w:rsidR="00407106" w:rsidRDefault="00407106" w:rsidP="00407106">
      <w:pPr>
        <w:spacing w:after="0" w:line="240" w:lineRule="auto"/>
        <w:ind w:firstLine="0"/>
        <w:jc w:val="center"/>
        <w:rPr>
          <w:b/>
        </w:rPr>
      </w:pPr>
      <w:r>
        <w:rPr>
          <w:b/>
        </w:rPr>
        <w:lastRenderedPageBreak/>
        <w:t>TABLE 7</w:t>
      </w:r>
      <w:r>
        <w:t xml:space="preserve"> </w:t>
      </w:r>
      <w:r>
        <w:rPr>
          <w:b/>
        </w:rPr>
        <w:t>–</w:t>
      </w:r>
      <w:r>
        <w:t xml:space="preserve"> </w:t>
      </w:r>
      <w:r>
        <w:rPr>
          <w:i/>
        </w:rPr>
        <w:t>Continued</w:t>
      </w:r>
    </w:p>
    <w:p w14:paraId="50E87E1B" w14:textId="77777777" w:rsidR="00407106" w:rsidRDefault="00407106" w:rsidP="00407106">
      <w:pPr>
        <w:keepNext/>
        <w:widowControl w:val="0"/>
        <w:autoSpaceDE w:val="0"/>
        <w:autoSpaceDN w:val="0"/>
        <w:adjustRightInd w:val="0"/>
        <w:spacing w:after="0" w:line="240" w:lineRule="auto"/>
        <w:ind w:firstLine="0"/>
        <w:jc w:val="center"/>
        <w:rPr>
          <w:i/>
        </w:rPr>
      </w:pPr>
      <w:r>
        <w:rPr>
          <w:i/>
        </w:rPr>
        <w:t>Accounting complexity based on financial statements and notes and forecast accuracy: analyst-firm-year level sample</w:t>
      </w:r>
    </w:p>
    <w:tbl>
      <w:tblPr>
        <w:tblW w:w="0" w:type="dxa"/>
        <w:tblLayout w:type="fixed"/>
        <w:tblLook w:val="04A0" w:firstRow="1" w:lastRow="0" w:firstColumn="1" w:lastColumn="0" w:noHBand="0" w:noVBand="1"/>
      </w:tblPr>
      <w:tblGrid>
        <w:gridCol w:w="2880"/>
        <w:gridCol w:w="1620"/>
        <w:gridCol w:w="1620"/>
        <w:gridCol w:w="1620"/>
        <w:gridCol w:w="1620"/>
      </w:tblGrid>
      <w:tr w:rsidR="00407106" w14:paraId="0F350971" w14:textId="77777777" w:rsidTr="00407106">
        <w:trPr>
          <w:trHeight w:hRule="exact" w:val="360"/>
        </w:trPr>
        <w:tc>
          <w:tcPr>
            <w:tcW w:w="2880" w:type="dxa"/>
            <w:tcBorders>
              <w:top w:val="single" w:sz="4" w:space="0" w:color="auto"/>
              <w:left w:val="nil"/>
              <w:bottom w:val="single" w:sz="4" w:space="0" w:color="auto"/>
              <w:right w:val="nil"/>
            </w:tcBorders>
            <w:vAlign w:val="center"/>
            <w:hideMark/>
          </w:tcPr>
          <w:p w14:paraId="023AC3A1"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6480" w:type="dxa"/>
            <w:gridSpan w:val="4"/>
            <w:tcBorders>
              <w:top w:val="single" w:sz="4" w:space="0" w:color="auto"/>
              <w:left w:val="nil"/>
              <w:bottom w:val="single" w:sz="4" w:space="0" w:color="auto"/>
              <w:right w:val="nil"/>
            </w:tcBorders>
            <w:vAlign w:val="center"/>
            <w:hideMark/>
          </w:tcPr>
          <w:p w14:paraId="236FB30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 × |Forecast Error|</w:t>
            </w:r>
          </w:p>
        </w:tc>
      </w:tr>
      <w:tr w:rsidR="00407106" w14:paraId="5ED31ADB" w14:textId="77777777" w:rsidTr="00407106">
        <w:trPr>
          <w:trHeight w:hRule="exact" w:val="360"/>
        </w:trPr>
        <w:tc>
          <w:tcPr>
            <w:tcW w:w="2880" w:type="dxa"/>
            <w:tcBorders>
              <w:top w:val="single" w:sz="4" w:space="0" w:color="auto"/>
              <w:left w:val="nil"/>
              <w:bottom w:val="single" w:sz="4" w:space="0" w:color="auto"/>
              <w:right w:val="nil"/>
            </w:tcBorders>
            <w:vAlign w:val="center"/>
          </w:tcPr>
          <w:p w14:paraId="00B7E702"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Borders>
              <w:top w:val="single" w:sz="4" w:space="0" w:color="auto"/>
              <w:left w:val="nil"/>
              <w:bottom w:val="single" w:sz="4" w:space="0" w:color="auto"/>
              <w:right w:val="nil"/>
            </w:tcBorders>
            <w:vAlign w:val="center"/>
            <w:hideMark/>
          </w:tcPr>
          <w:p w14:paraId="2A25D89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1620" w:type="dxa"/>
            <w:tcBorders>
              <w:top w:val="single" w:sz="4" w:space="0" w:color="auto"/>
              <w:left w:val="nil"/>
              <w:bottom w:val="single" w:sz="4" w:space="0" w:color="auto"/>
              <w:right w:val="nil"/>
            </w:tcBorders>
            <w:vAlign w:val="center"/>
            <w:hideMark/>
          </w:tcPr>
          <w:p w14:paraId="08F41BA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1620" w:type="dxa"/>
            <w:tcBorders>
              <w:top w:val="single" w:sz="4" w:space="0" w:color="auto"/>
              <w:left w:val="nil"/>
              <w:bottom w:val="single" w:sz="4" w:space="0" w:color="auto"/>
              <w:right w:val="nil"/>
            </w:tcBorders>
            <w:vAlign w:val="center"/>
            <w:hideMark/>
          </w:tcPr>
          <w:p w14:paraId="17D5135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c>
          <w:tcPr>
            <w:tcW w:w="1620" w:type="dxa"/>
            <w:tcBorders>
              <w:top w:val="single" w:sz="4" w:space="0" w:color="auto"/>
              <w:left w:val="nil"/>
              <w:bottom w:val="single" w:sz="4" w:space="0" w:color="auto"/>
              <w:right w:val="nil"/>
            </w:tcBorders>
            <w:vAlign w:val="center"/>
            <w:hideMark/>
          </w:tcPr>
          <w:p w14:paraId="6452FD7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w:t>
            </w:r>
          </w:p>
        </w:tc>
      </w:tr>
      <w:tr w:rsidR="00407106" w14:paraId="3D7BD136" w14:textId="77777777" w:rsidTr="00407106">
        <w:tc>
          <w:tcPr>
            <w:tcW w:w="2880" w:type="dxa"/>
            <w:hideMark/>
          </w:tcPr>
          <w:p w14:paraId="63BA2A82"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Information environment:</w:t>
            </w:r>
          </w:p>
        </w:tc>
        <w:tc>
          <w:tcPr>
            <w:tcW w:w="1620" w:type="dxa"/>
          </w:tcPr>
          <w:p w14:paraId="77FDAD17"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59E652D3"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4045213"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64CD928B"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E47FBDF" w14:textId="77777777" w:rsidTr="00407106">
        <w:tc>
          <w:tcPr>
            <w:tcW w:w="2880" w:type="dxa"/>
            <w:hideMark/>
          </w:tcPr>
          <w:p w14:paraId="5215E1FA"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LOGMV</w:t>
            </w:r>
          </w:p>
        </w:tc>
        <w:tc>
          <w:tcPr>
            <w:tcW w:w="1620" w:type="dxa"/>
            <w:hideMark/>
          </w:tcPr>
          <w:p w14:paraId="2C8B1A1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0.096***</w:t>
            </w:r>
          </w:p>
        </w:tc>
        <w:tc>
          <w:tcPr>
            <w:tcW w:w="1620" w:type="dxa"/>
            <w:hideMark/>
          </w:tcPr>
          <w:p w14:paraId="6F75089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0.096***</w:t>
            </w:r>
          </w:p>
        </w:tc>
        <w:tc>
          <w:tcPr>
            <w:tcW w:w="1620" w:type="dxa"/>
            <w:hideMark/>
          </w:tcPr>
          <w:p w14:paraId="77D7B56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0.097***</w:t>
            </w:r>
          </w:p>
        </w:tc>
        <w:tc>
          <w:tcPr>
            <w:tcW w:w="1620" w:type="dxa"/>
            <w:hideMark/>
          </w:tcPr>
          <w:p w14:paraId="295789A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0.096***</w:t>
            </w:r>
          </w:p>
        </w:tc>
      </w:tr>
      <w:tr w:rsidR="00407106" w14:paraId="3C6B7440" w14:textId="77777777" w:rsidTr="00407106">
        <w:tc>
          <w:tcPr>
            <w:tcW w:w="2880" w:type="dxa"/>
          </w:tcPr>
          <w:p w14:paraId="4A9662B1"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0655017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(5.21)</w:t>
            </w:r>
          </w:p>
        </w:tc>
        <w:tc>
          <w:tcPr>
            <w:tcW w:w="1620" w:type="dxa"/>
            <w:hideMark/>
          </w:tcPr>
          <w:p w14:paraId="0626BC1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(5.16)</w:t>
            </w:r>
          </w:p>
        </w:tc>
        <w:tc>
          <w:tcPr>
            <w:tcW w:w="1620" w:type="dxa"/>
            <w:hideMark/>
          </w:tcPr>
          <w:p w14:paraId="170A106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(5.27)</w:t>
            </w:r>
          </w:p>
        </w:tc>
        <w:tc>
          <w:tcPr>
            <w:tcW w:w="1620" w:type="dxa"/>
            <w:hideMark/>
          </w:tcPr>
          <w:p w14:paraId="7824F22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(5.17)</w:t>
            </w:r>
          </w:p>
        </w:tc>
      </w:tr>
      <w:tr w:rsidR="00407106" w14:paraId="4994E35D" w14:textId="77777777" w:rsidTr="00407106">
        <w:tc>
          <w:tcPr>
            <w:tcW w:w="2880" w:type="dxa"/>
            <w:hideMark/>
          </w:tcPr>
          <w:p w14:paraId="0157953E"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IO</w:t>
            </w:r>
          </w:p>
        </w:tc>
        <w:tc>
          <w:tcPr>
            <w:tcW w:w="1620" w:type="dxa"/>
            <w:hideMark/>
          </w:tcPr>
          <w:p w14:paraId="180524C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0.012***</w:t>
            </w:r>
          </w:p>
        </w:tc>
        <w:tc>
          <w:tcPr>
            <w:tcW w:w="1620" w:type="dxa"/>
            <w:hideMark/>
          </w:tcPr>
          <w:p w14:paraId="18606AB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0.012***</w:t>
            </w:r>
          </w:p>
        </w:tc>
        <w:tc>
          <w:tcPr>
            <w:tcW w:w="1620" w:type="dxa"/>
            <w:hideMark/>
          </w:tcPr>
          <w:p w14:paraId="45EAC8F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0.012***</w:t>
            </w:r>
          </w:p>
        </w:tc>
        <w:tc>
          <w:tcPr>
            <w:tcW w:w="1620" w:type="dxa"/>
            <w:hideMark/>
          </w:tcPr>
          <w:p w14:paraId="5B2C325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0.011***</w:t>
            </w:r>
          </w:p>
        </w:tc>
      </w:tr>
      <w:tr w:rsidR="00407106" w14:paraId="0D205B3F" w14:textId="77777777" w:rsidTr="00407106">
        <w:tc>
          <w:tcPr>
            <w:tcW w:w="2880" w:type="dxa"/>
          </w:tcPr>
          <w:p w14:paraId="6FE34EDC"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7E55333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(7.86)</w:t>
            </w:r>
          </w:p>
        </w:tc>
        <w:tc>
          <w:tcPr>
            <w:tcW w:w="1620" w:type="dxa"/>
            <w:hideMark/>
          </w:tcPr>
          <w:p w14:paraId="259B01B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(7.97)</w:t>
            </w:r>
          </w:p>
        </w:tc>
        <w:tc>
          <w:tcPr>
            <w:tcW w:w="1620" w:type="dxa"/>
            <w:hideMark/>
          </w:tcPr>
          <w:p w14:paraId="469E055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(7.95)</w:t>
            </w:r>
          </w:p>
        </w:tc>
        <w:tc>
          <w:tcPr>
            <w:tcW w:w="1620" w:type="dxa"/>
            <w:hideMark/>
          </w:tcPr>
          <w:p w14:paraId="373F294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(7.22)</w:t>
            </w:r>
          </w:p>
        </w:tc>
      </w:tr>
      <w:tr w:rsidR="00407106" w14:paraId="0923CA8F" w14:textId="77777777" w:rsidTr="00407106">
        <w:tc>
          <w:tcPr>
            <w:tcW w:w="2880" w:type="dxa"/>
            <w:hideMark/>
          </w:tcPr>
          <w:p w14:paraId="2D59456C"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B/M</w:t>
            </w:r>
          </w:p>
        </w:tc>
        <w:tc>
          <w:tcPr>
            <w:tcW w:w="1620" w:type="dxa"/>
            <w:hideMark/>
          </w:tcPr>
          <w:p w14:paraId="54C9094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-0.726***</w:t>
            </w:r>
          </w:p>
        </w:tc>
        <w:tc>
          <w:tcPr>
            <w:tcW w:w="1620" w:type="dxa"/>
            <w:hideMark/>
          </w:tcPr>
          <w:p w14:paraId="3F76398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-0.725***</w:t>
            </w:r>
          </w:p>
        </w:tc>
        <w:tc>
          <w:tcPr>
            <w:tcW w:w="1620" w:type="dxa"/>
            <w:hideMark/>
          </w:tcPr>
          <w:p w14:paraId="358A654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-0.746***</w:t>
            </w:r>
          </w:p>
        </w:tc>
        <w:tc>
          <w:tcPr>
            <w:tcW w:w="1620" w:type="dxa"/>
            <w:hideMark/>
          </w:tcPr>
          <w:p w14:paraId="195C688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-0.690***</w:t>
            </w:r>
          </w:p>
        </w:tc>
      </w:tr>
      <w:tr w:rsidR="00407106" w14:paraId="4A392467" w14:textId="77777777" w:rsidTr="00407106">
        <w:tc>
          <w:tcPr>
            <w:tcW w:w="2880" w:type="dxa"/>
          </w:tcPr>
          <w:p w14:paraId="3D1E818D"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565CE18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(-6.15)</w:t>
            </w:r>
          </w:p>
        </w:tc>
        <w:tc>
          <w:tcPr>
            <w:tcW w:w="1620" w:type="dxa"/>
            <w:hideMark/>
          </w:tcPr>
          <w:p w14:paraId="4443DF3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(-6.14)</w:t>
            </w:r>
          </w:p>
        </w:tc>
        <w:tc>
          <w:tcPr>
            <w:tcW w:w="1620" w:type="dxa"/>
            <w:hideMark/>
          </w:tcPr>
          <w:p w14:paraId="7AD61FA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(-6.30)</w:t>
            </w:r>
          </w:p>
        </w:tc>
        <w:tc>
          <w:tcPr>
            <w:tcW w:w="1620" w:type="dxa"/>
            <w:hideMark/>
          </w:tcPr>
          <w:p w14:paraId="03896D7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(-5.90)</w:t>
            </w:r>
          </w:p>
        </w:tc>
      </w:tr>
      <w:tr w:rsidR="00407106" w14:paraId="64BE687B" w14:textId="77777777" w:rsidTr="00407106">
        <w:tc>
          <w:tcPr>
            <w:tcW w:w="2880" w:type="dxa"/>
            <w:hideMark/>
          </w:tcPr>
          <w:p w14:paraId="0D3669C6"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GROWTH</w:t>
            </w:r>
          </w:p>
        </w:tc>
        <w:tc>
          <w:tcPr>
            <w:tcW w:w="1620" w:type="dxa"/>
            <w:hideMark/>
          </w:tcPr>
          <w:p w14:paraId="7B84890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0.164</w:t>
            </w:r>
          </w:p>
        </w:tc>
        <w:tc>
          <w:tcPr>
            <w:tcW w:w="1620" w:type="dxa"/>
            <w:hideMark/>
          </w:tcPr>
          <w:p w14:paraId="268A937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0.154</w:t>
            </w:r>
          </w:p>
        </w:tc>
        <w:tc>
          <w:tcPr>
            <w:tcW w:w="1620" w:type="dxa"/>
            <w:hideMark/>
          </w:tcPr>
          <w:p w14:paraId="2D46EFC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0.167</w:t>
            </w:r>
          </w:p>
        </w:tc>
        <w:tc>
          <w:tcPr>
            <w:tcW w:w="1620" w:type="dxa"/>
            <w:hideMark/>
          </w:tcPr>
          <w:p w14:paraId="15687E3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0.219**</w:t>
            </w:r>
          </w:p>
        </w:tc>
      </w:tr>
      <w:tr w:rsidR="00407106" w14:paraId="47283027" w14:textId="77777777" w:rsidTr="00407106">
        <w:tc>
          <w:tcPr>
            <w:tcW w:w="2880" w:type="dxa"/>
          </w:tcPr>
          <w:p w14:paraId="77BB1D7B"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6066FFF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(1.54)</w:t>
            </w:r>
          </w:p>
        </w:tc>
        <w:tc>
          <w:tcPr>
            <w:tcW w:w="1620" w:type="dxa"/>
            <w:hideMark/>
          </w:tcPr>
          <w:p w14:paraId="6A77033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(1.45)</w:t>
            </w:r>
          </w:p>
        </w:tc>
        <w:tc>
          <w:tcPr>
            <w:tcW w:w="1620" w:type="dxa"/>
            <w:hideMark/>
          </w:tcPr>
          <w:p w14:paraId="72C4512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(1.56)</w:t>
            </w:r>
          </w:p>
        </w:tc>
        <w:tc>
          <w:tcPr>
            <w:tcW w:w="1620" w:type="dxa"/>
            <w:hideMark/>
          </w:tcPr>
          <w:p w14:paraId="706AAAD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(2.09)</w:t>
            </w:r>
          </w:p>
        </w:tc>
      </w:tr>
      <w:tr w:rsidR="00407106" w14:paraId="08F98BE3" w14:textId="77777777" w:rsidTr="00407106">
        <w:tc>
          <w:tcPr>
            <w:tcW w:w="2880" w:type="dxa"/>
            <w:hideMark/>
          </w:tcPr>
          <w:p w14:paraId="6BCC175D"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NEWS10K</w:t>
            </w:r>
          </w:p>
        </w:tc>
        <w:tc>
          <w:tcPr>
            <w:tcW w:w="1620" w:type="dxa"/>
            <w:hideMark/>
          </w:tcPr>
          <w:p w14:paraId="0FA94AC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-4.207***</w:t>
            </w:r>
          </w:p>
        </w:tc>
        <w:tc>
          <w:tcPr>
            <w:tcW w:w="1620" w:type="dxa"/>
            <w:hideMark/>
          </w:tcPr>
          <w:p w14:paraId="6CA5FDF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-4.218***</w:t>
            </w:r>
          </w:p>
        </w:tc>
        <w:tc>
          <w:tcPr>
            <w:tcW w:w="1620" w:type="dxa"/>
            <w:hideMark/>
          </w:tcPr>
          <w:p w14:paraId="370CF8D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-4.222***</w:t>
            </w:r>
          </w:p>
        </w:tc>
        <w:tc>
          <w:tcPr>
            <w:tcW w:w="1620" w:type="dxa"/>
            <w:hideMark/>
          </w:tcPr>
          <w:p w14:paraId="07B36A1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-3.877***</w:t>
            </w:r>
          </w:p>
        </w:tc>
      </w:tr>
      <w:tr w:rsidR="00407106" w14:paraId="7CFE826E" w14:textId="77777777" w:rsidTr="00407106">
        <w:tc>
          <w:tcPr>
            <w:tcW w:w="2880" w:type="dxa"/>
          </w:tcPr>
          <w:p w14:paraId="6878384A"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67144AE5"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108A0F22"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1B7339F6"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2E834518"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4946A643" w14:textId="77777777" w:rsidTr="00407106">
        <w:tc>
          <w:tcPr>
            <w:tcW w:w="2880" w:type="dxa"/>
            <w:hideMark/>
          </w:tcPr>
          <w:p w14:paraId="4ADEB890"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Incentive to cover:</w:t>
            </w:r>
          </w:p>
        </w:tc>
        <w:tc>
          <w:tcPr>
            <w:tcW w:w="1620" w:type="dxa"/>
          </w:tcPr>
          <w:p w14:paraId="5D5B36DD"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F54B23A"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3F460ACD"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D1928FE"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E4D6B7C" w14:textId="77777777" w:rsidTr="00407106">
        <w:tc>
          <w:tcPr>
            <w:tcW w:w="2880" w:type="dxa"/>
            <w:hideMark/>
          </w:tcPr>
          <w:p w14:paraId="36653A46"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TURN</w:t>
            </w:r>
          </w:p>
        </w:tc>
        <w:tc>
          <w:tcPr>
            <w:tcW w:w="1620" w:type="dxa"/>
            <w:hideMark/>
          </w:tcPr>
          <w:p w14:paraId="6479526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620" w:type="dxa"/>
            <w:hideMark/>
          </w:tcPr>
          <w:p w14:paraId="1D5B952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620" w:type="dxa"/>
            <w:hideMark/>
          </w:tcPr>
          <w:p w14:paraId="5D76FC6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620" w:type="dxa"/>
            <w:hideMark/>
          </w:tcPr>
          <w:p w14:paraId="38BDA41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r>
      <w:tr w:rsidR="00407106" w14:paraId="7126EC56" w14:textId="77777777" w:rsidTr="00407106">
        <w:tc>
          <w:tcPr>
            <w:tcW w:w="2880" w:type="dxa"/>
          </w:tcPr>
          <w:p w14:paraId="5B215F6B"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2A5670E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(-1.25)</w:t>
            </w:r>
          </w:p>
        </w:tc>
        <w:tc>
          <w:tcPr>
            <w:tcW w:w="1620" w:type="dxa"/>
            <w:hideMark/>
          </w:tcPr>
          <w:p w14:paraId="5135158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(-1.26)</w:t>
            </w:r>
          </w:p>
        </w:tc>
        <w:tc>
          <w:tcPr>
            <w:tcW w:w="1620" w:type="dxa"/>
            <w:hideMark/>
          </w:tcPr>
          <w:p w14:paraId="7C87687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(-1.15)</w:t>
            </w:r>
          </w:p>
        </w:tc>
        <w:tc>
          <w:tcPr>
            <w:tcW w:w="1620" w:type="dxa"/>
            <w:hideMark/>
          </w:tcPr>
          <w:p w14:paraId="71C0165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(-1.03)</w:t>
            </w:r>
          </w:p>
        </w:tc>
      </w:tr>
      <w:tr w:rsidR="00407106" w14:paraId="474026ED" w14:textId="77777777" w:rsidTr="00407106">
        <w:tc>
          <w:tcPr>
            <w:tcW w:w="2880" w:type="dxa"/>
            <w:hideMark/>
          </w:tcPr>
          <w:p w14:paraId="7D459780"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ADV</w:t>
            </w:r>
          </w:p>
        </w:tc>
        <w:tc>
          <w:tcPr>
            <w:tcW w:w="1620" w:type="dxa"/>
            <w:hideMark/>
          </w:tcPr>
          <w:p w14:paraId="71D1F7D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-0.395</w:t>
            </w:r>
          </w:p>
        </w:tc>
        <w:tc>
          <w:tcPr>
            <w:tcW w:w="1620" w:type="dxa"/>
            <w:hideMark/>
          </w:tcPr>
          <w:p w14:paraId="1F1EEEE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-0.360</w:t>
            </w:r>
          </w:p>
        </w:tc>
        <w:tc>
          <w:tcPr>
            <w:tcW w:w="1620" w:type="dxa"/>
            <w:hideMark/>
          </w:tcPr>
          <w:p w14:paraId="00C07D2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-0.441</w:t>
            </w:r>
          </w:p>
        </w:tc>
        <w:tc>
          <w:tcPr>
            <w:tcW w:w="1620" w:type="dxa"/>
            <w:hideMark/>
          </w:tcPr>
          <w:p w14:paraId="738EC59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-0.589</w:t>
            </w:r>
          </w:p>
        </w:tc>
      </w:tr>
      <w:tr w:rsidR="00407106" w14:paraId="38B97348" w14:textId="77777777" w:rsidTr="00407106">
        <w:tc>
          <w:tcPr>
            <w:tcW w:w="2880" w:type="dxa"/>
          </w:tcPr>
          <w:p w14:paraId="0322201A"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4F363C4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(-0.78)</w:t>
            </w:r>
          </w:p>
        </w:tc>
        <w:tc>
          <w:tcPr>
            <w:tcW w:w="1620" w:type="dxa"/>
            <w:hideMark/>
          </w:tcPr>
          <w:p w14:paraId="6EB3E19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(-0.71)</w:t>
            </w:r>
          </w:p>
        </w:tc>
        <w:tc>
          <w:tcPr>
            <w:tcW w:w="1620" w:type="dxa"/>
            <w:hideMark/>
          </w:tcPr>
          <w:p w14:paraId="05E22E4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(-0.88)</w:t>
            </w:r>
          </w:p>
        </w:tc>
        <w:tc>
          <w:tcPr>
            <w:tcW w:w="1620" w:type="dxa"/>
            <w:hideMark/>
          </w:tcPr>
          <w:p w14:paraId="511549B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(-1.12)</w:t>
            </w:r>
          </w:p>
        </w:tc>
      </w:tr>
      <w:tr w:rsidR="00407106" w14:paraId="38868DC4" w14:textId="77777777" w:rsidTr="00407106">
        <w:tc>
          <w:tcPr>
            <w:tcW w:w="2880" w:type="dxa"/>
            <w:hideMark/>
          </w:tcPr>
          <w:p w14:paraId="3D88526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RND</w:t>
            </w:r>
          </w:p>
        </w:tc>
        <w:tc>
          <w:tcPr>
            <w:tcW w:w="1620" w:type="dxa"/>
            <w:hideMark/>
          </w:tcPr>
          <w:p w14:paraId="31CEB4B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0.894***</w:t>
            </w:r>
          </w:p>
        </w:tc>
        <w:tc>
          <w:tcPr>
            <w:tcW w:w="1620" w:type="dxa"/>
            <w:hideMark/>
          </w:tcPr>
          <w:p w14:paraId="61F825F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0.893***</w:t>
            </w:r>
          </w:p>
        </w:tc>
        <w:tc>
          <w:tcPr>
            <w:tcW w:w="1620" w:type="dxa"/>
            <w:hideMark/>
          </w:tcPr>
          <w:p w14:paraId="07D4C81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0.943***</w:t>
            </w:r>
          </w:p>
        </w:tc>
        <w:tc>
          <w:tcPr>
            <w:tcW w:w="1620" w:type="dxa"/>
            <w:hideMark/>
          </w:tcPr>
          <w:p w14:paraId="090C50D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0.878***</w:t>
            </w:r>
          </w:p>
        </w:tc>
      </w:tr>
      <w:tr w:rsidR="00407106" w14:paraId="00DF1725" w14:textId="77777777" w:rsidTr="00407106">
        <w:tc>
          <w:tcPr>
            <w:tcW w:w="2880" w:type="dxa"/>
          </w:tcPr>
          <w:p w14:paraId="1CF9787D"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2990168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(2.93)</w:t>
            </w:r>
          </w:p>
        </w:tc>
        <w:tc>
          <w:tcPr>
            <w:tcW w:w="1620" w:type="dxa"/>
            <w:hideMark/>
          </w:tcPr>
          <w:p w14:paraId="17BDC91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(2.94)</w:t>
            </w:r>
          </w:p>
        </w:tc>
        <w:tc>
          <w:tcPr>
            <w:tcW w:w="1620" w:type="dxa"/>
            <w:hideMark/>
          </w:tcPr>
          <w:p w14:paraId="66D8FF4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(3.04)</w:t>
            </w:r>
          </w:p>
        </w:tc>
        <w:tc>
          <w:tcPr>
            <w:tcW w:w="1620" w:type="dxa"/>
            <w:hideMark/>
          </w:tcPr>
          <w:p w14:paraId="2DC5306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(2.89)</w:t>
            </w:r>
          </w:p>
        </w:tc>
      </w:tr>
      <w:tr w:rsidR="00407106" w14:paraId="3633E86A" w14:textId="77777777" w:rsidTr="00407106">
        <w:tc>
          <w:tcPr>
            <w:tcW w:w="2880" w:type="dxa"/>
            <w:hideMark/>
          </w:tcPr>
          <w:p w14:paraId="0987A89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ROA</w:t>
            </w:r>
          </w:p>
        </w:tc>
        <w:tc>
          <w:tcPr>
            <w:tcW w:w="1620" w:type="dxa"/>
            <w:hideMark/>
          </w:tcPr>
          <w:p w14:paraId="345C04B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1.493***</w:t>
            </w:r>
          </w:p>
        </w:tc>
        <w:tc>
          <w:tcPr>
            <w:tcW w:w="1620" w:type="dxa"/>
            <w:hideMark/>
          </w:tcPr>
          <w:p w14:paraId="492D037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1.518***</w:t>
            </w:r>
          </w:p>
        </w:tc>
        <w:tc>
          <w:tcPr>
            <w:tcW w:w="1620" w:type="dxa"/>
            <w:hideMark/>
          </w:tcPr>
          <w:p w14:paraId="5EEA791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1.455***</w:t>
            </w:r>
          </w:p>
        </w:tc>
        <w:tc>
          <w:tcPr>
            <w:tcW w:w="1620" w:type="dxa"/>
            <w:hideMark/>
          </w:tcPr>
          <w:p w14:paraId="6433E70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1.576***</w:t>
            </w:r>
          </w:p>
        </w:tc>
      </w:tr>
      <w:tr w:rsidR="00407106" w14:paraId="477DC505" w14:textId="77777777" w:rsidTr="00407106">
        <w:tc>
          <w:tcPr>
            <w:tcW w:w="2880" w:type="dxa"/>
          </w:tcPr>
          <w:p w14:paraId="00680CAB" w14:textId="77777777" w:rsidR="00407106" w:rsidRDefault="00407106">
            <w:pPr>
              <w:widowControl w:val="0"/>
              <w:autoSpaceDE w:val="0"/>
              <w:autoSpaceDN w:val="0"/>
              <w:adjustRightInd w:val="0"/>
              <w:spacing w:after="0" w:line="240" w:lineRule="auto"/>
              <w:ind w:firstLine="0"/>
              <w:rPr>
                <w:sz w:val="22"/>
                <w:szCs w:val="22"/>
              </w:rPr>
            </w:pPr>
          </w:p>
        </w:tc>
        <w:tc>
          <w:tcPr>
            <w:tcW w:w="1620" w:type="dxa"/>
            <w:hideMark/>
          </w:tcPr>
          <w:p w14:paraId="32BAADA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(3.43)</w:t>
            </w:r>
          </w:p>
        </w:tc>
        <w:tc>
          <w:tcPr>
            <w:tcW w:w="1620" w:type="dxa"/>
            <w:hideMark/>
          </w:tcPr>
          <w:p w14:paraId="3EA4959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(3.49)</w:t>
            </w:r>
          </w:p>
        </w:tc>
        <w:tc>
          <w:tcPr>
            <w:tcW w:w="1620" w:type="dxa"/>
            <w:hideMark/>
          </w:tcPr>
          <w:p w14:paraId="4B0CAE3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(3.34)</w:t>
            </w:r>
          </w:p>
        </w:tc>
        <w:tc>
          <w:tcPr>
            <w:tcW w:w="1620" w:type="dxa"/>
            <w:hideMark/>
          </w:tcPr>
          <w:p w14:paraId="4084F37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(3.57)</w:t>
            </w:r>
          </w:p>
        </w:tc>
      </w:tr>
      <w:tr w:rsidR="00407106" w14:paraId="28BDAE66" w14:textId="77777777" w:rsidTr="00407106">
        <w:tc>
          <w:tcPr>
            <w:tcW w:w="2880" w:type="dxa"/>
            <w:hideMark/>
          </w:tcPr>
          <w:p w14:paraId="3EFC3D03"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Complexity:</w:t>
            </w:r>
          </w:p>
        </w:tc>
        <w:tc>
          <w:tcPr>
            <w:tcW w:w="1620" w:type="dxa"/>
          </w:tcPr>
          <w:p w14:paraId="6DBD8104"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1A0B69FF"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2EE12B6"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2509700"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48FA7BE" w14:textId="77777777" w:rsidTr="00407106">
        <w:tc>
          <w:tcPr>
            <w:tcW w:w="2880" w:type="dxa"/>
            <w:hideMark/>
          </w:tcPr>
          <w:p w14:paraId="0FD838E7"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FOROPS</w:t>
            </w:r>
          </w:p>
        </w:tc>
        <w:tc>
          <w:tcPr>
            <w:tcW w:w="1620" w:type="dxa"/>
            <w:hideMark/>
          </w:tcPr>
          <w:p w14:paraId="750BB21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0.100**</w:t>
            </w:r>
          </w:p>
        </w:tc>
        <w:tc>
          <w:tcPr>
            <w:tcW w:w="1620" w:type="dxa"/>
            <w:hideMark/>
          </w:tcPr>
          <w:p w14:paraId="5CBBCA5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0.100**</w:t>
            </w:r>
          </w:p>
        </w:tc>
        <w:tc>
          <w:tcPr>
            <w:tcW w:w="1620" w:type="dxa"/>
            <w:hideMark/>
          </w:tcPr>
          <w:p w14:paraId="2B4F19A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0.098**</w:t>
            </w:r>
          </w:p>
        </w:tc>
        <w:tc>
          <w:tcPr>
            <w:tcW w:w="1620" w:type="dxa"/>
            <w:hideMark/>
          </w:tcPr>
          <w:p w14:paraId="149789D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0.094**</w:t>
            </w:r>
          </w:p>
        </w:tc>
      </w:tr>
      <w:tr w:rsidR="00407106" w14:paraId="2B2CD012" w14:textId="77777777" w:rsidTr="00407106">
        <w:tc>
          <w:tcPr>
            <w:tcW w:w="2880" w:type="dxa"/>
          </w:tcPr>
          <w:p w14:paraId="6622E50F"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63BA63C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(2.37)</w:t>
            </w:r>
          </w:p>
        </w:tc>
        <w:tc>
          <w:tcPr>
            <w:tcW w:w="1620" w:type="dxa"/>
            <w:hideMark/>
          </w:tcPr>
          <w:p w14:paraId="00921E9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(2.38)</w:t>
            </w:r>
          </w:p>
        </w:tc>
        <w:tc>
          <w:tcPr>
            <w:tcW w:w="1620" w:type="dxa"/>
            <w:hideMark/>
          </w:tcPr>
          <w:p w14:paraId="00AC25C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(2.33)</w:t>
            </w:r>
          </w:p>
        </w:tc>
        <w:tc>
          <w:tcPr>
            <w:tcW w:w="1620" w:type="dxa"/>
            <w:hideMark/>
          </w:tcPr>
          <w:p w14:paraId="673303F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(2.23)</w:t>
            </w:r>
          </w:p>
        </w:tc>
      </w:tr>
      <w:tr w:rsidR="00407106" w14:paraId="4FCCF491" w14:textId="77777777" w:rsidTr="00407106">
        <w:tc>
          <w:tcPr>
            <w:tcW w:w="2880" w:type="dxa"/>
            <w:hideMark/>
          </w:tcPr>
          <w:p w14:paraId="713714E2"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LOGSGMT</w:t>
            </w:r>
          </w:p>
        </w:tc>
        <w:tc>
          <w:tcPr>
            <w:tcW w:w="1620" w:type="dxa"/>
            <w:hideMark/>
          </w:tcPr>
          <w:p w14:paraId="692913D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-0.013</w:t>
            </w:r>
          </w:p>
        </w:tc>
        <w:tc>
          <w:tcPr>
            <w:tcW w:w="1620" w:type="dxa"/>
            <w:hideMark/>
          </w:tcPr>
          <w:p w14:paraId="67EB151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-0.012</w:t>
            </w:r>
          </w:p>
        </w:tc>
        <w:tc>
          <w:tcPr>
            <w:tcW w:w="1620" w:type="dxa"/>
            <w:hideMark/>
          </w:tcPr>
          <w:p w14:paraId="4095FCF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-0.008</w:t>
            </w:r>
          </w:p>
        </w:tc>
        <w:tc>
          <w:tcPr>
            <w:tcW w:w="1620" w:type="dxa"/>
            <w:hideMark/>
          </w:tcPr>
          <w:p w14:paraId="551633C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-0.018</w:t>
            </w:r>
          </w:p>
        </w:tc>
      </w:tr>
      <w:tr w:rsidR="00407106" w14:paraId="6463E598" w14:textId="77777777" w:rsidTr="00407106">
        <w:tc>
          <w:tcPr>
            <w:tcW w:w="2880" w:type="dxa"/>
          </w:tcPr>
          <w:p w14:paraId="04CF3D04"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1D6469D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(-0.39)</w:t>
            </w:r>
          </w:p>
        </w:tc>
        <w:tc>
          <w:tcPr>
            <w:tcW w:w="1620" w:type="dxa"/>
            <w:hideMark/>
          </w:tcPr>
          <w:p w14:paraId="303E31F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(-0.35)</w:t>
            </w:r>
          </w:p>
        </w:tc>
        <w:tc>
          <w:tcPr>
            <w:tcW w:w="1620" w:type="dxa"/>
            <w:hideMark/>
          </w:tcPr>
          <w:p w14:paraId="5D0F425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(-0.23)</w:t>
            </w:r>
          </w:p>
        </w:tc>
        <w:tc>
          <w:tcPr>
            <w:tcW w:w="1620" w:type="dxa"/>
            <w:hideMark/>
          </w:tcPr>
          <w:p w14:paraId="2D71089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(-0.54)</w:t>
            </w:r>
          </w:p>
        </w:tc>
      </w:tr>
      <w:tr w:rsidR="00407106" w14:paraId="46CD9977" w14:textId="77777777" w:rsidTr="00407106">
        <w:tc>
          <w:tcPr>
            <w:tcW w:w="2880" w:type="dxa"/>
            <w:hideMark/>
          </w:tcPr>
          <w:p w14:paraId="676BD667"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EARNVOL</w:t>
            </w:r>
          </w:p>
        </w:tc>
        <w:tc>
          <w:tcPr>
            <w:tcW w:w="1620" w:type="dxa"/>
            <w:hideMark/>
          </w:tcPr>
          <w:p w14:paraId="2F0D139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-0.028***</w:t>
            </w:r>
          </w:p>
        </w:tc>
        <w:tc>
          <w:tcPr>
            <w:tcW w:w="1620" w:type="dxa"/>
            <w:hideMark/>
          </w:tcPr>
          <w:p w14:paraId="23B68B5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-0.028***</w:t>
            </w:r>
          </w:p>
        </w:tc>
        <w:tc>
          <w:tcPr>
            <w:tcW w:w="1620" w:type="dxa"/>
            <w:hideMark/>
          </w:tcPr>
          <w:p w14:paraId="2D0B39A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-0.028***</w:t>
            </w:r>
          </w:p>
        </w:tc>
        <w:tc>
          <w:tcPr>
            <w:tcW w:w="1620" w:type="dxa"/>
            <w:hideMark/>
          </w:tcPr>
          <w:p w14:paraId="22AFA15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-0.027***</w:t>
            </w:r>
          </w:p>
        </w:tc>
      </w:tr>
      <w:tr w:rsidR="00407106" w14:paraId="482748EC" w14:textId="77777777" w:rsidTr="00407106">
        <w:tc>
          <w:tcPr>
            <w:tcW w:w="2880" w:type="dxa"/>
          </w:tcPr>
          <w:p w14:paraId="588544AB"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0BA8372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(-4.01)</w:t>
            </w:r>
          </w:p>
        </w:tc>
        <w:tc>
          <w:tcPr>
            <w:tcW w:w="1620" w:type="dxa"/>
            <w:hideMark/>
          </w:tcPr>
          <w:p w14:paraId="4F59982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(-4.00)</w:t>
            </w:r>
          </w:p>
        </w:tc>
        <w:tc>
          <w:tcPr>
            <w:tcW w:w="1620" w:type="dxa"/>
            <w:hideMark/>
          </w:tcPr>
          <w:p w14:paraId="3B2E219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(-4.04)</w:t>
            </w:r>
          </w:p>
        </w:tc>
        <w:tc>
          <w:tcPr>
            <w:tcW w:w="1620" w:type="dxa"/>
            <w:hideMark/>
          </w:tcPr>
          <w:p w14:paraId="73CADA5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(-3.92)</w:t>
            </w:r>
          </w:p>
        </w:tc>
      </w:tr>
      <w:tr w:rsidR="00407106" w14:paraId="54EE647F" w14:textId="77777777" w:rsidTr="00407106">
        <w:tc>
          <w:tcPr>
            <w:tcW w:w="2880" w:type="dxa"/>
            <w:hideMark/>
          </w:tcPr>
          <w:p w14:paraId="26254F64"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FOG10K</w:t>
            </w:r>
          </w:p>
        </w:tc>
        <w:tc>
          <w:tcPr>
            <w:tcW w:w="1620" w:type="dxa"/>
            <w:hideMark/>
          </w:tcPr>
          <w:p w14:paraId="0063780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-0.013</w:t>
            </w:r>
          </w:p>
        </w:tc>
        <w:tc>
          <w:tcPr>
            <w:tcW w:w="1620" w:type="dxa"/>
            <w:hideMark/>
          </w:tcPr>
          <w:p w14:paraId="02FFC5E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-0.012</w:t>
            </w:r>
          </w:p>
        </w:tc>
        <w:tc>
          <w:tcPr>
            <w:tcW w:w="1620" w:type="dxa"/>
            <w:hideMark/>
          </w:tcPr>
          <w:p w14:paraId="295845A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-0.011</w:t>
            </w:r>
          </w:p>
        </w:tc>
        <w:tc>
          <w:tcPr>
            <w:tcW w:w="1620" w:type="dxa"/>
            <w:hideMark/>
          </w:tcPr>
          <w:p w14:paraId="3A75D16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-0.013</w:t>
            </w:r>
          </w:p>
        </w:tc>
      </w:tr>
      <w:tr w:rsidR="00407106" w14:paraId="5E7D569D" w14:textId="77777777" w:rsidTr="00407106">
        <w:tc>
          <w:tcPr>
            <w:tcW w:w="2880" w:type="dxa"/>
          </w:tcPr>
          <w:p w14:paraId="58922DA8"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7AEE77D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(-0.68)</w:t>
            </w:r>
          </w:p>
        </w:tc>
        <w:tc>
          <w:tcPr>
            <w:tcW w:w="1620" w:type="dxa"/>
            <w:hideMark/>
          </w:tcPr>
          <w:p w14:paraId="2978964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(-0.64)</w:t>
            </w:r>
          </w:p>
        </w:tc>
        <w:tc>
          <w:tcPr>
            <w:tcW w:w="1620" w:type="dxa"/>
            <w:hideMark/>
          </w:tcPr>
          <w:p w14:paraId="122AD32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(-0.59)</w:t>
            </w:r>
          </w:p>
        </w:tc>
        <w:tc>
          <w:tcPr>
            <w:tcW w:w="1620" w:type="dxa"/>
            <w:hideMark/>
          </w:tcPr>
          <w:p w14:paraId="0FF2539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(-0.74)</w:t>
            </w:r>
          </w:p>
        </w:tc>
      </w:tr>
      <w:tr w:rsidR="00407106" w14:paraId="13BA57DE" w14:textId="77777777" w:rsidTr="00407106">
        <w:tc>
          <w:tcPr>
            <w:tcW w:w="2880" w:type="dxa"/>
            <w:hideMark/>
          </w:tcPr>
          <w:p w14:paraId="0970BCED"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LOGWORDS</w:t>
            </w:r>
          </w:p>
        </w:tc>
        <w:tc>
          <w:tcPr>
            <w:tcW w:w="1620" w:type="dxa"/>
            <w:hideMark/>
          </w:tcPr>
          <w:p w14:paraId="450C753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-0.078</w:t>
            </w:r>
          </w:p>
        </w:tc>
        <w:tc>
          <w:tcPr>
            <w:tcW w:w="1620" w:type="dxa"/>
            <w:hideMark/>
          </w:tcPr>
          <w:p w14:paraId="09F888E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-0.084</w:t>
            </w:r>
          </w:p>
        </w:tc>
        <w:tc>
          <w:tcPr>
            <w:tcW w:w="1620" w:type="dxa"/>
            <w:hideMark/>
          </w:tcPr>
          <w:p w14:paraId="1EA8F74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-0.082</w:t>
            </w:r>
          </w:p>
        </w:tc>
        <w:tc>
          <w:tcPr>
            <w:tcW w:w="1620" w:type="dxa"/>
            <w:hideMark/>
          </w:tcPr>
          <w:p w14:paraId="53237E8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-0.070</w:t>
            </w:r>
          </w:p>
        </w:tc>
      </w:tr>
      <w:tr w:rsidR="00407106" w14:paraId="60BB5A27" w14:textId="77777777" w:rsidTr="00407106">
        <w:tc>
          <w:tcPr>
            <w:tcW w:w="2880" w:type="dxa"/>
          </w:tcPr>
          <w:p w14:paraId="6EC98A0E" w14:textId="77777777" w:rsidR="00407106" w:rsidRDefault="00407106">
            <w:pPr>
              <w:widowControl w:val="0"/>
              <w:autoSpaceDE w:val="0"/>
              <w:autoSpaceDN w:val="0"/>
              <w:adjustRightInd w:val="0"/>
              <w:spacing w:after="0" w:line="240" w:lineRule="auto"/>
              <w:ind w:firstLine="0"/>
              <w:rPr>
                <w:sz w:val="22"/>
                <w:szCs w:val="22"/>
              </w:rPr>
            </w:pPr>
          </w:p>
        </w:tc>
        <w:tc>
          <w:tcPr>
            <w:tcW w:w="1620" w:type="dxa"/>
            <w:hideMark/>
          </w:tcPr>
          <w:p w14:paraId="44C233F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(-0.81)</w:t>
            </w:r>
          </w:p>
        </w:tc>
        <w:tc>
          <w:tcPr>
            <w:tcW w:w="1620" w:type="dxa"/>
            <w:hideMark/>
          </w:tcPr>
          <w:p w14:paraId="694FA44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(-0.87)</w:t>
            </w:r>
          </w:p>
        </w:tc>
        <w:tc>
          <w:tcPr>
            <w:tcW w:w="1620" w:type="dxa"/>
            <w:hideMark/>
          </w:tcPr>
          <w:p w14:paraId="2F5F129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(-0.85)</w:t>
            </w:r>
          </w:p>
        </w:tc>
        <w:tc>
          <w:tcPr>
            <w:tcW w:w="1620" w:type="dxa"/>
            <w:hideMark/>
          </w:tcPr>
          <w:p w14:paraId="6D57EA1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(-0.79)</w:t>
            </w:r>
          </w:p>
        </w:tc>
      </w:tr>
      <w:tr w:rsidR="00407106" w14:paraId="3B8519E0" w14:textId="77777777" w:rsidTr="00407106">
        <w:tc>
          <w:tcPr>
            <w:tcW w:w="2880" w:type="dxa"/>
            <w:hideMark/>
          </w:tcPr>
          <w:p w14:paraId="0E7E6B34"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Uncertainty:</w:t>
            </w:r>
          </w:p>
        </w:tc>
        <w:tc>
          <w:tcPr>
            <w:tcW w:w="1620" w:type="dxa"/>
          </w:tcPr>
          <w:p w14:paraId="22E365FC"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8CC41F4"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1F0AD31B"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D5185C0"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2CAF251" w14:textId="77777777" w:rsidTr="00407106">
        <w:tc>
          <w:tcPr>
            <w:tcW w:w="2880" w:type="dxa"/>
            <w:hideMark/>
          </w:tcPr>
          <w:p w14:paraId="7C3E7B6A"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STDRET</w:t>
            </w:r>
          </w:p>
        </w:tc>
        <w:tc>
          <w:tcPr>
            <w:tcW w:w="1620" w:type="dxa"/>
            <w:hideMark/>
          </w:tcPr>
          <w:p w14:paraId="041197E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-0.356***</w:t>
            </w:r>
          </w:p>
        </w:tc>
        <w:tc>
          <w:tcPr>
            <w:tcW w:w="1620" w:type="dxa"/>
            <w:hideMark/>
          </w:tcPr>
          <w:p w14:paraId="31FE5A3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-0.361***</w:t>
            </w:r>
          </w:p>
        </w:tc>
        <w:tc>
          <w:tcPr>
            <w:tcW w:w="1620" w:type="dxa"/>
            <w:hideMark/>
          </w:tcPr>
          <w:p w14:paraId="05D7677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-0.363***</w:t>
            </w:r>
          </w:p>
        </w:tc>
        <w:tc>
          <w:tcPr>
            <w:tcW w:w="1620" w:type="dxa"/>
            <w:hideMark/>
          </w:tcPr>
          <w:p w14:paraId="33A818C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-0.363***</w:t>
            </w:r>
          </w:p>
        </w:tc>
      </w:tr>
      <w:tr w:rsidR="00407106" w14:paraId="50954505" w14:textId="77777777" w:rsidTr="00407106">
        <w:tc>
          <w:tcPr>
            <w:tcW w:w="2880" w:type="dxa"/>
          </w:tcPr>
          <w:p w14:paraId="4EBEE278"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0C02F5A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(-6.28)</w:t>
            </w:r>
          </w:p>
        </w:tc>
        <w:tc>
          <w:tcPr>
            <w:tcW w:w="1620" w:type="dxa"/>
            <w:hideMark/>
          </w:tcPr>
          <w:p w14:paraId="6896DC4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(-6.35)</w:t>
            </w:r>
          </w:p>
        </w:tc>
        <w:tc>
          <w:tcPr>
            <w:tcW w:w="1620" w:type="dxa"/>
            <w:hideMark/>
          </w:tcPr>
          <w:p w14:paraId="7E8CD2F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(-6.40)</w:t>
            </w:r>
          </w:p>
        </w:tc>
        <w:tc>
          <w:tcPr>
            <w:tcW w:w="1620" w:type="dxa"/>
            <w:hideMark/>
          </w:tcPr>
          <w:p w14:paraId="7B85A19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(-6.06)</w:t>
            </w:r>
          </w:p>
        </w:tc>
      </w:tr>
      <w:tr w:rsidR="00407106" w14:paraId="0F26BAF0" w14:textId="77777777" w:rsidTr="00407106">
        <w:tc>
          <w:tcPr>
            <w:tcW w:w="2880" w:type="dxa"/>
            <w:hideMark/>
          </w:tcPr>
          <w:p w14:paraId="0985B3F3"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LOSS</w:t>
            </w:r>
          </w:p>
        </w:tc>
        <w:tc>
          <w:tcPr>
            <w:tcW w:w="1620" w:type="dxa"/>
            <w:hideMark/>
          </w:tcPr>
          <w:p w14:paraId="695530A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-0.924***</w:t>
            </w:r>
          </w:p>
        </w:tc>
        <w:tc>
          <w:tcPr>
            <w:tcW w:w="1620" w:type="dxa"/>
            <w:hideMark/>
          </w:tcPr>
          <w:p w14:paraId="0438DD3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-0.924***</w:t>
            </w:r>
          </w:p>
        </w:tc>
        <w:tc>
          <w:tcPr>
            <w:tcW w:w="1620" w:type="dxa"/>
            <w:hideMark/>
          </w:tcPr>
          <w:p w14:paraId="148BAA0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-0.918***</w:t>
            </w:r>
          </w:p>
        </w:tc>
        <w:tc>
          <w:tcPr>
            <w:tcW w:w="1620" w:type="dxa"/>
            <w:hideMark/>
          </w:tcPr>
          <w:p w14:paraId="4D068B9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-0.885***</w:t>
            </w:r>
          </w:p>
        </w:tc>
      </w:tr>
      <w:tr w:rsidR="00407106" w14:paraId="733542DC" w14:textId="77777777" w:rsidTr="00407106">
        <w:tc>
          <w:tcPr>
            <w:tcW w:w="2880" w:type="dxa"/>
          </w:tcPr>
          <w:p w14:paraId="5BDE45CE" w14:textId="77777777" w:rsidR="00407106" w:rsidRDefault="00407106">
            <w:pPr>
              <w:widowControl w:val="0"/>
              <w:autoSpaceDE w:val="0"/>
              <w:autoSpaceDN w:val="0"/>
              <w:adjustRightInd w:val="0"/>
              <w:spacing w:after="0" w:line="240" w:lineRule="auto"/>
              <w:ind w:firstLine="0"/>
              <w:rPr>
                <w:sz w:val="22"/>
                <w:szCs w:val="22"/>
              </w:rPr>
            </w:pPr>
          </w:p>
        </w:tc>
        <w:tc>
          <w:tcPr>
            <w:tcW w:w="1620" w:type="dxa"/>
            <w:hideMark/>
          </w:tcPr>
          <w:p w14:paraId="7928C7A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(-8.64)</w:t>
            </w:r>
          </w:p>
        </w:tc>
        <w:tc>
          <w:tcPr>
            <w:tcW w:w="1620" w:type="dxa"/>
            <w:hideMark/>
          </w:tcPr>
          <w:p w14:paraId="2C80270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(-8.64)</w:t>
            </w:r>
          </w:p>
        </w:tc>
        <w:tc>
          <w:tcPr>
            <w:tcW w:w="1620" w:type="dxa"/>
            <w:hideMark/>
          </w:tcPr>
          <w:p w14:paraId="4B6573B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(-8.60)</w:t>
            </w:r>
          </w:p>
        </w:tc>
        <w:tc>
          <w:tcPr>
            <w:tcW w:w="1620" w:type="dxa"/>
            <w:hideMark/>
          </w:tcPr>
          <w:p w14:paraId="0E15BE6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(-8.03)</w:t>
            </w:r>
          </w:p>
        </w:tc>
      </w:tr>
      <w:tr w:rsidR="00407106" w14:paraId="2577BC6D" w14:textId="77777777" w:rsidTr="00407106">
        <w:tc>
          <w:tcPr>
            <w:tcW w:w="2880" w:type="dxa"/>
            <w:hideMark/>
          </w:tcPr>
          <w:p w14:paraId="5D52F7E4"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Forecast attribute:</w:t>
            </w:r>
          </w:p>
        </w:tc>
        <w:tc>
          <w:tcPr>
            <w:tcW w:w="1620" w:type="dxa"/>
          </w:tcPr>
          <w:p w14:paraId="52FCDD57"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9C42194"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44915D8"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2D7A23D"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71153B82" w14:textId="77777777" w:rsidTr="00407106">
        <w:tc>
          <w:tcPr>
            <w:tcW w:w="2880" w:type="dxa"/>
            <w:hideMark/>
          </w:tcPr>
          <w:p w14:paraId="7D847943"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FORAGE</w:t>
            </w:r>
          </w:p>
        </w:tc>
        <w:tc>
          <w:tcPr>
            <w:tcW w:w="1620" w:type="dxa"/>
            <w:hideMark/>
          </w:tcPr>
          <w:p w14:paraId="5E2D041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-0.184***</w:t>
            </w:r>
          </w:p>
        </w:tc>
        <w:tc>
          <w:tcPr>
            <w:tcW w:w="1620" w:type="dxa"/>
            <w:hideMark/>
          </w:tcPr>
          <w:p w14:paraId="0003A14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-0.183***</w:t>
            </w:r>
          </w:p>
        </w:tc>
        <w:tc>
          <w:tcPr>
            <w:tcW w:w="1620" w:type="dxa"/>
            <w:hideMark/>
          </w:tcPr>
          <w:p w14:paraId="264F0B5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-0.182***</w:t>
            </w:r>
          </w:p>
        </w:tc>
        <w:tc>
          <w:tcPr>
            <w:tcW w:w="1620" w:type="dxa"/>
            <w:hideMark/>
          </w:tcPr>
          <w:p w14:paraId="4172EDA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-0.166***</w:t>
            </w:r>
          </w:p>
        </w:tc>
      </w:tr>
      <w:tr w:rsidR="00407106" w14:paraId="08568DEA" w14:textId="77777777" w:rsidTr="00407106">
        <w:tc>
          <w:tcPr>
            <w:tcW w:w="2880" w:type="dxa"/>
          </w:tcPr>
          <w:p w14:paraId="5698E628" w14:textId="77777777" w:rsidR="00407106" w:rsidRDefault="00407106">
            <w:pPr>
              <w:widowControl w:val="0"/>
              <w:autoSpaceDE w:val="0"/>
              <w:autoSpaceDN w:val="0"/>
              <w:adjustRightInd w:val="0"/>
              <w:spacing w:after="0" w:line="240" w:lineRule="auto"/>
              <w:ind w:firstLine="0"/>
              <w:rPr>
                <w:sz w:val="22"/>
                <w:szCs w:val="22"/>
              </w:rPr>
            </w:pPr>
          </w:p>
        </w:tc>
        <w:tc>
          <w:tcPr>
            <w:tcW w:w="1620" w:type="dxa"/>
            <w:hideMark/>
          </w:tcPr>
          <w:p w14:paraId="42C2772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(-14.93)</w:t>
            </w:r>
          </w:p>
        </w:tc>
        <w:tc>
          <w:tcPr>
            <w:tcW w:w="1620" w:type="dxa"/>
            <w:hideMark/>
          </w:tcPr>
          <w:p w14:paraId="3961FF3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(-14.83)</w:t>
            </w:r>
          </w:p>
        </w:tc>
        <w:tc>
          <w:tcPr>
            <w:tcW w:w="1620" w:type="dxa"/>
            <w:hideMark/>
          </w:tcPr>
          <w:p w14:paraId="7F88B7F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(-14.88)</w:t>
            </w:r>
          </w:p>
        </w:tc>
        <w:tc>
          <w:tcPr>
            <w:tcW w:w="1620" w:type="dxa"/>
            <w:hideMark/>
          </w:tcPr>
          <w:p w14:paraId="3B06A0E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(-12.32)</w:t>
            </w:r>
          </w:p>
        </w:tc>
      </w:tr>
      <w:tr w:rsidR="00407106" w14:paraId="472DA661" w14:textId="77777777" w:rsidTr="00407106">
        <w:tc>
          <w:tcPr>
            <w:tcW w:w="2880" w:type="dxa"/>
            <w:hideMark/>
          </w:tcPr>
          <w:p w14:paraId="7B8F09FE" w14:textId="77777777" w:rsidR="00407106" w:rsidRDefault="00407106">
            <w:pPr>
              <w:widowControl w:val="0"/>
              <w:autoSpaceDE w:val="0"/>
              <w:autoSpaceDN w:val="0"/>
              <w:adjustRightInd w:val="0"/>
              <w:spacing w:after="0" w:line="240" w:lineRule="auto"/>
              <w:ind w:firstLine="0"/>
              <w:rPr>
                <w:sz w:val="22"/>
                <w:szCs w:val="22"/>
              </w:rPr>
            </w:pPr>
            <w:r>
              <w:rPr>
                <w:sz w:val="22"/>
                <w:szCs w:val="22"/>
              </w:rPr>
              <w:t xml:space="preserve">Industry &amp; Year Dummies </w:t>
            </w:r>
          </w:p>
        </w:tc>
        <w:tc>
          <w:tcPr>
            <w:tcW w:w="1620" w:type="dxa"/>
            <w:hideMark/>
          </w:tcPr>
          <w:p w14:paraId="397F5A1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620" w:type="dxa"/>
            <w:hideMark/>
          </w:tcPr>
          <w:p w14:paraId="65B1330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620" w:type="dxa"/>
            <w:hideMark/>
          </w:tcPr>
          <w:p w14:paraId="5A0040C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620" w:type="dxa"/>
            <w:hideMark/>
          </w:tcPr>
          <w:p w14:paraId="56C10D7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r>
      <w:tr w:rsidR="00407106" w14:paraId="5701EC9F" w14:textId="77777777" w:rsidTr="00407106">
        <w:tc>
          <w:tcPr>
            <w:tcW w:w="2880" w:type="dxa"/>
            <w:tcBorders>
              <w:top w:val="single" w:sz="4" w:space="0" w:color="auto"/>
              <w:left w:val="nil"/>
              <w:bottom w:val="nil"/>
              <w:right w:val="nil"/>
            </w:tcBorders>
            <w:hideMark/>
          </w:tcPr>
          <w:p w14:paraId="3D54BA85" w14:textId="77777777" w:rsidR="00407106" w:rsidRDefault="00407106">
            <w:pPr>
              <w:widowControl w:val="0"/>
              <w:autoSpaceDE w:val="0"/>
              <w:autoSpaceDN w:val="0"/>
              <w:adjustRightInd w:val="0"/>
              <w:spacing w:after="0" w:line="240" w:lineRule="auto"/>
              <w:ind w:firstLine="0"/>
              <w:rPr>
                <w:sz w:val="22"/>
                <w:szCs w:val="22"/>
              </w:rPr>
            </w:pPr>
            <w:r>
              <w:rPr>
                <w:sz w:val="22"/>
                <w:szCs w:val="22"/>
              </w:rPr>
              <w:t>N</w:t>
            </w:r>
          </w:p>
        </w:tc>
        <w:tc>
          <w:tcPr>
            <w:tcW w:w="1620" w:type="dxa"/>
            <w:tcBorders>
              <w:top w:val="single" w:sz="4" w:space="0" w:color="auto"/>
              <w:left w:val="nil"/>
              <w:bottom w:val="nil"/>
              <w:right w:val="nil"/>
            </w:tcBorders>
            <w:hideMark/>
          </w:tcPr>
          <w:p w14:paraId="76844DA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620" w:type="dxa"/>
            <w:tcBorders>
              <w:top w:val="single" w:sz="4" w:space="0" w:color="auto"/>
              <w:left w:val="nil"/>
              <w:bottom w:val="nil"/>
              <w:right w:val="nil"/>
            </w:tcBorders>
            <w:hideMark/>
          </w:tcPr>
          <w:p w14:paraId="4CA377C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620" w:type="dxa"/>
            <w:tcBorders>
              <w:top w:val="single" w:sz="4" w:space="0" w:color="auto"/>
              <w:left w:val="nil"/>
              <w:bottom w:val="nil"/>
              <w:right w:val="nil"/>
            </w:tcBorders>
            <w:hideMark/>
          </w:tcPr>
          <w:p w14:paraId="3637CA9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620" w:type="dxa"/>
            <w:tcBorders>
              <w:top w:val="single" w:sz="4" w:space="0" w:color="auto"/>
              <w:left w:val="nil"/>
              <w:bottom w:val="nil"/>
              <w:right w:val="nil"/>
            </w:tcBorders>
            <w:hideMark/>
          </w:tcPr>
          <w:p w14:paraId="1564CC6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89,700</w:t>
            </w:r>
          </w:p>
        </w:tc>
      </w:tr>
      <w:tr w:rsidR="00407106" w14:paraId="436A6338" w14:textId="77777777" w:rsidTr="00407106">
        <w:tc>
          <w:tcPr>
            <w:tcW w:w="2880" w:type="dxa"/>
            <w:hideMark/>
          </w:tcPr>
          <w:p w14:paraId="7FDF76DC" w14:textId="77777777" w:rsidR="00407106" w:rsidRDefault="00407106">
            <w:pPr>
              <w:widowControl w:val="0"/>
              <w:autoSpaceDE w:val="0"/>
              <w:autoSpaceDN w:val="0"/>
              <w:adjustRightInd w:val="0"/>
              <w:spacing w:after="0" w:line="240" w:lineRule="auto"/>
              <w:ind w:firstLine="0"/>
              <w:rPr>
                <w:sz w:val="22"/>
                <w:szCs w:val="22"/>
              </w:rPr>
            </w:pPr>
            <w:r>
              <w:rPr>
                <w:sz w:val="22"/>
                <w:szCs w:val="22"/>
              </w:rPr>
              <w:t>R-square</w:t>
            </w:r>
          </w:p>
        </w:tc>
        <w:tc>
          <w:tcPr>
            <w:tcW w:w="1620" w:type="dxa"/>
            <w:hideMark/>
          </w:tcPr>
          <w:p w14:paraId="3ADFD3B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c>
          <w:tcPr>
            <w:tcW w:w="1620" w:type="dxa"/>
            <w:hideMark/>
          </w:tcPr>
          <w:p w14:paraId="37CA5F8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620" w:type="dxa"/>
            <w:hideMark/>
          </w:tcPr>
          <w:p w14:paraId="69BEEF5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620" w:type="dxa"/>
            <w:hideMark/>
          </w:tcPr>
          <w:p w14:paraId="5CF1CDA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0.243</w:t>
            </w:r>
          </w:p>
        </w:tc>
      </w:tr>
      <w:tr w:rsidR="00407106" w14:paraId="29699422" w14:textId="77777777" w:rsidTr="00407106">
        <w:tc>
          <w:tcPr>
            <w:tcW w:w="2880" w:type="dxa"/>
            <w:tcBorders>
              <w:top w:val="nil"/>
              <w:left w:val="nil"/>
              <w:bottom w:val="single" w:sz="4" w:space="0" w:color="auto"/>
              <w:right w:val="nil"/>
            </w:tcBorders>
            <w:hideMark/>
          </w:tcPr>
          <w:p w14:paraId="636D2AFE" w14:textId="77777777" w:rsidR="00407106" w:rsidRDefault="00407106">
            <w:pPr>
              <w:widowControl w:val="0"/>
              <w:autoSpaceDE w:val="0"/>
              <w:autoSpaceDN w:val="0"/>
              <w:adjustRightInd w:val="0"/>
              <w:spacing w:after="0" w:line="240" w:lineRule="auto"/>
              <w:ind w:firstLine="0"/>
              <w:rPr>
                <w:sz w:val="22"/>
                <w:szCs w:val="22"/>
              </w:rPr>
            </w:pPr>
            <w:r>
              <w:rPr>
                <w:sz w:val="22"/>
                <w:szCs w:val="22"/>
              </w:rPr>
              <w:t>Adj. R-square</w:t>
            </w:r>
          </w:p>
        </w:tc>
        <w:tc>
          <w:tcPr>
            <w:tcW w:w="1620" w:type="dxa"/>
            <w:tcBorders>
              <w:top w:val="nil"/>
              <w:left w:val="nil"/>
              <w:bottom w:val="single" w:sz="4" w:space="0" w:color="auto"/>
              <w:right w:val="nil"/>
            </w:tcBorders>
            <w:hideMark/>
          </w:tcPr>
          <w:p w14:paraId="6E172F5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620" w:type="dxa"/>
            <w:tcBorders>
              <w:top w:val="nil"/>
              <w:left w:val="nil"/>
              <w:bottom w:val="single" w:sz="4" w:space="0" w:color="auto"/>
              <w:right w:val="nil"/>
            </w:tcBorders>
            <w:hideMark/>
          </w:tcPr>
          <w:p w14:paraId="0A7FC0A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620" w:type="dxa"/>
            <w:tcBorders>
              <w:top w:val="nil"/>
              <w:left w:val="nil"/>
              <w:bottom w:val="single" w:sz="4" w:space="0" w:color="auto"/>
              <w:right w:val="nil"/>
            </w:tcBorders>
            <w:hideMark/>
          </w:tcPr>
          <w:p w14:paraId="620E620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620" w:type="dxa"/>
            <w:tcBorders>
              <w:top w:val="nil"/>
              <w:left w:val="nil"/>
              <w:bottom w:val="single" w:sz="4" w:space="0" w:color="auto"/>
              <w:right w:val="nil"/>
            </w:tcBorders>
            <w:hideMark/>
          </w:tcPr>
          <w:p w14:paraId="5CD318C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0.243</w:t>
            </w:r>
          </w:p>
        </w:tc>
      </w:tr>
    </w:tbl>
    <w:p w14:paraId="5264A508" w14:textId="77777777" w:rsidR="00407106" w:rsidRDefault="00407106" w:rsidP="00407106">
      <w:pPr>
        <w:spacing w:line="276" w:lineRule="auto"/>
        <w:ind w:firstLine="0"/>
        <w:jc w:val="left"/>
        <w:rPr>
          <w:b/>
        </w:rPr>
      </w:pPr>
      <w:r>
        <w:rPr>
          <w:b/>
        </w:rPr>
        <w:br w:type="page"/>
      </w:r>
    </w:p>
    <w:p w14:paraId="7A1C0516" w14:textId="77777777" w:rsidR="00407106" w:rsidRDefault="00407106" w:rsidP="00407106">
      <w:pPr>
        <w:keepNext/>
        <w:widowControl w:val="0"/>
        <w:autoSpaceDE w:val="0"/>
        <w:autoSpaceDN w:val="0"/>
        <w:adjustRightInd w:val="0"/>
        <w:spacing w:after="0" w:line="240" w:lineRule="auto"/>
        <w:ind w:firstLine="0"/>
        <w:jc w:val="center"/>
        <w:rPr>
          <w:b/>
        </w:rPr>
      </w:pPr>
      <w:r>
        <w:rPr>
          <w:b/>
        </w:rPr>
        <w:lastRenderedPageBreak/>
        <w:t>TABLE 8</w:t>
      </w:r>
    </w:p>
    <w:p w14:paraId="1FFC0D63" w14:textId="77777777" w:rsidR="00407106" w:rsidRDefault="00407106" w:rsidP="00407106">
      <w:pPr>
        <w:keepNext/>
        <w:widowControl w:val="0"/>
        <w:autoSpaceDE w:val="0"/>
        <w:autoSpaceDN w:val="0"/>
        <w:adjustRightInd w:val="0"/>
        <w:spacing w:after="0" w:line="240" w:lineRule="auto"/>
        <w:ind w:firstLine="0"/>
        <w:jc w:val="center"/>
        <w:rPr>
          <w:i/>
        </w:rPr>
      </w:pPr>
      <w:r>
        <w:rPr>
          <w:i/>
        </w:rPr>
        <w:t>Account-specific complexity and expertise</w:t>
      </w:r>
    </w:p>
    <w:p w14:paraId="239A5420" w14:textId="77777777" w:rsidR="00407106" w:rsidRDefault="00407106" w:rsidP="00407106">
      <w:pPr>
        <w:keepNext/>
        <w:widowControl w:val="0"/>
        <w:autoSpaceDE w:val="0"/>
        <w:autoSpaceDN w:val="0"/>
        <w:adjustRightInd w:val="0"/>
        <w:spacing w:after="0" w:line="240" w:lineRule="auto"/>
        <w:ind w:firstLine="0"/>
      </w:pPr>
      <w:r>
        <w:t>The table below presents the results of the regression analysis (OLS) of analysts’ forecast accuracy at the estimate level.</w:t>
      </w:r>
    </w:p>
    <w:p w14:paraId="729A1C33" w14:textId="77777777" w:rsidR="00407106" w:rsidRDefault="00407106" w:rsidP="00407106">
      <w:pPr>
        <w:keepNext/>
        <w:widowControl w:val="0"/>
        <w:autoSpaceDE w:val="0"/>
        <w:autoSpaceDN w:val="0"/>
        <w:adjustRightInd w:val="0"/>
        <w:spacing w:before="120" w:after="120" w:line="240" w:lineRule="auto"/>
        <w:ind w:firstLine="0"/>
        <w:jc w:val="center"/>
      </w:pPr>
      <w:r>
        <w:t>-1 × |Forecast Error| = α + β</w:t>
      </w:r>
      <w:r>
        <w:rPr>
          <w:vertAlign w:val="subscript"/>
        </w:rPr>
        <w:t>1</w:t>
      </w:r>
      <w:r>
        <w:t>ARC-X + λ</w:t>
      </w:r>
      <w:r>
        <w:rPr>
          <w:vertAlign w:val="subscript"/>
        </w:rPr>
        <w:t>1</w:t>
      </w:r>
      <w:r>
        <w:t>AQLF + η</w:t>
      </w:r>
      <w:r>
        <w:rPr>
          <w:vertAlign w:val="subscript"/>
        </w:rPr>
        <w:t>1</w:t>
      </w:r>
      <w:r>
        <w:t>ARC-X×AQLF + π</w:t>
      </w:r>
      <w:r>
        <w:rPr>
          <w:vertAlign w:val="subscript"/>
        </w:rPr>
        <w:t>1</w:t>
      </w:r>
      <w:r>
        <w:t>EXPRT-X</w:t>
      </w:r>
    </w:p>
    <w:p w14:paraId="1D38C2CC" w14:textId="77777777" w:rsidR="00407106" w:rsidRDefault="00407106" w:rsidP="00407106">
      <w:pPr>
        <w:keepNext/>
        <w:widowControl w:val="0"/>
        <w:autoSpaceDE w:val="0"/>
        <w:autoSpaceDN w:val="0"/>
        <w:adjustRightInd w:val="0"/>
        <w:spacing w:before="120" w:after="120" w:line="240" w:lineRule="auto"/>
        <w:ind w:firstLine="0"/>
        <w:jc w:val="center"/>
      </w:pPr>
      <w:r>
        <w:t>+ ρ</w:t>
      </w:r>
      <w:r>
        <w:rPr>
          <w:vertAlign w:val="subscript"/>
        </w:rPr>
        <w:t>1</w:t>
      </w:r>
      <w:r>
        <w:t>ARC-X×EXPRT-X + ∑γControls + ∑δIndustry + ∑θYear + ε</w:t>
      </w:r>
      <w:r>
        <w:rPr>
          <w:vertAlign w:val="subscript"/>
        </w:rPr>
        <w:t>it</w:t>
      </w:r>
      <w:r>
        <w:t>.</w:t>
      </w:r>
    </w:p>
    <w:p w14:paraId="2595BFBD" w14:textId="77777777" w:rsidR="00407106" w:rsidRDefault="00407106" w:rsidP="00407106">
      <w:pPr>
        <w:keepNext/>
        <w:widowControl w:val="0"/>
        <w:autoSpaceDE w:val="0"/>
        <w:autoSpaceDN w:val="0"/>
        <w:adjustRightInd w:val="0"/>
        <w:spacing w:after="0" w:line="240" w:lineRule="auto"/>
        <w:ind w:firstLine="0"/>
      </w:pPr>
      <w:r>
        <w:t>|</w:t>
      </w:r>
      <w:r>
        <w:rPr>
          <w:i/>
        </w:rPr>
        <w:t>Forecast Error</w:t>
      </w:r>
      <w:r>
        <w:t xml:space="preserve">| is calculated as the absolute value of actual minus forecasted earnings scaled by price and multiplied by 100. </w:t>
      </w:r>
      <w:r>
        <w:rPr>
          <w:i/>
        </w:rPr>
        <w:t>ARC-X</w:t>
      </w:r>
      <w:r>
        <w:t xml:space="preserve"> represents the three account-specific complexity variables. </w:t>
      </w:r>
      <w:r>
        <w:rPr>
          <w:i/>
        </w:rPr>
        <w:t>ARC-FAIR</w:t>
      </w:r>
      <w:r>
        <w:t xml:space="preserve">, </w:t>
      </w:r>
      <w:r>
        <w:rPr>
          <w:i/>
        </w:rPr>
        <w:t>ARC-DERIV</w:t>
      </w:r>
      <w:r>
        <w:t xml:space="preserve">, and </w:t>
      </w:r>
      <w:r>
        <w:rPr>
          <w:i/>
        </w:rPr>
        <w:t>ARC-PENS</w:t>
      </w:r>
      <w:r>
        <w:t xml:space="preserve"> are the natural logarithms of one plus the total number of reported tags related to fair values, derivatives, and pensions, respectively. </w:t>
      </w:r>
      <w:r>
        <w:rPr>
          <w:i/>
        </w:rPr>
        <w:t>AQLF</w:t>
      </w:r>
      <w:r>
        <w:t xml:space="preserve"> sequentially equals four different aspects of analysts’ qualifications: </w:t>
      </w:r>
      <w:r>
        <w:rPr>
          <w:i/>
        </w:rPr>
        <w:t>GEXP</w:t>
      </w:r>
      <w:r>
        <w:t xml:space="preserve">, </w:t>
      </w:r>
      <w:r>
        <w:rPr>
          <w:i/>
        </w:rPr>
        <w:t>FEXP</w:t>
      </w:r>
      <w:r>
        <w:t xml:space="preserve">, </w:t>
      </w:r>
      <w:r>
        <w:rPr>
          <w:i/>
        </w:rPr>
        <w:t>INDFOCUS</w:t>
      </w:r>
      <w:r>
        <w:t xml:space="preserve">, and </w:t>
      </w:r>
      <w:r>
        <w:rPr>
          <w:i/>
        </w:rPr>
        <w:t>CFA</w:t>
      </w:r>
      <w:r>
        <w:t xml:space="preserve">. </w:t>
      </w:r>
      <w:r>
        <w:rPr>
          <w:i/>
        </w:rPr>
        <w:t>GEXP</w:t>
      </w:r>
      <w:r>
        <w:t xml:space="preserve"> equals the number of years since the analyst first appeared in the I/B/E/S database and </w:t>
      </w:r>
      <w:r>
        <w:rPr>
          <w:i/>
        </w:rPr>
        <w:t>FEXP</w:t>
      </w:r>
      <w:r>
        <w:t xml:space="preserve"> equals the number of years since the analyst began issuing forecasts for the company. </w:t>
      </w:r>
      <w:r>
        <w:rPr>
          <w:i/>
        </w:rPr>
        <w:t>INDFOCUS</w:t>
      </w:r>
      <w:r>
        <w:t xml:space="preserve"> is equal to one divided by the number of industries (FF - 12) represented in the analyst’s portfolio of coverage. </w:t>
      </w:r>
      <w:r>
        <w:rPr>
          <w:i/>
        </w:rPr>
        <w:t>CFA</w:t>
      </w:r>
      <w:r>
        <w:t xml:space="preserve"> is an indicator variable that equals one for analysts who hold a Chartered Financial Analyst credential. </w:t>
      </w:r>
      <w:r>
        <w:rPr>
          <w:i/>
        </w:rPr>
        <w:t>EXPRT-X</w:t>
      </w:r>
      <w:r>
        <w:t xml:space="preserve"> represents the expertise measure for each of the three account-specific complexity categories. Specifically, </w:t>
      </w:r>
      <w:r>
        <w:rPr>
          <w:i/>
        </w:rPr>
        <w:t>EXPRT-FAIR</w:t>
      </w:r>
      <w:r>
        <w:t xml:space="preserve">, </w:t>
      </w:r>
      <w:r>
        <w:rPr>
          <w:i/>
        </w:rPr>
        <w:t>EXPRT-DERIV</w:t>
      </w:r>
      <w:r>
        <w:t xml:space="preserve">, and </w:t>
      </w:r>
      <w:r>
        <w:rPr>
          <w:i/>
        </w:rPr>
        <w:t>EXPRT-PENS</w:t>
      </w:r>
      <w:r>
        <w:t xml:space="preserve"> are indicator variables that equal one for analysts whose portfolio of coverage are in the top 50 percentile in terms of the sum of the number of tags related to fair values, derivatives, and pensions, respectively. With the exception of the CFA and expertise variables, we mean center all variables that appear as part of an interaction. For each variable, the two rows report estimated coefficients, and t-statistics (in brackets) computed based on standard errors clustered by analyst and firm. The symbols *, **, and *** indicate statistical significance at the ten, five, and one percent levels, respectively. Industry and year fixed-effects are included in all models. The number of observations and goodness of fit statistics are reported at the bottom of the table. The coefficient estimates of the control variables are omitted to conserve space.</w:t>
      </w:r>
    </w:p>
    <w:p w14:paraId="7CE96EE7" w14:textId="77777777" w:rsidR="00407106" w:rsidRDefault="00407106" w:rsidP="00407106">
      <w:pPr>
        <w:spacing w:line="276" w:lineRule="auto"/>
        <w:ind w:firstLine="0"/>
        <w:jc w:val="left"/>
        <w:rPr>
          <w:b/>
        </w:rPr>
      </w:pPr>
      <w:r>
        <w:rPr>
          <w:b/>
        </w:rPr>
        <w:br w:type="page"/>
      </w:r>
    </w:p>
    <w:p w14:paraId="22508B6E" w14:textId="77777777" w:rsidR="00407106" w:rsidRDefault="00407106" w:rsidP="00407106">
      <w:pPr>
        <w:keepNext/>
        <w:widowControl w:val="0"/>
        <w:autoSpaceDE w:val="0"/>
        <w:autoSpaceDN w:val="0"/>
        <w:adjustRightInd w:val="0"/>
        <w:spacing w:after="160" w:line="240" w:lineRule="auto"/>
        <w:ind w:firstLine="0"/>
      </w:pPr>
      <w:r>
        <w:rPr>
          <w:b/>
        </w:rPr>
        <w:lastRenderedPageBreak/>
        <w:t>Panel A:</w:t>
      </w:r>
      <w:r>
        <w:t xml:space="preserve"> Accounting complexity based on fair value tags.</w:t>
      </w:r>
    </w:p>
    <w:tbl>
      <w:tblPr>
        <w:tblW w:w="0" w:type="dxa"/>
        <w:tblLayout w:type="fixed"/>
        <w:tblLook w:val="04A0" w:firstRow="1" w:lastRow="0" w:firstColumn="1" w:lastColumn="0" w:noHBand="0" w:noVBand="1"/>
      </w:tblPr>
      <w:tblGrid>
        <w:gridCol w:w="2790"/>
        <w:gridCol w:w="1620"/>
        <w:gridCol w:w="1620"/>
        <w:gridCol w:w="1620"/>
        <w:gridCol w:w="1620"/>
      </w:tblGrid>
      <w:tr w:rsidR="00407106" w14:paraId="6EB76A93" w14:textId="77777777" w:rsidTr="00407106">
        <w:trPr>
          <w:trHeight w:hRule="exact" w:val="360"/>
        </w:trPr>
        <w:tc>
          <w:tcPr>
            <w:tcW w:w="2790" w:type="dxa"/>
            <w:tcBorders>
              <w:top w:val="single" w:sz="4" w:space="0" w:color="auto"/>
              <w:left w:val="nil"/>
              <w:bottom w:val="single" w:sz="4" w:space="0" w:color="auto"/>
              <w:right w:val="nil"/>
            </w:tcBorders>
            <w:vAlign w:val="center"/>
            <w:hideMark/>
          </w:tcPr>
          <w:p w14:paraId="0701CA04"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6480" w:type="dxa"/>
            <w:gridSpan w:val="4"/>
            <w:tcBorders>
              <w:top w:val="single" w:sz="4" w:space="0" w:color="auto"/>
              <w:left w:val="nil"/>
              <w:bottom w:val="single" w:sz="4" w:space="0" w:color="auto"/>
              <w:right w:val="nil"/>
            </w:tcBorders>
            <w:vAlign w:val="center"/>
            <w:hideMark/>
          </w:tcPr>
          <w:p w14:paraId="6AAFA0C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 × |Forecast Error|</w:t>
            </w:r>
          </w:p>
        </w:tc>
      </w:tr>
      <w:tr w:rsidR="00407106" w14:paraId="7BC24E76" w14:textId="77777777" w:rsidTr="00407106">
        <w:trPr>
          <w:trHeight w:hRule="exact" w:val="360"/>
        </w:trPr>
        <w:tc>
          <w:tcPr>
            <w:tcW w:w="2790" w:type="dxa"/>
            <w:tcBorders>
              <w:top w:val="single" w:sz="4" w:space="0" w:color="auto"/>
              <w:left w:val="nil"/>
              <w:bottom w:val="single" w:sz="4" w:space="0" w:color="auto"/>
              <w:right w:val="nil"/>
            </w:tcBorders>
            <w:vAlign w:val="center"/>
          </w:tcPr>
          <w:p w14:paraId="0D806E69"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Borders>
              <w:top w:val="single" w:sz="4" w:space="0" w:color="auto"/>
              <w:left w:val="nil"/>
              <w:bottom w:val="single" w:sz="4" w:space="0" w:color="auto"/>
              <w:right w:val="nil"/>
            </w:tcBorders>
            <w:vAlign w:val="center"/>
            <w:hideMark/>
          </w:tcPr>
          <w:p w14:paraId="13185FE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1620" w:type="dxa"/>
            <w:tcBorders>
              <w:top w:val="single" w:sz="4" w:space="0" w:color="auto"/>
              <w:left w:val="nil"/>
              <w:bottom w:val="single" w:sz="4" w:space="0" w:color="auto"/>
              <w:right w:val="nil"/>
            </w:tcBorders>
            <w:vAlign w:val="center"/>
            <w:hideMark/>
          </w:tcPr>
          <w:p w14:paraId="2924E04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1620" w:type="dxa"/>
            <w:tcBorders>
              <w:top w:val="single" w:sz="4" w:space="0" w:color="auto"/>
              <w:left w:val="nil"/>
              <w:bottom w:val="single" w:sz="4" w:space="0" w:color="auto"/>
              <w:right w:val="nil"/>
            </w:tcBorders>
            <w:vAlign w:val="center"/>
            <w:hideMark/>
          </w:tcPr>
          <w:p w14:paraId="06BC4A0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c>
          <w:tcPr>
            <w:tcW w:w="1620" w:type="dxa"/>
            <w:tcBorders>
              <w:top w:val="single" w:sz="4" w:space="0" w:color="auto"/>
              <w:left w:val="nil"/>
              <w:bottom w:val="single" w:sz="4" w:space="0" w:color="auto"/>
              <w:right w:val="nil"/>
            </w:tcBorders>
            <w:vAlign w:val="center"/>
            <w:hideMark/>
          </w:tcPr>
          <w:p w14:paraId="0070A04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w:t>
            </w:r>
          </w:p>
        </w:tc>
      </w:tr>
      <w:tr w:rsidR="00407106" w14:paraId="3308E848" w14:textId="77777777" w:rsidTr="00407106">
        <w:trPr>
          <w:trHeight w:hRule="exact" w:val="360"/>
        </w:trPr>
        <w:tc>
          <w:tcPr>
            <w:tcW w:w="2790" w:type="dxa"/>
            <w:hideMark/>
          </w:tcPr>
          <w:p w14:paraId="6848F050"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Accounting complexity:</w:t>
            </w:r>
          </w:p>
        </w:tc>
        <w:tc>
          <w:tcPr>
            <w:tcW w:w="1620" w:type="dxa"/>
          </w:tcPr>
          <w:p w14:paraId="51382493"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1DFEA60"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362F4FF3"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501AE67B"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A696059" w14:textId="77777777" w:rsidTr="00407106">
        <w:tc>
          <w:tcPr>
            <w:tcW w:w="2790" w:type="dxa"/>
            <w:hideMark/>
          </w:tcPr>
          <w:p w14:paraId="77C3E5B3"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ARC-FAIR</w:t>
            </w:r>
          </w:p>
        </w:tc>
        <w:tc>
          <w:tcPr>
            <w:tcW w:w="1620" w:type="dxa"/>
            <w:hideMark/>
          </w:tcPr>
          <w:p w14:paraId="314FF22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-0.192***</w:t>
            </w:r>
          </w:p>
        </w:tc>
        <w:tc>
          <w:tcPr>
            <w:tcW w:w="1620" w:type="dxa"/>
            <w:hideMark/>
          </w:tcPr>
          <w:p w14:paraId="630A5C6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-0.187***</w:t>
            </w:r>
          </w:p>
        </w:tc>
        <w:tc>
          <w:tcPr>
            <w:tcW w:w="1620" w:type="dxa"/>
            <w:hideMark/>
          </w:tcPr>
          <w:p w14:paraId="1F887E4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-0.194***</w:t>
            </w:r>
          </w:p>
        </w:tc>
        <w:tc>
          <w:tcPr>
            <w:tcW w:w="1620" w:type="dxa"/>
            <w:hideMark/>
          </w:tcPr>
          <w:p w14:paraId="5261BBA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-0.194***</w:t>
            </w:r>
          </w:p>
        </w:tc>
      </w:tr>
      <w:tr w:rsidR="00407106" w14:paraId="1AE1D682" w14:textId="77777777" w:rsidTr="00407106">
        <w:tc>
          <w:tcPr>
            <w:tcW w:w="2790" w:type="dxa"/>
          </w:tcPr>
          <w:p w14:paraId="07A1E5EA"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68FE029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(-4.88)</w:t>
            </w:r>
          </w:p>
        </w:tc>
        <w:tc>
          <w:tcPr>
            <w:tcW w:w="1620" w:type="dxa"/>
            <w:hideMark/>
          </w:tcPr>
          <w:p w14:paraId="73B6711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(-4.73)</w:t>
            </w:r>
          </w:p>
        </w:tc>
        <w:tc>
          <w:tcPr>
            <w:tcW w:w="1620" w:type="dxa"/>
            <w:hideMark/>
          </w:tcPr>
          <w:p w14:paraId="391D3A1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(-4.94)</w:t>
            </w:r>
          </w:p>
        </w:tc>
        <w:tc>
          <w:tcPr>
            <w:tcW w:w="1620" w:type="dxa"/>
            <w:hideMark/>
          </w:tcPr>
          <w:p w14:paraId="314ABA8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(-4.80)</w:t>
            </w:r>
          </w:p>
        </w:tc>
      </w:tr>
      <w:tr w:rsidR="00407106" w14:paraId="2E8B86C6" w14:textId="77777777" w:rsidTr="00407106">
        <w:tc>
          <w:tcPr>
            <w:tcW w:w="2790" w:type="dxa"/>
            <w:hideMark/>
          </w:tcPr>
          <w:p w14:paraId="64EF056D"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GEXP</w:t>
            </w:r>
          </w:p>
        </w:tc>
        <w:tc>
          <w:tcPr>
            <w:tcW w:w="1620" w:type="dxa"/>
            <w:hideMark/>
          </w:tcPr>
          <w:p w14:paraId="40B01C6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0.074***</w:t>
            </w:r>
          </w:p>
        </w:tc>
        <w:tc>
          <w:tcPr>
            <w:tcW w:w="1620" w:type="dxa"/>
          </w:tcPr>
          <w:p w14:paraId="3F3DCA1F"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07FDE07"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475996C"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58E7810" w14:textId="77777777" w:rsidTr="00407106">
        <w:tc>
          <w:tcPr>
            <w:tcW w:w="2790" w:type="dxa"/>
          </w:tcPr>
          <w:p w14:paraId="39BE18CC"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4CCA0CC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(5.38)</w:t>
            </w:r>
          </w:p>
        </w:tc>
        <w:tc>
          <w:tcPr>
            <w:tcW w:w="1620" w:type="dxa"/>
          </w:tcPr>
          <w:p w14:paraId="7E59BAE8"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53645D73"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C61F8B1"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77F9439B" w14:textId="77777777" w:rsidTr="00407106">
        <w:tc>
          <w:tcPr>
            <w:tcW w:w="2790" w:type="dxa"/>
            <w:hideMark/>
          </w:tcPr>
          <w:p w14:paraId="25A0EEE2"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ARC-FAIR X GEXP</w:t>
            </w:r>
          </w:p>
        </w:tc>
        <w:tc>
          <w:tcPr>
            <w:tcW w:w="1620" w:type="dxa"/>
            <w:hideMark/>
          </w:tcPr>
          <w:p w14:paraId="29F90B4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620" w:type="dxa"/>
          </w:tcPr>
          <w:p w14:paraId="5231641A"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BDA08B8"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068D5B6E"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494DCEB6" w14:textId="77777777" w:rsidTr="00407106">
        <w:tc>
          <w:tcPr>
            <w:tcW w:w="2790" w:type="dxa"/>
          </w:tcPr>
          <w:p w14:paraId="30A37770"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0A29CD5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w:t>
            </w:r>
          </w:p>
        </w:tc>
        <w:tc>
          <w:tcPr>
            <w:tcW w:w="1620" w:type="dxa"/>
          </w:tcPr>
          <w:p w14:paraId="00B771A7"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188FCE7D"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5FF15B70"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C0F8C0C" w14:textId="77777777" w:rsidTr="00407106">
        <w:tc>
          <w:tcPr>
            <w:tcW w:w="2790" w:type="dxa"/>
            <w:hideMark/>
          </w:tcPr>
          <w:p w14:paraId="48FFF761"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FEXP</w:t>
            </w:r>
          </w:p>
        </w:tc>
        <w:tc>
          <w:tcPr>
            <w:tcW w:w="1620" w:type="dxa"/>
          </w:tcPr>
          <w:p w14:paraId="1EC22739"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1967672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-0.008</w:t>
            </w:r>
          </w:p>
        </w:tc>
        <w:tc>
          <w:tcPr>
            <w:tcW w:w="1620" w:type="dxa"/>
          </w:tcPr>
          <w:p w14:paraId="2EED653D"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6451AABA"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67357FF" w14:textId="77777777" w:rsidTr="00407106">
        <w:tc>
          <w:tcPr>
            <w:tcW w:w="2790" w:type="dxa"/>
          </w:tcPr>
          <w:p w14:paraId="6B7C601B"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1D7FCB0B"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4A9D39B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(-0.49)</w:t>
            </w:r>
          </w:p>
        </w:tc>
        <w:tc>
          <w:tcPr>
            <w:tcW w:w="1620" w:type="dxa"/>
          </w:tcPr>
          <w:p w14:paraId="0CBCF236"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7A4C055"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D84C2D6" w14:textId="77777777" w:rsidTr="00407106">
        <w:tc>
          <w:tcPr>
            <w:tcW w:w="2790" w:type="dxa"/>
            <w:hideMark/>
          </w:tcPr>
          <w:p w14:paraId="62038051"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ARC-FAIR X FEXP</w:t>
            </w:r>
          </w:p>
        </w:tc>
        <w:tc>
          <w:tcPr>
            <w:tcW w:w="1620" w:type="dxa"/>
          </w:tcPr>
          <w:p w14:paraId="3B5E837C"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33E700A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0.065***</w:t>
            </w:r>
          </w:p>
        </w:tc>
        <w:tc>
          <w:tcPr>
            <w:tcW w:w="1620" w:type="dxa"/>
          </w:tcPr>
          <w:p w14:paraId="40107031"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51ACCEC2"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FF2EA9C" w14:textId="77777777" w:rsidTr="00407106">
        <w:tc>
          <w:tcPr>
            <w:tcW w:w="2790" w:type="dxa"/>
          </w:tcPr>
          <w:p w14:paraId="19338E32"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69E2D0C7"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3D70607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(3.73)</w:t>
            </w:r>
          </w:p>
        </w:tc>
        <w:tc>
          <w:tcPr>
            <w:tcW w:w="1620" w:type="dxa"/>
          </w:tcPr>
          <w:p w14:paraId="1B31D74E"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621D7A8A"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20043DB" w14:textId="77777777" w:rsidTr="00407106">
        <w:tc>
          <w:tcPr>
            <w:tcW w:w="2790" w:type="dxa"/>
            <w:hideMark/>
          </w:tcPr>
          <w:p w14:paraId="451F1A6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INDFOCUS</w:t>
            </w:r>
          </w:p>
        </w:tc>
        <w:tc>
          <w:tcPr>
            <w:tcW w:w="1620" w:type="dxa"/>
          </w:tcPr>
          <w:p w14:paraId="55455A1B"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609E927A"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3E6635E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0.027</w:t>
            </w:r>
          </w:p>
        </w:tc>
        <w:tc>
          <w:tcPr>
            <w:tcW w:w="1620" w:type="dxa"/>
          </w:tcPr>
          <w:p w14:paraId="722EA1C0"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4EE7453B" w14:textId="77777777" w:rsidTr="00407106">
        <w:tc>
          <w:tcPr>
            <w:tcW w:w="2790" w:type="dxa"/>
          </w:tcPr>
          <w:p w14:paraId="5F37DAD5"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7CD31902"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9736DB1"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6C4404D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(0.49)</w:t>
            </w:r>
          </w:p>
        </w:tc>
        <w:tc>
          <w:tcPr>
            <w:tcW w:w="1620" w:type="dxa"/>
          </w:tcPr>
          <w:p w14:paraId="087A1794"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74A5CD6" w14:textId="77777777" w:rsidTr="00407106">
        <w:tc>
          <w:tcPr>
            <w:tcW w:w="2790" w:type="dxa"/>
            <w:hideMark/>
          </w:tcPr>
          <w:p w14:paraId="1957D8AE"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ARC-FAIR X INDFOCUS</w:t>
            </w:r>
          </w:p>
        </w:tc>
        <w:tc>
          <w:tcPr>
            <w:tcW w:w="1620" w:type="dxa"/>
          </w:tcPr>
          <w:p w14:paraId="5A20426F"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22A17125"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267E639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0.158***</w:t>
            </w:r>
          </w:p>
        </w:tc>
        <w:tc>
          <w:tcPr>
            <w:tcW w:w="1620" w:type="dxa"/>
          </w:tcPr>
          <w:p w14:paraId="59BF9F2D"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331C389" w14:textId="77777777" w:rsidTr="00407106">
        <w:tc>
          <w:tcPr>
            <w:tcW w:w="2790" w:type="dxa"/>
          </w:tcPr>
          <w:p w14:paraId="6AD84F43"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0765AF29"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62FD6812"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2E8E72E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(2.91)</w:t>
            </w:r>
          </w:p>
        </w:tc>
        <w:tc>
          <w:tcPr>
            <w:tcW w:w="1620" w:type="dxa"/>
          </w:tcPr>
          <w:p w14:paraId="29D9CA47"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D2A0526" w14:textId="77777777" w:rsidTr="00407106">
        <w:tc>
          <w:tcPr>
            <w:tcW w:w="2790" w:type="dxa"/>
            <w:hideMark/>
          </w:tcPr>
          <w:p w14:paraId="47272C05"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CFA</w:t>
            </w:r>
          </w:p>
        </w:tc>
        <w:tc>
          <w:tcPr>
            <w:tcW w:w="1620" w:type="dxa"/>
          </w:tcPr>
          <w:p w14:paraId="44D0A012"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1299ADBB"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2CAA9495"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2712F41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0.069***</w:t>
            </w:r>
          </w:p>
        </w:tc>
      </w:tr>
      <w:tr w:rsidR="00407106" w14:paraId="50E07899" w14:textId="77777777" w:rsidTr="00407106">
        <w:tc>
          <w:tcPr>
            <w:tcW w:w="2790" w:type="dxa"/>
          </w:tcPr>
          <w:p w14:paraId="70143587" w14:textId="77777777" w:rsidR="00407106" w:rsidRDefault="00407106">
            <w:pPr>
              <w:widowControl w:val="0"/>
              <w:autoSpaceDE w:val="0"/>
              <w:autoSpaceDN w:val="0"/>
              <w:adjustRightInd w:val="0"/>
              <w:spacing w:after="0" w:line="240" w:lineRule="auto"/>
              <w:ind w:firstLine="0"/>
              <w:rPr>
                <w:sz w:val="22"/>
                <w:szCs w:val="22"/>
              </w:rPr>
            </w:pPr>
          </w:p>
        </w:tc>
        <w:tc>
          <w:tcPr>
            <w:tcW w:w="1620" w:type="dxa"/>
          </w:tcPr>
          <w:p w14:paraId="52567B1F"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5ABE307F"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4D5768FA"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2D632DC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(3.01)</w:t>
            </w:r>
          </w:p>
        </w:tc>
      </w:tr>
      <w:tr w:rsidR="00407106" w14:paraId="3C71D696" w14:textId="77777777" w:rsidTr="00407106">
        <w:tc>
          <w:tcPr>
            <w:tcW w:w="2790" w:type="dxa"/>
            <w:hideMark/>
          </w:tcPr>
          <w:p w14:paraId="4E7F53B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ARC-FAIR X CFA</w:t>
            </w:r>
          </w:p>
        </w:tc>
        <w:tc>
          <w:tcPr>
            <w:tcW w:w="1620" w:type="dxa"/>
          </w:tcPr>
          <w:p w14:paraId="05BC1816"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1BF4ADBB"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14B99915"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2F326C4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0.044**</w:t>
            </w:r>
          </w:p>
        </w:tc>
      </w:tr>
      <w:tr w:rsidR="00407106" w14:paraId="2015548B" w14:textId="77777777" w:rsidTr="00407106">
        <w:tc>
          <w:tcPr>
            <w:tcW w:w="2790" w:type="dxa"/>
          </w:tcPr>
          <w:p w14:paraId="764201B2" w14:textId="77777777" w:rsidR="00407106" w:rsidRDefault="00407106">
            <w:pPr>
              <w:widowControl w:val="0"/>
              <w:autoSpaceDE w:val="0"/>
              <w:autoSpaceDN w:val="0"/>
              <w:adjustRightInd w:val="0"/>
              <w:spacing w:after="0" w:line="240" w:lineRule="auto"/>
              <w:ind w:firstLine="0"/>
              <w:rPr>
                <w:i/>
                <w:sz w:val="22"/>
                <w:szCs w:val="22"/>
              </w:rPr>
            </w:pPr>
          </w:p>
        </w:tc>
        <w:tc>
          <w:tcPr>
            <w:tcW w:w="1620" w:type="dxa"/>
          </w:tcPr>
          <w:p w14:paraId="5D47F542"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2C98DEE3"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tcPr>
          <w:p w14:paraId="7FAB723E" w14:textId="77777777" w:rsidR="00407106" w:rsidRDefault="00407106">
            <w:pPr>
              <w:widowControl w:val="0"/>
              <w:autoSpaceDE w:val="0"/>
              <w:autoSpaceDN w:val="0"/>
              <w:adjustRightInd w:val="0"/>
              <w:spacing w:after="0" w:line="240" w:lineRule="auto"/>
              <w:ind w:firstLine="0"/>
              <w:jc w:val="center"/>
              <w:rPr>
                <w:sz w:val="22"/>
                <w:szCs w:val="22"/>
              </w:rPr>
            </w:pPr>
          </w:p>
        </w:tc>
        <w:tc>
          <w:tcPr>
            <w:tcW w:w="1620" w:type="dxa"/>
            <w:hideMark/>
          </w:tcPr>
          <w:p w14:paraId="6F4AB52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(1.97)</w:t>
            </w:r>
          </w:p>
        </w:tc>
      </w:tr>
      <w:tr w:rsidR="00407106" w14:paraId="35AF7744" w14:textId="77777777" w:rsidTr="00407106">
        <w:tc>
          <w:tcPr>
            <w:tcW w:w="2790" w:type="dxa"/>
            <w:hideMark/>
          </w:tcPr>
          <w:p w14:paraId="6D592033"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EXPRT-FAIR</w:t>
            </w:r>
          </w:p>
        </w:tc>
        <w:tc>
          <w:tcPr>
            <w:tcW w:w="1620" w:type="dxa"/>
            <w:hideMark/>
          </w:tcPr>
          <w:p w14:paraId="0F353E3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0.095***</w:t>
            </w:r>
          </w:p>
        </w:tc>
        <w:tc>
          <w:tcPr>
            <w:tcW w:w="1620" w:type="dxa"/>
            <w:hideMark/>
          </w:tcPr>
          <w:p w14:paraId="08A076D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0.123***</w:t>
            </w:r>
          </w:p>
        </w:tc>
        <w:tc>
          <w:tcPr>
            <w:tcW w:w="1620" w:type="dxa"/>
            <w:hideMark/>
          </w:tcPr>
          <w:p w14:paraId="0EFC963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0.121***</w:t>
            </w:r>
          </w:p>
        </w:tc>
        <w:tc>
          <w:tcPr>
            <w:tcW w:w="1620" w:type="dxa"/>
            <w:hideMark/>
          </w:tcPr>
          <w:p w14:paraId="0B1B699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0.079**</w:t>
            </w:r>
          </w:p>
        </w:tc>
      </w:tr>
      <w:tr w:rsidR="00407106" w14:paraId="534EBD00" w14:textId="77777777" w:rsidTr="00407106">
        <w:tc>
          <w:tcPr>
            <w:tcW w:w="2790" w:type="dxa"/>
          </w:tcPr>
          <w:p w14:paraId="277F2D44" w14:textId="77777777" w:rsidR="00407106" w:rsidRDefault="00407106">
            <w:pPr>
              <w:widowControl w:val="0"/>
              <w:autoSpaceDE w:val="0"/>
              <w:autoSpaceDN w:val="0"/>
              <w:adjustRightInd w:val="0"/>
              <w:spacing w:after="0" w:line="240" w:lineRule="auto"/>
              <w:ind w:firstLine="0"/>
              <w:rPr>
                <w:i/>
                <w:sz w:val="22"/>
                <w:szCs w:val="22"/>
              </w:rPr>
            </w:pPr>
          </w:p>
        </w:tc>
        <w:tc>
          <w:tcPr>
            <w:tcW w:w="1620" w:type="dxa"/>
            <w:hideMark/>
          </w:tcPr>
          <w:p w14:paraId="54F8611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(3.30)</w:t>
            </w:r>
          </w:p>
        </w:tc>
        <w:tc>
          <w:tcPr>
            <w:tcW w:w="1620" w:type="dxa"/>
            <w:hideMark/>
          </w:tcPr>
          <w:p w14:paraId="57B0C16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(4.25)</w:t>
            </w:r>
          </w:p>
        </w:tc>
        <w:tc>
          <w:tcPr>
            <w:tcW w:w="1620" w:type="dxa"/>
            <w:hideMark/>
          </w:tcPr>
          <w:p w14:paraId="32F9AD9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(4.12)</w:t>
            </w:r>
          </w:p>
        </w:tc>
        <w:tc>
          <w:tcPr>
            <w:tcW w:w="1620" w:type="dxa"/>
            <w:hideMark/>
          </w:tcPr>
          <w:p w14:paraId="2F866EA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(2.56)</w:t>
            </w:r>
          </w:p>
        </w:tc>
      </w:tr>
      <w:tr w:rsidR="00407106" w14:paraId="66EA96A5" w14:textId="77777777" w:rsidTr="00407106">
        <w:tc>
          <w:tcPr>
            <w:tcW w:w="2790" w:type="dxa"/>
            <w:hideMark/>
          </w:tcPr>
          <w:p w14:paraId="0EB590C7"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ARC-FAIR X EXPRT-FAIR</w:t>
            </w:r>
          </w:p>
        </w:tc>
        <w:tc>
          <w:tcPr>
            <w:tcW w:w="1620" w:type="dxa"/>
            <w:hideMark/>
          </w:tcPr>
          <w:p w14:paraId="667FEBB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0.162***</w:t>
            </w:r>
          </w:p>
        </w:tc>
        <w:tc>
          <w:tcPr>
            <w:tcW w:w="1620" w:type="dxa"/>
            <w:hideMark/>
          </w:tcPr>
          <w:p w14:paraId="5482F25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0.153***</w:t>
            </w:r>
          </w:p>
        </w:tc>
        <w:tc>
          <w:tcPr>
            <w:tcW w:w="1620" w:type="dxa"/>
            <w:hideMark/>
          </w:tcPr>
          <w:p w14:paraId="3E98078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0.158***</w:t>
            </w:r>
          </w:p>
        </w:tc>
        <w:tc>
          <w:tcPr>
            <w:tcW w:w="1620" w:type="dxa"/>
            <w:hideMark/>
          </w:tcPr>
          <w:p w14:paraId="69651BD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0.140***</w:t>
            </w:r>
          </w:p>
        </w:tc>
      </w:tr>
      <w:tr w:rsidR="00407106" w14:paraId="4AFF4054" w14:textId="77777777" w:rsidTr="00407106">
        <w:tc>
          <w:tcPr>
            <w:tcW w:w="2790" w:type="dxa"/>
          </w:tcPr>
          <w:p w14:paraId="50A21BF8" w14:textId="77777777" w:rsidR="00407106" w:rsidRDefault="00407106">
            <w:pPr>
              <w:widowControl w:val="0"/>
              <w:autoSpaceDE w:val="0"/>
              <w:autoSpaceDN w:val="0"/>
              <w:adjustRightInd w:val="0"/>
              <w:spacing w:after="0" w:line="240" w:lineRule="auto"/>
              <w:ind w:firstLine="0"/>
              <w:rPr>
                <w:sz w:val="22"/>
                <w:szCs w:val="22"/>
              </w:rPr>
            </w:pPr>
          </w:p>
        </w:tc>
        <w:tc>
          <w:tcPr>
            <w:tcW w:w="1620" w:type="dxa"/>
            <w:hideMark/>
          </w:tcPr>
          <w:p w14:paraId="7617E5B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(4.81)</w:t>
            </w:r>
          </w:p>
        </w:tc>
        <w:tc>
          <w:tcPr>
            <w:tcW w:w="1620" w:type="dxa"/>
            <w:hideMark/>
          </w:tcPr>
          <w:p w14:paraId="0DD56C0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(4.62)</w:t>
            </w:r>
          </w:p>
        </w:tc>
        <w:tc>
          <w:tcPr>
            <w:tcW w:w="1620" w:type="dxa"/>
            <w:hideMark/>
          </w:tcPr>
          <w:p w14:paraId="4F9E702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(4.89)</w:t>
            </w:r>
          </w:p>
        </w:tc>
        <w:tc>
          <w:tcPr>
            <w:tcW w:w="1620" w:type="dxa"/>
            <w:hideMark/>
          </w:tcPr>
          <w:p w14:paraId="0C41950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(3.99)</w:t>
            </w:r>
          </w:p>
        </w:tc>
      </w:tr>
      <w:tr w:rsidR="00407106" w14:paraId="083EED49" w14:textId="77777777" w:rsidTr="00407106">
        <w:tc>
          <w:tcPr>
            <w:tcW w:w="2790" w:type="dxa"/>
            <w:tcBorders>
              <w:top w:val="nil"/>
              <w:left w:val="nil"/>
              <w:bottom w:val="single" w:sz="4" w:space="0" w:color="auto"/>
              <w:right w:val="nil"/>
            </w:tcBorders>
            <w:hideMark/>
          </w:tcPr>
          <w:p w14:paraId="3D53A9FC" w14:textId="77777777" w:rsidR="00407106" w:rsidRDefault="00407106">
            <w:pPr>
              <w:widowControl w:val="0"/>
              <w:autoSpaceDE w:val="0"/>
              <w:autoSpaceDN w:val="0"/>
              <w:adjustRightInd w:val="0"/>
              <w:spacing w:after="0" w:line="240" w:lineRule="auto"/>
              <w:ind w:firstLine="0"/>
              <w:rPr>
                <w:sz w:val="22"/>
                <w:szCs w:val="22"/>
              </w:rPr>
            </w:pPr>
            <w:r>
              <w:rPr>
                <w:sz w:val="22"/>
                <w:szCs w:val="22"/>
              </w:rPr>
              <w:t xml:space="preserve">Industry &amp; Year Dummies </w:t>
            </w:r>
          </w:p>
        </w:tc>
        <w:tc>
          <w:tcPr>
            <w:tcW w:w="1620" w:type="dxa"/>
            <w:tcBorders>
              <w:top w:val="nil"/>
              <w:left w:val="nil"/>
              <w:bottom w:val="single" w:sz="4" w:space="0" w:color="auto"/>
              <w:right w:val="nil"/>
            </w:tcBorders>
            <w:hideMark/>
          </w:tcPr>
          <w:p w14:paraId="4DAD0FB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620" w:type="dxa"/>
            <w:tcBorders>
              <w:top w:val="nil"/>
              <w:left w:val="nil"/>
              <w:bottom w:val="single" w:sz="4" w:space="0" w:color="auto"/>
              <w:right w:val="nil"/>
            </w:tcBorders>
            <w:hideMark/>
          </w:tcPr>
          <w:p w14:paraId="03410A9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620" w:type="dxa"/>
            <w:tcBorders>
              <w:top w:val="nil"/>
              <w:left w:val="nil"/>
              <w:bottom w:val="single" w:sz="4" w:space="0" w:color="auto"/>
              <w:right w:val="nil"/>
            </w:tcBorders>
            <w:hideMark/>
          </w:tcPr>
          <w:p w14:paraId="7141242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620" w:type="dxa"/>
            <w:tcBorders>
              <w:top w:val="nil"/>
              <w:left w:val="nil"/>
              <w:bottom w:val="single" w:sz="4" w:space="0" w:color="auto"/>
              <w:right w:val="nil"/>
            </w:tcBorders>
            <w:hideMark/>
          </w:tcPr>
          <w:p w14:paraId="6B1463A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r>
      <w:tr w:rsidR="00407106" w14:paraId="40B69404" w14:textId="77777777" w:rsidTr="00407106">
        <w:tc>
          <w:tcPr>
            <w:tcW w:w="2790" w:type="dxa"/>
            <w:tcBorders>
              <w:top w:val="single" w:sz="4" w:space="0" w:color="auto"/>
              <w:left w:val="nil"/>
              <w:bottom w:val="nil"/>
              <w:right w:val="nil"/>
            </w:tcBorders>
            <w:hideMark/>
          </w:tcPr>
          <w:p w14:paraId="7121BC3E" w14:textId="77777777" w:rsidR="00407106" w:rsidRDefault="00407106">
            <w:pPr>
              <w:widowControl w:val="0"/>
              <w:autoSpaceDE w:val="0"/>
              <w:autoSpaceDN w:val="0"/>
              <w:adjustRightInd w:val="0"/>
              <w:spacing w:after="0" w:line="240" w:lineRule="auto"/>
              <w:ind w:firstLine="0"/>
              <w:rPr>
                <w:sz w:val="22"/>
                <w:szCs w:val="22"/>
              </w:rPr>
            </w:pPr>
            <w:r>
              <w:rPr>
                <w:sz w:val="22"/>
                <w:szCs w:val="22"/>
              </w:rPr>
              <w:t>N</w:t>
            </w:r>
          </w:p>
        </w:tc>
        <w:tc>
          <w:tcPr>
            <w:tcW w:w="1620" w:type="dxa"/>
            <w:tcBorders>
              <w:top w:val="single" w:sz="4" w:space="0" w:color="auto"/>
              <w:left w:val="nil"/>
              <w:bottom w:val="nil"/>
              <w:right w:val="nil"/>
            </w:tcBorders>
            <w:hideMark/>
          </w:tcPr>
          <w:p w14:paraId="363F959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620" w:type="dxa"/>
            <w:tcBorders>
              <w:top w:val="single" w:sz="4" w:space="0" w:color="auto"/>
              <w:left w:val="nil"/>
              <w:bottom w:val="nil"/>
              <w:right w:val="nil"/>
            </w:tcBorders>
            <w:hideMark/>
          </w:tcPr>
          <w:p w14:paraId="405B112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620" w:type="dxa"/>
            <w:tcBorders>
              <w:top w:val="single" w:sz="4" w:space="0" w:color="auto"/>
              <w:left w:val="nil"/>
              <w:bottom w:val="nil"/>
              <w:right w:val="nil"/>
            </w:tcBorders>
            <w:hideMark/>
          </w:tcPr>
          <w:p w14:paraId="00AF028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620" w:type="dxa"/>
            <w:tcBorders>
              <w:top w:val="single" w:sz="4" w:space="0" w:color="auto"/>
              <w:left w:val="nil"/>
              <w:bottom w:val="nil"/>
              <w:right w:val="nil"/>
            </w:tcBorders>
            <w:hideMark/>
          </w:tcPr>
          <w:p w14:paraId="5501CA3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89,700</w:t>
            </w:r>
          </w:p>
        </w:tc>
      </w:tr>
      <w:tr w:rsidR="00407106" w14:paraId="42E34480" w14:textId="77777777" w:rsidTr="00407106">
        <w:tc>
          <w:tcPr>
            <w:tcW w:w="2790" w:type="dxa"/>
            <w:hideMark/>
          </w:tcPr>
          <w:p w14:paraId="37593711" w14:textId="77777777" w:rsidR="00407106" w:rsidRDefault="00407106">
            <w:pPr>
              <w:widowControl w:val="0"/>
              <w:autoSpaceDE w:val="0"/>
              <w:autoSpaceDN w:val="0"/>
              <w:adjustRightInd w:val="0"/>
              <w:spacing w:after="0" w:line="240" w:lineRule="auto"/>
              <w:ind w:firstLine="0"/>
              <w:rPr>
                <w:sz w:val="22"/>
                <w:szCs w:val="22"/>
              </w:rPr>
            </w:pPr>
            <w:r>
              <w:rPr>
                <w:sz w:val="22"/>
                <w:szCs w:val="22"/>
              </w:rPr>
              <w:t>Control Variables</w:t>
            </w:r>
          </w:p>
        </w:tc>
        <w:tc>
          <w:tcPr>
            <w:tcW w:w="1620" w:type="dxa"/>
            <w:hideMark/>
          </w:tcPr>
          <w:p w14:paraId="74A26A4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620" w:type="dxa"/>
            <w:hideMark/>
          </w:tcPr>
          <w:p w14:paraId="15D5181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620" w:type="dxa"/>
            <w:hideMark/>
          </w:tcPr>
          <w:p w14:paraId="2B09F79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620" w:type="dxa"/>
            <w:hideMark/>
          </w:tcPr>
          <w:p w14:paraId="386CD99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r>
      <w:tr w:rsidR="00407106" w14:paraId="794CC9D5" w14:textId="77777777" w:rsidTr="00407106">
        <w:tc>
          <w:tcPr>
            <w:tcW w:w="2790" w:type="dxa"/>
            <w:hideMark/>
          </w:tcPr>
          <w:p w14:paraId="23C7BE84" w14:textId="77777777" w:rsidR="00407106" w:rsidRDefault="00407106">
            <w:pPr>
              <w:widowControl w:val="0"/>
              <w:autoSpaceDE w:val="0"/>
              <w:autoSpaceDN w:val="0"/>
              <w:adjustRightInd w:val="0"/>
              <w:spacing w:after="0" w:line="240" w:lineRule="auto"/>
              <w:ind w:firstLine="0"/>
              <w:rPr>
                <w:sz w:val="22"/>
                <w:szCs w:val="22"/>
              </w:rPr>
            </w:pPr>
            <w:r>
              <w:rPr>
                <w:sz w:val="22"/>
                <w:szCs w:val="22"/>
              </w:rPr>
              <w:t>R-square</w:t>
            </w:r>
          </w:p>
        </w:tc>
        <w:tc>
          <w:tcPr>
            <w:tcW w:w="1620" w:type="dxa"/>
            <w:hideMark/>
          </w:tcPr>
          <w:p w14:paraId="40E4838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c>
          <w:tcPr>
            <w:tcW w:w="1620" w:type="dxa"/>
            <w:hideMark/>
          </w:tcPr>
          <w:p w14:paraId="1996A70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c>
          <w:tcPr>
            <w:tcW w:w="1620" w:type="dxa"/>
            <w:hideMark/>
          </w:tcPr>
          <w:p w14:paraId="4391F72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c>
          <w:tcPr>
            <w:tcW w:w="1620" w:type="dxa"/>
            <w:hideMark/>
          </w:tcPr>
          <w:p w14:paraId="51C4786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0.243</w:t>
            </w:r>
          </w:p>
        </w:tc>
      </w:tr>
      <w:tr w:rsidR="00407106" w14:paraId="336735DD" w14:textId="77777777" w:rsidTr="00407106">
        <w:tc>
          <w:tcPr>
            <w:tcW w:w="2790" w:type="dxa"/>
            <w:hideMark/>
          </w:tcPr>
          <w:p w14:paraId="11E7E139" w14:textId="77777777" w:rsidR="00407106" w:rsidRDefault="00407106">
            <w:pPr>
              <w:widowControl w:val="0"/>
              <w:autoSpaceDE w:val="0"/>
              <w:autoSpaceDN w:val="0"/>
              <w:adjustRightInd w:val="0"/>
              <w:spacing w:after="0" w:line="240" w:lineRule="auto"/>
              <w:ind w:firstLine="0"/>
              <w:rPr>
                <w:sz w:val="22"/>
                <w:szCs w:val="22"/>
              </w:rPr>
            </w:pPr>
            <w:r>
              <w:rPr>
                <w:sz w:val="22"/>
                <w:szCs w:val="22"/>
              </w:rPr>
              <w:t>Adj. R-square</w:t>
            </w:r>
          </w:p>
        </w:tc>
        <w:tc>
          <w:tcPr>
            <w:tcW w:w="1620" w:type="dxa"/>
            <w:hideMark/>
          </w:tcPr>
          <w:p w14:paraId="07B8107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c>
          <w:tcPr>
            <w:tcW w:w="1620" w:type="dxa"/>
            <w:hideMark/>
          </w:tcPr>
          <w:p w14:paraId="3B5C670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c>
          <w:tcPr>
            <w:tcW w:w="1620" w:type="dxa"/>
            <w:hideMark/>
          </w:tcPr>
          <w:p w14:paraId="62E8F0B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c>
          <w:tcPr>
            <w:tcW w:w="1620" w:type="dxa"/>
            <w:hideMark/>
          </w:tcPr>
          <w:p w14:paraId="1D67D51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0.243</w:t>
            </w:r>
          </w:p>
        </w:tc>
      </w:tr>
      <w:tr w:rsidR="00407106" w14:paraId="6465ABDB" w14:textId="77777777" w:rsidTr="00407106">
        <w:tc>
          <w:tcPr>
            <w:tcW w:w="2790" w:type="dxa"/>
            <w:hideMark/>
          </w:tcPr>
          <w:p w14:paraId="198A3CF3" w14:textId="77777777" w:rsidR="00407106" w:rsidRDefault="00407106">
            <w:pPr>
              <w:widowControl w:val="0"/>
              <w:autoSpaceDE w:val="0"/>
              <w:autoSpaceDN w:val="0"/>
              <w:adjustRightInd w:val="0"/>
              <w:spacing w:after="0" w:line="240" w:lineRule="auto"/>
              <w:ind w:firstLine="0"/>
              <w:jc w:val="left"/>
              <w:rPr>
                <w:sz w:val="20"/>
                <w:szCs w:val="20"/>
              </w:rPr>
            </w:pPr>
            <w:r>
              <w:rPr>
                <w:sz w:val="20"/>
                <w:szCs w:val="20"/>
              </w:rPr>
              <w:t>Equality of the two interactions</w:t>
            </w:r>
          </w:p>
        </w:tc>
        <w:tc>
          <w:tcPr>
            <w:tcW w:w="1620" w:type="dxa"/>
            <w:hideMark/>
          </w:tcPr>
          <w:p w14:paraId="6750EBB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17.286</w:t>
            </w:r>
          </w:p>
        </w:tc>
        <w:tc>
          <w:tcPr>
            <w:tcW w:w="1620" w:type="dxa"/>
            <w:hideMark/>
          </w:tcPr>
          <w:p w14:paraId="266F1F6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5.385</w:t>
            </w:r>
          </w:p>
        </w:tc>
        <w:tc>
          <w:tcPr>
            <w:tcW w:w="1620" w:type="dxa"/>
            <w:hideMark/>
          </w:tcPr>
          <w:p w14:paraId="1015539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620" w:type="dxa"/>
            <w:hideMark/>
          </w:tcPr>
          <w:p w14:paraId="1D33B9A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5.353</w:t>
            </w:r>
          </w:p>
        </w:tc>
      </w:tr>
      <w:tr w:rsidR="00407106" w14:paraId="47846828" w14:textId="77777777" w:rsidTr="00407106">
        <w:tc>
          <w:tcPr>
            <w:tcW w:w="2790" w:type="dxa"/>
            <w:tcBorders>
              <w:top w:val="nil"/>
              <w:left w:val="nil"/>
              <w:bottom w:val="single" w:sz="4" w:space="0" w:color="auto"/>
              <w:right w:val="nil"/>
            </w:tcBorders>
            <w:hideMark/>
          </w:tcPr>
          <w:p w14:paraId="2B7EE440" w14:textId="77777777" w:rsidR="00407106" w:rsidRDefault="00407106">
            <w:pPr>
              <w:widowControl w:val="0"/>
              <w:autoSpaceDE w:val="0"/>
              <w:autoSpaceDN w:val="0"/>
              <w:adjustRightInd w:val="0"/>
              <w:spacing w:after="0" w:line="240" w:lineRule="auto"/>
              <w:ind w:firstLine="0"/>
              <w:rPr>
                <w:sz w:val="22"/>
                <w:szCs w:val="22"/>
              </w:rPr>
            </w:pPr>
            <w:r>
              <w:rPr>
                <w:sz w:val="22"/>
                <w:szCs w:val="22"/>
              </w:rPr>
              <w:t>p-value</w:t>
            </w:r>
          </w:p>
        </w:tc>
        <w:tc>
          <w:tcPr>
            <w:tcW w:w="1620" w:type="dxa"/>
            <w:tcBorders>
              <w:top w:val="nil"/>
              <w:left w:val="nil"/>
              <w:bottom w:val="single" w:sz="4" w:space="0" w:color="auto"/>
              <w:right w:val="nil"/>
            </w:tcBorders>
            <w:hideMark/>
          </w:tcPr>
          <w:p w14:paraId="3E07301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0.000</w:t>
            </w:r>
          </w:p>
        </w:tc>
        <w:tc>
          <w:tcPr>
            <w:tcW w:w="1620" w:type="dxa"/>
            <w:tcBorders>
              <w:top w:val="nil"/>
              <w:left w:val="nil"/>
              <w:bottom w:val="single" w:sz="4" w:space="0" w:color="auto"/>
              <w:right w:val="nil"/>
            </w:tcBorders>
            <w:hideMark/>
          </w:tcPr>
          <w:p w14:paraId="34CD793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0.020</w:t>
            </w:r>
          </w:p>
        </w:tc>
        <w:tc>
          <w:tcPr>
            <w:tcW w:w="1620" w:type="dxa"/>
            <w:tcBorders>
              <w:top w:val="nil"/>
              <w:left w:val="nil"/>
              <w:bottom w:val="single" w:sz="4" w:space="0" w:color="auto"/>
              <w:right w:val="nil"/>
            </w:tcBorders>
            <w:hideMark/>
          </w:tcPr>
          <w:p w14:paraId="49B0F58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0.998</w:t>
            </w:r>
          </w:p>
        </w:tc>
        <w:tc>
          <w:tcPr>
            <w:tcW w:w="1620" w:type="dxa"/>
            <w:tcBorders>
              <w:top w:val="nil"/>
              <w:left w:val="nil"/>
              <w:bottom w:val="single" w:sz="4" w:space="0" w:color="auto"/>
              <w:right w:val="nil"/>
            </w:tcBorders>
            <w:hideMark/>
          </w:tcPr>
          <w:p w14:paraId="24C8D44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0.021</w:t>
            </w:r>
          </w:p>
        </w:tc>
      </w:tr>
    </w:tbl>
    <w:p w14:paraId="3D9CA17F" w14:textId="77777777" w:rsidR="00407106" w:rsidRDefault="00407106" w:rsidP="00407106">
      <w:pPr>
        <w:keepNext/>
        <w:widowControl w:val="0"/>
        <w:autoSpaceDE w:val="0"/>
        <w:autoSpaceDN w:val="0"/>
        <w:adjustRightInd w:val="0"/>
        <w:spacing w:after="0" w:line="240" w:lineRule="auto"/>
        <w:ind w:firstLine="0"/>
        <w:jc w:val="center"/>
        <w:rPr>
          <w:b/>
        </w:rPr>
      </w:pPr>
    </w:p>
    <w:p w14:paraId="3CEC4C3F" w14:textId="77777777" w:rsidR="00407106" w:rsidRDefault="00407106" w:rsidP="00407106">
      <w:pPr>
        <w:keepNext/>
        <w:widowControl w:val="0"/>
        <w:autoSpaceDE w:val="0"/>
        <w:autoSpaceDN w:val="0"/>
        <w:adjustRightInd w:val="0"/>
        <w:spacing w:after="0" w:line="240" w:lineRule="auto"/>
        <w:ind w:firstLine="0"/>
        <w:jc w:val="center"/>
      </w:pPr>
    </w:p>
    <w:p w14:paraId="5035CED3" w14:textId="77777777" w:rsidR="00407106" w:rsidRDefault="00407106" w:rsidP="00407106">
      <w:pPr>
        <w:spacing w:line="276" w:lineRule="auto"/>
        <w:ind w:firstLine="0"/>
        <w:jc w:val="left"/>
        <w:rPr>
          <w:b/>
        </w:rPr>
      </w:pPr>
      <w:r>
        <w:rPr>
          <w:b/>
        </w:rPr>
        <w:br w:type="page"/>
      </w:r>
    </w:p>
    <w:p w14:paraId="3B4C487F" w14:textId="77777777" w:rsidR="00407106" w:rsidRDefault="00407106" w:rsidP="00407106">
      <w:pPr>
        <w:keepNext/>
        <w:widowControl w:val="0"/>
        <w:autoSpaceDE w:val="0"/>
        <w:autoSpaceDN w:val="0"/>
        <w:adjustRightInd w:val="0"/>
        <w:spacing w:after="160" w:line="240" w:lineRule="auto"/>
        <w:ind w:firstLine="0"/>
      </w:pPr>
      <w:r>
        <w:rPr>
          <w:b/>
        </w:rPr>
        <w:lastRenderedPageBreak/>
        <w:t>Panel B:</w:t>
      </w:r>
      <w:r>
        <w:t xml:space="preserve"> Accounting reporting complexity based on derivatives.</w:t>
      </w:r>
    </w:p>
    <w:tbl>
      <w:tblPr>
        <w:tblW w:w="0" w:type="auto"/>
        <w:tblLayout w:type="fixed"/>
        <w:tblLook w:val="04A0" w:firstRow="1" w:lastRow="0" w:firstColumn="1" w:lastColumn="0" w:noHBand="0" w:noVBand="1"/>
      </w:tblPr>
      <w:tblGrid>
        <w:gridCol w:w="3216"/>
        <w:gridCol w:w="1513"/>
        <w:gridCol w:w="1514"/>
        <w:gridCol w:w="1513"/>
        <w:gridCol w:w="1514"/>
      </w:tblGrid>
      <w:tr w:rsidR="00407106" w14:paraId="2DFE23EB" w14:textId="77777777" w:rsidTr="00407106">
        <w:trPr>
          <w:trHeight w:hRule="exact" w:val="360"/>
        </w:trPr>
        <w:tc>
          <w:tcPr>
            <w:tcW w:w="3216" w:type="dxa"/>
            <w:tcBorders>
              <w:top w:val="single" w:sz="4" w:space="0" w:color="auto"/>
              <w:left w:val="nil"/>
              <w:bottom w:val="single" w:sz="4" w:space="0" w:color="auto"/>
              <w:right w:val="nil"/>
            </w:tcBorders>
            <w:vAlign w:val="center"/>
            <w:hideMark/>
          </w:tcPr>
          <w:p w14:paraId="788613CA"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6054" w:type="dxa"/>
            <w:gridSpan w:val="4"/>
            <w:tcBorders>
              <w:top w:val="single" w:sz="4" w:space="0" w:color="auto"/>
              <w:left w:val="nil"/>
              <w:bottom w:val="single" w:sz="4" w:space="0" w:color="auto"/>
              <w:right w:val="nil"/>
            </w:tcBorders>
            <w:vAlign w:val="center"/>
            <w:hideMark/>
          </w:tcPr>
          <w:p w14:paraId="4AB21C8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 × |Forecast Error|</w:t>
            </w:r>
          </w:p>
        </w:tc>
      </w:tr>
      <w:tr w:rsidR="00407106" w14:paraId="5FD7261A" w14:textId="77777777" w:rsidTr="00407106">
        <w:trPr>
          <w:trHeight w:hRule="exact" w:val="360"/>
        </w:trPr>
        <w:tc>
          <w:tcPr>
            <w:tcW w:w="3216" w:type="dxa"/>
            <w:tcBorders>
              <w:top w:val="single" w:sz="4" w:space="0" w:color="auto"/>
              <w:left w:val="nil"/>
              <w:bottom w:val="single" w:sz="4" w:space="0" w:color="auto"/>
              <w:right w:val="nil"/>
            </w:tcBorders>
            <w:vAlign w:val="center"/>
          </w:tcPr>
          <w:p w14:paraId="09B4A7EB"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tcBorders>
              <w:top w:val="single" w:sz="4" w:space="0" w:color="auto"/>
              <w:left w:val="nil"/>
              <w:bottom w:val="single" w:sz="4" w:space="0" w:color="auto"/>
              <w:right w:val="nil"/>
            </w:tcBorders>
            <w:vAlign w:val="center"/>
            <w:hideMark/>
          </w:tcPr>
          <w:p w14:paraId="729AA90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1514" w:type="dxa"/>
            <w:tcBorders>
              <w:top w:val="single" w:sz="4" w:space="0" w:color="auto"/>
              <w:left w:val="nil"/>
              <w:bottom w:val="single" w:sz="4" w:space="0" w:color="auto"/>
              <w:right w:val="nil"/>
            </w:tcBorders>
            <w:vAlign w:val="center"/>
            <w:hideMark/>
          </w:tcPr>
          <w:p w14:paraId="3253566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1513" w:type="dxa"/>
            <w:tcBorders>
              <w:top w:val="single" w:sz="4" w:space="0" w:color="auto"/>
              <w:left w:val="nil"/>
              <w:bottom w:val="single" w:sz="4" w:space="0" w:color="auto"/>
              <w:right w:val="nil"/>
            </w:tcBorders>
            <w:vAlign w:val="center"/>
            <w:hideMark/>
          </w:tcPr>
          <w:p w14:paraId="42264D6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c>
          <w:tcPr>
            <w:tcW w:w="1514" w:type="dxa"/>
            <w:tcBorders>
              <w:top w:val="single" w:sz="4" w:space="0" w:color="auto"/>
              <w:left w:val="nil"/>
              <w:bottom w:val="single" w:sz="4" w:space="0" w:color="auto"/>
              <w:right w:val="nil"/>
            </w:tcBorders>
            <w:vAlign w:val="center"/>
            <w:hideMark/>
          </w:tcPr>
          <w:p w14:paraId="5274A47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w:t>
            </w:r>
          </w:p>
        </w:tc>
      </w:tr>
      <w:tr w:rsidR="00407106" w14:paraId="16328903" w14:textId="77777777" w:rsidTr="00407106">
        <w:tc>
          <w:tcPr>
            <w:tcW w:w="3216" w:type="dxa"/>
            <w:tcBorders>
              <w:top w:val="single" w:sz="4" w:space="0" w:color="auto"/>
              <w:left w:val="nil"/>
              <w:bottom w:val="nil"/>
              <w:right w:val="nil"/>
            </w:tcBorders>
            <w:hideMark/>
          </w:tcPr>
          <w:p w14:paraId="5BDD935A"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Accounting complexity:</w:t>
            </w:r>
          </w:p>
        </w:tc>
        <w:tc>
          <w:tcPr>
            <w:tcW w:w="1513" w:type="dxa"/>
            <w:tcBorders>
              <w:top w:val="single" w:sz="4" w:space="0" w:color="auto"/>
              <w:left w:val="nil"/>
              <w:bottom w:val="nil"/>
              <w:right w:val="nil"/>
            </w:tcBorders>
          </w:tcPr>
          <w:p w14:paraId="5E6AD0B7"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Borders>
              <w:top w:val="single" w:sz="4" w:space="0" w:color="auto"/>
              <w:left w:val="nil"/>
              <w:bottom w:val="nil"/>
              <w:right w:val="nil"/>
            </w:tcBorders>
          </w:tcPr>
          <w:p w14:paraId="42D5E156"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tcBorders>
              <w:top w:val="single" w:sz="4" w:space="0" w:color="auto"/>
              <w:left w:val="nil"/>
              <w:bottom w:val="nil"/>
              <w:right w:val="nil"/>
            </w:tcBorders>
          </w:tcPr>
          <w:p w14:paraId="22326674"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Borders>
              <w:top w:val="single" w:sz="4" w:space="0" w:color="auto"/>
              <w:left w:val="nil"/>
              <w:bottom w:val="nil"/>
              <w:right w:val="nil"/>
            </w:tcBorders>
          </w:tcPr>
          <w:p w14:paraId="02912B30"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6E75AF6" w14:textId="77777777" w:rsidTr="00407106">
        <w:tc>
          <w:tcPr>
            <w:tcW w:w="3216" w:type="dxa"/>
            <w:hideMark/>
          </w:tcPr>
          <w:p w14:paraId="2BBEF0E4"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ARC-DERIV</w:t>
            </w:r>
          </w:p>
        </w:tc>
        <w:tc>
          <w:tcPr>
            <w:tcW w:w="1513" w:type="dxa"/>
            <w:hideMark/>
          </w:tcPr>
          <w:p w14:paraId="572C192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-0.239***</w:t>
            </w:r>
          </w:p>
        </w:tc>
        <w:tc>
          <w:tcPr>
            <w:tcW w:w="1514" w:type="dxa"/>
            <w:hideMark/>
          </w:tcPr>
          <w:p w14:paraId="51CE654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-0.237***</w:t>
            </w:r>
          </w:p>
        </w:tc>
        <w:tc>
          <w:tcPr>
            <w:tcW w:w="1513" w:type="dxa"/>
            <w:hideMark/>
          </w:tcPr>
          <w:p w14:paraId="760F584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-0.245***</w:t>
            </w:r>
          </w:p>
        </w:tc>
        <w:tc>
          <w:tcPr>
            <w:tcW w:w="1514" w:type="dxa"/>
            <w:hideMark/>
          </w:tcPr>
          <w:p w14:paraId="45B9E08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-0.234***</w:t>
            </w:r>
          </w:p>
        </w:tc>
      </w:tr>
      <w:tr w:rsidR="00407106" w14:paraId="620FAD13" w14:textId="77777777" w:rsidTr="00407106">
        <w:tc>
          <w:tcPr>
            <w:tcW w:w="3216" w:type="dxa"/>
          </w:tcPr>
          <w:p w14:paraId="74994084" w14:textId="77777777" w:rsidR="00407106" w:rsidRDefault="00407106">
            <w:pPr>
              <w:widowControl w:val="0"/>
              <w:autoSpaceDE w:val="0"/>
              <w:autoSpaceDN w:val="0"/>
              <w:adjustRightInd w:val="0"/>
              <w:spacing w:after="0" w:line="240" w:lineRule="auto"/>
              <w:ind w:firstLine="0"/>
              <w:rPr>
                <w:i/>
                <w:sz w:val="22"/>
                <w:szCs w:val="22"/>
              </w:rPr>
            </w:pPr>
          </w:p>
        </w:tc>
        <w:tc>
          <w:tcPr>
            <w:tcW w:w="1513" w:type="dxa"/>
            <w:hideMark/>
          </w:tcPr>
          <w:p w14:paraId="364D0E2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(-5.94)</w:t>
            </w:r>
          </w:p>
        </w:tc>
        <w:tc>
          <w:tcPr>
            <w:tcW w:w="1514" w:type="dxa"/>
            <w:hideMark/>
          </w:tcPr>
          <w:p w14:paraId="4524ADE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(-5.80)</w:t>
            </w:r>
          </w:p>
        </w:tc>
        <w:tc>
          <w:tcPr>
            <w:tcW w:w="1513" w:type="dxa"/>
            <w:hideMark/>
          </w:tcPr>
          <w:p w14:paraId="2B31736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(-6.07)</w:t>
            </w:r>
          </w:p>
        </w:tc>
        <w:tc>
          <w:tcPr>
            <w:tcW w:w="1514" w:type="dxa"/>
            <w:hideMark/>
          </w:tcPr>
          <w:p w14:paraId="23251E7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(-5.59)</w:t>
            </w:r>
          </w:p>
        </w:tc>
      </w:tr>
      <w:tr w:rsidR="00407106" w14:paraId="02EA81FA" w14:textId="77777777" w:rsidTr="00407106">
        <w:tc>
          <w:tcPr>
            <w:tcW w:w="3216" w:type="dxa"/>
            <w:hideMark/>
          </w:tcPr>
          <w:p w14:paraId="0E6FA1EC"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GEXP</w:t>
            </w:r>
          </w:p>
        </w:tc>
        <w:tc>
          <w:tcPr>
            <w:tcW w:w="1513" w:type="dxa"/>
            <w:hideMark/>
          </w:tcPr>
          <w:p w14:paraId="6BA3A36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0.075***</w:t>
            </w:r>
          </w:p>
        </w:tc>
        <w:tc>
          <w:tcPr>
            <w:tcW w:w="1514" w:type="dxa"/>
          </w:tcPr>
          <w:p w14:paraId="7FC0FAB0"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tcPr>
          <w:p w14:paraId="295E2268"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1B5ABBFC"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7DC656E5" w14:textId="77777777" w:rsidTr="00407106">
        <w:tc>
          <w:tcPr>
            <w:tcW w:w="3216" w:type="dxa"/>
          </w:tcPr>
          <w:p w14:paraId="7988F59C" w14:textId="77777777" w:rsidR="00407106" w:rsidRDefault="00407106">
            <w:pPr>
              <w:widowControl w:val="0"/>
              <w:autoSpaceDE w:val="0"/>
              <w:autoSpaceDN w:val="0"/>
              <w:adjustRightInd w:val="0"/>
              <w:spacing w:after="0" w:line="240" w:lineRule="auto"/>
              <w:ind w:firstLine="0"/>
              <w:rPr>
                <w:i/>
                <w:sz w:val="22"/>
                <w:szCs w:val="22"/>
              </w:rPr>
            </w:pPr>
          </w:p>
        </w:tc>
        <w:tc>
          <w:tcPr>
            <w:tcW w:w="1513" w:type="dxa"/>
            <w:hideMark/>
          </w:tcPr>
          <w:p w14:paraId="16435EC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(5.56)</w:t>
            </w:r>
          </w:p>
        </w:tc>
        <w:tc>
          <w:tcPr>
            <w:tcW w:w="1514" w:type="dxa"/>
          </w:tcPr>
          <w:p w14:paraId="3198DC6E"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tcPr>
          <w:p w14:paraId="504D2866"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3B13B2FD"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507A842" w14:textId="77777777" w:rsidTr="00407106">
        <w:tc>
          <w:tcPr>
            <w:tcW w:w="3216" w:type="dxa"/>
            <w:hideMark/>
          </w:tcPr>
          <w:p w14:paraId="3D0077DE"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ARC-DERIV X GEXP</w:t>
            </w:r>
          </w:p>
        </w:tc>
        <w:tc>
          <w:tcPr>
            <w:tcW w:w="1513" w:type="dxa"/>
            <w:hideMark/>
          </w:tcPr>
          <w:p w14:paraId="5603500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0.003</w:t>
            </w:r>
          </w:p>
        </w:tc>
        <w:tc>
          <w:tcPr>
            <w:tcW w:w="1514" w:type="dxa"/>
          </w:tcPr>
          <w:p w14:paraId="5822B260"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tcPr>
          <w:p w14:paraId="4621FACB"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209F297F"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3E6D756" w14:textId="77777777" w:rsidTr="00407106">
        <w:tc>
          <w:tcPr>
            <w:tcW w:w="3216" w:type="dxa"/>
          </w:tcPr>
          <w:p w14:paraId="61CEAB84" w14:textId="77777777" w:rsidR="00407106" w:rsidRDefault="00407106">
            <w:pPr>
              <w:widowControl w:val="0"/>
              <w:autoSpaceDE w:val="0"/>
              <w:autoSpaceDN w:val="0"/>
              <w:adjustRightInd w:val="0"/>
              <w:spacing w:after="0" w:line="240" w:lineRule="auto"/>
              <w:ind w:firstLine="0"/>
              <w:rPr>
                <w:i/>
                <w:sz w:val="22"/>
                <w:szCs w:val="22"/>
              </w:rPr>
            </w:pPr>
          </w:p>
        </w:tc>
        <w:tc>
          <w:tcPr>
            <w:tcW w:w="1513" w:type="dxa"/>
            <w:hideMark/>
          </w:tcPr>
          <w:p w14:paraId="5096C1F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(0.17)</w:t>
            </w:r>
          </w:p>
        </w:tc>
        <w:tc>
          <w:tcPr>
            <w:tcW w:w="1514" w:type="dxa"/>
          </w:tcPr>
          <w:p w14:paraId="429CFB59"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tcPr>
          <w:p w14:paraId="1B636984"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4FD39ACF"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C369F5A" w14:textId="77777777" w:rsidTr="00407106">
        <w:tc>
          <w:tcPr>
            <w:tcW w:w="3216" w:type="dxa"/>
            <w:hideMark/>
          </w:tcPr>
          <w:p w14:paraId="49DFB371"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FEXP</w:t>
            </w:r>
          </w:p>
        </w:tc>
        <w:tc>
          <w:tcPr>
            <w:tcW w:w="1513" w:type="dxa"/>
          </w:tcPr>
          <w:p w14:paraId="25F3CE8B"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hideMark/>
          </w:tcPr>
          <w:p w14:paraId="154771D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-0.007</w:t>
            </w:r>
          </w:p>
        </w:tc>
        <w:tc>
          <w:tcPr>
            <w:tcW w:w="1513" w:type="dxa"/>
          </w:tcPr>
          <w:p w14:paraId="70E6A8DB"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5BE8C767"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7BE6398C" w14:textId="77777777" w:rsidTr="00407106">
        <w:tc>
          <w:tcPr>
            <w:tcW w:w="3216" w:type="dxa"/>
          </w:tcPr>
          <w:p w14:paraId="268BE683" w14:textId="77777777" w:rsidR="00407106" w:rsidRDefault="00407106">
            <w:pPr>
              <w:widowControl w:val="0"/>
              <w:autoSpaceDE w:val="0"/>
              <w:autoSpaceDN w:val="0"/>
              <w:adjustRightInd w:val="0"/>
              <w:spacing w:after="0" w:line="240" w:lineRule="auto"/>
              <w:ind w:firstLine="0"/>
              <w:rPr>
                <w:i/>
                <w:sz w:val="22"/>
                <w:szCs w:val="22"/>
              </w:rPr>
            </w:pPr>
          </w:p>
        </w:tc>
        <w:tc>
          <w:tcPr>
            <w:tcW w:w="1513" w:type="dxa"/>
          </w:tcPr>
          <w:p w14:paraId="6016E683"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hideMark/>
          </w:tcPr>
          <w:p w14:paraId="69960EE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(-0.44)</w:t>
            </w:r>
          </w:p>
        </w:tc>
        <w:tc>
          <w:tcPr>
            <w:tcW w:w="1513" w:type="dxa"/>
          </w:tcPr>
          <w:p w14:paraId="3CC66931"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22BE5C43"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3E18E19" w14:textId="77777777" w:rsidTr="00407106">
        <w:tc>
          <w:tcPr>
            <w:tcW w:w="3216" w:type="dxa"/>
            <w:hideMark/>
          </w:tcPr>
          <w:p w14:paraId="4A3AAD70"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ARC-DERIV X FEXP</w:t>
            </w:r>
          </w:p>
        </w:tc>
        <w:tc>
          <w:tcPr>
            <w:tcW w:w="1513" w:type="dxa"/>
          </w:tcPr>
          <w:p w14:paraId="481C8C03"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hideMark/>
          </w:tcPr>
          <w:p w14:paraId="0A341F4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0.091***</w:t>
            </w:r>
          </w:p>
        </w:tc>
        <w:tc>
          <w:tcPr>
            <w:tcW w:w="1513" w:type="dxa"/>
          </w:tcPr>
          <w:p w14:paraId="0CA034D2"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791709D8"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1DA7ADF" w14:textId="77777777" w:rsidTr="00407106">
        <w:tc>
          <w:tcPr>
            <w:tcW w:w="3216" w:type="dxa"/>
          </w:tcPr>
          <w:p w14:paraId="7F14F479" w14:textId="77777777" w:rsidR="00407106" w:rsidRDefault="00407106">
            <w:pPr>
              <w:widowControl w:val="0"/>
              <w:autoSpaceDE w:val="0"/>
              <w:autoSpaceDN w:val="0"/>
              <w:adjustRightInd w:val="0"/>
              <w:spacing w:after="0" w:line="240" w:lineRule="auto"/>
              <w:ind w:firstLine="0"/>
              <w:rPr>
                <w:i/>
                <w:sz w:val="22"/>
                <w:szCs w:val="22"/>
              </w:rPr>
            </w:pPr>
          </w:p>
        </w:tc>
        <w:tc>
          <w:tcPr>
            <w:tcW w:w="1513" w:type="dxa"/>
          </w:tcPr>
          <w:p w14:paraId="61F3CA47"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hideMark/>
          </w:tcPr>
          <w:p w14:paraId="60A3FD9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(5.18)</w:t>
            </w:r>
          </w:p>
        </w:tc>
        <w:tc>
          <w:tcPr>
            <w:tcW w:w="1513" w:type="dxa"/>
          </w:tcPr>
          <w:p w14:paraId="0E44E7CC"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047D3157"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8169ED6" w14:textId="77777777" w:rsidTr="00407106">
        <w:tc>
          <w:tcPr>
            <w:tcW w:w="3216" w:type="dxa"/>
            <w:hideMark/>
          </w:tcPr>
          <w:p w14:paraId="45A8938E"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INDFOCUS</w:t>
            </w:r>
          </w:p>
        </w:tc>
        <w:tc>
          <w:tcPr>
            <w:tcW w:w="1513" w:type="dxa"/>
          </w:tcPr>
          <w:p w14:paraId="6F31808E"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591DBCD9"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hideMark/>
          </w:tcPr>
          <w:p w14:paraId="64E2B50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0.022</w:t>
            </w:r>
          </w:p>
        </w:tc>
        <w:tc>
          <w:tcPr>
            <w:tcW w:w="1514" w:type="dxa"/>
          </w:tcPr>
          <w:p w14:paraId="6847084F"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C7BFA91" w14:textId="77777777" w:rsidTr="00407106">
        <w:tc>
          <w:tcPr>
            <w:tcW w:w="3216" w:type="dxa"/>
          </w:tcPr>
          <w:p w14:paraId="66D82CF0" w14:textId="77777777" w:rsidR="00407106" w:rsidRDefault="00407106">
            <w:pPr>
              <w:widowControl w:val="0"/>
              <w:autoSpaceDE w:val="0"/>
              <w:autoSpaceDN w:val="0"/>
              <w:adjustRightInd w:val="0"/>
              <w:spacing w:after="0" w:line="240" w:lineRule="auto"/>
              <w:ind w:firstLine="0"/>
              <w:rPr>
                <w:i/>
                <w:sz w:val="22"/>
                <w:szCs w:val="22"/>
              </w:rPr>
            </w:pPr>
          </w:p>
        </w:tc>
        <w:tc>
          <w:tcPr>
            <w:tcW w:w="1513" w:type="dxa"/>
          </w:tcPr>
          <w:p w14:paraId="0E40F20B"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6C925753"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hideMark/>
          </w:tcPr>
          <w:p w14:paraId="452D085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(0.40)</w:t>
            </w:r>
          </w:p>
        </w:tc>
        <w:tc>
          <w:tcPr>
            <w:tcW w:w="1514" w:type="dxa"/>
          </w:tcPr>
          <w:p w14:paraId="6BA678FA"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7FDC231F" w14:textId="77777777" w:rsidTr="00407106">
        <w:tc>
          <w:tcPr>
            <w:tcW w:w="3216" w:type="dxa"/>
            <w:hideMark/>
          </w:tcPr>
          <w:p w14:paraId="6B486E4E"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ARC-DERIV X INDFOCUS</w:t>
            </w:r>
          </w:p>
        </w:tc>
        <w:tc>
          <w:tcPr>
            <w:tcW w:w="1513" w:type="dxa"/>
          </w:tcPr>
          <w:p w14:paraId="54BC9A40"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62766316"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hideMark/>
          </w:tcPr>
          <w:p w14:paraId="72C43B0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-0.003</w:t>
            </w:r>
          </w:p>
        </w:tc>
        <w:tc>
          <w:tcPr>
            <w:tcW w:w="1514" w:type="dxa"/>
          </w:tcPr>
          <w:p w14:paraId="6D1954EE"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91B3957" w14:textId="77777777" w:rsidTr="00407106">
        <w:tc>
          <w:tcPr>
            <w:tcW w:w="3216" w:type="dxa"/>
          </w:tcPr>
          <w:p w14:paraId="3B3C556C" w14:textId="77777777" w:rsidR="00407106" w:rsidRDefault="00407106">
            <w:pPr>
              <w:widowControl w:val="0"/>
              <w:autoSpaceDE w:val="0"/>
              <w:autoSpaceDN w:val="0"/>
              <w:adjustRightInd w:val="0"/>
              <w:spacing w:after="0" w:line="240" w:lineRule="auto"/>
              <w:ind w:firstLine="0"/>
              <w:rPr>
                <w:i/>
                <w:sz w:val="22"/>
                <w:szCs w:val="22"/>
              </w:rPr>
            </w:pPr>
          </w:p>
        </w:tc>
        <w:tc>
          <w:tcPr>
            <w:tcW w:w="1513" w:type="dxa"/>
          </w:tcPr>
          <w:p w14:paraId="14A5DF23"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3A6DFF75"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hideMark/>
          </w:tcPr>
          <w:p w14:paraId="28EDF8C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(-0.06)</w:t>
            </w:r>
          </w:p>
        </w:tc>
        <w:tc>
          <w:tcPr>
            <w:tcW w:w="1514" w:type="dxa"/>
          </w:tcPr>
          <w:p w14:paraId="4C6CE85E"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A2BE2F0" w14:textId="77777777" w:rsidTr="00407106">
        <w:tc>
          <w:tcPr>
            <w:tcW w:w="3216" w:type="dxa"/>
            <w:hideMark/>
          </w:tcPr>
          <w:p w14:paraId="74737440"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CFA</w:t>
            </w:r>
          </w:p>
        </w:tc>
        <w:tc>
          <w:tcPr>
            <w:tcW w:w="1513" w:type="dxa"/>
          </w:tcPr>
          <w:p w14:paraId="0C3FBD8E"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04579F45"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tcPr>
          <w:p w14:paraId="3085D3C3"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hideMark/>
          </w:tcPr>
          <w:p w14:paraId="1919B47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0.069***</w:t>
            </w:r>
          </w:p>
        </w:tc>
      </w:tr>
      <w:tr w:rsidR="00407106" w14:paraId="080FD211" w14:textId="77777777" w:rsidTr="00407106">
        <w:tc>
          <w:tcPr>
            <w:tcW w:w="3216" w:type="dxa"/>
          </w:tcPr>
          <w:p w14:paraId="50ADD825" w14:textId="77777777" w:rsidR="00407106" w:rsidRDefault="00407106">
            <w:pPr>
              <w:widowControl w:val="0"/>
              <w:autoSpaceDE w:val="0"/>
              <w:autoSpaceDN w:val="0"/>
              <w:adjustRightInd w:val="0"/>
              <w:spacing w:after="0" w:line="240" w:lineRule="auto"/>
              <w:ind w:firstLine="0"/>
              <w:rPr>
                <w:i/>
                <w:sz w:val="22"/>
                <w:szCs w:val="22"/>
              </w:rPr>
            </w:pPr>
          </w:p>
        </w:tc>
        <w:tc>
          <w:tcPr>
            <w:tcW w:w="1513" w:type="dxa"/>
          </w:tcPr>
          <w:p w14:paraId="3849DDCE"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04CF03ED"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tcPr>
          <w:p w14:paraId="14D657A5"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hideMark/>
          </w:tcPr>
          <w:p w14:paraId="7DECFF6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(3.06)</w:t>
            </w:r>
          </w:p>
        </w:tc>
      </w:tr>
      <w:tr w:rsidR="00407106" w14:paraId="0DEE5A4D" w14:textId="77777777" w:rsidTr="00407106">
        <w:tc>
          <w:tcPr>
            <w:tcW w:w="3216" w:type="dxa"/>
            <w:hideMark/>
          </w:tcPr>
          <w:p w14:paraId="61FA8527"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ARC-DERIV X CFA</w:t>
            </w:r>
          </w:p>
        </w:tc>
        <w:tc>
          <w:tcPr>
            <w:tcW w:w="1513" w:type="dxa"/>
          </w:tcPr>
          <w:p w14:paraId="62D32519"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59431A8E"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tcPr>
          <w:p w14:paraId="7E5E97B1"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hideMark/>
          </w:tcPr>
          <w:p w14:paraId="0DEE66E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0.033*</w:t>
            </w:r>
          </w:p>
        </w:tc>
      </w:tr>
      <w:tr w:rsidR="00407106" w14:paraId="0F925E9C" w14:textId="77777777" w:rsidTr="00407106">
        <w:tc>
          <w:tcPr>
            <w:tcW w:w="3216" w:type="dxa"/>
          </w:tcPr>
          <w:p w14:paraId="0C0B0029" w14:textId="77777777" w:rsidR="00407106" w:rsidRDefault="00407106">
            <w:pPr>
              <w:widowControl w:val="0"/>
              <w:autoSpaceDE w:val="0"/>
              <w:autoSpaceDN w:val="0"/>
              <w:adjustRightInd w:val="0"/>
              <w:spacing w:after="0" w:line="240" w:lineRule="auto"/>
              <w:ind w:firstLine="0"/>
              <w:rPr>
                <w:i/>
                <w:sz w:val="22"/>
                <w:szCs w:val="22"/>
              </w:rPr>
            </w:pPr>
          </w:p>
        </w:tc>
        <w:tc>
          <w:tcPr>
            <w:tcW w:w="1513" w:type="dxa"/>
          </w:tcPr>
          <w:p w14:paraId="1D11E39D"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tcPr>
          <w:p w14:paraId="5255B2C9" w14:textId="77777777" w:rsidR="00407106" w:rsidRDefault="00407106">
            <w:pPr>
              <w:widowControl w:val="0"/>
              <w:autoSpaceDE w:val="0"/>
              <w:autoSpaceDN w:val="0"/>
              <w:adjustRightInd w:val="0"/>
              <w:spacing w:after="0" w:line="240" w:lineRule="auto"/>
              <w:ind w:firstLine="0"/>
              <w:jc w:val="center"/>
              <w:rPr>
                <w:sz w:val="22"/>
                <w:szCs w:val="22"/>
              </w:rPr>
            </w:pPr>
          </w:p>
        </w:tc>
        <w:tc>
          <w:tcPr>
            <w:tcW w:w="1513" w:type="dxa"/>
          </w:tcPr>
          <w:p w14:paraId="3CB89E10" w14:textId="77777777" w:rsidR="00407106" w:rsidRDefault="00407106">
            <w:pPr>
              <w:widowControl w:val="0"/>
              <w:autoSpaceDE w:val="0"/>
              <w:autoSpaceDN w:val="0"/>
              <w:adjustRightInd w:val="0"/>
              <w:spacing w:after="0" w:line="240" w:lineRule="auto"/>
              <w:ind w:firstLine="0"/>
              <w:jc w:val="center"/>
              <w:rPr>
                <w:sz w:val="22"/>
                <w:szCs w:val="22"/>
              </w:rPr>
            </w:pPr>
          </w:p>
        </w:tc>
        <w:tc>
          <w:tcPr>
            <w:tcW w:w="1514" w:type="dxa"/>
            <w:hideMark/>
          </w:tcPr>
          <w:p w14:paraId="1194ABE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(1.65)</w:t>
            </w:r>
          </w:p>
        </w:tc>
      </w:tr>
      <w:tr w:rsidR="00407106" w14:paraId="1621ADEE" w14:textId="77777777" w:rsidTr="00407106">
        <w:tc>
          <w:tcPr>
            <w:tcW w:w="3216" w:type="dxa"/>
            <w:hideMark/>
          </w:tcPr>
          <w:p w14:paraId="7D443CEB"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EXPRT-DERIV</w:t>
            </w:r>
          </w:p>
        </w:tc>
        <w:tc>
          <w:tcPr>
            <w:tcW w:w="1513" w:type="dxa"/>
            <w:hideMark/>
          </w:tcPr>
          <w:p w14:paraId="3DE1F0B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0.060**</w:t>
            </w:r>
          </w:p>
        </w:tc>
        <w:tc>
          <w:tcPr>
            <w:tcW w:w="1514" w:type="dxa"/>
            <w:hideMark/>
          </w:tcPr>
          <w:p w14:paraId="1FDB90B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0.083***</w:t>
            </w:r>
          </w:p>
        </w:tc>
        <w:tc>
          <w:tcPr>
            <w:tcW w:w="1513" w:type="dxa"/>
            <w:hideMark/>
          </w:tcPr>
          <w:p w14:paraId="454C85B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0.087***</w:t>
            </w:r>
          </w:p>
        </w:tc>
        <w:tc>
          <w:tcPr>
            <w:tcW w:w="1514" w:type="dxa"/>
            <w:hideMark/>
          </w:tcPr>
          <w:p w14:paraId="23B29C4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0.041</w:t>
            </w:r>
          </w:p>
        </w:tc>
      </w:tr>
      <w:tr w:rsidR="00407106" w14:paraId="7799E3F2" w14:textId="77777777" w:rsidTr="00407106">
        <w:tc>
          <w:tcPr>
            <w:tcW w:w="3216" w:type="dxa"/>
          </w:tcPr>
          <w:p w14:paraId="251A330B" w14:textId="77777777" w:rsidR="00407106" w:rsidRDefault="00407106">
            <w:pPr>
              <w:widowControl w:val="0"/>
              <w:autoSpaceDE w:val="0"/>
              <w:autoSpaceDN w:val="0"/>
              <w:adjustRightInd w:val="0"/>
              <w:spacing w:after="0" w:line="240" w:lineRule="auto"/>
              <w:ind w:firstLine="0"/>
              <w:rPr>
                <w:i/>
                <w:sz w:val="22"/>
                <w:szCs w:val="22"/>
              </w:rPr>
            </w:pPr>
          </w:p>
        </w:tc>
        <w:tc>
          <w:tcPr>
            <w:tcW w:w="1513" w:type="dxa"/>
            <w:hideMark/>
          </w:tcPr>
          <w:p w14:paraId="7924ED9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(2.14)</w:t>
            </w:r>
          </w:p>
        </w:tc>
        <w:tc>
          <w:tcPr>
            <w:tcW w:w="1514" w:type="dxa"/>
            <w:hideMark/>
          </w:tcPr>
          <w:p w14:paraId="18BB5D0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(2.95)</w:t>
            </w:r>
          </w:p>
        </w:tc>
        <w:tc>
          <w:tcPr>
            <w:tcW w:w="1513" w:type="dxa"/>
            <w:hideMark/>
          </w:tcPr>
          <w:p w14:paraId="66EB83D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(3.06)</w:t>
            </w:r>
          </w:p>
        </w:tc>
        <w:tc>
          <w:tcPr>
            <w:tcW w:w="1514" w:type="dxa"/>
            <w:hideMark/>
          </w:tcPr>
          <w:p w14:paraId="742CD95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(1.36)</w:t>
            </w:r>
          </w:p>
        </w:tc>
      </w:tr>
      <w:tr w:rsidR="00407106" w14:paraId="082C0F9E" w14:textId="77777777" w:rsidTr="00407106">
        <w:tc>
          <w:tcPr>
            <w:tcW w:w="3216" w:type="dxa"/>
            <w:hideMark/>
          </w:tcPr>
          <w:p w14:paraId="65CAADED"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ARC-DERIV X EXPRT-DERIV</w:t>
            </w:r>
          </w:p>
        </w:tc>
        <w:tc>
          <w:tcPr>
            <w:tcW w:w="1513" w:type="dxa"/>
            <w:hideMark/>
          </w:tcPr>
          <w:p w14:paraId="2B7F566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0.115***</w:t>
            </w:r>
          </w:p>
        </w:tc>
        <w:tc>
          <w:tcPr>
            <w:tcW w:w="1514" w:type="dxa"/>
            <w:hideMark/>
          </w:tcPr>
          <w:p w14:paraId="4F22B08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0.106***</w:t>
            </w:r>
          </w:p>
        </w:tc>
        <w:tc>
          <w:tcPr>
            <w:tcW w:w="1513" w:type="dxa"/>
            <w:hideMark/>
          </w:tcPr>
          <w:p w14:paraId="00DB996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0.120***</w:t>
            </w:r>
          </w:p>
        </w:tc>
        <w:tc>
          <w:tcPr>
            <w:tcW w:w="1514" w:type="dxa"/>
            <w:hideMark/>
          </w:tcPr>
          <w:p w14:paraId="0398637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0.093***</w:t>
            </w:r>
          </w:p>
        </w:tc>
      </w:tr>
      <w:tr w:rsidR="00407106" w14:paraId="5D2EFD9E" w14:textId="77777777" w:rsidTr="00407106">
        <w:tc>
          <w:tcPr>
            <w:tcW w:w="3216" w:type="dxa"/>
          </w:tcPr>
          <w:p w14:paraId="1D5FE166" w14:textId="77777777" w:rsidR="00407106" w:rsidRDefault="00407106">
            <w:pPr>
              <w:widowControl w:val="0"/>
              <w:autoSpaceDE w:val="0"/>
              <w:autoSpaceDN w:val="0"/>
              <w:adjustRightInd w:val="0"/>
              <w:spacing w:after="0" w:line="240" w:lineRule="auto"/>
              <w:ind w:firstLine="0"/>
              <w:rPr>
                <w:sz w:val="22"/>
                <w:szCs w:val="22"/>
              </w:rPr>
            </w:pPr>
          </w:p>
        </w:tc>
        <w:tc>
          <w:tcPr>
            <w:tcW w:w="1513" w:type="dxa"/>
            <w:hideMark/>
          </w:tcPr>
          <w:p w14:paraId="0256B4B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(3.77)</w:t>
            </w:r>
          </w:p>
        </w:tc>
        <w:tc>
          <w:tcPr>
            <w:tcW w:w="1514" w:type="dxa"/>
            <w:hideMark/>
          </w:tcPr>
          <w:p w14:paraId="535FB86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(3.45)</w:t>
            </w:r>
          </w:p>
        </w:tc>
        <w:tc>
          <w:tcPr>
            <w:tcW w:w="1513" w:type="dxa"/>
            <w:hideMark/>
          </w:tcPr>
          <w:p w14:paraId="1A32452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(3.96)</w:t>
            </w:r>
          </w:p>
        </w:tc>
        <w:tc>
          <w:tcPr>
            <w:tcW w:w="1514" w:type="dxa"/>
            <w:hideMark/>
          </w:tcPr>
          <w:p w14:paraId="1593ABB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(3.04)</w:t>
            </w:r>
          </w:p>
        </w:tc>
      </w:tr>
      <w:tr w:rsidR="00407106" w14:paraId="5E7E07C3" w14:textId="77777777" w:rsidTr="00407106">
        <w:tc>
          <w:tcPr>
            <w:tcW w:w="3216" w:type="dxa"/>
            <w:hideMark/>
          </w:tcPr>
          <w:p w14:paraId="6EC47F72" w14:textId="77777777" w:rsidR="00407106" w:rsidRDefault="00407106">
            <w:pPr>
              <w:widowControl w:val="0"/>
              <w:autoSpaceDE w:val="0"/>
              <w:autoSpaceDN w:val="0"/>
              <w:adjustRightInd w:val="0"/>
              <w:spacing w:after="0" w:line="240" w:lineRule="auto"/>
              <w:ind w:firstLine="0"/>
              <w:rPr>
                <w:sz w:val="22"/>
                <w:szCs w:val="22"/>
              </w:rPr>
            </w:pPr>
            <w:r>
              <w:rPr>
                <w:sz w:val="22"/>
                <w:szCs w:val="22"/>
              </w:rPr>
              <w:t>Industry &amp; Year Dummies</w:t>
            </w:r>
          </w:p>
        </w:tc>
        <w:tc>
          <w:tcPr>
            <w:tcW w:w="1513" w:type="dxa"/>
            <w:hideMark/>
          </w:tcPr>
          <w:p w14:paraId="035A2B9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14" w:type="dxa"/>
            <w:hideMark/>
          </w:tcPr>
          <w:p w14:paraId="3546ADA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13" w:type="dxa"/>
            <w:hideMark/>
          </w:tcPr>
          <w:p w14:paraId="73808DD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14" w:type="dxa"/>
            <w:hideMark/>
          </w:tcPr>
          <w:p w14:paraId="25CDAD4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r>
      <w:tr w:rsidR="00407106" w14:paraId="6A3C8B33" w14:textId="77777777" w:rsidTr="00407106">
        <w:tc>
          <w:tcPr>
            <w:tcW w:w="3216" w:type="dxa"/>
            <w:tcBorders>
              <w:top w:val="single" w:sz="4" w:space="0" w:color="auto"/>
              <w:left w:val="nil"/>
              <w:bottom w:val="nil"/>
              <w:right w:val="nil"/>
            </w:tcBorders>
            <w:hideMark/>
          </w:tcPr>
          <w:p w14:paraId="23FCA4CD" w14:textId="77777777" w:rsidR="00407106" w:rsidRDefault="00407106">
            <w:pPr>
              <w:widowControl w:val="0"/>
              <w:autoSpaceDE w:val="0"/>
              <w:autoSpaceDN w:val="0"/>
              <w:adjustRightInd w:val="0"/>
              <w:spacing w:after="0" w:line="240" w:lineRule="auto"/>
              <w:ind w:firstLine="0"/>
              <w:rPr>
                <w:sz w:val="22"/>
                <w:szCs w:val="22"/>
              </w:rPr>
            </w:pPr>
            <w:r>
              <w:rPr>
                <w:sz w:val="22"/>
                <w:szCs w:val="22"/>
              </w:rPr>
              <w:t>N</w:t>
            </w:r>
          </w:p>
        </w:tc>
        <w:tc>
          <w:tcPr>
            <w:tcW w:w="1513" w:type="dxa"/>
            <w:tcBorders>
              <w:top w:val="single" w:sz="4" w:space="0" w:color="auto"/>
              <w:left w:val="nil"/>
              <w:bottom w:val="nil"/>
              <w:right w:val="nil"/>
            </w:tcBorders>
            <w:hideMark/>
          </w:tcPr>
          <w:p w14:paraId="2E4B019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514" w:type="dxa"/>
            <w:tcBorders>
              <w:top w:val="single" w:sz="4" w:space="0" w:color="auto"/>
              <w:left w:val="nil"/>
              <w:bottom w:val="nil"/>
              <w:right w:val="nil"/>
            </w:tcBorders>
            <w:hideMark/>
          </w:tcPr>
          <w:p w14:paraId="0E891C1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513" w:type="dxa"/>
            <w:tcBorders>
              <w:top w:val="single" w:sz="4" w:space="0" w:color="auto"/>
              <w:left w:val="nil"/>
              <w:bottom w:val="nil"/>
              <w:right w:val="nil"/>
            </w:tcBorders>
            <w:hideMark/>
          </w:tcPr>
          <w:p w14:paraId="3D08034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514" w:type="dxa"/>
            <w:tcBorders>
              <w:top w:val="single" w:sz="4" w:space="0" w:color="auto"/>
              <w:left w:val="nil"/>
              <w:bottom w:val="nil"/>
              <w:right w:val="nil"/>
            </w:tcBorders>
            <w:hideMark/>
          </w:tcPr>
          <w:p w14:paraId="7771F7C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89,700</w:t>
            </w:r>
          </w:p>
        </w:tc>
      </w:tr>
      <w:tr w:rsidR="00407106" w14:paraId="5E71D78B" w14:textId="77777777" w:rsidTr="00407106">
        <w:tc>
          <w:tcPr>
            <w:tcW w:w="3216" w:type="dxa"/>
            <w:hideMark/>
          </w:tcPr>
          <w:p w14:paraId="2FB51CFD" w14:textId="77777777" w:rsidR="00407106" w:rsidRDefault="00407106">
            <w:pPr>
              <w:widowControl w:val="0"/>
              <w:autoSpaceDE w:val="0"/>
              <w:autoSpaceDN w:val="0"/>
              <w:adjustRightInd w:val="0"/>
              <w:spacing w:after="0" w:line="240" w:lineRule="auto"/>
              <w:ind w:firstLine="0"/>
              <w:rPr>
                <w:sz w:val="22"/>
                <w:szCs w:val="22"/>
              </w:rPr>
            </w:pPr>
            <w:r>
              <w:rPr>
                <w:sz w:val="22"/>
                <w:szCs w:val="22"/>
              </w:rPr>
              <w:t>Control Variables</w:t>
            </w:r>
          </w:p>
        </w:tc>
        <w:tc>
          <w:tcPr>
            <w:tcW w:w="1513" w:type="dxa"/>
            <w:hideMark/>
          </w:tcPr>
          <w:p w14:paraId="5225DA3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14" w:type="dxa"/>
            <w:hideMark/>
          </w:tcPr>
          <w:p w14:paraId="11326F8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13" w:type="dxa"/>
            <w:hideMark/>
          </w:tcPr>
          <w:p w14:paraId="56EDD40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14" w:type="dxa"/>
            <w:hideMark/>
          </w:tcPr>
          <w:p w14:paraId="7CEB002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r>
      <w:tr w:rsidR="00407106" w14:paraId="383517D3" w14:textId="77777777" w:rsidTr="00407106">
        <w:tc>
          <w:tcPr>
            <w:tcW w:w="3216" w:type="dxa"/>
            <w:hideMark/>
          </w:tcPr>
          <w:p w14:paraId="5066E79B" w14:textId="77777777" w:rsidR="00407106" w:rsidRDefault="00407106">
            <w:pPr>
              <w:widowControl w:val="0"/>
              <w:autoSpaceDE w:val="0"/>
              <w:autoSpaceDN w:val="0"/>
              <w:adjustRightInd w:val="0"/>
              <w:spacing w:after="0" w:line="240" w:lineRule="auto"/>
              <w:ind w:firstLine="0"/>
              <w:rPr>
                <w:sz w:val="22"/>
                <w:szCs w:val="22"/>
              </w:rPr>
            </w:pPr>
            <w:r>
              <w:rPr>
                <w:sz w:val="22"/>
                <w:szCs w:val="22"/>
              </w:rPr>
              <w:t>R-square</w:t>
            </w:r>
          </w:p>
        </w:tc>
        <w:tc>
          <w:tcPr>
            <w:tcW w:w="1513" w:type="dxa"/>
            <w:hideMark/>
          </w:tcPr>
          <w:p w14:paraId="16D005A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0.251</w:t>
            </w:r>
          </w:p>
        </w:tc>
        <w:tc>
          <w:tcPr>
            <w:tcW w:w="1514" w:type="dxa"/>
            <w:hideMark/>
          </w:tcPr>
          <w:p w14:paraId="45763B3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0.251</w:t>
            </w:r>
          </w:p>
        </w:tc>
        <w:tc>
          <w:tcPr>
            <w:tcW w:w="1513" w:type="dxa"/>
            <w:hideMark/>
          </w:tcPr>
          <w:p w14:paraId="63CAEC3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0.250</w:t>
            </w:r>
          </w:p>
        </w:tc>
        <w:tc>
          <w:tcPr>
            <w:tcW w:w="1514" w:type="dxa"/>
            <w:hideMark/>
          </w:tcPr>
          <w:p w14:paraId="7AD428F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0.246</w:t>
            </w:r>
          </w:p>
        </w:tc>
      </w:tr>
      <w:tr w:rsidR="00407106" w14:paraId="32F3C8C5" w14:textId="77777777" w:rsidTr="00407106">
        <w:tc>
          <w:tcPr>
            <w:tcW w:w="3216" w:type="dxa"/>
            <w:hideMark/>
          </w:tcPr>
          <w:p w14:paraId="67DFD031" w14:textId="77777777" w:rsidR="00407106" w:rsidRDefault="00407106">
            <w:pPr>
              <w:widowControl w:val="0"/>
              <w:autoSpaceDE w:val="0"/>
              <w:autoSpaceDN w:val="0"/>
              <w:adjustRightInd w:val="0"/>
              <w:spacing w:after="0" w:line="240" w:lineRule="auto"/>
              <w:ind w:firstLine="0"/>
              <w:rPr>
                <w:sz w:val="22"/>
                <w:szCs w:val="22"/>
              </w:rPr>
            </w:pPr>
            <w:r>
              <w:rPr>
                <w:sz w:val="22"/>
                <w:szCs w:val="22"/>
              </w:rPr>
              <w:t>Adj. R-square</w:t>
            </w:r>
          </w:p>
        </w:tc>
        <w:tc>
          <w:tcPr>
            <w:tcW w:w="1513" w:type="dxa"/>
            <w:hideMark/>
          </w:tcPr>
          <w:p w14:paraId="1042E02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0.250</w:t>
            </w:r>
          </w:p>
        </w:tc>
        <w:tc>
          <w:tcPr>
            <w:tcW w:w="1514" w:type="dxa"/>
            <w:hideMark/>
          </w:tcPr>
          <w:p w14:paraId="709D6D9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0.250</w:t>
            </w:r>
          </w:p>
        </w:tc>
        <w:tc>
          <w:tcPr>
            <w:tcW w:w="1513" w:type="dxa"/>
            <w:hideMark/>
          </w:tcPr>
          <w:p w14:paraId="6283042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0.250</w:t>
            </w:r>
          </w:p>
        </w:tc>
        <w:tc>
          <w:tcPr>
            <w:tcW w:w="1514" w:type="dxa"/>
            <w:hideMark/>
          </w:tcPr>
          <w:p w14:paraId="5742A65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0.245</w:t>
            </w:r>
          </w:p>
        </w:tc>
      </w:tr>
      <w:tr w:rsidR="00407106" w14:paraId="5C1C4E7E" w14:textId="77777777" w:rsidTr="00407106">
        <w:tc>
          <w:tcPr>
            <w:tcW w:w="3216" w:type="dxa"/>
            <w:hideMark/>
          </w:tcPr>
          <w:p w14:paraId="4D6A08C1" w14:textId="77777777" w:rsidR="00407106" w:rsidRDefault="00407106">
            <w:pPr>
              <w:widowControl w:val="0"/>
              <w:autoSpaceDE w:val="0"/>
              <w:autoSpaceDN w:val="0"/>
              <w:adjustRightInd w:val="0"/>
              <w:spacing w:after="0" w:line="240" w:lineRule="auto"/>
              <w:ind w:firstLine="0"/>
              <w:rPr>
                <w:sz w:val="22"/>
                <w:szCs w:val="22"/>
              </w:rPr>
            </w:pPr>
            <w:r>
              <w:rPr>
                <w:sz w:val="22"/>
                <w:szCs w:val="22"/>
              </w:rPr>
              <w:t>Equality of the two interactions</w:t>
            </w:r>
          </w:p>
        </w:tc>
        <w:tc>
          <w:tcPr>
            <w:tcW w:w="1513" w:type="dxa"/>
            <w:hideMark/>
          </w:tcPr>
          <w:p w14:paraId="77DEB01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9.585</w:t>
            </w:r>
          </w:p>
        </w:tc>
        <w:tc>
          <w:tcPr>
            <w:tcW w:w="1514" w:type="dxa"/>
            <w:hideMark/>
          </w:tcPr>
          <w:p w14:paraId="3517979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0.143</w:t>
            </w:r>
          </w:p>
        </w:tc>
        <w:tc>
          <w:tcPr>
            <w:tcW w:w="1513" w:type="dxa"/>
            <w:hideMark/>
          </w:tcPr>
          <w:p w14:paraId="651E445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4.241</w:t>
            </w:r>
          </w:p>
        </w:tc>
        <w:tc>
          <w:tcPr>
            <w:tcW w:w="1514" w:type="dxa"/>
            <w:hideMark/>
          </w:tcPr>
          <w:p w14:paraId="5531371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3.296</w:t>
            </w:r>
          </w:p>
        </w:tc>
      </w:tr>
      <w:tr w:rsidR="00407106" w14:paraId="24253AE5" w14:textId="77777777" w:rsidTr="00407106">
        <w:tc>
          <w:tcPr>
            <w:tcW w:w="3216" w:type="dxa"/>
            <w:tcBorders>
              <w:top w:val="nil"/>
              <w:left w:val="nil"/>
              <w:bottom w:val="single" w:sz="4" w:space="0" w:color="auto"/>
              <w:right w:val="nil"/>
            </w:tcBorders>
            <w:hideMark/>
          </w:tcPr>
          <w:p w14:paraId="44FC1463" w14:textId="77777777" w:rsidR="00407106" w:rsidRDefault="00407106">
            <w:pPr>
              <w:widowControl w:val="0"/>
              <w:autoSpaceDE w:val="0"/>
              <w:autoSpaceDN w:val="0"/>
              <w:adjustRightInd w:val="0"/>
              <w:spacing w:after="0" w:line="240" w:lineRule="auto"/>
              <w:ind w:firstLine="0"/>
              <w:rPr>
                <w:sz w:val="22"/>
                <w:szCs w:val="22"/>
              </w:rPr>
            </w:pPr>
            <w:r>
              <w:rPr>
                <w:sz w:val="22"/>
                <w:szCs w:val="22"/>
              </w:rPr>
              <w:t>p-value</w:t>
            </w:r>
          </w:p>
        </w:tc>
        <w:tc>
          <w:tcPr>
            <w:tcW w:w="1513" w:type="dxa"/>
            <w:tcBorders>
              <w:top w:val="nil"/>
              <w:left w:val="nil"/>
              <w:bottom w:val="single" w:sz="4" w:space="0" w:color="auto"/>
              <w:right w:val="nil"/>
            </w:tcBorders>
            <w:hideMark/>
          </w:tcPr>
          <w:p w14:paraId="15A6E0E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0.002</w:t>
            </w:r>
          </w:p>
        </w:tc>
        <w:tc>
          <w:tcPr>
            <w:tcW w:w="1514" w:type="dxa"/>
            <w:tcBorders>
              <w:top w:val="nil"/>
              <w:left w:val="nil"/>
              <w:bottom w:val="single" w:sz="4" w:space="0" w:color="auto"/>
              <w:right w:val="nil"/>
            </w:tcBorders>
            <w:hideMark/>
          </w:tcPr>
          <w:p w14:paraId="3E0F981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0.705</w:t>
            </w:r>
          </w:p>
        </w:tc>
        <w:tc>
          <w:tcPr>
            <w:tcW w:w="1513" w:type="dxa"/>
            <w:tcBorders>
              <w:top w:val="nil"/>
              <w:left w:val="nil"/>
              <w:bottom w:val="single" w:sz="4" w:space="0" w:color="auto"/>
              <w:right w:val="nil"/>
            </w:tcBorders>
            <w:hideMark/>
          </w:tcPr>
          <w:p w14:paraId="774AD32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0.040</w:t>
            </w:r>
          </w:p>
        </w:tc>
        <w:tc>
          <w:tcPr>
            <w:tcW w:w="1514" w:type="dxa"/>
            <w:tcBorders>
              <w:top w:val="nil"/>
              <w:left w:val="nil"/>
              <w:bottom w:val="single" w:sz="4" w:space="0" w:color="auto"/>
              <w:right w:val="nil"/>
            </w:tcBorders>
            <w:hideMark/>
          </w:tcPr>
          <w:p w14:paraId="0C93FB8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0.070</w:t>
            </w:r>
          </w:p>
        </w:tc>
      </w:tr>
    </w:tbl>
    <w:p w14:paraId="4351164B" w14:textId="77777777" w:rsidR="00407106" w:rsidRDefault="00407106" w:rsidP="00407106">
      <w:pPr>
        <w:spacing w:line="276" w:lineRule="auto"/>
        <w:ind w:firstLine="0"/>
        <w:jc w:val="left"/>
        <w:rPr>
          <w:b/>
        </w:rPr>
      </w:pPr>
      <w:r>
        <w:rPr>
          <w:b/>
        </w:rPr>
        <w:br w:type="page"/>
      </w:r>
    </w:p>
    <w:p w14:paraId="18D11071" w14:textId="77777777" w:rsidR="00407106" w:rsidRDefault="00407106" w:rsidP="00407106">
      <w:pPr>
        <w:spacing w:after="160" w:line="256" w:lineRule="auto"/>
        <w:ind w:firstLine="0"/>
        <w:jc w:val="left"/>
      </w:pPr>
      <w:r>
        <w:rPr>
          <w:b/>
        </w:rPr>
        <w:lastRenderedPageBreak/>
        <w:t>Panel C:</w:t>
      </w:r>
      <w:r>
        <w:t xml:space="preserve"> Accounting reporting complexity based on pensions.</w:t>
      </w:r>
    </w:p>
    <w:tbl>
      <w:tblPr>
        <w:tblW w:w="0" w:type="dxa"/>
        <w:tblLayout w:type="fixed"/>
        <w:tblLook w:val="04A0" w:firstRow="1" w:lastRow="0" w:firstColumn="1" w:lastColumn="0" w:noHBand="0" w:noVBand="1"/>
      </w:tblPr>
      <w:tblGrid>
        <w:gridCol w:w="3216"/>
        <w:gridCol w:w="1558"/>
        <w:gridCol w:w="1559"/>
        <w:gridCol w:w="1558"/>
        <w:gridCol w:w="1559"/>
      </w:tblGrid>
      <w:tr w:rsidR="00407106" w14:paraId="47626875" w14:textId="77777777" w:rsidTr="00407106">
        <w:trPr>
          <w:trHeight w:hRule="exact" w:val="360"/>
        </w:trPr>
        <w:tc>
          <w:tcPr>
            <w:tcW w:w="3216" w:type="dxa"/>
            <w:tcBorders>
              <w:top w:val="single" w:sz="4" w:space="0" w:color="auto"/>
              <w:left w:val="nil"/>
              <w:bottom w:val="nil"/>
              <w:right w:val="nil"/>
            </w:tcBorders>
            <w:hideMark/>
          </w:tcPr>
          <w:p w14:paraId="277086AF" w14:textId="77777777" w:rsidR="00407106" w:rsidRDefault="00407106">
            <w:pPr>
              <w:widowControl w:val="0"/>
              <w:autoSpaceDE w:val="0"/>
              <w:autoSpaceDN w:val="0"/>
              <w:adjustRightInd w:val="0"/>
              <w:spacing w:after="0" w:line="240" w:lineRule="auto"/>
              <w:ind w:firstLine="0"/>
              <w:jc w:val="right"/>
              <w:rPr>
                <w:sz w:val="22"/>
                <w:szCs w:val="22"/>
              </w:rPr>
            </w:pPr>
            <w:r>
              <w:rPr>
                <w:sz w:val="22"/>
                <w:szCs w:val="22"/>
              </w:rPr>
              <w:t>Dependent variable:</w:t>
            </w:r>
          </w:p>
        </w:tc>
        <w:tc>
          <w:tcPr>
            <w:tcW w:w="6234" w:type="dxa"/>
            <w:gridSpan w:val="4"/>
            <w:tcBorders>
              <w:top w:val="single" w:sz="4" w:space="0" w:color="auto"/>
              <w:left w:val="nil"/>
              <w:bottom w:val="nil"/>
              <w:right w:val="nil"/>
            </w:tcBorders>
            <w:hideMark/>
          </w:tcPr>
          <w:p w14:paraId="22EBB3E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 × |Forecast Error|</w:t>
            </w:r>
          </w:p>
        </w:tc>
      </w:tr>
      <w:tr w:rsidR="00407106" w14:paraId="5FF12AF1" w14:textId="77777777" w:rsidTr="00407106">
        <w:trPr>
          <w:trHeight w:hRule="exact" w:val="360"/>
        </w:trPr>
        <w:tc>
          <w:tcPr>
            <w:tcW w:w="3216" w:type="dxa"/>
            <w:tcBorders>
              <w:top w:val="nil"/>
              <w:left w:val="nil"/>
              <w:bottom w:val="single" w:sz="4" w:space="0" w:color="auto"/>
              <w:right w:val="nil"/>
            </w:tcBorders>
          </w:tcPr>
          <w:p w14:paraId="254E36C8" w14:textId="77777777" w:rsidR="00407106" w:rsidRDefault="00407106">
            <w:pPr>
              <w:widowControl w:val="0"/>
              <w:autoSpaceDE w:val="0"/>
              <w:autoSpaceDN w:val="0"/>
              <w:adjustRightInd w:val="0"/>
              <w:spacing w:after="0" w:line="240" w:lineRule="auto"/>
              <w:ind w:firstLine="0"/>
              <w:rPr>
                <w:sz w:val="22"/>
                <w:szCs w:val="22"/>
              </w:rPr>
            </w:pPr>
          </w:p>
        </w:tc>
        <w:tc>
          <w:tcPr>
            <w:tcW w:w="1558" w:type="dxa"/>
            <w:tcBorders>
              <w:top w:val="nil"/>
              <w:left w:val="nil"/>
              <w:bottom w:val="single" w:sz="4" w:space="0" w:color="auto"/>
              <w:right w:val="nil"/>
            </w:tcBorders>
            <w:hideMark/>
          </w:tcPr>
          <w:p w14:paraId="44986E2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1559" w:type="dxa"/>
            <w:tcBorders>
              <w:top w:val="nil"/>
              <w:left w:val="nil"/>
              <w:bottom w:val="single" w:sz="4" w:space="0" w:color="auto"/>
              <w:right w:val="nil"/>
            </w:tcBorders>
            <w:hideMark/>
          </w:tcPr>
          <w:p w14:paraId="26C76DD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1558" w:type="dxa"/>
            <w:tcBorders>
              <w:top w:val="nil"/>
              <w:left w:val="nil"/>
              <w:bottom w:val="single" w:sz="4" w:space="0" w:color="auto"/>
              <w:right w:val="nil"/>
            </w:tcBorders>
            <w:hideMark/>
          </w:tcPr>
          <w:p w14:paraId="4BCCD0F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c>
          <w:tcPr>
            <w:tcW w:w="1559" w:type="dxa"/>
            <w:tcBorders>
              <w:top w:val="nil"/>
              <w:left w:val="nil"/>
              <w:bottom w:val="single" w:sz="4" w:space="0" w:color="auto"/>
              <w:right w:val="nil"/>
            </w:tcBorders>
            <w:hideMark/>
          </w:tcPr>
          <w:p w14:paraId="0B79EFC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(4)</w:t>
            </w:r>
          </w:p>
        </w:tc>
      </w:tr>
      <w:tr w:rsidR="00407106" w14:paraId="75689EA0" w14:textId="77777777" w:rsidTr="00407106">
        <w:trPr>
          <w:trHeight w:val="360"/>
        </w:trPr>
        <w:tc>
          <w:tcPr>
            <w:tcW w:w="3216" w:type="dxa"/>
            <w:hideMark/>
          </w:tcPr>
          <w:p w14:paraId="4209447B"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Accounting complexity:</w:t>
            </w:r>
          </w:p>
        </w:tc>
        <w:tc>
          <w:tcPr>
            <w:tcW w:w="1558" w:type="dxa"/>
          </w:tcPr>
          <w:p w14:paraId="7894EFDB"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04C2A836"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tcPr>
          <w:p w14:paraId="3ABBD8A3"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5372C7D2"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3BBAE24C" w14:textId="77777777" w:rsidTr="00407106">
        <w:tc>
          <w:tcPr>
            <w:tcW w:w="3216" w:type="dxa"/>
            <w:hideMark/>
          </w:tcPr>
          <w:p w14:paraId="499A4A13"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ARC-PENS</w:t>
            </w:r>
          </w:p>
        </w:tc>
        <w:tc>
          <w:tcPr>
            <w:tcW w:w="1558" w:type="dxa"/>
            <w:hideMark/>
          </w:tcPr>
          <w:p w14:paraId="3F188EB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-0.075***</w:t>
            </w:r>
          </w:p>
        </w:tc>
        <w:tc>
          <w:tcPr>
            <w:tcW w:w="1559" w:type="dxa"/>
            <w:hideMark/>
          </w:tcPr>
          <w:p w14:paraId="2C29190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-0.070**</w:t>
            </w:r>
          </w:p>
        </w:tc>
        <w:tc>
          <w:tcPr>
            <w:tcW w:w="1558" w:type="dxa"/>
            <w:hideMark/>
          </w:tcPr>
          <w:p w14:paraId="3FB284C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-0.079***</w:t>
            </w:r>
          </w:p>
        </w:tc>
        <w:tc>
          <w:tcPr>
            <w:tcW w:w="1559" w:type="dxa"/>
            <w:hideMark/>
          </w:tcPr>
          <w:p w14:paraId="3E9D831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-0.068**</w:t>
            </w:r>
          </w:p>
        </w:tc>
      </w:tr>
      <w:tr w:rsidR="00407106" w14:paraId="75AFB638" w14:textId="77777777" w:rsidTr="00407106">
        <w:tc>
          <w:tcPr>
            <w:tcW w:w="3216" w:type="dxa"/>
          </w:tcPr>
          <w:p w14:paraId="0B884864" w14:textId="77777777" w:rsidR="00407106" w:rsidRDefault="00407106">
            <w:pPr>
              <w:widowControl w:val="0"/>
              <w:autoSpaceDE w:val="0"/>
              <w:autoSpaceDN w:val="0"/>
              <w:adjustRightInd w:val="0"/>
              <w:spacing w:after="0" w:line="240" w:lineRule="auto"/>
              <w:ind w:firstLine="0"/>
              <w:rPr>
                <w:i/>
                <w:sz w:val="22"/>
                <w:szCs w:val="22"/>
              </w:rPr>
            </w:pPr>
          </w:p>
        </w:tc>
        <w:tc>
          <w:tcPr>
            <w:tcW w:w="1558" w:type="dxa"/>
            <w:hideMark/>
          </w:tcPr>
          <w:p w14:paraId="064DE27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(-2.70)</w:t>
            </w:r>
          </w:p>
        </w:tc>
        <w:tc>
          <w:tcPr>
            <w:tcW w:w="1559" w:type="dxa"/>
            <w:hideMark/>
          </w:tcPr>
          <w:p w14:paraId="74F4F92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(-2.54)</w:t>
            </w:r>
          </w:p>
        </w:tc>
        <w:tc>
          <w:tcPr>
            <w:tcW w:w="1558" w:type="dxa"/>
            <w:hideMark/>
          </w:tcPr>
          <w:p w14:paraId="7506D01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(-2.92)</w:t>
            </w:r>
          </w:p>
        </w:tc>
        <w:tc>
          <w:tcPr>
            <w:tcW w:w="1559" w:type="dxa"/>
            <w:hideMark/>
          </w:tcPr>
          <w:p w14:paraId="2169DF7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(-2.42)</w:t>
            </w:r>
          </w:p>
        </w:tc>
      </w:tr>
      <w:tr w:rsidR="00407106" w14:paraId="4FECE2F6" w14:textId="77777777" w:rsidTr="00407106">
        <w:tc>
          <w:tcPr>
            <w:tcW w:w="3216" w:type="dxa"/>
            <w:hideMark/>
          </w:tcPr>
          <w:p w14:paraId="70EE6D30"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GEXP</w:t>
            </w:r>
          </w:p>
        </w:tc>
        <w:tc>
          <w:tcPr>
            <w:tcW w:w="1558" w:type="dxa"/>
            <w:hideMark/>
          </w:tcPr>
          <w:p w14:paraId="05DFCB8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0.079***</w:t>
            </w:r>
          </w:p>
        </w:tc>
        <w:tc>
          <w:tcPr>
            <w:tcW w:w="1559" w:type="dxa"/>
          </w:tcPr>
          <w:p w14:paraId="759045C5"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tcPr>
          <w:p w14:paraId="3AD19233"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14E27D48"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08A667F" w14:textId="77777777" w:rsidTr="00407106">
        <w:tc>
          <w:tcPr>
            <w:tcW w:w="3216" w:type="dxa"/>
          </w:tcPr>
          <w:p w14:paraId="4DCBCCDC" w14:textId="77777777" w:rsidR="00407106" w:rsidRDefault="00407106">
            <w:pPr>
              <w:widowControl w:val="0"/>
              <w:autoSpaceDE w:val="0"/>
              <w:autoSpaceDN w:val="0"/>
              <w:adjustRightInd w:val="0"/>
              <w:spacing w:after="0" w:line="240" w:lineRule="auto"/>
              <w:ind w:firstLine="0"/>
              <w:rPr>
                <w:i/>
                <w:sz w:val="22"/>
                <w:szCs w:val="22"/>
              </w:rPr>
            </w:pPr>
          </w:p>
        </w:tc>
        <w:tc>
          <w:tcPr>
            <w:tcW w:w="1558" w:type="dxa"/>
            <w:hideMark/>
          </w:tcPr>
          <w:p w14:paraId="1E7EF76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(5.61)</w:t>
            </w:r>
          </w:p>
        </w:tc>
        <w:tc>
          <w:tcPr>
            <w:tcW w:w="1559" w:type="dxa"/>
          </w:tcPr>
          <w:p w14:paraId="07E6F2D5"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tcPr>
          <w:p w14:paraId="41FE8DE0"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5D95A290"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C0AC29C" w14:textId="77777777" w:rsidTr="00407106">
        <w:tc>
          <w:tcPr>
            <w:tcW w:w="3216" w:type="dxa"/>
            <w:hideMark/>
          </w:tcPr>
          <w:p w14:paraId="688AFD76"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ARC-PENS X GEXP</w:t>
            </w:r>
          </w:p>
        </w:tc>
        <w:tc>
          <w:tcPr>
            <w:tcW w:w="1558" w:type="dxa"/>
            <w:hideMark/>
          </w:tcPr>
          <w:p w14:paraId="372A843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-0.019**</w:t>
            </w:r>
          </w:p>
        </w:tc>
        <w:tc>
          <w:tcPr>
            <w:tcW w:w="1559" w:type="dxa"/>
          </w:tcPr>
          <w:p w14:paraId="751EFE7B"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tcPr>
          <w:p w14:paraId="41159FFB"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75A73E37"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0CA237C" w14:textId="77777777" w:rsidTr="00407106">
        <w:tc>
          <w:tcPr>
            <w:tcW w:w="3216" w:type="dxa"/>
          </w:tcPr>
          <w:p w14:paraId="33D8B39D" w14:textId="77777777" w:rsidR="00407106" w:rsidRDefault="00407106">
            <w:pPr>
              <w:widowControl w:val="0"/>
              <w:autoSpaceDE w:val="0"/>
              <w:autoSpaceDN w:val="0"/>
              <w:adjustRightInd w:val="0"/>
              <w:spacing w:after="0" w:line="240" w:lineRule="auto"/>
              <w:ind w:firstLine="0"/>
              <w:rPr>
                <w:i/>
                <w:sz w:val="22"/>
                <w:szCs w:val="22"/>
              </w:rPr>
            </w:pPr>
          </w:p>
        </w:tc>
        <w:tc>
          <w:tcPr>
            <w:tcW w:w="1558" w:type="dxa"/>
            <w:hideMark/>
          </w:tcPr>
          <w:p w14:paraId="1B6F58D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(-2.00)</w:t>
            </w:r>
          </w:p>
        </w:tc>
        <w:tc>
          <w:tcPr>
            <w:tcW w:w="1559" w:type="dxa"/>
          </w:tcPr>
          <w:p w14:paraId="19AF080B"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tcPr>
          <w:p w14:paraId="6AD457B9"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6F364A37"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618A68A" w14:textId="77777777" w:rsidTr="00407106">
        <w:tc>
          <w:tcPr>
            <w:tcW w:w="3216" w:type="dxa"/>
            <w:hideMark/>
          </w:tcPr>
          <w:p w14:paraId="35BFF722"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FEXP</w:t>
            </w:r>
          </w:p>
        </w:tc>
        <w:tc>
          <w:tcPr>
            <w:tcW w:w="1558" w:type="dxa"/>
          </w:tcPr>
          <w:p w14:paraId="207897D7"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hideMark/>
          </w:tcPr>
          <w:p w14:paraId="4D65C75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-0.009</w:t>
            </w:r>
          </w:p>
        </w:tc>
        <w:tc>
          <w:tcPr>
            <w:tcW w:w="1558" w:type="dxa"/>
          </w:tcPr>
          <w:p w14:paraId="549CD282"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1F449BC5"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7275C02E" w14:textId="77777777" w:rsidTr="00407106">
        <w:tc>
          <w:tcPr>
            <w:tcW w:w="3216" w:type="dxa"/>
          </w:tcPr>
          <w:p w14:paraId="1AB9CB09" w14:textId="77777777" w:rsidR="00407106" w:rsidRDefault="00407106">
            <w:pPr>
              <w:widowControl w:val="0"/>
              <w:autoSpaceDE w:val="0"/>
              <w:autoSpaceDN w:val="0"/>
              <w:adjustRightInd w:val="0"/>
              <w:spacing w:after="0" w:line="240" w:lineRule="auto"/>
              <w:ind w:firstLine="0"/>
              <w:rPr>
                <w:i/>
                <w:sz w:val="22"/>
                <w:szCs w:val="22"/>
              </w:rPr>
            </w:pPr>
          </w:p>
        </w:tc>
        <w:tc>
          <w:tcPr>
            <w:tcW w:w="1558" w:type="dxa"/>
          </w:tcPr>
          <w:p w14:paraId="64AED602"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hideMark/>
          </w:tcPr>
          <w:p w14:paraId="2254FE5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(-0.53)</w:t>
            </w:r>
          </w:p>
        </w:tc>
        <w:tc>
          <w:tcPr>
            <w:tcW w:w="1558" w:type="dxa"/>
          </w:tcPr>
          <w:p w14:paraId="31AE33DC"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03085A1D"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3801174" w14:textId="77777777" w:rsidTr="00407106">
        <w:tc>
          <w:tcPr>
            <w:tcW w:w="3216" w:type="dxa"/>
            <w:hideMark/>
          </w:tcPr>
          <w:p w14:paraId="2A5AA704"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ARC-PENS X FEXP</w:t>
            </w:r>
          </w:p>
        </w:tc>
        <w:tc>
          <w:tcPr>
            <w:tcW w:w="1558" w:type="dxa"/>
          </w:tcPr>
          <w:p w14:paraId="72C60A0F"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hideMark/>
          </w:tcPr>
          <w:p w14:paraId="327CD7D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0.030***</w:t>
            </w:r>
          </w:p>
        </w:tc>
        <w:tc>
          <w:tcPr>
            <w:tcW w:w="1558" w:type="dxa"/>
          </w:tcPr>
          <w:p w14:paraId="7A710647"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5D0AD451"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3633691F" w14:textId="77777777" w:rsidTr="00407106">
        <w:tc>
          <w:tcPr>
            <w:tcW w:w="3216" w:type="dxa"/>
          </w:tcPr>
          <w:p w14:paraId="632A4370" w14:textId="77777777" w:rsidR="00407106" w:rsidRDefault="00407106">
            <w:pPr>
              <w:widowControl w:val="0"/>
              <w:autoSpaceDE w:val="0"/>
              <w:autoSpaceDN w:val="0"/>
              <w:adjustRightInd w:val="0"/>
              <w:spacing w:after="0" w:line="240" w:lineRule="auto"/>
              <w:ind w:firstLine="0"/>
              <w:rPr>
                <w:i/>
                <w:sz w:val="22"/>
                <w:szCs w:val="22"/>
              </w:rPr>
            </w:pPr>
          </w:p>
        </w:tc>
        <w:tc>
          <w:tcPr>
            <w:tcW w:w="1558" w:type="dxa"/>
          </w:tcPr>
          <w:p w14:paraId="676A17A5"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hideMark/>
          </w:tcPr>
          <w:p w14:paraId="6C1A0DB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(2.68)</w:t>
            </w:r>
          </w:p>
        </w:tc>
        <w:tc>
          <w:tcPr>
            <w:tcW w:w="1558" w:type="dxa"/>
          </w:tcPr>
          <w:p w14:paraId="3E8D6AEB"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524B84D3"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1CF3999" w14:textId="77777777" w:rsidTr="00407106">
        <w:tc>
          <w:tcPr>
            <w:tcW w:w="3216" w:type="dxa"/>
            <w:hideMark/>
          </w:tcPr>
          <w:p w14:paraId="6D549543"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INDFOCUS</w:t>
            </w:r>
          </w:p>
        </w:tc>
        <w:tc>
          <w:tcPr>
            <w:tcW w:w="1558" w:type="dxa"/>
          </w:tcPr>
          <w:p w14:paraId="60EF24B9"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5160B0F0"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hideMark/>
          </w:tcPr>
          <w:p w14:paraId="0570B7F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0.027</w:t>
            </w:r>
          </w:p>
        </w:tc>
        <w:tc>
          <w:tcPr>
            <w:tcW w:w="1559" w:type="dxa"/>
          </w:tcPr>
          <w:p w14:paraId="504E2ADD"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D58744A" w14:textId="77777777" w:rsidTr="00407106">
        <w:tc>
          <w:tcPr>
            <w:tcW w:w="3216" w:type="dxa"/>
          </w:tcPr>
          <w:p w14:paraId="65E19033" w14:textId="77777777" w:rsidR="00407106" w:rsidRDefault="00407106">
            <w:pPr>
              <w:widowControl w:val="0"/>
              <w:autoSpaceDE w:val="0"/>
              <w:autoSpaceDN w:val="0"/>
              <w:adjustRightInd w:val="0"/>
              <w:spacing w:after="0" w:line="240" w:lineRule="auto"/>
              <w:ind w:firstLine="0"/>
              <w:rPr>
                <w:i/>
                <w:sz w:val="22"/>
                <w:szCs w:val="22"/>
              </w:rPr>
            </w:pPr>
          </w:p>
        </w:tc>
        <w:tc>
          <w:tcPr>
            <w:tcW w:w="1558" w:type="dxa"/>
          </w:tcPr>
          <w:p w14:paraId="1965EAC4"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75EC2CCE"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hideMark/>
          </w:tcPr>
          <w:p w14:paraId="007FBF3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(0.48)</w:t>
            </w:r>
          </w:p>
        </w:tc>
        <w:tc>
          <w:tcPr>
            <w:tcW w:w="1559" w:type="dxa"/>
          </w:tcPr>
          <w:p w14:paraId="3FD87049"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2C8EA59" w14:textId="77777777" w:rsidTr="00407106">
        <w:tc>
          <w:tcPr>
            <w:tcW w:w="3216" w:type="dxa"/>
            <w:hideMark/>
          </w:tcPr>
          <w:p w14:paraId="75722308"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ARC-PENS X INDFOCUS</w:t>
            </w:r>
          </w:p>
        </w:tc>
        <w:tc>
          <w:tcPr>
            <w:tcW w:w="1558" w:type="dxa"/>
          </w:tcPr>
          <w:p w14:paraId="36B6D654"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1F492810"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hideMark/>
          </w:tcPr>
          <w:p w14:paraId="5492B59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0.090***</w:t>
            </w:r>
          </w:p>
        </w:tc>
        <w:tc>
          <w:tcPr>
            <w:tcW w:w="1559" w:type="dxa"/>
          </w:tcPr>
          <w:p w14:paraId="1B4D6283"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F80CF85" w14:textId="77777777" w:rsidTr="00407106">
        <w:tc>
          <w:tcPr>
            <w:tcW w:w="3216" w:type="dxa"/>
          </w:tcPr>
          <w:p w14:paraId="70D318FE" w14:textId="77777777" w:rsidR="00407106" w:rsidRDefault="00407106">
            <w:pPr>
              <w:widowControl w:val="0"/>
              <w:autoSpaceDE w:val="0"/>
              <w:autoSpaceDN w:val="0"/>
              <w:adjustRightInd w:val="0"/>
              <w:spacing w:after="0" w:line="240" w:lineRule="auto"/>
              <w:ind w:firstLine="0"/>
              <w:rPr>
                <w:i/>
                <w:sz w:val="22"/>
                <w:szCs w:val="22"/>
              </w:rPr>
            </w:pPr>
          </w:p>
        </w:tc>
        <w:tc>
          <w:tcPr>
            <w:tcW w:w="1558" w:type="dxa"/>
          </w:tcPr>
          <w:p w14:paraId="6D72BF1C"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661A893C"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hideMark/>
          </w:tcPr>
          <w:p w14:paraId="230FAA9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(2.63)</w:t>
            </w:r>
          </w:p>
        </w:tc>
        <w:tc>
          <w:tcPr>
            <w:tcW w:w="1559" w:type="dxa"/>
          </w:tcPr>
          <w:p w14:paraId="2B0F92D5"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C2FC57C" w14:textId="77777777" w:rsidTr="00407106">
        <w:tc>
          <w:tcPr>
            <w:tcW w:w="3216" w:type="dxa"/>
            <w:hideMark/>
          </w:tcPr>
          <w:p w14:paraId="5BA5E87F"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CFA</w:t>
            </w:r>
          </w:p>
        </w:tc>
        <w:tc>
          <w:tcPr>
            <w:tcW w:w="1558" w:type="dxa"/>
          </w:tcPr>
          <w:p w14:paraId="06D53F69"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3DEE4881"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tcPr>
          <w:p w14:paraId="796060E4"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hideMark/>
          </w:tcPr>
          <w:p w14:paraId="0171F77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0.069***</w:t>
            </w:r>
          </w:p>
        </w:tc>
      </w:tr>
      <w:tr w:rsidR="00407106" w14:paraId="15751888" w14:textId="77777777" w:rsidTr="00407106">
        <w:tc>
          <w:tcPr>
            <w:tcW w:w="3216" w:type="dxa"/>
          </w:tcPr>
          <w:p w14:paraId="1FB7E870" w14:textId="77777777" w:rsidR="00407106" w:rsidRDefault="00407106">
            <w:pPr>
              <w:widowControl w:val="0"/>
              <w:autoSpaceDE w:val="0"/>
              <w:autoSpaceDN w:val="0"/>
              <w:adjustRightInd w:val="0"/>
              <w:spacing w:after="0" w:line="240" w:lineRule="auto"/>
              <w:ind w:firstLine="0"/>
              <w:rPr>
                <w:i/>
                <w:sz w:val="22"/>
                <w:szCs w:val="22"/>
              </w:rPr>
            </w:pPr>
          </w:p>
        </w:tc>
        <w:tc>
          <w:tcPr>
            <w:tcW w:w="1558" w:type="dxa"/>
          </w:tcPr>
          <w:p w14:paraId="6D5CCD1D"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1C35D17A"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tcPr>
          <w:p w14:paraId="57B201D2"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hideMark/>
          </w:tcPr>
          <w:p w14:paraId="62FCC09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(3.01)</w:t>
            </w:r>
          </w:p>
        </w:tc>
      </w:tr>
      <w:tr w:rsidR="00407106" w14:paraId="1D7A1D33" w14:textId="77777777" w:rsidTr="00407106">
        <w:tc>
          <w:tcPr>
            <w:tcW w:w="3216" w:type="dxa"/>
            <w:hideMark/>
          </w:tcPr>
          <w:p w14:paraId="483ACB4F"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ARC-PENS X CFA</w:t>
            </w:r>
          </w:p>
        </w:tc>
        <w:tc>
          <w:tcPr>
            <w:tcW w:w="1558" w:type="dxa"/>
          </w:tcPr>
          <w:p w14:paraId="12966E7E"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3019949E"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tcPr>
          <w:p w14:paraId="606737C1"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hideMark/>
          </w:tcPr>
          <w:p w14:paraId="72D2D67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-0.002</w:t>
            </w:r>
          </w:p>
        </w:tc>
      </w:tr>
      <w:tr w:rsidR="00407106" w14:paraId="4BC42D00" w14:textId="77777777" w:rsidTr="00407106">
        <w:tc>
          <w:tcPr>
            <w:tcW w:w="3216" w:type="dxa"/>
          </w:tcPr>
          <w:p w14:paraId="70BEE725" w14:textId="77777777" w:rsidR="00407106" w:rsidRDefault="00407106">
            <w:pPr>
              <w:widowControl w:val="0"/>
              <w:autoSpaceDE w:val="0"/>
              <w:autoSpaceDN w:val="0"/>
              <w:adjustRightInd w:val="0"/>
              <w:spacing w:after="0" w:line="240" w:lineRule="auto"/>
              <w:ind w:firstLine="0"/>
              <w:rPr>
                <w:i/>
                <w:sz w:val="22"/>
                <w:szCs w:val="22"/>
              </w:rPr>
            </w:pPr>
          </w:p>
        </w:tc>
        <w:tc>
          <w:tcPr>
            <w:tcW w:w="1558" w:type="dxa"/>
          </w:tcPr>
          <w:p w14:paraId="66B66A6E"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tcPr>
          <w:p w14:paraId="7F1DDEB1" w14:textId="77777777" w:rsidR="00407106" w:rsidRDefault="00407106">
            <w:pPr>
              <w:widowControl w:val="0"/>
              <w:autoSpaceDE w:val="0"/>
              <w:autoSpaceDN w:val="0"/>
              <w:adjustRightInd w:val="0"/>
              <w:spacing w:after="0" w:line="240" w:lineRule="auto"/>
              <w:ind w:firstLine="0"/>
              <w:jc w:val="center"/>
              <w:rPr>
                <w:sz w:val="22"/>
                <w:szCs w:val="22"/>
              </w:rPr>
            </w:pPr>
          </w:p>
        </w:tc>
        <w:tc>
          <w:tcPr>
            <w:tcW w:w="1558" w:type="dxa"/>
          </w:tcPr>
          <w:p w14:paraId="37F5193F" w14:textId="77777777" w:rsidR="00407106" w:rsidRDefault="00407106">
            <w:pPr>
              <w:widowControl w:val="0"/>
              <w:autoSpaceDE w:val="0"/>
              <w:autoSpaceDN w:val="0"/>
              <w:adjustRightInd w:val="0"/>
              <w:spacing w:after="0" w:line="240" w:lineRule="auto"/>
              <w:ind w:firstLine="0"/>
              <w:jc w:val="center"/>
              <w:rPr>
                <w:sz w:val="22"/>
                <w:szCs w:val="22"/>
              </w:rPr>
            </w:pPr>
          </w:p>
        </w:tc>
        <w:tc>
          <w:tcPr>
            <w:tcW w:w="1559" w:type="dxa"/>
            <w:hideMark/>
          </w:tcPr>
          <w:p w14:paraId="50D663E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(-0.12)</w:t>
            </w:r>
          </w:p>
        </w:tc>
      </w:tr>
      <w:tr w:rsidR="00407106" w14:paraId="357E415C" w14:textId="77777777" w:rsidTr="00407106">
        <w:tc>
          <w:tcPr>
            <w:tcW w:w="3216" w:type="dxa"/>
            <w:hideMark/>
          </w:tcPr>
          <w:p w14:paraId="3FFF31CA"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EXPRT-PENS</w:t>
            </w:r>
          </w:p>
        </w:tc>
        <w:tc>
          <w:tcPr>
            <w:tcW w:w="1558" w:type="dxa"/>
            <w:hideMark/>
          </w:tcPr>
          <w:p w14:paraId="3C25F59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0.087**</w:t>
            </w:r>
          </w:p>
        </w:tc>
        <w:tc>
          <w:tcPr>
            <w:tcW w:w="1559" w:type="dxa"/>
            <w:hideMark/>
          </w:tcPr>
          <w:p w14:paraId="174B683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0.111***</w:t>
            </w:r>
          </w:p>
        </w:tc>
        <w:tc>
          <w:tcPr>
            <w:tcW w:w="1558" w:type="dxa"/>
            <w:hideMark/>
          </w:tcPr>
          <w:p w14:paraId="42E9CEF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0.113***</w:t>
            </w:r>
          </w:p>
        </w:tc>
        <w:tc>
          <w:tcPr>
            <w:tcW w:w="1559" w:type="dxa"/>
            <w:hideMark/>
          </w:tcPr>
          <w:p w14:paraId="1EB58A1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0.072**</w:t>
            </w:r>
          </w:p>
        </w:tc>
      </w:tr>
      <w:tr w:rsidR="00407106" w14:paraId="2C55BEFC" w14:textId="77777777" w:rsidTr="00407106">
        <w:tc>
          <w:tcPr>
            <w:tcW w:w="3216" w:type="dxa"/>
          </w:tcPr>
          <w:p w14:paraId="479E2D14" w14:textId="77777777" w:rsidR="00407106" w:rsidRDefault="00407106">
            <w:pPr>
              <w:widowControl w:val="0"/>
              <w:autoSpaceDE w:val="0"/>
              <w:autoSpaceDN w:val="0"/>
              <w:adjustRightInd w:val="0"/>
              <w:spacing w:after="0" w:line="240" w:lineRule="auto"/>
              <w:ind w:firstLine="0"/>
              <w:rPr>
                <w:i/>
                <w:sz w:val="22"/>
                <w:szCs w:val="22"/>
              </w:rPr>
            </w:pPr>
          </w:p>
        </w:tc>
        <w:tc>
          <w:tcPr>
            <w:tcW w:w="1558" w:type="dxa"/>
            <w:hideMark/>
          </w:tcPr>
          <w:p w14:paraId="1A343D1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(2.54)</w:t>
            </w:r>
          </w:p>
        </w:tc>
        <w:tc>
          <w:tcPr>
            <w:tcW w:w="1559" w:type="dxa"/>
            <w:hideMark/>
          </w:tcPr>
          <w:p w14:paraId="6119947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(3.22)</w:t>
            </w:r>
          </w:p>
        </w:tc>
        <w:tc>
          <w:tcPr>
            <w:tcW w:w="1558" w:type="dxa"/>
            <w:hideMark/>
          </w:tcPr>
          <w:p w14:paraId="2D61A10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(3.27)</w:t>
            </w:r>
          </w:p>
        </w:tc>
        <w:tc>
          <w:tcPr>
            <w:tcW w:w="1559" w:type="dxa"/>
            <w:hideMark/>
          </w:tcPr>
          <w:p w14:paraId="156A5BF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(2.08)</w:t>
            </w:r>
          </w:p>
        </w:tc>
      </w:tr>
      <w:tr w:rsidR="00407106" w14:paraId="371F94D0" w14:textId="77777777" w:rsidTr="00407106">
        <w:tc>
          <w:tcPr>
            <w:tcW w:w="3216" w:type="dxa"/>
            <w:hideMark/>
          </w:tcPr>
          <w:p w14:paraId="708C973F"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ARC-PENS X EXPRT-PENS</w:t>
            </w:r>
          </w:p>
        </w:tc>
        <w:tc>
          <w:tcPr>
            <w:tcW w:w="1558" w:type="dxa"/>
            <w:hideMark/>
          </w:tcPr>
          <w:p w14:paraId="5C93339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0.070***</w:t>
            </w:r>
          </w:p>
        </w:tc>
        <w:tc>
          <w:tcPr>
            <w:tcW w:w="1559" w:type="dxa"/>
            <w:hideMark/>
          </w:tcPr>
          <w:p w14:paraId="162EEA5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0.059**</w:t>
            </w:r>
          </w:p>
        </w:tc>
        <w:tc>
          <w:tcPr>
            <w:tcW w:w="1558" w:type="dxa"/>
            <w:hideMark/>
          </w:tcPr>
          <w:p w14:paraId="20E003B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0.075***</w:t>
            </w:r>
          </w:p>
        </w:tc>
        <w:tc>
          <w:tcPr>
            <w:tcW w:w="1559" w:type="dxa"/>
            <w:hideMark/>
          </w:tcPr>
          <w:p w14:paraId="4CFA3DB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0.067***</w:t>
            </w:r>
          </w:p>
        </w:tc>
      </w:tr>
      <w:tr w:rsidR="00407106" w14:paraId="3258A443" w14:textId="77777777" w:rsidTr="00407106">
        <w:tc>
          <w:tcPr>
            <w:tcW w:w="3216" w:type="dxa"/>
          </w:tcPr>
          <w:p w14:paraId="519CD3E4" w14:textId="77777777" w:rsidR="00407106" w:rsidRDefault="00407106">
            <w:pPr>
              <w:widowControl w:val="0"/>
              <w:autoSpaceDE w:val="0"/>
              <w:autoSpaceDN w:val="0"/>
              <w:adjustRightInd w:val="0"/>
              <w:spacing w:after="0" w:line="240" w:lineRule="auto"/>
              <w:ind w:firstLine="0"/>
              <w:rPr>
                <w:sz w:val="22"/>
                <w:szCs w:val="22"/>
              </w:rPr>
            </w:pPr>
          </w:p>
        </w:tc>
        <w:tc>
          <w:tcPr>
            <w:tcW w:w="1558" w:type="dxa"/>
            <w:hideMark/>
          </w:tcPr>
          <w:p w14:paraId="0879B3F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(2.97)</w:t>
            </w:r>
          </w:p>
        </w:tc>
        <w:tc>
          <w:tcPr>
            <w:tcW w:w="1559" w:type="dxa"/>
            <w:hideMark/>
          </w:tcPr>
          <w:p w14:paraId="3FFAA27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(2.55)</w:t>
            </w:r>
          </w:p>
        </w:tc>
        <w:tc>
          <w:tcPr>
            <w:tcW w:w="1558" w:type="dxa"/>
            <w:hideMark/>
          </w:tcPr>
          <w:p w14:paraId="0D367F0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(3.27)</w:t>
            </w:r>
          </w:p>
        </w:tc>
        <w:tc>
          <w:tcPr>
            <w:tcW w:w="1559" w:type="dxa"/>
            <w:hideMark/>
          </w:tcPr>
          <w:p w14:paraId="7EB2F47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(2.89)</w:t>
            </w:r>
          </w:p>
        </w:tc>
      </w:tr>
      <w:tr w:rsidR="00407106" w14:paraId="0F162279" w14:textId="77777777" w:rsidTr="00407106">
        <w:tc>
          <w:tcPr>
            <w:tcW w:w="3216" w:type="dxa"/>
            <w:hideMark/>
          </w:tcPr>
          <w:p w14:paraId="0DA27915" w14:textId="77777777" w:rsidR="00407106" w:rsidRDefault="00407106">
            <w:pPr>
              <w:widowControl w:val="0"/>
              <w:autoSpaceDE w:val="0"/>
              <w:autoSpaceDN w:val="0"/>
              <w:adjustRightInd w:val="0"/>
              <w:spacing w:after="0" w:line="240" w:lineRule="auto"/>
              <w:ind w:firstLine="0"/>
              <w:rPr>
                <w:sz w:val="22"/>
                <w:szCs w:val="22"/>
              </w:rPr>
            </w:pPr>
            <w:r>
              <w:rPr>
                <w:sz w:val="22"/>
                <w:szCs w:val="22"/>
              </w:rPr>
              <w:t>Industry &amp; Year Dummies</w:t>
            </w:r>
          </w:p>
        </w:tc>
        <w:tc>
          <w:tcPr>
            <w:tcW w:w="1558" w:type="dxa"/>
            <w:hideMark/>
          </w:tcPr>
          <w:p w14:paraId="2D0BCCD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59" w:type="dxa"/>
            <w:hideMark/>
          </w:tcPr>
          <w:p w14:paraId="38BDD5A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58" w:type="dxa"/>
            <w:hideMark/>
          </w:tcPr>
          <w:p w14:paraId="65BB46E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59" w:type="dxa"/>
            <w:hideMark/>
          </w:tcPr>
          <w:p w14:paraId="5C9D06A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r>
      <w:tr w:rsidR="00407106" w14:paraId="1DBD8BCF" w14:textId="77777777" w:rsidTr="00407106">
        <w:tc>
          <w:tcPr>
            <w:tcW w:w="3216" w:type="dxa"/>
            <w:tcBorders>
              <w:top w:val="single" w:sz="4" w:space="0" w:color="auto"/>
              <w:left w:val="nil"/>
              <w:bottom w:val="nil"/>
              <w:right w:val="nil"/>
            </w:tcBorders>
            <w:hideMark/>
          </w:tcPr>
          <w:p w14:paraId="5F352697" w14:textId="77777777" w:rsidR="00407106" w:rsidRDefault="00407106">
            <w:pPr>
              <w:widowControl w:val="0"/>
              <w:autoSpaceDE w:val="0"/>
              <w:autoSpaceDN w:val="0"/>
              <w:adjustRightInd w:val="0"/>
              <w:spacing w:after="0" w:line="240" w:lineRule="auto"/>
              <w:ind w:firstLine="0"/>
              <w:rPr>
                <w:sz w:val="22"/>
                <w:szCs w:val="22"/>
              </w:rPr>
            </w:pPr>
            <w:r>
              <w:rPr>
                <w:sz w:val="22"/>
                <w:szCs w:val="22"/>
              </w:rPr>
              <w:t>N</w:t>
            </w:r>
          </w:p>
        </w:tc>
        <w:tc>
          <w:tcPr>
            <w:tcW w:w="1558" w:type="dxa"/>
            <w:tcBorders>
              <w:top w:val="single" w:sz="4" w:space="0" w:color="auto"/>
              <w:left w:val="nil"/>
              <w:bottom w:val="nil"/>
              <w:right w:val="nil"/>
            </w:tcBorders>
            <w:hideMark/>
          </w:tcPr>
          <w:p w14:paraId="1516564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559" w:type="dxa"/>
            <w:tcBorders>
              <w:top w:val="single" w:sz="4" w:space="0" w:color="auto"/>
              <w:left w:val="nil"/>
              <w:bottom w:val="nil"/>
              <w:right w:val="nil"/>
            </w:tcBorders>
            <w:hideMark/>
          </w:tcPr>
          <w:p w14:paraId="14F7EEE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558" w:type="dxa"/>
            <w:tcBorders>
              <w:top w:val="single" w:sz="4" w:space="0" w:color="auto"/>
              <w:left w:val="nil"/>
              <w:bottom w:val="nil"/>
              <w:right w:val="nil"/>
            </w:tcBorders>
            <w:hideMark/>
          </w:tcPr>
          <w:p w14:paraId="0695E8D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1559" w:type="dxa"/>
            <w:tcBorders>
              <w:top w:val="single" w:sz="4" w:space="0" w:color="auto"/>
              <w:left w:val="nil"/>
              <w:bottom w:val="nil"/>
              <w:right w:val="nil"/>
            </w:tcBorders>
            <w:hideMark/>
          </w:tcPr>
          <w:p w14:paraId="40126BC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89,700</w:t>
            </w:r>
          </w:p>
        </w:tc>
      </w:tr>
      <w:tr w:rsidR="00407106" w14:paraId="370C69D9" w14:textId="77777777" w:rsidTr="00407106">
        <w:tc>
          <w:tcPr>
            <w:tcW w:w="3216" w:type="dxa"/>
            <w:hideMark/>
          </w:tcPr>
          <w:p w14:paraId="0BA947DD" w14:textId="77777777" w:rsidR="00407106" w:rsidRDefault="00407106">
            <w:pPr>
              <w:widowControl w:val="0"/>
              <w:autoSpaceDE w:val="0"/>
              <w:autoSpaceDN w:val="0"/>
              <w:adjustRightInd w:val="0"/>
              <w:spacing w:after="0" w:line="240" w:lineRule="auto"/>
              <w:ind w:firstLine="0"/>
              <w:rPr>
                <w:sz w:val="22"/>
                <w:szCs w:val="22"/>
              </w:rPr>
            </w:pPr>
            <w:bookmarkStart w:id="22" w:name="_Hlk507507969"/>
            <w:r>
              <w:rPr>
                <w:sz w:val="22"/>
                <w:szCs w:val="22"/>
              </w:rPr>
              <w:t>Control Variables</w:t>
            </w:r>
          </w:p>
        </w:tc>
        <w:tc>
          <w:tcPr>
            <w:tcW w:w="1558" w:type="dxa"/>
            <w:hideMark/>
          </w:tcPr>
          <w:p w14:paraId="78369D9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59" w:type="dxa"/>
            <w:hideMark/>
          </w:tcPr>
          <w:p w14:paraId="6248551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58" w:type="dxa"/>
            <w:hideMark/>
          </w:tcPr>
          <w:p w14:paraId="0BF525D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1559" w:type="dxa"/>
            <w:hideMark/>
          </w:tcPr>
          <w:p w14:paraId="56B9F58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bookmarkEnd w:id="22"/>
      </w:tr>
      <w:tr w:rsidR="00407106" w14:paraId="33C322C7" w14:textId="77777777" w:rsidTr="00407106">
        <w:tc>
          <w:tcPr>
            <w:tcW w:w="3216" w:type="dxa"/>
            <w:hideMark/>
          </w:tcPr>
          <w:p w14:paraId="724579B4" w14:textId="77777777" w:rsidR="00407106" w:rsidRDefault="00407106">
            <w:pPr>
              <w:widowControl w:val="0"/>
              <w:autoSpaceDE w:val="0"/>
              <w:autoSpaceDN w:val="0"/>
              <w:adjustRightInd w:val="0"/>
              <w:spacing w:after="0" w:line="240" w:lineRule="auto"/>
              <w:ind w:firstLine="0"/>
              <w:rPr>
                <w:sz w:val="22"/>
                <w:szCs w:val="22"/>
              </w:rPr>
            </w:pPr>
            <w:r>
              <w:rPr>
                <w:sz w:val="22"/>
                <w:szCs w:val="22"/>
              </w:rPr>
              <w:t>R-square</w:t>
            </w:r>
          </w:p>
        </w:tc>
        <w:tc>
          <w:tcPr>
            <w:tcW w:w="1558" w:type="dxa"/>
            <w:hideMark/>
          </w:tcPr>
          <w:p w14:paraId="6E5AE05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559" w:type="dxa"/>
            <w:hideMark/>
          </w:tcPr>
          <w:p w14:paraId="2F5DE78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558" w:type="dxa"/>
            <w:hideMark/>
          </w:tcPr>
          <w:p w14:paraId="408862F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559" w:type="dxa"/>
            <w:hideMark/>
          </w:tcPr>
          <w:p w14:paraId="4B4867C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0.243</w:t>
            </w:r>
          </w:p>
        </w:tc>
      </w:tr>
      <w:tr w:rsidR="00407106" w14:paraId="66C61249" w14:textId="77777777" w:rsidTr="00407106">
        <w:tc>
          <w:tcPr>
            <w:tcW w:w="3216" w:type="dxa"/>
            <w:hideMark/>
          </w:tcPr>
          <w:p w14:paraId="6019F712" w14:textId="77777777" w:rsidR="00407106" w:rsidRDefault="00407106">
            <w:pPr>
              <w:widowControl w:val="0"/>
              <w:autoSpaceDE w:val="0"/>
              <w:autoSpaceDN w:val="0"/>
              <w:adjustRightInd w:val="0"/>
              <w:spacing w:after="0" w:line="240" w:lineRule="auto"/>
              <w:ind w:firstLine="0"/>
              <w:rPr>
                <w:sz w:val="22"/>
                <w:szCs w:val="22"/>
              </w:rPr>
            </w:pPr>
            <w:r>
              <w:rPr>
                <w:sz w:val="22"/>
                <w:szCs w:val="22"/>
              </w:rPr>
              <w:t>Adj. R-square</w:t>
            </w:r>
          </w:p>
        </w:tc>
        <w:tc>
          <w:tcPr>
            <w:tcW w:w="1558" w:type="dxa"/>
            <w:hideMark/>
          </w:tcPr>
          <w:p w14:paraId="5F28520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559" w:type="dxa"/>
            <w:hideMark/>
          </w:tcPr>
          <w:p w14:paraId="28DF538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558" w:type="dxa"/>
            <w:hideMark/>
          </w:tcPr>
          <w:p w14:paraId="1A94F18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1559" w:type="dxa"/>
            <w:hideMark/>
          </w:tcPr>
          <w:p w14:paraId="5F01E54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0.242</w:t>
            </w:r>
          </w:p>
        </w:tc>
      </w:tr>
      <w:tr w:rsidR="00407106" w14:paraId="16FFE35E" w14:textId="77777777" w:rsidTr="00407106">
        <w:tc>
          <w:tcPr>
            <w:tcW w:w="3216" w:type="dxa"/>
            <w:hideMark/>
          </w:tcPr>
          <w:p w14:paraId="57B86285" w14:textId="77777777" w:rsidR="00407106" w:rsidRDefault="00407106">
            <w:pPr>
              <w:widowControl w:val="0"/>
              <w:autoSpaceDE w:val="0"/>
              <w:autoSpaceDN w:val="0"/>
              <w:adjustRightInd w:val="0"/>
              <w:spacing w:after="0" w:line="240" w:lineRule="auto"/>
              <w:ind w:firstLine="0"/>
              <w:rPr>
                <w:sz w:val="22"/>
                <w:szCs w:val="22"/>
              </w:rPr>
            </w:pPr>
            <w:r>
              <w:rPr>
                <w:sz w:val="22"/>
                <w:szCs w:val="22"/>
              </w:rPr>
              <w:t>Equality of the two interactions</w:t>
            </w:r>
          </w:p>
        </w:tc>
        <w:tc>
          <w:tcPr>
            <w:tcW w:w="1558" w:type="dxa"/>
            <w:hideMark/>
          </w:tcPr>
          <w:p w14:paraId="57A866A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11.096</w:t>
            </w:r>
          </w:p>
        </w:tc>
        <w:tc>
          <w:tcPr>
            <w:tcW w:w="1559" w:type="dxa"/>
            <w:hideMark/>
          </w:tcPr>
          <w:p w14:paraId="7276E27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1.217</w:t>
            </w:r>
          </w:p>
        </w:tc>
        <w:tc>
          <w:tcPr>
            <w:tcW w:w="1558" w:type="dxa"/>
            <w:hideMark/>
          </w:tcPr>
          <w:p w14:paraId="55D9F7B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0.121</w:t>
            </w:r>
          </w:p>
        </w:tc>
        <w:tc>
          <w:tcPr>
            <w:tcW w:w="1559" w:type="dxa"/>
            <w:hideMark/>
          </w:tcPr>
          <w:p w14:paraId="260132A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6.814</w:t>
            </w:r>
          </w:p>
        </w:tc>
      </w:tr>
      <w:tr w:rsidR="00407106" w14:paraId="0750AEF2" w14:textId="77777777" w:rsidTr="00407106">
        <w:tc>
          <w:tcPr>
            <w:tcW w:w="3216" w:type="dxa"/>
            <w:tcBorders>
              <w:top w:val="nil"/>
              <w:left w:val="nil"/>
              <w:bottom w:val="single" w:sz="4" w:space="0" w:color="auto"/>
              <w:right w:val="nil"/>
            </w:tcBorders>
            <w:hideMark/>
          </w:tcPr>
          <w:p w14:paraId="71C24C4F" w14:textId="77777777" w:rsidR="00407106" w:rsidRDefault="00407106">
            <w:pPr>
              <w:widowControl w:val="0"/>
              <w:autoSpaceDE w:val="0"/>
              <w:autoSpaceDN w:val="0"/>
              <w:adjustRightInd w:val="0"/>
              <w:spacing w:after="0" w:line="240" w:lineRule="auto"/>
              <w:ind w:firstLine="0"/>
              <w:rPr>
                <w:sz w:val="22"/>
                <w:szCs w:val="22"/>
              </w:rPr>
            </w:pPr>
            <w:r>
              <w:rPr>
                <w:sz w:val="22"/>
                <w:szCs w:val="22"/>
              </w:rPr>
              <w:t>p-value</w:t>
            </w:r>
          </w:p>
        </w:tc>
        <w:tc>
          <w:tcPr>
            <w:tcW w:w="1558" w:type="dxa"/>
            <w:tcBorders>
              <w:top w:val="nil"/>
              <w:left w:val="nil"/>
              <w:bottom w:val="single" w:sz="4" w:space="0" w:color="auto"/>
              <w:right w:val="nil"/>
            </w:tcBorders>
            <w:hideMark/>
          </w:tcPr>
          <w:p w14:paraId="45F6779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0.001</w:t>
            </w:r>
          </w:p>
        </w:tc>
        <w:tc>
          <w:tcPr>
            <w:tcW w:w="1559" w:type="dxa"/>
            <w:tcBorders>
              <w:top w:val="nil"/>
              <w:left w:val="nil"/>
              <w:bottom w:val="single" w:sz="4" w:space="0" w:color="auto"/>
              <w:right w:val="nil"/>
            </w:tcBorders>
            <w:hideMark/>
          </w:tcPr>
          <w:p w14:paraId="1B57F19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0.270</w:t>
            </w:r>
          </w:p>
        </w:tc>
        <w:tc>
          <w:tcPr>
            <w:tcW w:w="1558" w:type="dxa"/>
            <w:tcBorders>
              <w:top w:val="nil"/>
              <w:left w:val="nil"/>
              <w:bottom w:val="single" w:sz="4" w:space="0" w:color="auto"/>
              <w:right w:val="nil"/>
            </w:tcBorders>
            <w:hideMark/>
          </w:tcPr>
          <w:p w14:paraId="17DC1E1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0.728</w:t>
            </w:r>
          </w:p>
        </w:tc>
        <w:tc>
          <w:tcPr>
            <w:tcW w:w="1559" w:type="dxa"/>
            <w:tcBorders>
              <w:top w:val="nil"/>
              <w:left w:val="nil"/>
              <w:bottom w:val="single" w:sz="4" w:space="0" w:color="auto"/>
              <w:right w:val="nil"/>
            </w:tcBorders>
            <w:hideMark/>
          </w:tcPr>
          <w:p w14:paraId="727B82A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0.009</w:t>
            </w:r>
          </w:p>
        </w:tc>
      </w:tr>
    </w:tbl>
    <w:p w14:paraId="3D541EB4" w14:textId="77777777" w:rsidR="00407106" w:rsidRDefault="00407106" w:rsidP="00407106">
      <w:pPr>
        <w:spacing w:after="160" w:line="256" w:lineRule="auto"/>
        <w:ind w:firstLine="0"/>
        <w:jc w:val="left"/>
      </w:pPr>
    </w:p>
    <w:p w14:paraId="5F2AC059" w14:textId="77777777" w:rsidR="00407106" w:rsidRDefault="00407106" w:rsidP="00407106">
      <w:pPr>
        <w:spacing w:after="160" w:line="256" w:lineRule="auto"/>
        <w:ind w:firstLine="0"/>
        <w:jc w:val="left"/>
        <w:rPr>
          <w:b/>
        </w:rPr>
      </w:pPr>
      <w:r>
        <w:rPr>
          <w:b/>
        </w:rPr>
        <w:br w:type="page"/>
      </w:r>
    </w:p>
    <w:p w14:paraId="0621F1D3" w14:textId="77777777" w:rsidR="00407106" w:rsidRDefault="00407106" w:rsidP="00407106">
      <w:pPr>
        <w:keepNext/>
        <w:widowControl w:val="0"/>
        <w:autoSpaceDE w:val="0"/>
        <w:autoSpaceDN w:val="0"/>
        <w:adjustRightInd w:val="0"/>
        <w:spacing w:after="0" w:line="240" w:lineRule="auto"/>
        <w:ind w:firstLine="0"/>
        <w:jc w:val="center"/>
        <w:rPr>
          <w:b/>
        </w:rPr>
      </w:pPr>
      <w:r>
        <w:rPr>
          <w:b/>
        </w:rPr>
        <w:lastRenderedPageBreak/>
        <w:t>TABLE 9</w:t>
      </w:r>
    </w:p>
    <w:p w14:paraId="5F46D6CF" w14:textId="77777777" w:rsidR="00407106" w:rsidRDefault="00407106" w:rsidP="00407106">
      <w:pPr>
        <w:keepNext/>
        <w:widowControl w:val="0"/>
        <w:autoSpaceDE w:val="0"/>
        <w:autoSpaceDN w:val="0"/>
        <w:adjustRightInd w:val="0"/>
        <w:spacing w:after="0" w:line="240" w:lineRule="auto"/>
        <w:ind w:firstLine="0"/>
        <w:jc w:val="center"/>
        <w:rPr>
          <w:i/>
        </w:rPr>
      </w:pPr>
      <w:r>
        <w:rPr>
          <w:i/>
        </w:rPr>
        <w:t>Accounting complexity and the information environment</w:t>
      </w:r>
    </w:p>
    <w:p w14:paraId="3BABB504" w14:textId="77777777" w:rsidR="00407106" w:rsidRDefault="00407106" w:rsidP="00407106">
      <w:pPr>
        <w:keepNext/>
        <w:widowControl w:val="0"/>
        <w:autoSpaceDE w:val="0"/>
        <w:autoSpaceDN w:val="0"/>
        <w:adjustRightInd w:val="0"/>
        <w:spacing w:after="0" w:line="240" w:lineRule="auto"/>
        <w:ind w:firstLine="0"/>
      </w:pPr>
      <w:r>
        <w:t>The table below presents the results of the regression analysis (OLS) of analysts’ forecast accuracy at the estimate level.</w:t>
      </w:r>
    </w:p>
    <w:p w14:paraId="454C30EC" w14:textId="77777777" w:rsidR="00407106" w:rsidRDefault="00407106" w:rsidP="00407106">
      <w:pPr>
        <w:keepNext/>
        <w:widowControl w:val="0"/>
        <w:autoSpaceDE w:val="0"/>
        <w:autoSpaceDN w:val="0"/>
        <w:adjustRightInd w:val="0"/>
        <w:spacing w:before="120" w:after="120" w:line="240" w:lineRule="auto"/>
        <w:ind w:firstLine="0"/>
        <w:jc w:val="center"/>
      </w:pPr>
      <w:r>
        <w:t>-1 × |Forecast Error| = α + β</w:t>
      </w:r>
      <w:r>
        <w:rPr>
          <w:vertAlign w:val="subscript"/>
        </w:rPr>
        <w:t>1</w:t>
      </w:r>
      <w:r>
        <w:t>ARC-NOTES + λ</w:t>
      </w:r>
      <w:r>
        <w:rPr>
          <w:vertAlign w:val="subscript"/>
        </w:rPr>
        <w:t>1</w:t>
      </w:r>
      <w:r>
        <w:t>IE + η</w:t>
      </w:r>
      <w:r>
        <w:rPr>
          <w:vertAlign w:val="subscript"/>
        </w:rPr>
        <w:t>1</w:t>
      </w:r>
      <w:r>
        <w:t xml:space="preserve">ARC-NOTES×IE + ∑γControls </w:t>
      </w:r>
    </w:p>
    <w:p w14:paraId="16FD98BE" w14:textId="77777777" w:rsidR="00407106" w:rsidRDefault="00407106" w:rsidP="00407106">
      <w:pPr>
        <w:keepNext/>
        <w:widowControl w:val="0"/>
        <w:autoSpaceDE w:val="0"/>
        <w:autoSpaceDN w:val="0"/>
        <w:adjustRightInd w:val="0"/>
        <w:spacing w:before="120" w:after="120" w:line="240" w:lineRule="auto"/>
        <w:ind w:firstLine="0"/>
        <w:jc w:val="center"/>
      </w:pPr>
      <w:r>
        <w:t>+ ∑δIndustry + ∑θYear + ε</w:t>
      </w:r>
      <w:r>
        <w:rPr>
          <w:vertAlign w:val="subscript"/>
        </w:rPr>
        <w:t>it</w:t>
      </w:r>
      <w:r>
        <w:t>.</w:t>
      </w:r>
    </w:p>
    <w:p w14:paraId="19D95DAF" w14:textId="77777777" w:rsidR="00407106" w:rsidRDefault="00407106" w:rsidP="00407106">
      <w:pPr>
        <w:keepNext/>
        <w:widowControl w:val="0"/>
        <w:autoSpaceDE w:val="0"/>
        <w:autoSpaceDN w:val="0"/>
        <w:adjustRightInd w:val="0"/>
        <w:spacing w:after="0" w:line="240" w:lineRule="auto"/>
        <w:ind w:firstLine="0"/>
      </w:pPr>
      <w:r>
        <w:t>|</w:t>
      </w:r>
      <w:r>
        <w:rPr>
          <w:i/>
        </w:rPr>
        <w:t>Forecast Error</w:t>
      </w:r>
      <w:r>
        <w:t xml:space="preserve">| is calculated as the absolute value of actual minus forecasted earnings scaled by price and multiplied by 100. </w:t>
      </w:r>
      <w:r>
        <w:rPr>
          <w:i/>
        </w:rPr>
        <w:t>ARC-NOTES</w:t>
      </w:r>
      <w:r>
        <w:t xml:space="preserve"> equals the natural logarithm of one plus the total number of monetary tags reported in the footnotes of the financial statements. </w:t>
      </w:r>
      <w:r>
        <w:rPr>
          <w:i/>
        </w:rPr>
        <w:t>IE</w:t>
      </w:r>
      <w:r>
        <w:t xml:space="preserve"> represents the three measures of the information environment: </w:t>
      </w:r>
      <w:r>
        <w:rPr>
          <w:i/>
        </w:rPr>
        <w:t>EFFORT</w:t>
      </w:r>
      <w:r>
        <w:t xml:space="preserve">, </w:t>
      </w:r>
      <w:r>
        <w:rPr>
          <w:i/>
        </w:rPr>
        <w:t>DVOLDISC</w:t>
      </w:r>
      <w:r>
        <w:t xml:space="preserve">, and </w:t>
      </w:r>
      <w:r>
        <w:rPr>
          <w:i/>
        </w:rPr>
        <w:t>FOLL_FOR</w:t>
      </w:r>
      <w:r>
        <w:t xml:space="preserve">. </w:t>
      </w:r>
      <w:r>
        <w:rPr>
          <w:i/>
        </w:rPr>
        <w:t>EFFORT</w:t>
      </w:r>
      <w:r>
        <w:t xml:space="preserve"> equals the natural logarithm of one plus the number of forecasts that the analyst issued during the fiscal period. </w:t>
      </w:r>
      <w:r>
        <w:rPr>
          <w:i/>
        </w:rPr>
        <w:t>DVOLDISC</w:t>
      </w:r>
      <w:r>
        <w:t xml:space="preserve"> is an indicator variable that equals one for companies that issued at least one management forecast during the fiscal period. </w:t>
      </w:r>
      <w:r>
        <w:rPr>
          <w:i/>
        </w:rPr>
        <w:t>FOLL_FOR</w:t>
      </w:r>
      <w:r>
        <w:t xml:space="preserve"> is the natural logarithm of one plus the number of analysts who issued earnings estimates. </w:t>
      </w:r>
      <w:r>
        <w:rPr>
          <w:i/>
        </w:rPr>
        <w:t>EFFORT</w:t>
      </w:r>
      <w:r>
        <w:t xml:space="preserve">, </w:t>
      </w:r>
      <w:r>
        <w:rPr>
          <w:i/>
        </w:rPr>
        <w:t>DVOLDISC</w:t>
      </w:r>
      <w:r>
        <w:t xml:space="preserve">, and </w:t>
      </w:r>
      <w:r>
        <w:rPr>
          <w:i/>
        </w:rPr>
        <w:t>FOLL_FOR</w:t>
      </w:r>
      <w:r>
        <w:t xml:space="preserve"> are mean centered.</w:t>
      </w:r>
      <w:r>
        <w:rPr>
          <w:sz w:val="22"/>
          <w:szCs w:val="22"/>
        </w:rPr>
        <w:t xml:space="preserve"> </w:t>
      </w:r>
      <w:r>
        <w:t>For each variable, the two rows report estimated coefficients, and t-statistics (in brackets) computed based on standard errors clustered by analyst and firm. The symbols *, **, and *** indicate statistical significance at the ten, five, and one percent levels, respectively. Industry and year fixed-effects are included in all models. The number of observations and goodness of fit statistics are reported at the bottom of the table.</w:t>
      </w:r>
    </w:p>
    <w:p w14:paraId="42EBBFF1" w14:textId="77777777" w:rsidR="00407106" w:rsidRDefault="00407106" w:rsidP="00407106">
      <w:pPr>
        <w:spacing w:after="160" w:line="256" w:lineRule="auto"/>
        <w:ind w:firstLine="0"/>
        <w:jc w:val="left"/>
        <w:rPr>
          <w:sz w:val="22"/>
          <w:szCs w:val="22"/>
        </w:rPr>
      </w:pPr>
    </w:p>
    <w:tbl>
      <w:tblPr>
        <w:tblW w:w="0" w:type="auto"/>
        <w:tblLayout w:type="fixed"/>
        <w:tblLook w:val="04A0" w:firstRow="1" w:lastRow="0" w:firstColumn="1" w:lastColumn="0" w:noHBand="0" w:noVBand="1"/>
      </w:tblPr>
      <w:tblGrid>
        <w:gridCol w:w="3240"/>
        <w:gridCol w:w="2010"/>
        <w:gridCol w:w="2010"/>
        <w:gridCol w:w="2010"/>
      </w:tblGrid>
      <w:tr w:rsidR="00407106" w14:paraId="27124C9F" w14:textId="77777777" w:rsidTr="00407106">
        <w:trPr>
          <w:trHeight w:hRule="exact" w:val="360"/>
        </w:trPr>
        <w:tc>
          <w:tcPr>
            <w:tcW w:w="3240" w:type="dxa"/>
            <w:tcBorders>
              <w:top w:val="single" w:sz="4" w:space="0" w:color="auto"/>
              <w:left w:val="nil"/>
              <w:bottom w:val="single" w:sz="4" w:space="0" w:color="auto"/>
              <w:right w:val="nil"/>
            </w:tcBorders>
            <w:vAlign w:val="center"/>
            <w:hideMark/>
          </w:tcPr>
          <w:p w14:paraId="692F5152" w14:textId="77777777" w:rsidR="00407106" w:rsidRDefault="00407106">
            <w:pPr>
              <w:widowControl w:val="0"/>
              <w:autoSpaceDE w:val="0"/>
              <w:autoSpaceDN w:val="0"/>
              <w:adjustRightInd w:val="0"/>
              <w:spacing w:after="0" w:line="240" w:lineRule="auto"/>
              <w:ind w:firstLine="0"/>
              <w:jc w:val="left"/>
              <w:rPr>
                <w:sz w:val="22"/>
                <w:szCs w:val="22"/>
              </w:rPr>
            </w:pPr>
            <w:r>
              <w:rPr>
                <w:sz w:val="22"/>
                <w:szCs w:val="22"/>
              </w:rPr>
              <w:t>Dependent Variable =</w:t>
            </w:r>
          </w:p>
        </w:tc>
        <w:tc>
          <w:tcPr>
            <w:tcW w:w="6030" w:type="dxa"/>
            <w:gridSpan w:val="3"/>
            <w:tcBorders>
              <w:top w:val="single" w:sz="4" w:space="0" w:color="auto"/>
              <w:left w:val="nil"/>
              <w:bottom w:val="single" w:sz="4" w:space="0" w:color="auto"/>
              <w:right w:val="nil"/>
            </w:tcBorders>
            <w:vAlign w:val="center"/>
            <w:hideMark/>
          </w:tcPr>
          <w:p w14:paraId="574FAFA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 × |Forecast Error|</w:t>
            </w:r>
          </w:p>
        </w:tc>
      </w:tr>
      <w:tr w:rsidR="00407106" w14:paraId="534EB7EA" w14:textId="77777777" w:rsidTr="00407106">
        <w:trPr>
          <w:trHeight w:hRule="exact" w:val="360"/>
        </w:trPr>
        <w:tc>
          <w:tcPr>
            <w:tcW w:w="3240" w:type="dxa"/>
            <w:tcBorders>
              <w:top w:val="single" w:sz="4" w:space="0" w:color="auto"/>
              <w:left w:val="nil"/>
              <w:bottom w:val="single" w:sz="4" w:space="0" w:color="auto"/>
              <w:right w:val="nil"/>
            </w:tcBorders>
            <w:vAlign w:val="center"/>
          </w:tcPr>
          <w:p w14:paraId="04123706"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Borders>
              <w:top w:val="single" w:sz="4" w:space="0" w:color="auto"/>
              <w:left w:val="nil"/>
              <w:bottom w:val="single" w:sz="4" w:space="0" w:color="auto"/>
              <w:right w:val="nil"/>
            </w:tcBorders>
            <w:vAlign w:val="center"/>
            <w:hideMark/>
          </w:tcPr>
          <w:p w14:paraId="49D58AB1"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w:t>
            </w:r>
          </w:p>
        </w:tc>
        <w:tc>
          <w:tcPr>
            <w:tcW w:w="2010" w:type="dxa"/>
            <w:tcBorders>
              <w:top w:val="single" w:sz="4" w:space="0" w:color="auto"/>
              <w:left w:val="nil"/>
              <w:bottom w:val="single" w:sz="4" w:space="0" w:color="auto"/>
              <w:right w:val="nil"/>
            </w:tcBorders>
            <w:vAlign w:val="center"/>
            <w:hideMark/>
          </w:tcPr>
          <w:p w14:paraId="203673E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w:t>
            </w:r>
          </w:p>
        </w:tc>
        <w:tc>
          <w:tcPr>
            <w:tcW w:w="2010" w:type="dxa"/>
            <w:tcBorders>
              <w:top w:val="single" w:sz="4" w:space="0" w:color="auto"/>
              <w:left w:val="nil"/>
              <w:bottom w:val="single" w:sz="4" w:space="0" w:color="auto"/>
              <w:right w:val="nil"/>
            </w:tcBorders>
            <w:vAlign w:val="center"/>
            <w:hideMark/>
          </w:tcPr>
          <w:p w14:paraId="6409495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(3)</w:t>
            </w:r>
          </w:p>
        </w:tc>
      </w:tr>
      <w:tr w:rsidR="00407106" w14:paraId="70EF9EF7" w14:textId="77777777" w:rsidTr="00407106">
        <w:tc>
          <w:tcPr>
            <w:tcW w:w="3240" w:type="dxa"/>
            <w:tcBorders>
              <w:top w:val="single" w:sz="4" w:space="0" w:color="auto"/>
              <w:left w:val="nil"/>
              <w:bottom w:val="nil"/>
              <w:right w:val="nil"/>
            </w:tcBorders>
          </w:tcPr>
          <w:p w14:paraId="0DF25FC8" w14:textId="77777777" w:rsidR="00407106" w:rsidRDefault="00407106">
            <w:pPr>
              <w:widowControl w:val="0"/>
              <w:autoSpaceDE w:val="0"/>
              <w:autoSpaceDN w:val="0"/>
              <w:adjustRightInd w:val="0"/>
              <w:spacing w:after="0" w:line="240" w:lineRule="auto"/>
              <w:ind w:firstLine="0"/>
              <w:rPr>
                <w:sz w:val="22"/>
                <w:szCs w:val="22"/>
              </w:rPr>
            </w:pPr>
          </w:p>
        </w:tc>
        <w:tc>
          <w:tcPr>
            <w:tcW w:w="2010" w:type="dxa"/>
            <w:tcBorders>
              <w:top w:val="single" w:sz="4" w:space="0" w:color="auto"/>
              <w:left w:val="nil"/>
              <w:bottom w:val="nil"/>
              <w:right w:val="nil"/>
            </w:tcBorders>
          </w:tcPr>
          <w:p w14:paraId="265131FB"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Borders>
              <w:top w:val="single" w:sz="4" w:space="0" w:color="auto"/>
              <w:left w:val="nil"/>
              <w:bottom w:val="nil"/>
              <w:right w:val="nil"/>
            </w:tcBorders>
          </w:tcPr>
          <w:p w14:paraId="13F7381D"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Borders>
              <w:top w:val="single" w:sz="4" w:space="0" w:color="auto"/>
              <w:left w:val="nil"/>
              <w:bottom w:val="nil"/>
              <w:right w:val="nil"/>
            </w:tcBorders>
          </w:tcPr>
          <w:p w14:paraId="0E30606B"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28C68554" w14:textId="77777777" w:rsidTr="00407106">
        <w:tc>
          <w:tcPr>
            <w:tcW w:w="3240" w:type="dxa"/>
            <w:hideMark/>
          </w:tcPr>
          <w:p w14:paraId="33B26F7B" w14:textId="77777777" w:rsidR="00407106" w:rsidRDefault="00407106">
            <w:pPr>
              <w:widowControl w:val="0"/>
              <w:autoSpaceDE w:val="0"/>
              <w:autoSpaceDN w:val="0"/>
              <w:adjustRightInd w:val="0"/>
              <w:spacing w:after="0" w:line="240" w:lineRule="auto"/>
              <w:ind w:firstLine="0"/>
              <w:rPr>
                <w:sz w:val="22"/>
                <w:szCs w:val="22"/>
                <w:u w:val="single"/>
              </w:rPr>
            </w:pPr>
            <w:r>
              <w:rPr>
                <w:sz w:val="22"/>
                <w:szCs w:val="22"/>
                <w:u w:val="single"/>
              </w:rPr>
              <w:t>Accounting complexity:</w:t>
            </w:r>
          </w:p>
        </w:tc>
        <w:tc>
          <w:tcPr>
            <w:tcW w:w="2010" w:type="dxa"/>
          </w:tcPr>
          <w:p w14:paraId="5F6B7E00"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Pr>
          <w:p w14:paraId="39CDA84E"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Pr>
          <w:p w14:paraId="21BE9E2A"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88CF75B" w14:textId="77777777" w:rsidTr="00407106">
        <w:tc>
          <w:tcPr>
            <w:tcW w:w="3240" w:type="dxa"/>
            <w:hideMark/>
          </w:tcPr>
          <w:p w14:paraId="62F5B9B6"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w:t>
            </w:r>
          </w:p>
        </w:tc>
        <w:tc>
          <w:tcPr>
            <w:tcW w:w="2010" w:type="dxa"/>
            <w:hideMark/>
          </w:tcPr>
          <w:p w14:paraId="07E25EE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-0.229</w:t>
            </w:r>
            <w:r>
              <w:rPr>
                <w:sz w:val="22"/>
                <w:szCs w:val="22"/>
                <w:vertAlign w:val="superscript"/>
              </w:rPr>
              <w:t>*</w:t>
            </w:r>
          </w:p>
        </w:tc>
        <w:tc>
          <w:tcPr>
            <w:tcW w:w="2010" w:type="dxa"/>
            <w:hideMark/>
          </w:tcPr>
          <w:p w14:paraId="12605B7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-0.213</w:t>
            </w:r>
            <w:r>
              <w:rPr>
                <w:sz w:val="22"/>
                <w:szCs w:val="22"/>
                <w:vertAlign w:val="superscript"/>
              </w:rPr>
              <w:t>**</w:t>
            </w:r>
          </w:p>
        </w:tc>
        <w:tc>
          <w:tcPr>
            <w:tcW w:w="2010" w:type="dxa"/>
            <w:hideMark/>
          </w:tcPr>
          <w:p w14:paraId="15A225B3"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-0.183</w:t>
            </w:r>
            <w:r>
              <w:rPr>
                <w:sz w:val="22"/>
                <w:szCs w:val="22"/>
                <w:vertAlign w:val="superscript"/>
              </w:rPr>
              <w:t>**</w:t>
            </w:r>
          </w:p>
        </w:tc>
      </w:tr>
      <w:tr w:rsidR="00407106" w14:paraId="37870D5C" w14:textId="77777777" w:rsidTr="00407106">
        <w:tc>
          <w:tcPr>
            <w:tcW w:w="3240" w:type="dxa"/>
          </w:tcPr>
          <w:p w14:paraId="22FA21CC" w14:textId="77777777" w:rsidR="00407106" w:rsidRDefault="00407106">
            <w:pPr>
              <w:widowControl w:val="0"/>
              <w:autoSpaceDE w:val="0"/>
              <w:autoSpaceDN w:val="0"/>
              <w:adjustRightInd w:val="0"/>
              <w:spacing w:after="0" w:line="240" w:lineRule="auto"/>
              <w:ind w:firstLine="0"/>
              <w:rPr>
                <w:i/>
                <w:sz w:val="22"/>
                <w:szCs w:val="22"/>
              </w:rPr>
            </w:pPr>
          </w:p>
        </w:tc>
        <w:tc>
          <w:tcPr>
            <w:tcW w:w="2010" w:type="dxa"/>
            <w:hideMark/>
          </w:tcPr>
          <w:p w14:paraId="70EF4A6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(-1.95)</w:t>
            </w:r>
          </w:p>
        </w:tc>
        <w:tc>
          <w:tcPr>
            <w:tcW w:w="2010" w:type="dxa"/>
            <w:hideMark/>
          </w:tcPr>
          <w:p w14:paraId="270538B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(-2.52)</w:t>
            </w:r>
          </w:p>
        </w:tc>
        <w:tc>
          <w:tcPr>
            <w:tcW w:w="2010" w:type="dxa"/>
            <w:hideMark/>
          </w:tcPr>
          <w:p w14:paraId="0E5D976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(-2.17)</w:t>
            </w:r>
          </w:p>
        </w:tc>
      </w:tr>
      <w:tr w:rsidR="00407106" w14:paraId="00BF100C" w14:textId="77777777" w:rsidTr="00407106">
        <w:tc>
          <w:tcPr>
            <w:tcW w:w="3240" w:type="dxa"/>
            <w:hideMark/>
          </w:tcPr>
          <w:p w14:paraId="53185751"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EFFORT</w:t>
            </w:r>
          </w:p>
        </w:tc>
        <w:tc>
          <w:tcPr>
            <w:tcW w:w="2010" w:type="dxa"/>
            <w:hideMark/>
          </w:tcPr>
          <w:p w14:paraId="67DA908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0.191</w:t>
            </w:r>
            <w:r>
              <w:rPr>
                <w:sz w:val="22"/>
                <w:szCs w:val="22"/>
                <w:vertAlign w:val="superscript"/>
              </w:rPr>
              <w:t>***</w:t>
            </w:r>
          </w:p>
        </w:tc>
        <w:tc>
          <w:tcPr>
            <w:tcW w:w="2010" w:type="dxa"/>
          </w:tcPr>
          <w:p w14:paraId="46E827B2"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Pr>
          <w:p w14:paraId="5347B386"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7556BB48" w14:textId="77777777" w:rsidTr="00407106">
        <w:tc>
          <w:tcPr>
            <w:tcW w:w="3240" w:type="dxa"/>
          </w:tcPr>
          <w:p w14:paraId="3CD75335" w14:textId="77777777" w:rsidR="00407106" w:rsidRDefault="00407106">
            <w:pPr>
              <w:widowControl w:val="0"/>
              <w:autoSpaceDE w:val="0"/>
              <w:autoSpaceDN w:val="0"/>
              <w:adjustRightInd w:val="0"/>
              <w:spacing w:after="0" w:line="240" w:lineRule="auto"/>
              <w:ind w:firstLine="0"/>
              <w:rPr>
                <w:i/>
                <w:sz w:val="22"/>
                <w:szCs w:val="22"/>
              </w:rPr>
            </w:pPr>
          </w:p>
        </w:tc>
        <w:tc>
          <w:tcPr>
            <w:tcW w:w="2010" w:type="dxa"/>
            <w:hideMark/>
          </w:tcPr>
          <w:p w14:paraId="2B9FF099"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(7.78)</w:t>
            </w:r>
          </w:p>
        </w:tc>
        <w:tc>
          <w:tcPr>
            <w:tcW w:w="2010" w:type="dxa"/>
          </w:tcPr>
          <w:p w14:paraId="31DDE271"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Pr>
          <w:p w14:paraId="2844E01F"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95AAADF" w14:textId="77777777" w:rsidTr="00407106">
        <w:tc>
          <w:tcPr>
            <w:tcW w:w="3240" w:type="dxa"/>
            <w:hideMark/>
          </w:tcPr>
          <w:p w14:paraId="1B5BB7F0"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 X EFFORT</w:t>
            </w:r>
          </w:p>
        </w:tc>
        <w:tc>
          <w:tcPr>
            <w:tcW w:w="2010" w:type="dxa"/>
            <w:hideMark/>
          </w:tcPr>
          <w:p w14:paraId="28AC328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0.019</w:t>
            </w:r>
          </w:p>
        </w:tc>
        <w:tc>
          <w:tcPr>
            <w:tcW w:w="2010" w:type="dxa"/>
          </w:tcPr>
          <w:p w14:paraId="711C262F"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Pr>
          <w:p w14:paraId="5FF1C68B"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17008C79" w14:textId="77777777" w:rsidTr="00407106">
        <w:tc>
          <w:tcPr>
            <w:tcW w:w="3240" w:type="dxa"/>
          </w:tcPr>
          <w:p w14:paraId="065A07D4" w14:textId="77777777" w:rsidR="00407106" w:rsidRDefault="00407106">
            <w:pPr>
              <w:widowControl w:val="0"/>
              <w:autoSpaceDE w:val="0"/>
              <w:autoSpaceDN w:val="0"/>
              <w:adjustRightInd w:val="0"/>
              <w:spacing w:after="0" w:line="240" w:lineRule="auto"/>
              <w:ind w:firstLine="0"/>
              <w:rPr>
                <w:i/>
                <w:sz w:val="22"/>
                <w:szCs w:val="22"/>
              </w:rPr>
            </w:pPr>
          </w:p>
        </w:tc>
        <w:tc>
          <w:tcPr>
            <w:tcW w:w="2010" w:type="dxa"/>
            <w:hideMark/>
          </w:tcPr>
          <w:p w14:paraId="46EB093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(0.33)</w:t>
            </w:r>
          </w:p>
        </w:tc>
        <w:tc>
          <w:tcPr>
            <w:tcW w:w="2010" w:type="dxa"/>
          </w:tcPr>
          <w:p w14:paraId="41CC409E"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Pr>
          <w:p w14:paraId="53D7C07E"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72F5F2D" w14:textId="77777777" w:rsidTr="00407106">
        <w:tc>
          <w:tcPr>
            <w:tcW w:w="3240" w:type="dxa"/>
            <w:hideMark/>
          </w:tcPr>
          <w:p w14:paraId="0B19CA9D"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DVOLDISC</w:t>
            </w:r>
          </w:p>
        </w:tc>
        <w:tc>
          <w:tcPr>
            <w:tcW w:w="2010" w:type="dxa"/>
          </w:tcPr>
          <w:p w14:paraId="777E958A"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hideMark/>
          </w:tcPr>
          <w:p w14:paraId="4E3BCB4A"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0.189</w:t>
            </w:r>
            <w:r>
              <w:rPr>
                <w:sz w:val="22"/>
                <w:szCs w:val="22"/>
                <w:vertAlign w:val="superscript"/>
              </w:rPr>
              <w:t>***</w:t>
            </w:r>
          </w:p>
        </w:tc>
        <w:tc>
          <w:tcPr>
            <w:tcW w:w="2010" w:type="dxa"/>
          </w:tcPr>
          <w:p w14:paraId="66F2AEF8"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5099FFC4" w14:textId="77777777" w:rsidTr="00407106">
        <w:tc>
          <w:tcPr>
            <w:tcW w:w="3240" w:type="dxa"/>
          </w:tcPr>
          <w:p w14:paraId="3F62F739" w14:textId="77777777" w:rsidR="00407106" w:rsidRDefault="00407106">
            <w:pPr>
              <w:widowControl w:val="0"/>
              <w:autoSpaceDE w:val="0"/>
              <w:autoSpaceDN w:val="0"/>
              <w:adjustRightInd w:val="0"/>
              <w:spacing w:after="0" w:line="240" w:lineRule="auto"/>
              <w:ind w:firstLine="0"/>
              <w:rPr>
                <w:i/>
                <w:sz w:val="22"/>
                <w:szCs w:val="22"/>
              </w:rPr>
            </w:pPr>
          </w:p>
        </w:tc>
        <w:tc>
          <w:tcPr>
            <w:tcW w:w="2010" w:type="dxa"/>
          </w:tcPr>
          <w:p w14:paraId="52B3102F"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hideMark/>
          </w:tcPr>
          <w:p w14:paraId="3A80CA0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(2.94)</w:t>
            </w:r>
          </w:p>
        </w:tc>
        <w:tc>
          <w:tcPr>
            <w:tcW w:w="2010" w:type="dxa"/>
          </w:tcPr>
          <w:p w14:paraId="79D3E235"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033B6E29" w14:textId="77777777" w:rsidTr="00407106">
        <w:tc>
          <w:tcPr>
            <w:tcW w:w="3240" w:type="dxa"/>
            <w:hideMark/>
          </w:tcPr>
          <w:p w14:paraId="3EF5ED6D"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 X DVOLDISC</w:t>
            </w:r>
          </w:p>
        </w:tc>
        <w:tc>
          <w:tcPr>
            <w:tcW w:w="2010" w:type="dxa"/>
          </w:tcPr>
          <w:p w14:paraId="7BA245A9"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hideMark/>
          </w:tcPr>
          <w:p w14:paraId="1B57672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-0.154</w:t>
            </w:r>
          </w:p>
        </w:tc>
        <w:tc>
          <w:tcPr>
            <w:tcW w:w="2010" w:type="dxa"/>
          </w:tcPr>
          <w:p w14:paraId="031CCEF0"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64037462" w14:textId="77777777" w:rsidTr="00407106">
        <w:tc>
          <w:tcPr>
            <w:tcW w:w="3240" w:type="dxa"/>
          </w:tcPr>
          <w:p w14:paraId="19FDCB61" w14:textId="77777777" w:rsidR="00407106" w:rsidRDefault="00407106">
            <w:pPr>
              <w:widowControl w:val="0"/>
              <w:autoSpaceDE w:val="0"/>
              <w:autoSpaceDN w:val="0"/>
              <w:adjustRightInd w:val="0"/>
              <w:spacing w:after="0" w:line="240" w:lineRule="auto"/>
              <w:ind w:firstLine="0"/>
              <w:rPr>
                <w:i/>
                <w:sz w:val="22"/>
                <w:szCs w:val="22"/>
              </w:rPr>
            </w:pPr>
          </w:p>
        </w:tc>
        <w:tc>
          <w:tcPr>
            <w:tcW w:w="2010" w:type="dxa"/>
          </w:tcPr>
          <w:p w14:paraId="3870005B"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hideMark/>
          </w:tcPr>
          <w:p w14:paraId="3BCA772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(-1.32)</w:t>
            </w:r>
          </w:p>
        </w:tc>
        <w:tc>
          <w:tcPr>
            <w:tcW w:w="2010" w:type="dxa"/>
          </w:tcPr>
          <w:p w14:paraId="6149B722" w14:textId="77777777" w:rsidR="00407106" w:rsidRDefault="00407106">
            <w:pPr>
              <w:widowControl w:val="0"/>
              <w:autoSpaceDE w:val="0"/>
              <w:autoSpaceDN w:val="0"/>
              <w:adjustRightInd w:val="0"/>
              <w:spacing w:after="0" w:line="240" w:lineRule="auto"/>
              <w:ind w:firstLine="0"/>
              <w:jc w:val="center"/>
              <w:rPr>
                <w:sz w:val="22"/>
                <w:szCs w:val="22"/>
              </w:rPr>
            </w:pPr>
          </w:p>
        </w:tc>
      </w:tr>
      <w:tr w:rsidR="00407106" w14:paraId="35A58847" w14:textId="77777777" w:rsidTr="00407106">
        <w:tc>
          <w:tcPr>
            <w:tcW w:w="3240" w:type="dxa"/>
            <w:hideMark/>
          </w:tcPr>
          <w:p w14:paraId="7394B60E"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FOLL_FOR</w:t>
            </w:r>
          </w:p>
        </w:tc>
        <w:tc>
          <w:tcPr>
            <w:tcW w:w="2010" w:type="dxa"/>
          </w:tcPr>
          <w:p w14:paraId="2B192ADA"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Pr>
          <w:p w14:paraId="7F8DB918"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hideMark/>
          </w:tcPr>
          <w:p w14:paraId="7B02CDF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0.106</w:t>
            </w:r>
            <w:r>
              <w:rPr>
                <w:sz w:val="22"/>
                <w:szCs w:val="22"/>
                <w:vertAlign w:val="superscript"/>
              </w:rPr>
              <w:t>*</w:t>
            </w:r>
          </w:p>
        </w:tc>
      </w:tr>
      <w:tr w:rsidR="00407106" w14:paraId="03BA7BD2" w14:textId="77777777" w:rsidTr="00407106">
        <w:tc>
          <w:tcPr>
            <w:tcW w:w="3240" w:type="dxa"/>
          </w:tcPr>
          <w:p w14:paraId="2A69E123" w14:textId="77777777" w:rsidR="00407106" w:rsidRDefault="00407106">
            <w:pPr>
              <w:widowControl w:val="0"/>
              <w:autoSpaceDE w:val="0"/>
              <w:autoSpaceDN w:val="0"/>
              <w:adjustRightInd w:val="0"/>
              <w:spacing w:after="0" w:line="240" w:lineRule="auto"/>
              <w:ind w:firstLine="0"/>
              <w:rPr>
                <w:i/>
                <w:sz w:val="22"/>
                <w:szCs w:val="22"/>
              </w:rPr>
            </w:pPr>
          </w:p>
        </w:tc>
        <w:tc>
          <w:tcPr>
            <w:tcW w:w="2010" w:type="dxa"/>
          </w:tcPr>
          <w:p w14:paraId="3AEED149"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Pr>
          <w:p w14:paraId="76DFA1A0"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hideMark/>
          </w:tcPr>
          <w:p w14:paraId="7C487B9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(1.71)</w:t>
            </w:r>
          </w:p>
        </w:tc>
      </w:tr>
      <w:tr w:rsidR="00407106" w14:paraId="0CBE8FA0" w14:textId="77777777" w:rsidTr="00407106">
        <w:tc>
          <w:tcPr>
            <w:tcW w:w="3240" w:type="dxa"/>
            <w:hideMark/>
          </w:tcPr>
          <w:p w14:paraId="242CD5AC" w14:textId="77777777" w:rsidR="00407106" w:rsidRDefault="00407106">
            <w:pPr>
              <w:widowControl w:val="0"/>
              <w:autoSpaceDE w:val="0"/>
              <w:autoSpaceDN w:val="0"/>
              <w:adjustRightInd w:val="0"/>
              <w:spacing w:after="0" w:line="240" w:lineRule="auto"/>
              <w:ind w:firstLine="0"/>
              <w:rPr>
                <w:i/>
                <w:sz w:val="22"/>
                <w:szCs w:val="22"/>
              </w:rPr>
            </w:pPr>
            <w:r>
              <w:rPr>
                <w:i/>
                <w:sz w:val="22"/>
                <w:szCs w:val="22"/>
              </w:rPr>
              <w:t>ARC-NOTES X FOLL_FOR</w:t>
            </w:r>
          </w:p>
        </w:tc>
        <w:tc>
          <w:tcPr>
            <w:tcW w:w="2010" w:type="dxa"/>
          </w:tcPr>
          <w:p w14:paraId="670DEBAB"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Pr>
          <w:p w14:paraId="1C16E434"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hideMark/>
          </w:tcPr>
          <w:p w14:paraId="353D53A4"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0.175</w:t>
            </w:r>
            <w:r>
              <w:rPr>
                <w:sz w:val="22"/>
                <w:szCs w:val="22"/>
                <w:vertAlign w:val="superscript"/>
              </w:rPr>
              <w:t>**</w:t>
            </w:r>
          </w:p>
        </w:tc>
      </w:tr>
      <w:tr w:rsidR="00407106" w14:paraId="10F33621" w14:textId="77777777" w:rsidTr="00407106">
        <w:tc>
          <w:tcPr>
            <w:tcW w:w="3240" w:type="dxa"/>
          </w:tcPr>
          <w:p w14:paraId="0598A6D3" w14:textId="77777777" w:rsidR="00407106" w:rsidRDefault="00407106">
            <w:pPr>
              <w:widowControl w:val="0"/>
              <w:autoSpaceDE w:val="0"/>
              <w:autoSpaceDN w:val="0"/>
              <w:adjustRightInd w:val="0"/>
              <w:spacing w:after="0" w:line="240" w:lineRule="auto"/>
              <w:ind w:firstLine="0"/>
              <w:rPr>
                <w:sz w:val="22"/>
                <w:szCs w:val="22"/>
              </w:rPr>
            </w:pPr>
          </w:p>
        </w:tc>
        <w:tc>
          <w:tcPr>
            <w:tcW w:w="2010" w:type="dxa"/>
          </w:tcPr>
          <w:p w14:paraId="4C449AE2"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tcPr>
          <w:p w14:paraId="7EF6ACB6" w14:textId="77777777" w:rsidR="00407106" w:rsidRDefault="00407106">
            <w:pPr>
              <w:widowControl w:val="0"/>
              <w:autoSpaceDE w:val="0"/>
              <w:autoSpaceDN w:val="0"/>
              <w:adjustRightInd w:val="0"/>
              <w:spacing w:after="0" w:line="240" w:lineRule="auto"/>
              <w:ind w:firstLine="0"/>
              <w:jc w:val="center"/>
              <w:rPr>
                <w:sz w:val="22"/>
                <w:szCs w:val="22"/>
              </w:rPr>
            </w:pPr>
          </w:p>
        </w:tc>
        <w:tc>
          <w:tcPr>
            <w:tcW w:w="2010" w:type="dxa"/>
            <w:hideMark/>
          </w:tcPr>
          <w:p w14:paraId="584CAF7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(2.24)</w:t>
            </w:r>
          </w:p>
        </w:tc>
      </w:tr>
      <w:tr w:rsidR="00407106" w14:paraId="15C7BE3D" w14:textId="77777777" w:rsidTr="00407106">
        <w:tc>
          <w:tcPr>
            <w:tcW w:w="3240" w:type="dxa"/>
            <w:hideMark/>
          </w:tcPr>
          <w:p w14:paraId="5D704CAE" w14:textId="77777777" w:rsidR="00407106" w:rsidRDefault="00407106">
            <w:pPr>
              <w:widowControl w:val="0"/>
              <w:autoSpaceDE w:val="0"/>
              <w:autoSpaceDN w:val="0"/>
              <w:adjustRightInd w:val="0"/>
              <w:spacing w:after="0" w:line="240" w:lineRule="auto"/>
              <w:ind w:firstLine="0"/>
              <w:rPr>
                <w:sz w:val="22"/>
                <w:szCs w:val="22"/>
              </w:rPr>
            </w:pPr>
            <w:r>
              <w:rPr>
                <w:sz w:val="22"/>
                <w:szCs w:val="22"/>
              </w:rPr>
              <w:t>Industry &amp; Year Dummies</w:t>
            </w:r>
          </w:p>
        </w:tc>
        <w:tc>
          <w:tcPr>
            <w:tcW w:w="2010" w:type="dxa"/>
            <w:hideMark/>
          </w:tcPr>
          <w:p w14:paraId="383A8DFF"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2010" w:type="dxa"/>
            <w:hideMark/>
          </w:tcPr>
          <w:p w14:paraId="396640D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2010" w:type="dxa"/>
            <w:hideMark/>
          </w:tcPr>
          <w:p w14:paraId="22D30DD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r>
      <w:tr w:rsidR="00407106" w14:paraId="2EF62C42" w14:textId="77777777" w:rsidTr="00407106">
        <w:tc>
          <w:tcPr>
            <w:tcW w:w="3240" w:type="dxa"/>
            <w:tcBorders>
              <w:top w:val="single" w:sz="4" w:space="0" w:color="auto"/>
              <w:left w:val="nil"/>
              <w:bottom w:val="nil"/>
              <w:right w:val="nil"/>
            </w:tcBorders>
            <w:hideMark/>
          </w:tcPr>
          <w:p w14:paraId="2AD9F3AB" w14:textId="77777777" w:rsidR="00407106" w:rsidRDefault="00407106">
            <w:pPr>
              <w:widowControl w:val="0"/>
              <w:autoSpaceDE w:val="0"/>
              <w:autoSpaceDN w:val="0"/>
              <w:adjustRightInd w:val="0"/>
              <w:spacing w:after="0" w:line="240" w:lineRule="auto"/>
              <w:ind w:firstLine="0"/>
              <w:rPr>
                <w:sz w:val="22"/>
                <w:szCs w:val="22"/>
              </w:rPr>
            </w:pPr>
            <w:r>
              <w:rPr>
                <w:i/>
                <w:iCs/>
                <w:sz w:val="22"/>
                <w:szCs w:val="22"/>
              </w:rPr>
              <w:t>N</w:t>
            </w:r>
          </w:p>
        </w:tc>
        <w:tc>
          <w:tcPr>
            <w:tcW w:w="2010" w:type="dxa"/>
            <w:tcBorders>
              <w:top w:val="single" w:sz="4" w:space="0" w:color="auto"/>
              <w:left w:val="nil"/>
              <w:bottom w:val="nil"/>
              <w:right w:val="nil"/>
            </w:tcBorders>
            <w:hideMark/>
          </w:tcPr>
          <w:p w14:paraId="0665A1DE"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2010" w:type="dxa"/>
            <w:tcBorders>
              <w:top w:val="single" w:sz="4" w:space="0" w:color="auto"/>
              <w:left w:val="nil"/>
              <w:bottom w:val="nil"/>
              <w:right w:val="nil"/>
            </w:tcBorders>
            <w:hideMark/>
          </w:tcPr>
          <w:p w14:paraId="03FF84B7"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c>
          <w:tcPr>
            <w:tcW w:w="2010" w:type="dxa"/>
            <w:tcBorders>
              <w:top w:val="single" w:sz="4" w:space="0" w:color="auto"/>
              <w:left w:val="nil"/>
              <w:bottom w:val="nil"/>
              <w:right w:val="nil"/>
            </w:tcBorders>
            <w:hideMark/>
          </w:tcPr>
          <w:p w14:paraId="7C93036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113,073</w:t>
            </w:r>
          </w:p>
        </w:tc>
      </w:tr>
      <w:tr w:rsidR="00407106" w14:paraId="36670068" w14:textId="77777777" w:rsidTr="00407106">
        <w:tc>
          <w:tcPr>
            <w:tcW w:w="3240" w:type="dxa"/>
            <w:hideMark/>
          </w:tcPr>
          <w:p w14:paraId="350CAF7A" w14:textId="77777777" w:rsidR="00407106" w:rsidRDefault="00407106">
            <w:pPr>
              <w:widowControl w:val="0"/>
              <w:autoSpaceDE w:val="0"/>
              <w:autoSpaceDN w:val="0"/>
              <w:adjustRightInd w:val="0"/>
              <w:spacing w:after="0" w:line="240" w:lineRule="auto"/>
              <w:ind w:firstLine="0"/>
              <w:rPr>
                <w:sz w:val="22"/>
                <w:szCs w:val="22"/>
              </w:rPr>
            </w:pPr>
            <w:r>
              <w:rPr>
                <w:sz w:val="22"/>
                <w:szCs w:val="22"/>
              </w:rPr>
              <w:t>Control variables</w:t>
            </w:r>
          </w:p>
        </w:tc>
        <w:tc>
          <w:tcPr>
            <w:tcW w:w="2010" w:type="dxa"/>
            <w:hideMark/>
          </w:tcPr>
          <w:p w14:paraId="42B4AA7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2010" w:type="dxa"/>
            <w:hideMark/>
          </w:tcPr>
          <w:p w14:paraId="27FBAA10"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c>
          <w:tcPr>
            <w:tcW w:w="2010" w:type="dxa"/>
            <w:hideMark/>
          </w:tcPr>
          <w:p w14:paraId="7CB7E8B2"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Yes</w:t>
            </w:r>
          </w:p>
        </w:tc>
      </w:tr>
      <w:tr w:rsidR="00407106" w14:paraId="378BA56F" w14:textId="77777777" w:rsidTr="00407106">
        <w:tc>
          <w:tcPr>
            <w:tcW w:w="3240" w:type="dxa"/>
            <w:hideMark/>
          </w:tcPr>
          <w:p w14:paraId="2887667B" w14:textId="77777777" w:rsidR="00407106" w:rsidRDefault="00407106">
            <w:pPr>
              <w:widowControl w:val="0"/>
              <w:autoSpaceDE w:val="0"/>
              <w:autoSpaceDN w:val="0"/>
              <w:adjustRightInd w:val="0"/>
              <w:spacing w:after="0" w:line="240" w:lineRule="auto"/>
              <w:ind w:firstLine="0"/>
              <w:rPr>
                <w:sz w:val="22"/>
                <w:szCs w:val="22"/>
              </w:rPr>
            </w:pPr>
            <w:r>
              <w:rPr>
                <w:sz w:val="22"/>
                <w:szCs w:val="22"/>
              </w:rPr>
              <w:t>R-square</w:t>
            </w:r>
          </w:p>
        </w:tc>
        <w:tc>
          <w:tcPr>
            <w:tcW w:w="2010" w:type="dxa"/>
            <w:hideMark/>
          </w:tcPr>
          <w:p w14:paraId="6D734835"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c>
          <w:tcPr>
            <w:tcW w:w="2010" w:type="dxa"/>
            <w:hideMark/>
          </w:tcPr>
          <w:p w14:paraId="7AA61D0D"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c>
          <w:tcPr>
            <w:tcW w:w="2010" w:type="dxa"/>
            <w:hideMark/>
          </w:tcPr>
          <w:p w14:paraId="51B5690B"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r>
      <w:tr w:rsidR="00407106" w14:paraId="7956CE5F" w14:textId="77777777" w:rsidTr="00407106">
        <w:tc>
          <w:tcPr>
            <w:tcW w:w="3240" w:type="dxa"/>
            <w:tcBorders>
              <w:top w:val="nil"/>
              <w:left w:val="nil"/>
              <w:bottom w:val="single" w:sz="4" w:space="0" w:color="auto"/>
              <w:right w:val="nil"/>
            </w:tcBorders>
            <w:hideMark/>
          </w:tcPr>
          <w:p w14:paraId="03567662" w14:textId="77777777" w:rsidR="00407106" w:rsidRDefault="00407106">
            <w:pPr>
              <w:widowControl w:val="0"/>
              <w:autoSpaceDE w:val="0"/>
              <w:autoSpaceDN w:val="0"/>
              <w:adjustRightInd w:val="0"/>
              <w:spacing w:after="0" w:line="240" w:lineRule="auto"/>
              <w:ind w:firstLine="0"/>
              <w:rPr>
                <w:sz w:val="22"/>
                <w:szCs w:val="22"/>
              </w:rPr>
            </w:pPr>
            <w:r>
              <w:rPr>
                <w:sz w:val="22"/>
                <w:szCs w:val="22"/>
              </w:rPr>
              <w:t>Adj. R-square</w:t>
            </w:r>
          </w:p>
        </w:tc>
        <w:tc>
          <w:tcPr>
            <w:tcW w:w="2010" w:type="dxa"/>
            <w:tcBorders>
              <w:top w:val="nil"/>
              <w:left w:val="nil"/>
              <w:bottom w:val="single" w:sz="4" w:space="0" w:color="auto"/>
              <w:right w:val="nil"/>
            </w:tcBorders>
            <w:hideMark/>
          </w:tcPr>
          <w:p w14:paraId="27084606"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0.248</w:t>
            </w:r>
          </w:p>
        </w:tc>
        <w:tc>
          <w:tcPr>
            <w:tcW w:w="2010" w:type="dxa"/>
            <w:tcBorders>
              <w:top w:val="nil"/>
              <w:left w:val="nil"/>
              <w:bottom w:val="single" w:sz="4" w:space="0" w:color="auto"/>
              <w:right w:val="nil"/>
            </w:tcBorders>
            <w:hideMark/>
          </w:tcPr>
          <w:p w14:paraId="03732568"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c>
          <w:tcPr>
            <w:tcW w:w="2010" w:type="dxa"/>
            <w:tcBorders>
              <w:top w:val="nil"/>
              <w:left w:val="nil"/>
              <w:bottom w:val="single" w:sz="4" w:space="0" w:color="auto"/>
              <w:right w:val="nil"/>
            </w:tcBorders>
            <w:hideMark/>
          </w:tcPr>
          <w:p w14:paraId="736EB65C" w14:textId="77777777" w:rsidR="00407106" w:rsidRDefault="00407106">
            <w:pPr>
              <w:widowControl w:val="0"/>
              <w:autoSpaceDE w:val="0"/>
              <w:autoSpaceDN w:val="0"/>
              <w:adjustRightInd w:val="0"/>
              <w:spacing w:after="0" w:line="240" w:lineRule="auto"/>
              <w:ind w:firstLine="0"/>
              <w:jc w:val="center"/>
              <w:rPr>
                <w:sz w:val="22"/>
                <w:szCs w:val="22"/>
              </w:rPr>
            </w:pPr>
            <w:r>
              <w:rPr>
                <w:sz w:val="22"/>
                <w:szCs w:val="22"/>
              </w:rPr>
              <w:t>0.247</w:t>
            </w:r>
          </w:p>
        </w:tc>
      </w:tr>
    </w:tbl>
    <w:p w14:paraId="12380288" w14:textId="77777777" w:rsidR="00407106" w:rsidRDefault="00407106" w:rsidP="00407106">
      <w:pPr>
        <w:spacing w:after="0"/>
      </w:pPr>
    </w:p>
    <w:p w14:paraId="26E43F90" w14:textId="77777777" w:rsidR="00407106" w:rsidRDefault="00407106">
      <w:bookmarkStart w:id="23" w:name="_GoBack"/>
      <w:bookmarkEnd w:id="23"/>
    </w:p>
    <w:sectPr w:rsidR="00407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C5701" w14:textId="77777777" w:rsidR="00BD4F0D" w:rsidRDefault="00BD4F0D" w:rsidP="00407106">
      <w:pPr>
        <w:spacing w:after="0" w:line="240" w:lineRule="auto"/>
      </w:pPr>
      <w:r>
        <w:separator/>
      </w:r>
    </w:p>
  </w:endnote>
  <w:endnote w:type="continuationSeparator" w:id="0">
    <w:p w14:paraId="175A925D" w14:textId="77777777" w:rsidR="00BD4F0D" w:rsidRDefault="00BD4F0D" w:rsidP="0040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Times">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902E0" w14:textId="77777777" w:rsidR="00BD4F0D" w:rsidRDefault="00BD4F0D" w:rsidP="00407106">
      <w:pPr>
        <w:spacing w:after="0" w:line="240" w:lineRule="auto"/>
      </w:pPr>
      <w:r>
        <w:separator/>
      </w:r>
    </w:p>
  </w:footnote>
  <w:footnote w:type="continuationSeparator" w:id="0">
    <w:p w14:paraId="0EE4BAB5" w14:textId="77777777" w:rsidR="00BD4F0D" w:rsidRDefault="00BD4F0D" w:rsidP="00407106">
      <w:pPr>
        <w:spacing w:after="0" w:line="240" w:lineRule="auto"/>
      </w:pPr>
      <w:r>
        <w:continuationSeparator/>
      </w:r>
    </w:p>
  </w:footnote>
  <w:footnote w:id="1">
    <w:p w14:paraId="09C5E42A" w14:textId="77777777" w:rsidR="00407106" w:rsidRDefault="00407106" w:rsidP="00407106">
      <w:pPr>
        <w:pStyle w:val="FootnoteText"/>
        <w:ind w:firstLine="0"/>
      </w:pPr>
      <w:r>
        <w:rPr>
          <w:rStyle w:val="FootnoteReference"/>
        </w:rPr>
        <w:footnoteRef/>
      </w:r>
      <w:r>
        <w:t xml:space="preserve"> Each accounting concept in XBRL is assigned a tag to give it a machine-readable meaning. For example, the net sale accounting concept is assigned the following tag &lt;us-gaap:SalesRevenueNet&gt;.</w:t>
      </w:r>
    </w:p>
  </w:footnote>
  <w:footnote w:id="2">
    <w:p w14:paraId="07CEE10C" w14:textId="77777777" w:rsidR="00407106" w:rsidRDefault="00407106" w:rsidP="00407106">
      <w:pPr>
        <w:pStyle w:val="FootnoteText"/>
        <w:ind w:firstLine="0"/>
      </w:pPr>
      <w:r>
        <w:rPr>
          <w:rStyle w:val="FootnoteReference"/>
        </w:rPr>
        <w:footnoteRef/>
      </w:r>
      <w:r>
        <w:t xml:space="preserve"> In many ways, ARC is a result of complex economic activities. By construction, the objective of the financial reports is to “communicate the economic substance of a transaction or event and the overall financial position and results of a company” (SEC 2008). Therefore, ARC captures complexity that is due to operational decisions as well as accounting reporting choices, our study is not aimed at disentangling the two. Regardless, we are unaware of other granular, accounting-based, measures of business complexity (beyond a simple count of segments or existence of foreign operations) that are available for a large cross-section of firms. In the sensitivity analysis section, we report results of analysis that disentangles ARC from observable measures of operating complexity.</w:t>
      </w:r>
    </w:p>
  </w:footnote>
  <w:footnote w:id="3">
    <w:p w14:paraId="269C4F45" w14:textId="77777777" w:rsidR="00407106" w:rsidRDefault="00407106" w:rsidP="00407106">
      <w:pPr>
        <w:pStyle w:val="FootnoteText"/>
        <w:ind w:firstLine="0"/>
      </w:pPr>
      <w:r>
        <w:rPr>
          <w:rStyle w:val="FootnoteReference"/>
        </w:rPr>
        <w:footnoteRef/>
      </w:r>
      <w:r>
        <w:t xml:space="preserve"> ARC can also influence financial analysts’ cost-benefit considerations. Specifically, the amount of time and resources that analysts need to commit to extract, incorporate, analyze, and interpret accounting data increases with the supply of accounting information. As a result, analysts may fail to invest sufficient time to understand and fully incorporate the disclosures of complex firms into their analyses.</w:t>
      </w:r>
    </w:p>
  </w:footnote>
  <w:footnote w:id="4">
    <w:p w14:paraId="5599CF99" w14:textId="77777777" w:rsidR="00407106" w:rsidRDefault="00407106" w:rsidP="00407106">
      <w:pPr>
        <w:pStyle w:val="FootnoteText"/>
        <w:ind w:firstLine="0"/>
      </w:pPr>
      <w:r>
        <w:rPr>
          <w:rStyle w:val="FootnoteReference"/>
        </w:rPr>
        <w:footnoteRef/>
      </w:r>
      <w:r>
        <w:t xml:space="preserve"> ARC is based on eXtensible Business Reporting Language (XBRL) filings with the SEC. Since ARC is built on XBRL it is only available from 2011.</w:t>
      </w:r>
    </w:p>
  </w:footnote>
  <w:footnote w:id="5">
    <w:p w14:paraId="08BE1001" w14:textId="77777777" w:rsidR="00407106" w:rsidRDefault="00407106" w:rsidP="00407106">
      <w:pPr>
        <w:pStyle w:val="FootnoteText"/>
        <w:ind w:firstLine="0"/>
        <w:jc w:val="left"/>
      </w:pPr>
      <w:r>
        <w:rPr>
          <w:rStyle w:val="FootnoteReference"/>
        </w:rPr>
        <w:footnoteRef/>
      </w:r>
      <w:r>
        <w:t xml:space="preserve"> Whether or not analysts actually rely on XBRL disclosures, on HTML filings, or on information from data aggregators does not influence our investigation. In fact, it is assumed that analysts do not directly use XBRL (Harris and Morsfield 2012). Our approach only relies on XBRL disclosures to measure firms’ accounting reporting complexity.</w:t>
      </w:r>
    </w:p>
  </w:footnote>
  <w:footnote w:id="6">
    <w:p w14:paraId="7E78ADA8" w14:textId="77777777" w:rsidR="00407106" w:rsidRDefault="00407106" w:rsidP="00407106">
      <w:pPr>
        <w:pStyle w:val="FootnoteText"/>
        <w:ind w:firstLine="0"/>
      </w:pPr>
      <w:r>
        <w:rPr>
          <w:rStyle w:val="FootnoteReference"/>
        </w:rPr>
        <w:footnoteRef/>
      </w:r>
      <w:r>
        <w:t xml:space="preserve"> In robustness tests, we demonstrate that our results are not sensitive to several alternative methods to construct ARC.</w:t>
      </w:r>
    </w:p>
  </w:footnote>
  <w:footnote w:id="7">
    <w:p w14:paraId="76AB082E" w14:textId="77777777" w:rsidR="00407106" w:rsidRDefault="00407106" w:rsidP="00407106">
      <w:pPr>
        <w:pStyle w:val="FootnoteText"/>
        <w:ind w:firstLine="0"/>
      </w:pPr>
      <w:r>
        <w:rPr>
          <w:rStyle w:val="FootnoteReference"/>
        </w:rPr>
        <w:footnoteRef/>
      </w:r>
      <w:r>
        <w:t xml:space="preserve"> Using other data sources such as Compustat it is not trivial to distinguish between items that appears in the face of the financials versus items that appear in the notes. </w:t>
      </w:r>
    </w:p>
  </w:footnote>
  <w:footnote w:id="8">
    <w:p w14:paraId="1A65BA2F" w14:textId="77777777" w:rsidR="00407106" w:rsidRDefault="00407106" w:rsidP="00407106">
      <w:pPr>
        <w:pStyle w:val="FootnoteText"/>
        <w:ind w:firstLine="0"/>
      </w:pPr>
      <w:r>
        <w:rPr>
          <w:rStyle w:val="FootnoteReference"/>
        </w:rPr>
        <w:footnoteRef/>
      </w:r>
      <w:r>
        <w:t xml:space="preserve"> We manually collect the CFA credential information from Factset for each analyst in our sample. We were able to identify this information for roughly 80 percent of our sample.</w:t>
      </w:r>
    </w:p>
  </w:footnote>
  <w:footnote w:id="9">
    <w:p w14:paraId="4BA45F16" w14:textId="77777777" w:rsidR="00407106" w:rsidRDefault="00407106" w:rsidP="00407106">
      <w:pPr>
        <w:pStyle w:val="FootnoteText"/>
        <w:ind w:firstLine="0"/>
      </w:pPr>
      <w:r>
        <w:rPr>
          <w:rStyle w:val="FootnoteReference"/>
        </w:rPr>
        <w:footnoteRef/>
      </w:r>
      <w:r>
        <w:t xml:space="preserve"> This is similar to the approach in Ma, Markov and Wu (2016). They suggest that analyst can gain nuanced expertise, in their case global expertise, from similar firms in their portfolio. </w:t>
      </w:r>
    </w:p>
  </w:footnote>
  <w:footnote w:id="10">
    <w:p w14:paraId="7BE0A9CD" w14:textId="77777777" w:rsidR="00407106" w:rsidRDefault="00407106" w:rsidP="00407106">
      <w:pPr>
        <w:pStyle w:val="FootnoteText"/>
        <w:ind w:firstLine="0"/>
      </w:pPr>
      <w:r>
        <w:rPr>
          <w:rStyle w:val="FootnoteReference"/>
        </w:rPr>
        <w:footnoteRef/>
      </w:r>
      <w:r>
        <w:t xml:space="preserve"> For example, Compustat includes about 10 fair value variables. In contrast, the FASB U.S. GAAP XBRL taxonomy includes more than 400 monetary fair value tags. </w:t>
      </w:r>
    </w:p>
  </w:footnote>
  <w:footnote w:id="11">
    <w:p w14:paraId="74DF235E" w14:textId="77777777" w:rsidR="00407106" w:rsidRDefault="00407106" w:rsidP="00407106">
      <w:pPr>
        <w:pStyle w:val="FootnoteText"/>
        <w:ind w:firstLine="0"/>
      </w:pPr>
      <w:r>
        <w:rPr>
          <w:rStyle w:val="FootnoteReference"/>
        </w:rPr>
        <w:footnoteRef/>
      </w:r>
      <w:r>
        <w:t xml:space="preserve"> In a related paper, Bradshaw et al. (2009) find that atypical accounting methods impede analysts’ performance, suggesting that analysts specialize in covering specific methods within industries and deviation from common industry methods can be detrimental to their work.</w:t>
      </w:r>
    </w:p>
  </w:footnote>
  <w:footnote w:id="12">
    <w:p w14:paraId="2F5CBDC4" w14:textId="77777777" w:rsidR="00407106" w:rsidRDefault="00407106" w:rsidP="00407106">
      <w:pPr>
        <w:pStyle w:val="FootnoteText"/>
        <w:ind w:firstLine="0"/>
      </w:pPr>
      <w:r>
        <w:rPr>
          <w:rStyle w:val="FootnoteReference"/>
        </w:rPr>
        <w:footnoteRef/>
      </w:r>
      <w:r>
        <w:t xml:space="preserve"> Fair value, derivatives and pensions have also received significant attention from standard setters. The FASB included several of these accounts in the simplification initiative, suggesting that these are complex accounts (FASB Simplification Project 2016). </w:t>
      </w:r>
    </w:p>
  </w:footnote>
  <w:footnote w:id="13">
    <w:p w14:paraId="13E8E258" w14:textId="77777777" w:rsidR="00407106" w:rsidRDefault="00407106" w:rsidP="00407106">
      <w:pPr>
        <w:pStyle w:val="FootnoteText"/>
        <w:ind w:firstLine="0"/>
      </w:pPr>
      <w:r>
        <w:rPr>
          <w:rStyle w:val="FootnoteReference"/>
        </w:rPr>
        <w:footnoteRef/>
      </w:r>
      <w:r>
        <w:t xml:space="preserve"> Chen, Wang, and Zhou 2017 provide an excellent discussion of the legislative events that led to the enactment of the rule on XBRL and their analysis shows that the legislation had an overall positive market reaction, in particular for firms with weaker information environments. More information on the XBRL taxonomy, tags and extensions is available at the following link: </w:t>
      </w:r>
      <w:hyperlink r:id="rId1" w:history="1">
        <w:r>
          <w:rPr>
            <w:rStyle w:val="Hyperlink"/>
          </w:rPr>
          <w:t>https://xbrl.us/wp-content/uploads/2015/03/PreparersGuide.pdf</w:t>
        </w:r>
      </w:hyperlink>
      <w:r>
        <w:t xml:space="preserve"> . </w:t>
      </w:r>
    </w:p>
  </w:footnote>
  <w:footnote w:id="14">
    <w:p w14:paraId="68401126" w14:textId="77777777" w:rsidR="00407106" w:rsidRDefault="00407106" w:rsidP="00407106">
      <w:pPr>
        <w:pStyle w:val="FootnoteText"/>
        <w:ind w:firstLine="0"/>
        <w:jc w:val="left"/>
      </w:pPr>
      <w:r>
        <w:rPr>
          <w:rStyle w:val="FootnoteReference"/>
        </w:rPr>
        <w:footnoteRef/>
      </w:r>
      <w:r>
        <w:t xml:space="preserve"> Since we extract XBRL tags directly from SEC filings using a standard method, our measure is not based on subjective judgment and could be easily replicated.</w:t>
      </w:r>
    </w:p>
  </w:footnote>
  <w:footnote w:id="15">
    <w:p w14:paraId="7CDECE12" w14:textId="77777777" w:rsidR="00407106" w:rsidRDefault="00407106" w:rsidP="00407106">
      <w:pPr>
        <w:pStyle w:val="FootnoteText"/>
        <w:ind w:firstLine="0"/>
      </w:pPr>
      <w:r>
        <w:rPr>
          <w:rStyle w:val="FootnoteReference"/>
        </w:rPr>
        <w:footnoteRef/>
      </w:r>
      <w:r>
        <w:t xml:space="preserve"> We retain only the last annual estimates that analysts issue before the earnings announcement.</w:t>
      </w:r>
    </w:p>
  </w:footnote>
  <w:footnote w:id="16">
    <w:p w14:paraId="0A947EA1" w14:textId="77777777" w:rsidR="00407106" w:rsidRDefault="00407106" w:rsidP="00407106">
      <w:pPr>
        <w:pStyle w:val="FootnoteText"/>
        <w:ind w:firstLine="0"/>
        <w:jc w:val="left"/>
      </w:pPr>
      <w:r>
        <w:rPr>
          <w:rStyle w:val="FootnoteReference"/>
        </w:rPr>
        <w:footnoteRef/>
      </w:r>
      <w:r>
        <w:t xml:space="preserve"> Specifically, smaller filers were not required to file XBRL reports that include the financial statement notes until 2012. As we describe later, removing 2011 from our sample does not alter our results.</w:t>
      </w:r>
    </w:p>
  </w:footnote>
  <w:footnote w:id="17">
    <w:p w14:paraId="7DCAA427" w14:textId="77777777" w:rsidR="00407106" w:rsidRDefault="00407106" w:rsidP="00407106">
      <w:pPr>
        <w:pStyle w:val="FootnoteText"/>
        <w:ind w:firstLine="0"/>
      </w:pPr>
      <w:r>
        <w:rPr>
          <w:rStyle w:val="FootnoteReference"/>
        </w:rPr>
        <w:footnoteRef/>
      </w:r>
      <w:r>
        <w:t xml:space="preserve"> We included a detailed description of the process to construct account specific complexity and a sample of fair value tags in Appendices A and B, respectively. </w:t>
      </w:r>
    </w:p>
  </w:footnote>
  <w:footnote w:id="18">
    <w:p w14:paraId="620858D0" w14:textId="77777777" w:rsidR="00407106" w:rsidRDefault="00407106" w:rsidP="00407106">
      <w:pPr>
        <w:pStyle w:val="FootnoteText"/>
        <w:ind w:firstLine="0"/>
        <w:jc w:val="left"/>
      </w:pPr>
      <w:r>
        <w:rPr>
          <w:rStyle w:val="FootnoteReference"/>
        </w:rPr>
        <w:footnoteRef/>
      </w:r>
      <w:r>
        <w:t xml:space="preserve"> To identify account categories we rely on “Disclosure” headings in the taxonomy files. Some tags appear in multiple financial statements and/or notes. We remove tags that repeat in more than three disclosures because we cannot uniquely associate them with a specific account category. The FASB taxonomy files are available at: </w:t>
      </w:r>
      <w:hyperlink r:id="rId2" w:history="1">
        <w:r>
          <w:rPr>
            <w:rStyle w:val="Hyperlink"/>
          </w:rPr>
          <w:t>http://www.fasb.org/cs/ContentServer?c=Page&amp;pagename=FASB%2FPage%2FSectionPage&amp;cid=1176164649716</w:t>
        </w:r>
      </w:hyperlink>
      <w:r>
        <w:rPr>
          <w:rStyle w:val="Hyperlink"/>
        </w:rPr>
        <w:t xml:space="preserve">. </w:t>
      </w:r>
    </w:p>
  </w:footnote>
  <w:footnote w:id="19">
    <w:p w14:paraId="75440C16" w14:textId="77777777" w:rsidR="00407106" w:rsidRDefault="00407106" w:rsidP="00407106">
      <w:pPr>
        <w:pStyle w:val="FootnoteText"/>
        <w:ind w:firstLine="0"/>
      </w:pPr>
      <w:r>
        <w:rPr>
          <w:rStyle w:val="FootnoteReference"/>
        </w:rPr>
        <w:footnoteRef/>
      </w:r>
      <w:r>
        <w:t xml:space="preserve"> This is required for extended tags, which are not part of the XBRL taxonomy and adds to classification accuracy of tags that are part of the taxonomy. This process is described in more detail in appendices A and B. </w:t>
      </w:r>
    </w:p>
  </w:footnote>
  <w:footnote w:id="20">
    <w:p w14:paraId="4E9090BE" w14:textId="77777777" w:rsidR="00407106" w:rsidRDefault="00407106" w:rsidP="00407106">
      <w:pPr>
        <w:pStyle w:val="FootnoteText"/>
        <w:ind w:firstLine="0"/>
      </w:pPr>
      <w:r>
        <w:rPr>
          <w:rStyle w:val="FootnoteReference"/>
        </w:rPr>
        <w:footnoteRef/>
      </w:r>
      <w:r>
        <w:t xml:space="preserve"> For example, if an analyst covers four firms, we sum all fair-value tags across all four firms. </w:t>
      </w:r>
    </w:p>
  </w:footnote>
  <w:footnote w:id="21">
    <w:p w14:paraId="1B0DA078" w14:textId="77777777" w:rsidR="00407106" w:rsidRDefault="00407106" w:rsidP="00407106">
      <w:pPr>
        <w:pStyle w:val="FootnoteText"/>
        <w:ind w:firstLine="0"/>
        <w:jc w:val="left"/>
      </w:pPr>
      <w:r>
        <w:rPr>
          <w:rStyle w:val="FootnoteReference"/>
        </w:rPr>
        <w:footnoteRef/>
      </w:r>
      <w:r>
        <w:t xml:space="preserve"> We measure share price as of the end of the fiscal period and adjust it for stock splits and stock dividends.</w:t>
      </w:r>
    </w:p>
  </w:footnote>
  <w:footnote w:id="22">
    <w:p w14:paraId="74D1CE18" w14:textId="77777777" w:rsidR="00407106" w:rsidRDefault="00407106" w:rsidP="00407106">
      <w:pPr>
        <w:pStyle w:val="FootnoteText"/>
        <w:ind w:firstLine="0"/>
        <w:jc w:val="left"/>
      </w:pPr>
      <w:r>
        <w:rPr>
          <w:rStyle w:val="FootnoteReference"/>
        </w:rPr>
        <w:footnoteRef/>
      </w:r>
      <w:r>
        <w:t xml:space="preserve"> We eliminate revisions after earnings announcements to ensure that confounding events do not affect our measure.</w:t>
      </w:r>
    </w:p>
  </w:footnote>
  <w:footnote w:id="23">
    <w:p w14:paraId="2FDC58E5" w14:textId="77777777" w:rsidR="00407106" w:rsidRDefault="00407106" w:rsidP="00407106">
      <w:pPr>
        <w:pStyle w:val="FootnoteText"/>
        <w:ind w:firstLine="0"/>
        <w:jc w:val="left"/>
      </w:pPr>
      <w:r>
        <w:rPr>
          <w:rStyle w:val="FootnoteReference"/>
        </w:rPr>
        <w:footnoteRef/>
      </w:r>
      <w:r>
        <w:t xml:space="preserve"> We eliminate revisions issued on days with conflicting recommendation revisions because it is unclear which revision share prices are reacting to (or ignoring). </w:t>
      </w:r>
    </w:p>
  </w:footnote>
  <w:footnote w:id="24">
    <w:p w14:paraId="334B0B81" w14:textId="77777777" w:rsidR="00407106" w:rsidRDefault="00407106" w:rsidP="00407106">
      <w:pPr>
        <w:pStyle w:val="FootnoteText"/>
        <w:ind w:firstLine="0"/>
        <w:jc w:val="left"/>
      </w:pPr>
      <w:r>
        <w:rPr>
          <w:rStyle w:val="FootnoteReference"/>
        </w:rPr>
        <w:footnoteRef/>
      </w:r>
      <w:r>
        <w:t xml:space="preserve"> The expected market reaction to an upgrade is positive whereas it is negative for a downgrade. Hence, while a more positive reaction to an upgrade indicates greater informativeness, it indicates less informativeness for a downgrade. Multiplying the returns associated with downgrades allows us to interpret the results for both upgrades and downgrades in the same way.</w:t>
      </w:r>
    </w:p>
  </w:footnote>
  <w:footnote w:id="25">
    <w:p w14:paraId="6105242F" w14:textId="77777777" w:rsidR="00407106" w:rsidRDefault="00407106" w:rsidP="00407106">
      <w:pPr>
        <w:pStyle w:val="FootnoteText"/>
        <w:ind w:firstLine="0"/>
        <w:jc w:val="left"/>
      </w:pPr>
      <w:r>
        <w:rPr>
          <w:rStyle w:val="FootnoteReference"/>
        </w:rPr>
        <w:footnoteRef/>
      </w:r>
      <w:r>
        <w:t xml:space="preserve"> We assume that markets are at a minimum semi-strong efficient.</w:t>
      </w:r>
    </w:p>
  </w:footnote>
  <w:footnote w:id="26">
    <w:p w14:paraId="1D4A147D" w14:textId="77777777" w:rsidR="00407106" w:rsidRDefault="00407106" w:rsidP="00407106">
      <w:pPr>
        <w:pStyle w:val="FootnoteText"/>
        <w:ind w:firstLine="0"/>
      </w:pPr>
      <w:r>
        <w:rPr>
          <w:rStyle w:val="FootnoteReference"/>
        </w:rPr>
        <w:footnoteRef/>
      </w:r>
      <w:r>
        <w:t xml:space="preserve"> The Fog index algorithm classifies each word with three or more syllables as complex. For example, the words significant, </w:t>
      </w:r>
      <w:r>
        <w:rPr>
          <w:iCs/>
        </w:rPr>
        <w:t>corporation, management and telecommunications will all be classified as complex. Yet, it is clear that these words should not pose a challenge to financial statement users, especially to financial analysts.</w:t>
      </w:r>
    </w:p>
  </w:footnote>
  <w:footnote w:id="27">
    <w:p w14:paraId="3E00CB17" w14:textId="77777777" w:rsidR="00407106" w:rsidRDefault="00407106" w:rsidP="00407106">
      <w:pPr>
        <w:pStyle w:val="FootnoteText"/>
        <w:tabs>
          <w:tab w:val="left" w:pos="4050"/>
        </w:tabs>
        <w:ind w:firstLine="0"/>
      </w:pPr>
      <w:r>
        <w:rPr>
          <w:rStyle w:val="FootnoteReference"/>
        </w:rPr>
        <w:footnoteRef/>
      </w:r>
      <w:r>
        <w:t xml:space="preserve"> We exclude forecast dispersion (</w:t>
      </w:r>
      <w:r>
        <w:rPr>
          <w:i/>
        </w:rPr>
        <w:t>FORDISP</w:t>
      </w:r>
      <w:r>
        <w:t>) because it can only be calculated at the firm-year level. We also exclude the value of recommendations (</w:t>
      </w:r>
      <w:r>
        <w:rPr>
          <w:i/>
        </w:rPr>
        <w:t>RECVAL</w:t>
      </w:r>
      <w:r>
        <w:t>) since estimates of the informativeness of recommendations are unreliable at the analyst level because analysts issue only a few recommendations for each firm per year.</w:t>
      </w:r>
    </w:p>
  </w:footnote>
  <w:footnote w:id="28">
    <w:p w14:paraId="3F7BF65D" w14:textId="77777777" w:rsidR="00407106" w:rsidRDefault="00407106" w:rsidP="00407106">
      <w:pPr>
        <w:pStyle w:val="FootnoteText"/>
        <w:ind w:firstLine="0"/>
        <w:jc w:val="left"/>
      </w:pPr>
      <w:r>
        <w:rPr>
          <w:rStyle w:val="FootnoteReference"/>
        </w:rPr>
        <w:footnoteRef/>
      </w:r>
      <w:r>
        <w:t xml:space="preserve"> Note that the sign of the </w:t>
      </w:r>
      <w:r>
        <w:rPr>
          <w:i/>
        </w:rPr>
        <w:t xml:space="preserve">ACCURACY </w:t>
      </w:r>
      <w:r>
        <w:t>variable does not indicate the direction of the forecast error. We first compute the absolute value of forecast errors and then multiply by -100 so that higher values indicate higher forecast accuracy.</w:t>
      </w:r>
    </w:p>
  </w:footnote>
  <w:footnote w:id="29">
    <w:p w14:paraId="11A732CB" w14:textId="77777777" w:rsidR="00407106" w:rsidRDefault="00407106" w:rsidP="00407106">
      <w:pPr>
        <w:pStyle w:val="FootnoteText"/>
        <w:ind w:firstLine="0"/>
        <w:jc w:val="left"/>
      </w:pPr>
      <w:r>
        <w:rPr>
          <w:rStyle w:val="FootnoteReference"/>
        </w:rPr>
        <w:footnoteRef/>
      </w:r>
      <w:r>
        <w:t>Although we use the natural logarithm for the complexity variables, for ease of interpretation, we report statistics based on untransformed values.</w:t>
      </w:r>
    </w:p>
  </w:footnote>
  <w:footnote w:id="30">
    <w:p w14:paraId="56544387" w14:textId="77777777" w:rsidR="00407106" w:rsidRDefault="00407106" w:rsidP="00407106">
      <w:pPr>
        <w:pStyle w:val="FootnoteText"/>
        <w:ind w:firstLine="0"/>
      </w:pPr>
      <w:r>
        <w:rPr>
          <w:rStyle w:val="FootnoteReference"/>
        </w:rPr>
        <w:footnoteRef/>
      </w:r>
      <w:r>
        <w:t xml:space="preserve"> </w:t>
      </w:r>
      <w:r>
        <w:rPr>
          <w:i/>
        </w:rPr>
        <w:t>INDFOCUS</w:t>
      </w:r>
      <w:r>
        <w:t xml:space="preserve"> equals one divided by the number of industries covered. Since the mean value for </w:t>
      </w:r>
      <w:r>
        <w:rPr>
          <w:i/>
        </w:rPr>
        <w:t>INDFOCUS</w:t>
      </w:r>
      <w:r>
        <w:t xml:space="preserve"> is 0.57 we infer that the average analyst covers 1/0.57 = 1.75 industries.</w:t>
      </w:r>
    </w:p>
  </w:footnote>
  <w:footnote w:id="31">
    <w:p w14:paraId="79AF6B34" w14:textId="77777777" w:rsidR="00407106" w:rsidRDefault="00407106" w:rsidP="00407106">
      <w:pPr>
        <w:pStyle w:val="FootnoteText"/>
        <w:ind w:firstLine="0"/>
      </w:pPr>
      <w:r>
        <w:rPr>
          <w:rStyle w:val="FootnoteReference"/>
        </w:rPr>
        <w:footnoteRef/>
      </w:r>
      <w:r>
        <w:t xml:space="preserve"> This transformation reverses the variable’s order so that higher (lower) values indicate greater (lower) industry focus.</w:t>
      </w:r>
    </w:p>
  </w:footnote>
  <w:footnote w:id="32">
    <w:p w14:paraId="59B0AFF0" w14:textId="77777777" w:rsidR="00407106" w:rsidRDefault="00407106" w:rsidP="00407106">
      <w:pPr>
        <w:spacing w:after="0" w:line="240" w:lineRule="auto"/>
        <w:ind w:firstLine="0"/>
        <w:rPr>
          <w:sz w:val="20"/>
          <w:szCs w:val="20"/>
        </w:rPr>
      </w:pPr>
      <w:r>
        <w:rPr>
          <w:rStyle w:val="FootnoteReference"/>
          <w:sz w:val="20"/>
          <w:szCs w:val="20"/>
        </w:rPr>
        <w:footnoteRef/>
      </w:r>
      <w:r>
        <w:rPr>
          <w:sz w:val="20"/>
          <w:szCs w:val="20"/>
        </w:rPr>
        <w:t xml:space="preserve"> To avoid multicollinearity, we mean-center the experience, industry focus, and expertise measures.</w:t>
      </w:r>
    </w:p>
    <w:p w14:paraId="6A5A6260" w14:textId="77777777" w:rsidR="00407106" w:rsidRDefault="00407106" w:rsidP="00407106">
      <w:pPr>
        <w:pStyle w:val="FootnoteText"/>
      </w:pPr>
    </w:p>
  </w:footnote>
  <w:footnote w:id="33">
    <w:p w14:paraId="287CF510" w14:textId="77777777" w:rsidR="00407106" w:rsidRDefault="00407106" w:rsidP="00407106">
      <w:pPr>
        <w:pStyle w:val="FootnoteText"/>
        <w:ind w:firstLine="0"/>
      </w:pPr>
      <w:r>
        <w:rPr>
          <w:rStyle w:val="FootnoteReference"/>
        </w:rPr>
        <w:footnoteRef/>
      </w:r>
      <w:r>
        <w:t xml:space="preserve"> Analyst with CFA certification do not perform better when pension accounting is complex but they do perform better when fair value and derivatives are. This is consistent with the topics covered in the CFA certification that includes fair value and derivatives.</w:t>
      </w:r>
    </w:p>
  </w:footnote>
  <w:footnote w:id="34">
    <w:p w14:paraId="5CD227C6" w14:textId="77777777" w:rsidR="00407106" w:rsidRDefault="00407106" w:rsidP="00407106">
      <w:pPr>
        <w:pStyle w:val="FootnoteText"/>
        <w:ind w:firstLine="0"/>
      </w:pPr>
      <w:r>
        <w:rPr>
          <w:rStyle w:val="FootnoteReference"/>
        </w:rPr>
        <w:footnoteRef/>
      </w:r>
      <w:r>
        <w:t xml:space="preserve"> We thank Chen, Miao, and Shevlin for graciously sharing with us their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780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9F0C6F"/>
    <w:multiLevelType w:val="hybridMultilevel"/>
    <w:tmpl w:val="BC36F30A"/>
    <w:lvl w:ilvl="0" w:tplc="690EB16A">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31DE499E"/>
    <w:multiLevelType w:val="hybridMultilevel"/>
    <w:tmpl w:val="B6F6A178"/>
    <w:lvl w:ilvl="0" w:tplc="0F1AB116">
      <w:start w:val="1"/>
      <w:numFmt w:val="upperRoman"/>
      <w:pStyle w:val="Heading1"/>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zN7I0NTYysjS3MDdV0lEKTi0uzszPAykwqgUA9cZXQSwAAAA="/>
  </w:docVars>
  <w:rsids>
    <w:rsidRoot w:val="00175FBD"/>
    <w:rsid w:val="000454E8"/>
    <w:rsid w:val="00102C8E"/>
    <w:rsid w:val="0015529B"/>
    <w:rsid w:val="00175FBD"/>
    <w:rsid w:val="002D37FB"/>
    <w:rsid w:val="003A7BAC"/>
    <w:rsid w:val="00407106"/>
    <w:rsid w:val="00617FD6"/>
    <w:rsid w:val="006B5552"/>
    <w:rsid w:val="006C1114"/>
    <w:rsid w:val="00A0032B"/>
    <w:rsid w:val="00B53E99"/>
    <w:rsid w:val="00BB054D"/>
    <w:rsid w:val="00BD4F0D"/>
    <w:rsid w:val="00E46C48"/>
    <w:rsid w:val="00E948FA"/>
    <w:rsid w:val="00E96BA2"/>
    <w:rsid w:val="00EB51D2"/>
    <w:rsid w:val="00F3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0222"/>
  <w15:chartTrackingRefBased/>
  <w15:docId w15:val="{FF6A4B14-5C02-4DB8-86A1-8C73D3B4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BD"/>
    <w:pPr>
      <w:spacing w:after="200" w:line="480" w:lineRule="auto"/>
      <w:ind w:firstLine="720"/>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407106"/>
    <w:pPr>
      <w:numPr>
        <w:numId w:val="1"/>
      </w:numPr>
      <w:ind w:left="0" w:firstLine="0"/>
      <w:jc w:val="center"/>
      <w:outlineLvl w:val="0"/>
    </w:pPr>
    <w:rPr>
      <w:b/>
    </w:rPr>
  </w:style>
  <w:style w:type="paragraph" w:styleId="Heading2">
    <w:name w:val="heading 2"/>
    <w:basedOn w:val="Normal"/>
    <w:next w:val="Normal"/>
    <w:link w:val="Heading2Char"/>
    <w:uiPriority w:val="9"/>
    <w:semiHidden/>
    <w:unhideWhenUsed/>
    <w:qFormat/>
    <w:rsid w:val="00407106"/>
    <w:pPr>
      <w:spacing w:before="120" w:after="0"/>
      <w:ind w:firstLine="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FBD"/>
    <w:rPr>
      <w:color w:val="0000FF"/>
      <w:u w:val="single"/>
    </w:rPr>
  </w:style>
  <w:style w:type="character" w:customStyle="1" w:styleId="Heading1Char">
    <w:name w:val="Heading 1 Char"/>
    <w:basedOn w:val="DefaultParagraphFont"/>
    <w:link w:val="Heading1"/>
    <w:uiPriority w:val="9"/>
    <w:rsid w:val="00407106"/>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407106"/>
    <w:rPr>
      <w:rFonts w:ascii="Times New Roman" w:hAnsi="Times New Roman" w:cs="Times New Roman"/>
      <w:b/>
      <w:i/>
      <w:sz w:val="24"/>
      <w:szCs w:val="24"/>
    </w:rPr>
  </w:style>
  <w:style w:type="character" w:styleId="FollowedHyperlink">
    <w:name w:val="FollowedHyperlink"/>
    <w:basedOn w:val="DefaultParagraphFont"/>
    <w:uiPriority w:val="99"/>
    <w:semiHidden/>
    <w:unhideWhenUsed/>
    <w:rsid w:val="00407106"/>
    <w:rPr>
      <w:color w:val="954F72" w:themeColor="followedHyperlink"/>
      <w:u w:val="single"/>
    </w:rPr>
  </w:style>
  <w:style w:type="paragraph" w:styleId="ListParagraph">
    <w:name w:val="List Paragraph"/>
    <w:basedOn w:val="Normal"/>
    <w:uiPriority w:val="34"/>
    <w:qFormat/>
    <w:rsid w:val="00407106"/>
    <w:pPr>
      <w:ind w:left="720"/>
      <w:contextualSpacing/>
    </w:pPr>
  </w:style>
  <w:style w:type="paragraph" w:styleId="NormalWeb">
    <w:name w:val="Normal (Web)"/>
    <w:basedOn w:val="Normal"/>
    <w:uiPriority w:val="99"/>
    <w:semiHidden/>
    <w:unhideWhenUsed/>
    <w:rsid w:val="00407106"/>
    <w:pPr>
      <w:spacing w:before="100" w:beforeAutospacing="1" w:after="100" w:afterAutospacing="1" w:line="240" w:lineRule="auto"/>
    </w:pPr>
    <w:rPr>
      <w:rFonts w:eastAsiaTheme="minorEastAsia"/>
    </w:rPr>
  </w:style>
  <w:style w:type="paragraph" w:styleId="FootnoteText">
    <w:name w:val="footnote text"/>
    <w:basedOn w:val="Normal"/>
    <w:link w:val="FootnoteTextChar"/>
    <w:uiPriority w:val="99"/>
    <w:semiHidden/>
    <w:unhideWhenUsed/>
    <w:rsid w:val="00407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106"/>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407106"/>
    <w:pPr>
      <w:spacing w:line="240" w:lineRule="auto"/>
    </w:pPr>
    <w:rPr>
      <w:sz w:val="20"/>
      <w:szCs w:val="20"/>
    </w:rPr>
  </w:style>
  <w:style w:type="character" w:customStyle="1" w:styleId="CommentTextChar">
    <w:name w:val="Comment Text Char"/>
    <w:basedOn w:val="DefaultParagraphFont"/>
    <w:link w:val="CommentText"/>
    <w:uiPriority w:val="99"/>
    <w:semiHidden/>
    <w:rsid w:val="00407106"/>
    <w:rPr>
      <w:rFonts w:ascii="Times New Roman" w:hAnsi="Times New Roman" w:cs="Times New Roman"/>
      <w:sz w:val="20"/>
      <w:szCs w:val="20"/>
    </w:rPr>
  </w:style>
  <w:style w:type="paragraph" w:styleId="Header">
    <w:name w:val="header"/>
    <w:basedOn w:val="Normal"/>
    <w:link w:val="HeaderChar"/>
    <w:uiPriority w:val="99"/>
    <w:semiHidden/>
    <w:unhideWhenUsed/>
    <w:rsid w:val="00407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106"/>
    <w:rPr>
      <w:rFonts w:ascii="Times New Roman" w:hAnsi="Times New Roman" w:cs="Times New Roman"/>
      <w:sz w:val="24"/>
      <w:szCs w:val="24"/>
    </w:rPr>
  </w:style>
  <w:style w:type="paragraph" w:styleId="Footer">
    <w:name w:val="footer"/>
    <w:basedOn w:val="Normal"/>
    <w:link w:val="FooterChar"/>
    <w:uiPriority w:val="99"/>
    <w:semiHidden/>
    <w:unhideWhenUsed/>
    <w:rsid w:val="00407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106"/>
    <w:rPr>
      <w:rFonts w:ascii="Times New Roman" w:hAnsi="Times New Roman" w:cs="Times New Roman"/>
      <w:sz w:val="24"/>
      <w:szCs w:val="24"/>
    </w:rPr>
  </w:style>
  <w:style w:type="paragraph" w:styleId="ListBullet">
    <w:name w:val="List Bullet"/>
    <w:basedOn w:val="Normal"/>
    <w:uiPriority w:val="99"/>
    <w:semiHidden/>
    <w:unhideWhenUsed/>
    <w:rsid w:val="00407106"/>
    <w:pPr>
      <w:numPr>
        <w:numId w:val="3"/>
      </w:numPr>
      <w:contextualSpacing/>
    </w:pPr>
  </w:style>
  <w:style w:type="paragraph" w:styleId="CommentSubject">
    <w:name w:val="annotation subject"/>
    <w:basedOn w:val="CommentText"/>
    <w:next w:val="CommentText"/>
    <w:link w:val="CommentSubjectChar"/>
    <w:uiPriority w:val="99"/>
    <w:semiHidden/>
    <w:unhideWhenUsed/>
    <w:rsid w:val="00407106"/>
    <w:rPr>
      <w:b/>
      <w:bCs/>
    </w:rPr>
  </w:style>
  <w:style w:type="character" w:customStyle="1" w:styleId="CommentSubjectChar">
    <w:name w:val="Comment Subject Char"/>
    <w:basedOn w:val="CommentTextChar"/>
    <w:link w:val="CommentSubject"/>
    <w:uiPriority w:val="99"/>
    <w:semiHidden/>
    <w:rsid w:val="0040710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0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06"/>
    <w:rPr>
      <w:rFonts w:ascii="Tahoma" w:hAnsi="Tahoma" w:cs="Tahoma"/>
      <w:sz w:val="16"/>
      <w:szCs w:val="16"/>
    </w:rPr>
  </w:style>
  <w:style w:type="paragraph" w:styleId="Revision">
    <w:name w:val="Revision"/>
    <w:uiPriority w:val="99"/>
    <w:semiHidden/>
    <w:rsid w:val="00407106"/>
    <w:pPr>
      <w:spacing w:after="0" w:line="240" w:lineRule="auto"/>
    </w:pPr>
  </w:style>
  <w:style w:type="character" w:customStyle="1" w:styleId="TablesChar">
    <w:name w:val="Tables Char"/>
    <w:basedOn w:val="DefaultParagraphFont"/>
    <w:link w:val="Tables"/>
    <w:locked/>
    <w:rsid w:val="00407106"/>
    <w:rPr>
      <w:rFonts w:ascii="Times New Roman" w:hAnsi="Times New Roman" w:cs="Times New Roman"/>
      <w:sz w:val="24"/>
      <w:szCs w:val="24"/>
    </w:rPr>
  </w:style>
  <w:style w:type="paragraph" w:customStyle="1" w:styleId="Tables">
    <w:name w:val="Tables"/>
    <w:basedOn w:val="Normal"/>
    <w:link w:val="TablesChar"/>
    <w:qFormat/>
    <w:rsid w:val="00407106"/>
    <w:pPr>
      <w:spacing w:after="0" w:line="240" w:lineRule="auto"/>
      <w:ind w:firstLine="0"/>
    </w:pPr>
  </w:style>
  <w:style w:type="character" w:styleId="FootnoteReference">
    <w:name w:val="footnote reference"/>
    <w:basedOn w:val="DefaultParagraphFont"/>
    <w:uiPriority w:val="99"/>
    <w:semiHidden/>
    <w:unhideWhenUsed/>
    <w:rsid w:val="00407106"/>
    <w:rPr>
      <w:vertAlign w:val="superscript"/>
    </w:rPr>
  </w:style>
  <w:style w:type="character" w:styleId="CommentReference">
    <w:name w:val="annotation reference"/>
    <w:basedOn w:val="DefaultParagraphFont"/>
    <w:uiPriority w:val="99"/>
    <w:semiHidden/>
    <w:unhideWhenUsed/>
    <w:rsid w:val="00407106"/>
    <w:rPr>
      <w:sz w:val="16"/>
      <w:szCs w:val="16"/>
    </w:rPr>
  </w:style>
  <w:style w:type="character" w:customStyle="1" w:styleId="apple-converted-space">
    <w:name w:val="apple-converted-space"/>
    <w:basedOn w:val="DefaultParagraphFont"/>
    <w:rsid w:val="00407106"/>
  </w:style>
  <w:style w:type="character" w:customStyle="1" w:styleId="fontstyle01">
    <w:name w:val="fontstyle01"/>
    <w:basedOn w:val="DefaultParagraphFont"/>
    <w:rsid w:val="00407106"/>
    <w:rPr>
      <w:rFonts w:ascii="AdvTimes" w:hAnsi="AdvTimes" w:hint="default"/>
      <w:b w:val="0"/>
      <w:bCs w:val="0"/>
      <w:i w:val="0"/>
      <w:iCs w:val="0"/>
      <w:color w:val="231F20"/>
      <w:sz w:val="20"/>
      <w:szCs w:val="20"/>
    </w:rPr>
  </w:style>
  <w:style w:type="character" w:customStyle="1" w:styleId="Mention1">
    <w:name w:val="Mention1"/>
    <w:basedOn w:val="DefaultParagraphFont"/>
    <w:uiPriority w:val="99"/>
    <w:semiHidden/>
    <w:rsid w:val="00407106"/>
    <w:rPr>
      <w:color w:val="2B579A"/>
      <w:shd w:val="clear" w:color="auto" w:fill="E6E6E6"/>
    </w:rPr>
  </w:style>
  <w:style w:type="table" w:styleId="TableGrid">
    <w:name w:val="Table Grid"/>
    <w:basedOn w:val="TableNormal"/>
    <w:uiPriority w:val="59"/>
    <w:rsid w:val="004071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oitash@ne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oitash@bentley.edu" TargetMode="External"/><Relationship Id="rId12" Type="http://schemas.openxmlformats.org/officeDocument/2006/relationships/hyperlink" Target="http://www.sec.gov/about/offices/oca/acifr/acifr-final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sb.org/cs/ContentServer?c=Page&amp;cid=1176168984130&amp;d=&amp;pagename=FASB%2FPage%2FSectionPage" TargetMode="External"/><Relationship Id="rId5" Type="http://schemas.openxmlformats.org/officeDocument/2006/relationships/footnotes" Target="footnotes.xml"/><Relationship Id="rId10" Type="http://schemas.openxmlformats.org/officeDocument/2006/relationships/hyperlink" Target="http://www.fasb.org/simplification" TargetMode="External"/><Relationship Id="rId4" Type="http://schemas.openxmlformats.org/officeDocument/2006/relationships/webSettings" Target="webSettings.xml"/><Relationship Id="rId9" Type="http://schemas.openxmlformats.org/officeDocument/2006/relationships/hyperlink" Target="mailto:ayezegel@bentley.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sb.org/cs/ContentServer?c=Page&amp;pagename=FASB%2FPage%2FSectionPage&amp;cid=1176164649716" TargetMode="External"/><Relationship Id="rId1" Type="http://schemas.openxmlformats.org/officeDocument/2006/relationships/hyperlink" Target="https://xbrl.us/wp-content/uploads/2015/03/Preparer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17086</Words>
  <Characters>97396</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hoitash</dc:creator>
  <cp:keywords/>
  <dc:description/>
  <cp:lastModifiedBy>Tracy Skolmen</cp:lastModifiedBy>
  <cp:revision>2</cp:revision>
  <dcterms:created xsi:type="dcterms:W3CDTF">2018-08-16T02:32:00Z</dcterms:created>
  <dcterms:modified xsi:type="dcterms:W3CDTF">2018-08-16T02:32:00Z</dcterms:modified>
</cp:coreProperties>
</file>