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B1CB" w14:textId="77777777" w:rsidR="00527702" w:rsidRPr="00D52676" w:rsidRDefault="00527702" w:rsidP="00A9588A">
      <w:pPr>
        <w:spacing w:line="276" w:lineRule="auto"/>
        <w:rPr>
          <w:rFonts w:ascii="Times New Roman" w:hAnsi="Times New Roman" w:cs="Times New Roman"/>
          <w:sz w:val="20"/>
          <w:szCs w:val="20"/>
          <w:lang w:val="en-US"/>
        </w:rPr>
      </w:pPr>
    </w:p>
    <w:p w14:paraId="2ACA9223" w14:textId="0448A2AE" w:rsidR="00724385" w:rsidRDefault="00724385" w:rsidP="00724385">
      <w:pPr>
        <w:spacing w:after="0" w:line="240" w:lineRule="auto"/>
        <w:jc w:val="center"/>
        <w:rPr>
          <w:rFonts w:ascii="Times New Roman" w:hAnsi="Times New Roman" w:cs="Times New Roman"/>
          <w:b/>
          <w:sz w:val="40"/>
          <w:szCs w:val="34"/>
          <w:lang w:val="en-US"/>
        </w:rPr>
      </w:pPr>
      <w:r>
        <w:rPr>
          <w:rFonts w:ascii="Times New Roman" w:hAnsi="Times New Roman" w:cs="Times New Roman"/>
          <w:b/>
          <w:sz w:val="40"/>
          <w:szCs w:val="34"/>
          <w:lang w:val="en-US"/>
        </w:rPr>
        <w:t xml:space="preserve">Tournament Incentives and Institutional </w:t>
      </w:r>
      <w:r w:rsidR="001B7A97">
        <w:rPr>
          <w:rFonts w:ascii="Times New Roman" w:hAnsi="Times New Roman" w:cs="Times New Roman"/>
          <w:b/>
          <w:sz w:val="40"/>
          <w:szCs w:val="34"/>
          <w:lang w:val="en-US"/>
        </w:rPr>
        <w:t>Ownership</w:t>
      </w:r>
      <w:r>
        <w:rPr>
          <w:rFonts w:ascii="Times New Roman" w:hAnsi="Times New Roman" w:cs="Times New Roman"/>
          <w:b/>
          <w:sz w:val="40"/>
          <w:szCs w:val="34"/>
          <w:lang w:val="en-US"/>
        </w:rPr>
        <w:t xml:space="preserve"> </w:t>
      </w:r>
    </w:p>
    <w:p w14:paraId="385516F1" w14:textId="77777777" w:rsidR="006729F3" w:rsidRPr="00D52676" w:rsidRDefault="006729F3" w:rsidP="006729F3">
      <w:pPr>
        <w:spacing w:after="0" w:line="240" w:lineRule="auto"/>
        <w:jc w:val="center"/>
        <w:rPr>
          <w:rFonts w:ascii="Times New Roman" w:hAnsi="Times New Roman" w:cs="Times New Roman"/>
          <w:b/>
          <w:sz w:val="34"/>
          <w:szCs w:val="34"/>
          <w:lang w:val="en-US"/>
        </w:rPr>
      </w:pPr>
    </w:p>
    <w:p w14:paraId="335DE74E" w14:textId="77777777" w:rsidR="00527702" w:rsidRPr="00D52676" w:rsidRDefault="00527702" w:rsidP="006729F3">
      <w:pPr>
        <w:spacing w:after="0" w:line="240" w:lineRule="auto"/>
        <w:rPr>
          <w:rFonts w:ascii="Times New Roman" w:hAnsi="Times New Roman" w:cs="Times New Roman"/>
          <w:sz w:val="20"/>
          <w:szCs w:val="20"/>
          <w:lang w:val="en-US"/>
        </w:rPr>
      </w:pPr>
    </w:p>
    <w:p w14:paraId="16AB48F3" w14:textId="77777777" w:rsidR="00527702" w:rsidRPr="006729F3" w:rsidRDefault="00527702" w:rsidP="006729F3">
      <w:pPr>
        <w:spacing w:after="0" w:line="240" w:lineRule="auto"/>
        <w:rPr>
          <w:rFonts w:ascii="Times New Roman" w:hAnsi="Times New Roman" w:cs="Times New Roman"/>
          <w:sz w:val="24"/>
          <w:szCs w:val="24"/>
          <w:lang w:val="en-US"/>
        </w:rPr>
      </w:pPr>
    </w:p>
    <w:p w14:paraId="441A406F" w14:textId="77777777" w:rsidR="00534BF4" w:rsidRDefault="00534BF4" w:rsidP="006729F3">
      <w:pPr>
        <w:spacing w:after="0" w:line="240" w:lineRule="auto"/>
        <w:jc w:val="center"/>
        <w:rPr>
          <w:rFonts w:ascii="Times New Roman" w:hAnsi="Times New Roman" w:cs="Times New Roman"/>
          <w:sz w:val="24"/>
          <w:szCs w:val="24"/>
          <w:lang w:val="en-US"/>
        </w:rPr>
      </w:pPr>
    </w:p>
    <w:p w14:paraId="6E6C702B" w14:textId="19DF6877" w:rsidR="00527702" w:rsidRDefault="00527702" w:rsidP="006729F3">
      <w:pPr>
        <w:spacing w:after="0" w:line="240" w:lineRule="auto"/>
        <w:rPr>
          <w:rFonts w:ascii="Times New Roman" w:hAnsi="Times New Roman" w:cs="Times New Roman"/>
          <w:sz w:val="24"/>
          <w:szCs w:val="24"/>
          <w:lang w:val="en-US"/>
        </w:rPr>
      </w:pPr>
    </w:p>
    <w:p w14:paraId="5EF46AE0" w14:textId="29AA1E96" w:rsidR="005874DF" w:rsidRDefault="008B648B" w:rsidP="008B648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Chia-Feng</w:t>
      </w:r>
      <w:r w:rsidR="005874DF">
        <w:rPr>
          <w:rFonts w:ascii="Times New Roman" w:hAnsi="Times New Roman" w:cs="Times New Roman"/>
          <w:sz w:val="24"/>
          <w:szCs w:val="24"/>
          <w:lang w:val="en-US"/>
        </w:rPr>
        <w:t xml:space="preserve"> Yu</w:t>
      </w:r>
      <w:r w:rsidR="00213B08">
        <w:rPr>
          <w:rFonts w:ascii="Times New Roman" w:hAnsi="Times New Roman" w:cs="Times New Roman"/>
          <w:sz w:val="24"/>
          <w:szCs w:val="24"/>
          <w:vertAlign w:val="superscript"/>
          <w:lang w:val="en-US"/>
        </w:rPr>
        <w:t>1</w:t>
      </w:r>
      <w:r w:rsidR="005874DF">
        <w:rPr>
          <w:rFonts w:ascii="Times New Roman" w:hAnsi="Times New Roman" w:cs="Times New Roman"/>
          <w:sz w:val="24"/>
          <w:szCs w:val="24"/>
          <w:lang w:val="en-US"/>
        </w:rPr>
        <w:t>, Paul Brockman</w:t>
      </w:r>
      <w:r w:rsidR="00213B08">
        <w:rPr>
          <w:rFonts w:ascii="Times New Roman" w:hAnsi="Times New Roman" w:cs="Times New Roman"/>
          <w:sz w:val="24"/>
          <w:szCs w:val="24"/>
          <w:vertAlign w:val="superscript"/>
          <w:lang w:val="en-US"/>
        </w:rPr>
        <w:t>2*</w:t>
      </w:r>
      <w:r w:rsidR="005874DF">
        <w:rPr>
          <w:rFonts w:ascii="Times New Roman" w:hAnsi="Times New Roman" w:cs="Times New Roman"/>
          <w:sz w:val="24"/>
          <w:szCs w:val="24"/>
          <w:lang w:val="en-US"/>
        </w:rPr>
        <w:t>, Chee Cheong</w:t>
      </w:r>
      <w:r w:rsidR="00213B08">
        <w:rPr>
          <w:rFonts w:ascii="Times New Roman" w:hAnsi="Times New Roman" w:cs="Times New Roman"/>
          <w:sz w:val="24"/>
          <w:szCs w:val="24"/>
          <w:vertAlign w:val="superscript"/>
          <w:lang w:val="en-US"/>
        </w:rPr>
        <w:t>1</w:t>
      </w:r>
      <w:r w:rsidR="00213B08">
        <w:rPr>
          <w:rFonts w:ascii="Times New Roman" w:hAnsi="Times New Roman" w:cs="Times New Roman"/>
          <w:sz w:val="24"/>
          <w:szCs w:val="24"/>
          <w:lang w:val="en-US"/>
        </w:rPr>
        <w:t>,</w:t>
      </w:r>
      <w:r w:rsidR="005874DF">
        <w:rPr>
          <w:rFonts w:ascii="Times New Roman" w:hAnsi="Times New Roman" w:cs="Times New Roman"/>
          <w:sz w:val="24"/>
          <w:szCs w:val="24"/>
          <w:lang w:val="en-US"/>
        </w:rPr>
        <w:t xml:space="preserve"> Ralf Zurbruegg</w:t>
      </w:r>
      <w:r w:rsidR="00213B08">
        <w:rPr>
          <w:rFonts w:ascii="Times New Roman" w:hAnsi="Times New Roman" w:cs="Times New Roman"/>
          <w:sz w:val="24"/>
          <w:szCs w:val="24"/>
          <w:vertAlign w:val="superscript"/>
          <w:lang w:val="en-US"/>
        </w:rPr>
        <w:t>1</w:t>
      </w:r>
    </w:p>
    <w:p w14:paraId="45A3BD7B" w14:textId="4A255280" w:rsidR="008B648B" w:rsidRDefault="008B648B" w:rsidP="006729F3">
      <w:pPr>
        <w:spacing w:after="0" w:line="240" w:lineRule="auto"/>
        <w:rPr>
          <w:rFonts w:ascii="Times New Roman" w:hAnsi="Times New Roman" w:cs="Times New Roman"/>
          <w:sz w:val="24"/>
          <w:szCs w:val="24"/>
          <w:lang w:val="en-US"/>
        </w:rPr>
      </w:pPr>
    </w:p>
    <w:p w14:paraId="14DADDE2" w14:textId="480D5C9F" w:rsidR="008B648B" w:rsidRDefault="008B648B" w:rsidP="006729F3">
      <w:pPr>
        <w:spacing w:after="0" w:line="240" w:lineRule="auto"/>
        <w:rPr>
          <w:rFonts w:ascii="Times New Roman" w:hAnsi="Times New Roman" w:cs="Times New Roman"/>
          <w:sz w:val="24"/>
          <w:szCs w:val="24"/>
          <w:lang w:val="en-US"/>
        </w:rPr>
      </w:pPr>
    </w:p>
    <w:p w14:paraId="43A70871" w14:textId="77777777" w:rsidR="008B648B" w:rsidRDefault="008B648B" w:rsidP="006729F3">
      <w:pPr>
        <w:spacing w:after="0" w:line="240" w:lineRule="auto"/>
        <w:rPr>
          <w:rFonts w:ascii="Times New Roman" w:hAnsi="Times New Roman" w:cs="Times New Roman"/>
          <w:sz w:val="24"/>
          <w:szCs w:val="24"/>
          <w:lang w:val="en-US"/>
        </w:rPr>
      </w:pPr>
    </w:p>
    <w:p w14:paraId="516196AD" w14:textId="77777777" w:rsidR="006729F3" w:rsidRDefault="006729F3" w:rsidP="006729F3">
      <w:pPr>
        <w:spacing w:after="0" w:line="240" w:lineRule="auto"/>
        <w:rPr>
          <w:rFonts w:ascii="Times New Roman" w:hAnsi="Times New Roman" w:cs="Times New Roman"/>
          <w:b/>
          <w:bCs/>
          <w:sz w:val="24"/>
          <w:szCs w:val="24"/>
          <w:lang w:val="en-US"/>
        </w:rPr>
      </w:pPr>
    </w:p>
    <w:p w14:paraId="27DE48CF" w14:textId="77777777" w:rsidR="00F25CFB" w:rsidRPr="006729F3" w:rsidRDefault="00F25CFB" w:rsidP="006729F3">
      <w:pPr>
        <w:spacing w:after="0" w:line="240" w:lineRule="auto"/>
        <w:rPr>
          <w:rFonts w:ascii="Times New Roman" w:hAnsi="Times New Roman" w:cs="Times New Roman"/>
          <w:b/>
          <w:bCs/>
          <w:sz w:val="24"/>
          <w:szCs w:val="24"/>
          <w:lang w:val="en-US"/>
        </w:rPr>
      </w:pPr>
    </w:p>
    <w:p w14:paraId="06AACD33" w14:textId="77777777" w:rsidR="003522C0" w:rsidRDefault="00527702" w:rsidP="005874DF">
      <w:pPr>
        <w:spacing w:after="0" w:line="480" w:lineRule="auto"/>
        <w:jc w:val="both"/>
        <w:rPr>
          <w:rFonts w:ascii="Times New Roman" w:hAnsi="Times New Roman" w:cs="Times New Roman"/>
          <w:b/>
          <w:bCs/>
          <w:sz w:val="24"/>
          <w:szCs w:val="24"/>
          <w:lang w:val="en-US"/>
        </w:rPr>
      </w:pPr>
      <w:r w:rsidRPr="006729F3">
        <w:rPr>
          <w:rFonts w:ascii="Times New Roman" w:hAnsi="Times New Roman" w:cs="Times New Roman"/>
          <w:b/>
          <w:bCs/>
          <w:sz w:val="24"/>
          <w:szCs w:val="24"/>
          <w:lang w:val="en-US"/>
        </w:rPr>
        <w:t xml:space="preserve">Abstract: </w:t>
      </w:r>
    </w:p>
    <w:p w14:paraId="159BFE80" w14:textId="7CC10C96" w:rsidR="00003568" w:rsidRDefault="00724385" w:rsidP="005874DF">
      <w:pPr>
        <w:spacing w:after="0" w:line="480" w:lineRule="auto"/>
        <w:jc w:val="both"/>
        <w:rPr>
          <w:rFonts w:ascii="Times New Roman" w:hAnsi="Times New Roman" w:cs="Times New Roman"/>
          <w:sz w:val="24"/>
          <w:szCs w:val="24"/>
          <w:lang w:val="en-US"/>
        </w:rPr>
      </w:pPr>
      <w:r w:rsidRPr="00724385">
        <w:rPr>
          <w:rFonts w:ascii="Times New Roman" w:hAnsi="Times New Roman" w:cs="Times New Roman"/>
          <w:sz w:val="24"/>
          <w:szCs w:val="24"/>
          <w:lang w:val="en-US"/>
        </w:rPr>
        <w:t xml:space="preserve">This </w:t>
      </w:r>
      <w:r w:rsidR="00B61A85">
        <w:rPr>
          <w:rFonts w:ascii="Times New Roman" w:hAnsi="Times New Roman" w:cs="Times New Roman"/>
          <w:sz w:val="24"/>
          <w:szCs w:val="24"/>
          <w:lang w:val="en-US"/>
        </w:rPr>
        <w:t>study</w:t>
      </w:r>
      <w:r w:rsidRPr="00724385">
        <w:rPr>
          <w:rFonts w:ascii="Times New Roman" w:hAnsi="Times New Roman" w:cs="Times New Roman"/>
          <w:sz w:val="24"/>
          <w:szCs w:val="24"/>
          <w:lang w:val="en-US"/>
        </w:rPr>
        <w:t xml:space="preserve"> </w:t>
      </w:r>
      <w:r>
        <w:rPr>
          <w:rFonts w:ascii="Times New Roman" w:hAnsi="Times New Roman" w:cs="Times New Roman"/>
          <w:sz w:val="24"/>
          <w:szCs w:val="24"/>
          <w:lang w:val="en-US"/>
        </w:rPr>
        <w:t>examine</w:t>
      </w:r>
      <w:r w:rsidRPr="00724385">
        <w:rPr>
          <w:rFonts w:ascii="Times New Roman" w:hAnsi="Times New Roman" w:cs="Times New Roman"/>
          <w:sz w:val="24"/>
          <w:szCs w:val="24"/>
          <w:lang w:val="en-US"/>
        </w:rPr>
        <w:t xml:space="preserve">s the impact of </w:t>
      </w:r>
      <w:r w:rsidR="0051622D">
        <w:rPr>
          <w:rFonts w:ascii="Times New Roman" w:hAnsi="Times New Roman" w:cs="Times New Roman"/>
          <w:sz w:val="24"/>
          <w:szCs w:val="24"/>
          <w:lang w:val="en-US"/>
        </w:rPr>
        <w:t xml:space="preserve">internal </w:t>
      </w:r>
      <w:r w:rsidRPr="00724385">
        <w:rPr>
          <w:rFonts w:ascii="Times New Roman" w:hAnsi="Times New Roman" w:cs="Times New Roman"/>
          <w:sz w:val="24"/>
          <w:szCs w:val="24"/>
          <w:lang w:val="en-US"/>
        </w:rPr>
        <w:t>tournament compet</w:t>
      </w:r>
      <w:r>
        <w:rPr>
          <w:rFonts w:ascii="Times New Roman" w:hAnsi="Times New Roman" w:cs="Times New Roman"/>
          <w:sz w:val="24"/>
          <w:szCs w:val="24"/>
          <w:lang w:val="en-US"/>
        </w:rPr>
        <w:t xml:space="preserve">ition on </w:t>
      </w:r>
      <w:r w:rsidR="005C6F41">
        <w:rPr>
          <w:rFonts w:ascii="Times New Roman" w:hAnsi="Times New Roman" w:cs="Times New Roman"/>
          <w:sz w:val="24"/>
          <w:szCs w:val="24"/>
          <w:lang w:val="en-US"/>
        </w:rPr>
        <w:t xml:space="preserve">corporate </w:t>
      </w:r>
      <w:r w:rsidR="0051622D">
        <w:rPr>
          <w:rFonts w:ascii="Times New Roman" w:hAnsi="Times New Roman" w:cs="Times New Roman"/>
          <w:sz w:val="24"/>
          <w:szCs w:val="24"/>
          <w:lang w:val="en-US"/>
        </w:rPr>
        <w:t>ownership</w:t>
      </w:r>
      <w:r w:rsidR="005C6F41">
        <w:rPr>
          <w:rFonts w:ascii="Times New Roman" w:hAnsi="Times New Roman" w:cs="Times New Roman"/>
          <w:sz w:val="24"/>
          <w:szCs w:val="24"/>
          <w:lang w:val="en-US"/>
        </w:rPr>
        <w:t xml:space="preserve"> structure.</w:t>
      </w:r>
      <w:r w:rsidRPr="00724385">
        <w:rPr>
          <w:rFonts w:ascii="Times New Roman" w:hAnsi="Times New Roman" w:cs="Times New Roman"/>
          <w:sz w:val="24"/>
          <w:szCs w:val="24"/>
          <w:lang w:val="en-US"/>
        </w:rPr>
        <w:t xml:space="preserve"> </w:t>
      </w:r>
      <w:r w:rsidR="0051622D">
        <w:rPr>
          <w:rFonts w:ascii="Times New Roman" w:hAnsi="Times New Roman" w:cs="Times New Roman"/>
          <w:sz w:val="24"/>
          <w:szCs w:val="24"/>
          <w:lang w:val="en-US"/>
        </w:rPr>
        <w:t xml:space="preserve">We posit that institutional investors </w:t>
      </w:r>
      <w:r w:rsidR="00FE6C50">
        <w:rPr>
          <w:rFonts w:ascii="Times New Roman" w:hAnsi="Times New Roman" w:cs="Times New Roman"/>
          <w:sz w:val="24"/>
          <w:szCs w:val="24"/>
          <w:lang w:val="en-US"/>
        </w:rPr>
        <w:t xml:space="preserve">are sophisticated and </w:t>
      </w:r>
      <w:r w:rsidR="00A432FD">
        <w:rPr>
          <w:rFonts w:ascii="Times New Roman" w:hAnsi="Times New Roman" w:cs="Times New Roman"/>
          <w:sz w:val="24"/>
          <w:szCs w:val="24"/>
          <w:lang w:val="en-US"/>
        </w:rPr>
        <w:t xml:space="preserve">understand </w:t>
      </w:r>
      <w:r w:rsidR="0051622D">
        <w:rPr>
          <w:rFonts w:ascii="Times New Roman" w:hAnsi="Times New Roman" w:cs="Times New Roman"/>
          <w:sz w:val="24"/>
          <w:szCs w:val="24"/>
          <w:lang w:val="en-US"/>
        </w:rPr>
        <w:t xml:space="preserve">the incentive-alignment </w:t>
      </w:r>
      <w:r w:rsidR="00B61A85">
        <w:rPr>
          <w:rFonts w:ascii="Times New Roman" w:hAnsi="Times New Roman" w:cs="Times New Roman"/>
          <w:sz w:val="24"/>
          <w:szCs w:val="24"/>
          <w:lang w:val="en-US"/>
        </w:rPr>
        <w:t>mechanism</w:t>
      </w:r>
      <w:r w:rsidR="00A432FD">
        <w:rPr>
          <w:rFonts w:ascii="Times New Roman" w:hAnsi="Times New Roman" w:cs="Times New Roman"/>
          <w:sz w:val="24"/>
          <w:szCs w:val="24"/>
          <w:lang w:val="en-US"/>
        </w:rPr>
        <w:t xml:space="preserve"> </w:t>
      </w:r>
      <w:r w:rsidR="005C6F41">
        <w:rPr>
          <w:rFonts w:ascii="Times New Roman" w:hAnsi="Times New Roman" w:cs="Times New Roman"/>
          <w:sz w:val="24"/>
          <w:szCs w:val="24"/>
          <w:lang w:val="en-US"/>
        </w:rPr>
        <w:t xml:space="preserve">of </w:t>
      </w:r>
      <w:r w:rsidR="0051622D">
        <w:rPr>
          <w:rFonts w:ascii="Times New Roman" w:hAnsi="Times New Roman" w:cs="Times New Roman"/>
          <w:sz w:val="24"/>
          <w:szCs w:val="24"/>
          <w:lang w:val="en-US"/>
        </w:rPr>
        <w:t>internal tournaments</w:t>
      </w:r>
      <w:r w:rsidR="005C6F41">
        <w:rPr>
          <w:rFonts w:ascii="Times New Roman" w:hAnsi="Times New Roman" w:cs="Times New Roman"/>
          <w:sz w:val="24"/>
          <w:szCs w:val="24"/>
          <w:lang w:val="en-US"/>
        </w:rPr>
        <w:t>,</w:t>
      </w:r>
      <w:r w:rsidR="0051622D">
        <w:rPr>
          <w:rFonts w:ascii="Times New Roman" w:hAnsi="Times New Roman" w:cs="Times New Roman"/>
          <w:sz w:val="24"/>
          <w:szCs w:val="24"/>
          <w:lang w:val="en-US"/>
        </w:rPr>
        <w:t xml:space="preserve"> </w:t>
      </w:r>
      <w:r w:rsidR="00317EAB">
        <w:rPr>
          <w:rFonts w:ascii="Times New Roman" w:hAnsi="Times New Roman" w:cs="Times New Roman"/>
          <w:sz w:val="24"/>
          <w:szCs w:val="24"/>
          <w:lang w:val="en-US"/>
        </w:rPr>
        <w:t>there</w:t>
      </w:r>
      <w:r w:rsidR="00B61A85">
        <w:rPr>
          <w:rFonts w:ascii="Times New Roman" w:hAnsi="Times New Roman" w:cs="Times New Roman"/>
          <w:sz w:val="24"/>
          <w:szCs w:val="24"/>
          <w:lang w:val="en-US"/>
        </w:rPr>
        <w:t>by</w:t>
      </w:r>
      <w:r w:rsidR="00317EAB">
        <w:rPr>
          <w:rFonts w:ascii="Times New Roman" w:hAnsi="Times New Roman" w:cs="Times New Roman"/>
          <w:sz w:val="24"/>
          <w:szCs w:val="24"/>
          <w:lang w:val="en-US"/>
        </w:rPr>
        <w:t xml:space="preserve"> </w:t>
      </w:r>
      <w:proofErr w:type="gramStart"/>
      <w:r w:rsidR="00416FCB">
        <w:rPr>
          <w:rFonts w:ascii="Times New Roman" w:hAnsi="Times New Roman" w:cs="Times New Roman"/>
          <w:sz w:val="24"/>
          <w:szCs w:val="24"/>
          <w:lang w:val="en-US"/>
        </w:rPr>
        <w:t xml:space="preserve">being </w:t>
      </w:r>
      <w:r w:rsidR="00317EAB">
        <w:rPr>
          <w:rFonts w:ascii="Times New Roman" w:hAnsi="Times New Roman" w:cs="Times New Roman"/>
          <w:sz w:val="24"/>
          <w:szCs w:val="24"/>
          <w:lang w:val="en-US"/>
        </w:rPr>
        <w:t>attracted</w:t>
      </w:r>
      <w:proofErr w:type="gramEnd"/>
      <w:r w:rsidR="00317EAB">
        <w:rPr>
          <w:rFonts w:ascii="Times New Roman" w:hAnsi="Times New Roman" w:cs="Times New Roman"/>
          <w:sz w:val="24"/>
          <w:szCs w:val="24"/>
          <w:lang w:val="en-US"/>
        </w:rPr>
        <w:t xml:space="preserve"> to</w:t>
      </w:r>
      <w:r w:rsidR="00B61A85">
        <w:rPr>
          <w:rFonts w:ascii="Times New Roman" w:hAnsi="Times New Roman" w:cs="Times New Roman"/>
          <w:sz w:val="24"/>
          <w:szCs w:val="24"/>
          <w:lang w:val="en-US"/>
        </w:rPr>
        <w:t xml:space="preserve"> buying and holding</w:t>
      </w:r>
      <w:r w:rsidR="00317EAB">
        <w:rPr>
          <w:rFonts w:ascii="Times New Roman" w:hAnsi="Times New Roman" w:cs="Times New Roman"/>
          <w:sz w:val="24"/>
          <w:szCs w:val="24"/>
          <w:lang w:val="en-US"/>
        </w:rPr>
        <w:t xml:space="preserve"> tournament-oriented firms. We </w:t>
      </w:r>
      <w:r w:rsidR="007836F9">
        <w:rPr>
          <w:rFonts w:ascii="Times New Roman" w:hAnsi="Times New Roman" w:cs="Times New Roman"/>
          <w:sz w:val="24"/>
          <w:szCs w:val="24"/>
          <w:lang w:val="en-US"/>
        </w:rPr>
        <w:t>first</w:t>
      </w:r>
      <w:r w:rsidR="00A22E41">
        <w:rPr>
          <w:rFonts w:ascii="Times New Roman" w:hAnsi="Times New Roman" w:cs="Times New Roman"/>
          <w:sz w:val="24"/>
          <w:szCs w:val="24"/>
          <w:lang w:val="en-US"/>
        </w:rPr>
        <w:t xml:space="preserve"> </w:t>
      </w:r>
      <w:r w:rsidR="00317EAB">
        <w:rPr>
          <w:rFonts w:ascii="Times New Roman" w:hAnsi="Times New Roman" w:cs="Times New Roman"/>
          <w:sz w:val="24"/>
          <w:szCs w:val="24"/>
          <w:lang w:val="en-US"/>
        </w:rPr>
        <w:t xml:space="preserve">formalize this insight in a model and </w:t>
      </w:r>
      <w:r w:rsidR="00B61A85">
        <w:rPr>
          <w:rFonts w:ascii="Times New Roman" w:hAnsi="Times New Roman" w:cs="Times New Roman"/>
          <w:sz w:val="24"/>
          <w:szCs w:val="24"/>
          <w:lang w:val="en-US"/>
        </w:rPr>
        <w:t xml:space="preserve">then </w:t>
      </w:r>
      <w:r w:rsidR="00317EAB">
        <w:rPr>
          <w:rFonts w:ascii="Times New Roman" w:hAnsi="Times New Roman" w:cs="Times New Roman"/>
          <w:sz w:val="24"/>
          <w:szCs w:val="24"/>
          <w:lang w:val="en-US"/>
        </w:rPr>
        <w:t xml:space="preserve">test its </w:t>
      </w:r>
      <w:r w:rsidR="005632F3">
        <w:rPr>
          <w:rFonts w:ascii="Times New Roman" w:hAnsi="Times New Roman" w:cs="Times New Roman"/>
          <w:sz w:val="24"/>
          <w:szCs w:val="24"/>
          <w:lang w:val="en-US"/>
        </w:rPr>
        <w:t xml:space="preserve">empirical </w:t>
      </w:r>
      <w:r w:rsidR="00317EAB">
        <w:rPr>
          <w:rFonts w:ascii="Times New Roman" w:hAnsi="Times New Roman" w:cs="Times New Roman"/>
          <w:sz w:val="24"/>
          <w:szCs w:val="24"/>
          <w:lang w:val="en-US"/>
        </w:rPr>
        <w:t xml:space="preserve">implications using 25 years of market data. </w:t>
      </w:r>
      <w:r w:rsidR="00A40F32">
        <w:rPr>
          <w:rFonts w:ascii="Times New Roman" w:hAnsi="Times New Roman" w:cs="Times New Roman"/>
          <w:sz w:val="24"/>
          <w:szCs w:val="24"/>
          <w:lang w:val="en-US"/>
        </w:rPr>
        <w:t>We</w:t>
      </w:r>
      <w:r w:rsidRPr="00724385">
        <w:rPr>
          <w:rFonts w:ascii="Times New Roman" w:hAnsi="Times New Roman" w:cs="Times New Roman"/>
          <w:sz w:val="24"/>
          <w:szCs w:val="24"/>
          <w:lang w:val="en-US"/>
        </w:rPr>
        <w:t xml:space="preserve"> find strong support for</w:t>
      </w:r>
      <w:r w:rsidR="00EA17BC">
        <w:rPr>
          <w:rFonts w:ascii="Times New Roman" w:hAnsi="Times New Roman" w:cs="Times New Roman"/>
          <w:sz w:val="24"/>
          <w:szCs w:val="24"/>
          <w:lang w:val="en-US"/>
        </w:rPr>
        <w:t xml:space="preserve"> our hypothesis that internal tour</w:t>
      </w:r>
      <w:bookmarkStart w:id="0" w:name="_GoBack"/>
      <w:bookmarkEnd w:id="0"/>
      <w:r w:rsidR="00EA17BC">
        <w:rPr>
          <w:rFonts w:ascii="Times New Roman" w:hAnsi="Times New Roman" w:cs="Times New Roman"/>
          <w:sz w:val="24"/>
          <w:szCs w:val="24"/>
          <w:lang w:val="en-US"/>
        </w:rPr>
        <w:t xml:space="preserve">nament </w:t>
      </w:r>
      <w:r w:rsidR="00102F4B">
        <w:rPr>
          <w:rFonts w:ascii="Times New Roman" w:hAnsi="Times New Roman" w:cs="Times New Roman"/>
          <w:sz w:val="24"/>
          <w:szCs w:val="24"/>
          <w:lang w:val="en-US"/>
        </w:rPr>
        <w:t>incentives</w:t>
      </w:r>
      <w:r w:rsidR="00EA17BC">
        <w:rPr>
          <w:rFonts w:ascii="Times New Roman" w:hAnsi="Times New Roman" w:cs="Times New Roman"/>
          <w:sz w:val="24"/>
          <w:szCs w:val="24"/>
          <w:lang w:val="en-US"/>
        </w:rPr>
        <w:t xml:space="preserve"> leads to higher institutional ownership</w:t>
      </w:r>
      <w:r w:rsidR="005632F3">
        <w:rPr>
          <w:rFonts w:ascii="Times New Roman" w:hAnsi="Times New Roman" w:cs="Times New Roman"/>
          <w:sz w:val="24"/>
          <w:szCs w:val="24"/>
          <w:lang w:val="en-US"/>
        </w:rPr>
        <w:t xml:space="preserve"> and</w:t>
      </w:r>
      <w:r w:rsidR="00102F4B">
        <w:rPr>
          <w:rFonts w:ascii="Times New Roman" w:hAnsi="Times New Roman" w:cs="Times New Roman"/>
          <w:sz w:val="24"/>
          <w:szCs w:val="24"/>
          <w:lang w:val="en-US"/>
        </w:rPr>
        <w:t xml:space="preserve"> that</w:t>
      </w:r>
      <w:r w:rsidR="005632F3">
        <w:rPr>
          <w:rFonts w:ascii="Times New Roman" w:hAnsi="Times New Roman" w:cs="Times New Roman"/>
          <w:sz w:val="24"/>
          <w:szCs w:val="24"/>
          <w:lang w:val="en-US"/>
        </w:rPr>
        <w:t xml:space="preserve"> these</w:t>
      </w:r>
      <w:r w:rsidRPr="00724385">
        <w:rPr>
          <w:rFonts w:ascii="Times New Roman" w:hAnsi="Times New Roman" w:cs="Times New Roman"/>
          <w:sz w:val="24"/>
          <w:szCs w:val="24"/>
          <w:lang w:val="en-US"/>
        </w:rPr>
        <w:t xml:space="preserve"> findings are robust </w:t>
      </w:r>
      <w:r w:rsidR="005632F3">
        <w:rPr>
          <w:rFonts w:ascii="Times New Roman" w:hAnsi="Times New Roman" w:cs="Times New Roman"/>
          <w:sz w:val="24"/>
          <w:szCs w:val="24"/>
          <w:lang w:val="en-US"/>
        </w:rPr>
        <w:t>to alternative measures of</w:t>
      </w:r>
      <w:r w:rsidRPr="00724385">
        <w:rPr>
          <w:rFonts w:ascii="Times New Roman" w:hAnsi="Times New Roman" w:cs="Times New Roman"/>
          <w:sz w:val="24"/>
          <w:szCs w:val="24"/>
          <w:lang w:val="en-US"/>
        </w:rPr>
        <w:t xml:space="preserve"> tournament </w:t>
      </w:r>
      <w:r>
        <w:rPr>
          <w:rFonts w:ascii="Times New Roman" w:hAnsi="Times New Roman" w:cs="Times New Roman"/>
          <w:sz w:val="24"/>
          <w:szCs w:val="24"/>
          <w:lang w:val="en-US"/>
        </w:rPr>
        <w:t xml:space="preserve">competition and </w:t>
      </w:r>
      <w:r w:rsidRPr="00724385">
        <w:rPr>
          <w:rFonts w:ascii="Times New Roman" w:hAnsi="Times New Roman" w:cs="Times New Roman"/>
          <w:sz w:val="24"/>
          <w:szCs w:val="24"/>
          <w:lang w:val="en-US"/>
        </w:rPr>
        <w:t xml:space="preserve">to potential </w:t>
      </w:r>
      <w:proofErr w:type="spellStart"/>
      <w:r w:rsidRPr="00724385">
        <w:rPr>
          <w:rFonts w:ascii="Times New Roman" w:hAnsi="Times New Roman" w:cs="Times New Roman"/>
          <w:sz w:val="24"/>
          <w:szCs w:val="24"/>
          <w:lang w:val="en-US"/>
        </w:rPr>
        <w:t>endogeneity</w:t>
      </w:r>
      <w:proofErr w:type="spellEnd"/>
      <w:r w:rsidRPr="00724385">
        <w:rPr>
          <w:rFonts w:ascii="Times New Roman" w:hAnsi="Times New Roman" w:cs="Times New Roman"/>
          <w:sz w:val="24"/>
          <w:szCs w:val="24"/>
          <w:lang w:val="en-US"/>
        </w:rPr>
        <w:t xml:space="preserve"> issues. Overall, this study uncovers a novel linkage between corporate tournaments and institutional </w:t>
      </w:r>
      <w:r w:rsidR="00A432FD">
        <w:rPr>
          <w:rFonts w:ascii="Times New Roman" w:hAnsi="Times New Roman" w:cs="Times New Roman"/>
          <w:sz w:val="24"/>
          <w:szCs w:val="24"/>
          <w:lang w:val="en-US"/>
        </w:rPr>
        <w:t xml:space="preserve">ownership. </w:t>
      </w:r>
    </w:p>
    <w:p w14:paraId="1C7F2B0D" w14:textId="77777777" w:rsidR="00724385" w:rsidRPr="006729F3" w:rsidRDefault="00724385" w:rsidP="00003568">
      <w:pPr>
        <w:spacing w:after="0" w:line="240" w:lineRule="auto"/>
        <w:jc w:val="both"/>
        <w:rPr>
          <w:rFonts w:ascii="Times New Roman" w:hAnsi="Times New Roman" w:cs="Times New Roman"/>
          <w:sz w:val="24"/>
          <w:szCs w:val="24"/>
          <w:lang w:val="en-US"/>
        </w:rPr>
      </w:pPr>
    </w:p>
    <w:p w14:paraId="7814E873" w14:textId="77777777" w:rsidR="005874DF" w:rsidRDefault="005874DF" w:rsidP="006729F3">
      <w:pPr>
        <w:spacing w:after="0" w:line="240" w:lineRule="auto"/>
        <w:rPr>
          <w:rFonts w:ascii="Times New Roman" w:hAnsi="Times New Roman" w:cs="Times New Roman"/>
          <w:b/>
          <w:bCs/>
          <w:sz w:val="24"/>
          <w:szCs w:val="24"/>
          <w:lang w:val="en-US"/>
        </w:rPr>
      </w:pPr>
    </w:p>
    <w:p w14:paraId="55A34E30" w14:textId="25FD0E28" w:rsidR="006729F3" w:rsidRDefault="00527702" w:rsidP="006729F3">
      <w:pPr>
        <w:spacing w:after="0" w:line="240" w:lineRule="auto"/>
        <w:rPr>
          <w:rFonts w:ascii="Times New Roman" w:hAnsi="Times New Roman" w:cs="Times New Roman"/>
          <w:sz w:val="24"/>
          <w:szCs w:val="24"/>
          <w:lang w:val="en-US"/>
        </w:rPr>
      </w:pPr>
      <w:r w:rsidRPr="006729F3">
        <w:rPr>
          <w:rFonts w:ascii="Times New Roman" w:hAnsi="Times New Roman" w:cs="Times New Roman"/>
          <w:b/>
          <w:bCs/>
          <w:sz w:val="24"/>
          <w:szCs w:val="24"/>
          <w:lang w:val="en-US"/>
        </w:rPr>
        <w:t xml:space="preserve">Keywords:  </w:t>
      </w:r>
      <w:r w:rsidR="00CC42F1" w:rsidRPr="00CC42F1">
        <w:rPr>
          <w:rFonts w:ascii="Times New Roman" w:hAnsi="Times New Roman" w:cs="Times New Roman"/>
          <w:sz w:val="24"/>
          <w:szCs w:val="24"/>
          <w:lang w:val="en-US"/>
        </w:rPr>
        <w:t>Corporate Tournaments, CEO Pay Gap, Institu</w:t>
      </w:r>
      <w:r w:rsidR="00724385">
        <w:rPr>
          <w:rFonts w:ascii="Times New Roman" w:hAnsi="Times New Roman" w:cs="Times New Roman"/>
          <w:sz w:val="24"/>
          <w:szCs w:val="24"/>
          <w:lang w:val="en-US"/>
        </w:rPr>
        <w:t>tional Holding.</w:t>
      </w:r>
    </w:p>
    <w:p w14:paraId="6E2B2BCB" w14:textId="77777777" w:rsidR="00527702" w:rsidRPr="006729F3" w:rsidRDefault="00527702" w:rsidP="006729F3">
      <w:pPr>
        <w:spacing w:after="0" w:line="240" w:lineRule="auto"/>
        <w:rPr>
          <w:rFonts w:ascii="Times New Roman" w:hAnsi="Times New Roman" w:cs="Times New Roman"/>
          <w:sz w:val="24"/>
          <w:szCs w:val="24"/>
          <w:lang w:val="en-US"/>
        </w:rPr>
      </w:pPr>
      <w:r w:rsidRPr="006729F3">
        <w:rPr>
          <w:rFonts w:ascii="Times New Roman" w:hAnsi="Times New Roman" w:cs="Times New Roman"/>
          <w:b/>
          <w:bCs/>
          <w:sz w:val="24"/>
          <w:szCs w:val="24"/>
          <w:lang w:val="en-US"/>
        </w:rPr>
        <w:t xml:space="preserve">JEL Classification Numbers:  </w:t>
      </w:r>
      <w:r w:rsidRPr="006729F3">
        <w:rPr>
          <w:rFonts w:ascii="Times New Roman" w:hAnsi="Times New Roman" w:cs="Times New Roman"/>
          <w:sz w:val="24"/>
          <w:szCs w:val="24"/>
          <w:lang w:val="en-US"/>
        </w:rPr>
        <w:t>G34, J33, M51.</w:t>
      </w:r>
    </w:p>
    <w:p w14:paraId="093C0602" w14:textId="77777777" w:rsidR="00527702" w:rsidRPr="006729F3" w:rsidRDefault="00527702" w:rsidP="006729F3">
      <w:pPr>
        <w:spacing w:after="0" w:line="240" w:lineRule="auto"/>
        <w:rPr>
          <w:rFonts w:ascii="Times New Roman" w:hAnsi="Times New Roman" w:cs="Times New Roman"/>
          <w:sz w:val="24"/>
          <w:szCs w:val="24"/>
          <w:lang w:val="en-US"/>
        </w:rPr>
      </w:pPr>
    </w:p>
    <w:p w14:paraId="5EBF268F" w14:textId="77777777" w:rsidR="00527702" w:rsidRPr="006729F3" w:rsidRDefault="00527702" w:rsidP="006729F3">
      <w:pPr>
        <w:spacing w:after="0" w:line="240" w:lineRule="auto"/>
        <w:rPr>
          <w:rFonts w:ascii="Times New Roman" w:hAnsi="Times New Roman" w:cs="Times New Roman"/>
          <w:sz w:val="24"/>
          <w:szCs w:val="24"/>
          <w:lang w:val="en-US"/>
        </w:rPr>
      </w:pPr>
    </w:p>
    <w:p w14:paraId="66371FC0" w14:textId="77777777" w:rsidR="00527702" w:rsidRDefault="00527702" w:rsidP="006729F3">
      <w:pPr>
        <w:spacing w:after="0" w:line="240" w:lineRule="auto"/>
        <w:rPr>
          <w:rFonts w:ascii="Times New Roman" w:hAnsi="Times New Roman" w:cs="Times New Roman"/>
          <w:sz w:val="24"/>
          <w:szCs w:val="24"/>
          <w:lang w:val="en-US"/>
        </w:rPr>
      </w:pPr>
    </w:p>
    <w:p w14:paraId="6BCA06DA" w14:textId="77777777" w:rsidR="005725C1" w:rsidRDefault="005725C1" w:rsidP="006729F3">
      <w:pPr>
        <w:spacing w:after="0" w:line="240" w:lineRule="auto"/>
        <w:rPr>
          <w:rFonts w:ascii="Times New Roman" w:hAnsi="Times New Roman" w:cs="Times New Roman"/>
          <w:sz w:val="24"/>
          <w:szCs w:val="24"/>
          <w:lang w:val="en-US"/>
        </w:rPr>
      </w:pPr>
    </w:p>
    <w:p w14:paraId="4075CDEF" w14:textId="77777777" w:rsidR="005725C1" w:rsidRDefault="005725C1" w:rsidP="006729F3">
      <w:pPr>
        <w:spacing w:after="0" w:line="240" w:lineRule="auto"/>
        <w:rPr>
          <w:rFonts w:ascii="Times New Roman" w:hAnsi="Times New Roman" w:cs="Times New Roman"/>
          <w:sz w:val="24"/>
          <w:szCs w:val="24"/>
          <w:lang w:val="en-US"/>
        </w:rPr>
      </w:pPr>
    </w:p>
    <w:p w14:paraId="026A23AB" w14:textId="77777777" w:rsidR="005725C1" w:rsidRDefault="005725C1" w:rsidP="006729F3">
      <w:pPr>
        <w:spacing w:after="0" w:line="240" w:lineRule="auto"/>
        <w:rPr>
          <w:rFonts w:ascii="Times New Roman" w:hAnsi="Times New Roman" w:cs="Times New Roman"/>
          <w:sz w:val="24"/>
          <w:szCs w:val="24"/>
          <w:lang w:val="en-US"/>
        </w:rPr>
      </w:pPr>
    </w:p>
    <w:p w14:paraId="3CE7026E" w14:textId="77777777" w:rsidR="005725C1" w:rsidRDefault="005725C1" w:rsidP="006729F3">
      <w:pPr>
        <w:spacing w:after="0" w:line="240" w:lineRule="auto"/>
        <w:rPr>
          <w:rFonts w:ascii="Times New Roman" w:hAnsi="Times New Roman" w:cs="Times New Roman"/>
          <w:sz w:val="24"/>
          <w:szCs w:val="24"/>
          <w:lang w:val="en-US"/>
        </w:rPr>
      </w:pPr>
    </w:p>
    <w:p w14:paraId="05550F5B" w14:textId="68E11FEA" w:rsidR="005725C1" w:rsidRPr="00213B08" w:rsidRDefault="00213B08" w:rsidP="00213B08">
      <w:pPr>
        <w:pStyle w:val="ListParagraph"/>
        <w:numPr>
          <w:ilvl w:val="0"/>
          <w:numId w:val="16"/>
        </w:numPr>
        <w:spacing w:after="0" w:line="240" w:lineRule="auto"/>
        <w:rPr>
          <w:rFonts w:ascii="Times New Roman" w:hAnsi="Times New Roman" w:cs="Times New Roman"/>
          <w:sz w:val="24"/>
          <w:szCs w:val="24"/>
          <w:lang w:val="en-US"/>
        </w:rPr>
      </w:pPr>
      <w:r w:rsidRPr="00213B08">
        <w:rPr>
          <w:rFonts w:ascii="Times New Roman" w:hAnsi="Times New Roman" w:cs="Times New Roman"/>
          <w:sz w:val="24"/>
          <w:szCs w:val="24"/>
          <w:lang w:val="en-US"/>
        </w:rPr>
        <w:t xml:space="preserve">Adelaide Business School, </w:t>
      </w:r>
      <w:proofErr w:type="gramStart"/>
      <w:r w:rsidRPr="00213B08">
        <w:rPr>
          <w:rFonts w:ascii="Times New Roman" w:hAnsi="Times New Roman" w:cs="Times New Roman"/>
          <w:sz w:val="24"/>
          <w:szCs w:val="24"/>
          <w:lang w:val="en-US"/>
        </w:rPr>
        <w:t>The</w:t>
      </w:r>
      <w:proofErr w:type="gramEnd"/>
      <w:r w:rsidRPr="00213B08">
        <w:rPr>
          <w:rFonts w:ascii="Times New Roman" w:hAnsi="Times New Roman" w:cs="Times New Roman"/>
          <w:sz w:val="24"/>
          <w:szCs w:val="24"/>
          <w:lang w:val="en-US"/>
        </w:rPr>
        <w:t xml:space="preserve"> University of Adelaide, SA 5005, Australia.</w:t>
      </w:r>
    </w:p>
    <w:p w14:paraId="0B074ACA" w14:textId="3CBEF2B6" w:rsidR="005725C1" w:rsidRPr="004467DB" w:rsidRDefault="005874DF" w:rsidP="004467DB">
      <w:pPr>
        <w:pStyle w:val="ListParagraph"/>
        <w:numPr>
          <w:ilvl w:val="0"/>
          <w:numId w:val="16"/>
        </w:numPr>
        <w:spacing w:after="0" w:line="240" w:lineRule="auto"/>
        <w:rPr>
          <w:rFonts w:ascii="Times New Roman" w:hAnsi="Times New Roman" w:cs="Times New Roman"/>
          <w:sz w:val="24"/>
          <w:szCs w:val="24"/>
          <w:lang w:val="en-US"/>
        </w:rPr>
      </w:pPr>
      <w:r w:rsidRPr="004467DB">
        <w:rPr>
          <w:rFonts w:ascii="Times New Roman" w:hAnsi="Times New Roman" w:cs="Times New Roman"/>
          <w:sz w:val="24"/>
          <w:szCs w:val="24"/>
          <w:lang w:val="en-US"/>
        </w:rPr>
        <w:t>Corresponding Author</w:t>
      </w:r>
      <w:r w:rsidR="00213B08" w:rsidRPr="004467DB">
        <w:rPr>
          <w:rFonts w:ascii="Times New Roman" w:hAnsi="Times New Roman" w:cs="Times New Roman"/>
          <w:sz w:val="24"/>
          <w:szCs w:val="24"/>
          <w:lang w:val="en-US"/>
        </w:rPr>
        <w:t xml:space="preserve">. College of Business </w:t>
      </w:r>
      <w:r w:rsidR="004467DB">
        <w:rPr>
          <w:rFonts w:ascii="Times New Roman" w:hAnsi="Times New Roman" w:cs="Times New Roman"/>
          <w:sz w:val="24"/>
          <w:szCs w:val="24"/>
          <w:lang w:val="en-US"/>
        </w:rPr>
        <w:t>and</w:t>
      </w:r>
      <w:r w:rsidR="00213B08" w:rsidRPr="004467DB">
        <w:rPr>
          <w:rFonts w:ascii="Times New Roman" w:hAnsi="Times New Roman" w:cs="Times New Roman"/>
          <w:sz w:val="24"/>
          <w:szCs w:val="24"/>
          <w:lang w:val="en-US"/>
        </w:rPr>
        <w:t xml:space="preserve"> Economics, Lehigh University, </w:t>
      </w:r>
      <w:r w:rsidR="004467DB" w:rsidRPr="004467DB">
        <w:rPr>
          <w:rFonts w:ascii="Times New Roman" w:hAnsi="Times New Roman" w:cs="Times New Roman"/>
          <w:sz w:val="24"/>
          <w:szCs w:val="24"/>
          <w:lang w:val="en-US"/>
        </w:rPr>
        <w:t>407A Rauch Business Center, 621 Taylor Street,</w:t>
      </w:r>
      <w:r w:rsidR="004467DB">
        <w:rPr>
          <w:rFonts w:ascii="Times New Roman" w:hAnsi="Times New Roman" w:cs="Times New Roman"/>
          <w:sz w:val="24"/>
          <w:szCs w:val="24"/>
          <w:lang w:val="en-US"/>
        </w:rPr>
        <w:t xml:space="preserve"> </w:t>
      </w:r>
      <w:r w:rsidR="004467DB" w:rsidRPr="004467DB">
        <w:rPr>
          <w:rFonts w:ascii="Times New Roman" w:hAnsi="Times New Roman" w:cs="Times New Roman"/>
          <w:sz w:val="24"/>
          <w:szCs w:val="24"/>
          <w:lang w:val="en-US"/>
        </w:rPr>
        <w:t>Bethlehem, PA</w:t>
      </w:r>
      <w:r w:rsidR="004467DB">
        <w:rPr>
          <w:rFonts w:ascii="Times New Roman" w:hAnsi="Times New Roman" w:cs="Times New Roman"/>
          <w:sz w:val="24"/>
          <w:szCs w:val="24"/>
          <w:lang w:val="en-US"/>
        </w:rPr>
        <w:t xml:space="preserve">, USA </w:t>
      </w:r>
      <w:r w:rsidR="004467DB" w:rsidRPr="004467DB">
        <w:rPr>
          <w:rFonts w:ascii="Times New Roman" w:hAnsi="Times New Roman" w:cs="Times New Roman"/>
          <w:sz w:val="24"/>
          <w:szCs w:val="24"/>
          <w:lang w:val="en-US"/>
        </w:rPr>
        <w:t>18015</w:t>
      </w:r>
      <w:r w:rsidR="004467DB">
        <w:rPr>
          <w:rFonts w:ascii="Times New Roman" w:hAnsi="Times New Roman" w:cs="Times New Roman"/>
          <w:sz w:val="24"/>
          <w:szCs w:val="24"/>
          <w:lang w:val="en-US"/>
        </w:rPr>
        <w:t>.</w:t>
      </w:r>
      <w:r w:rsidR="004467DB" w:rsidRPr="004467DB">
        <w:rPr>
          <w:rFonts w:ascii="Times New Roman" w:hAnsi="Times New Roman" w:cs="Times New Roman"/>
          <w:sz w:val="24"/>
          <w:szCs w:val="24"/>
          <w:lang w:val="en-US"/>
        </w:rPr>
        <w:t xml:space="preserve"> </w:t>
      </w:r>
      <w:r w:rsidR="00213B08" w:rsidRPr="004467DB">
        <w:rPr>
          <w:rFonts w:ascii="Times New Roman" w:hAnsi="Times New Roman" w:cs="Times New Roman"/>
          <w:sz w:val="24"/>
          <w:szCs w:val="24"/>
          <w:lang w:val="en-US"/>
        </w:rPr>
        <w:t xml:space="preserve">Email: </w:t>
      </w:r>
      <w:hyperlink r:id="rId8" w:history="1">
        <w:r w:rsidR="00213B08" w:rsidRPr="004467DB">
          <w:rPr>
            <w:rStyle w:val="Hyperlink"/>
            <w:rFonts w:ascii="Times New Roman" w:hAnsi="Times New Roman" w:cs="Times New Roman"/>
            <w:sz w:val="24"/>
            <w:szCs w:val="24"/>
            <w:lang w:val="en-US"/>
          </w:rPr>
          <w:t>pab309@lehigh.edu</w:t>
        </w:r>
      </w:hyperlink>
      <w:r w:rsidR="00213B08" w:rsidRPr="004467DB">
        <w:rPr>
          <w:rFonts w:ascii="Times New Roman" w:hAnsi="Times New Roman" w:cs="Times New Roman"/>
          <w:sz w:val="24"/>
          <w:szCs w:val="24"/>
          <w:lang w:val="en-US"/>
        </w:rPr>
        <w:t xml:space="preserve">. Phone: </w:t>
      </w:r>
      <w:r w:rsidR="004467DB" w:rsidRPr="004467DB">
        <w:rPr>
          <w:rFonts w:ascii="Times New Roman" w:hAnsi="Times New Roman" w:cs="Times New Roman"/>
          <w:sz w:val="24"/>
          <w:szCs w:val="24"/>
          <w:lang w:val="en-US"/>
        </w:rPr>
        <w:t>(610) 758-2914</w:t>
      </w:r>
      <w:r w:rsidR="004467DB" w:rsidRPr="004467DB">
        <w:t xml:space="preserve"> </w:t>
      </w:r>
    </w:p>
    <w:p w14:paraId="337D82BD" w14:textId="5F958040" w:rsidR="00F4488D" w:rsidRDefault="00F4488D" w:rsidP="006729F3">
      <w:pPr>
        <w:spacing w:after="0" w:line="240" w:lineRule="auto"/>
        <w:rPr>
          <w:rFonts w:ascii="Times New Roman" w:hAnsi="Times New Roman" w:cs="Times New Roman"/>
          <w:sz w:val="24"/>
          <w:szCs w:val="24"/>
          <w:lang w:val="en-US"/>
        </w:rPr>
      </w:pPr>
    </w:p>
    <w:p w14:paraId="056606D2" w14:textId="4F325F7A" w:rsidR="00F4488D" w:rsidRDefault="00F4488D" w:rsidP="006729F3">
      <w:pPr>
        <w:spacing w:after="0" w:line="240" w:lineRule="auto"/>
        <w:rPr>
          <w:rFonts w:ascii="Times New Roman" w:hAnsi="Times New Roman" w:cs="Times New Roman"/>
          <w:sz w:val="24"/>
          <w:szCs w:val="24"/>
          <w:lang w:val="en-US"/>
        </w:rPr>
      </w:pPr>
    </w:p>
    <w:p w14:paraId="4D1E85B9" w14:textId="6C65942E" w:rsidR="00CB18DA" w:rsidRPr="004152E4" w:rsidRDefault="00A80890" w:rsidP="004152E4">
      <w:pPr>
        <w:pStyle w:val="ListParagraph"/>
        <w:numPr>
          <w:ilvl w:val="0"/>
          <w:numId w:val="14"/>
        </w:numPr>
        <w:spacing w:after="0" w:line="480" w:lineRule="auto"/>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Pr="004152E4">
        <w:rPr>
          <w:rFonts w:ascii="Times New Roman" w:hAnsi="Times New Roman" w:cs="Times New Roman"/>
          <w:b/>
          <w:bCs/>
          <w:sz w:val="24"/>
          <w:szCs w:val="24"/>
          <w:lang w:val="en-US"/>
        </w:rPr>
        <w:t>ntroduction</w:t>
      </w:r>
    </w:p>
    <w:p w14:paraId="789E3453" w14:textId="577FD26C" w:rsidR="00C10B0F" w:rsidRDefault="0074708B" w:rsidP="00CB18D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Previous research </w:t>
      </w:r>
      <w:r w:rsidR="00B61A85">
        <w:rPr>
          <w:rFonts w:ascii="Times New Roman" w:hAnsi="Times New Roman" w:cs="Times New Roman"/>
          <w:sz w:val="24"/>
          <w:szCs w:val="24"/>
          <w:lang w:val="en-US"/>
        </w:rPr>
        <w:t xml:space="preserve">shows </w:t>
      </w:r>
      <w:r>
        <w:rPr>
          <w:rFonts w:ascii="Times New Roman" w:hAnsi="Times New Roman" w:cs="Times New Roman"/>
          <w:sz w:val="24"/>
          <w:szCs w:val="24"/>
          <w:lang w:val="en-US"/>
        </w:rPr>
        <w:t xml:space="preserve">that internal tournaments are widely used by corporations to </w:t>
      </w:r>
      <w:r w:rsidR="00E011F6">
        <w:rPr>
          <w:rFonts w:ascii="Times New Roman" w:hAnsi="Times New Roman" w:cs="Times New Roman"/>
          <w:sz w:val="24"/>
          <w:szCs w:val="24"/>
          <w:lang w:val="en-US"/>
        </w:rPr>
        <w:t xml:space="preserve">better align managerial incentives with </w:t>
      </w:r>
      <w:r w:rsidR="00B61A85">
        <w:rPr>
          <w:rFonts w:ascii="Times New Roman" w:hAnsi="Times New Roman" w:cs="Times New Roman"/>
          <w:sz w:val="24"/>
          <w:szCs w:val="24"/>
          <w:lang w:val="en-US"/>
        </w:rPr>
        <w:t>corporate investors</w:t>
      </w:r>
      <w:r w:rsidR="00E011F6">
        <w:rPr>
          <w:rFonts w:ascii="Times New Roman" w:hAnsi="Times New Roman" w:cs="Times New Roman"/>
          <w:sz w:val="24"/>
          <w:szCs w:val="24"/>
          <w:lang w:val="en-US"/>
        </w:rPr>
        <w:t xml:space="preserve"> (e.g., </w:t>
      </w:r>
      <w:r w:rsidR="00E011F6" w:rsidRPr="00CB18DA">
        <w:rPr>
          <w:rFonts w:ascii="Times New Roman" w:hAnsi="Times New Roman" w:cs="Times New Roman"/>
          <w:sz w:val="24"/>
          <w:szCs w:val="24"/>
          <w:lang w:val="en-US"/>
        </w:rPr>
        <w:t xml:space="preserve">Baker et al., 1994; Gibbons and Waldman, 1999; </w:t>
      </w:r>
      <w:proofErr w:type="spellStart"/>
      <w:r w:rsidR="00E011F6" w:rsidRPr="00CB18DA">
        <w:rPr>
          <w:rFonts w:ascii="Times New Roman" w:hAnsi="Times New Roman" w:cs="Times New Roman"/>
          <w:sz w:val="24"/>
          <w:szCs w:val="24"/>
          <w:lang w:val="en-US"/>
        </w:rPr>
        <w:t>Bognanno</w:t>
      </w:r>
      <w:proofErr w:type="spellEnd"/>
      <w:r w:rsidR="00E011F6" w:rsidRPr="00CB18DA">
        <w:rPr>
          <w:rFonts w:ascii="Times New Roman" w:hAnsi="Times New Roman" w:cs="Times New Roman"/>
          <w:sz w:val="24"/>
          <w:szCs w:val="24"/>
          <w:lang w:val="en-US"/>
        </w:rPr>
        <w:t xml:space="preserve">, 2001; </w:t>
      </w:r>
      <w:proofErr w:type="spellStart"/>
      <w:r w:rsidR="00E011F6" w:rsidRPr="00CB18DA">
        <w:rPr>
          <w:rFonts w:ascii="Times New Roman" w:hAnsi="Times New Roman" w:cs="Times New Roman"/>
          <w:sz w:val="24"/>
          <w:szCs w:val="24"/>
          <w:lang w:val="en-US"/>
        </w:rPr>
        <w:t>Conyon</w:t>
      </w:r>
      <w:proofErr w:type="spellEnd"/>
      <w:r w:rsidR="00E011F6" w:rsidRPr="00CB18DA">
        <w:rPr>
          <w:rFonts w:ascii="Times New Roman" w:hAnsi="Times New Roman" w:cs="Times New Roman"/>
          <w:sz w:val="24"/>
          <w:szCs w:val="24"/>
          <w:lang w:val="en-US"/>
        </w:rPr>
        <w:t xml:space="preserve"> et al., 2001; </w:t>
      </w:r>
      <w:proofErr w:type="spellStart"/>
      <w:r w:rsidR="00E011F6" w:rsidRPr="00CB18DA">
        <w:rPr>
          <w:rFonts w:ascii="Times New Roman" w:hAnsi="Times New Roman" w:cs="Times New Roman"/>
          <w:sz w:val="24"/>
          <w:szCs w:val="24"/>
          <w:lang w:val="en-US"/>
        </w:rPr>
        <w:t>Mobbs</w:t>
      </w:r>
      <w:proofErr w:type="spellEnd"/>
      <w:r w:rsidR="00E011F6" w:rsidRPr="00CB18DA">
        <w:rPr>
          <w:rFonts w:ascii="Times New Roman" w:hAnsi="Times New Roman" w:cs="Times New Roman"/>
          <w:sz w:val="24"/>
          <w:szCs w:val="24"/>
          <w:lang w:val="en-US"/>
        </w:rPr>
        <w:t xml:space="preserve"> and </w:t>
      </w:r>
      <w:proofErr w:type="spellStart"/>
      <w:r w:rsidR="00E011F6" w:rsidRPr="00CB18DA">
        <w:rPr>
          <w:rFonts w:ascii="Times New Roman" w:hAnsi="Times New Roman" w:cs="Times New Roman"/>
          <w:sz w:val="24"/>
          <w:szCs w:val="24"/>
          <w:lang w:val="en-US"/>
        </w:rPr>
        <w:t>Raheja</w:t>
      </w:r>
      <w:proofErr w:type="spellEnd"/>
      <w:r w:rsidR="00E011F6" w:rsidRPr="00CB18DA">
        <w:rPr>
          <w:rFonts w:ascii="Times New Roman" w:hAnsi="Times New Roman" w:cs="Times New Roman"/>
          <w:sz w:val="24"/>
          <w:szCs w:val="24"/>
          <w:lang w:val="en-US"/>
        </w:rPr>
        <w:t>, 2012</w:t>
      </w:r>
      <w:r w:rsidR="00E011F6">
        <w:rPr>
          <w:rFonts w:ascii="Times New Roman" w:hAnsi="Times New Roman" w:cs="Times New Roman"/>
          <w:sz w:val="24"/>
          <w:szCs w:val="24"/>
          <w:lang w:val="en-US"/>
        </w:rPr>
        <w:t>)</w:t>
      </w:r>
      <w:r w:rsidR="00625398">
        <w:rPr>
          <w:rFonts w:ascii="Times New Roman" w:hAnsi="Times New Roman" w:cs="Times New Roman"/>
          <w:sz w:val="24"/>
          <w:szCs w:val="24"/>
          <w:lang w:val="en-US"/>
        </w:rPr>
        <w:t xml:space="preserve">. The use </w:t>
      </w:r>
      <w:r w:rsidR="00F80F99">
        <w:rPr>
          <w:rFonts w:ascii="Times New Roman" w:hAnsi="Times New Roman" w:cs="Times New Roman"/>
          <w:sz w:val="24"/>
          <w:szCs w:val="24"/>
          <w:lang w:val="en-US"/>
        </w:rPr>
        <w:t xml:space="preserve">of </w:t>
      </w:r>
      <w:r w:rsidR="00625398">
        <w:rPr>
          <w:rFonts w:ascii="Times New Roman" w:hAnsi="Times New Roman" w:cs="Times New Roman"/>
          <w:sz w:val="24"/>
          <w:szCs w:val="24"/>
          <w:lang w:val="en-US"/>
        </w:rPr>
        <w:t>corporate tournaments</w:t>
      </w:r>
      <w:r w:rsidR="00F80F99">
        <w:rPr>
          <w:rFonts w:ascii="Times New Roman" w:hAnsi="Times New Roman" w:cs="Times New Roman"/>
          <w:sz w:val="24"/>
          <w:szCs w:val="24"/>
          <w:lang w:val="en-US"/>
        </w:rPr>
        <w:t xml:space="preserve"> can</w:t>
      </w:r>
      <w:r w:rsidR="00625398">
        <w:rPr>
          <w:rFonts w:ascii="Times New Roman" w:hAnsi="Times New Roman" w:cs="Times New Roman"/>
          <w:sz w:val="24"/>
          <w:szCs w:val="24"/>
          <w:lang w:val="en-US"/>
        </w:rPr>
        <w:t xml:space="preserve"> help investors to evaluate the effectiveness of managerial performance by </w:t>
      </w:r>
      <w:r w:rsidR="00625398" w:rsidRPr="00CB18DA">
        <w:rPr>
          <w:rFonts w:ascii="Times New Roman" w:hAnsi="Times New Roman" w:cs="Times New Roman"/>
          <w:sz w:val="24"/>
          <w:szCs w:val="24"/>
          <w:lang w:val="en-US"/>
        </w:rPr>
        <w:t xml:space="preserve">eliminating </w:t>
      </w:r>
      <w:r w:rsidR="00625398">
        <w:rPr>
          <w:rFonts w:ascii="Times New Roman" w:hAnsi="Times New Roman" w:cs="Times New Roman"/>
          <w:sz w:val="24"/>
          <w:szCs w:val="24"/>
          <w:lang w:val="en-US"/>
        </w:rPr>
        <w:t xml:space="preserve">some of the </w:t>
      </w:r>
      <w:r w:rsidR="00B61A85">
        <w:rPr>
          <w:rFonts w:ascii="Times New Roman" w:hAnsi="Times New Roman" w:cs="Times New Roman"/>
          <w:sz w:val="24"/>
          <w:szCs w:val="24"/>
          <w:lang w:val="en-US"/>
        </w:rPr>
        <w:t xml:space="preserve">market </w:t>
      </w:r>
      <w:r w:rsidR="00625398" w:rsidRPr="00CB18DA">
        <w:rPr>
          <w:rFonts w:ascii="Times New Roman" w:hAnsi="Times New Roman" w:cs="Times New Roman"/>
          <w:sz w:val="24"/>
          <w:szCs w:val="24"/>
          <w:lang w:val="en-US"/>
        </w:rPr>
        <w:t xml:space="preserve">shocks </w:t>
      </w:r>
      <w:r w:rsidR="00625398">
        <w:rPr>
          <w:rFonts w:ascii="Times New Roman" w:hAnsi="Times New Roman" w:cs="Times New Roman"/>
          <w:sz w:val="24"/>
          <w:szCs w:val="24"/>
          <w:lang w:val="en-US"/>
        </w:rPr>
        <w:t xml:space="preserve">that </w:t>
      </w:r>
      <w:r w:rsidR="00B61A85">
        <w:rPr>
          <w:rFonts w:ascii="Times New Roman" w:hAnsi="Times New Roman" w:cs="Times New Roman"/>
          <w:sz w:val="24"/>
          <w:szCs w:val="24"/>
          <w:lang w:val="en-US"/>
        </w:rPr>
        <w:t xml:space="preserve">are common across </w:t>
      </w:r>
      <w:r w:rsidR="00625398">
        <w:rPr>
          <w:rFonts w:ascii="Times New Roman" w:hAnsi="Times New Roman" w:cs="Times New Roman"/>
          <w:sz w:val="24"/>
          <w:szCs w:val="24"/>
          <w:lang w:val="en-US"/>
        </w:rPr>
        <w:t>corporations</w:t>
      </w:r>
      <w:r w:rsidR="00546751">
        <w:rPr>
          <w:rFonts w:ascii="Times New Roman" w:hAnsi="Times New Roman" w:cs="Times New Roman"/>
          <w:sz w:val="24"/>
          <w:szCs w:val="24"/>
          <w:lang w:val="en-US"/>
        </w:rPr>
        <w:t>. Consistent with th</w:t>
      </w:r>
      <w:r w:rsidR="00B61A85">
        <w:rPr>
          <w:rFonts w:ascii="Times New Roman" w:hAnsi="Times New Roman" w:cs="Times New Roman"/>
          <w:sz w:val="24"/>
          <w:szCs w:val="24"/>
          <w:lang w:val="en-US"/>
        </w:rPr>
        <w:t>is</w:t>
      </w:r>
      <w:r w:rsidR="00546751">
        <w:rPr>
          <w:rFonts w:ascii="Times New Roman" w:hAnsi="Times New Roman" w:cs="Times New Roman"/>
          <w:sz w:val="24"/>
          <w:szCs w:val="24"/>
          <w:lang w:val="en-US"/>
        </w:rPr>
        <w:t xml:space="preserve"> hypothesized benefit, previous studies have shown that the implementation of internal tournaments improves firm performance (</w:t>
      </w:r>
      <w:r w:rsidR="00546751" w:rsidRPr="00CB18DA">
        <w:rPr>
          <w:rFonts w:ascii="Times New Roman" w:hAnsi="Times New Roman" w:cs="Times New Roman"/>
          <w:sz w:val="24"/>
          <w:szCs w:val="24"/>
          <w:lang w:val="en-US"/>
        </w:rPr>
        <w:t>Kale, et al., 2009; Ridge et al., 2015</w:t>
      </w:r>
      <w:r w:rsidR="00546751">
        <w:rPr>
          <w:rFonts w:ascii="Times New Roman" w:hAnsi="Times New Roman" w:cs="Times New Roman"/>
          <w:sz w:val="24"/>
          <w:szCs w:val="24"/>
          <w:lang w:val="en-US"/>
        </w:rPr>
        <w:t>)</w:t>
      </w:r>
      <w:r w:rsidR="00F80F99">
        <w:rPr>
          <w:rFonts w:ascii="Times New Roman" w:hAnsi="Times New Roman" w:cs="Times New Roman"/>
          <w:sz w:val="24"/>
          <w:szCs w:val="24"/>
          <w:lang w:val="en-US"/>
        </w:rPr>
        <w:t>,</w:t>
      </w:r>
      <w:r w:rsidR="00546751">
        <w:rPr>
          <w:rFonts w:ascii="Times New Roman" w:hAnsi="Times New Roman" w:cs="Times New Roman"/>
          <w:sz w:val="24"/>
          <w:szCs w:val="24"/>
          <w:lang w:val="en-US"/>
        </w:rPr>
        <w:t xml:space="preserve"> </w:t>
      </w:r>
      <w:r w:rsidR="00D425FB">
        <w:rPr>
          <w:rFonts w:ascii="Times New Roman" w:hAnsi="Times New Roman" w:cs="Times New Roman"/>
          <w:sz w:val="24"/>
          <w:szCs w:val="24"/>
          <w:lang w:val="en-US"/>
        </w:rPr>
        <w:t>encourages managerial risk-taking (</w:t>
      </w:r>
      <w:proofErr w:type="spellStart"/>
      <w:r w:rsidR="00B61A85" w:rsidRPr="00CB18DA">
        <w:rPr>
          <w:rFonts w:ascii="Times New Roman" w:hAnsi="Times New Roman" w:cs="Times New Roman"/>
          <w:sz w:val="24"/>
          <w:szCs w:val="24"/>
          <w:lang w:val="en-US"/>
        </w:rPr>
        <w:t>Kini</w:t>
      </w:r>
      <w:proofErr w:type="spellEnd"/>
      <w:r w:rsidR="00B61A85" w:rsidRPr="00CB18DA">
        <w:rPr>
          <w:rFonts w:ascii="Times New Roman" w:hAnsi="Times New Roman" w:cs="Times New Roman"/>
          <w:sz w:val="24"/>
          <w:szCs w:val="24"/>
          <w:lang w:val="en-US"/>
        </w:rPr>
        <w:t xml:space="preserve"> and Williams, 2012</w:t>
      </w:r>
      <w:r w:rsidR="00D425FB">
        <w:rPr>
          <w:rFonts w:ascii="Times New Roman" w:hAnsi="Times New Roman" w:cs="Times New Roman"/>
          <w:sz w:val="24"/>
          <w:szCs w:val="24"/>
          <w:lang w:val="en-US"/>
        </w:rPr>
        <w:t xml:space="preserve">), </w:t>
      </w:r>
      <w:r w:rsidR="005D2BFA">
        <w:rPr>
          <w:rFonts w:ascii="Times New Roman" w:hAnsi="Times New Roman" w:cs="Times New Roman"/>
          <w:sz w:val="24"/>
          <w:szCs w:val="24"/>
          <w:lang w:val="en-US"/>
        </w:rPr>
        <w:t xml:space="preserve">stimulates firm-level innovation </w:t>
      </w:r>
      <w:r w:rsidR="005D2BFA" w:rsidRPr="00CB18DA">
        <w:rPr>
          <w:rFonts w:ascii="Times New Roman" w:hAnsi="Times New Roman" w:cs="Times New Roman"/>
          <w:sz w:val="24"/>
          <w:szCs w:val="24"/>
          <w:lang w:val="en-US"/>
        </w:rPr>
        <w:t>(Shen and Zhang, 2017)</w:t>
      </w:r>
      <w:r w:rsidR="005D2BFA">
        <w:rPr>
          <w:rFonts w:ascii="Times New Roman" w:hAnsi="Times New Roman" w:cs="Times New Roman"/>
          <w:sz w:val="24"/>
          <w:szCs w:val="24"/>
          <w:lang w:val="en-US"/>
        </w:rPr>
        <w:t xml:space="preserve">, and shapes cash holding </w:t>
      </w:r>
      <w:r w:rsidR="00B61A85">
        <w:rPr>
          <w:rFonts w:ascii="Times New Roman" w:hAnsi="Times New Roman" w:cs="Times New Roman"/>
          <w:sz w:val="24"/>
          <w:szCs w:val="24"/>
          <w:lang w:val="en-US"/>
        </w:rPr>
        <w:t>polic</w:t>
      </w:r>
      <w:r w:rsidR="005D2BFA">
        <w:rPr>
          <w:rFonts w:ascii="Times New Roman" w:hAnsi="Times New Roman" w:cs="Times New Roman"/>
          <w:sz w:val="24"/>
          <w:szCs w:val="24"/>
          <w:lang w:val="en-US"/>
        </w:rPr>
        <w:t>y</w:t>
      </w:r>
      <w:r w:rsidR="00D425FB">
        <w:rPr>
          <w:rFonts w:ascii="Times New Roman" w:hAnsi="Times New Roman" w:cs="Times New Roman"/>
          <w:sz w:val="24"/>
          <w:szCs w:val="24"/>
          <w:lang w:val="en-US"/>
        </w:rPr>
        <w:t xml:space="preserve"> (</w:t>
      </w:r>
      <w:r w:rsidR="005D2BFA" w:rsidRPr="00CB18DA">
        <w:rPr>
          <w:rFonts w:ascii="Times New Roman" w:hAnsi="Times New Roman" w:cs="Times New Roman"/>
          <w:sz w:val="24"/>
          <w:szCs w:val="24"/>
          <w:lang w:val="en-US"/>
        </w:rPr>
        <w:t>Phan et al., 2017</w:t>
      </w:r>
      <w:r w:rsidR="00D425FB">
        <w:rPr>
          <w:rFonts w:ascii="Times New Roman" w:hAnsi="Times New Roman" w:cs="Times New Roman"/>
          <w:sz w:val="24"/>
          <w:szCs w:val="24"/>
          <w:lang w:val="en-US"/>
        </w:rPr>
        <w:t>). No study to date, however, has examined the impact of internal tournaments on the firm’s ownership structure. Since sophisticated (i.e., institutional) investors are more likely to recognize the beneficial incentive</w:t>
      </w:r>
      <w:r w:rsidR="001B7A97">
        <w:rPr>
          <w:rFonts w:ascii="Times New Roman" w:hAnsi="Times New Roman" w:cs="Times New Roman"/>
          <w:sz w:val="24"/>
          <w:szCs w:val="24"/>
          <w:lang w:val="en-US"/>
        </w:rPr>
        <w:t>-</w:t>
      </w:r>
      <w:r w:rsidR="00D425FB">
        <w:rPr>
          <w:rFonts w:ascii="Times New Roman" w:hAnsi="Times New Roman" w:cs="Times New Roman"/>
          <w:sz w:val="24"/>
          <w:szCs w:val="24"/>
          <w:lang w:val="en-US"/>
        </w:rPr>
        <w:t xml:space="preserve">alignment properties of tournaments than unsophisticated (i.e., individual) investors, we posit that </w:t>
      </w:r>
      <w:r w:rsidR="005A26E3">
        <w:rPr>
          <w:rFonts w:ascii="Times New Roman" w:hAnsi="Times New Roman" w:cs="Times New Roman"/>
          <w:sz w:val="24"/>
          <w:szCs w:val="24"/>
          <w:lang w:val="en-US"/>
        </w:rPr>
        <w:t>t</w:t>
      </w:r>
      <w:r w:rsidR="001B7A97">
        <w:rPr>
          <w:rFonts w:ascii="Times New Roman" w:hAnsi="Times New Roman" w:cs="Times New Roman"/>
          <w:sz w:val="24"/>
          <w:szCs w:val="24"/>
          <w:lang w:val="en-US"/>
        </w:rPr>
        <w:t>ournament</w:t>
      </w:r>
      <w:r w:rsidR="00B61A85">
        <w:rPr>
          <w:rFonts w:ascii="Times New Roman" w:hAnsi="Times New Roman" w:cs="Times New Roman"/>
          <w:sz w:val="24"/>
          <w:szCs w:val="24"/>
          <w:lang w:val="en-US"/>
        </w:rPr>
        <w:t>-oriented</w:t>
      </w:r>
      <w:r w:rsidR="001B7A97">
        <w:rPr>
          <w:rFonts w:ascii="Times New Roman" w:hAnsi="Times New Roman" w:cs="Times New Roman"/>
          <w:sz w:val="24"/>
          <w:szCs w:val="24"/>
          <w:lang w:val="en-US"/>
        </w:rPr>
        <w:t xml:space="preserve"> firms </w:t>
      </w:r>
      <w:r w:rsidR="00D425FB">
        <w:rPr>
          <w:rFonts w:ascii="Times New Roman" w:hAnsi="Times New Roman" w:cs="Times New Roman"/>
          <w:sz w:val="24"/>
          <w:szCs w:val="24"/>
          <w:lang w:val="en-US"/>
        </w:rPr>
        <w:t xml:space="preserve">will attract greater </w:t>
      </w:r>
      <w:r w:rsidR="001B7A97">
        <w:rPr>
          <w:rFonts w:ascii="Times New Roman" w:hAnsi="Times New Roman" w:cs="Times New Roman"/>
          <w:sz w:val="24"/>
          <w:szCs w:val="24"/>
          <w:lang w:val="en-US"/>
        </w:rPr>
        <w:t xml:space="preserve">institutional interest and ownership. </w:t>
      </w:r>
    </w:p>
    <w:p w14:paraId="65135934" w14:textId="3892159B" w:rsidR="0074708B" w:rsidRDefault="00B61A85" w:rsidP="00CB18D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t>
      </w:r>
      <w:r w:rsidRPr="00B21808">
        <w:rPr>
          <w:rFonts w:ascii="Times New Roman" w:hAnsi="Times New Roman" w:cs="Times New Roman"/>
          <w:noProof/>
          <w:sz w:val="24"/>
          <w:szCs w:val="24"/>
          <w:lang w:val="en-US"/>
        </w:rPr>
        <w:t>w</w:t>
      </w:r>
      <w:r w:rsidR="001B7A97" w:rsidRPr="00B21808">
        <w:rPr>
          <w:rFonts w:ascii="Times New Roman" w:hAnsi="Times New Roman" w:cs="Times New Roman"/>
          <w:noProof/>
          <w:sz w:val="24"/>
          <w:szCs w:val="24"/>
          <w:lang w:val="en-US"/>
        </w:rPr>
        <w:t>e</w:t>
      </w:r>
      <w:r w:rsidR="001B7A97">
        <w:rPr>
          <w:rFonts w:ascii="Times New Roman" w:hAnsi="Times New Roman" w:cs="Times New Roman"/>
          <w:sz w:val="24"/>
          <w:szCs w:val="24"/>
          <w:lang w:val="en-US"/>
        </w:rPr>
        <w:t xml:space="preserve"> </w:t>
      </w:r>
      <w:r w:rsidR="00FA5234">
        <w:rPr>
          <w:rFonts w:ascii="Times New Roman" w:hAnsi="Times New Roman" w:cs="Times New Roman"/>
          <w:sz w:val="24"/>
          <w:szCs w:val="24"/>
          <w:lang w:val="en-US"/>
        </w:rPr>
        <w:t xml:space="preserve">construct a </w:t>
      </w:r>
      <w:r w:rsidR="00102F4B">
        <w:rPr>
          <w:rFonts w:ascii="Times New Roman" w:hAnsi="Times New Roman" w:cs="Times New Roman"/>
          <w:sz w:val="24"/>
          <w:szCs w:val="24"/>
          <w:lang w:val="en-US"/>
        </w:rPr>
        <w:t xml:space="preserve">simple </w:t>
      </w:r>
      <w:r w:rsidR="00FA5234">
        <w:rPr>
          <w:rFonts w:ascii="Times New Roman" w:hAnsi="Times New Roman" w:cs="Times New Roman"/>
          <w:sz w:val="24"/>
          <w:szCs w:val="24"/>
          <w:lang w:val="en-US"/>
        </w:rPr>
        <w:t xml:space="preserve">model that captures the salient features of internal tournaments and their impact on ownership structures. We then </w:t>
      </w:r>
      <w:r w:rsidR="001B7A97">
        <w:rPr>
          <w:rFonts w:ascii="Times New Roman" w:hAnsi="Times New Roman" w:cs="Times New Roman"/>
          <w:sz w:val="24"/>
          <w:szCs w:val="24"/>
          <w:lang w:val="en-US"/>
        </w:rPr>
        <w:t xml:space="preserve">test and confirm </w:t>
      </w:r>
      <w:r w:rsidR="00FA5234">
        <w:rPr>
          <w:rFonts w:ascii="Times New Roman" w:hAnsi="Times New Roman" w:cs="Times New Roman"/>
          <w:sz w:val="24"/>
          <w:szCs w:val="24"/>
          <w:lang w:val="en-US"/>
        </w:rPr>
        <w:t xml:space="preserve">our main </w:t>
      </w:r>
      <w:r w:rsidR="00A57A1C">
        <w:rPr>
          <w:rFonts w:ascii="Times New Roman" w:hAnsi="Times New Roman" w:cs="Times New Roman"/>
          <w:sz w:val="24"/>
          <w:szCs w:val="24"/>
          <w:lang w:val="en-US"/>
        </w:rPr>
        <w:t xml:space="preserve">hypothesis that </w:t>
      </w:r>
      <w:r w:rsidR="005A26E3">
        <w:rPr>
          <w:rFonts w:ascii="Times New Roman" w:hAnsi="Times New Roman" w:cs="Times New Roman"/>
          <w:sz w:val="24"/>
          <w:szCs w:val="24"/>
          <w:lang w:val="en-US"/>
        </w:rPr>
        <w:t xml:space="preserve">sophisticated investors prefer a corporate </w:t>
      </w:r>
      <w:r w:rsidR="00FA5234">
        <w:rPr>
          <w:rFonts w:ascii="Times New Roman" w:hAnsi="Times New Roman" w:cs="Times New Roman"/>
          <w:sz w:val="24"/>
          <w:szCs w:val="24"/>
          <w:lang w:val="en-US"/>
        </w:rPr>
        <w:t>setting</w:t>
      </w:r>
      <w:r w:rsidR="005A26E3">
        <w:rPr>
          <w:rFonts w:ascii="Times New Roman" w:hAnsi="Times New Roman" w:cs="Times New Roman"/>
          <w:sz w:val="24"/>
          <w:szCs w:val="24"/>
          <w:lang w:val="en-US"/>
        </w:rPr>
        <w:t xml:space="preserve"> that </w:t>
      </w:r>
      <w:r w:rsidR="00FA5234">
        <w:rPr>
          <w:rFonts w:ascii="Times New Roman" w:hAnsi="Times New Roman" w:cs="Times New Roman"/>
          <w:sz w:val="24"/>
          <w:szCs w:val="24"/>
          <w:lang w:val="en-US"/>
        </w:rPr>
        <w:t xml:space="preserve">encourages </w:t>
      </w:r>
      <w:proofErr w:type="gramStart"/>
      <w:r w:rsidR="005A26E3">
        <w:rPr>
          <w:rFonts w:ascii="Times New Roman" w:hAnsi="Times New Roman" w:cs="Times New Roman"/>
          <w:sz w:val="24"/>
          <w:szCs w:val="24"/>
          <w:lang w:val="en-US"/>
        </w:rPr>
        <w:t>internally-competitive</w:t>
      </w:r>
      <w:proofErr w:type="gramEnd"/>
      <w:r w:rsidR="005A26E3">
        <w:rPr>
          <w:rFonts w:ascii="Times New Roman" w:hAnsi="Times New Roman" w:cs="Times New Roman"/>
          <w:sz w:val="24"/>
          <w:szCs w:val="24"/>
          <w:lang w:val="en-US"/>
        </w:rPr>
        <w:t xml:space="preserve"> tournaments. These findings have important implications for the design of managerial incentives and corporate governance, as well as for gaining </w:t>
      </w:r>
      <w:r w:rsidR="002844B0">
        <w:rPr>
          <w:rFonts w:ascii="Times New Roman" w:hAnsi="Times New Roman" w:cs="Times New Roman"/>
          <w:sz w:val="24"/>
          <w:szCs w:val="24"/>
          <w:lang w:val="en-US"/>
        </w:rPr>
        <w:t xml:space="preserve">a </w:t>
      </w:r>
      <w:r w:rsidR="005A26E3">
        <w:rPr>
          <w:rFonts w:ascii="Times New Roman" w:hAnsi="Times New Roman" w:cs="Times New Roman"/>
          <w:sz w:val="24"/>
          <w:szCs w:val="24"/>
          <w:lang w:val="en-US"/>
        </w:rPr>
        <w:t>better understanding of the determinants of institutional ownership.</w:t>
      </w:r>
    </w:p>
    <w:p w14:paraId="544F7AEC" w14:textId="64F02CD0" w:rsidR="00CB18DA" w:rsidRPr="00CB18DA" w:rsidRDefault="002844B0" w:rsidP="00CB18D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Identifying the causes and effects of institutional ownership is especially </w:t>
      </w:r>
      <w:r w:rsidR="00CB18DA">
        <w:rPr>
          <w:rFonts w:ascii="Times New Roman" w:hAnsi="Times New Roman" w:cs="Times New Roman"/>
          <w:sz w:val="24"/>
          <w:szCs w:val="24"/>
          <w:lang w:val="en-US"/>
        </w:rPr>
        <w:t xml:space="preserve">important given the </w:t>
      </w:r>
      <w:r w:rsidR="00CB18DA" w:rsidRPr="00CB18DA">
        <w:rPr>
          <w:rFonts w:ascii="Times New Roman" w:hAnsi="Times New Roman" w:cs="Times New Roman"/>
          <w:sz w:val="24"/>
          <w:szCs w:val="24"/>
          <w:lang w:val="en-US"/>
        </w:rPr>
        <w:t xml:space="preserve">proliferation of institutional </w:t>
      </w:r>
      <w:r>
        <w:rPr>
          <w:rFonts w:ascii="Times New Roman" w:hAnsi="Times New Roman" w:cs="Times New Roman"/>
          <w:sz w:val="24"/>
          <w:szCs w:val="24"/>
          <w:lang w:val="en-US"/>
        </w:rPr>
        <w:t>investors</w:t>
      </w:r>
      <w:r w:rsidR="00CB18DA" w:rsidRPr="00CB18DA">
        <w:rPr>
          <w:rFonts w:ascii="Times New Roman" w:hAnsi="Times New Roman" w:cs="Times New Roman"/>
          <w:sz w:val="24"/>
          <w:szCs w:val="24"/>
          <w:lang w:val="en-US"/>
        </w:rPr>
        <w:t xml:space="preserve"> over the past few decades.  By December 1996, large institutions held discretionary control over more than half of the U.S. equity market (Gompers and </w:t>
      </w:r>
      <w:proofErr w:type="spellStart"/>
      <w:r w:rsidR="00CB18DA" w:rsidRPr="00CB18DA">
        <w:rPr>
          <w:rFonts w:ascii="Times New Roman" w:hAnsi="Times New Roman" w:cs="Times New Roman"/>
          <w:sz w:val="24"/>
          <w:szCs w:val="24"/>
          <w:lang w:val="en-US"/>
        </w:rPr>
        <w:t>Metrick</w:t>
      </w:r>
      <w:proofErr w:type="spellEnd"/>
      <w:r w:rsidR="00CB18DA" w:rsidRPr="00CB18DA">
        <w:rPr>
          <w:rFonts w:ascii="Times New Roman" w:hAnsi="Times New Roman" w:cs="Times New Roman"/>
          <w:sz w:val="24"/>
          <w:szCs w:val="24"/>
          <w:lang w:val="en-US"/>
        </w:rPr>
        <w:t xml:space="preserve">, 2001). According to the Bloomberg Report in April 2017, institutions own about 78% of the market value of the U.S. broad-market Russell 3000 </w:t>
      </w:r>
      <w:r w:rsidR="00CB18DA" w:rsidRPr="00CB18DA">
        <w:rPr>
          <w:rFonts w:ascii="Times New Roman" w:hAnsi="Times New Roman" w:cs="Times New Roman"/>
          <w:noProof/>
          <w:sz w:val="24"/>
          <w:szCs w:val="24"/>
          <w:lang w:val="en-US"/>
        </w:rPr>
        <w:t>index,</w:t>
      </w:r>
      <w:r w:rsidR="00CB18DA" w:rsidRPr="00CB18DA">
        <w:rPr>
          <w:rFonts w:ascii="Times New Roman" w:hAnsi="Times New Roman" w:cs="Times New Roman"/>
          <w:sz w:val="24"/>
          <w:szCs w:val="24"/>
          <w:lang w:val="en-US"/>
        </w:rPr>
        <w:t xml:space="preserve"> and 80% of the large-</w:t>
      </w:r>
      <w:proofErr w:type="gramStart"/>
      <w:r w:rsidR="00CB18DA" w:rsidRPr="00CB18DA">
        <w:rPr>
          <w:rFonts w:ascii="Times New Roman" w:hAnsi="Times New Roman" w:cs="Times New Roman"/>
          <w:sz w:val="24"/>
          <w:szCs w:val="24"/>
          <w:lang w:val="en-US"/>
        </w:rPr>
        <w:lastRenderedPageBreak/>
        <w:t>cap</w:t>
      </w:r>
      <w:proofErr w:type="gramEnd"/>
      <w:r w:rsidR="00CB18DA" w:rsidRPr="00CB18DA">
        <w:rPr>
          <w:rFonts w:ascii="Times New Roman" w:hAnsi="Times New Roman" w:cs="Times New Roman"/>
          <w:sz w:val="24"/>
          <w:szCs w:val="24"/>
          <w:lang w:val="en-US"/>
        </w:rPr>
        <w:t xml:space="preserve"> S&amp;P 500 index. In dollar</w:t>
      </w:r>
      <w:r w:rsidR="00CB18DA">
        <w:rPr>
          <w:rFonts w:ascii="Times New Roman" w:hAnsi="Times New Roman" w:cs="Times New Roman"/>
          <w:sz w:val="24"/>
          <w:szCs w:val="24"/>
          <w:lang w:val="en-US"/>
        </w:rPr>
        <w:t xml:space="preserve"> terms</w:t>
      </w:r>
      <w:r w:rsidR="00CB18DA" w:rsidRPr="00CB18DA">
        <w:rPr>
          <w:rFonts w:ascii="Times New Roman" w:hAnsi="Times New Roman" w:cs="Times New Roman"/>
          <w:sz w:val="24"/>
          <w:szCs w:val="24"/>
          <w:lang w:val="en-US"/>
        </w:rPr>
        <w:t xml:space="preserve">, that is about $21.7 trillion and $18 trillion, respectively. </w:t>
      </w:r>
      <w:r>
        <w:rPr>
          <w:rFonts w:ascii="Times New Roman" w:hAnsi="Times New Roman" w:cs="Times New Roman"/>
          <w:sz w:val="24"/>
          <w:szCs w:val="24"/>
          <w:lang w:val="en-US"/>
        </w:rPr>
        <w:t xml:space="preserve">Previous research has identified a long list of beneficial effects associated with institutional ownership. </w:t>
      </w:r>
      <w:proofErr w:type="gramStart"/>
      <w:r>
        <w:rPr>
          <w:rFonts w:ascii="Times New Roman" w:hAnsi="Times New Roman" w:cs="Times New Roman"/>
          <w:sz w:val="24"/>
          <w:szCs w:val="24"/>
          <w:lang w:val="en-US"/>
        </w:rPr>
        <w:t>These benefits include</w:t>
      </w:r>
      <w:r w:rsidR="0032209D">
        <w:rPr>
          <w:rFonts w:ascii="Times New Roman" w:hAnsi="Times New Roman" w:cs="Times New Roman"/>
          <w:sz w:val="24"/>
          <w:szCs w:val="24"/>
          <w:lang w:val="en-US"/>
        </w:rPr>
        <w:t>:</w:t>
      </w:r>
      <w:r>
        <w:rPr>
          <w:rFonts w:ascii="Times New Roman" w:hAnsi="Times New Roman" w:cs="Times New Roman"/>
          <w:sz w:val="24"/>
          <w:szCs w:val="24"/>
          <w:lang w:val="en-US"/>
        </w:rPr>
        <w:t xml:space="preserve"> easier access to </w:t>
      </w:r>
      <w:r w:rsidR="00CB18DA" w:rsidRPr="00CB18DA">
        <w:rPr>
          <w:rFonts w:ascii="Times New Roman" w:hAnsi="Times New Roman" w:cs="Times New Roman"/>
          <w:sz w:val="24"/>
          <w:szCs w:val="24"/>
          <w:lang w:val="en-US"/>
        </w:rPr>
        <w:t xml:space="preserve">external financing (Schain and </w:t>
      </w:r>
      <w:proofErr w:type="spellStart"/>
      <w:r w:rsidR="00CB18DA" w:rsidRPr="00CB18DA">
        <w:rPr>
          <w:rFonts w:ascii="Times New Roman" w:hAnsi="Times New Roman" w:cs="Times New Roman"/>
          <w:sz w:val="24"/>
          <w:szCs w:val="24"/>
          <w:lang w:val="en-US"/>
        </w:rPr>
        <w:t>Stiebale</w:t>
      </w:r>
      <w:proofErr w:type="spellEnd"/>
      <w:r w:rsidR="00CB18DA" w:rsidRPr="00CB18DA">
        <w:rPr>
          <w:rFonts w:ascii="Times New Roman" w:hAnsi="Times New Roman" w:cs="Times New Roman"/>
          <w:sz w:val="24"/>
          <w:szCs w:val="24"/>
          <w:lang w:val="en-US"/>
        </w:rPr>
        <w:t xml:space="preserve">, 2016), stronger </w:t>
      </w:r>
      <w:r>
        <w:rPr>
          <w:rFonts w:ascii="Times New Roman" w:hAnsi="Times New Roman" w:cs="Times New Roman"/>
          <w:sz w:val="24"/>
          <w:szCs w:val="24"/>
          <w:lang w:val="en-US"/>
        </w:rPr>
        <w:t xml:space="preserve">corporate </w:t>
      </w:r>
      <w:r w:rsidR="00CB18DA" w:rsidRPr="00CB18DA">
        <w:rPr>
          <w:rFonts w:ascii="Times New Roman" w:hAnsi="Times New Roman" w:cs="Times New Roman"/>
          <w:sz w:val="24"/>
          <w:szCs w:val="24"/>
          <w:lang w:val="en-US"/>
        </w:rPr>
        <w:t xml:space="preserve">governance (Edmans, 2014), </w:t>
      </w:r>
      <w:r w:rsidR="0032209D">
        <w:rPr>
          <w:rFonts w:ascii="Times New Roman" w:hAnsi="Times New Roman" w:cs="Times New Roman"/>
          <w:sz w:val="24"/>
          <w:szCs w:val="24"/>
          <w:lang w:val="en-US"/>
        </w:rPr>
        <w:t>greater</w:t>
      </w:r>
      <w:r w:rsidR="00CB18DA" w:rsidRPr="00CB18DA">
        <w:rPr>
          <w:rFonts w:ascii="Times New Roman" w:hAnsi="Times New Roman" w:cs="Times New Roman"/>
          <w:sz w:val="24"/>
          <w:szCs w:val="24"/>
          <w:lang w:val="en-US"/>
        </w:rPr>
        <w:t xml:space="preserve"> firm transparency (Boone and White, 2015), </w:t>
      </w:r>
      <w:r w:rsidR="0032209D">
        <w:rPr>
          <w:rFonts w:ascii="Times New Roman" w:hAnsi="Times New Roman" w:cs="Times New Roman"/>
          <w:sz w:val="24"/>
          <w:szCs w:val="24"/>
          <w:lang w:val="en-US"/>
        </w:rPr>
        <w:t xml:space="preserve">lower </w:t>
      </w:r>
      <w:r w:rsidR="00CB18DA" w:rsidRPr="00CB18DA">
        <w:rPr>
          <w:rFonts w:ascii="Times New Roman" w:hAnsi="Times New Roman" w:cs="Times New Roman"/>
          <w:sz w:val="24"/>
          <w:szCs w:val="24"/>
          <w:lang w:val="en-US"/>
        </w:rPr>
        <w:t>cost of capital (</w:t>
      </w:r>
      <w:proofErr w:type="spellStart"/>
      <w:r w:rsidR="00CB18DA" w:rsidRPr="00CB18DA">
        <w:rPr>
          <w:rFonts w:ascii="Times New Roman" w:hAnsi="Times New Roman" w:cs="Times New Roman"/>
          <w:sz w:val="24"/>
          <w:szCs w:val="24"/>
          <w:lang w:val="en-US"/>
        </w:rPr>
        <w:t>Attig</w:t>
      </w:r>
      <w:proofErr w:type="spellEnd"/>
      <w:r w:rsidR="00CB18DA" w:rsidRPr="00CB18DA">
        <w:rPr>
          <w:rFonts w:ascii="Times New Roman" w:hAnsi="Times New Roman" w:cs="Times New Roman"/>
          <w:sz w:val="24"/>
          <w:szCs w:val="24"/>
          <w:lang w:val="en-US"/>
        </w:rPr>
        <w:t xml:space="preserve"> et al., 2013), </w:t>
      </w:r>
      <w:r w:rsidR="0032209D">
        <w:rPr>
          <w:rFonts w:ascii="Times New Roman" w:hAnsi="Times New Roman" w:cs="Times New Roman"/>
          <w:sz w:val="24"/>
          <w:szCs w:val="24"/>
          <w:lang w:val="en-US"/>
        </w:rPr>
        <w:t xml:space="preserve">more </w:t>
      </w:r>
      <w:r w:rsidR="00CB18DA" w:rsidRPr="00CB18DA">
        <w:rPr>
          <w:rFonts w:ascii="Times New Roman" w:hAnsi="Times New Roman" w:cs="Times New Roman"/>
          <w:sz w:val="24"/>
          <w:szCs w:val="24"/>
          <w:lang w:val="en-US"/>
        </w:rPr>
        <w:t>favorable analyst</w:t>
      </w:r>
      <w:r w:rsidR="0032209D">
        <w:rPr>
          <w:rFonts w:ascii="Times New Roman" w:hAnsi="Times New Roman" w:cs="Times New Roman"/>
          <w:sz w:val="24"/>
          <w:szCs w:val="24"/>
          <w:lang w:val="en-US"/>
        </w:rPr>
        <w:t xml:space="preserve"> </w:t>
      </w:r>
      <w:r w:rsidR="00CB18DA" w:rsidRPr="00CB18DA">
        <w:rPr>
          <w:rFonts w:ascii="Times New Roman" w:hAnsi="Times New Roman" w:cs="Times New Roman"/>
          <w:sz w:val="24"/>
          <w:szCs w:val="24"/>
          <w:lang w:val="en-US"/>
        </w:rPr>
        <w:t xml:space="preserve">recommendations (Chen and Cheng, 2006), </w:t>
      </w:r>
      <w:r w:rsidR="00983561">
        <w:rPr>
          <w:rFonts w:ascii="Times New Roman" w:hAnsi="Times New Roman" w:cs="Times New Roman"/>
          <w:sz w:val="24"/>
          <w:szCs w:val="24"/>
          <w:lang w:val="en-US"/>
        </w:rPr>
        <w:t xml:space="preserve">better </w:t>
      </w:r>
      <w:r w:rsidR="00CB18DA" w:rsidRPr="00CB18DA">
        <w:rPr>
          <w:rFonts w:ascii="Times New Roman" w:hAnsi="Times New Roman" w:cs="Times New Roman"/>
          <w:sz w:val="24"/>
          <w:szCs w:val="24"/>
          <w:lang w:val="en-US"/>
        </w:rPr>
        <w:t xml:space="preserve">stock </w:t>
      </w:r>
      <w:r w:rsidR="0032209D">
        <w:rPr>
          <w:rFonts w:ascii="Times New Roman" w:hAnsi="Times New Roman" w:cs="Times New Roman"/>
          <w:sz w:val="24"/>
          <w:szCs w:val="24"/>
          <w:lang w:val="en-US"/>
        </w:rPr>
        <w:t xml:space="preserve">market </w:t>
      </w:r>
      <w:r w:rsidR="00CB18DA" w:rsidRPr="00CB18DA">
        <w:rPr>
          <w:rFonts w:ascii="Times New Roman" w:hAnsi="Times New Roman" w:cs="Times New Roman"/>
          <w:sz w:val="24"/>
          <w:szCs w:val="24"/>
          <w:lang w:val="en-US"/>
        </w:rPr>
        <w:t xml:space="preserve">performance (Gompers and </w:t>
      </w:r>
      <w:proofErr w:type="spellStart"/>
      <w:r w:rsidR="00CB18DA" w:rsidRPr="00CB18DA">
        <w:rPr>
          <w:rFonts w:ascii="Times New Roman" w:hAnsi="Times New Roman" w:cs="Times New Roman"/>
          <w:sz w:val="24"/>
          <w:szCs w:val="24"/>
          <w:lang w:val="en-US"/>
        </w:rPr>
        <w:t>Metrick</w:t>
      </w:r>
      <w:proofErr w:type="spellEnd"/>
      <w:r w:rsidR="00CB18DA" w:rsidRPr="00CB18DA">
        <w:rPr>
          <w:rFonts w:ascii="Times New Roman" w:hAnsi="Times New Roman" w:cs="Times New Roman"/>
          <w:sz w:val="24"/>
          <w:szCs w:val="24"/>
          <w:lang w:val="en-US"/>
        </w:rPr>
        <w:t xml:space="preserve">, 2001), </w:t>
      </w:r>
      <w:r w:rsidR="0032209D">
        <w:rPr>
          <w:rFonts w:ascii="Times New Roman" w:hAnsi="Times New Roman" w:cs="Times New Roman"/>
          <w:sz w:val="24"/>
          <w:szCs w:val="24"/>
          <w:lang w:val="en-US"/>
        </w:rPr>
        <w:t xml:space="preserve">greater </w:t>
      </w:r>
      <w:r w:rsidR="00CB18DA" w:rsidRPr="00CB18DA">
        <w:rPr>
          <w:rFonts w:ascii="Times New Roman" w:hAnsi="Times New Roman" w:cs="Times New Roman"/>
          <w:sz w:val="24"/>
          <w:szCs w:val="24"/>
          <w:lang w:val="en-US"/>
        </w:rPr>
        <w:t>informational efficiency (</w:t>
      </w:r>
      <w:proofErr w:type="spellStart"/>
      <w:r w:rsidR="00CB18DA" w:rsidRPr="00CB18DA">
        <w:rPr>
          <w:rFonts w:ascii="Times New Roman" w:hAnsi="Times New Roman" w:cs="Times New Roman"/>
          <w:sz w:val="24"/>
          <w:szCs w:val="24"/>
          <w:lang w:val="en-US"/>
        </w:rPr>
        <w:t>Boehmer</w:t>
      </w:r>
      <w:proofErr w:type="spellEnd"/>
      <w:r w:rsidR="00CB18DA" w:rsidRPr="00CB18DA">
        <w:rPr>
          <w:rFonts w:ascii="Times New Roman" w:hAnsi="Times New Roman" w:cs="Times New Roman"/>
          <w:sz w:val="24"/>
          <w:szCs w:val="24"/>
          <w:lang w:val="en-US"/>
        </w:rPr>
        <w:t xml:space="preserve"> and Kelly, 2009), </w:t>
      </w:r>
      <w:r w:rsidR="0032209D">
        <w:rPr>
          <w:rFonts w:ascii="Times New Roman" w:hAnsi="Times New Roman" w:cs="Times New Roman"/>
          <w:sz w:val="24"/>
          <w:szCs w:val="24"/>
          <w:lang w:val="en-US"/>
        </w:rPr>
        <w:t>less</w:t>
      </w:r>
      <w:r w:rsidR="00CB18DA" w:rsidRPr="00CB18DA">
        <w:rPr>
          <w:rFonts w:ascii="Times New Roman" w:hAnsi="Times New Roman" w:cs="Times New Roman"/>
          <w:sz w:val="24"/>
          <w:szCs w:val="24"/>
          <w:lang w:val="en-US"/>
        </w:rPr>
        <w:t xml:space="preserve"> managerial myopi</w:t>
      </w:r>
      <w:r w:rsidR="0032209D">
        <w:rPr>
          <w:rFonts w:ascii="Times New Roman" w:hAnsi="Times New Roman" w:cs="Times New Roman"/>
          <w:sz w:val="24"/>
          <w:szCs w:val="24"/>
          <w:lang w:val="en-US"/>
        </w:rPr>
        <w:t>a</w:t>
      </w:r>
      <w:r w:rsidR="00CB18DA" w:rsidRPr="00CB18DA">
        <w:rPr>
          <w:rFonts w:ascii="Times New Roman" w:hAnsi="Times New Roman" w:cs="Times New Roman"/>
          <w:sz w:val="24"/>
          <w:szCs w:val="24"/>
          <w:lang w:val="en-US"/>
        </w:rPr>
        <w:t xml:space="preserve"> </w:t>
      </w:r>
      <w:r w:rsidR="0032209D">
        <w:rPr>
          <w:rFonts w:ascii="Times New Roman" w:hAnsi="Times New Roman" w:cs="Times New Roman"/>
          <w:sz w:val="24"/>
          <w:szCs w:val="24"/>
          <w:lang w:val="en-US"/>
        </w:rPr>
        <w:t xml:space="preserve">with respect to </w:t>
      </w:r>
      <w:r w:rsidR="00CB18DA" w:rsidRPr="00CB18DA">
        <w:rPr>
          <w:rFonts w:ascii="Times New Roman" w:hAnsi="Times New Roman" w:cs="Times New Roman"/>
          <w:sz w:val="24"/>
          <w:szCs w:val="24"/>
          <w:lang w:val="en-US"/>
        </w:rPr>
        <w:t>R&amp;D investment</w:t>
      </w:r>
      <w:r w:rsidR="0032209D">
        <w:rPr>
          <w:rFonts w:ascii="Times New Roman" w:hAnsi="Times New Roman" w:cs="Times New Roman"/>
          <w:sz w:val="24"/>
          <w:szCs w:val="24"/>
          <w:lang w:val="en-US"/>
        </w:rPr>
        <w:t>s</w:t>
      </w:r>
      <w:r w:rsidR="00CB18DA" w:rsidRPr="00CB18DA">
        <w:rPr>
          <w:rFonts w:ascii="Times New Roman" w:hAnsi="Times New Roman" w:cs="Times New Roman"/>
          <w:sz w:val="24"/>
          <w:szCs w:val="24"/>
          <w:lang w:val="en-US"/>
        </w:rPr>
        <w:t xml:space="preserve"> (</w:t>
      </w:r>
      <w:proofErr w:type="spellStart"/>
      <w:r w:rsidR="00CB18DA" w:rsidRPr="00CB18DA">
        <w:rPr>
          <w:rFonts w:ascii="Times New Roman" w:hAnsi="Times New Roman" w:cs="Times New Roman"/>
          <w:sz w:val="24"/>
          <w:szCs w:val="24"/>
          <w:lang w:val="en-US"/>
        </w:rPr>
        <w:t>Bushee</w:t>
      </w:r>
      <w:proofErr w:type="spellEnd"/>
      <w:r w:rsidR="00CB18DA" w:rsidRPr="00CB18DA">
        <w:rPr>
          <w:rFonts w:ascii="Times New Roman" w:hAnsi="Times New Roman" w:cs="Times New Roman"/>
          <w:sz w:val="24"/>
          <w:szCs w:val="24"/>
          <w:lang w:val="en-US"/>
        </w:rPr>
        <w:t xml:space="preserve"> 1998), and </w:t>
      </w:r>
      <w:r w:rsidR="0032209D">
        <w:rPr>
          <w:rFonts w:ascii="Times New Roman" w:hAnsi="Times New Roman" w:cs="Times New Roman"/>
          <w:sz w:val="24"/>
          <w:szCs w:val="24"/>
          <w:lang w:val="en-US"/>
        </w:rPr>
        <w:t xml:space="preserve">an </w:t>
      </w:r>
      <w:r w:rsidR="00983561">
        <w:rPr>
          <w:rFonts w:ascii="Times New Roman" w:hAnsi="Times New Roman" w:cs="Times New Roman"/>
          <w:sz w:val="24"/>
          <w:szCs w:val="24"/>
          <w:lang w:val="en-US"/>
        </w:rPr>
        <w:t xml:space="preserve">expanded </w:t>
      </w:r>
      <w:r w:rsidR="0032209D">
        <w:rPr>
          <w:rFonts w:ascii="Times New Roman" w:hAnsi="Times New Roman" w:cs="Times New Roman"/>
          <w:sz w:val="24"/>
          <w:szCs w:val="24"/>
          <w:lang w:val="en-US"/>
        </w:rPr>
        <w:t xml:space="preserve">capacity for innovation </w:t>
      </w:r>
      <w:r w:rsidR="00CB18DA" w:rsidRPr="00CB18DA">
        <w:rPr>
          <w:rFonts w:ascii="Times New Roman" w:hAnsi="Times New Roman" w:cs="Times New Roman"/>
          <w:sz w:val="24"/>
          <w:szCs w:val="24"/>
          <w:lang w:val="en-US"/>
        </w:rPr>
        <w:t>(</w:t>
      </w:r>
      <w:proofErr w:type="spellStart"/>
      <w:r w:rsidR="00CB18DA" w:rsidRPr="00CB18DA">
        <w:rPr>
          <w:rFonts w:ascii="Times New Roman" w:hAnsi="Times New Roman" w:cs="Times New Roman"/>
          <w:sz w:val="24"/>
          <w:szCs w:val="24"/>
          <w:lang w:val="en-US"/>
        </w:rPr>
        <w:t>Aghion</w:t>
      </w:r>
      <w:proofErr w:type="spellEnd"/>
      <w:r w:rsidR="00CB18DA" w:rsidRPr="00CB18DA">
        <w:rPr>
          <w:rFonts w:ascii="Times New Roman" w:hAnsi="Times New Roman" w:cs="Times New Roman"/>
          <w:sz w:val="24"/>
          <w:szCs w:val="24"/>
          <w:lang w:val="en-US"/>
        </w:rPr>
        <w:t xml:space="preserve"> et al., 2013).</w:t>
      </w:r>
      <w:proofErr w:type="gramEnd"/>
      <w:r w:rsidR="00CB18DA" w:rsidRPr="00CB18DA">
        <w:rPr>
          <w:rFonts w:ascii="Times New Roman" w:hAnsi="Times New Roman" w:cs="Times New Roman"/>
          <w:sz w:val="24"/>
          <w:szCs w:val="24"/>
          <w:lang w:val="en-US"/>
        </w:rPr>
        <w:t xml:space="preserve"> In view of these </w:t>
      </w:r>
      <w:r w:rsidR="00983561">
        <w:rPr>
          <w:rFonts w:ascii="Times New Roman" w:hAnsi="Times New Roman" w:cs="Times New Roman"/>
          <w:sz w:val="24"/>
          <w:szCs w:val="24"/>
          <w:lang w:val="en-US"/>
        </w:rPr>
        <w:t>beneficial effects,</w:t>
      </w:r>
      <w:r w:rsidR="00CB18DA" w:rsidRPr="00CB18DA">
        <w:rPr>
          <w:rFonts w:ascii="Times New Roman" w:hAnsi="Times New Roman" w:cs="Times New Roman"/>
          <w:sz w:val="24"/>
          <w:szCs w:val="24"/>
          <w:lang w:val="en-US"/>
        </w:rPr>
        <w:t xml:space="preserve"> </w:t>
      </w:r>
      <w:r w:rsidR="00983561">
        <w:rPr>
          <w:rFonts w:ascii="Times New Roman" w:hAnsi="Times New Roman" w:cs="Times New Roman"/>
          <w:sz w:val="24"/>
          <w:szCs w:val="24"/>
          <w:lang w:val="en-US"/>
        </w:rPr>
        <w:t>it is important to understand the firm characteristics that attract institutional interest. The main objective of this study is to show that</w:t>
      </w:r>
      <w:r w:rsidR="00EE5CB5">
        <w:rPr>
          <w:rFonts w:ascii="Times New Roman" w:hAnsi="Times New Roman" w:cs="Times New Roman"/>
          <w:sz w:val="24"/>
          <w:szCs w:val="24"/>
          <w:lang w:val="en-US"/>
        </w:rPr>
        <w:t xml:space="preserve"> internal tournament competition </w:t>
      </w:r>
      <w:r w:rsidR="00983561">
        <w:rPr>
          <w:rFonts w:ascii="Times New Roman" w:hAnsi="Times New Roman" w:cs="Times New Roman"/>
          <w:sz w:val="24"/>
          <w:szCs w:val="24"/>
          <w:lang w:val="en-US"/>
        </w:rPr>
        <w:t xml:space="preserve">is a significant determinant of institutional ownership.  </w:t>
      </w:r>
    </w:p>
    <w:p w14:paraId="0D62CEE0" w14:textId="476CC242" w:rsidR="00CB18DA" w:rsidRPr="00CB18DA" w:rsidRDefault="00CB18DA" w:rsidP="00CB18DA">
      <w:pPr>
        <w:spacing w:after="0" w:line="480" w:lineRule="auto"/>
        <w:ind w:firstLine="567"/>
        <w:jc w:val="both"/>
        <w:rPr>
          <w:rFonts w:ascii="Times New Roman" w:hAnsi="Times New Roman" w:cs="Times New Roman"/>
          <w:sz w:val="24"/>
          <w:szCs w:val="24"/>
          <w:lang w:val="en-US"/>
        </w:rPr>
      </w:pPr>
      <w:r w:rsidRPr="00CB18DA">
        <w:rPr>
          <w:rFonts w:ascii="Times New Roman" w:hAnsi="Times New Roman" w:cs="Times New Roman"/>
          <w:sz w:val="24"/>
          <w:szCs w:val="24"/>
          <w:lang w:val="en-US"/>
        </w:rPr>
        <w:t xml:space="preserve">To lay the theoretical foundation for our </w:t>
      </w:r>
      <w:r w:rsidR="00CA1687">
        <w:rPr>
          <w:rFonts w:ascii="Times New Roman" w:hAnsi="Times New Roman" w:cs="Times New Roman"/>
          <w:sz w:val="24"/>
          <w:szCs w:val="24"/>
          <w:lang w:val="en-US"/>
        </w:rPr>
        <w:t xml:space="preserve">main </w:t>
      </w:r>
      <w:r w:rsidRPr="00CB18DA">
        <w:rPr>
          <w:rFonts w:ascii="Times New Roman" w:hAnsi="Times New Roman" w:cs="Times New Roman"/>
          <w:sz w:val="24"/>
          <w:szCs w:val="24"/>
          <w:lang w:val="en-US"/>
        </w:rPr>
        <w:t xml:space="preserve">hypothesis regarding the impact of corporate tournaments on institutional ownership, we develop a model that incorporates a corporate tournament into an otherwise standard stock market framework.  In particular, we consider a corporate tournament with a </w:t>
      </w:r>
      <w:r w:rsidR="00660ADD">
        <w:rPr>
          <w:rFonts w:ascii="Times New Roman" w:hAnsi="Times New Roman" w:cs="Times New Roman"/>
          <w:sz w:val="24"/>
          <w:szCs w:val="24"/>
          <w:lang w:val="en-US"/>
        </w:rPr>
        <w:t>constant-</w:t>
      </w:r>
      <w:r w:rsidR="00660ADD" w:rsidRPr="00660ADD">
        <w:rPr>
          <w:rFonts w:ascii="Times New Roman" w:hAnsi="Times New Roman" w:cs="Times New Roman"/>
          <w:sz w:val="24"/>
          <w:szCs w:val="24"/>
          <w:lang w:val="en-US"/>
        </w:rPr>
        <w:t>absolute-risk-aversion</w:t>
      </w:r>
      <w:r w:rsidR="00BF4273">
        <w:rPr>
          <w:rFonts w:ascii="Times New Roman" w:hAnsi="Times New Roman" w:cs="Times New Roman"/>
          <w:sz w:val="24"/>
          <w:szCs w:val="24"/>
          <w:lang w:val="en-US"/>
        </w:rPr>
        <w:t>-</w:t>
      </w:r>
      <w:r w:rsidR="00BF4273" w:rsidRPr="00660ADD">
        <w:rPr>
          <w:rFonts w:ascii="Times New Roman" w:hAnsi="Times New Roman" w:cs="Times New Roman"/>
          <w:sz w:val="24"/>
          <w:szCs w:val="24"/>
          <w:lang w:val="en-US"/>
        </w:rPr>
        <w:t>normal</w:t>
      </w:r>
      <w:r w:rsidR="00BF4273" w:rsidRPr="00CB18DA">
        <w:rPr>
          <w:rFonts w:ascii="Times New Roman" w:hAnsi="Times New Roman" w:cs="Times New Roman"/>
          <w:sz w:val="24"/>
          <w:szCs w:val="24"/>
          <w:lang w:val="en-US"/>
        </w:rPr>
        <w:t xml:space="preserve"> </w:t>
      </w:r>
      <w:r w:rsidR="00660ADD" w:rsidRPr="00660ADD">
        <w:rPr>
          <w:rFonts w:ascii="Times New Roman" w:hAnsi="Times New Roman" w:cs="Times New Roman"/>
          <w:sz w:val="24"/>
          <w:szCs w:val="24"/>
          <w:lang w:val="en-US"/>
        </w:rPr>
        <w:t>(</w:t>
      </w:r>
      <w:r w:rsidRPr="00660ADD">
        <w:rPr>
          <w:rFonts w:ascii="Times New Roman" w:hAnsi="Times New Roman" w:cs="Times New Roman"/>
          <w:sz w:val="24"/>
          <w:szCs w:val="24"/>
          <w:lang w:val="en-US"/>
        </w:rPr>
        <w:t>CARA</w:t>
      </w:r>
      <w:r w:rsidR="00BF4273">
        <w:rPr>
          <w:rFonts w:ascii="Times New Roman" w:hAnsi="Times New Roman" w:cs="Times New Roman"/>
          <w:sz w:val="24"/>
          <w:szCs w:val="24"/>
          <w:lang w:val="en-US"/>
        </w:rPr>
        <w:t>-Normal</w:t>
      </w:r>
      <w:r w:rsidR="00660ADD" w:rsidRPr="00660ADD">
        <w:rPr>
          <w:rFonts w:ascii="Times New Roman" w:hAnsi="Times New Roman" w:cs="Times New Roman"/>
          <w:sz w:val="24"/>
          <w:szCs w:val="24"/>
          <w:lang w:val="en-US"/>
        </w:rPr>
        <w:t xml:space="preserve">) </w:t>
      </w:r>
      <w:r w:rsidRPr="00CB18DA">
        <w:rPr>
          <w:rFonts w:ascii="Times New Roman" w:hAnsi="Times New Roman" w:cs="Times New Roman"/>
          <w:sz w:val="24"/>
          <w:szCs w:val="24"/>
          <w:lang w:val="en-US"/>
        </w:rPr>
        <w:t xml:space="preserve">stock market </w:t>
      </w:r>
      <w:r w:rsidRPr="00CB18DA">
        <w:rPr>
          <w:rFonts w:ascii="Times New Roman" w:hAnsi="Times New Roman" w:cs="Times New Roman"/>
          <w:noProof/>
          <w:sz w:val="24"/>
          <w:szCs w:val="24"/>
          <w:lang w:val="en-US"/>
        </w:rPr>
        <w:t>setup</w:t>
      </w:r>
      <w:r w:rsidR="00BF4273">
        <w:rPr>
          <w:rFonts w:ascii="Times New Roman" w:hAnsi="Times New Roman" w:cs="Times New Roman"/>
          <w:noProof/>
          <w:sz w:val="24"/>
          <w:szCs w:val="24"/>
          <w:lang w:val="en-US"/>
        </w:rPr>
        <w:t xml:space="preserve"> (Huang and Litzenberg, 1988; Vives, 2008),</w:t>
      </w:r>
      <w:r w:rsidRPr="00CB18DA">
        <w:rPr>
          <w:rFonts w:ascii="Times New Roman" w:hAnsi="Times New Roman" w:cs="Times New Roman"/>
          <w:sz w:val="24"/>
          <w:szCs w:val="24"/>
          <w:lang w:val="en-US"/>
        </w:rPr>
        <w:t xml:space="preserve"> where the interplay between a representative sophisticated trader (institutional investor), a representative naive trader (retail investor), and a mass of noise traders determines equilibrium </w:t>
      </w:r>
      <w:r w:rsidR="004D36B6">
        <w:rPr>
          <w:rFonts w:ascii="Times New Roman" w:hAnsi="Times New Roman" w:cs="Times New Roman"/>
          <w:sz w:val="24"/>
          <w:szCs w:val="24"/>
          <w:lang w:val="en-US"/>
        </w:rPr>
        <w:t>in</w:t>
      </w:r>
      <w:r w:rsidRPr="00CB18DA">
        <w:rPr>
          <w:rFonts w:ascii="Times New Roman" w:hAnsi="Times New Roman" w:cs="Times New Roman"/>
          <w:sz w:val="24"/>
          <w:szCs w:val="24"/>
          <w:lang w:val="en-US"/>
        </w:rPr>
        <w:t xml:space="preserve"> the stock market. Our analysis shows that institutional ownership increases with </w:t>
      </w:r>
      <w:r w:rsidR="005E2918">
        <w:rPr>
          <w:rFonts w:ascii="Times New Roman" w:hAnsi="Times New Roman" w:cs="Times New Roman"/>
          <w:sz w:val="24"/>
          <w:szCs w:val="24"/>
          <w:lang w:val="en-US"/>
        </w:rPr>
        <w:t xml:space="preserve">greater </w:t>
      </w:r>
      <w:r w:rsidRPr="00CB18DA">
        <w:rPr>
          <w:rFonts w:ascii="Times New Roman" w:hAnsi="Times New Roman" w:cs="Times New Roman"/>
          <w:sz w:val="24"/>
          <w:szCs w:val="24"/>
          <w:lang w:val="en-US"/>
        </w:rPr>
        <w:t xml:space="preserve">corporate tournament competition. </w:t>
      </w:r>
      <w:r w:rsidR="00A46DB9">
        <w:rPr>
          <w:rFonts w:ascii="Times New Roman" w:hAnsi="Times New Roman" w:cs="Times New Roman"/>
          <w:sz w:val="24"/>
          <w:szCs w:val="24"/>
          <w:lang w:val="en-US"/>
        </w:rPr>
        <w:t xml:space="preserve">Similar to </w:t>
      </w:r>
      <w:proofErr w:type="spellStart"/>
      <w:r w:rsidR="00A46DB9">
        <w:rPr>
          <w:rFonts w:ascii="Times New Roman" w:hAnsi="Times New Roman" w:cs="Times New Roman"/>
          <w:sz w:val="24"/>
          <w:szCs w:val="24"/>
          <w:lang w:val="en-US"/>
        </w:rPr>
        <w:t>Lazear</w:t>
      </w:r>
      <w:proofErr w:type="spellEnd"/>
      <w:r w:rsidR="00A46DB9">
        <w:rPr>
          <w:rFonts w:ascii="Times New Roman" w:hAnsi="Times New Roman" w:cs="Times New Roman"/>
          <w:sz w:val="24"/>
          <w:szCs w:val="24"/>
          <w:lang w:val="en-US"/>
        </w:rPr>
        <w:t xml:space="preserve"> and Rosen (</w:t>
      </w:r>
      <w:proofErr w:type="gramStart"/>
      <w:r w:rsidR="00A46DB9">
        <w:rPr>
          <w:rFonts w:ascii="Times New Roman" w:hAnsi="Times New Roman" w:cs="Times New Roman"/>
          <w:sz w:val="24"/>
          <w:szCs w:val="24"/>
          <w:lang w:val="en-US"/>
        </w:rPr>
        <w:t xml:space="preserve">1981) and </w:t>
      </w:r>
      <w:proofErr w:type="spellStart"/>
      <w:r w:rsidR="00A46DB9">
        <w:rPr>
          <w:rFonts w:ascii="Times New Roman" w:hAnsi="Times New Roman" w:cs="Times New Roman"/>
          <w:sz w:val="24"/>
          <w:szCs w:val="24"/>
          <w:lang w:val="en-US"/>
        </w:rPr>
        <w:t>Nalebuff</w:t>
      </w:r>
      <w:proofErr w:type="spellEnd"/>
      <w:proofErr w:type="gramEnd"/>
      <w:r w:rsidR="00A46DB9">
        <w:rPr>
          <w:rFonts w:ascii="Times New Roman" w:hAnsi="Times New Roman" w:cs="Times New Roman"/>
          <w:sz w:val="24"/>
          <w:szCs w:val="24"/>
          <w:lang w:val="en-US"/>
        </w:rPr>
        <w:t xml:space="preserve"> and </w:t>
      </w:r>
      <w:proofErr w:type="spellStart"/>
      <w:r w:rsidR="00A46DB9">
        <w:rPr>
          <w:rFonts w:ascii="Times New Roman" w:hAnsi="Times New Roman" w:cs="Times New Roman"/>
          <w:sz w:val="24"/>
          <w:szCs w:val="24"/>
          <w:lang w:val="en-US"/>
        </w:rPr>
        <w:t>Stiglitz</w:t>
      </w:r>
      <w:proofErr w:type="spellEnd"/>
      <w:r w:rsidR="00A46DB9">
        <w:rPr>
          <w:rFonts w:ascii="Times New Roman" w:hAnsi="Times New Roman" w:cs="Times New Roman"/>
          <w:sz w:val="24"/>
          <w:szCs w:val="24"/>
          <w:lang w:val="en-US"/>
        </w:rPr>
        <w:t xml:space="preserve"> (1983), we argue that </w:t>
      </w:r>
      <w:r w:rsidRPr="00FB5491">
        <w:rPr>
          <w:rFonts w:ascii="Times New Roman" w:hAnsi="Times New Roman" w:cs="Times New Roman"/>
          <w:sz w:val="24"/>
          <w:szCs w:val="24"/>
          <w:lang w:val="en-US"/>
        </w:rPr>
        <w:t>greater corporate tournament competition increase</w:t>
      </w:r>
      <w:r w:rsidR="00FB5491" w:rsidRPr="00FB5491">
        <w:rPr>
          <w:rFonts w:ascii="Times New Roman" w:hAnsi="Times New Roman" w:cs="Times New Roman"/>
          <w:sz w:val="24"/>
          <w:szCs w:val="24"/>
          <w:lang w:val="en-US"/>
        </w:rPr>
        <w:t xml:space="preserve">s the </w:t>
      </w:r>
      <w:r w:rsidRPr="00FB5491">
        <w:rPr>
          <w:rFonts w:ascii="Times New Roman" w:hAnsi="Times New Roman" w:cs="Times New Roman"/>
          <w:sz w:val="24"/>
          <w:szCs w:val="24"/>
          <w:lang w:val="en-US"/>
        </w:rPr>
        <w:t>effort</w:t>
      </w:r>
      <w:r w:rsidR="00FB5491" w:rsidRPr="00FB5491">
        <w:rPr>
          <w:rFonts w:ascii="Times New Roman" w:hAnsi="Times New Roman" w:cs="Times New Roman"/>
          <w:sz w:val="24"/>
          <w:szCs w:val="24"/>
          <w:lang w:val="en-US"/>
        </w:rPr>
        <w:t xml:space="preserve"> that </w:t>
      </w:r>
      <w:r w:rsidRPr="00FB5491">
        <w:rPr>
          <w:rFonts w:ascii="Times New Roman" w:hAnsi="Times New Roman" w:cs="Times New Roman"/>
          <w:sz w:val="24"/>
          <w:szCs w:val="24"/>
          <w:lang w:val="en-US"/>
        </w:rPr>
        <w:t>CEO contestants</w:t>
      </w:r>
      <w:r w:rsidR="00FB5491" w:rsidRPr="00FB5491">
        <w:rPr>
          <w:rFonts w:ascii="Times New Roman" w:hAnsi="Times New Roman" w:cs="Times New Roman"/>
          <w:sz w:val="24"/>
          <w:szCs w:val="24"/>
          <w:lang w:val="en-US"/>
        </w:rPr>
        <w:t xml:space="preserve"> (i.e.</w:t>
      </w:r>
      <w:r w:rsidR="008D0817">
        <w:rPr>
          <w:rFonts w:ascii="Times New Roman" w:hAnsi="Times New Roman" w:cs="Times New Roman"/>
          <w:sz w:val="24"/>
          <w:szCs w:val="24"/>
          <w:lang w:val="en-US"/>
        </w:rPr>
        <w:t>,</w:t>
      </w:r>
      <w:r w:rsidR="00FB5491" w:rsidRPr="00FB5491">
        <w:rPr>
          <w:rFonts w:ascii="Times New Roman" w:hAnsi="Times New Roman" w:cs="Times New Roman"/>
          <w:sz w:val="24"/>
          <w:szCs w:val="24"/>
          <w:lang w:val="en-US"/>
        </w:rPr>
        <w:t xml:space="preserve"> senior management) exert in performing their duties</w:t>
      </w:r>
      <w:r w:rsidR="00A46DB9">
        <w:rPr>
          <w:rFonts w:ascii="Times New Roman" w:hAnsi="Times New Roman" w:cs="Times New Roman"/>
          <w:sz w:val="24"/>
          <w:szCs w:val="24"/>
          <w:lang w:val="en-US"/>
        </w:rPr>
        <w:t xml:space="preserve">. As </w:t>
      </w:r>
      <w:proofErr w:type="gramStart"/>
      <w:r w:rsidR="004D36B6">
        <w:rPr>
          <w:rFonts w:ascii="Times New Roman" w:hAnsi="Times New Roman" w:cs="Times New Roman"/>
          <w:sz w:val="24"/>
          <w:szCs w:val="24"/>
          <w:lang w:val="en-US"/>
        </w:rPr>
        <w:t>such</w:t>
      </w:r>
      <w:proofErr w:type="gramEnd"/>
      <w:r w:rsidR="004D36B6">
        <w:rPr>
          <w:rFonts w:ascii="Times New Roman" w:hAnsi="Times New Roman" w:cs="Times New Roman"/>
          <w:sz w:val="24"/>
          <w:szCs w:val="24"/>
          <w:lang w:val="en-US"/>
        </w:rPr>
        <w:t xml:space="preserve"> efforts </w:t>
      </w:r>
      <w:r w:rsidR="00A46DB9">
        <w:rPr>
          <w:rFonts w:ascii="Times New Roman" w:hAnsi="Times New Roman" w:cs="Times New Roman"/>
          <w:sz w:val="24"/>
          <w:szCs w:val="24"/>
          <w:lang w:val="en-US"/>
        </w:rPr>
        <w:t xml:space="preserve">will consequently </w:t>
      </w:r>
      <w:r w:rsidRPr="00FB5491">
        <w:rPr>
          <w:rFonts w:ascii="Times New Roman" w:hAnsi="Times New Roman" w:cs="Times New Roman"/>
          <w:sz w:val="24"/>
          <w:szCs w:val="24"/>
          <w:lang w:val="en-US"/>
        </w:rPr>
        <w:t>benefit the firm</w:t>
      </w:r>
      <w:r w:rsidR="004D36B6">
        <w:rPr>
          <w:rFonts w:ascii="Times New Roman" w:hAnsi="Times New Roman" w:cs="Times New Roman"/>
          <w:sz w:val="24"/>
          <w:szCs w:val="24"/>
          <w:lang w:val="en-US"/>
        </w:rPr>
        <w:t>’s</w:t>
      </w:r>
      <w:r w:rsidR="00451E57">
        <w:rPr>
          <w:rFonts w:ascii="Times New Roman" w:hAnsi="Times New Roman" w:cs="Times New Roman"/>
          <w:sz w:val="24"/>
          <w:szCs w:val="24"/>
          <w:lang w:val="en-US"/>
        </w:rPr>
        <w:t xml:space="preserve"> performance</w:t>
      </w:r>
      <w:r w:rsidR="00A46DB9">
        <w:rPr>
          <w:rFonts w:ascii="Times New Roman" w:hAnsi="Times New Roman" w:cs="Times New Roman"/>
          <w:sz w:val="24"/>
          <w:szCs w:val="24"/>
          <w:lang w:val="en-US"/>
        </w:rPr>
        <w:t>, sophisticated investor</w:t>
      </w:r>
      <w:r w:rsidR="009D0C9B">
        <w:rPr>
          <w:rFonts w:ascii="Times New Roman" w:hAnsi="Times New Roman" w:cs="Times New Roman"/>
          <w:sz w:val="24"/>
          <w:szCs w:val="24"/>
          <w:lang w:val="en-US"/>
        </w:rPr>
        <w:t xml:space="preserve">s recognize </w:t>
      </w:r>
      <w:r w:rsidR="00A46DB9">
        <w:rPr>
          <w:rFonts w:ascii="Times New Roman" w:hAnsi="Times New Roman" w:cs="Times New Roman"/>
          <w:sz w:val="24"/>
          <w:szCs w:val="24"/>
          <w:lang w:val="en-US"/>
        </w:rPr>
        <w:t xml:space="preserve">the </w:t>
      </w:r>
      <w:r w:rsidR="009D0C9B">
        <w:rPr>
          <w:rFonts w:ascii="Times New Roman" w:hAnsi="Times New Roman" w:cs="Times New Roman"/>
          <w:sz w:val="24"/>
          <w:szCs w:val="24"/>
          <w:lang w:val="en-US"/>
        </w:rPr>
        <w:t xml:space="preserve">incentive-aligning </w:t>
      </w:r>
      <w:r w:rsidR="00A46DB9">
        <w:rPr>
          <w:rFonts w:ascii="Times New Roman" w:hAnsi="Times New Roman" w:cs="Times New Roman"/>
          <w:sz w:val="24"/>
          <w:szCs w:val="24"/>
          <w:lang w:val="en-US"/>
        </w:rPr>
        <w:t xml:space="preserve">value of </w:t>
      </w:r>
      <w:r w:rsidR="009D0C9B">
        <w:rPr>
          <w:rFonts w:ascii="Times New Roman" w:hAnsi="Times New Roman" w:cs="Times New Roman"/>
          <w:sz w:val="24"/>
          <w:szCs w:val="24"/>
          <w:lang w:val="en-US"/>
        </w:rPr>
        <w:t xml:space="preserve">internal </w:t>
      </w:r>
      <w:r w:rsidR="00A46DB9">
        <w:rPr>
          <w:rFonts w:ascii="Times New Roman" w:hAnsi="Times New Roman" w:cs="Times New Roman"/>
          <w:sz w:val="24"/>
          <w:szCs w:val="24"/>
          <w:lang w:val="en-US"/>
        </w:rPr>
        <w:t>tournaments</w:t>
      </w:r>
      <w:r w:rsidR="009D0C9B">
        <w:rPr>
          <w:rFonts w:ascii="Times New Roman" w:hAnsi="Times New Roman" w:cs="Times New Roman"/>
          <w:sz w:val="24"/>
          <w:szCs w:val="24"/>
          <w:lang w:val="en-US"/>
        </w:rPr>
        <w:t xml:space="preserve"> and increase their ownership stake in such firms. </w:t>
      </w:r>
      <w:r w:rsidRPr="00CB18DA">
        <w:rPr>
          <w:rFonts w:ascii="Times New Roman" w:hAnsi="Times New Roman" w:cs="Times New Roman"/>
          <w:sz w:val="24"/>
          <w:szCs w:val="24"/>
          <w:lang w:val="en-US"/>
        </w:rPr>
        <w:t xml:space="preserve"> </w:t>
      </w:r>
    </w:p>
    <w:p w14:paraId="5D50D47B" w14:textId="6368B23C" w:rsidR="00B8197C" w:rsidRPr="00B8344A" w:rsidRDefault="005E2918" w:rsidP="00B8197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then proceed </w:t>
      </w:r>
      <w:proofErr w:type="gramStart"/>
      <w:r>
        <w:rPr>
          <w:rFonts w:ascii="Times New Roman" w:hAnsi="Times New Roman" w:cs="Times New Roman"/>
          <w:sz w:val="24"/>
          <w:szCs w:val="24"/>
          <w:lang w:val="en-US"/>
        </w:rPr>
        <w:t>to empirically test</w:t>
      </w:r>
      <w:proofErr w:type="gramEnd"/>
      <w:r>
        <w:rPr>
          <w:rFonts w:ascii="Times New Roman" w:hAnsi="Times New Roman" w:cs="Times New Roman"/>
          <w:sz w:val="24"/>
          <w:szCs w:val="24"/>
          <w:lang w:val="en-US"/>
        </w:rPr>
        <w:t xml:space="preserve"> </w:t>
      </w:r>
      <w:r w:rsidR="00FA5234">
        <w:rPr>
          <w:rFonts w:ascii="Times New Roman" w:hAnsi="Times New Roman" w:cs="Times New Roman"/>
          <w:sz w:val="24"/>
          <w:szCs w:val="24"/>
          <w:lang w:val="en-US"/>
        </w:rPr>
        <w:t xml:space="preserve">the implications of </w:t>
      </w:r>
      <w:r>
        <w:rPr>
          <w:rFonts w:ascii="Times New Roman" w:hAnsi="Times New Roman" w:cs="Times New Roman"/>
          <w:sz w:val="24"/>
          <w:szCs w:val="24"/>
          <w:lang w:val="en-US"/>
        </w:rPr>
        <w:t xml:space="preserve">our theoretical model. </w:t>
      </w:r>
      <w:r w:rsidR="00B8197C" w:rsidRPr="00B8344A">
        <w:rPr>
          <w:rFonts w:ascii="Times New Roman" w:hAnsi="Times New Roman" w:cs="Times New Roman"/>
          <w:sz w:val="24"/>
          <w:szCs w:val="24"/>
          <w:lang w:val="en-US"/>
        </w:rPr>
        <w:t>Following prior studies</w:t>
      </w:r>
      <w:r w:rsidR="00B8197C">
        <w:rPr>
          <w:rFonts w:ascii="Times New Roman" w:hAnsi="Times New Roman" w:cs="Times New Roman"/>
          <w:sz w:val="24"/>
          <w:szCs w:val="24"/>
          <w:lang w:val="en-US"/>
        </w:rPr>
        <w:t xml:space="preserve"> (</w:t>
      </w:r>
      <w:proofErr w:type="spellStart"/>
      <w:r w:rsidR="00B8197C" w:rsidRPr="062454F4">
        <w:rPr>
          <w:rFonts w:ascii="Times New Roman" w:eastAsia="Times New Roman" w:hAnsi="Times New Roman" w:cs="Times New Roman"/>
          <w:sz w:val="24"/>
          <w:szCs w:val="24"/>
        </w:rPr>
        <w:t>Bebchuk</w:t>
      </w:r>
      <w:proofErr w:type="spellEnd"/>
      <w:r w:rsidR="00B8197C" w:rsidRPr="062454F4">
        <w:rPr>
          <w:rFonts w:ascii="Times New Roman" w:eastAsia="Times New Roman" w:hAnsi="Times New Roman" w:cs="Times New Roman"/>
          <w:sz w:val="24"/>
          <w:szCs w:val="24"/>
        </w:rPr>
        <w:t xml:space="preserve"> et al., 2011; </w:t>
      </w:r>
      <w:proofErr w:type="spellStart"/>
      <w:r w:rsidR="00B8197C" w:rsidRPr="062454F4">
        <w:rPr>
          <w:rFonts w:ascii="Times New Roman" w:eastAsia="Times New Roman" w:hAnsi="Times New Roman" w:cs="Times New Roman"/>
          <w:sz w:val="24"/>
          <w:szCs w:val="24"/>
        </w:rPr>
        <w:t>Cremers</w:t>
      </w:r>
      <w:proofErr w:type="spellEnd"/>
      <w:r w:rsidR="00B8197C" w:rsidRPr="062454F4">
        <w:rPr>
          <w:rFonts w:ascii="Times New Roman" w:eastAsia="Times New Roman" w:hAnsi="Times New Roman" w:cs="Times New Roman"/>
          <w:sz w:val="24"/>
          <w:szCs w:val="24"/>
        </w:rPr>
        <w:t xml:space="preserve"> and </w:t>
      </w:r>
      <w:proofErr w:type="spellStart"/>
      <w:r w:rsidR="00B8197C" w:rsidRPr="062454F4">
        <w:rPr>
          <w:rFonts w:ascii="Times New Roman" w:eastAsia="Times New Roman" w:hAnsi="Times New Roman" w:cs="Times New Roman"/>
          <w:sz w:val="24"/>
          <w:szCs w:val="24"/>
        </w:rPr>
        <w:t>Palia</w:t>
      </w:r>
      <w:proofErr w:type="spellEnd"/>
      <w:r w:rsidR="00B8197C" w:rsidRPr="062454F4">
        <w:rPr>
          <w:rFonts w:ascii="Times New Roman" w:eastAsia="Times New Roman" w:hAnsi="Times New Roman" w:cs="Times New Roman"/>
          <w:sz w:val="24"/>
          <w:szCs w:val="24"/>
        </w:rPr>
        <w:t>, 2011; Chen et al., 2013</w:t>
      </w:r>
      <w:r w:rsidR="00B8197C">
        <w:rPr>
          <w:rFonts w:ascii="Times New Roman" w:eastAsia="Times New Roman" w:hAnsi="Times New Roman" w:cs="Times New Roman"/>
          <w:sz w:val="24"/>
          <w:szCs w:val="24"/>
        </w:rPr>
        <w:t>)</w:t>
      </w:r>
      <w:r w:rsidR="00B8197C" w:rsidRPr="00B8344A">
        <w:rPr>
          <w:rFonts w:ascii="Times New Roman" w:hAnsi="Times New Roman" w:cs="Times New Roman"/>
          <w:sz w:val="24"/>
          <w:szCs w:val="24"/>
          <w:lang w:val="en-US"/>
        </w:rPr>
        <w:t xml:space="preserve">, we utilize </w:t>
      </w:r>
      <w:r w:rsidR="00B8197C" w:rsidRPr="00B8344A">
        <w:rPr>
          <w:rFonts w:ascii="Times New Roman" w:hAnsi="Times New Roman" w:cs="Times New Roman"/>
          <w:i/>
          <w:sz w:val="24"/>
          <w:szCs w:val="24"/>
          <w:lang w:val="en-US"/>
        </w:rPr>
        <w:t>CEO Pay Gap</w:t>
      </w:r>
      <w:r w:rsidR="00B8197C" w:rsidRPr="00B0104E">
        <w:rPr>
          <w:rFonts w:ascii="Times New Roman" w:hAnsi="Times New Roman" w:cs="Times New Roman"/>
          <w:sz w:val="24"/>
          <w:szCs w:val="24"/>
          <w:lang w:val="en-US"/>
        </w:rPr>
        <w:t xml:space="preserve"> </w:t>
      </w:r>
      <w:r w:rsidR="00B8197C" w:rsidRPr="00B8344A">
        <w:rPr>
          <w:rFonts w:ascii="Times New Roman" w:hAnsi="Times New Roman" w:cs="Times New Roman"/>
          <w:sz w:val="24"/>
          <w:szCs w:val="24"/>
          <w:lang w:val="en-US"/>
        </w:rPr>
        <w:t xml:space="preserve">to capture corporate </w:t>
      </w:r>
      <w:r w:rsidR="00B8197C" w:rsidRPr="005E2918">
        <w:rPr>
          <w:rFonts w:ascii="Times New Roman" w:hAnsi="Times New Roman" w:cs="Times New Roman"/>
          <w:sz w:val="24"/>
          <w:szCs w:val="24"/>
          <w:lang w:val="en-US"/>
        </w:rPr>
        <w:t xml:space="preserve">tournament competition within a firm. </w:t>
      </w:r>
      <w:r w:rsidR="00B8197C" w:rsidRPr="005E2918">
        <w:rPr>
          <w:rFonts w:ascii="Times New Roman" w:hAnsi="Times New Roman" w:cs="Times New Roman"/>
          <w:i/>
          <w:sz w:val="24"/>
          <w:szCs w:val="24"/>
          <w:lang w:val="en-US"/>
        </w:rPr>
        <w:t>CEO Pay Gap</w:t>
      </w:r>
      <w:r w:rsidR="00B8197C" w:rsidRPr="005E291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defined</w:t>
      </w:r>
      <w:proofErr w:type="gramEnd"/>
      <w:r>
        <w:rPr>
          <w:rFonts w:ascii="Times New Roman" w:hAnsi="Times New Roman" w:cs="Times New Roman"/>
          <w:sz w:val="24"/>
          <w:szCs w:val="24"/>
          <w:lang w:val="en-US"/>
        </w:rPr>
        <w:t xml:space="preserve"> </w:t>
      </w:r>
      <w:r w:rsidR="00B8197C" w:rsidRPr="005E2918">
        <w:rPr>
          <w:rFonts w:ascii="Times New Roman" w:hAnsi="Times New Roman" w:cs="Times New Roman"/>
          <w:sz w:val="24"/>
          <w:szCs w:val="24"/>
          <w:lang w:val="en-US"/>
        </w:rPr>
        <w:t xml:space="preserve">as the ratio of a </w:t>
      </w:r>
      <w:r w:rsidR="00B8197C" w:rsidRPr="005E2918">
        <w:rPr>
          <w:rFonts w:ascii="Times New Roman" w:eastAsia="Times New Roman" w:hAnsi="Times New Roman" w:cs="Times New Roman"/>
          <w:sz w:val="24"/>
          <w:szCs w:val="24"/>
        </w:rPr>
        <w:t xml:space="preserve">CEO’s compensation relative to the </w:t>
      </w:r>
      <w:r w:rsidRPr="005E2918">
        <w:rPr>
          <w:rFonts w:ascii="Times New Roman" w:eastAsia="Times New Roman" w:hAnsi="Times New Roman" w:cs="Times New Roman"/>
          <w:sz w:val="24"/>
          <w:szCs w:val="24"/>
        </w:rPr>
        <w:t xml:space="preserve">total </w:t>
      </w:r>
      <w:r w:rsidR="00B8197C" w:rsidRPr="005E2918">
        <w:rPr>
          <w:rFonts w:ascii="Times New Roman" w:eastAsia="Times New Roman" w:hAnsi="Times New Roman" w:cs="Times New Roman"/>
          <w:sz w:val="24"/>
          <w:szCs w:val="24"/>
        </w:rPr>
        <w:t xml:space="preserve">compensation of </w:t>
      </w:r>
      <w:r w:rsidR="00C46BFE" w:rsidRPr="005E2918">
        <w:rPr>
          <w:rFonts w:ascii="Times New Roman" w:eastAsia="Times New Roman" w:hAnsi="Times New Roman" w:cs="Times New Roman"/>
          <w:sz w:val="24"/>
          <w:szCs w:val="24"/>
        </w:rPr>
        <w:t>the top five highest paid executives</w:t>
      </w:r>
      <w:r w:rsidR="00B8197C" w:rsidRPr="005E2918">
        <w:rPr>
          <w:rFonts w:ascii="Times New Roman" w:eastAsia="Times New Roman" w:hAnsi="Times New Roman" w:cs="Times New Roman"/>
          <w:sz w:val="24"/>
          <w:szCs w:val="24"/>
        </w:rPr>
        <w:t xml:space="preserve"> within </w:t>
      </w:r>
      <w:r w:rsidR="00C46BFE" w:rsidRPr="005E2918">
        <w:rPr>
          <w:rFonts w:ascii="Times New Roman" w:eastAsia="Times New Roman" w:hAnsi="Times New Roman" w:cs="Times New Roman"/>
          <w:sz w:val="24"/>
          <w:szCs w:val="24"/>
        </w:rPr>
        <w:t>the</w:t>
      </w:r>
      <w:r w:rsidR="00B8197C" w:rsidRPr="005E2918">
        <w:rPr>
          <w:rFonts w:ascii="Times New Roman" w:eastAsia="Times New Roman" w:hAnsi="Times New Roman" w:cs="Times New Roman"/>
          <w:sz w:val="24"/>
          <w:szCs w:val="24"/>
        </w:rPr>
        <w:t xml:space="preserve"> firm. </w:t>
      </w:r>
      <w:r w:rsidR="00B8197C" w:rsidRPr="005E2918">
        <w:rPr>
          <w:rFonts w:ascii="Times New Roman" w:hAnsi="Times New Roman" w:cs="Times New Roman"/>
          <w:sz w:val="24"/>
          <w:szCs w:val="24"/>
          <w:lang w:val="en-US"/>
        </w:rPr>
        <w:t xml:space="preserve">We </w:t>
      </w:r>
      <w:r w:rsidR="00B8197C" w:rsidRPr="00B8344A">
        <w:rPr>
          <w:rFonts w:ascii="Times New Roman" w:hAnsi="Times New Roman" w:cs="Times New Roman"/>
          <w:sz w:val="24"/>
          <w:szCs w:val="24"/>
          <w:lang w:val="en-US"/>
        </w:rPr>
        <w:t xml:space="preserve">test our model’s predictions using </w:t>
      </w:r>
      <w:r w:rsidR="00B8197C">
        <w:rPr>
          <w:rFonts w:ascii="Times New Roman" w:hAnsi="Times New Roman" w:cs="Times New Roman"/>
          <w:sz w:val="24"/>
          <w:szCs w:val="24"/>
          <w:lang w:val="en-US"/>
        </w:rPr>
        <w:t>1,955</w:t>
      </w:r>
      <w:r w:rsidR="00B8197C" w:rsidRPr="00B8344A">
        <w:rPr>
          <w:rFonts w:ascii="Times New Roman" w:hAnsi="Times New Roman" w:cs="Times New Roman"/>
          <w:sz w:val="24"/>
          <w:szCs w:val="24"/>
          <w:lang w:val="en-US"/>
        </w:rPr>
        <w:t xml:space="preserve"> firms </w:t>
      </w:r>
      <w:r w:rsidR="00B8197C">
        <w:rPr>
          <w:rFonts w:ascii="Times New Roman" w:hAnsi="Times New Roman" w:cs="Times New Roman"/>
          <w:sz w:val="24"/>
          <w:szCs w:val="24"/>
          <w:lang w:val="en-US"/>
        </w:rPr>
        <w:t xml:space="preserve">(15,845 firm-year observations) </w:t>
      </w:r>
      <w:r w:rsidR="00B8197C" w:rsidRPr="00B8344A">
        <w:rPr>
          <w:rFonts w:ascii="Times New Roman" w:hAnsi="Times New Roman" w:cs="Times New Roman"/>
          <w:sz w:val="24"/>
          <w:szCs w:val="24"/>
          <w:lang w:val="en-US"/>
        </w:rPr>
        <w:t xml:space="preserve">contained within the </w:t>
      </w:r>
      <w:proofErr w:type="spellStart"/>
      <w:r w:rsidR="00B8197C" w:rsidRPr="00B8344A">
        <w:rPr>
          <w:rFonts w:ascii="Times New Roman" w:hAnsi="Times New Roman" w:cs="Times New Roman"/>
          <w:sz w:val="24"/>
          <w:szCs w:val="24"/>
          <w:lang w:val="en-US"/>
        </w:rPr>
        <w:t>ExecuComp</w:t>
      </w:r>
      <w:proofErr w:type="spellEnd"/>
      <w:r w:rsidR="00B8197C" w:rsidRPr="00B8344A">
        <w:rPr>
          <w:rFonts w:ascii="Times New Roman" w:hAnsi="Times New Roman" w:cs="Times New Roman"/>
          <w:sz w:val="24"/>
          <w:szCs w:val="24"/>
          <w:lang w:val="en-US"/>
        </w:rPr>
        <w:t xml:space="preserve"> database between 1992 and 2016. </w:t>
      </w:r>
      <w:r w:rsidR="00B8197C">
        <w:rPr>
          <w:rFonts w:ascii="Times New Roman" w:hAnsi="Times New Roman" w:cs="Times New Roman"/>
          <w:sz w:val="24"/>
          <w:szCs w:val="24"/>
          <w:lang w:val="en-US"/>
        </w:rPr>
        <w:t xml:space="preserve">We start by </w:t>
      </w:r>
      <w:r w:rsidR="000B77C3">
        <w:rPr>
          <w:rFonts w:ascii="Times New Roman" w:hAnsi="Times New Roman" w:cs="Times New Roman"/>
          <w:sz w:val="24"/>
          <w:szCs w:val="24"/>
          <w:lang w:val="en-US"/>
        </w:rPr>
        <w:t>presenting</w:t>
      </w:r>
      <w:r w:rsidR="00B8197C" w:rsidRPr="00B8344A">
        <w:rPr>
          <w:rFonts w:ascii="Times New Roman" w:hAnsi="Times New Roman" w:cs="Times New Roman"/>
          <w:sz w:val="24"/>
          <w:szCs w:val="24"/>
          <w:lang w:val="en-US"/>
        </w:rPr>
        <w:t xml:space="preserve"> univariate test</w:t>
      </w:r>
      <w:r w:rsidR="00B8197C">
        <w:rPr>
          <w:rFonts w:ascii="Times New Roman" w:hAnsi="Times New Roman" w:cs="Times New Roman"/>
          <w:sz w:val="24"/>
          <w:szCs w:val="24"/>
          <w:lang w:val="en-US"/>
        </w:rPr>
        <w:t xml:space="preserve"> results that </w:t>
      </w:r>
      <w:r w:rsidR="000B77C3">
        <w:rPr>
          <w:rFonts w:ascii="Times New Roman" w:hAnsi="Times New Roman" w:cs="Times New Roman"/>
          <w:sz w:val="24"/>
          <w:szCs w:val="24"/>
          <w:lang w:val="en-US"/>
        </w:rPr>
        <w:t>show</w:t>
      </w:r>
      <w:r w:rsidR="00B8197C" w:rsidRPr="00B8344A">
        <w:rPr>
          <w:rFonts w:ascii="Times New Roman" w:hAnsi="Times New Roman" w:cs="Times New Roman"/>
          <w:sz w:val="24"/>
          <w:szCs w:val="24"/>
          <w:lang w:val="en-US"/>
        </w:rPr>
        <w:t xml:space="preserve"> firms</w:t>
      </w:r>
      <w:r w:rsidR="00B8197C">
        <w:rPr>
          <w:rFonts w:ascii="Times New Roman" w:hAnsi="Times New Roman" w:cs="Times New Roman"/>
          <w:sz w:val="24"/>
          <w:szCs w:val="24"/>
          <w:lang w:val="en-US"/>
        </w:rPr>
        <w:t xml:space="preserve"> </w:t>
      </w:r>
      <w:r w:rsidR="006D69AD">
        <w:rPr>
          <w:rFonts w:ascii="Times New Roman" w:hAnsi="Times New Roman" w:cs="Times New Roman"/>
          <w:sz w:val="24"/>
          <w:szCs w:val="24"/>
          <w:lang w:val="en-US"/>
        </w:rPr>
        <w:t>whose</w:t>
      </w:r>
      <w:r w:rsidR="000B77C3">
        <w:rPr>
          <w:rFonts w:ascii="Times New Roman" w:hAnsi="Times New Roman" w:cs="Times New Roman"/>
          <w:sz w:val="24"/>
          <w:szCs w:val="24"/>
          <w:lang w:val="en-US"/>
        </w:rPr>
        <w:t xml:space="preserve"> </w:t>
      </w:r>
      <w:r w:rsidR="00B8197C" w:rsidRPr="00C0132A">
        <w:rPr>
          <w:rFonts w:ascii="Times New Roman" w:hAnsi="Times New Roman" w:cs="Times New Roman"/>
          <w:i/>
          <w:sz w:val="24"/>
          <w:szCs w:val="24"/>
          <w:lang w:val="en-US"/>
        </w:rPr>
        <w:t>CEO Pay Gap</w:t>
      </w:r>
      <w:r w:rsidR="00B8197C">
        <w:rPr>
          <w:rFonts w:ascii="Times New Roman" w:hAnsi="Times New Roman" w:cs="Times New Roman"/>
          <w:sz w:val="24"/>
          <w:szCs w:val="24"/>
          <w:lang w:val="en-US"/>
        </w:rPr>
        <w:t xml:space="preserve"> </w:t>
      </w:r>
      <w:r w:rsidR="006D69AD">
        <w:rPr>
          <w:rFonts w:ascii="Times New Roman" w:hAnsi="Times New Roman" w:cs="Times New Roman"/>
          <w:sz w:val="24"/>
          <w:szCs w:val="24"/>
          <w:lang w:val="en-US"/>
        </w:rPr>
        <w:t xml:space="preserve">is </w:t>
      </w:r>
      <w:r w:rsidR="00B8197C">
        <w:rPr>
          <w:rFonts w:ascii="Times New Roman" w:hAnsi="Times New Roman" w:cs="Times New Roman"/>
          <w:sz w:val="24"/>
          <w:szCs w:val="24"/>
          <w:lang w:val="en-US"/>
        </w:rPr>
        <w:t>in the lowest quintile</w:t>
      </w:r>
      <w:r w:rsidR="00B8197C" w:rsidRPr="00B8344A">
        <w:rPr>
          <w:rFonts w:ascii="Times New Roman" w:hAnsi="Times New Roman" w:cs="Times New Roman"/>
          <w:sz w:val="24"/>
          <w:szCs w:val="24"/>
          <w:lang w:val="en-US"/>
        </w:rPr>
        <w:t xml:space="preserve"> </w:t>
      </w:r>
      <w:r w:rsidR="006D69AD">
        <w:rPr>
          <w:rFonts w:ascii="Times New Roman" w:hAnsi="Times New Roman" w:cs="Times New Roman"/>
          <w:sz w:val="24"/>
          <w:szCs w:val="24"/>
          <w:lang w:val="en-US"/>
        </w:rPr>
        <w:t xml:space="preserve">of our sample </w:t>
      </w:r>
      <w:r w:rsidR="00B8197C">
        <w:rPr>
          <w:rFonts w:ascii="Times New Roman" w:hAnsi="Times New Roman" w:cs="Times New Roman"/>
          <w:sz w:val="24"/>
          <w:szCs w:val="24"/>
          <w:lang w:val="en-US"/>
        </w:rPr>
        <w:t>have, on average, 6.1% less</w:t>
      </w:r>
      <w:r w:rsidR="00B8197C" w:rsidRPr="00B8344A">
        <w:rPr>
          <w:rFonts w:ascii="Times New Roman" w:hAnsi="Times New Roman" w:cs="Times New Roman"/>
          <w:sz w:val="24"/>
          <w:szCs w:val="24"/>
          <w:lang w:val="en-US"/>
        </w:rPr>
        <w:t xml:space="preserve"> institutional </w:t>
      </w:r>
      <w:r w:rsidR="00B8197C">
        <w:rPr>
          <w:rFonts w:ascii="Times New Roman" w:hAnsi="Times New Roman" w:cs="Times New Roman"/>
          <w:sz w:val="24"/>
          <w:szCs w:val="24"/>
          <w:lang w:val="en-US"/>
        </w:rPr>
        <w:t>holdings</w:t>
      </w:r>
      <w:r w:rsidR="00B8197C" w:rsidRPr="00B8344A">
        <w:rPr>
          <w:rFonts w:ascii="Times New Roman" w:hAnsi="Times New Roman" w:cs="Times New Roman"/>
          <w:sz w:val="24"/>
          <w:szCs w:val="24"/>
          <w:lang w:val="en-US"/>
        </w:rPr>
        <w:t xml:space="preserve"> </w:t>
      </w:r>
      <w:r w:rsidR="00B8197C">
        <w:rPr>
          <w:rFonts w:ascii="Times New Roman" w:hAnsi="Times New Roman" w:cs="Times New Roman"/>
          <w:sz w:val="24"/>
          <w:szCs w:val="24"/>
          <w:lang w:val="en-US"/>
        </w:rPr>
        <w:t xml:space="preserve">than firms in the </w:t>
      </w:r>
      <w:r w:rsidR="00B8197C" w:rsidRPr="00B8344A">
        <w:rPr>
          <w:rFonts w:ascii="Times New Roman" w:hAnsi="Times New Roman" w:cs="Times New Roman"/>
          <w:sz w:val="24"/>
          <w:szCs w:val="24"/>
          <w:lang w:val="en-US"/>
        </w:rPr>
        <w:t>highest quintile</w:t>
      </w:r>
      <w:r w:rsidR="00B8197C">
        <w:rPr>
          <w:rFonts w:ascii="Times New Roman" w:hAnsi="Times New Roman" w:cs="Times New Roman"/>
          <w:sz w:val="24"/>
          <w:szCs w:val="24"/>
          <w:lang w:val="en-US"/>
        </w:rPr>
        <w:t>.</w:t>
      </w:r>
      <w:r w:rsidR="00B8197C" w:rsidRPr="00B8344A">
        <w:rPr>
          <w:rFonts w:ascii="Times New Roman" w:hAnsi="Times New Roman" w:cs="Times New Roman"/>
          <w:sz w:val="24"/>
          <w:szCs w:val="24"/>
          <w:lang w:val="en-US"/>
        </w:rPr>
        <w:t xml:space="preserve"> </w:t>
      </w:r>
      <w:r w:rsidR="00B8197C">
        <w:rPr>
          <w:rFonts w:ascii="Times New Roman" w:hAnsi="Times New Roman" w:cs="Times New Roman"/>
          <w:sz w:val="24"/>
          <w:szCs w:val="24"/>
          <w:lang w:val="en-US"/>
        </w:rPr>
        <w:t xml:space="preserve">We then examine the relationship between </w:t>
      </w:r>
      <w:r w:rsidR="00B8197C" w:rsidRPr="00320E52">
        <w:rPr>
          <w:rFonts w:ascii="Times New Roman" w:hAnsi="Times New Roman" w:cs="Times New Roman"/>
          <w:i/>
          <w:sz w:val="24"/>
          <w:szCs w:val="24"/>
          <w:lang w:val="en-US"/>
        </w:rPr>
        <w:t>CEO Pay Gap</w:t>
      </w:r>
      <w:r w:rsidR="00B8197C">
        <w:rPr>
          <w:rFonts w:ascii="Times New Roman" w:hAnsi="Times New Roman" w:cs="Times New Roman"/>
          <w:sz w:val="24"/>
          <w:szCs w:val="24"/>
          <w:lang w:val="en-US"/>
        </w:rPr>
        <w:t xml:space="preserve"> and institutional holdings in a multivariate panel regression setting</w:t>
      </w:r>
      <w:r w:rsidR="000B77C3">
        <w:rPr>
          <w:rFonts w:ascii="Times New Roman" w:hAnsi="Times New Roman" w:cs="Times New Roman"/>
          <w:sz w:val="24"/>
          <w:szCs w:val="24"/>
          <w:lang w:val="en-US"/>
        </w:rPr>
        <w:t>,</w:t>
      </w:r>
      <w:r w:rsidR="00B8197C">
        <w:rPr>
          <w:rFonts w:ascii="Times New Roman" w:hAnsi="Times New Roman" w:cs="Times New Roman"/>
          <w:sz w:val="24"/>
          <w:szCs w:val="24"/>
          <w:lang w:val="en-US"/>
        </w:rPr>
        <w:t xml:space="preserve"> and find that an</w:t>
      </w:r>
      <w:r w:rsidR="00B8197C" w:rsidRPr="00B8344A">
        <w:rPr>
          <w:rFonts w:ascii="Times New Roman" w:hAnsi="Times New Roman" w:cs="Times New Roman"/>
          <w:sz w:val="24"/>
          <w:szCs w:val="24"/>
          <w:lang w:val="en-US"/>
        </w:rPr>
        <w:t xml:space="preserve"> increase in </w:t>
      </w:r>
      <w:r w:rsidR="00B8197C" w:rsidRPr="00C0132A">
        <w:rPr>
          <w:rFonts w:ascii="Times New Roman" w:hAnsi="Times New Roman" w:cs="Times New Roman"/>
          <w:i/>
          <w:sz w:val="24"/>
          <w:szCs w:val="24"/>
          <w:lang w:val="en-US"/>
        </w:rPr>
        <w:t>CEO Pay Gap</w:t>
      </w:r>
      <w:r w:rsidR="00B8197C" w:rsidRPr="00B8344A">
        <w:rPr>
          <w:rFonts w:ascii="Times New Roman" w:hAnsi="Times New Roman" w:cs="Times New Roman"/>
          <w:sz w:val="24"/>
          <w:szCs w:val="24"/>
          <w:lang w:val="en-US"/>
        </w:rPr>
        <w:t xml:space="preserve"> from the lowest quintile to the highest quintile results in a </w:t>
      </w:r>
      <w:r w:rsidR="006D0E0B">
        <w:rPr>
          <w:rFonts w:ascii="Times New Roman" w:hAnsi="Times New Roman" w:cs="Times New Roman"/>
          <w:sz w:val="24"/>
          <w:szCs w:val="24"/>
          <w:lang w:val="en-US"/>
        </w:rPr>
        <w:t xml:space="preserve">proportional </w:t>
      </w:r>
      <w:r w:rsidR="00B8197C">
        <w:rPr>
          <w:rFonts w:ascii="Times New Roman" w:hAnsi="Times New Roman" w:cs="Times New Roman"/>
          <w:sz w:val="24"/>
          <w:szCs w:val="24"/>
          <w:lang w:val="en-US"/>
        </w:rPr>
        <w:t>rise</w:t>
      </w:r>
      <w:r w:rsidR="00B8197C" w:rsidRPr="00B8344A">
        <w:rPr>
          <w:rFonts w:ascii="Times New Roman" w:hAnsi="Times New Roman" w:cs="Times New Roman"/>
          <w:sz w:val="24"/>
          <w:szCs w:val="24"/>
          <w:lang w:val="en-US"/>
        </w:rPr>
        <w:t xml:space="preserve"> in institutional ownership</w:t>
      </w:r>
      <w:r w:rsidR="00B8197C">
        <w:rPr>
          <w:rFonts w:ascii="Times New Roman" w:hAnsi="Times New Roman" w:cs="Times New Roman"/>
          <w:sz w:val="24"/>
          <w:szCs w:val="24"/>
          <w:lang w:val="en-US"/>
        </w:rPr>
        <w:t xml:space="preserve"> of </w:t>
      </w:r>
      <w:r w:rsidR="00B8197C" w:rsidRPr="00B8344A">
        <w:rPr>
          <w:rFonts w:ascii="Times New Roman" w:hAnsi="Times New Roman" w:cs="Times New Roman"/>
          <w:sz w:val="24"/>
          <w:szCs w:val="24"/>
          <w:lang w:val="en-US"/>
        </w:rPr>
        <w:t>5.6</w:t>
      </w:r>
      <w:r w:rsidR="00B8197C">
        <w:rPr>
          <w:rFonts w:ascii="Times New Roman" w:hAnsi="Times New Roman" w:cs="Times New Roman"/>
          <w:sz w:val="24"/>
          <w:szCs w:val="24"/>
          <w:lang w:val="en-US"/>
        </w:rPr>
        <w:t>%</w:t>
      </w:r>
      <w:r w:rsidR="00B8197C" w:rsidRPr="00B8344A">
        <w:rPr>
          <w:rFonts w:ascii="Times New Roman" w:hAnsi="Times New Roman" w:cs="Times New Roman"/>
          <w:sz w:val="24"/>
          <w:szCs w:val="24"/>
          <w:lang w:val="en-US"/>
        </w:rPr>
        <w:t xml:space="preserve">. Given that institutional investors </w:t>
      </w:r>
      <w:r w:rsidR="00B8197C">
        <w:rPr>
          <w:rFonts w:ascii="Times New Roman" w:hAnsi="Times New Roman" w:cs="Times New Roman"/>
          <w:sz w:val="24"/>
          <w:szCs w:val="24"/>
          <w:lang w:val="en-US"/>
        </w:rPr>
        <w:t xml:space="preserve">in our sample </w:t>
      </w:r>
      <w:r w:rsidR="00B8197C" w:rsidRPr="00B8344A">
        <w:rPr>
          <w:rFonts w:ascii="Times New Roman" w:hAnsi="Times New Roman" w:cs="Times New Roman"/>
          <w:sz w:val="24"/>
          <w:szCs w:val="24"/>
          <w:lang w:val="en-US"/>
        </w:rPr>
        <w:t>invest</w:t>
      </w:r>
      <w:r w:rsidR="000B77C3">
        <w:rPr>
          <w:rFonts w:ascii="Times New Roman" w:hAnsi="Times New Roman" w:cs="Times New Roman"/>
          <w:sz w:val="24"/>
          <w:szCs w:val="24"/>
          <w:lang w:val="en-US"/>
        </w:rPr>
        <w:t xml:space="preserve"> an average of </w:t>
      </w:r>
      <w:r w:rsidR="00B8197C" w:rsidRPr="00B8344A">
        <w:rPr>
          <w:rFonts w:ascii="Times New Roman" w:hAnsi="Times New Roman" w:cs="Times New Roman"/>
          <w:sz w:val="24"/>
          <w:szCs w:val="24"/>
          <w:lang w:val="en-US"/>
        </w:rPr>
        <w:t>$5.67 billion</w:t>
      </w:r>
      <w:r w:rsidR="000B77C3">
        <w:rPr>
          <w:rFonts w:ascii="Times New Roman" w:hAnsi="Times New Roman" w:cs="Times New Roman"/>
          <w:sz w:val="24"/>
          <w:szCs w:val="24"/>
          <w:lang w:val="en-US"/>
        </w:rPr>
        <w:t xml:space="preserve"> </w:t>
      </w:r>
      <w:r w:rsidR="00B8197C" w:rsidRPr="00B8344A">
        <w:rPr>
          <w:rFonts w:ascii="Times New Roman" w:hAnsi="Times New Roman" w:cs="Times New Roman"/>
          <w:sz w:val="24"/>
          <w:szCs w:val="24"/>
          <w:lang w:val="en-US"/>
        </w:rPr>
        <w:t xml:space="preserve">per firm, </w:t>
      </w:r>
      <w:r w:rsidR="00B8197C">
        <w:rPr>
          <w:rFonts w:ascii="Times New Roman" w:hAnsi="Times New Roman" w:cs="Times New Roman"/>
          <w:sz w:val="24"/>
          <w:szCs w:val="24"/>
          <w:lang w:val="en-US"/>
        </w:rPr>
        <w:t xml:space="preserve">a </w:t>
      </w:r>
      <w:r w:rsidR="00B8197C" w:rsidRPr="00B8344A">
        <w:rPr>
          <w:rFonts w:ascii="Times New Roman" w:hAnsi="Times New Roman" w:cs="Times New Roman"/>
          <w:sz w:val="24"/>
          <w:szCs w:val="24"/>
          <w:lang w:val="en-US"/>
        </w:rPr>
        <w:t>5.6</w:t>
      </w:r>
      <w:r w:rsidR="00B8197C">
        <w:rPr>
          <w:rFonts w:ascii="Times New Roman" w:hAnsi="Times New Roman" w:cs="Times New Roman"/>
          <w:sz w:val="24"/>
          <w:szCs w:val="24"/>
          <w:lang w:val="en-US"/>
        </w:rPr>
        <w:t>%</w:t>
      </w:r>
      <w:r w:rsidR="00B8197C" w:rsidRPr="00B8344A">
        <w:rPr>
          <w:rFonts w:ascii="Times New Roman" w:hAnsi="Times New Roman" w:cs="Times New Roman"/>
          <w:sz w:val="24"/>
          <w:szCs w:val="24"/>
          <w:lang w:val="en-US"/>
        </w:rPr>
        <w:t xml:space="preserve"> </w:t>
      </w:r>
      <w:r w:rsidR="000B77C3">
        <w:rPr>
          <w:rFonts w:ascii="Times New Roman" w:hAnsi="Times New Roman" w:cs="Times New Roman"/>
          <w:sz w:val="24"/>
          <w:szCs w:val="24"/>
          <w:lang w:val="en-US"/>
        </w:rPr>
        <w:t xml:space="preserve">increase </w:t>
      </w:r>
      <w:r w:rsidR="00B8197C" w:rsidRPr="00B8344A">
        <w:rPr>
          <w:rFonts w:ascii="Times New Roman" w:hAnsi="Times New Roman" w:cs="Times New Roman"/>
          <w:sz w:val="24"/>
          <w:szCs w:val="24"/>
          <w:lang w:val="en-US"/>
        </w:rPr>
        <w:t xml:space="preserve">is equivalent to an additional $318 million investment. </w:t>
      </w:r>
    </w:p>
    <w:p w14:paraId="3B6CD135" w14:textId="728E6B47" w:rsidR="00B8197C" w:rsidRPr="00B8344A" w:rsidRDefault="00B44AEB">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also show that our baseline results are robust to </w:t>
      </w:r>
      <w:r w:rsidR="000B77C3">
        <w:rPr>
          <w:rFonts w:ascii="Times New Roman" w:hAnsi="Times New Roman" w:cs="Times New Roman"/>
          <w:sz w:val="24"/>
          <w:szCs w:val="24"/>
          <w:lang w:val="en-US"/>
        </w:rPr>
        <w:t xml:space="preserve">various </w:t>
      </w:r>
      <w:proofErr w:type="spellStart"/>
      <w:r w:rsidR="00B8197C">
        <w:rPr>
          <w:rFonts w:ascii="Times New Roman" w:hAnsi="Times New Roman" w:cs="Times New Roman"/>
          <w:sz w:val="24"/>
          <w:szCs w:val="24"/>
          <w:lang w:val="en-US"/>
        </w:rPr>
        <w:t>endogeneity</w:t>
      </w:r>
      <w:proofErr w:type="spellEnd"/>
      <w:r w:rsidR="00B8197C">
        <w:rPr>
          <w:rFonts w:ascii="Times New Roman" w:hAnsi="Times New Roman" w:cs="Times New Roman"/>
          <w:sz w:val="24"/>
          <w:szCs w:val="24"/>
          <w:lang w:val="en-US"/>
        </w:rPr>
        <w:t xml:space="preserve"> concerns</w:t>
      </w:r>
      <w:r w:rsidR="00294277">
        <w:rPr>
          <w:rFonts w:ascii="Times New Roman" w:hAnsi="Times New Roman" w:cs="Times New Roman"/>
          <w:sz w:val="24"/>
          <w:szCs w:val="24"/>
          <w:lang w:val="en-US"/>
        </w:rPr>
        <w:t>.</w:t>
      </w:r>
      <w:r w:rsidR="00B8197C">
        <w:rPr>
          <w:rFonts w:ascii="Times New Roman" w:hAnsi="Times New Roman" w:cs="Times New Roman"/>
          <w:sz w:val="24"/>
          <w:szCs w:val="24"/>
          <w:lang w:val="en-US"/>
        </w:rPr>
        <w:t xml:space="preserve"> W</w:t>
      </w:r>
      <w:r w:rsidR="00B8197C" w:rsidRPr="00B8344A">
        <w:rPr>
          <w:rFonts w:ascii="Times New Roman" w:hAnsi="Times New Roman" w:cs="Times New Roman"/>
          <w:sz w:val="24"/>
          <w:szCs w:val="24"/>
          <w:lang w:val="en-US"/>
        </w:rPr>
        <w:t xml:space="preserve">e employ 2-stage least squares (2SLS) </w:t>
      </w:r>
      <w:r w:rsidR="00B8197C">
        <w:rPr>
          <w:rFonts w:ascii="Times New Roman" w:hAnsi="Times New Roman" w:cs="Times New Roman"/>
          <w:sz w:val="24"/>
          <w:szCs w:val="24"/>
          <w:lang w:val="en-US"/>
        </w:rPr>
        <w:t xml:space="preserve">to deal with this, </w:t>
      </w:r>
      <w:r w:rsidR="00B8197C" w:rsidRPr="00B8344A">
        <w:rPr>
          <w:rFonts w:ascii="Times New Roman" w:hAnsi="Times New Roman" w:cs="Times New Roman"/>
          <w:sz w:val="24"/>
          <w:szCs w:val="24"/>
          <w:lang w:val="en-US"/>
        </w:rPr>
        <w:t>using instrumental variables</w:t>
      </w:r>
      <w:r w:rsidR="00B8197C">
        <w:rPr>
          <w:rFonts w:ascii="Times New Roman" w:hAnsi="Times New Roman" w:cs="Times New Roman"/>
          <w:sz w:val="24"/>
          <w:szCs w:val="24"/>
          <w:lang w:val="en-US"/>
        </w:rPr>
        <w:t xml:space="preserve"> (IV)</w:t>
      </w:r>
      <w:r w:rsidR="00B8197C" w:rsidRPr="00B8344A">
        <w:rPr>
          <w:rFonts w:ascii="Times New Roman" w:hAnsi="Times New Roman" w:cs="Times New Roman"/>
          <w:sz w:val="24"/>
          <w:szCs w:val="24"/>
          <w:lang w:val="en-US"/>
        </w:rPr>
        <w:t xml:space="preserve"> that are correlated to corporate tournament measures but unlikely to be </w:t>
      </w:r>
      <w:r w:rsidR="00B8197C">
        <w:rPr>
          <w:rFonts w:ascii="Times New Roman" w:hAnsi="Times New Roman" w:cs="Times New Roman"/>
          <w:sz w:val="24"/>
          <w:szCs w:val="24"/>
          <w:lang w:val="en-US"/>
        </w:rPr>
        <w:t>associated with the residuals in the second stage regressions</w:t>
      </w:r>
      <w:r w:rsidR="00B8197C" w:rsidRPr="00B8344A">
        <w:rPr>
          <w:rFonts w:ascii="Times New Roman" w:hAnsi="Times New Roman" w:cs="Times New Roman"/>
          <w:sz w:val="24"/>
          <w:szCs w:val="24"/>
          <w:lang w:val="en-US"/>
        </w:rPr>
        <w:t xml:space="preserve">. </w:t>
      </w:r>
      <w:r w:rsidR="00B8197C">
        <w:rPr>
          <w:rFonts w:ascii="Times New Roman" w:hAnsi="Times New Roman" w:cs="Times New Roman"/>
          <w:sz w:val="24"/>
          <w:szCs w:val="24"/>
          <w:lang w:val="en-US"/>
        </w:rPr>
        <w:t xml:space="preserve">For robustness, we use two different types of IVs in separate 2SLS </w:t>
      </w:r>
      <w:r w:rsidR="00B8197C" w:rsidRPr="00A90082">
        <w:rPr>
          <w:rFonts w:ascii="Times New Roman" w:hAnsi="Times New Roman" w:cs="Times New Roman"/>
          <w:sz w:val="24"/>
          <w:szCs w:val="24"/>
          <w:lang w:val="en-US"/>
        </w:rPr>
        <w:t xml:space="preserve">regressions. </w:t>
      </w:r>
      <w:proofErr w:type="gramStart"/>
      <w:r w:rsidR="00B8197C" w:rsidRPr="00A90082">
        <w:rPr>
          <w:rFonts w:ascii="Times New Roman" w:hAnsi="Times New Roman" w:cs="Times New Roman"/>
          <w:sz w:val="24"/>
          <w:szCs w:val="24"/>
          <w:lang w:val="en-US"/>
        </w:rPr>
        <w:t xml:space="preserve">The first </w:t>
      </w:r>
      <w:r w:rsidR="000B77C3">
        <w:rPr>
          <w:rFonts w:ascii="Times New Roman" w:hAnsi="Times New Roman" w:cs="Times New Roman"/>
          <w:sz w:val="24"/>
          <w:szCs w:val="24"/>
          <w:lang w:val="en-US"/>
        </w:rPr>
        <w:t xml:space="preserve">IV </w:t>
      </w:r>
      <w:r w:rsidR="00B8197C" w:rsidRPr="00A90082">
        <w:rPr>
          <w:rFonts w:ascii="Times New Roman" w:hAnsi="Times New Roman" w:cs="Times New Roman"/>
          <w:sz w:val="24"/>
          <w:szCs w:val="24"/>
          <w:lang w:val="en-US"/>
        </w:rPr>
        <w:t>is an industry</w:t>
      </w:r>
      <w:r w:rsidR="005874DF">
        <w:rPr>
          <w:rFonts w:ascii="Times New Roman" w:hAnsi="Times New Roman" w:cs="Times New Roman"/>
          <w:sz w:val="24"/>
          <w:szCs w:val="24"/>
          <w:lang w:val="en-US"/>
        </w:rPr>
        <w:t>-</w:t>
      </w:r>
      <w:r w:rsidR="00B8197C" w:rsidRPr="00A90082">
        <w:rPr>
          <w:rFonts w:ascii="Times New Roman" w:hAnsi="Times New Roman" w:cs="Times New Roman"/>
          <w:sz w:val="24"/>
          <w:szCs w:val="24"/>
          <w:lang w:val="en-US"/>
        </w:rPr>
        <w:t xml:space="preserve">median CEO pay gap IV that has been </w:t>
      </w:r>
      <w:r w:rsidR="000B77C3">
        <w:rPr>
          <w:rFonts w:ascii="Times New Roman" w:hAnsi="Times New Roman" w:cs="Times New Roman"/>
          <w:sz w:val="24"/>
          <w:szCs w:val="24"/>
          <w:lang w:val="en-US"/>
        </w:rPr>
        <w:t xml:space="preserve">used </w:t>
      </w:r>
      <w:r w:rsidR="00B8197C" w:rsidRPr="00A90082">
        <w:rPr>
          <w:rFonts w:ascii="Times New Roman" w:hAnsi="Times New Roman" w:cs="Times New Roman"/>
          <w:sz w:val="24"/>
          <w:szCs w:val="24"/>
          <w:lang w:val="en-US"/>
        </w:rPr>
        <w:t xml:space="preserve">in the </w:t>
      </w:r>
      <w:r w:rsidR="000B77C3">
        <w:rPr>
          <w:rFonts w:ascii="Times New Roman" w:hAnsi="Times New Roman" w:cs="Times New Roman"/>
          <w:sz w:val="24"/>
          <w:szCs w:val="24"/>
          <w:lang w:val="en-US"/>
        </w:rPr>
        <w:t xml:space="preserve">related </w:t>
      </w:r>
      <w:r w:rsidR="00B8197C" w:rsidRPr="00A90082">
        <w:rPr>
          <w:rFonts w:ascii="Times New Roman" w:hAnsi="Times New Roman" w:cs="Times New Roman"/>
          <w:sz w:val="24"/>
          <w:szCs w:val="24"/>
          <w:lang w:val="en-US"/>
        </w:rPr>
        <w:t>literature (</w:t>
      </w:r>
      <w:r w:rsidR="00B8197C" w:rsidRPr="00A90082">
        <w:rPr>
          <w:rFonts w:ascii="Times New Roman" w:eastAsia="Times New Roman" w:hAnsi="Times New Roman" w:cs="Times New Roman"/>
          <w:sz w:val="24"/>
          <w:szCs w:val="24"/>
        </w:rPr>
        <w:t xml:space="preserve">Kale, </w:t>
      </w:r>
      <w:r w:rsidR="00B8197C" w:rsidRPr="00A90082">
        <w:rPr>
          <w:rFonts w:ascii="Times New Roman" w:eastAsia="Times New Roman" w:hAnsi="Times New Roman" w:cs="Times New Roman"/>
          <w:noProof/>
          <w:sz w:val="24"/>
          <w:szCs w:val="24"/>
        </w:rPr>
        <w:t>Reis,</w:t>
      </w:r>
      <w:r w:rsidR="00B8197C" w:rsidRPr="00A90082">
        <w:rPr>
          <w:rFonts w:ascii="Times New Roman" w:eastAsia="Times New Roman" w:hAnsi="Times New Roman" w:cs="Times New Roman"/>
          <w:sz w:val="24"/>
          <w:szCs w:val="24"/>
        </w:rPr>
        <w:t xml:space="preserve"> and </w:t>
      </w:r>
      <w:proofErr w:type="spellStart"/>
      <w:r w:rsidR="00B8197C" w:rsidRPr="00A90082">
        <w:rPr>
          <w:rFonts w:ascii="Times New Roman" w:eastAsia="Times New Roman" w:hAnsi="Times New Roman" w:cs="Times New Roman"/>
          <w:sz w:val="24"/>
          <w:szCs w:val="24"/>
        </w:rPr>
        <w:t>Venkateswaran</w:t>
      </w:r>
      <w:proofErr w:type="spellEnd"/>
      <w:r w:rsidR="00B8197C" w:rsidRPr="00A90082">
        <w:rPr>
          <w:rFonts w:ascii="Times New Roman" w:eastAsia="Times New Roman" w:hAnsi="Times New Roman" w:cs="Times New Roman"/>
          <w:sz w:val="24"/>
          <w:szCs w:val="24"/>
        </w:rPr>
        <w:t xml:space="preserve">, 2009; </w:t>
      </w:r>
      <w:r w:rsidR="00B8197C" w:rsidRPr="00A90082">
        <w:rPr>
          <w:rFonts w:ascii="Times New Roman" w:hAnsi="Times New Roman" w:cs="Times New Roman"/>
          <w:sz w:val="24"/>
          <w:szCs w:val="24"/>
        </w:rPr>
        <w:t>Shen and Zhang, 2018</w:t>
      </w:r>
      <w:r w:rsidR="00B8197C" w:rsidRPr="00A90082">
        <w:rPr>
          <w:rFonts w:ascii="Times New Roman" w:hAnsi="Times New Roman" w:cs="Times New Roman"/>
          <w:sz w:val="24"/>
          <w:szCs w:val="24"/>
          <w:lang w:val="en-US"/>
        </w:rPr>
        <w:t>)</w:t>
      </w:r>
      <w:r w:rsidR="00D32682">
        <w:rPr>
          <w:rFonts w:ascii="Times New Roman" w:hAnsi="Times New Roman" w:cs="Times New Roman"/>
          <w:sz w:val="24"/>
          <w:szCs w:val="24"/>
          <w:lang w:val="en-US"/>
        </w:rPr>
        <w:t xml:space="preserve">, and the </w:t>
      </w:r>
      <w:r w:rsidR="00B8197C" w:rsidRPr="00E76DDA">
        <w:rPr>
          <w:rFonts w:ascii="Times New Roman" w:hAnsi="Times New Roman" w:cs="Times New Roman"/>
          <w:sz w:val="24"/>
          <w:szCs w:val="24"/>
          <w:lang w:val="en-US"/>
        </w:rPr>
        <w:t xml:space="preserve">second </w:t>
      </w:r>
      <w:r w:rsidR="000B77C3">
        <w:rPr>
          <w:rFonts w:ascii="Times New Roman" w:hAnsi="Times New Roman" w:cs="Times New Roman"/>
          <w:sz w:val="24"/>
          <w:szCs w:val="24"/>
          <w:lang w:val="en-US"/>
        </w:rPr>
        <w:t xml:space="preserve">IV </w:t>
      </w:r>
      <w:r w:rsidR="00B8197C" w:rsidRPr="00E76DDA">
        <w:rPr>
          <w:rFonts w:ascii="Times New Roman" w:hAnsi="Times New Roman" w:cs="Times New Roman"/>
          <w:sz w:val="24"/>
          <w:szCs w:val="24"/>
          <w:lang w:val="en-US"/>
        </w:rPr>
        <w:t xml:space="preserve">is a </w:t>
      </w:r>
      <w:r w:rsidR="00B83FB6">
        <w:rPr>
          <w:rFonts w:ascii="Times New Roman" w:hAnsi="Times New Roman" w:cs="Times New Roman"/>
          <w:sz w:val="24"/>
          <w:szCs w:val="24"/>
          <w:lang w:val="en-US"/>
        </w:rPr>
        <w:t>geographical</w:t>
      </w:r>
      <w:r w:rsidR="00B8197C" w:rsidRPr="00E76DDA">
        <w:rPr>
          <w:rFonts w:ascii="Times New Roman" w:hAnsi="Times New Roman" w:cs="Times New Roman"/>
          <w:sz w:val="24"/>
          <w:szCs w:val="24"/>
          <w:lang w:val="en-US"/>
        </w:rPr>
        <w:t xml:space="preserve"> </w:t>
      </w:r>
      <w:r w:rsidR="00FF3F64">
        <w:rPr>
          <w:rFonts w:ascii="Times New Roman" w:hAnsi="Times New Roman" w:cs="Times New Roman"/>
          <w:sz w:val="24"/>
          <w:szCs w:val="24"/>
          <w:lang w:val="en-US"/>
        </w:rPr>
        <w:t xml:space="preserve">measure that is based on capturing the </w:t>
      </w:r>
      <w:r w:rsidR="00B8197C" w:rsidRPr="004952C3">
        <w:rPr>
          <w:rFonts w:ascii="Times New Roman" w:hAnsi="Times New Roman" w:cs="Times New Roman"/>
          <w:sz w:val="24"/>
          <w:szCs w:val="24"/>
          <w:lang w:val="en-US"/>
        </w:rPr>
        <w:t xml:space="preserve">median </w:t>
      </w:r>
      <w:r w:rsidR="00B8197C" w:rsidRPr="00FF3F64">
        <w:rPr>
          <w:rFonts w:ascii="Times New Roman" w:hAnsi="Times New Roman" w:cs="Times New Roman"/>
          <w:sz w:val="24"/>
          <w:szCs w:val="24"/>
          <w:lang w:val="en-US"/>
        </w:rPr>
        <w:t>CEO Pay Gap</w:t>
      </w:r>
      <w:r w:rsidR="00B8197C" w:rsidRPr="004952C3">
        <w:rPr>
          <w:rFonts w:ascii="Times New Roman" w:hAnsi="Times New Roman" w:cs="Times New Roman"/>
          <w:sz w:val="24"/>
          <w:szCs w:val="24"/>
          <w:lang w:val="en-US"/>
        </w:rPr>
        <w:t xml:space="preserve"> of peer f</w:t>
      </w:r>
      <w:r w:rsidR="00B8197C" w:rsidRPr="00E76DDA">
        <w:rPr>
          <w:rFonts w:ascii="Times New Roman" w:hAnsi="Times New Roman" w:cs="Times New Roman"/>
          <w:sz w:val="24"/>
          <w:szCs w:val="24"/>
          <w:lang w:val="en-US"/>
        </w:rPr>
        <w:t>irms within the same state as that of the focus firm</w:t>
      </w:r>
      <w:r w:rsidR="000B77C3">
        <w:rPr>
          <w:rFonts w:ascii="Times New Roman" w:hAnsi="Times New Roman" w:cs="Times New Roman"/>
          <w:sz w:val="24"/>
          <w:szCs w:val="24"/>
          <w:lang w:val="en-US"/>
        </w:rPr>
        <w:t>,</w:t>
      </w:r>
      <w:r w:rsidR="00B8197C" w:rsidRPr="00E76DDA">
        <w:rPr>
          <w:rFonts w:ascii="Times New Roman" w:hAnsi="Times New Roman" w:cs="Times New Roman"/>
          <w:sz w:val="24"/>
          <w:szCs w:val="24"/>
          <w:lang w:val="en-US"/>
        </w:rPr>
        <w:t xml:space="preserve"> but not in the same 2</w:t>
      </w:r>
      <w:r w:rsidR="00B8197C">
        <w:rPr>
          <w:rFonts w:ascii="Times New Roman" w:hAnsi="Times New Roman" w:cs="Times New Roman"/>
          <w:sz w:val="24"/>
          <w:szCs w:val="24"/>
          <w:lang w:val="en-US"/>
        </w:rPr>
        <w:t>-</w:t>
      </w:r>
      <w:r w:rsidR="00B8197C" w:rsidRPr="00E76DDA">
        <w:rPr>
          <w:rFonts w:ascii="Times New Roman" w:hAnsi="Times New Roman" w:cs="Times New Roman"/>
          <w:sz w:val="24"/>
          <w:szCs w:val="24"/>
          <w:lang w:val="en-US"/>
        </w:rPr>
        <w:t>digit SIC industry.</w:t>
      </w:r>
      <w:proofErr w:type="gramEnd"/>
      <w:r w:rsidR="00FF3F64">
        <w:rPr>
          <w:rFonts w:ascii="Times New Roman" w:hAnsi="Times New Roman" w:cs="Times New Roman"/>
          <w:sz w:val="24"/>
          <w:szCs w:val="24"/>
          <w:lang w:val="en-US"/>
        </w:rPr>
        <w:t xml:space="preserve"> The latter IV takes advantage of the heterogeneity of </w:t>
      </w:r>
      <w:r w:rsidR="00B8197C">
        <w:rPr>
          <w:rFonts w:ascii="Times New Roman" w:hAnsi="Times New Roman" w:cs="Times New Roman"/>
          <w:sz w:val="24"/>
          <w:szCs w:val="24"/>
          <w:lang w:val="en-US"/>
        </w:rPr>
        <w:t xml:space="preserve">state income taxes across </w:t>
      </w:r>
      <w:proofErr w:type="gramStart"/>
      <w:r w:rsidR="00B8197C">
        <w:rPr>
          <w:rFonts w:ascii="Times New Roman" w:hAnsi="Times New Roman" w:cs="Times New Roman"/>
          <w:sz w:val="24"/>
          <w:szCs w:val="24"/>
          <w:lang w:val="en-US"/>
        </w:rPr>
        <w:t>states</w:t>
      </w:r>
      <w:r w:rsidR="00FF3F64">
        <w:rPr>
          <w:rFonts w:ascii="Times New Roman" w:hAnsi="Times New Roman" w:cs="Times New Roman"/>
          <w:sz w:val="24"/>
          <w:szCs w:val="24"/>
          <w:lang w:val="en-US"/>
        </w:rPr>
        <w:t xml:space="preserve"> which</w:t>
      </w:r>
      <w:proofErr w:type="gramEnd"/>
      <w:r w:rsidR="00FF3F64">
        <w:rPr>
          <w:rFonts w:ascii="Times New Roman" w:hAnsi="Times New Roman" w:cs="Times New Roman"/>
          <w:sz w:val="24"/>
          <w:szCs w:val="24"/>
          <w:lang w:val="en-US"/>
        </w:rPr>
        <w:t xml:space="preserve"> can </w:t>
      </w:r>
      <w:r w:rsidR="00B83FB6">
        <w:rPr>
          <w:rFonts w:ascii="Times New Roman" w:hAnsi="Times New Roman" w:cs="Times New Roman"/>
          <w:sz w:val="24"/>
          <w:szCs w:val="24"/>
          <w:lang w:val="en-US"/>
        </w:rPr>
        <w:t>corresponding</w:t>
      </w:r>
      <w:r w:rsidR="00FF3F64">
        <w:rPr>
          <w:rFonts w:ascii="Times New Roman" w:hAnsi="Times New Roman" w:cs="Times New Roman"/>
          <w:sz w:val="24"/>
          <w:szCs w:val="24"/>
          <w:lang w:val="en-US"/>
        </w:rPr>
        <w:t>ly</w:t>
      </w:r>
      <w:r w:rsidR="00B8197C">
        <w:rPr>
          <w:rFonts w:ascii="Times New Roman" w:hAnsi="Times New Roman" w:cs="Times New Roman"/>
          <w:sz w:val="24"/>
          <w:szCs w:val="24"/>
          <w:lang w:val="en-US"/>
        </w:rPr>
        <w:t xml:space="preserve"> impact the value of tournament incentives a firm offers.</w:t>
      </w:r>
      <w:r w:rsidR="00B83FB6">
        <w:rPr>
          <w:rFonts w:ascii="Times New Roman" w:hAnsi="Times New Roman" w:cs="Times New Roman"/>
          <w:sz w:val="24"/>
          <w:szCs w:val="24"/>
          <w:lang w:val="en-US"/>
        </w:rPr>
        <w:t xml:space="preserve"> </w:t>
      </w:r>
      <w:r w:rsidR="00B8197C">
        <w:rPr>
          <w:rFonts w:ascii="Times New Roman" w:hAnsi="Times New Roman" w:cs="Times New Roman"/>
          <w:sz w:val="24"/>
          <w:szCs w:val="24"/>
          <w:lang w:val="en-US"/>
        </w:rPr>
        <w:t xml:space="preserve">Regardless of which IV we use, </w:t>
      </w:r>
      <w:r w:rsidR="00B8197C" w:rsidRPr="00B8344A">
        <w:rPr>
          <w:rFonts w:ascii="Times New Roman" w:hAnsi="Times New Roman" w:cs="Times New Roman"/>
          <w:sz w:val="24"/>
          <w:szCs w:val="24"/>
          <w:lang w:val="en-US"/>
        </w:rPr>
        <w:t xml:space="preserve">the coefficients </w:t>
      </w:r>
      <w:r w:rsidR="00B8197C">
        <w:rPr>
          <w:rFonts w:ascii="Times New Roman" w:hAnsi="Times New Roman" w:cs="Times New Roman"/>
          <w:sz w:val="24"/>
          <w:szCs w:val="24"/>
          <w:lang w:val="en-US"/>
        </w:rPr>
        <w:t>of</w:t>
      </w:r>
      <w:r w:rsidR="00B8197C" w:rsidRPr="00B8344A">
        <w:rPr>
          <w:rFonts w:ascii="Times New Roman" w:hAnsi="Times New Roman" w:cs="Times New Roman"/>
          <w:sz w:val="24"/>
          <w:szCs w:val="24"/>
          <w:lang w:val="en-US"/>
        </w:rPr>
        <w:t xml:space="preserve"> the instrumented corporate tournament measure </w:t>
      </w:r>
      <w:r w:rsidR="00B8197C">
        <w:rPr>
          <w:rFonts w:ascii="Times New Roman" w:hAnsi="Times New Roman" w:cs="Times New Roman"/>
          <w:sz w:val="24"/>
          <w:szCs w:val="24"/>
          <w:lang w:val="en-US"/>
        </w:rPr>
        <w:t>is</w:t>
      </w:r>
      <w:r w:rsidR="00B8197C" w:rsidRPr="00B8344A">
        <w:rPr>
          <w:rFonts w:ascii="Times New Roman" w:hAnsi="Times New Roman" w:cs="Times New Roman"/>
          <w:sz w:val="24"/>
          <w:szCs w:val="24"/>
          <w:lang w:val="en-US"/>
        </w:rPr>
        <w:t xml:space="preserve"> </w:t>
      </w:r>
      <w:r w:rsidR="008E265F">
        <w:rPr>
          <w:rFonts w:ascii="Times New Roman" w:hAnsi="Times New Roman" w:cs="Times New Roman"/>
          <w:sz w:val="24"/>
          <w:szCs w:val="24"/>
          <w:lang w:val="en-US"/>
        </w:rPr>
        <w:t xml:space="preserve">positive and </w:t>
      </w:r>
      <w:r w:rsidR="00B8197C" w:rsidRPr="00B8344A">
        <w:rPr>
          <w:rFonts w:ascii="Times New Roman" w:hAnsi="Times New Roman" w:cs="Times New Roman"/>
          <w:sz w:val="24"/>
          <w:szCs w:val="24"/>
          <w:lang w:val="en-US"/>
        </w:rPr>
        <w:lastRenderedPageBreak/>
        <w:t>statistically significant,</w:t>
      </w:r>
      <w:r w:rsidR="008E265F">
        <w:rPr>
          <w:rFonts w:ascii="Times New Roman" w:hAnsi="Times New Roman" w:cs="Times New Roman"/>
          <w:sz w:val="24"/>
          <w:szCs w:val="24"/>
          <w:lang w:val="en-US"/>
        </w:rPr>
        <w:t xml:space="preserve"> </w:t>
      </w:r>
      <w:r w:rsidR="00294277">
        <w:rPr>
          <w:rFonts w:ascii="Times New Roman" w:hAnsi="Times New Roman" w:cs="Times New Roman"/>
          <w:sz w:val="24"/>
          <w:szCs w:val="24"/>
          <w:lang w:val="en-US"/>
        </w:rPr>
        <w:t>further</w:t>
      </w:r>
      <w:r w:rsidR="008E265F">
        <w:rPr>
          <w:rFonts w:ascii="Times New Roman" w:hAnsi="Times New Roman" w:cs="Times New Roman"/>
          <w:sz w:val="24"/>
          <w:szCs w:val="24"/>
          <w:lang w:val="en-US"/>
        </w:rPr>
        <w:t xml:space="preserve"> confirming </w:t>
      </w:r>
      <w:r w:rsidR="00B8197C" w:rsidRPr="00B8344A">
        <w:rPr>
          <w:rFonts w:ascii="Times New Roman" w:hAnsi="Times New Roman" w:cs="Times New Roman"/>
          <w:sz w:val="24"/>
          <w:szCs w:val="24"/>
          <w:lang w:val="en-US"/>
        </w:rPr>
        <w:t xml:space="preserve">that institutional investors prefer to invest in companies </w:t>
      </w:r>
      <w:r w:rsidR="00A426AC">
        <w:rPr>
          <w:rFonts w:ascii="Times New Roman" w:hAnsi="Times New Roman" w:cs="Times New Roman"/>
          <w:sz w:val="24"/>
          <w:szCs w:val="24"/>
          <w:lang w:val="en-US"/>
        </w:rPr>
        <w:t>with</w:t>
      </w:r>
      <w:r w:rsidR="00B8197C" w:rsidRPr="00B8344A">
        <w:rPr>
          <w:rFonts w:ascii="Times New Roman" w:hAnsi="Times New Roman" w:cs="Times New Roman"/>
          <w:sz w:val="24"/>
          <w:szCs w:val="24"/>
          <w:lang w:val="en-US"/>
        </w:rPr>
        <w:t xml:space="preserve"> </w:t>
      </w:r>
      <w:r w:rsidR="00A426AC">
        <w:rPr>
          <w:rFonts w:ascii="Times New Roman" w:hAnsi="Times New Roman" w:cs="Times New Roman"/>
          <w:sz w:val="24"/>
          <w:szCs w:val="24"/>
          <w:lang w:val="en-US"/>
        </w:rPr>
        <w:t xml:space="preserve">greater </w:t>
      </w:r>
      <w:r w:rsidR="00B8197C" w:rsidRPr="00B8344A">
        <w:rPr>
          <w:rFonts w:ascii="Times New Roman" w:hAnsi="Times New Roman" w:cs="Times New Roman"/>
          <w:sz w:val="24"/>
          <w:szCs w:val="24"/>
          <w:lang w:val="en-US"/>
        </w:rPr>
        <w:t>corporate tournament</w:t>
      </w:r>
      <w:r w:rsidR="00A426AC">
        <w:rPr>
          <w:rFonts w:ascii="Times New Roman" w:hAnsi="Times New Roman" w:cs="Times New Roman"/>
          <w:sz w:val="24"/>
          <w:szCs w:val="24"/>
          <w:lang w:val="en-US"/>
        </w:rPr>
        <w:t xml:space="preserve"> incentives</w:t>
      </w:r>
      <w:r w:rsidR="00B8197C" w:rsidRPr="00B8344A">
        <w:rPr>
          <w:rFonts w:ascii="Times New Roman" w:hAnsi="Times New Roman" w:cs="Times New Roman"/>
          <w:sz w:val="24"/>
          <w:szCs w:val="24"/>
          <w:lang w:val="en-US"/>
        </w:rPr>
        <w:t>.</w:t>
      </w:r>
    </w:p>
    <w:p w14:paraId="73590320" w14:textId="4F847DAE" w:rsidR="00134053" w:rsidRDefault="00B8197C" w:rsidP="00134053">
      <w:pPr>
        <w:spacing w:after="0" w:line="480" w:lineRule="auto"/>
        <w:ind w:firstLine="567"/>
        <w:jc w:val="both"/>
        <w:rPr>
          <w:rFonts w:ascii="Times New Roman" w:hAnsi="Times New Roman" w:cs="Times New Roman"/>
          <w:sz w:val="24"/>
          <w:szCs w:val="24"/>
          <w:lang w:val="en-US"/>
        </w:rPr>
      </w:pPr>
      <w:r w:rsidRPr="00B8344A">
        <w:rPr>
          <w:rFonts w:ascii="Times New Roman" w:hAnsi="Times New Roman" w:cs="Times New Roman"/>
          <w:sz w:val="24"/>
          <w:szCs w:val="24"/>
          <w:lang w:val="en-US"/>
        </w:rPr>
        <w:t>Our empirical analys</w:t>
      </w:r>
      <w:r w:rsidR="008E265F">
        <w:rPr>
          <w:rFonts w:ascii="Times New Roman" w:hAnsi="Times New Roman" w:cs="Times New Roman"/>
          <w:sz w:val="24"/>
          <w:szCs w:val="24"/>
          <w:lang w:val="en-US"/>
        </w:rPr>
        <w:t>e</w:t>
      </w:r>
      <w:r w:rsidRPr="00B8344A">
        <w:rPr>
          <w:rFonts w:ascii="Times New Roman" w:hAnsi="Times New Roman" w:cs="Times New Roman"/>
          <w:sz w:val="24"/>
          <w:szCs w:val="24"/>
          <w:lang w:val="en-US"/>
        </w:rPr>
        <w:t xml:space="preserve">s conclude with several </w:t>
      </w:r>
      <w:r w:rsidR="00213A5A">
        <w:rPr>
          <w:rFonts w:ascii="Times New Roman" w:hAnsi="Times New Roman" w:cs="Times New Roman"/>
          <w:sz w:val="24"/>
          <w:szCs w:val="24"/>
          <w:lang w:val="en-US"/>
        </w:rPr>
        <w:t xml:space="preserve">additional </w:t>
      </w:r>
      <w:r w:rsidRPr="00B8344A">
        <w:rPr>
          <w:rFonts w:ascii="Times New Roman" w:hAnsi="Times New Roman" w:cs="Times New Roman"/>
          <w:sz w:val="24"/>
          <w:szCs w:val="24"/>
          <w:lang w:val="en-US"/>
        </w:rPr>
        <w:t xml:space="preserve">tests. We </w:t>
      </w:r>
      <w:r w:rsidR="00134053">
        <w:rPr>
          <w:rFonts w:ascii="Times New Roman" w:hAnsi="Times New Roman" w:cs="Times New Roman"/>
          <w:sz w:val="24"/>
          <w:szCs w:val="24"/>
          <w:lang w:val="en-US"/>
        </w:rPr>
        <w:t>begin</w:t>
      </w:r>
      <w:r w:rsidRPr="00B8344A">
        <w:rPr>
          <w:rFonts w:ascii="Times New Roman" w:hAnsi="Times New Roman" w:cs="Times New Roman"/>
          <w:sz w:val="24"/>
          <w:szCs w:val="24"/>
          <w:lang w:val="en-US"/>
        </w:rPr>
        <w:t xml:space="preserve"> by </w:t>
      </w:r>
      <w:r w:rsidR="008E265F">
        <w:rPr>
          <w:rFonts w:ascii="Times New Roman" w:hAnsi="Times New Roman" w:cs="Times New Roman"/>
          <w:sz w:val="24"/>
          <w:szCs w:val="24"/>
          <w:lang w:val="en-US"/>
        </w:rPr>
        <w:t>using</w:t>
      </w:r>
      <w:r w:rsidRPr="00B8344A">
        <w:rPr>
          <w:rFonts w:ascii="Times New Roman" w:hAnsi="Times New Roman" w:cs="Times New Roman"/>
          <w:sz w:val="24"/>
          <w:szCs w:val="24"/>
          <w:lang w:val="en-US"/>
        </w:rPr>
        <w:t xml:space="preserve"> the number of Vice President</w:t>
      </w:r>
      <w:r>
        <w:rPr>
          <w:rFonts w:ascii="Times New Roman" w:hAnsi="Times New Roman" w:cs="Times New Roman"/>
          <w:sz w:val="24"/>
          <w:szCs w:val="24"/>
          <w:lang w:val="en-US"/>
        </w:rPr>
        <w:t>s</w:t>
      </w:r>
      <w:r w:rsidRPr="00B8344A">
        <w:rPr>
          <w:rFonts w:ascii="Times New Roman" w:hAnsi="Times New Roman" w:cs="Times New Roman"/>
          <w:sz w:val="24"/>
          <w:szCs w:val="24"/>
          <w:lang w:val="en-US"/>
        </w:rPr>
        <w:t xml:space="preserve"> as an alternative measure of corporate </w:t>
      </w:r>
      <w:r w:rsidRPr="002A50F0">
        <w:rPr>
          <w:rFonts w:ascii="Times New Roman" w:hAnsi="Times New Roman" w:cs="Times New Roman"/>
          <w:sz w:val="24"/>
          <w:szCs w:val="24"/>
          <w:lang w:val="en-US"/>
        </w:rPr>
        <w:t>tournament competition (</w:t>
      </w:r>
      <w:r w:rsidRPr="002A50F0">
        <w:rPr>
          <w:rFonts w:ascii="Times New Roman" w:eastAsia="Times New Roman" w:hAnsi="Times New Roman" w:cs="Times New Roman"/>
          <w:sz w:val="24"/>
          <w:szCs w:val="24"/>
        </w:rPr>
        <w:t xml:space="preserve">Kale, </w:t>
      </w:r>
      <w:r w:rsidRPr="002A50F0">
        <w:rPr>
          <w:rFonts w:ascii="Times New Roman" w:eastAsia="Times New Roman" w:hAnsi="Times New Roman" w:cs="Times New Roman"/>
          <w:noProof/>
          <w:sz w:val="24"/>
          <w:szCs w:val="24"/>
        </w:rPr>
        <w:t>Reis,</w:t>
      </w:r>
      <w:r w:rsidRPr="002A50F0">
        <w:rPr>
          <w:rFonts w:ascii="Times New Roman" w:eastAsia="Times New Roman" w:hAnsi="Times New Roman" w:cs="Times New Roman"/>
          <w:sz w:val="24"/>
          <w:szCs w:val="24"/>
        </w:rPr>
        <w:t xml:space="preserve"> and </w:t>
      </w:r>
      <w:proofErr w:type="spellStart"/>
      <w:r w:rsidRPr="002A50F0">
        <w:rPr>
          <w:rFonts w:ascii="Times New Roman" w:eastAsia="Times New Roman" w:hAnsi="Times New Roman" w:cs="Times New Roman"/>
          <w:sz w:val="24"/>
          <w:szCs w:val="24"/>
        </w:rPr>
        <w:t>Venkateswaran</w:t>
      </w:r>
      <w:proofErr w:type="spellEnd"/>
      <w:r w:rsidRPr="002A50F0">
        <w:rPr>
          <w:rFonts w:ascii="Times New Roman" w:eastAsia="Times New Roman" w:hAnsi="Times New Roman" w:cs="Times New Roman"/>
          <w:sz w:val="24"/>
          <w:szCs w:val="24"/>
        </w:rPr>
        <w:t xml:space="preserve">, 2009; </w:t>
      </w:r>
      <w:proofErr w:type="spellStart"/>
      <w:r w:rsidRPr="002A50F0">
        <w:rPr>
          <w:rFonts w:ascii="Times New Roman" w:eastAsia="Times New Roman" w:hAnsi="Times New Roman" w:cs="Times New Roman"/>
          <w:sz w:val="24"/>
          <w:szCs w:val="24"/>
        </w:rPr>
        <w:t>Kini</w:t>
      </w:r>
      <w:proofErr w:type="spellEnd"/>
      <w:r w:rsidRPr="002A50F0">
        <w:rPr>
          <w:rFonts w:ascii="Times New Roman" w:eastAsia="Times New Roman" w:hAnsi="Times New Roman" w:cs="Times New Roman"/>
          <w:sz w:val="24"/>
          <w:szCs w:val="24"/>
        </w:rPr>
        <w:t xml:space="preserve"> and Williams, 2012)</w:t>
      </w:r>
      <w:r w:rsidRPr="002A50F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8344A">
        <w:rPr>
          <w:rFonts w:ascii="Times New Roman" w:hAnsi="Times New Roman" w:cs="Times New Roman"/>
          <w:sz w:val="24"/>
          <w:szCs w:val="24"/>
          <w:lang w:val="en-US"/>
        </w:rPr>
        <w:t>Our results remain statistically significant and consistent with our baseline regressions</w:t>
      </w:r>
      <w:r w:rsidR="00822531">
        <w:rPr>
          <w:rFonts w:ascii="Times New Roman" w:hAnsi="Times New Roman" w:cs="Times New Roman"/>
          <w:sz w:val="24"/>
          <w:szCs w:val="24"/>
          <w:lang w:val="en-US"/>
        </w:rPr>
        <w:t>, including when we use</w:t>
      </w:r>
      <w:r w:rsidR="00EF7CE6">
        <w:rPr>
          <w:rFonts w:ascii="Times New Roman" w:hAnsi="Times New Roman" w:cs="Times New Roman"/>
          <w:sz w:val="24"/>
          <w:szCs w:val="24"/>
          <w:lang w:val="en-US"/>
        </w:rPr>
        <w:t xml:space="preserve"> </w:t>
      </w:r>
      <w:r w:rsidR="005874DF">
        <w:rPr>
          <w:rFonts w:ascii="Times New Roman" w:hAnsi="Times New Roman" w:cs="Times New Roman"/>
          <w:sz w:val="24"/>
          <w:szCs w:val="24"/>
          <w:lang w:val="en-US"/>
        </w:rPr>
        <w:t>an</w:t>
      </w:r>
      <w:r w:rsidR="00294277">
        <w:rPr>
          <w:rFonts w:ascii="Times New Roman" w:hAnsi="Times New Roman" w:cs="Times New Roman"/>
          <w:sz w:val="24"/>
          <w:szCs w:val="24"/>
          <w:lang w:val="en-US"/>
        </w:rPr>
        <w:t xml:space="preserve"> </w:t>
      </w:r>
      <w:r w:rsidR="00213A5A">
        <w:rPr>
          <w:rFonts w:ascii="Times New Roman" w:hAnsi="Times New Roman" w:cs="Times New Roman"/>
          <w:sz w:val="24"/>
          <w:szCs w:val="24"/>
          <w:lang w:val="en-US"/>
        </w:rPr>
        <w:t>instrumental variable approach</w:t>
      </w:r>
      <w:r w:rsidRPr="00B8344A">
        <w:rPr>
          <w:rFonts w:ascii="Times New Roman" w:hAnsi="Times New Roman" w:cs="Times New Roman"/>
          <w:sz w:val="24"/>
          <w:szCs w:val="24"/>
          <w:lang w:val="en-US"/>
        </w:rPr>
        <w:t xml:space="preserve">. </w:t>
      </w:r>
    </w:p>
    <w:p w14:paraId="68A1ACE3" w14:textId="053E7E74" w:rsidR="00F15711" w:rsidRDefault="007A0710" w:rsidP="00F349DA">
      <w:pPr>
        <w:spacing w:after="0" w:line="480" w:lineRule="auto"/>
        <w:ind w:firstLine="567"/>
        <w:jc w:val="both"/>
        <w:rPr>
          <w:rFonts w:ascii="Times New Roman" w:hAnsi="Times New Roman" w:cs="Times New Roman"/>
          <w:sz w:val="24"/>
          <w:szCs w:val="24"/>
          <w:lang w:val="en-US"/>
        </w:rPr>
      </w:pPr>
      <w:r w:rsidRPr="007A07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Next, we </w:t>
      </w:r>
      <w:r w:rsidRPr="00B8344A">
        <w:rPr>
          <w:rFonts w:ascii="Times New Roman" w:hAnsi="Times New Roman" w:cs="Times New Roman"/>
          <w:sz w:val="24"/>
          <w:szCs w:val="24"/>
          <w:lang w:val="en-US"/>
        </w:rPr>
        <w:t>examine a subset</w:t>
      </w:r>
      <w:r>
        <w:rPr>
          <w:rFonts w:ascii="Times New Roman" w:hAnsi="Times New Roman" w:cs="Times New Roman"/>
          <w:sz w:val="24"/>
          <w:szCs w:val="24"/>
          <w:lang w:val="en-US"/>
        </w:rPr>
        <w:t xml:space="preserve"> of our data and select years</w:t>
      </w:r>
      <w:r w:rsidRPr="00B8344A">
        <w:rPr>
          <w:rFonts w:ascii="Times New Roman" w:hAnsi="Times New Roman" w:cs="Times New Roman"/>
          <w:sz w:val="24"/>
          <w:szCs w:val="24"/>
          <w:lang w:val="en-US"/>
        </w:rPr>
        <w:t xml:space="preserve"> in which </w:t>
      </w:r>
      <w:r>
        <w:rPr>
          <w:rFonts w:ascii="Times New Roman" w:hAnsi="Times New Roman" w:cs="Times New Roman"/>
          <w:sz w:val="24"/>
          <w:szCs w:val="24"/>
          <w:lang w:val="en-US"/>
        </w:rPr>
        <w:t xml:space="preserve">the internal </w:t>
      </w:r>
      <w:r w:rsidRPr="00B8344A">
        <w:rPr>
          <w:rFonts w:ascii="Times New Roman" w:hAnsi="Times New Roman" w:cs="Times New Roman"/>
          <w:sz w:val="24"/>
          <w:szCs w:val="24"/>
          <w:lang w:val="en-US"/>
        </w:rPr>
        <w:t>tournament</w:t>
      </w:r>
      <w:r>
        <w:rPr>
          <w:rFonts w:ascii="Times New Roman" w:hAnsi="Times New Roman" w:cs="Times New Roman"/>
          <w:sz w:val="24"/>
          <w:szCs w:val="24"/>
          <w:lang w:val="en-US"/>
        </w:rPr>
        <w:t>s</w:t>
      </w:r>
      <w:r w:rsidRPr="00B834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within </w:t>
      </w:r>
      <w:r w:rsidRPr="00B8344A">
        <w:rPr>
          <w:rFonts w:ascii="Times New Roman" w:hAnsi="Times New Roman" w:cs="Times New Roman"/>
          <w:sz w:val="24"/>
          <w:szCs w:val="24"/>
          <w:lang w:val="en-US"/>
        </w:rPr>
        <w:t>firms</w:t>
      </w:r>
      <w:r>
        <w:rPr>
          <w:rFonts w:ascii="Times New Roman" w:hAnsi="Times New Roman" w:cs="Times New Roman"/>
          <w:sz w:val="24"/>
          <w:szCs w:val="24"/>
          <w:lang w:val="en-US"/>
        </w:rPr>
        <w:t xml:space="preserve"> are more</w:t>
      </w:r>
      <w:r w:rsidR="007E2DD4">
        <w:rPr>
          <w:rFonts w:ascii="Times New Roman" w:hAnsi="Times New Roman" w:cs="Times New Roman"/>
          <w:sz w:val="24"/>
          <w:szCs w:val="24"/>
          <w:lang w:val="en-US"/>
        </w:rPr>
        <w:t xml:space="preserve">, or less, </w:t>
      </w:r>
      <w:r w:rsidR="007E2DD4" w:rsidRPr="00B8344A">
        <w:rPr>
          <w:rFonts w:ascii="Times New Roman" w:hAnsi="Times New Roman" w:cs="Times New Roman"/>
          <w:sz w:val="24"/>
          <w:szCs w:val="24"/>
          <w:lang w:val="en-US"/>
        </w:rPr>
        <w:t>likely to</w:t>
      </w:r>
      <w:r>
        <w:rPr>
          <w:rFonts w:ascii="Times New Roman" w:hAnsi="Times New Roman" w:cs="Times New Roman"/>
          <w:sz w:val="24"/>
          <w:szCs w:val="24"/>
          <w:lang w:val="en-US"/>
        </w:rPr>
        <w:t xml:space="preserve"> </w:t>
      </w:r>
      <w:r w:rsidR="00F15711">
        <w:rPr>
          <w:rFonts w:ascii="Times New Roman" w:hAnsi="Times New Roman" w:cs="Times New Roman"/>
          <w:sz w:val="24"/>
          <w:szCs w:val="24"/>
          <w:lang w:val="en-US"/>
        </w:rPr>
        <w:t>lead to a payoff, thereby increasing the value of them</w:t>
      </w:r>
      <w:r w:rsidR="007E2DD4" w:rsidRPr="00B8344A">
        <w:rPr>
          <w:rFonts w:ascii="Times New Roman" w:hAnsi="Times New Roman" w:cs="Times New Roman"/>
          <w:sz w:val="24"/>
          <w:szCs w:val="24"/>
          <w:lang w:val="en-US"/>
        </w:rPr>
        <w:t xml:space="preserve">. We </w:t>
      </w:r>
      <w:r w:rsidR="007E2DD4">
        <w:rPr>
          <w:rFonts w:ascii="Times New Roman" w:hAnsi="Times New Roman" w:cs="Times New Roman"/>
          <w:sz w:val="24"/>
          <w:szCs w:val="24"/>
          <w:lang w:val="en-US"/>
        </w:rPr>
        <w:t>expect</w:t>
      </w:r>
      <w:r w:rsidR="007E2DD4" w:rsidRPr="00B8344A">
        <w:rPr>
          <w:rFonts w:ascii="Times New Roman" w:hAnsi="Times New Roman" w:cs="Times New Roman"/>
          <w:sz w:val="24"/>
          <w:szCs w:val="24"/>
          <w:lang w:val="en-US"/>
        </w:rPr>
        <w:t xml:space="preserve"> </w:t>
      </w:r>
      <w:r w:rsidR="007E2DD4">
        <w:rPr>
          <w:rFonts w:ascii="Times New Roman" w:hAnsi="Times New Roman" w:cs="Times New Roman"/>
          <w:sz w:val="24"/>
          <w:szCs w:val="24"/>
          <w:lang w:val="en-US"/>
        </w:rPr>
        <w:t xml:space="preserve">that </w:t>
      </w:r>
      <w:r w:rsidR="007E2DD4" w:rsidRPr="00B8344A">
        <w:rPr>
          <w:rFonts w:ascii="Times New Roman" w:hAnsi="Times New Roman" w:cs="Times New Roman"/>
          <w:sz w:val="24"/>
          <w:szCs w:val="24"/>
          <w:lang w:val="en-US"/>
        </w:rPr>
        <w:t xml:space="preserve">tournament competition </w:t>
      </w:r>
      <w:r w:rsidR="007E2DD4">
        <w:rPr>
          <w:rFonts w:ascii="Times New Roman" w:hAnsi="Times New Roman" w:cs="Times New Roman"/>
          <w:sz w:val="24"/>
          <w:szCs w:val="24"/>
          <w:lang w:val="en-US"/>
        </w:rPr>
        <w:t>will be</w:t>
      </w:r>
      <w:r w:rsidR="007E2DD4" w:rsidRPr="00B8344A">
        <w:rPr>
          <w:rFonts w:ascii="Times New Roman" w:hAnsi="Times New Roman" w:cs="Times New Roman"/>
          <w:sz w:val="24"/>
          <w:szCs w:val="24"/>
          <w:lang w:val="en-US"/>
        </w:rPr>
        <w:t xml:space="preserve"> </w:t>
      </w:r>
      <w:r w:rsidR="00F15711">
        <w:rPr>
          <w:rFonts w:ascii="Times New Roman" w:hAnsi="Times New Roman" w:cs="Times New Roman"/>
          <w:sz w:val="24"/>
          <w:szCs w:val="24"/>
          <w:lang w:val="en-US"/>
        </w:rPr>
        <w:t xml:space="preserve">of </w:t>
      </w:r>
      <w:r w:rsidR="007E2DD4">
        <w:rPr>
          <w:rFonts w:ascii="Times New Roman" w:hAnsi="Times New Roman" w:cs="Times New Roman"/>
          <w:sz w:val="24"/>
          <w:szCs w:val="24"/>
          <w:lang w:val="en-US"/>
        </w:rPr>
        <w:t xml:space="preserve">relatively more </w:t>
      </w:r>
      <w:r w:rsidR="00F15711">
        <w:rPr>
          <w:rFonts w:ascii="Times New Roman" w:hAnsi="Times New Roman" w:cs="Times New Roman"/>
          <w:sz w:val="24"/>
          <w:szCs w:val="24"/>
          <w:lang w:val="en-US"/>
        </w:rPr>
        <w:t>value</w:t>
      </w:r>
      <w:r w:rsidR="007E2DD4" w:rsidRPr="00B8344A">
        <w:rPr>
          <w:rFonts w:ascii="Times New Roman" w:hAnsi="Times New Roman" w:cs="Times New Roman"/>
          <w:sz w:val="24"/>
          <w:szCs w:val="24"/>
          <w:lang w:val="en-US"/>
        </w:rPr>
        <w:t xml:space="preserve"> </w:t>
      </w:r>
      <w:r w:rsidR="007E2DD4">
        <w:rPr>
          <w:rFonts w:ascii="Times New Roman" w:hAnsi="Times New Roman" w:cs="Times New Roman"/>
          <w:sz w:val="24"/>
          <w:szCs w:val="24"/>
          <w:lang w:val="en-US"/>
        </w:rPr>
        <w:t>in the years</w:t>
      </w:r>
      <w:r w:rsidR="009A250C">
        <w:rPr>
          <w:rFonts w:ascii="Times New Roman" w:hAnsi="Times New Roman" w:cs="Times New Roman"/>
          <w:sz w:val="24"/>
          <w:szCs w:val="24"/>
          <w:lang w:val="en-US"/>
        </w:rPr>
        <w:t xml:space="preserve"> </w:t>
      </w:r>
      <w:r w:rsidR="007E2DD4">
        <w:rPr>
          <w:rFonts w:ascii="Times New Roman" w:hAnsi="Times New Roman" w:cs="Times New Roman"/>
          <w:sz w:val="24"/>
          <w:szCs w:val="24"/>
          <w:lang w:val="en-US"/>
        </w:rPr>
        <w:t xml:space="preserve">prior to a CEO stepping down than after a new CEO is appointed. </w:t>
      </w:r>
      <w:r w:rsidR="00411B3B">
        <w:rPr>
          <w:rFonts w:ascii="Times New Roman" w:hAnsi="Times New Roman" w:cs="Times New Roman"/>
          <w:sz w:val="24"/>
          <w:szCs w:val="24"/>
          <w:lang w:val="en-US"/>
        </w:rPr>
        <w:t xml:space="preserve">The reason being that once a new CEO is appointed, expectations of further </w:t>
      </w:r>
      <w:r w:rsidR="00F15711">
        <w:rPr>
          <w:rFonts w:ascii="Times New Roman" w:hAnsi="Times New Roman" w:cs="Times New Roman"/>
          <w:sz w:val="24"/>
          <w:szCs w:val="24"/>
          <w:lang w:val="en-US"/>
        </w:rPr>
        <w:t xml:space="preserve">CEO </w:t>
      </w:r>
      <w:r w:rsidR="00411B3B">
        <w:rPr>
          <w:rFonts w:ascii="Times New Roman" w:hAnsi="Times New Roman" w:cs="Times New Roman"/>
          <w:sz w:val="24"/>
          <w:szCs w:val="24"/>
          <w:lang w:val="en-US"/>
        </w:rPr>
        <w:t>turnover within the firm for the immediate future is unlikely</w:t>
      </w:r>
      <w:r w:rsidR="00F15711">
        <w:rPr>
          <w:rFonts w:ascii="Times New Roman" w:hAnsi="Times New Roman" w:cs="Times New Roman"/>
          <w:sz w:val="24"/>
          <w:szCs w:val="24"/>
          <w:lang w:val="en-US"/>
        </w:rPr>
        <w:t xml:space="preserve">. This </w:t>
      </w:r>
      <w:r w:rsidR="00411B3B">
        <w:rPr>
          <w:rFonts w:ascii="Times New Roman" w:hAnsi="Times New Roman" w:cs="Times New Roman"/>
          <w:sz w:val="24"/>
          <w:szCs w:val="24"/>
          <w:lang w:val="en-US"/>
        </w:rPr>
        <w:t>will diminish the value of tournament incentives</w:t>
      </w:r>
      <w:r w:rsidR="00F349DA">
        <w:rPr>
          <w:rFonts w:ascii="Times New Roman" w:hAnsi="Times New Roman" w:cs="Times New Roman"/>
          <w:sz w:val="24"/>
          <w:szCs w:val="24"/>
          <w:lang w:val="en-US"/>
        </w:rPr>
        <w:t xml:space="preserve"> for the</w:t>
      </w:r>
      <w:r w:rsidR="00F15711">
        <w:rPr>
          <w:rFonts w:ascii="Times New Roman" w:hAnsi="Times New Roman" w:cs="Times New Roman"/>
          <w:sz w:val="24"/>
          <w:szCs w:val="24"/>
          <w:lang w:val="en-US"/>
        </w:rPr>
        <w:t xml:space="preserve"> </w:t>
      </w:r>
      <w:r w:rsidR="00F349DA">
        <w:rPr>
          <w:rFonts w:ascii="Times New Roman" w:hAnsi="Times New Roman" w:cs="Times New Roman"/>
          <w:sz w:val="24"/>
          <w:szCs w:val="24"/>
          <w:lang w:val="en-US"/>
        </w:rPr>
        <w:t>CEO contestants within the firm</w:t>
      </w:r>
      <w:r w:rsidR="00F15711">
        <w:rPr>
          <w:rFonts w:ascii="Times New Roman" w:hAnsi="Times New Roman" w:cs="Times New Roman"/>
          <w:sz w:val="24"/>
          <w:szCs w:val="24"/>
          <w:lang w:val="en-US"/>
        </w:rPr>
        <w:t xml:space="preserve"> as the prize, of becoming a CEO in the near-term, </w:t>
      </w:r>
      <w:proofErr w:type="gramStart"/>
      <w:r w:rsidR="00F15711">
        <w:rPr>
          <w:rFonts w:ascii="Times New Roman" w:hAnsi="Times New Roman" w:cs="Times New Roman"/>
          <w:sz w:val="24"/>
          <w:szCs w:val="24"/>
          <w:lang w:val="en-US"/>
        </w:rPr>
        <w:t>has been substantially reduced</w:t>
      </w:r>
      <w:proofErr w:type="gramEnd"/>
      <w:r w:rsidR="00411B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will </w:t>
      </w:r>
      <w:r w:rsidR="0035493A">
        <w:rPr>
          <w:rFonts w:ascii="Times New Roman" w:hAnsi="Times New Roman" w:cs="Times New Roman"/>
          <w:sz w:val="24"/>
          <w:szCs w:val="24"/>
          <w:lang w:val="en-US"/>
        </w:rPr>
        <w:t xml:space="preserve">have an </w:t>
      </w:r>
      <w:r>
        <w:rPr>
          <w:rFonts w:ascii="Times New Roman" w:hAnsi="Times New Roman" w:cs="Times New Roman"/>
          <w:sz w:val="24"/>
          <w:szCs w:val="24"/>
          <w:lang w:val="en-US"/>
        </w:rPr>
        <w:t xml:space="preserve">impact on the effort they expend on the projects that they manage. Sophisticated (institutional) investors are therefore less likely to take notice of, and be </w:t>
      </w:r>
      <w:r w:rsidR="00F15711">
        <w:rPr>
          <w:rFonts w:ascii="Times New Roman" w:hAnsi="Times New Roman" w:cs="Times New Roman"/>
          <w:sz w:val="24"/>
          <w:szCs w:val="24"/>
          <w:lang w:val="en-US"/>
        </w:rPr>
        <w:t>less</w:t>
      </w:r>
      <w:r>
        <w:rPr>
          <w:rFonts w:ascii="Times New Roman" w:hAnsi="Times New Roman" w:cs="Times New Roman"/>
          <w:sz w:val="24"/>
          <w:szCs w:val="24"/>
          <w:lang w:val="en-US"/>
        </w:rPr>
        <w:t xml:space="preserve"> sensitive to, tournament incentives within </w:t>
      </w:r>
      <w:proofErr w:type="gramStart"/>
      <w:r>
        <w:rPr>
          <w:rFonts w:ascii="Times New Roman" w:hAnsi="Times New Roman" w:cs="Times New Roman"/>
          <w:sz w:val="24"/>
          <w:szCs w:val="24"/>
          <w:lang w:val="en-US"/>
        </w:rPr>
        <w:t>these firm</w:t>
      </w:r>
      <w:proofErr w:type="gramEnd"/>
      <w:r w:rsidR="00F15711">
        <w:rPr>
          <w:rFonts w:ascii="Times New Roman" w:hAnsi="Times New Roman" w:cs="Times New Roman"/>
          <w:sz w:val="24"/>
          <w:szCs w:val="24"/>
          <w:lang w:val="en-US"/>
        </w:rPr>
        <w:t xml:space="preserve">. This </w:t>
      </w:r>
      <w:r>
        <w:rPr>
          <w:rFonts w:ascii="Times New Roman" w:hAnsi="Times New Roman" w:cs="Times New Roman"/>
          <w:sz w:val="24"/>
          <w:szCs w:val="24"/>
          <w:lang w:val="en-US"/>
        </w:rPr>
        <w:t>lead</w:t>
      </w:r>
      <w:r w:rsidR="00F15711">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us to </w:t>
      </w:r>
      <w:r w:rsidR="00411B3B">
        <w:rPr>
          <w:rFonts w:ascii="Times New Roman" w:hAnsi="Times New Roman" w:cs="Times New Roman"/>
          <w:sz w:val="24"/>
          <w:szCs w:val="24"/>
          <w:lang w:val="en-US"/>
        </w:rPr>
        <w:t>posit that the relationship between</w:t>
      </w:r>
      <w:r w:rsidR="00F349DA">
        <w:rPr>
          <w:rFonts w:ascii="Times New Roman" w:hAnsi="Times New Roman" w:cs="Times New Roman"/>
          <w:sz w:val="24"/>
          <w:szCs w:val="24"/>
          <w:lang w:val="en-US"/>
        </w:rPr>
        <w:t xml:space="preserve"> </w:t>
      </w:r>
      <w:r w:rsidR="00F349DA" w:rsidRPr="00C10B0F">
        <w:rPr>
          <w:rFonts w:ascii="Times New Roman" w:hAnsi="Times New Roman" w:cs="Times New Roman"/>
          <w:i/>
          <w:sz w:val="24"/>
          <w:szCs w:val="24"/>
          <w:lang w:val="en-US"/>
        </w:rPr>
        <w:t>CEO pay Gap</w:t>
      </w:r>
      <w:r w:rsidR="00F349DA">
        <w:rPr>
          <w:rFonts w:ascii="Times New Roman" w:hAnsi="Times New Roman" w:cs="Times New Roman"/>
          <w:sz w:val="24"/>
          <w:szCs w:val="24"/>
          <w:lang w:val="en-US"/>
        </w:rPr>
        <w:t xml:space="preserve"> </w:t>
      </w:r>
      <w:r w:rsidR="00411B3B">
        <w:rPr>
          <w:rFonts w:ascii="Times New Roman" w:hAnsi="Times New Roman" w:cs="Times New Roman"/>
          <w:sz w:val="24"/>
          <w:szCs w:val="24"/>
          <w:lang w:val="en-US"/>
        </w:rPr>
        <w:t xml:space="preserve">and institutional ownership will be weaker following CEO turnover than preceding it. </w:t>
      </w:r>
    </w:p>
    <w:p w14:paraId="48F99FD4" w14:textId="2F553F37" w:rsidR="00411B3B" w:rsidRDefault="00411B3B" w:rsidP="00F349D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also perform another subsample test that examines </w:t>
      </w:r>
      <w:r w:rsidR="00F349DA">
        <w:rPr>
          <w:rFonts w:ascii="Times New Roman" w:hAnsi="Times New Roman" w:cs="Times New Roman"/>
          <w:sz w:val="24"/>
          <w:szCs w:val="24"/>
          <w:lang w:val="en-US"/>
        </w:rPr>
        <w:t xml:space="preserve">if </w:t>
      </w:r>
      <w:r>
        <w:rPr>
          <w:rFonts w:ascii="Times New Roman" w:hAnsi="Times New Roman" w:cs="Times New Roman"/>
          <w:sz w:val="24"/>
          <w:szCs w:val="24"/>
          <w:lang w:val="en-US"/>
        </w:rPr>
        <w:t xml:space="preserve">tournament incentives have a greater impact on institutional holdings when CEO turnover </w:t>
      </w:r>
      <w:proofErr w:type="gramStart"/>
      <w:r>
        <w:rPr>
          <w:rFonts w:ascii="Times New Roman" w:hAnsi="Times New Roman" w:cs="Times New Roman"/>
          <w:sz w:val="24"/>
          <w:szCs w:val="24"/>
          <w:lang w:val="en-US"/>
        </w:rPr>
        <w:t>is anticipated</w:t>
      </w:r>
      <w:proofErr w:type="gramEnd"/>
      <w:r>
        <w:rPr>
          <w:rFonts w:ascii="Times New Roman" w:hAnsi="Times New Roman" w:cs="Times New Roman"/>
          <w:sz w:val="24"/>
          <w:szCs w:val="24"/>
          <w:lang w:val="en-US"/>
        </w:rPr>
        <w:t>. In particular,</w:t>
      </w:r>
      <w:r w:rsidR="00F349DA">
        <w:rPr>
          <w:rFonts w:ascii="Times New Roman" w:hAnsi="Times New Roman" w:cs="Times New Roman"/>
          <w:sz w:val="24"/>
          <w:szCs w:val="24"/>
          <w:lang w:val="en-US"/>
        </w:rPr>
        <w:t xml:space="preserve"> we expect the intensity of tournament competition to be stronger when the CEO is of retirement age and </w:t>
      </w:r>
      <w:r w:rsidR="0035493A">
        <w:rPr>
          <w:rFonts w:ascii="Times New Roman" w:hAnsi="Times New Roman" w:cs="Times New Roman"/>
          <w:sz w:val="24"/>
          <w:szCs w:val="24"/>
          <w:lang w:val="en-US"/>
        </w:rPr>
        <w:t xml:space="preserve">that </w:t>
      </w:r>
      <w:r w:rsidR="00F349DA">
        <w:rPr>
          <w:rFonts w:ascii="Times New Roman" w:hAnsi="Times New Roman" w:cs="Times New Roman"/>
          <w:sz w:val="24"/>
          <w:szCs w:val="24"/>
          <w:lang w:val="en-US"/>
        </w:rPr>
        <w:t>there are vice presidents that potentially can replace the incumbent. In such a situation</w:t>
      </w:r>
      <w:r w:rsidR="00F15711">
        <w:rPr>
          <w:rFonts w:ascii="Times New Roman" w:hAnsi="Times New Roman" w:cs="Times New Roman"/>
          <w:sz w:val="24"/>
          <w:szCs w:val="24"/>
          <w:lang w:val="en-US"/>
        </w:rPr>
        <w:t>,</w:t>
      </w:r>
      <w:r w:rsidR="00F349DA">
        <w:rPr>
          <w:rFonts w:ascii="Times New Roman" w:hAnsi="Times New Roman" w:cs="Times New Roman"/>
          <w:sz w:val="24"/>
          <w:szCs w:val="24"/>
          <w:lang w:val="en-US"/>
        </w:rPr>
        <w:t xml:space="preserve"> there is an incentive for CEO contestants to exert more effort in managing their </w:t>
      </w:r>
      <w:r w:rsidR="00F349DA">
        <w:rPr>
          <w:rFonts w:ascii="Times New Roman" w:hAnsi="Times New Roman" w:cs="Times New Roman"/>
          <w:sz w:val="24"/>
          <w:szCs w:val="24"/>
          <w:lang w:val="en-US"/>
        </w:rPr>
        <w:lastRenderedPageBreak/>
        <w:t xml:space="preserve">projects, thereby </w:t>
      </w:r>
      <w:r w:rsidR="0035493A">
        <w:rPr>
          <w:rFonts w:ascii="Times New Roman" w:hAnsi="Times New Roman" w:cs="Times New Roman"/>
          <w:sz w:val="24"/>
          <w:szCs w:val="24"/>
          <w:lang w:val="en-US"/>
        </w:rPr>
        <w:t xml:space="preserve">potentially </w:t>
      </w:r>
      <w:r w:rsidR="00F349DA">
        <w:rPr>
          <w:rFonts w:ascii="Times New Roman" w:hAnsi="Times New Roman" w:cs="Times New Roman"/>
          <w:sz w:val="24"/>
          <w:szCs w:val="24"/>
          <w:lang w:val="en-US"/>
        </w:rPr>
        <w:t xml:space="preserve">increasing the value of the firm. We posit that this </w:t>
      </w:r>
      <w:proofErr w:type="gramStart"/>
      <w:r w:rsidR="00F349DA">
        <w:rPr>
          <w:rFonts w:ascii="Times New Roman" w:hAnsi="Times New Roman" w:cs="Times New Roman"/>
          <w:sz w:val="24"/>
          <w:szCs w:val="24"/>
          <w:lang w:val="en-US"/>
        </w:rPr>
        <w:t>will, therefore, attract</w:t>
      </w:r>
      <w:proofErr w:type="gramEnd"/>
      <w:r w:rsidR="00F349DA">
        <w:rPr>
          <w:rFonts w:ascii="Times New Roman" w:hAnsi="Times New Roman" w:cs="Times New Roman"/>
          <w:sz w:val="24"/>
          <w:szCs w:val="24"/>
          <w:lang w:val="en-US"/>
        </w:rPr>
        <w:t xml:space="preserve"> greater institutional ownership.</w:t>
      </w:r>
    </w:p>
    <w:p w14:paraId="761F6F5F" w14:textId="3912AD6B" w:rsidR="006732BF" w:rsidRDefault="00495B79" w:rsidP="00495B79">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final test is based on </w:t>
      </w:r>
      <w:r w:rsidR="00F15711">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implication of our theoretical </w:t>
      </w:r>
      <w:proofErr w:type="gramStart"/>
      <w:r>
        <w:rPr>
          <w:rFonts w:ascii="Times New Roman" w:hAnsi="Times New Roman" w:cs="Times New Roman"/>
          <w:sz w:val="24"/>
          <w:szCs w:val="24"/>
          <w:lang w:val="en-US"/>
        </w:rPr>
        <w:t>model</w:t>
      </w:r>
      <w:r w:rsidR="00F349DA">
        <w:rPr>
          <w:rFonts w:ascii="Times New Roman" w:hAnsi="Times New Roman" w:cs="Times New Roman"/>
          <w:sz w:val="24"/>
          <w:szCs w:val="24"/>
          <w:lang w:val="en-US"/>
        </w:rPr>
        <w:t xml:space="preserve"> which</w:t>
      </w:r>
      <w:proofErr w:type="gramEnd"/>
      <w:r w:rsidR="00F349DA">
        <w:rPr>
          <w:rFonts w:ascii="Times New Roman" w:hAnsi="Times New Roman" w:cs="Times New Roman"/>
          <w:sz w:val="24"/>
          <w:szCs w:val="24"/>
          <w:lang w:val="en-US"/>
        </w:rPr>
        <w:t xml:space="preserve"> suggests </w:t>
      </w:r>
      <w:r w:rsidR="007167FC">
        <w:rPr>
          <w:rFonts w:ascii="Times New Roman" w:hAnsi="Times New Roman" w:cs="Times New Roman"/>
          <w:sz w:val="24"/>
          <w:szCs w:val="24"/>
          <w:lang w:val="en-US"/>
        </w:rPr>
        <w:t xml:space="preserve">that </w:t>
      </w:r>
      <w:r w:rsidRPr="00495B79">
        <w:rPr>
          <w:rFonts w:ascii="Times New Roman" w:hAnsi="Times New Roman" w:cs="Times New Roman"/>
          <w:sz w:val="24"/>
          <w:szCs w:val="24"/>
          <w:lang w:val="en-US"/>
        </w:rPr>
        <w:t xml:space="preserve">the relationship between tournament incentives and institutional holdings is more pronounced when capital expenditure is </w:t>
      </w:r>
      <w:r w:rsidR="007167FC">
        <w:rPr>
          <w:rFonts w:ascii="Times New Roman" w:hAnsi="Times New Roman" w:cs="Times New Roman"/>
          <w:sz w:val="24"/>
          <w:szCs w:val="24"/>
          <w:lang w:val="en-US"/>
        </w:rPr>
        <w:t xml:space="preserve">especially </w:t>
      </w:r>
      <w:r w:rsidRPr="00495B79">
        <w:rPr>
          <w:rFonts w:ascii="Times New Roman" w:hAnsi="Times New Roman" w:cs="Times New Roman"/>
          <w:sz w:val="24"/>
          <w:szCs w:val="24"/>
          <w:lang w:val="en-US"/>
        </w:rPr>
        <w:t>high</w:t>
      </w:r>
      <w:r w:rsidRPr="00495B79">
        <w:rPr>
          <w:rFonts w:ascii="Times New Roman" w:hAnsi="Times New Roman" w:cs="Times New Roman"/>
          <w:sz w:val="24"/>
          <w:szCs w:val="24"/>
        </w:rPr>
        <w:t>.</w:t>
      </w:r>
      <w:r>
        <w:rPr>
          <w:rFonts w:ascii="Times New Roman" w:hAnsi="Times New Roman" w:cs="Times New Roman"/>
          <w:sz w:val="24"/>
          <w:szCs w:val="24"/>
        </w:rPr>
        <w:t xml:space="preserve"> </w:t>
      </w:r>
      <w:r w:rsidR="007167FC">
        <w:rPr>
          <w:rFonts w:ascii="Times New Roman" w:hAnsi="Times New Roman" w:cs="Times New Roman"/>
          <w:sz w:val="24"/>
          <w:szCs w:val="24"/>
        </w:rPr>
        <w:t xml:space="preserve">High capital expenditures have the effect of “leveraging up” the impact of managerial efforts and actions on corporate performance; that is, productive managerial efforts and actions will have greater impact on </w:t>
      </w:r>
      <w:r w:rsidR="00001D4B">
        <w:rPr>
          <w:rFonts w:ascii="Times New Roman" w:hAnsi="Times New Roman" w:cs="Times New Roman"/>
          <w:sz w:val="24"/>
          <w:szCs w:val="24"/>
        </w:rPr>
        <w:t xml:space="preserve">the firm’s </w:t>
      </w:r>
      <w:r w:rsidR="007167FC">
        <w:rPr>
          <w:rFonts w:ascii="Times New Roman" w:hAnsi="Times New Roman" w:cs="Times New Roman"/>
          <w:sz w:val="24"/>
          <w:szCs w:val="24"/>
        </w:rPr>
        <w:t xml:space="preserve">performance in a </w:t>
      </w:r>
      <w:r w:rsidR="00001D4B">
        <w:rPr>
          <w:rFonts w:ascii="Times New Roman" w:hAnsi="Times New Roman" w:cs="Times New Roman"/>
          <w:sz w:val="24"/>
          <w:szCs w:val="24"/>
        </w:rPr>
        <w:t xml:space="preserve">high </w:t>
      </w:r>
      <w:r w:rsidR="007167FC">
        <w:rPr>
          <w:rFonts w:ascii="Times New Roman" w:hAnsi="Times New Roman" w:cs="Times New Roman"/>
          <w:sz w:val="24"/>
          <w:szCs w:val="24"/>
        </w:rPr>
        <w:t>capital-intensive e</w:t>
      </w:r>
      <w:r w:rsidR="00001D4B">
        <w:rPr>
          <w:rFonts w:ascii="Times New Roman" w:hAnsi="Times New Roman" w:cs="Times New Roman"/>
          <w:sz w:val="24"/>
          <w:szCs w:val="24"/>
        </w:rPr>
        <w:t>nvironment than in a low capital-intensive environment.</w:t>
      </w:r>
      <w:r w:rsidR="00F349DA">
        <w:rPr>
          <w:rFonts w:ascii="Times New Roman" w:hAnsi="Times New Roman" w:cs="Times New Roman"/>
          <w:sz w:val="24"/>
          <w:szCs w:val="24"/>
        </w:rPr>
        <w:t xml:space="preserve"> </w:t>
      </w:r>
      <w:r w:rsidR="00001D4B">
        <w:rPr>
          <w:rFonts w:ascii="Times New Roman" w:hAnsi="Times New Roman" w:cs="Times New Roman"/>
          <w:sz w:val="24"/>
          <w:szCs w:val="24"/>
          <w:lang w:val="en-US"/>
        </w:rPr>
        <w:t>Using</w:t>
      </w:r>
      <w:r w:rsidR="005636A7">
        <w:rPr>
          <w:rFonts w:ascii="Times New Roman" w:hAnsi="Times New Roman" w:cs="Times New Roman"/>
          <w:sz w:val="24"/>
          <w:szCs w:val="24"/>
          <w:lang w:val="en-US"/>
        </w:rPr>
        <w:t xml:space="preserve"> </w:t>
      </w:r>
      <w:r w:rsidR="00001D4B">
        <w:rPr>
          <w:rFonts w:ascii="Times New Roman" w:hAnsi="Times New Roman" w:cs="Times New Roman"/>
          <w:sz w:val="24"/>
          <w:szCs w:val="24"/>
          <w:lang w:val="en-US"/>
        </w:rPr>
        <w:t xml:space="preserve">the ratio of </w:t>
      </w:r>
      <w:r w:rsidR="005636A7">
        <w:rPr>
          <w:rFonts w:ascii="Times New Roman" w:hAnsi="Times New Roman" w:cs="Times New Roman"/>
          <w:sz w:val="24"/>
          <w:szCs w:val="24"/>
          <w:lang w:val="en-US"/>
        </w:rPr>
        <w:t>capital expenditure</w:t>
      </w:r>
      <w:r w:rsidR="00001D4B">
        <w:rPr>
          <w:rFonts w:ascii="Times New Roman" w:hAnsi="Times New Roman" w:cs="Times New Roman"/>
          <w:sz w:val="24"/>
          <w:szCs w:val="24"/>
          <w:lang w:val="en-US"/>
        </w:rPr>
        <w:t>s</w:t>
      </w:r>
      <w:r w:rsidR="005636A7">
        <w:rPr>
          <w:rFonts w:ascii="Times New Roman" w:hAnsi="Times New Roman" w:cs="Times New Roman"/>
          <w:sz w:val="24"/>
          <w:szCs w:val="24"/>
          <w:lang w:val="en-US"/>
        </w:rPr>
        <w:t xml:space="preserve"> over total assets as a proxy for </w:t>
      </w:r>
      <w:r w:rsidR="00001D4B">
        <w:rPr>
          <w:rFonts w:ascii="Times New Roman" w:hAnsi="Times New Roman" w:cs="Times New Roman"/>
          <w:sz w:val="24"/>
          <w:szCs w:val="24"/>
          <w:lang w:val="en-US"/>
        </w:rPr>
        <w:t>capital intensity, we test and confirm our hypothesis that internal tournaments play a significantly more important role in capital-intensive environments than in low-capital settings (i.e., the relationship between tournaments and institutional ownership is especially strong for capital-intensive firms).</w:t>
      </w:r>
    </w:p>
    <w:p w14:paraId="6B02694D" w14:textId="72C838AD" w:rsidR="00FB5491" w:rsidRDefault="00CB18DA" w:rsidP="00CB18DA">
      <w:pPr>
        <w:spacing w:after="0" w:line="480" w:lineRule="auto"/>
        <w:ind w:firstLine="567"/>
        <w:jc w:val="both"/>
        <w:rPr>
          <w:rFonts w:ascii="Times New Roman" w:hAnsi="Times New Roman" w:cs="Times New Roman"/>
          <w:sz w:val="24"/>
          <w:szCs w:val="24"/>
          <w:lang w:val="en-US"/>
        </w:rPr>
      </w:pPr>
      <w:r w:rsidRPr="00CB18DA">
        <w:rPr>
          <w:rFonts w:ascii="Times New Roman" w:hAnsi="Times New Roman" w:cs="Times New Roman"/>
          <w:sz w:val="24"/>
          <w:szCs w:val="24"/>
          <w:lang w:val="en-US"/>
        </w:rPr>
        <w:t xml:space="preserve">Our study contributes to </w:t>
      </w:r>
      <w:r w:rsidR="005D2BFA">
        <w:rPr>
          <w:rFonts w:ascii="Times New Roman" w:hAnsi="Times New Roman" w:cs="Times New Roman"/>
          <w:sz w:val="24"/>
          <w:szCs w:val="24"/>
          <w:lang w:val="en-US"/>
        </w:rPr>
        <w:t xml:space="preserve">two main </w:t>
      </w:r>
      <w:r w:rsidRPr="00CB18DA">
        <w:rPr>
          <w:rFonts w:ascii="Times New Roman" w:hAnsi="Times New Roman" w:cs="Times New Roman"/>
          <w:sz w:val="24"/>
          <w:szCs w:val="24"/>
          <w:lang w:val="en-US"/>
        </w:rPr>
        <w:t xml:space="preserve">strands of literature. First, this paper contributes to the burgeoning literature on tournaments. </w:t>
      </w:r>
      <w:r w:rsidR="00001D4B">
        <w:rPr>
          <w:rFonts w:ascii="Times New Roman" w:hAnsi="Times New Roman" w:cs="Times New Roman"/>
          <w:sz w:val="24"/>
          <w:szCs w:val="24"/>
          <w:lang w:val="en-US"/>
        </w:rPr>
        <w:t>Previous studies show that t</w:t>
      </w:r>
      <w:r w:rsidRPr="00CB18DA">
        <w:rPr>
          <w:rFonts w:ascii="Times New Roman" w:hAnsi="Times New Roman" w:cs="Times New Roman"/>
          <w:sz w:val="24"/>
          <w:szCs w:val="24"/>
          <w:lang w:val="en-US"/>
        </w:rPr>
        <w:t xml:space="preserve">ournament incentives have </w:t>
      </w:r>
      <w:r w:rsidR="00FB5491">
        <w:rPr>
          <w:rFonts w:ascii="Times New Roman" w:hAnsi="Times New Roman" w:cs="Times New Roman"/>
          <w:sz w:val="24"/>
          <w:szCs w:val="24"/>
          <w:lang w:val="en-US"/>
        </w:rPr>
        <w:t>a significant</w:t>
      </w:r>
      <w:r w:rsidRPr="00CB18DA">
        <w:rPr>
          <w:rFonts w:ascii="Times New Roman" w:hAnsi="Times New Roman" w:cs="Times New Roman"/>
          <w:sz w:val="24"/>
          <w:szCs w:val="24"/>
          <w:lang w:val="en-US"/>
        </w:rPr>
        <w:t xml:space="preserve"> influence o</w:t>
      </w:r>
      <w:r w:rsidR="008D0817">
        <w:rPr>
          <w:rFonts w:ascii="Times New Roman" w:hAnsi="Times New Roman" w:cs="Times New Roman"/>
          <w:sz w:val="24"/>
          <w:szCs w:val="24"/>
          <w:lang w:val="en-US"/>
        </w:rPr>
        <w:t>n</w:t>
      </w:r>
      <w:r w:rsidRPr="00CB18DA">
        <w:rPr>
          <w:rFonts w:ascii="Times New Roman" w:hAnsi="Times New Roman" w:cs="Times New Roman"/>
          <w:sz w:val="24"/>
          <w:szCs w:val="24"/>
          <w:lang w:val="en-US"/>
        </w:rPr>
        <w:t xml:space="preserve"> </w:t>
      </w:r>
      <w:r w:rsidR="008D0817">
        <w:rPr>
          <w:rFonts w:ascii="Times New Roman" w:hAnsi="Times New Roman" w:cs="Times New Roman"/>
          <w:sz w:val="24"/>
          <w:szCs w:val="24"/>
          <w:lang w:val="en-US"/>
        </w:rPr>
        <w:t>corporate</w:t>
      </w:r>
      <w:r w:rsidRPr="00CB18DA">
        <w:rPr>
          <w:rFonts w:ascii="Times New Roman" w:hAnsi="Times New Roman" w:cs="Times New Roman"/>
          <w:sz w:val="24"/>
          <w:szCs w:val="24"/>
          <w:lang w:val="en-US"/>
        </w:rPr>
        <w:t xml:space="preserve"> decisions and valu</w:t>
      </w:r>
      <w:r w:rsidR="008D0817">
        <w:rPr>
          <w:rFonts w:ascii="Times New Roman" w:hAnsi="Times New Roman" w:cs="Times New Roman"/>
          <w:sz w:val="24"/>
          <w:szCs w:val="24"/>
          <w:lang w:val="en-US"/>
        </w:rPr>
        <w:t>ations</w:t>
      </w:r>
      <w:r w:rsidRPr="00CB18DA">
        <w:rPr>
          <w:rFonts w:ascii="Times New Roman" w:hAnsi="Times New Roman" w:cs="Times New Roman"/>
          <w:sz w:val="24"/>
          <w:szCs w:val="24"/>
          <w:lang w:val="en-US"/>
        </w:rPr>
        <w:t xml:space="preserve">. For example, </w:t>
      </w:r>
      <w:r w:rsidR="008D0817">
        <w:rPr>
          <w:rFonts w:ascii="Times New Roman" w:hAnsi="Times New Roman" w:cs="Times New Roman"/>
          <w:sz w:val="24"/>
          <w:szCs w:val="24"/>
          <w:lang w:val="en-US"/>
        </w:rPr>
        <w:t xml:space="preserve">tournament incentives are </w:t>
      </w:r>
      <w:r w:rsidRPr="00CB18DA">
        <w:rPr>
          <w:rFonts w:ascii="Times New Roman" w:hAnsi="Times New Roman" w:cs="Times New Roman"/>
          <w:sz w:val="24"/>
          <w:szCs w:val="24"/>
          <w:lang w:val="en-US"/>
        </w:rPr>
        <w:t>positively related to firm performance (Kale et al., 2009)</w:t>
      </w:r>
      <w:r w:rsidR="008D0817">
        <w:rPr>
          <w:rFonts w:ascii="Times New Roman" w:hAnsi="Times New Roman" w:cs="Times New Roman"/>
          <w:sz w:val="24"/>
          <w:szCs w:val="24"/>
          <w:lang w:val="en-US"/>
        </w:rPr>
        <w:t>,</w:t>
      </w:r>
      <w:r w:rsidRPr="00CB18DA">
        <w:rPr>
          <w:rFonts w:ascii="Times New Roman" w:hAnsi="Times New Roman" w:cs="Times New Roman"/>
          <w:sz w:val="24"/>
          <w:szCs w:val="24"/>
          <w:lang w:val="en-US"/>
        </w:rPr>
        <w:t xml:space="preserve"> </w:t>
      </w:r>
      <w:r w:rsidR="00001D4B">
        <w:rPr>
          <w:rFonts w:ascii="Times New Roman" w:hAnsi="Times New Roman" w:cs="Times New Roman"/>
          <w:sz w:val="24"/>
          <w:szCs w:val="24"/>
          <w:lang w:val="en-US"/>
        </w:rPr>
        <w:t xml:space="preserve">disclosure </w:t>
      </w:r>
      <w:r w:rsidRPr="00CB18DA">
        <w:rPr>
          <w:rFonts w:ascii="Times New Roman" w:hAnsi="Times New Roman" w:cs="Times New Roman"/>
          <w:sz w:val="24"/>
          <w:szCs w:val="24"/>
          <w:lang w:val="en-US"/>
        </w:rPr>
        <w:t>policies (</w:t>
      </w:r>
      <w:proofErr w:type="spellStart"/>
      <w:r w:rsidRPr="00CB18DA">
        <w:rPr>
          <w:rFonts w:ascii="Times New Roman" w:hAnsi="Times New Roman" w:cs="Times New Roman"/>
          <w:sz w:val="24"/>
          <w:szCs w:val="24"/>
          <w:lang w:val="en-US"/>
        </w:rPr>
        <w:t>Haß</w:t>
      </w:r>
      <w:proofErr w:type="spellEnd"/>
      <w:r w:rsidRPr="00CB18DA">
        <w:rPr>
          <w:rFonts w:ascii="Times New Roman" w:hAnsi="Times New Roman" w:cs="Times New Roman"/>
          <w:sz w:val="24"/>
          <w:szCs w:val="24"/>
          <w:lang w:val="en-US"/>
        </w:rPr>
        <w:t xml:space="preserve"> et al., 2015), innovation decisions (Shen and Zhang, 2017), and</w:t>
      </w:r>
      <w:r w:rsidR="00A80890">
        <w:rPr>
          <w:rFonts w:ascii="Times New Roman" w:hAnsi="Times New Roman" w:cs="Times New Roman"/>
          <w:sz w:val="24"/>
          <w:szCs w:val="24"/>
          <w:lang w:val="en-US"/>
        </w:rPr>
        <w:t xml:space="preserve"> </w:t>
      </w:r>
      <w:r w:rsidRPr="00CB18DA">
        <w:rPr>
          <w:rFonts w:ascii="Times New Roman" w:hAnsi="Times New Roman" w:cs="Times New Roman"/>
          <w:sz w:val="24"/>
          <w:szCs w:val="24"/>
          <w:lang w:val="en-US"/>
        </w:rPr>
        <w:t xml:space="preserve">cash holdings (Phan et al., 2017). While the existing literature examines tournament implications </w:t>
      </w:r>
      <w:r w:rsidR="00916FEE">
        <w:rPr>
          <w:rFonts w:ascii="Times New Roman" w:hAnsi="Times New Roman" w:cs="Times New Roman"/>
          <w:sz w:val="24"/>
          <w:szCs w:val="24"/>
          <w:lang w:val="en-US"/>
        </w:rPr>
        <w:t>mostly from within the firm, no study to date has examined the impact of internal tournaments on the firm’s ownership structure.</w:t>
      </w:r>
      <w:r w:rsidRPr="00CB18DA">
        <w:rPr>
          <w:rFonts w:ascii="Times New Roman" w:hAnsi="Times New Roman" w:cs="Times New Roman"/>
          <w:sz w:val="24"/>
          <w:szCs w:val="24"/>
          <w:lang w:val="en-US"/>
        </w:rPr>
        <w:t xml:space="preserve"> We fill this gap by investigating how tournament competition </w:t>
      </w:r>
      <w:r w:rsidR="00916FEE">
        <w:rPr>
          <w:rFonts w:ascii="Times New Roman" w:hAnsi="Times New Roman" w:cs="Times New Roman"/>
          <w:sz w:val="24"/>
          <w:szCs w:val="24"/>
          <w:lang w:val="en-US"/>
        </w:rPr>
        <w:t xml:space="preserve">can preferentially attract sophisticated investors over unsophisticated investors. </w:t>
      </w:r>
      <w:r w:rsidRPr="00CB18DA">
        <w:rPr>
          <w:rFonts w:ascii="Times New Roman" w:hAnsi="Times New Roman" w:cs="Times New Roman"/>
          <w:sz w:val="24"/>
          <w:szCs w:val="24"/>
          <w:lang w:val="en-US"/>
        </w:rPr>
        <w:t xml:space="preserve"> </w:t>
      </w:r>
    </w:p>
    <w:p w14:paraId="67C6352E" w14:textId="17EE130F" w:rsidR="00FB5491" w:rsidRDefault="00CB18DA" w:rsidP="00CB18DA">
      <w:pPr>
        <w:spacing w:after="0" w:line="480" w:lineRule="auto"/>
        <w:ind w:firstLine="567"/>
        <w:jc w:val="both"/>
        <w:rPr>
          <w:rFonts w:ascii="Times New Roman" w:hAnsi="Times New Roman" w:cs="Times New Roman"/>
          <w:sz w:val="24"/>
          <w:szCs w:val="24"/>
          <w:lang w:val="en-US"/>
        </w:rPr>
      </w:pPr>
      <w:r w:rsidRPr="00CB18DA">
        <w:rPr>
          <w:rFonts w:ascii="Times New Roman" w:hAnsi="Times New Roman" w:cs="Times New Roman"/>
          <w:sz w:val="24"/>
          <w:szCs w:val="24"/>
          <w:lang w:val="en-US"/>
        </w:rPr>
        <w:t xml:space="preserve">Second, </w:t>
      </w:r>
      <w:r w:rsidR="005D2BFA">
        <w:rPr>
          <w:rFonts w:ascii="Times New Roman" w:hAnsi="Times New Roman" w:cs="Times New Roman"/>
          <w:sz w:val="24"/>
          <w:szCs w:val="24"/>
          <w:lang w:val="en-US"/>
        </w:rPr>
        <w:t xml:space="preserve">our study </w:t>
      </w:r>
      <w:r w:rsidRPr="00CB18DA">
        <w:rPr>
          <w:rFonts w:ascii="Times New Roman" w:hAnsi="Times New Roman" w:cs="Times New Roman"/>
          <w:noProof/>
          <w:sz w:val="24"/>
          <w:szCs w:val="24"/>
          <w:lang w:val="en-US"/>
        </w:rPr>
        <w:t>contributes to</w:t>
      </w:r>
      <w:r w:rsidRPr="00CB18DA">
        <w:rPr>
          <w:rFonts w:ascii="Times New Roman" w:hAnsi="Times New Roman" w:cs="Times New Roman"/>
          <w:sz w:val="24"/>
          <w:szCs w:val="24"/>
          <w:lang w:val="en-US"/>
        </w:rPr>
        <w:t xml:space="preserve"> the literature </w:t>
      </w:r>
      <w:r w:rsidRPr="00CB18DA">
        <w:rPr>
          <w:rFonts w:ascii="Times New Roman" w:hAnsi="Times New Roman" w:cs="Times New Roman"/>
          <w:noProof/>
          <w:sz w:val="24"/>
          <w:szCs w:val="24"/>
          <w:lang w:val="en-US"/>
        </w:rPr>
        <w:t xml:space="preserve">on </w:t>
      </w:r>
      <w:r w:rsidR="00916FEE">
        <w:rPr>
          <w:rFonts w:ascii="Times New Roman" w:hAnsi="Times New Roman" w:cs="Times New Roman"/>
          <w:noProof/>
          <w:sz w:val="24"/>
          <w:szCs w:val="24"/>
          <w:lang w:val="en-US"/>
        </w:rPr>
        <w:t xml:space="preserve">the determinants of </w:t>
      </w:r>
      <w:r w:rsidRPr="00CB18DA">
        <w:rPr>
          <w:rFonts w:ascii="Times New Roman" w:hAnsi="Times New Roman" w:cs="Times New Roman"/>
          <w:noProof/>
          <w:sz w:val="24"/>
          <w:szCs w:val="24"/>
          <w:lang w:val="en-US"/>
        </w:rPr>
        <w:t>institutional ownership.</w:t>
      </w:r>
      <w:r w:rsidRPr="00CB18DA">
        <w:rPr>
          <w:rFonts w:ascii="Times New Roman" w:hAnsi="Times New Roman" w:cs="Times New Roman"/>
          <w:sz w:val="24"/>
          <w:szCs w:val="24"/>
          <w:lang w:val="en-US"/>
        </w:rPr>
        <w:t xml:space="preserve"> </w:t>
      </w:r>
      <w:proofErr w:type="gramStart"/>
      <w:r w:rsidRPr="00CB18DA">
        <w:rPr>
          <w:rFonts w:ascii="Times New Roman" w:hAnsi="Times New Roman" w:cs="Times New Roman"/>
          <w:sz w:val="24"/>
          <w:szCs w:val="24"/>
          <w:lang w:val="en-US"/>
        </w:rPr>
        <w:t xml:space="preserve">Prior research has shown that firms </w:t>
      </w:r>
      <w:r w:rsidR="00916FEE">
        <w:rPr>
          <w:rFonts w:ascii="Times New Roman" w:hAnsi="Times New Roman" w:cs="Times New Roman"/>
          <w:sz w:val="24"/>
          <w:szCs w:val="24"/>
          <w:lang w:val="en-US"/>
        </w:rPr>
        <w:t xml:space="preserve">can increase </w:t>
      </w:r>
      <w:r w:rsidRPr="00CB18DA">
        <w:rPr>
          <w:rFonts w:ascii="Times New Roman" w:hAnsi="Times New Roman" w:cs="Times New Roman"/>
          <w:sz w:val="24"/>
          <w:szCs w:val="24"/>
          <w:lang w:val="en-US"/>
        </w:rPr>
        <w:t>the</w:t>
      </w:r>
      <w:r w:rsidR="00916FEE">
        <w:rPr>
          <w:rFonts w:ascii="Times New Roman" w:hAnsi="Times New Roman" w:cs="Times New Roman"/>
          <w:sz w:val="24"/>
          <w:szCs w:val="24"/>
          <w:lang w:val="en-US"/>
        </w:rPr>
        <w:t>ir</w:t>
      </w:r>
      <w:r w:rsidRPr="00CB18DA">
        <w:rPr>
          <w:rFonts w:ascii="Times New Roman" w:hAnsi="Times New Roman" w:cs="Times New Roman"/>
          <w:sz w:val="24"/>
          <w:szCs w:val="24"/>
          <w:lang w:val="en-US"/>
        </w:rPr>
        <w:t xml:space="preserve"> base of institutional investors through </w:t>
      </w:r>
      <w:r w:rsidR="00916FEE">
        <w:rPr>
          <w:rFonts w:ascii="Times New Roman" w:hAnsi="Times New Roman" w:cs="Times New Roman"/>
          <w:sz w:val="24"/>
          <w:szCs w:val="24"/>
          <w:lang w:val="en-US"/>
        </w:rPr>
        <w:t xml:space="preserve">their corporate policies related to financial </w:t>
      </w:r>
      <w:r w:rsidRPr="00CB18DA">
        <w:rPr>
          <w:rFonts w:ascii="Times New Roman" w:hAnsi="Times New Roman" w:cs="Times New Roman"/>
          <w:sz w:val="24"/>
          <w:szCs w:val="24"/>
          <w:lang w:val="en-US"/>
        </w:rPr>
        <w:t>disclosure (</w:t>
      </w:r>
      <w:proofErr w:type="spellStart"/>
      <w:r w:rsidRPr="00CB18DA">
        <w:rPr>
          <w:rFonts w:ascii="Times New Roman" w:hAnsi="Times New Roman" w:cs="Times New Roman"/>
          <w:sz w:val="24"/>
          <w:szCs w:val="24"/>
          <w:lang w:val="en-US"/>
        </w:rPr>
        <w:t>Bushee</w:t>
      </w:r>
      <w:proofErr w:type="spellEnd"/>
      <w:r w:rsidRPr="00CB18DA">
        <w:rPr>
          <w:rFonts w:ascii="Times New Roman" w:hAnsi="Times New Roman" w:cs="Times New Roman"/>
          <w:sz w:val="24"/>
          <w:szCs w:val="24"/>
          <w:lang w:val="en-US"/>
        </w:rPr>
        <w:t xml:space="preserve"> and </w:t>
      </w:r>
      <w:proofErr w:type="spellStart"/>
      <w:r w:rsidRPr="00CB18DA">
        <w:rPr>
          <w:rFonts w:ascii="Times New Roman" w:hAnsi="Times New Roman" w:cs="Times New Roman"/>
          <w:sz w:val="24"/>
          <w:szCs w:val="24"/>
          <w:lang w:val="en-US"/>
        </w:rPr>
        <w:t>Noe</w:t>
      </w:r>
      <w:proofErr w:type="spellEnd"/>
      <w:r w:rsidRPr="00CB18DA">
        <w:rPr>
          <w:rFonts w:ascii="Times New Roman" w:hAnsi="Times New Roman" w:cs="Times New Roman"/>
          <w:sz w:val="24"/>
          <w:szCs w:val="24"/>
          <w:lang w:val="en-US"/>
        </w:rPr>
        <w:t>, 2000), dividend</w:t>
      </w:r>
      <w:r w:rsidR="00916FEE">
        <w:rPr>
          <w:rFonts w:ascii="Times New Roman" w:hAnsi="Times New Roman" w:cs="Times New Roman"/>
          <w:sz w:val="24"/>
          <w:szCs w:val="24"/>
          <w:lang w:val="en-US"/>
        </w:rPr>
        <w:t>s</w:t>
      </w:r>
      <w:r w:rsidRPr="00CB18DA">
        <w:rPr>
          <w:rFonts w:ascii="Times New Roman" w:hAnsi="Times New Roman" w:cs="Times New Roman"/>
          <w:sz w:val="24"/>
          <w:szCs w:val="24"/>
          <w:lang w:val="en-US"/>
        </w:rPr>
        <w:t xml:space="preserve"> (Allen </w:t>
      </w:r>
      <w:r w:rsidRPr="00C10B0F">
        <w:rPr>
          <w:rFonts w:ascii="Times New Roman" w:hAnsi="Times New Roman" w:cs="Times New Roman"/>
          <w:sz w:val="24"/>
          <w:szCs w:val="24"/>
          <w:lang w:val="en-US"/>
        </w:rPr>
        <w:t>et al.</w:t>
      </w:r>
      <w:r w:rsidRPr="00CB18DA">
        <w:rPr>
          <w:rFonts w:ascii="Times New Roman" w:hAnsi="Times New Roman" w:cs="Times New Roman"/>
          <w:i/>
          <w:sz w:val="24"/>
          <w:szCs w:val="24"/>
          <w:lang w:val="en-US"/>
        </w:rPr>
        <w:t>,</w:t>
      </w:r>
      <w:r w:rsidRPr="00CB18DA">
        <w:rPr>
          <w:rFonts w:ascii="Times New Roman" w:hAnsi="Times New Roman" w:cs="Times New Roman"/>
          <w:sz w:val="24"/>
          <w:szCs w:val="24"/>
          <w:lang w:val="en-US"/>
        </w:rPr>
        <w:t xml:space="preserve"> 2000), advertising (</w:t>
      </w:r>
      <w:proofErr w:type="spellStart"/>
      <w:r w:rsidRPr="00CB18DA">
        <w:rPr>
          <w:rFonts w:ascii="Times New Roman" w:hAnsi="Times New Roman" w:cs="Times New Roman"/>
          <w:sz w:val="24"/>
          <w:szCs w:val="24"/>
          <w:lang w:val="en-US"/>
        </w:rPr>
        <w:t>Grullon</w:t>
      </w:r>
      <w:proofErr w:type="spellEnd"/>
      <w:r w:rsidRPr="00CB18DA">
        <w:rPr>
          <w:rFonts w:ascii="Times New Roman" w:hAnsi="Times New Roman" w:cs="Times New Roman"/>
          <w:sz w:val="24"/>
          <w:szCs w:val="24"/>
          <w:lang w:val="en-US"/>
        </w:rPr>
        <w:t xml:space="preserve"> </w:t>
      </w:r>
      <w:r w:rsidRPr="00C10B0F">
        <w:rPr>
          <w:rFonts w:ascii="Times New Roman" w:hAnsi="Times New Roman" w:cs="Times New Roman"/>
          <w:sz w:val="24"/>
          <w:szCs w:val="24"/>
          <w:lang w:val="en-US"/>
        </w:rPr>
        <w:t>et al</w:t>
      </w:r>
      <w:r w:rsidRPr="008D0817">
        <w:rPr>
          <w:rFonts w:ascii="Times New Roman" w:hAnsi="Times New Roman" w:cs="Times New Roman"/>
          <w:sz w:val="24"/>
          <w:szCs w:val="24"/>
          <w:lang w:val="en-US"/>
        </w:rPr>
        <w:t>.,</w:t>
      </w:r>
      <w:r w:rsidRPr="00CB18DA">
        <w:rPr>
          <w:rFonts w:ascii="Times New Roman" w:hAnsi="Times New Roman" w:cs="Times New Roman"/>
          <w:sz w:val="24"/>
          <w:szCs w:val="24"/>
          <w:lang w:val="en-US"/>
        </w:rPr>
        <w:t xml:space="preserve"> 2004), carve-outs (</w:t>
      </w:r>
      <w:proofErr w:type="spellStart"/>
      <w:r w:rsidRPr="00CB18DA">
        <w:rPr>
          <w:rFonts w:ascii="Times New Roman" w:hAnsi="Times New Roman" w:cs="Times New Roman"/>
          <w:sz w:val="24"/>
          <w:szCs w:val="24"/>
          <w:lang w:val="en-US"/>
        </w:rPr>
        <w:t>Perotti</w:t>
      </w:r>
      <w:proofErr w:type="spellEnd"/>
      <w:r w:rsidRPr="00CB18DA">
        <w:rPr>
          <w:rFonts w:ascii="Times New Roman" w:hAnsi="Times New Roman" w:cs="Times New Roman"/>
          <w:sz w:val="24"/>
          <w:szCs w:val="24"/>
          <w:lang w:val="en-US"/>
        </w:rPr>
        <w:t xml:space="preserve"> and </w:t>
      </w:r>
      <w:proofErr w:type="spellStart"/>
      <w:r w:rsidRPr="00CB18DA">
        <w:rPr>
          <w:rFonts w:ascii="Times New Roman" w:hAnsi="Times New Roman" w:cs="Times New Roman"/>
          <w:sz w:val="24"/>
          <w:szCs w:val="24"/>
          <w:lang w:val="en-US"/>
        </w:rPr>
        <w:lastRenderedPageBreak/>
        <w:t>Rossetto</w:t>
      </w:r>
      <w:proofErr w:type="spellEnd"/>
      <w:r w:rsidRPr="00CB18DA">
        <w:rPr>
          <w:rFonts w:ascii="Times New Roman" w:hAnsi="Times New Roman" w:cs="Times New Roman"/>
          <w:sz w:val="24"/>
          <w:szCs w:val="24"/>
          <w:lang w:val="en-US"/>
        </w:rPr>
        <w:t>, 2007), corporate governance (Chung and Zhang, 2011), investments (</w:t>
      </w:r>
      <w:proofErr w:type="spellStart"/>
      <w:r w:rsidRPr="00CB18DA">
        <w:rPr>
          <w:rFonts w:ascii="Times New Roman" w:hAnsi="Times New Roman" w:cs="Times New Roman"/>
          <w:sz w:val="24"/>
          <w:szCs w:val="24"/>
          <w:lang w:val="en-US"/>
        </w:rPr>
        <w:t>Strobl</w:t>
      </w:r>
      <w:proofErr w:type="spellEnd"/>
      <w:r w:rsidRPr="00CB18DA">
        <w:rPr>
          <w:rFonts w:ascii="Times New Roman" w:hAnsi="Times New Roman" w:cs="Times New Roman"/>
          <w:sz w:val="24"/>
          <w:szCs w:val="24"/>
          <w:lang w:val="en-US"/>
        </w:rPr>
        <w:t>, 2014</w:t>
      </w:r>
      <w:r w:rsidRPr="00CB18DA">
        <w:rPr>
          <w:rFonts w:ascii="Times New Roman" w:hAnsi="Times New Roman" w:cs="Times New Roman"/>
          <w:noProof/>
          <w:sz w:val="24"/>
          <w:szCs w:val="24"/>
          <w:lang w:val="en-US"/>
        </w:rPr>
        <w:t>),</w:t>
      </w:r>
      <w:r w:rsidRPr="00CB18DA">
        <w:rPr>
          <w:rFonts w:ascii="Times New Roman" w:hAnsi="Times New Roman" w:cs="Times New Roman"/>
          <w:sz w:val="24"/>
          <w:szCs w:val="24"/>
          <w:lang w:val="en-US"/>
        </w:rPr>
        <w:t xml:space="preserve"> share repurchases (Bhattacharya and Jacobsen, 2016), </w:t>
      </w:r>
      <w:r w:rsidR="00916FEE">
        <w:rPr>
          <w:rFonts w:ascii="Times New Roman" w:hAnsi="Times New Roman" w:cs="Times New Roman"/>
          <w:sz w:val="24"/>
          <w:szCs w:val="24"/>
          <w:lang w:val="en-US"/>
        </w:rPr>
        <w:t>and</w:t>
      </w:r>
      <w:r w:rsidRPr="00CB18DA">
        <w:rPr>
          <w:rFonts w:ascii="Times New Roman" w:hAnsi="Times New Roman" w:cs="Times New Roman"/>
          <w:sz w:val="24"/>
          <w:szCs w:val="24"/>
          <w:lang w:val="en-US"/>
        </w:rPr>
        <w:t xml:space="preserve"> corporate hedging (Massa and Zhang, 2018).</w:t>
      </w:r>
      <w:proofErr w:type="gramEnd"/>
      <w:r w:rsidRPr="00CB18DA">
        <w:rPr>
          <w:rFonts w:ascii="Times New Roman" w:hAnsi="Times New Roman" w:cs="Times New Roman"/>
          <w:sz w:val="24"/>
          <w:szCs w:val="24"/>
          <w:lang w:val="en-US"/>
        </w:rPr>
        <w:t xml:space="preserve"> We </w:t>
      </w:r>
      <w:r w:rsidR="00916FEE">
        <w:rPr>
          <w:rFonts w:ascii="Times New Roman" w:hAnsi="Times New Roman" w:cs="Times New Roman"/>
          <w:sz w:val="24"/>
          <w:szCs w:val="24"/>
          <w:lang w:val="en-US"/>
        </w:rPr>
        <w:t xml:space="preserve">add to </w:t>
      </w:r>
      <w:r w:rsidRPr="00CB18DA">
        <w:rPr>
          <w:rFonts w:ascii="Times New Roman" w:hAnsi="Times New Roman" w:cs="Times New Roman"/>
          <w:sz w:val="24"/>
          <w:szCs w:val="24"/>
          <w:lang w:val="en-US"/>
        </w:rPr>
        <w:t xml:space="preserve">these prior findings by identifying </w:t>
      </w:r>
      <w:r w:rsidR="00916FEE">
        <w:rPr>
          <w:rFonts w:ascii="Times New Roman" w:hAnsi="Times New Roman" w:cs="Times New Roman"/>
          <w:sz w:val="24"/>
          <w:szCs w:val="24"/>
          <w:lang w:val="en-US"/>
        </w:rPr>
        <w:t>a</w:t>
      </w:r>
      <w:r w:rsidRPr="00CB18DA">
        <w:rPr>
          <w:rFonts w:ascii="Times New Roman" w:hAnsi="Times New Roman" w:cs="Times New Roman"/>
          <w:sz w:val="24"/>
          <w:szCs w:val="24"/>
          <w:lang w:val="en-US"/>
        </w:rPr>
        <w:t xml:space="preserve"> new and </w:t>
      </w:r>
      <w:r w:rsidR="005D2BFA">
        <w:rPr>
          <w:rFonts w:ascii="Times New Roman" w:hAnsi="Times New Roman" w:cs="Times New Roman"/>
          <w:sz w:val="24"/>
          <w:szCs w:val="24"/>
          <w:lang w:val="en-US"/>
        </w:rPr>
        <w:t xml:space="preserve">effective </w:t>
      </w:r>
      <w:r w:rsidR="00916FEE">
        <w:rPr>
          <w:rFonts w:ascii="Times New Roman" w:hAnsi="Times New Roman" w:cs="Times New Roman"/>
          <w:sz w:val="24"/>
          <w:szCs w:val="24"/>
          <w:lang w:val="en-US"/>
        </w:rPr>
        <w:t xml:space="preserve">policy </w:t>
      </w:r>
      <w:r w:rsidRPr="00CB18DA">
        <w:rPr>
          <w:rFonts w:ascii="Times New Roman" w:hAnsi="Times New Roman" w:cs="Times New Roman"/>
          <w:sz w:val="24"/>
          <w:szCs w:val="24"/>
          <w:lang w:val="en-US"/>
        </w:rPr>
        <w:t>tool in</w:t>
      </w:r>
      <w:r w:rsidR="00FB5491">
        <w:rPr>
          <w:rFonts w:ascii="Times New Roman" w:hAnsi="Times New Roman" w:cs="Times New Roman"/>
          <w:sz w:val="24"/>
          <w:szCs w:val="24"/>
          <w:lang w:val="en-US"/>
        </w:rPr>
        <w:t xml:space="preserve"> </w:t>
      </w:r>
      <w:r w:rsidR="00916FEE">
        <w:rPr>
          <w:rFonts w:ascii="Times New Roman" w:hAnsi="Times New Roman" w:cs="Times New Roman"/>
          <w:sz w:val="24"/>
          <w:szCs w:val="24"/>
          <w:lang w:val="en-US"/>
        </w:rPr>
        <w:t xml:space="preserve">the </w:t>
      </w:r>
      <w:r w:rsidRPr="00CB18DA">
        <w:rPr>
          <w:rFonts w:ascii="Times New Roman" w:hAnsi="Times New Roman" w:cs="Times New Roman"/>
          <w:sz w:val="24"/>
          <w:szCs w:val="24"/>
          <w:lang w:val="en-US"/>
        </w:rPr>
        <w:t>firm</w:t>
      </w:r>
      <w:r w:rsidR="00FB5491">
        <w:rPr>
          <w:rFonts w:ascii="Times New Roman" w:hAnsi="Times New Roman" w:cs="Times New Roman"/>
          <w:sz w:val="24"/>
          <w:szCs w:val="24"/>
          <w:lang w:val="en-US"/>
        </w:rPr>
        <w:t>’</w:t>
      </w:r>
      <w:r w:rsidRPr="00CB18DA">
        <w:rPr>
          <w:rFonts w:ascii="Times New Roman" w:hAnsi="Times New Roman" w:cs="Times New Roman"/>
          <w:sz w:val="24"/>
          <w:szCs w:val="24"/>
          <w:lang w:val="en-US"/>
        </w:rPr>
        <w:t xml:space="preserve">s toolkit </w:t>
      </w:r>
      <w:r w:rsidR="00916FEE">
        <w:rPr>
          <w:rFonts w:ascii="Times New Roman" w:hAnsi="Times New Roman" w:cs="Times New Roman"/>
          <w:sz w:val="24"/>
          <w:szCs w:val="24"/>
          <w:lang w:val="en-US"/>
        </w:rPr>
        <w:t xml:space="preserve">for </w:t>
      </w:r>
      <w:r w:rsidRPr="00CB18DA">
        <w:rPr>
          <w:rFonts w:ascii="Times New Roman" w:hAnsi="Times New Roman" w:cs="Times New Roman"/>
          <w:sz w:val="24"/>
          <w:szCs w:val="24"/>
          <w:lang w:val="en-US"/>
        </w:rPr>
        <w:t>attract</w:t>
      </w:r>
      <w:r w:rsidR="00916FEE">
        <w:rPr>
          <w:rFonts w:ascii="Times New Roman" w:hAnsi="Times New Roman" w:cs="Times New Roman"/>
          <w:sz w:val="24"/>
          <w:szCs w:val="24"/>
          <w:lang w:val="en-US"/>
        </w:rPr>
        <w:t>ing</w:t>
      </w:r>
      <w:r w:rsidRPr="00CB18DA">
        <w:rPr>
          <w:rFonts w:ascii="Times New Roman" w:hAnsi="Times New Roman" w:cs="Times New Roman"/>
          <w:sz w:val="24"/>
          <w:szCs w:val="24"/>
          <w:lang w:val="en-US"/>
        </w:rPr>
        <w:t xml:space="preserve"> institutional </w:t>
      </w:r>
      <w:r w:rsidR="00916FEE">
        <w:rPr>
          <w:rFonts w:ascii="Times New Roman" w:hAnsi="Times New Roman" w:cs="Times New Roman"/>
          <w:sz w:val="24"/>
          <w:szCs w:val="24"/>
          <w:lang w:val="en-US"/>
        </w:rPr>
        <w:t xml:space="preserve">investor interest – </w:t>
      </w:r>
      <w:r w:rsidR="005D2BFA">
        <w:rPr>
          <w:rFonts w:ascii="Times New Roman" w:hAnsi="Times New Roman" w:cs="Times New Roman"/>
          <w:sz w:val="24"/>
          <w:szCs w:val="24"/>
          <w:lang w:val="en-US"/>
        </w:rPr>
        <w:t>designing internal tournament competitions.</w:t>
      </w:r>
    </w:p>
    <w:p w14:paraId="71CFDFFA" w14:textId="5B49D2D2" w:rsidR="00CB18DA" w:rsidRPr="00CB18DA" w:rsidRDefault="00CB18DA" w:rsidP="00CB18DA">
      <w:pPr>
        <w:spacing w:after="0" w:line="480" w:lineRule="auto"/>
        <w:ind w:firstLine="567"/>
        <w:jc w:val="both"/>
        <w:rPr>
          <w:rFonts w:ascii="Times New Roman" w:hAnsi="Times New Roman" w:cs="Times New Roman"/>
          <w:sz w:val="24"/>
          <w:szCs w:val="24"/>
          <w:lang w:val="en-US"/>
        </w:rPr>
      </w:pPr>
      <w:r w:rsidRPr="00CB18DA">
        <w:rPr>
          <w:rFonts w:ascii="Times New Roman" w:hAnsi="Times New Roman" w:cs="Times New Roman"/>
          <w:sz w:val="24"/>
          <w:szCs w:val="24"/>
          <w:lang w:val="en-US"/>
        </w:rPr>
        <w:t xml:space="preserve">The rest of this paper </w:t>
      </w:r>
      <w:proofErr w:type="gramStart"/>
      <w:r w:rsidRPr="00CB18DA">
        <w:rPr>
          <w:rFonts w:ascii="Times New Roman" w:hAnsi="Times New Roman" w:cs="Times New Roman"/>
          <w:sz w:val="24"/>
          <w:szCs w:val="24"/>
          <w:lang w:val="en-US"/>
        </w:rPr>
        <w:t>is organized</w:t>
      </w:r>
      <w:proofErr w:type="gramEnd"/>
      <w:r w:rsidRPr="00CB18DA">
        <w:rPr>
          <w:rFonts w:ascii="Times New Roman" w:hAnsi="Times New Roman" w:cs="Times New Roman"/>
          <w:sz w:val="24"/>
          <w:szCs w:val="24"/>
          <w:lang w:val="en-US"/>
        </w:rPr>
        <w:t xml:space="preserve"> as follows. Section 2 presents the theoretical framework. Section 3 </w:t>
      </w:r>
      <w:r w:rsidR="00675B80">
        <w:rPr>
          <w:rFonts w:ascii="Times New Roman" w:hAnsi="Times New Roman" w:cs="Times New Roman"/>
          <w:sz w:val="24"/>
          <w:szCs w:val="24"/>
          <w:lang w:val="en-US"/>
        </w:rPr>
        <w:t>presents the data and some descriptive statistics while Section 4 reports</w:t>
      </w:r>
      <w:r w:rsidR="00675B80" w:rsidRPr="00CB18DA">
        <w:rPr>
          <w:rFonts w:ascii="Times New Roman" w:hAnsi="Times New Roman" w:cs="Times New Roman"/>
          <w:sz w:val="24"/>
          <w:szCs w:val="24"/>
          <w:lang w:val="en-US"/>
        </w:rPr>
        <w:t xml:space="preserve"> </w:t>
      </w:r>
      <w:r w:rsidR="00A80890">
        <w:rPr>
          <w:rFonts w:ascii="Times New Roman" w:hAnsi="Times New Roman" w:cs="Times New Roman"/>
          <w:sz w:val="24"/>
          <w:szCs w:val="24"/>
          <w:lang w:val="en-US"/>
        </w:rPr>
        <w:t xml:space="preserve">the </w:t>
      </w:r>
      <w:r w:rsidRPr="00CB18DA">
        <w:rPr>
          <w:rFonts w:ascii="Times New Roman" w:hAnsi="Times New Roman" w:cs="Times New Roman"/>
          <w:sz w:val="24"/>
          <w:szCs w:val="24"/>
          <w:lang w:val="en-US"/>
        </w:rPr>
        <w:t>empirical analys</w:t>
      </w:r>
      <w:r w:rsidR="005D2BFA">
        <w:rPr>
          <w:rFonts w:ascii="Times New Roman" w:hAnsi="Times New Roman" w:cs="Times New Roman"/>
          <w:sz w:val="24"/>
          <w:szCs w:val="24"/>
          <w:lang w:val="en-US"/>
        </w:rPr>
        <w:t>e</w:t>
      </w:r>
      <w:r w:rsidRPr="00CB18DA">
        <w:rPr>
          <w:rFonts w:ascii="Times New Roman" w:hAnsi="Times New Roman" w:cs="Times New Roman"/>
          <w:sz w:val="24"/>
          <w:szCs w:val="24"/>
          <w:lang w:val="en-US"/>
        </w:rPr>
        <w:t>s</w:t>
      </w:r>
      <w:r w:rsidR="00675B80">
        <w:rPr>
          <w:rFonts w:ascii="Times New Roman" w:hAnsi="Times New Roman" w:cs="Times New Roman"/>
          <w:sz w:val="24"/>
          <w:szCs w:val="24"/>
          <w:lang w:val="en-US"/>
        </w:rPr>
        <w:t>.</w:t>
      </w:r>
      <w:r w:rsidR="00A80890">
        <w:rPr>
          <w:rFonts w:ascii="Times New Roman" w:hAnsi="Times New Roman" w:cs="Times New Roman"/>
          <w:sz w:val="24"/>
          <w:szCs w:val="24"/>
          <w:lang w:val="en-US"/>
        </w:rPr>
        <w:t xml:space="preserve"> </w:t>
      </w:r>
      <w:r w:rsidRPr="00CB18DA">
        <w:rPr>
          <w:rFonts w:ascii="Times New Roman" w:hAnsi="Times New Roman" w:cs="Times New Roman"/>
          <w:sz w:val="24"/>
          <w:szCs w:val="24"/>
          <w:lang w:val="en-US"/>
        </w:rPr>
        <w:t xml:space="preserve">Section </w:t>
      </w:r>
      <w:r w:rsidR="00675B80">
        <w:rPr>
          <w:rFonts w:ascii="Times New Roman" w:hAnsi="Times New Roman" w:cs="Times New Roman"/>
          <w:sz w:val="24"/>
          <w:szCs w:val="24"/>
          <w:lang w:val="en-US"/>
        </w:rPr>
        <w:t>5</w:t>
      </w:r>
      <w:r w:rsidRPr="00CB18DA">
        <w:rPr>
          <w:rFonts w:ascii="Times New Roman" w:hAnsi="Times New Roman" w:cs="Times New Roman"/>
          <w:sz w:val="24"/>
          <w:szCs w:val="24"/>
          <w:lang w:val="en-US"/>
        </w:rPr>
        <w:t xml:space="preserve"> considers </w:t>
      </w:r>
      <w:r w:rsidR="00A80890">
        <w:rPr>
          <w:rFonts w:ascii="Times New Roman" w:hAnsi="Times New Roman" w:cs="Times New Roman"/>
          <w:sz w:val="24"/>
          <w:szCs w:val="24"/>
          <w:lang w:val="en-US"/>
        </w:rPr>
        <w:t>some additional tests</w:t>
      </w:r>
      <w:r w:rsidR="00675B80">
        <w:rPr>
          <w:rFonts w:ascii="Times New Roman" w:hAnsi="Times New Roman" w:cs="Times New Roman"/>
          <w:sz w:val="24"/>
          <w:szCs w:val="24"/>
          <w:lang w:val="en-US"/>
        </w:rPr>
        <w:t xml:space="preserve"> and</w:t>
      </w:r>
      <w:r w:rsidR="00A80890">
        <w:rPr>
          <w:rFonts w:ascii="Times New Roman" w:hAnsi="Times New Roman" w:cs="Times New Roman"/>
          <w:sz w:val="24"/>
          <w:szCs w:val="24"/>
          <w:lang w:val="en-US"/>
        </w:rPr>
        <w:t xml:space="preserve"> </w:t>
      </w:r>
      <w:r w:rsidRPr="00CB18DA">
        <w:rPr>
          <w:rFonts w:ascii="Times New Roman" w:hAnsi="Times New Roman" w:cs="Times New Roman"/>
          <w:sz w:val="24"/>
          <w:szCs w:val="24"/>
          <w:lang w:val="en-US"/>
        </w:rPr>
        <w:t xml:space="preserve">Section </w:t>
      </w:r>
      <w:r w:rsidR="00675B80">
        <w:rPr>
          <w:rFonts w:ascii="Times New Roman" w:hAnsi="Times New Roman" w:cs="Times New Roman"/>
          <w:sz w:val="24"/>
          <w:szCs w:val="24"/>
          <w:lang w:val="en-US"/>
        </w:rPr>
        <w:t>6</w:t>
      </w:r>
      <w:r w:rsidRPr="00CB18DA">
        <w:rPr>
          <w:rFonts w:ascii="Times New Roman" w:hAnsi="Times New Roman" w:cs="Times New Roman"/>
          <w:sz w:val="24"/>
          <w:szCs w:val="24"/>
          <w:lang w:val="en-US"/>
        </w:rPr>
        <w:t xml:space="preserve"> </w:t>
      </w:r>
      <w:r w:rsidR="00675B80">
        <w:rPr>
          <w:rFonts w:ascii="Times New Roman" w:hAnsi="Times New Roman" w:cs="Times New Roman"/>
          <w:sz w:val="24"/>
          <w:szCs w:val="24"/>
          <w:lang w:val="en-US"/>
        </w:rPr>
        <w:t>offers</w:t>
      </w:r>
      <w:r w:rsidRPr="00CB18DA">
        <w:rPr>
          <w:rFonts w:ascii="Times New Roman" w:hAnsi="Times New Roman" w:cs="Times New Roman"/>
          <w:sz w:val="24"/>
          <w:szCs w:val="24"/>
          <w:lang w:val="en-US"/>
        </w:rPr>
        <w:t xml:space="preserve"> a </w:t>
      </w:r>
      <w:r w:rsidR="00870C43">
        <w:rPr>
          <w:rFonts w:ascii="Times New Roman" w:hAnsi="Times New Roman" w:cs="Times New Roman"/>
          <w:sz w:val="24"/>
          <w:szCs w:val="24"/>
          <w:lang w:val="en-US"/>
        </w:rPr>
        <w:t xml:space="preserve">brief </w:t>
      </w:r>
      <w:r w:rsidRPr="00CB18DA">
        <w:rPr>
          <w:rFonts w:ascii="Times New Roman" w:hAnsi="Times New Roman" w:cs="Times New Roman"/>
          <w:sz w:val="24"/>
          <w:szCs w:val="24"/>
          <w:lang w:val="en-US"/>
        </w:rPr>
        <w:t xml:space="preserve">conclusion. </w:t>
      </w:r>
    </w:p>
    <w:p w14:paraId="4A26D760" w14:textId="77777777" w:rsidR="00FC0E1B" w:rsidRDefault="00FC0E1B" w:rsidP="006729F3">
      <w:pPr>
        <w:spacing w:after="0" w:line="480" w:lineRule="auto"/>
        <w:jc w:val="both"/>
        <w:rPr>
          <w:rFonts w:ascii="Times New Roman" w:hAnsi="Times New Roman" w:cs="Times New Roman"/>
          <w:sz w:val="24"/>
          <w:szCs w:val="24"/>
          <w:lang w:val="en-US"/>
        </w:rPr>
      </w:pPr>
    </w:p>
    <w:p w14:paraId="4F216400" w14:textId="3A29AFC3" w:rsidR="00527702" w:rsidRDefault="00A80890" w:rsidP="004152E4">
      <w:pPr>
        <w:pStyle w:val="Heading1"/>
        <w:numPr>
          <w:ilvl w:val="0"/>
          <w:numId w:val="14"/>
        </w:numPr>
      </w:pPr>
      <w:r>
        <w:t>Theoretical framework and hypothesis development</w:t>
      </w:r>
    </w:p>
    <w:p w14:paraId="72CDBE29" w14:textId="1824B02B" w:rsidR="001D1710" w:rsidRPr="00C10B0F" w:rsidRDefault="001D1710" w:rsidP="00C10B0F">
      <w:pPr>
        <w:spacing w:after="0" w:line="480" w:lineRule="auto"/>
        <w:jc w:val="both"/>
        <w:rPr>
          <w:rFonts w:ascii="Times New Roman" w:hAnsi="Times New Roman" w:cs="Times New Roman"/>
          <w:i/>
          <w:sz w:val="24"/>
          <w:szCs w:val="24"/>
          <w:lang w:val="en-US"/>
        </w:rPr>
      </w:pPr>
      <w:r w:rsidRPr="00C10B0F">
        <w:rPr>
          <w:rFonts w:ascii="Times New Roman" w:hAnsi="Times New Roman" w:cs="Times New Roman"/>
          <w:bCs/>
          <w:i/>
          <w:sz w:val="24"/>
          <w:szCs w:val="24"/>
          <w:lang w:val="en-US"/>
        </w:rPr>
        <w:t>2.1 Conceptualization of corporate tournaments</w:t>
      </w:r>
    </w:p>
    <w:p w14:paraId="5A0520E8" w14:textId="6C488DC6" w:rsidR="001D1710" w:rsidRPr="00CB20C3" w:rsidRDefault="001D1710" w:rsidP="001D1710">
      <w:pPr>
        <w:spacing w:after="0" w:line="480" w:lineRule="auto"/>
        <w:ind w:firstLine="567"/>
        <w:jc w:val="both"/>
        <w:rPr>
          <w:rFonts w:ascii="Times New Roman" w:hAnsi="Times New Roman" w:cs="Times New Roman"/>
          <w:sz w:val="24"/>
          <w:szCs w:val="24"/>
          <w:lang w:val="en-US"/>
        </w:rPr>
      </w:pPr>
      <w:r w:rsidRPr="00CB20C3">
        <w:rPr>
          <w:rFonts w:ascii="Times New Roman" w:hAnsi="Times New Roman" w:cs="Times New Roman"/>
          <w:sz w:val="24"/>
          <w:szCs w:val="24"/>
          <w:lang w:val="en-US"/>
        </w:rPr>
        <w:t>To lay the theoretical foundation for our hypothes</w:t>
      </w:r>
      <w:r w:rsidR="00A80890">
        <w:rPr>
          <w:rFonts w:ascii="Times New Roman" w:hAnsi="Times New Roman" w:cs="Times New Roman"/>
          <w:sz w:val="24"/>
          <w:szCs w:val="24"/>
          <w:lang w:val="en-US"/>
        </w:rPr>
        <w:t>i</w:t>
      </w:r>
      <w:r w:rsidRPr="00CB20C3">
        <w:rPr>
          <w:rFonts w:ascii="Times New Roman" w:hAnsi="Times New Roman" w:cs="Times New Roman"/>
          <w:sz w:val="24"/>
          <w:szCs w:val="24"/>
          <w:lang w:val="en-US"/>
        </w:rPr>
        <w:t>s, we develop a</w:t>
      </w:r>
      <w:r>
        <w:rPr>
          <w:rFonts w:ascii="Times New Roman" w:hAnsi="Times New Roman" w:cs="Times New Roman"/>
          <w:sz w:val="24"/>
          <w:szCs w:val="24"/>
          <w:lang w:val="en-US"/>
        </w:rPr>
        <w:t xml:space="preserve"> simple</w:t>
      </w:r>
      <w:r w:rsidRPr="00CB20C3">
        <w:rPr>
          <w:rFonts w:ascii="Times New Roman" w:hAnsi="Times New Roman" w:cs="Times New Roman"/>
          <w:sz w:val="24"/>
          <w:szCs w:val="24"/>
          <w:lang w:val="en-US"/>
        </w:rPr>
        <w:t xml:space="preserve"> model that incorporates a corporate tournament (</w:t>
      </w:r>
      <w:proofErr w:type="spellStart"/>
      <w:r w:rsidRPr="00CB20C3">
        <w:rPr>
          <w:rFonts w:ascii="Times New Roman" w:hAnsi="Times New Roman" w:cs="Times New Roman"/>
          <w:sz w:val="24"/>
          <w:szCs w:val="24"/>
          <w:lang w:val="en-US"/>
        </w:rPr>
        <w:t>Lazear</w:t>
      </w:r>
      <w:proofErr w:type="spellEnd"/>
      <w:r w:rsidRPr="00CB20C3">
        <w:rPr>
          <w:rFonts w:ascii="Times New Roman" w:hAnsi="Times New Roman" w:cs="Times New Roman"/>
          <w:sz w:val="24"/>
          <w:szCs w:val="24"/>
          <w:lang w:val="en-US"/>
        </w:rPr>
        <w:t xml:space="preserve"> and Rosen, 198</w:t>
      </w:r>
      <w:r>
        <w:rPr>
          <w:rFonts w:ascii="Times New Roman" w:hAnsi="Times New Roman" w:cs="Times New Roman"/>
          <w:sz w:val="24"/>
          <w:szCs w:val="24"/>
          <w:lang w:val="en-US"/>
        </w:rPr>
        <w:t>1</w:t>
      </w:r>
      <w:r w:rsidRPr="00CB20C3">
        <w:rPr>
          <w:rFonts w:ascii="Times New Roman" w:hAnsi="Times New Roman" w:cs="Times New Roman"/>
          <w:sz w:val="24"/>
          <w:szCs w:val="24"/>
          <w:lang w:val="en-US"/>
        </w:rPr>
        <w:t>;</w:t>
      </w:r>
      <w:r w:rsidRPr="00CB20C3">
        <w:t xml:space="preserve"> </w:t>
      </w:r>
      <w:r w:rsidRPr="00CB20C3">
        <w:rPr>
          <w:rFonts w:ascii="Times New Roman" w:hAnsi="Times New Roman" w:cs="Times New Roman"/>
          <w:sz w:val="24"/>
          <w:szCs w:val="24"/>
          <w:lang w:val="en-US"/>
        </w:rPr>
        <w:t xml:space="preserve">Connelly et al., 2014) within an otherwise standard CARA-normal stock market framework (Huang and </w:t>
      </w:r>
      <w:proofErr w:type="spellStart"/>
      <w:r w:rsidRPr="00CB20C3">
        <w:rPr>
          <w:rFonts w:ascii="Times New Roman" w:hAnsi="Times New Roman" w:cs="Times New Roman"/>
          <w:sz w:val="24"/>
          <w:szCs w:val="24"/>
          <w:lang w:val="en-US"/>
        </w:rPr>
        <w:t>Litzenberger</w:t>
      </w:r>
      <w:proofErr w:type="spellEnd"/>
      <w:r w:rsidRPr="00CB20C3">
        <w:rPr>
          <w:rFonts w:ascii="Times New Roman" w:hAnsi="Times New Roman" w:cs="Times New Roman"/>
          <w:sz w:val="24"/>
          <w:szCs w:val="24"/>
          <w:lang w:val="en-US"/>
        </w:rPr>
        <w:t xml:space="preserve"> 1988; </w:t>
      </w:r>
      <w:proofErr w:type="spellStart"/>
      <w:r w:rsidRPr="00CB20C3">
        <w:rPr>
          <w:rFonts w:ascii="Times New Roman" w:hAnsi="Times New Roman" w:cs="Times New Roman"/>
          <w:sz w:val="24"/>
          <w:szCs w:val="24"/>
          <w:lang w:val="en-US"/>
        </w:rPr>
        <w:t>Vives</w:t>
      </w:r>
      <w:proofErr w:type="spellEnd"/>
      <w:r w:rsidRPr="00CB20C3">
        <w:rPr>
          <w:rFonts w:ascii="Times New Roman" w:hAnsi="Times New Roman" w:cs="Times New Roman"/>
          <w:sz w:val="24"/>
          <w:szCs w:val="24"/>
          <w:lang w:val="en-US"/>
        </w:rPr>
        <w:t xml:space="preserve">, 2008). We model the corporate tournament </w:t>
      </w:r>
      <w:r w:rsidRPr="00CB20C3">
        <w:rPr>
          <w:rFonts w:ascii="Times New Roman" w:hAnsi="Times New Roman" w:cs="Times New Roman"/>
          <w:i/>
          <w:sz w:val="24"/>
          <w:szCs w:val="24"/>
          <w:lang w:val="en-US"/>
        </w:rPr>
        <w:t xml:space="preserve">a la </w:t>
      </w:r>
      <w:proofErr w:type="spellStart"/>
      <w:r w:rsidRPr="00CB20C3">
        <w:rPr>
          <w:rFonts w:ascii="Times New Roman" w:hAnsi="Times New Roman" w:cs="Times New Roman"/>
          <w:sz w:val="24"/>
          <w:szCs w:val="24"/>
          <w:lang w:val="en-US"/>
        </w:rPr>
        <w:t>Lazear</w:t>
      </w:r>
      <w:proofErr w:type="spellEnd"/>
      <w:r w:rsidRPr="00CB20C3">
        <w:rPr>
          <w:rFonts w:ascii="Times New Roman" w:hAnsi="Times New Roman" w:cs="Times New Roman"/>
          <w:sz w:val="24"/>
          <w:szCs w:val="24"/>
          <w:lang w:val="en-US"/>
        </w:rPr>
        <w:t xml:space="preserve"> and Rosen (198</w:t>
      </w:r>
      <w:r>
        <w:rPr>
          <w:rFonts w:ascii="Times New Roman" w:hAnsi="Times New Roman" w:cs="Times New Roman"/>
          <w:sz w:val="24"/>
          <w:szCs w:val="24"/>
          <w:lang w:val="en-US"/>
        </w:rPr>
        <w:t>1</w:t>
      </w:r>
      <w:r w:rsidRPr="00CB20C3">
        <w:rPr>
          <w:rFonts w:ascii="Times New Roman" w:hAnsi="Times New Roman" w:cs="Times New Roman"/>
          <w:sz w:val="24"/>
          <w:szCs w:val="24"/>
          <w:lang w:val="en-US"/>
        </w:rPr>
        <w:t xml:space="preserve">). There are three stages, </w:t>
      </w:r>
      <m:oMath>
        <m:r>
          <w:rPr>
            <w:rFonts w:ascii="Cambria Math" w:hAnsi="Cambria Math" w:cs="Times New Roman"/>
            <w:sz w:val="24"/>
            <w:szCs w:val="24"/>
            <w:lang w:val="en-US"/>
          </w:rPr>
          <m:t>t</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 </w:t>
      </w:r>
      <w:proofErr w:type="gramStart"/>
      <w:r w:rsidRPr="00CB20C3">
        <w:rPr>
          <w:rFonts w:ascii="Times New Roman" w:hAnsi="Times New Roman" w:cs="Times New Roman"/>
          <w:sz w:val="24"/>
          <w:szCs w:val="24"/>
          <w:lang w:val="en-US"/>
        </w:rPr>
        <w:t>0</w:t>
      </w:r>
      <w:proofErr w:type="gramEnd"/>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1, and 2. At </w:t>
      </w:r>
      <m:oMath>
        <m:r>
          <w:rPr>
            <w:rFonts w:ascii="Cambria Math" w:hAnsi="Cambria Math" w:cs="Times New Roman"/>
            <w:sz w:val="24"/>
            <w:szCs w:val="24"/>
            <w:lang w:val="en-US"/>
          </w:rPr>
          <m:t>t</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 </w:t>
      </w:r>
      <w:proofErr w:type="gramStart"/>
      <w:r w:rsidRPr="00CB20C3">
        <w:rPr>
          <w:rFonts w:ascii="Times New Roman" w:hAnsi="Times New Roman" w:cs="Times New Roman"/>
          <w:sz w:val="24"/>
          <w:szCs w:val="24"/>
          <w:lang w:val="en-US"/>
        </w:rPr>
        <w:t>0</w:t>
      </w:r>
      <w:proofErr w:type="gramEnd"/>
      <w:r w:rsidRPr="00CB20C3">
        <w:rPr>
          <w:rFonts w:ascii="Times New Roman" w:hAnsi="Times New Roman" w:cs="Times New Roman"/>
          <w:sz w:val="24"/>
          <w:szCs w:val="24"/>
          <w:lang w:val="en-US"/>
        </w:rPr>
        <w:t xml:space="preserve">, a firm has two CEO contestants, each of whom manages a project. The firm conducts a corporate tournament and sets the rewards,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H</m:t>
            </m:r>
          </m:sub>
        </m:sSub>
      </m:oMath>
      <w:r w:rsidRPr="00CB20C3">
        <w:rPr>
          <w:rFonts w:ascii="Times New Roman" w:hAnsi="Times New Roman" w:cs="Times New Roman"/>
          <w:i/>
          <w:sz w:val="24"/>
          <w:szCs w:val="24"/>
          <w:lang w:val="en-US"/>
        </w:rPr>
        <w:t xml:space="preserve"> </w:t>
      </w:r>
      <w:proofErr w:type="gramStart"/>
      <w:r w:rsidRPr="00CB20C3">
        <w:rPr>
          <w:rFonts w:ascii="Times New Roman" w:hAnsi="Times New Roman" w:cs="Times New Roman"/>
          <w:sz w:val="24"/>
          <w:szCs w:val="24"/>
          <w:lang w:val="en-US"/>
        </w:rPr>
        <w:t xml:space="preserve">and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L</m:t>
            </m:r>
          </m:sub>
        </m:sSub>
      </m:oMath>
      <w:r w:rsidRPr="00CB20C3">
        <w:rPr>
          <w:rFonts w:ascii="Times New Roman" w:hAnsi="Times New Roman" w:cs="Times New Roman"/>
          <w:sz w:val="24"/>
          <w:szCs w:val="24"/>
          <w:lang w:val="en-US"/>
        </w:rPr>
        <w:t xml:space="preserve">, for the winner and loser of the corporate tournament, respectively. That is, these two CEO contestants compete against each other for the CEO position and the one with better (poorer) performance </w:t>
      </w:r>
      <w:proofErr w:type="gramStart"/>
      <w:r w:rsidRPr="00CB20C3">
        <w:rPr>
          <w:rFonts w:ascii="Times New Roman" w:hAnsi="Times New Roman" w:cs="Times New Roman"/>
          <w:sz w:val="24"/>
          <w:szCs w:val="24"/>
          <w:lang w:val="en-US"/>
        </w:rPr>
        <w:t>will (not) be promoted</w:t>
      </w:r>
      <w:proofErr w:type="gramEnd"/>
      <w:r w:rsidRPr="00CB20C3">
        <w:rPr>
          <w:rFonts w:ascii="Times New Roman" w:hAnsi="Times New Roman" w:cs="Times New Roman"/>
          <w:sz w:val="24"/>
          <w:szCs w:val="24"/>
          <w:lang w:val="en-US"/>
        </w:rPr>
        <w:t xml:space="preserve"> to CEO and receive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H</m:t>
            </m:r>
          </m:sub>
        </m:sSub>
      </m:oMath>
      <w:r w:rsidRPr="00CB20C3">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L</m:t>
            </m:r>
          </m:sub>
        </m:sSub>
      </m:oMath>
      <w:r w:rsidRPr="00CB20C3">
        <w:rPr>
          <w:rFonts w:ascii="Times New Roman" w:eastAsiaTheme="minorEastAsia" w:hAnsi="Times New Roman" w:cs="Times New Roman"/>
          <w:sz w:val="24"/>
          <w:szCs w:val="24"/>
          <w:lang w:val="en-US"/>
        </w:rPr>
        <w:t>)</w:t>
      </w:r>
      <w:r w:rsidRPr="00CB20C3">
        <w:rPr>
          <w:rFonts w:ascii="Times New Roman" w:hAnsi="Times New Roman" w:cs="Times New Roman"/>
          <w:sz w:val="24"/>
          <w:szCs w:val="24"/>
          <w:lang w:val="en-US"/>
        </w:rPr>
        <w:t xml:space="preserve">. We denote </w:t>
      </w:r>
      <m:oMath>
        <m:r>
          <w:rPr>
            <w:rFonts w:ascii="Cambria Math" w:hAnsi="Cambria Math" w:cs="Times New Roman"/>
            <w:sz w:val="24"/>
            <w:szCs w:val="24"/>
            <w:lang w:val="en-US"/>
          </w:rPr>
          <m:t>∆w≡</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H</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L</m:t>
            </m:r>
          </m:sub>
        </m:sSub>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as the CEO pay gap, which measures the strength of tournament incentives. For notational simplicity, we follow the prior studies on tournaments (e.g., </w:t>
      </w:r>
      <w:proofErr w:type="spellStart"/>
      <w:r w:rsidRPr="00CB20C3">
        <w:rPr>
          <w:rFonts w:ascii="Times New Roman" w:hAnsi="Times New Roman" w:cs="Times New Roman"/>
          <w:sz w:val="24"/>
          <w:szCs w:val="24"/>
          <w:lang w:val="en-US"/>
        </w:rPr>
        <w:t>Lazear</w:t>
      </w:r>
      <w:proofErr w:type="spellEnd"/>
      <w:r w:rsidRPr="00CB20C3">
        <w:rPr>
          <w:rFonts w:ascii="Times New Roman" w:hAnsi="Times New Roman" w:cs="Times New Roman"/>
          <w:sz w:val="24"/>
          <w:szCs w:val="24"/>
          <w:lang w:val="en-US"/>
        </w:rPr>
        <w:t xml:space="preserve"> and Rosen, 198</w:t>
      </w:r>
      <w:r>
        <w:rPr>
          <w:rFonts w:ascii="Times New Roman" w:hAnsi="Times New Roman" w:cs="Times New Roman"/>
          <w:sz w:val="24"/>
          <w:szCs w:val="24"/>
          <w:lang w:val="en-US"/>
        </w:rPr>
        <w:t>1</w:t>
      </w:r>
      <w:r w:rsidRPr="00CB20C3">
        <w:rPr>
          <w:rFonts w:ascii="Times New Roman" w:hAnsi="Times New Roman" w:cs="Times New Roman"/>
          <w:sz w:val="24"/>
          <w:szCs w:val="24"/>
          <w:lang w:val="en-US"/>
        </w:rPr>
        <w:t xml:space="preserve">; </w:t>
      </w:r>
      <w:proofErr w:type="spellStart"/>
      <w:r w:rsidRPr="00CB20C3">
        <w:rPr>
          <w:rFonts w:ascii="Times New Roman" w:hAnsi="Times New Roman" w:cs="Times New Roman"/>
          <w:sz w:val="24"/>
          <w:szCs w:val="24"/>
          <w:lang w:val="en-US"/>
        </w:rPr>
        <w:t>Hvide</w:t>
      </w:r>
      <w:proofErr w:type="spellEnd"/>
      <w:r w:rsidRPr="00CB20C3">
        <w:rPr>
          <w:rFonts w:ascii="Times New Roman" w:hAnsi="Times New Roman" w:cs="Times New Roman"/>
          <w:sz w:val="24"/>
          <w:szCs w:val="24"/>
          <w:lang w:val="en-US"/>
        </w:rPr>
        <w:t xml:space="preserve">, 2002; </w:t>
      </w:r>
      <w:proofErr w:type="spellStart"/>
      <w:r w:rsidRPr="00CB20C3">
        <w:rPr>
          <w:rFonts w:ascii="Times New Roman" w:hAnsi="Times New Roman" w:cs="Times New Roman"/>
          <w:sz w:val="24"/>
          <w:szCs w:val="24"/>
          <w:lang w:val="en-US"/>
        </w:rPr>
        <w:t>Gurtler</w:t>
      </w:r>
      <w:proofErr w:type="spellEnd"/>
      <w:r w:rsidRPr="00CB20C3">
        <w:rPr>
          <w:rFonts w:ascii="Times New Roman" w:hAnsi="Times New Roman" w:cs="Times New Roman"/>
          <w:sz w:val="24"/>
          <w:szCs w:val="24"/>
          <w:lang w:val="en-US"/>
        </w:rPr>
        <w:t xml:space="preserve"> and </w:t>
      </w:r>
      <w:proofErr w:type="spellStart"/>
      <w:r w:rsidRPr="00CB20C3">
        <w:rPr>
          <w:rFonts w:ascii="Times New Roman" w:hAnsi="Times New Roman" w:cs="Times New Roman"/>
          <w:sz w:val="24"/>
          <w:szCs w:val="24"/>
          <w:lang w:val="en-US"/>
        </w:rPr>
        <w:t>Krakel</w:t>
      </w:r>
      <w:proofErr w:type="spellEnd"/>
      <w:r w:rsidRPr="00CB20C3">
        <w:rPr>
          <w:rFonts w:ascii="Times New Roman" w:hAnsi="Times New Roman" w:cs="Times New Roman"/>
          <w:sz w:val="24"/>
          <w:szCs w:val="24"/>
          <w:lang w:val="en-US"/>
        </w:rPr>
        <w:t>, 2010; Connelly et al., 2014) and assume that CEO contestants are risk-neutral.</w:t>
      </w:r>
      <w:r w:rsidRPr="00CB20C3">
        <w:rPr>
          <w:rFonts w:ascii="Times New Roman" w:hAnsi="Times New Roman" w:cs="Times New Roman"/>
          <w:sz w:val="24"/>
          <w:szCs w:val="24"/>
          <w:vertAlign w:val="superscript"/>
          <w:lang w:val="en-US"/>
        </w:rPr>
        <w:footnoteReference w:id="1"/>
      </w:r>
      <w:r w:rsidRPr="00CB20C3">
        <w:rPr>
          <w:rFonts w:ascii="Times New Roman" w:hAnsi="Times New Roman" w:cs="Times New Roman"/>
          <w:sz w:val="24"/>
          <w:szCs w:val="24"/>
          <w:lang w:val="en-US"/>
        </w:rPr>
        <w:t xml:space="preserve"> </w:t>
      </w:r>
    </w:p>
    <w:p w14:paraId="11CC416C" w14:textId="77777777" w:rsidR="001D1710" w:rsidRPr="00CB20C3" w:rsidRDefault="001D1710" w:rsidP="001D1710">
      <w:pPr>
        <w:spacing w:after="0" w:line="480" w:lineRule="auto"/>
        <w:ind w:firstLine="567"/>
        <w:jc w:val="both"/>
        <w:rPr>
          <w:rFonts w:ascii="Times New Roman" w:hAnsi="Times New Roman" w:cs="Times New Roman"/>
          <w:sz w:val="24"/>
          <w:szCs w:val="24"/>
          <w:lang w:val="en-US"/>
        </w:rPr>
      </w:pPr>
      <w:r w:rsidRPr="00CB20C3">
        <w:rPr>
          <w:rFonts w:ascii="Times New Roman" w:hAnsi="Times New Roman" w:cs="Times New Roman"/>
          <w:sz w:val="24"/>
          <w:szCs w:val="24"/>
          <w:lang w:val="en-US"/>
        </w:rPr>
        <w:lastRenderedPageBreak/>
        <w:t xml:space="preserve">Project </w:t>
      </w:r>
      <m:oMath>
        <m:r>
          <w:rPr>
            <w:rFonts w:ascii="Cambria Math" w:hAnsi="Cambria Math" w:cs="Times New Roman"/>
            <w:sz w:val="24"/>
            <w:szCs w:val="24"/>
            <w:lang w:val="en-US"/>
          </w:rPr>
          <m:t>i</m:t>
        </m:r>
      </m:oMath>
      <w:r w:rsidRPr="00CB20C3">
        <w:rPr>
          <w:rFonts w:ascii="Times New Roman" w:hAnsi="Times New Roman" w:cs="Times New Roman"/>
          <w:sz w:val="24"/>
          <w:szCs w:val="24"/>
          <w:lang w:val="en-US"/>
        </w:rPr>
        <w:t xml:space="preserve"> yields an </w:t>
      </w:r>
      <w:r w:rsidRPr="00CB20C3">
        <w:rPr>
          <w:rFonts w:ascii="Times New Roman" w:hAnsi="Times New Roman" w:cs="Times New Roman"/>
          <w:i/>
          <w:sz w:val="24"/>
          <w:szCs w:val="24"/>
          <w:lang w:val="en-US"/>
        </w:rPr>
        <w:t>ex ante</w:t>
      </w:r>
      <w:r w:rsidRPr="00CB20C3">
        <w:rPr>
          <w:rFonts w:ascii="Times New Roman" w:hAnsi="Times New Roman" w:cs="Times New Roman"/>
          <w:sz w:val="24"/>
          <w:szCs w:val="24"/>
          <w:lang w:val="en-US"/>
        </w:rPr>
        <w:t xml:space="preserve"> unknown project </w:t>
      </w:r>
      <w:proofErr w:type="gramStart"/>
      <w:r w:rsidRPr="00CB20C3">
        <w:rPr>
          <w:rFonts w:ascii="Times New Roman" w:hAnsi="Times New Roman" w:cs="Times New Roman"/>
          <w:sz w:val="24"/>
          <w:szCs w:val="24"/>
          <w:lang w:val="en-US"/>
        </w:rPr>
        <w:t xml:space="preserve">value </w:t>
      </w:r>
      <w:proofErr w:type="gramEnd"/>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i</m:t>
            </m:r>
          </m:sub>
        </m:sSub>
      </m:oMath>
      <w:r w:rsidRPr="00CB20C3">
        <w:rPr>
          <w:rFonts w:ascii="Times New Roman" w:eastAsiaTheme="minorEastAsia" w:hAnsi="Times New Roman" w:cs="Times New Roman"/>
          <w:sz w:val="24"/>
          <w:szCs w:val="24"/>
          <w:lang w:val="en-US"/>
        </w:rPr>
        <w:t>,</w:t>
      </w:r>
      <w:r w:rsidRPr="00CB20C3">
        <w:rPr>
          <w:rFonts w:ascii="Times New Roman" w:hAnsi="Times New Roman" w:cs="Times New Roman"/>
          <w:sz w:val="24"/>
          <w:szCs w:val="24"/>
          <w:lang w:val="en-US"/>
        </w:rPr>
        <w:t xml:space="preserve"> which will be realized at </w:t>
      </w:r>
      <m:oMath>
        <m:r>
          <w:rPr>
            <w:rFonts w:ascii="Cambria Math" w:hAnsi="Cambria Math" w:cs="Times New Roman"/>
            <w:sz w:val="24"/>
            <w:szCs w:val="24"/>
            <w:lang w:val="en-US"/>
          </w:rPr>
          <m:t>t</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 2. We assume </w:t>
      </w:r>
      <w:proofErr w:type="gramStart"/>
      <w:r w:rsidRPr="00CB20C3">
        <w:rPr>
          <w:rFonts w:ascii="Times New Roman" w:hAnsi="Times New Roman" w:cs="Times New Roman"/>
          <w:sz w:val="24"/>
          <w:szCs w:val="24"/>
          <w:lang w:val="en-US"/>
        </w:rPr>
        <w:t xml:space="preserve">that </w:t>
      </w:r>
      <w:proofErr w:type="gramEnd"/>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ε</m:t>
                </m:r>
              </m:e>
            </m:acc>
          </m:e>
          <m:sub>
            <m:r>
              <w:rPr>
                <w:rFonts w:ascii="Cambria Math" w:eastAsiaTheme="minorEastAsia" w:hAnsi="Cambria Math" w:cs="Times New Roman"/>
                <w:sz w:val="24"/>
                <w:szCs w:val="24"/>
                <w:lang w:val="en-US"/>
              </w:rPr>
              <m:t>i</m:t>
            </m:r>
          </m:sub>
        </m:sSub>
      </m:oMath>
      <w:r w:rsidRPr="00CB20C3">
        <w:rPr>
          <w:rFonts w:ascii="Times New Roman" w:eastAsiaTheme="minorEastAsia" w:hAnsi="Times New Roman" w:cs="Times New Roman"/>
          <w:sz w:val="24"/>
          <w:szCs w:val="24"/>
          <w:lang w:val="en-US"/>
        </w:rPr>
        <w:t>,</w:t>
      </w:r>
      <w:r w:rsidRPr="00CB20C3">
        <w:rPr>
          <w:rFonts w:ascii="Times New Roman" w:hAnsi="Times New Roman" w:cs="Times New Roman"/>
          <w:sz w:val="24"/>
          <w:szCs w:val="24"/>
          <w:lang w:val="en-US"/>
        </w:rPr>
        <w:t xml:space="preserve"> where</w:t>
      </w:r>
      <w:r w:rsidRPr="00CB20C3">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e>
          <m:sub>
            <m:r>
              <w:rPr>
                <w:rFonts w:ascii="Cambria Math" w:hAnsi="Cambria Math" w:cs="Times New Roman"/>
                <w:sz w:val="24"/>
                <w:szCs w:val="24"/>
                <w:lang w:val="en-US"/>
              </w:rPr>
              <m:t>i</m:t>
            </m:r>
          </m:sub>
        </m:sSub>
      </m:oMath>
      <w:r w:rsidRPr="00CB20C3">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m:t>
        </m:r>
      </m:oMath>
      <w:r w:rsidRPr="00CB20C3">
        <w:rPr>
          <w:rFonts w:ascii="Times New Roman" w:eastAsiaTheme="minorEastAsia" w:hAnsi="Times New Roman" w:cs="Times New Roman"/>
          <w:sz w:val="24"/>
          <w:szCs w:val="24"/>
          <w:lang w:val="en-US"/>
        </w:rPr>
        <w:t>are the fundamental and random components of the</w:t>
      </w:r>
      <w:r>
        <w:rPr>
          <w:rFonts w:ascii="Times New Roman" w:eastAsiaTheme="minorEastAsia" w:hAnsi="Times New Roman" w:cs="Times New Roman"/>
          <w:sz w:val="24"/>
          <w:szCs w:val="24"/>
          <w:lang w:val="en-US"/>
        </w:rPr>
        <w:t xml:space="preserve"> </w:t>
      </w:r>
      <w:r w:rsidRPr="00CB20C3">
        <w:rPr>
          <w:rFonts w:ascii="Times New Roman" w:eastAsiaTheme="minorEastAsia" w:hAnsi="Times New Roman" w:cs="Times New Roman"/>
          <w:sz w:val="24"/>
          <w:szCs w:val="24"/>
          <w:lang w:val="en-US"/>
        </w:rPr>
        <w:t>project</w:t>
      </w:r>
      <w:r>
        <w:rPr>
          <w:rFonts w:ascii="Times New Roman" w:eastAsiaTheme="minorEastAsia" w:hAnsi="Times New Roman" w:cs="Times New Roman"/>
          <w:sz w:val="24"/>
          <w:szCs w:val="24"/>
          <w:lang w:val="en-US"/>
        </w:rPr>
        <w:t>’s</w:t>
      </w:r>
      <w:r w:rsidRPr="00CB20C3">
        <w:rPr>
          <w:rFonts w:ascii="Times New Roman" w:eastAsiaTheme="minorEastAsia" w:hAnsi="Times New Roman" w:cs="Times New Roman"/>
          <w:sz w:val="24"/>
          <w:szCs w:val="24"/>
          <w:lang w:val="en-US"/>
        </w:rPr>
        <w:t xml:space="preserve"> value, respectively.  The prior distributions are commonly known to be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e>
          <m:sub>
            <m:r>
              <w:rPr>
                <w:rFonts w:ascii="Cambria Math" w:hAnsi="Cambria Math" w:cs="Times New Roman"/>
                <w:sz w:val="24"/>
                <w:szCs w:val="24"/>
                <w:lang w:val="en-US"/>
              </w:rPr>
              <m:t>i</m:t>
            </m:r>
          </m:sub>
        </m:sSub>
      </m:oMath>
      <w:r w:rsidRPr="00CB20C3">
        <w:rPr>
          <w:rFonts w:ascii="Times New Roman" w:hAnsi="Times New Roman" w:cs="Times New Roman"/>
          <w:sz w:val="24"/>
          <w:szCs w:val="24"/>
          <w:lang w:val="en-US"/>
        </w:rPr>
        <w:t xml:space="preserve"> </w:t>
      </w:r>
      <m:oMath>
        <m:r>
          <w:rPr>
            <w:rFonts w:ascii="Cambria Math" w:hAnsi="Cambria Math" w:cs="Times New Roman"/>
            <w:sz w:val="24"/>
            <w:szCs w:val="24"/>
            <w:lang w:val="en-US"/>
          </w:rPr>
          <m:t>~ N</m:t>
        </m:r>
        <m:d>
          <m:dPr>
            <m:ctrlPr>
              <w:rPr>
                <w:rFonts w:ascii="Cambria Math" w:hAnsi="Cambria Math" w:cs="Times New Roman"/>
                <w:i/>
                <w:sz w:val="24"/>
                <w:szCs w:val="24"/>
                <w:lang w:val="en-US"/>
              </w:rPr>
            </m:ctrlPr>
          </m:d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e>
        </m:d>
      </m:oMath>
      <w:r w:rsidRPr="00CB20C3">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m:t>
            </m:r>
          </m:sub>
        </m:sSub>
        <m:r>
          <w:rPr>
            <w:rFonts w:ascii="Cambria Math" w:hAnsi="Cambria Math" w:cs="Times New Roman"/>
            <w:sz w:val="24"/>
            <w:szCs w:val="24"/>
            <w:lang w:val="en-US"/>
          </w:rPr>
          <m:t xml:space="preserve"> ~ N</m:t>
        </m:r>
        <m:d>
          <m:dPr>
            <m:ctrlPr>
              <w:rPr>
                <w:rFonts w:ascii="Cambria Math" w:hAnsi="Cambria Math" w:cs="Times New Roman"/>
                <w:i/>
                <w:sz w:val="24"/>
                <w:szCs w:val="24"/>
                <w:lang w:val="en-US"/>
              </w:rPr>
            </m:ctrlPr>
          </m:dPr>
          <m:e>
            <m:r>
              <w:rPr>
                <w:rFonts w:ascii="Cambria Math" w:hAnsi="Cambria Math" w:cs="Times New Roman"/>
                <w:sz w:val="24"/>
                <w:szCs w:val="24"/>
                <w:lang w:val="en-US"/>
              </w:rPr>
              <m:t xml:space="preserve">0,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e>
        </m:d>
        <m:r>
          <w:rPr>
            <w:rFonts w:ascii="Cambria Math" w:hAnsi="Cambria Math" w:cs="Times New Roman"/>
            <w:sz w:val="24"/>
            <w:szCs w:val="24"/>
            <w:lang w:val="en-US"/>
          </w:rPr>
          <m:t>,</m:t>
        </m:r>
      </m:oMath>
      <w:r w:rsidRPr="00CB20C3">
        <w:rPr>
          <w:rFonts w:ascii="Times New Roman" w:eastAsiaTheme="minorEastAsia" w:hAnsi="Times New Roman" w:cs="Times New Roman"/>
          <w:sz w:val="24"/>
          <w:szCs w:val="24"/>
          <w:lang w:val="en-US"/>
        </w:rPr>
        <w:t xml:space="preserve"> </w:t>
      </w:r>
      <w:proofErr w:type="gramStart"/>
      <w:r w:rsidRPr="00CB20C3">
        <w:rPr>
          <w:rFonts w:ascii="Times New Roman" w:eastAsiaTheme="minorEastAsia" w:hAnsi="Times New Roman" w:cs="Times New Roman"/>
          <w:sz w:val="24"/>
          <w:szCs w:val="24"/>
          <w:lang w:val="en-US"/>
        </w:rPr>
        <w:t>where</w:t>
      </w:r>
      <w:r w:rsidRPr="00CB20C3">
        <w:rPr>
          <w:rFonts w:ascii="Times New Roman" w:hAnsi="Times New Roman" w:cs="Times New Roman"/>
          <w:sz w:val="24"/>
          <w:szCs w:val="24"/>
          <w:lang w:val="en-US"/>
        </w:rPr>
        <w:t xml:space="preserve"> </w:t>
      </w:r>
      <w:proofErr w:type="gramEnd"/>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μ</m:t>
            </m:r>
          </m:e>
        </m:acc>
        <m:r>
          <w:rPr>
            <w:rFonts w:ascii="Cambria Math" w:eastAsiaTheme="minorEastAsia" w:hAnsi="Cambria Math" w:cs="Times New Roman"/>
            <w:sz w:val="24"/>
            <w:szCs w:val="24"/>
            <w:lang w:val="en-US"/>
          </w:rPr>
          <m:t>&gt;0</m:t>
        </m:r>
      </m:oMath>
      <w:r w:rsidRPr="00CB20C3">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σ&gt;0</m:t>
        </m:r>
      </m:oMath>
      <w:r w:rsidRPr="00CB20C3">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ε</m:t>
            </m:r>
          </m:sub>
        </m:sSub>
        <m:r>
          <w:rPr>
            <w:rFonts w:ascii="Cambria Math" w:eastAsiaTheme="minorEastAsia" w:hAnsi="Cambria Math" w:cs="Times New Roman"/>
            <w:sz w:val="24"/>
            <w:szCs w:val="24"/>
            <w:lang w:val="en-US"/>
          </w:rPr>
          <m:t>&gt;0</m:t>
        </m:r>
      </m:oMath>
      <w:r w:rsidRPr="00CB20C3">
        <w:rPr>
          <w:rFonts w:ascii="Times New Roman" w:eastAsiaTheme="minorEastAsia" w:hAnsi="Times New Roman" w:cs="Times New Roman"/>
          <w:sz w:val="24"/>
          <w:szCs w:val="24"/>
          <w:lang w:val="en-US"/>
        </w:rPr>
        <w:t xml:space="preserve">. However, CEO contestants can exert </w:t>
      </w:r>
      <w:r>
        <w:rPr>
          <w:rFonts w:ascii="Times New Roman" w:eastAsiaTheme="minorEastAsia" w:hAnsi="Times New Roman" w:cs="Times New Roman"/>
          <w:sz w:val="24"/>
          <w:szCs w:val="24"/>
          <w:lang w:val="en-US"/>
        </w:rPr>
        <w:t xml:space="preserve">personal </w:t>
      </w:r>
      <w:r w:rsidRPr="00CB20C3">
        <w:rPr>
          <w:rFonts w:ascii="Times New Roman" w:eastAsiaTheme="minorEastAsia" w:hAnsi="Times New Roman" w:cs="Times New Roman"/>
          <w:sz w:val="24"/>
          <w:szCs w:val="24"/>
          <w:lang w:val="en-US"/>
        </w:rPr>
        <w:t>effort t</w:t>
      </w:r>
      <w:r>
        <w:rPr>
          <w:rFonts w:ascii="Times New Roman" w:eastAsiaTheme="minorEastAsia" w:hAnsi="Times New Roman" w:cs="Times New Roman"/>
          <w:sz w:val="24"/>
          <w:szCs w:val="24"/>
          <w:lang w:val="en-US"/>
        </w:rPr>
        <w:t>o</w:t>
      </w:r>
      <w:r w:rsidRPr="00CB20C3">
        <w:rPr>
          <w:rFonts w:ascii="Times New Roman" w:eastAsiaTheme="minorEastAsia" w:hAnsi="Times New Roman" w:cs="Times New Roman"/>
          <w:sz w:val="24"/>
          <w:szCs w:val="24"/>
          <w:lang w:val="en-US"/>
        </w:rPr>
        <w:t xml:space="preserve"> shape the fundamental component of a project’s value. </w:t>
      </w:r>
      <w:r>
        <w:rPr>
          <w:rFonts w:ascii="Times New Roman" w:eastAsiaTheme="minorEastAsia" w:hAnsi="Times New Roman" w:cs="Times New Roman"/>
          <w:sz w:val="24"/>
          <w:szCs w:val="24"/>
          <w:lang w:val="en-US"/>
        </w:rPr>
        <w:t>Specifically, a</w:t>
      </w:r>
      <w:r w:rsidRPr="00CB20C3">
        <w:rPr>
          <w:rFonts w:ascii="Times New Roman" w:hAnsi="Times New Roman" w:cs="Times New Roman"/>
          <w:sz w:val="24"/>
          <w:szCs w:val="24"/>
          <w:lang w:val="en-US"/>
        </w:rPr>
        <w:t xml:space="preserve">t the beginning of </w:t>
      </w:r>
      <m:oMath>
        <m:r>
          <w:rPr>
            <w:rFonts w:ascii="Cambria Math" w:hAnsi="Cambria Math" w:cs="Times New Roman"/>
            <w:sz w:val="24"/>
            <w:szCs w:val="24"/>
            <w:lang w:val="en-US"/>
          </w:rPr>
          <m:t>t</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 1, CEO contestant </w:t>
      </w:r>
      <m:oMath>
        <m:r>
          <w:rPr>
            <w:rFonts w:ascii="Cambria Math" w:hAnsi="Cambria Math" w:cs="Times New Roman"/>
            <w:sz w:val="24"/>
            <w:szCs w:val="24"/>
            <w:lang w:val="en-US"/>
          </w:rPr>
          <m:t>i</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w:t>
      </w:r>
      <m:oMath>
        <m:r>
          <w:rPr>
            <w:rFonts w:ascii="Cambria Math" w:hAnsi="Cambria Math" w:cs="Times New Roman"/>
            <w:sz w:val="24"/>
            <w:szCs w:val="24"/>
            <w:lang w:val="en-US"/>
          </w:rPr>
          <m:t>i</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1</w:t>
      </w:r>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2) privately chooses a level of eff</w:t>
      </w:r>
      <w:r>
        <w:rPr>
          <w:rFonts w:ascii="Times New Roman" w:hAnsi="Times New Roman" w:cs="Times New Roman"/>
          <w:sz w:val="24"/>
          <w:szCs w:val="24"/>
          <w:lang w:val="en-US"/>
        </w:rPr>
        <w:t>ort</w:t>
      </w:r>
      <w:proofErr w:type="gramStart"/>
      <w:r w:rsidRPr="00CB20C3">
        <w:rPr>
          <w:rFonts w:ascii="Times New Roman" w:hAnsi="Times New Roman" w:cs="Times New Roman"/>
          <w:sz w:val="24"/>
          <w:szCs w:val="24"/>
          <w:lang w:val="en-US"/>
        </w:rPr>
        <w:t xml:space="preserve">, </w:t>
      </w:r>
      <w:proofErr w:type="gramEnd"/>
      <m:oMath>
        <m:r>
          <w:rPr>
            <w:rFonts w:ascii="Cambria Math" w:hAnsi="Cambria Math" w:cs="Times New Roman"/>
            <w:sz w:val="24"/>
            <w:szCs w:val="24"/>
            <w:lang w:val="en-US"/>
          </w:rPr>
          <m:t>e</m:t>
        </m:r>
      </m:oMath>
      <w:r w:rsidRPr="00CB20C3">
        <w:rPr>
          <w:rFonts w:ascii="Times New Roman" w:hAnsi="Times New Roman" w:cs="Times New Roman"/>
          <w:sz w:val="24"/>
          <w:szCs w:val="24"/>
          <w:lang w:val="en-US"/>
        </w:rPr>
        <w:t xml:space="preserve">, that will be exerted </w:t>
      </w:r>
      <w:r>
        <w:rPr>
          <w:rFonts w:ascii="Times New Roman" w:hAnsi="Times New Roman" w:cs="Times New Roman"/>
          <w:sz w:val="24"/>
          <w:szCs w:val="24"/>
          <w:lang w:val="en-US"/>
        </w:rPr>
        <w:t>on</w:t>
      </w:r>
      <w:r w:rsidRPr="00CB20C3">
        <w:rPr>
          <w:rFonts w:ascii="Times New Roman" w:hAnsi="Times New Roman" w:cs="Times New Roman"/>
          <w:sz w:val="24"/>
          <w:szCs w:val="24"/>
          <w:lang w:val="en-US"/>
        </w:rPr>
        <w:t xml:space="preserve"> the project that they are managing. The realized project value is the performance benchmark used for promotion and, therefore, by exerting more effort the contestant is able to improve the potential value of the project and the likelihood of </w:t>
      </w:r>
      <w:proofErr w:type="gramStart"/>
      <w:r w:rsidRPr="00CB20C3">
        <w:rPr>
          <w:rFonts w:ascii="Times New Roman" w:hAnsi="Times New Roman" w:cs="Times New Roman"/>
          <w:sz w:val="24"/>
          <w:szCs w:val="24"/>
          <w:lang w:val="en-US"/>
        </w:rPr>
        <w:t>being promoted</w:t>
      </w:r>
      <w:proofErr w:type="gramEnd"/>
      <w:r w:rsidRPr="00CB20C3">
        <w:rPr>
          <w:rFonts w:ascii="Times New Roman" w:hAnsi="Times New Roman" w:cs="Times New Roman"/>
          <w:sz w:val="24"/>
          <w:szCs w:val="24"/>
          <w:lang w:val="en-US"/>
        </w:rPr>
        <w:t xml:space="preserve">. There is also a personal cost of exerting effort, which </w:t>
      </w:r>
      <w:proofErr w:type="gramStart"/>
      <w:r w:rsidRPr="00CB20C3">
        <w:rPr>
          <w:rFonts w:ascii="Times New Roman" w:hAnsi="Times New Roman" w:cs="Times New Roman"/>
          <w:sz w:val="24"/>
          <w:szCs w:val="24"/>
          <w:lang w:val="en-US"/>
        </w:rPr>
        <w:t xml:space="preserve">is  </w:t>
      </w:r>
      <w:proofErr w:type="gramEnd"/>
      <m:oMath>
        <m:f>
          <m:fPr>
            <m:ctrlPr>
              <w:rPr>
                <w:rFonts w:ascii="Cambria Math" w:hAnsi="Cambria Math" w:cs="Times New Roman"/>
                <w:i/>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lang w:val="en-US"/>
              </w:rPr>
              <m:t>2</m:t>
            </m:r>
          </m:den>
        </m:f>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en-US"/>
              </w:rPr>
              <m:t>i</m:t>
            </m:r>
          </m:sub>
          <m:sup>
            <m:r>
              <w:rPr>
                <w:rFonts w:ascii="Cambria Math" w:hAnsi="Cambria Math" w:cs="Times New Roman"/>
                <w:sz w:val="24"/>
                <w:szCs w:val="24"/>
                <w:lang w:val="en-US"/>
              </w:rPr>
              <m:t>2</m:t>
            </m:r>
          </m:sup>
        </m:sSubSup>
      </m:oMath>
      <w:r>
        <w:rPr>
          <w:rFonts w:ascii="Times New Roman" w:eastAsiaTheme="minorEastAsia" w:hAnsi="Times New Roman" w:cs="Times New Roman"/>
          <w:sz w:val="24"/>
          <w:szCs w:val="24"/>
          <w:lang w:val="en-US"/>
        </w:rPr>
        <w:t>,</w:t>
      </w:r>
      <w:r w:rsidRPr="00CB20C3">
        <w:rPr>
          <w:rFonts w:ascii="Times New Roman" w:eastAsiaTheme="minorEastAsia" w:hAnsi="Times New Roman" w:cs="Times New Roman"/>
          <w:sz w:val="24"/>
          <w:szCs w:val="24"/>
          <w:lang w:val="en-US"/>
        </w:rPr>
        <w:t xml:space="preserve"> where </w:t>
      </w:r>
      <m:oMath>
        <m:r>
          <w:rPr>
            <w:rFonts w:ascii="Cambria Math" w:hAnsi="Cambria Math" w:cs="Times New Roman"/>
            <w:sz w:val="24"/>
            <w:szCs w:val="24"/>
            <w:lang w:val="en-US"/>
          </w:rPr>
          <m:t>k&gt;0</m:t>
        </m:r>
      </m:oMath>
      <w:r>
        <w:rPr>
          <w:rFonts w:ascii="Times New Roman" w:eastAsiaTheme="minorEastAsia" w:hAnsi="Times New Roman" w:cs="Times New Roman"/>
          <w:sz w:val="24"/>
          <w:szCs w:val="24"/>
          <w:lang w:val="en-US"/>
        </w:rPr>
        <w:t>.</w:t>
      </w:r>
      <w:r w:rsidRPr="00CB20C3">
        <w:rPr>
          <w:rFonts w:ascii="Times New Roman" w:hAnsi="Times New Roman" w:cs="Times New Roman"/>
          <w:sz w:val="24"/>
          <w:szCs w:val="24"/>
          <w:lang w:val="en-US"/>
        </w:rPr>
        <w:t xml:space="preserve"> The CEO contestant’s effort choice will therefore have a fundamental impact on the project’s value, i.e., </w:t>
      </w:r>
      <w:r w:rsidRPr="00CB20C3">
        <w:rPr>
          <w:rFonts w:ascii="Times New Roman" w:eastAsiaTheme="minorEastAsia" w:hAnsi="Times New Roman" w:cs="Times New Roman"/>
          <w:sz w:val="24"/>
          <w:szCs w:val="24"/>
          <w:lang w:val="en-US"/>
        </w:rPr>
        <w:t xml:space="preserve">the realization of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e>
          <m:sub>
            <m:r>
              <w:rPr>
                <w:rFonts w:ascii="Cambria Math" w:hAnsi="Cambria Math" w:cs="Times New Roman"/>
                <w:sz w:val="24"/>
                <w:szCs w:val="24"/>
                <w:lang w:val="en-US"/>
              </w:rPr>
              <m:t>i</m:t>
            </m:r>
          </m:sub>
        </m:sSub>
      </m:oMath>
      <w:r>
        <w:rPr>
          <w:rFonts w:ascii="Times New Roman" w:eastAsiaTheme="minorEastAsia" w:hAnsi="Times New Roman" w:cs="Times New Roman"/>
          <w:sz w:val="24"/>
          <w:szCs w:val="24"/>
          <w:lang w:val="en-US"/>
        </w:rPr>
        <w:t xml:space="preserve"> will </w:t>
      </w:r>
      <w:proofErr w:type="gramStart"/>
      <w:r>
        <w:rPr>
          <w:rFonts w:ascii="Times New Roman" w:eastAsiaTheme="minorEastAsia" w:hAnsi="Times New Roman" w:cs="Times New Roman"/>
          <w:sz w:val="24"/>
          <w:szCs w:val="24"/>
          <w:lang w:val="en-US"/>
        </w:rPr>
        <w:t xml:space="preserve">be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i</m:t>
            </m:r>
          </m:sub>
        </m:sSub>
      </m:oMath>
      <w:r>
        <w:rPr>
          <w:rFonts w:ascii="Times New Roman" w:hAnsi="Times New Roman" w:cs="Times New Roman"/>
          <w:sz w:val="24"/>
          <w:szCs w:val="24"/>
          <w:lang w:val="en-US"/>
        </w:rPr>
        <w:t xml:space="preserve">, 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i</m:t>
            </m:r>
          </m:sub>
        </m:sSub>
      </m:oMath>
      <w:r>
        <w:rPr>
          <w:rFonts w:ascii="Times New Roman" w:eastAsiaTheme="minorEastAsia" w:hAnsi="Times New Roman" w:cs="Times New Roman"/>
          <w:sz w:val="24"/>
          <w:szCs w:val="24"/>
          <w:lang w:val="en-US"/>
        </w:rPr>
        <w:t xml:space="preserve"> is the capital level of project </w:t>
      </w:r>
      <m:oMath>
        <m:r>
          <w:rPr>
            <w:rFonts w:ascii="Cambria Math" w:eastAsiaTheme="minorEastAsia" w:hAnsi="Cambria Math" w:cs="Times New Roman"/>
            <w:sz w:val="24"/>
            <w:szCs w:val="24"/>
            <w:lang w:val="en-US"/>
          </w:rPr>
          <m:t>i</m:t>
        </m:r>
      </m:oMath>
      <w:r w:rsidRPr="00CB20C3">
        <w:rPr>
          <w:rFonts w:ascii="Times New Roman" w:hAnsi="Times New Roman" w:cs="Times New Roman"/>
          <w:sz w:val="24"/>
          <w:szCs w:val="24"/>
          <w:lang w:val="en-US"/>
        </w:rPr>
        <w:t>.</w:t>
      </w:r>
      <w:r w:rsidRPr="004E16F9">
        <w:t xml:space="preserve"> </w:t>
      </w:r>
      <w:r>
        <w:rPr>
          <w:rFonts w:ascii="Times New Roman" w:hAnsi="Times New Roman" w:cs="Times New Roman"/>
          <w:sz w:val="24"/>
          <w:szCs w:val="24"/>
          <w:lang w:val="en-US"/>
        </w:rPr>
        <w:t xml:space="preserve">This means that labor input and </w:t>
      </w:r>
      <w:r w:rsidRPr="004E16F9">
        <w:rPr>
          <w:rFonts w:ascii="Times New Roman" w:hAnsi="Times New Roman" w:cs="Times New Roman"/>
          <w:sz w:val="24"/>
          <w:szCs w:val="24"/>
          <w:lang w:val="en-US"/>
        </w:rPr>
        <w:t xml:space="preserve">capital are complements in enhancing </w:t>
      </w:r>
      <w:r>
        <w:rPr>
          <w:rFonts w:ascii="Times New Roman" w:hAnsi="Times New Roman" w:cs="Times New Roman"/>
          <w:sz w:val="24"/>
          <w:szCs w:val="24"/>
          <w:lang w:val="en-US"/>
        </w:rPr>
        <w:t xml:space="preserve">productivity, consistent with </w:t>
      </w:r>
      <w:proofErr w:type="spellStart"/>
      <w:r>
        <w:rPr>
          <w:rFonts w:ascii="Times New Roman" w:hAnsi="Times New Roman" w:cs="Times New Roman"/>
          <w:sz w:val="24"/>
          <w:szCs w:val="24"/>
          <w:lang w:val="en-US"/>
        </w:rPr>
        <w:t>Romer</w:t>
      </w:r>
      <w:proofErr w:type="spellEnd"/>
      <w:r>
        <w:rPr>
          <w:rFonts w:ascii="Times New Roman" w:hAnsi="Times New Roman" w:cs="Times New Roman"/>
          <w:sz w:val="24"/>
          <w:szCs w:val="24"/>
          <w:lang w:val="en-US"/>
        </w:rPr>
        <w:t xml:space="preserve"> (2011)</w:t>
      </w:r>
      <w:r w:rsidRPr="004E16F9">
        <w:rPr>
          <w:rFonts w:ascii="Times New Roman" w:hAnsi="Times New Roman" w:cs="Times New Roman"/>
          <w:sz w:val="24"/>
          <w:szCs w:val="24"/>
          <w:lang w:val="en-US"/>
        </w:rPr>
        <w:t>.</w:t>
      </w:r>
      <w:r w:rsidRPr="00CB20C3">
        <w:rPr>
          <w:rFonts w:ascii="Times New Roman" w:hAnsi="Times New Roman" w:cs="Times New Roman"/>
          <w:sz w:val="24"/>
          <w:szCs w:val="24"/>
          <w:lang w:val="en-US"/>
        </w:rPr>
        <w:t xml:space="preserve"> </w:t>
      </w:r>
      <w:r>
        <w:rPr>
          <w:rFonts w:ascii="Times New Roman" w:hAnsi="Times New Roman" w:cs="Times New Roman"/>
          <w:sz w:val="24"/>
          <w:szCs w:val="24"/>
          <w:lang w:val="en-US"/>
        </w:rPr>
        <w:t>For simplicity, we assume that projects have a predetermined and identical physical capital level, i.e.</w:t>
      </w:r>
      <w:proofErr w:type="gramStart"/>
      <w:r>
        <w:rPr>
          <w:rFonts w:ascii="Times New Roman" w:hAnsi="Times New Roman" w:cs="Times New Roman"/>
          <w:sz w:val="24"/>
          <w:szCs w:val="24"/>
          <w:lang w:val="en-US"/>
        </w:rPr>
        <w:t xml:space="preserv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2</m:t>
            </m:r>
          </m:sub>
        </m:sSub>
        <m:r>
          <w:rPr>
            <w:rFonts w:ascii="Cambria Math" w:hAnsi="Cambria Math" w:cs="Times New Roman"/>
            <w:sz w:val="24"/>
            <w:szCs w:val="24"/>
            <w:lang w:val="en-US"/>
          </w:rPr>
          <m:t>=I</m:t>
        </m:r>
      </m:oMath>
      <w:r>
        <w:rPr>
          <w:rFonts w:ascii="Times New Roman" w:eastAsiaTheme="minorEastAsia" w:hAnsi="Times New Roman" w:cs="Times New Roman"/>
          <w:sz w:val="24"/>
          <w:szCs w:val="24"/>
          <w:lang w:val="en-US"/>
        </w:rPr>
        <w:t>, where</w:t>
      </w:r>
      <m:oMath>
        <m:r>
          <w:rPr>
            <w:rFonts w:ascii="Cambria Math" w:hAnsi="Cambria Math" w:cs="Times New Roman"/>
            <w:sz w:val="24"/>
            <w:szCs w:val="24"/>
            <w:lang w:val="en-US"/>
          </w:rPr>
          <m:t xml:space="preserve"> I&gt;0</m:t>
        </m:r>
      </m:oMath>
      <w:r>
        <w:rPr>
          <w:rFonts w:ascii="Times New Roman" w:hAnsi="Times New Roman" w:cs="Times New Roman"/>
          <w:sz w:val="24"/>
          <w:szCs w:val="24"/>
          <w:lang w:val="en-US"/>
        </w:rPr>
        <w:t xml:space="preserve">. </w:t>
      </w:r>
      <w:r w:rsidRPr="00CB20C3">
        <w:rPr>
          <w:rFonts w:ascii="Times New Roman" w:hAnsi="Times New Roman" w:cs="Times New Roman"/>
          <w:sz w:val="24"/>
          <w:szCs w:val="24"/>
          <w:lang w:val="en-US"/>
        </w:rPr>
        <w:t xml:space="preserve">At </w:t>
      </w:r>
      <m:oMath>
        <m:r>
          <w:rPr>
            <w:rFonts w:ascii="Cambria Math" w:hAnsi="Cambria Math" w:cs="Times New Roman"/>
            <w:sz w:val="24"/>
            <w:szCs w:val="24"/>
            <w:lang w:val="en-US"/>
          </w:rPr>
          <m:t>t</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 </w:t>
      </w:r>
      <w:proofErr w:type="gramStart"/>
      <w:r w:rsidRPr="00CB20C3">
        <w:rPr>
          <w:rFonts w:ascii="Times New Roman" w:hAnsi="Times New Roman" w:cs="Times New Roman"/>
          <w:sz w:val="24"/>
          <w:szCs w:val="24"/>
          <w:lang w:val="en-US"/>
        </w:rPr>
        <w:t>2</w:t>
      </w:r>
      <w:proofErr w:type="gramEnd"/>
      <w:r w:rsidRPr="00CB20C3">
        <w:rPr>
          <w:rFonts w:ascii="Times New Roman" w:hAnsi="Times New Roman" w:cs="Times New Roman"/>
          <w:sz w:val="24"/>
          <w:szCs w:val="24"/>
          <w:lang w:val="en-US"/>
        </w:rPr>
        <w:t xml:space="preserve">, project values are realized. </w:t>
      </w:r>
      <w:proofErr w:type="gramStart"/>
      <w:r w:rsidRPr="00CB20C3">
        <w:rPr>
          <w:rFonts w:ascii="Times New Roman" w:hAnsi="Times New Roman" w:cs="Times New Roman"/>
          <w:sz w:val="24"/>
          <w:szCs w:val="24"/>
          <w:lang w:val="en-US"/>
        </w:rPr>
        <w:t xml:space="preserve">If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i</m:t>
            </m:r>
          </m:sub>
        </m:sSub>
        <m:r>
          <w:rPr>
            <w:rFonts w:ascii="Cambria Math" w:hAnsi="Cambria Math" w:cs="Times New Roman"/>
            <w:sz w:val="24"/>
            <w:szCs w:val="24"/>
            <w:lang w:val="en-US"/>
          </w:rPr>
          <m:t>&gt;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j</m:t>
            </m:r>
          </m:sub>
        </m:sSub>
      </m:oMath>
      <w:r w:rsidRPr="00CB20C3">
        <w:rPr>
          <w:rFonts w:ascii="Times New Roman" w:hAnsi="Times New Roman" w:cs="Times New Roman"/>
          <w:sz w:val="24"/>
          <w:szCs w:val="24"/>
          <w:lang w:val="en-US"/>
        </w:rPr>
        <w:t xml:space="preserve">, CEO contestant </w:t>
      </w:r>
      <m:oMath>
        <m:r>
          <w:rPr>
            <w:rFonts w:ascii="Cambria Math" w:hAnsi="Cambria Math" w:cs="Times New Roman"/>
            <w:sz w:val="24"/>
            <w:szCs w:val="24"/>
            <w:lang w:val="en-US"/>
          </w:rPr>
          <m:t>i</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is promoted to the CEO position and receives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H</m:t>
            </m:r>
          </m:sub>
        </m:sSub>
      </m:oMath>
      <w:r w:rsidRPr="00CB20C3">
        <w:rPr>
          <w:rFonts w:ascii="Times New Roman" w:hAnsi="Times New Roman" w:cs="Times New Roman"/>
          <w:sz w:val="24"/>
          <w:szCs w:val="24"/>
          <w:lang w:val="en-US"/>
        </w:rPr>
        <w:t xml:space="preserve">, and CEO contestant </w:t>
      </w:r>
      <m:oMath>
        <m:r>
          <w:rPr>
            <w:rFonts w:ascii="Cambria Math" w:hAnsi="Cambria Math" w:cs="Times New Roman"/>
            <w:sz w:val="24"/>
            <w:szCs w:val="24"/>
            <w:lang w:val="en-US"/>
          </w:rPr>
          <m:t>j</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receives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L</m:t>
            </m:r>
          </m:sub>
        </m:sSub>
      </m:oMath>
      <w:r w:rsidRPr="00CB20C3">
        <w:rPr>
          <w:rFonts w:ascii="Times New Roman" w:hAnsi="Times New Roman" w:cs="Times New Roman"/>
          <w:sz w:val="24"/>
          <w:szCs w:val="24"/>
          <w:lang w:val="en-US"/>
        </w:rPr>
        <w:t>.</w:t>
      </w:r>
      <w:r w:rsidRPr="00CB20C3">
        <w:rPr>
          <w:rFonts w:ascii="Times New Roman" w:hAnsi="Times New Roman" w:cs="Times New Roman"/>
          <w:sz w:val="24"/>
          <w:szCs w:val="24"/>
          <w:vertAlign w:val="superscript"/>
          <w:lang w:val="en-US"/>
        </w:rPr>
        <w:footnoteReference w:id="2"/>
      </w:r>
    </w:p>
    <w:p w14:paraId="63F6773E" w14:textId="77777777" w:rsidR="001D1710" w:rsidRPr="00CB20C3" w:rsidRDefault="001D1710" w:rsidP="001D1710">
      <w:pPr>
        <w:spacing w:after="0" w:line="480" w:lineRule="auto"/>
        <w:ind w:firstLine="567"/>
        <w:jc w:val="both"/>
        <w:rPr>
          <w:rFonts w:ascii="Times New Roman" w:hAnsi="Times New Roman" w:cs="Times New Roman"/>
          <w:sz w:val="24"/>
          <w:szCs w:val="24"/>
          <w:lang w:val="en-US"/>
        </w:rPr>
      </w:pPr>
      <w:r w:rsidRPr="00CB20C3">
        <w:rPr>
          <w:rFonts w:ascii="Times New Roman" w:hAnsi="Times New Roman" w:cs="Times New Roman"/>
          <w:sz w:val="24"/>
          <w:szCs w:val="24"/>
          <w:lang w:val="en-US"/>
        </w:rPr>
        <w:t xml:space="preserve">The decision problem for CEO contestant </w:t>
      </w:r>
      <m:oMath>
        <m:r>
          <w:rPr>
            <w:rFonts w:ascii="Cambria Math" w:hAnsi="Cambria Math" w:cs="Times New Roman"/>
            <w:sz w:val="24"/>
            <w:szCs w:val="24"/>
            <w:lang w:val="en-US"/>
          </w:rPr>
          <m:t>i</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w:t>
      </w:r>
      <m:oMath>
        <m:r>
          <w:rPr>
            <w:rFonts w:ascii="Cambria Math" w:hAnsi="Cambria Math" w:cs="Times New Roman"/>
            <w:sz w:val="24"/>
            <w:szCs w:val="24"/>
            <w:lang w:val="en-US"/>
          </w:rPr>
          <m:t>i</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1</w:t>
      </w:r>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xml:space="preserve">2) at the beginning of </w:t>
      </w:r>
      <m:oMath>
        <m:r>
          <w:rPr>
            <w:rFonts w:ascii="Cambria Math" w:hAnsi="Cambria Math" w:cs="Times New Roman"/>
            <w:sz w:val="24"/>
            <w:szCs w:val="24"/>
            <w:lang w:val="en-US"/>
          </w:rPr>
          <m:t>t</m:t>
        </m:r>
      </m:oMath>
      <w:r w:rsidRPr="00CB20C3">
        <w:rPr>
          <w:rFonts w:ascii="Times New Roman" w:hAnsi="Times New Roman" w:cs="Times New Roman"/>
          <w:i/>
          <w:sz w:val="24"/>
          <w:szCs w:val="24"/>
          <w:lang w:val="en-US"/>
        </w:rPr>
        <w:t xml:space="preserve"> </w:t>
      </w:r>
      <w:r w:rsidRPr="00CB20C3">
        <w:rPr>
          <w:rFonts w:ascii="Times New Roman" w:hAnsi="Times New Roman" w:cs="Times New Roman"/>
          <w:sz w:val="24"/>
          <w:szCs w:val="24"/>
          <w:lang w:val="en-US"/>
        </w:rPr>
        <w:t>= 1 is, therefore, to choose an effort level that maximizes his/her expected payoff</w:t>
      </w:r>
      <w:r>
        <w:rPr>
          <w:rFonts w:ascii="Times New Roman" w:hAnsi="Times New Roman" w:cs="Times New Roman"/>
          <w:sz w:val="24"/>
          <w:szCs w:val="24"/>
          <w:lang w:val="en-US"/>
        </w:rPr>
        <w:t>,</w:t>
      </w:r>
      <w:r w:rsidRPr="00CB20C3">
        <w:rPr>
          <w:rFonts w:ascii="Times New Roman" w:hAnsi="Times New Roman" w:cs="Times New Roman"/>
          <w:sz w:val="24"/>
          <w:szCs w:val="24"/>
          <w:lang w:val="en-US"/>
        </w:rPr>
        <w:t xml:space="preserve"> net of </w:t>
      </w:r>
      <w:r>
        <w:rPr>
          <w:rFonts w:ascii="Times New Roman" w:hAnsi="Times New Roman" w:cs="Times New Roman"/>
          <w:sz w:val="24"/>
          <w:szCs w:val="24"/>
          <w:lang w:val="en-US"/>
        </w:rPr>
        <w:t>the contestant’s</w:t>
      </w:r>
      <w:r w:rsidRPr="00CB20C3">
        <w:rPr>
          <w:rFonts w:ascii="Times New Roman" w:hAnsi="Times New Roman" w:cs="Times New Roman"/>
          <w:sz w:val="24"/>
          <w:szCs w:val="24"/>
          <w:lang w:val="en-US"/>
        </w:rPr>
        <w:t xml:space="preserve"> personal cost:</w:t>
      </w:r>
    </w:p>
    <w:p w14:paraId="01496968" w14:textId="77777777" w:rsidR="001D1710" w:rsidRPr="00CB20C3" w:rsidRDefault="00CF1E13" w:rsidP="001D1710">
      <w:pPr>
        <w:spacing w:after="0" w:line="480" w:lineRule="auto"/>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max</m:t>
                  </m:r>
                </m:e>
                <m:lim>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lim>
              </m:limLow>
            </m:fName>
            <m:e>
              <m:r>
                <w:rPr>
                  <w:rFonts w:ascii="Cambria Math" w:hAnsi="Cambria Math" w:cs="Times New Roman"/>
                  <w:sz w:val="24"/>
                  <w:szCs w:val="24"/>
                  <w:lang w:val="en-US"/>
                </w:rPr>
                <m:t xml:space="preserve">    Pr</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i</m:t>
                      </m:r>
                    </m:sub>
                  </m:sSub>
                  <m:r>
                    <w:rPr>
                      <w:rFonts w:ascii="Cambria Math" w:hAnsi="Cambria Math" w:cs="Times New Roman"/>
                      <w:sz w:val="24"/>
                      <w:szCs w:val="24"/>
                      <w:lang w:val="en-US"/>
                    </w:rPr>
                    <m:t>&gt;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j</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H</m:t>
                  </m:r>
                </m:sub>
              </m:sSub>
              <m:r>
                <w:rPr>
                  <w:rFonts w:ascii="Cambria Math" w:hAnsi="Cambria Math" w:cs="Times New Roman"/>
                  <w:sz w:val="24"/>
                  <w:szCs w:val="24"/>
                  <w:lang w:val="en-US"/>
                </w:rPr>
                <m:t>+</m:t>
              </m:r>
              <m:r>
                <m:rPr>
                  <m:sty m:val="p"/>
                </m:rPr>
                <w:rPr>
                  <w:rFonts w:ascii="Cambria Math" w:hAnsi="Cambria Math" w:cs="Times New Roman"/>
                  <w:sz w:val="24"/>
                  <w:szCs w:val="24"/>
                  <w:lang w:val="en-US"/>
                </w:rPr>
                <m:t>Pr⁡</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i</m:t>
                      </m:r>
                    </m:sub>
                  </m:sSub>
                  <m:r>
                    <w:rPr>
                      <w:rFonts w:ascii="Cambria Math" w:hAnsi="Cambria Math" w:cs="Times New Roman"/>
                      <w:sz w:val="24"/>
                      <w:szCs w:val="24"/>
                      <w:lang w:val="en-US"/>
                    </w:rPr>
                    <m:t>&lt;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j</m:t>
                      </m:r>
                    </m:sub>
                  </m:sSub>
                </m:e>
              </m:d>
              <m:r>
                <w:rPr>
                  <w:rFonts w:ascii="Cambria Math" w:hAnsi="Cambria Math" w:cs="Times New Roman"/>
                  <w:sz w:val="24"/>
                  <w:szCs w:val="24"/>
                  <w:lang w:val="en-US"/>
                </w:rPr>
                <m:t>∙</m:t>
              </m:r>
            </m:e>
          </m:func>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L</m:t>
              </m:r>
            </m:sub>
          </m:sSub>
          <m:r>
            <w:rPr>
              <w:rFonts w:ascii="Cambria Math" w:hAnsi="Cambria Math" w:cs="Times New Roman"/>
              <w:sz w:val="24"/>
              <w:szCs w:val="24"/>
              <w:lang w:val="en-US"/>
            </w:rPr>
            <m:t xml:space="preserve"> - </m:t>
          </m:r>
          <m:f>
            <m:fPr>
              <m:ctrlPr>
                <w:rPr>
                  <w:rFonts w:ascii="Cambria Math" w:hAnsi="Cambria Math" w:cs="Times New Roman"/>
                  <w:i/>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lang w:val="en-US"/>
                </w:rPr>
                <m:t>2</m:t>
              </m:r>
            </m:den>
          </m:f>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en-US"/>
                </w:rPr>
                <m:t>i</m:t>
              </m:r>
            </m:sub>
            <m:sup>
              <m:r>
                <w:rPr>
                  <w:rFonts w:ascii="Cambria Math" w:hAnsi="Cambria Math" w:cs="Times New Roman"/>
                  <w:sz w:val="24"/>
                  <w:szCs w:val="24"/>
                  <w:lang w:val="en-US"/>
                </w:rPr>
                <m:t>2</m:t>
              </m:r>
            </m:sup>
          </m:sSubSup>
          <m:r>
            <w:rPr>
              <w:rFonts w:ascii="Cambria Math" w:hAnsi="Cambria Math" w:cs="Times New Roman"/>
              <w:sz w:val="24"/>
              <w:szCs w:val="24"/>
              <w:lang w:val="en-US"/>
            </w:rPr>
            <m:t>.                                                        (1)</m:t>
          </m:r>
        </m:oMath>
      </m:oMathPara>
    </w:p>
    <w:p w14:paraId="785D7320" w14:textId="77777777" w:rsidR="001D1710" w:rsidRPr="00CB20C3" w:rsidRDefault="001D1710" w:rsidP="001D1710">
      <w:pPr>
        <w:spacing w:after="0" w:line="480" w:lineRule="auto"/>
        <w:rPr>
          <w:rFonts w:ascii="Times New Roman" w:hAnsi="Times New Roman" w:cs="Times New Roman"/>
          <w:sz w:val="24"/>
          <w:szCs w:val="24"/>
          <w:lang w:val="en-US"/>
        </w:rPr>
      </w:pPr>
      <w:r w:rsidRPr="00CB20C3">
        <w:rPr>
          <w:rFonts w:ascii="Times New Roman" w:eastAsiaTheme="minorEastAsia" w:hAnsi="Times New Roman" w:cs="Times New Roman"/>
          <w:sz w:val="24"/>
          <w:szCs w:val="24"/>
          <w:lang w:val="en-US"/>
        </w:rPr>
        <w:t xml:space="preserve"> </w:t>
      </w:r>
    </w:p>
    <w:p w14:paraId="3416833F" w14:textId="5142F200" w:rsidR="001D1710" w:rsidRPr="00C10B0F" w:rsidRDefault="001D1710" w:rsidP="001D1710">
      <w:pPr>
        <w:spacing w:after="0" w:line="480" w:lineRule="auto"/>
        <w:rPr>
          <w:rFonts w:ascii="Times New Roman" w:hAnsi="Times New Roman" w:cs="Times New Roman"/>
          <w:i/>
          <w:sz w:val="24"/>
          <w:szCs w:val="24"/>
          <w:lang w:val="en-US"/>
        </w:rPr>
      </w:pPr>
      <w:r w:rsidRPr="00C10B0F">
        <w:rPr>
          <w:rFonts w:ascii="Times New Roman" w:hAnsi="Times New Roman" w:cs="Times New Roman"/>
          <w:bCs/>
          <w:i/>
          <w:sz w:val="24"/>
          <w:szCs w:val="24"/>
          <w:lang w:val="en-US"/>
        </w:rPr>
        <w:t xml:space="preserve">2.2 Modelling the stock market </w:t>
      </w:r>
    </w:p>
    <w:p w14:paraId="5EB5C733" w14:textId="77777777" w:rsidR="001D1710" w:rsidRPr="00CB20C3" w:rsidRDefault="001D1710" w:rsidP="001D1710">
      <w:pPr>
        <w:spacing w:after="0" w:line="480" w:lineRule="auto"/>
        <w:ind w:firstLine="567"/>
        <w:jc w:val="both"/>
        <w:rPr>
          <w:rFonts w:ascii="Times New Roman" w:hAnsi="Times New Roman" w:cs="Times New Roman"/>
          <w:sz w:val="24"/>
          <w:szCs w:val="24"/>
          <w:lang w:val="en-US"/>
        </w:rPr>
      </w:pPr>
      <w:r w:rsidRPr="00CB20C3">
        <w:rPr>
          <w:rFonts w:ascii="Times New Roman" w:hAnsi="Times New Roman" w:cs="Times New Roman"/>
          <w:sz w:val="24"/>
          <w:szCs w:val="24"/>
          <w:lang w:val="en-US"/>
        </w:rPr>
        <w:lastRenderedPageBreak/>
        <w:t xml:space="preserve">At the end of </w:t>
      </w:r>
      <m:oMath>
        <m:r>
          <w:rPr>
            <w:rFonts w:ascii="Cambria Math" w:hAnsi="Cambria Math" w:cs="Times New Roman"/>
            <w:sz w:val="24"/>
            <w:szCs w:val="24"/>
            <w:lang w:val="en-US"/>
          </w:rPr>
          <m:t>t</m:t>
        </m:r>
      </m:oMath>
      <w:r w:rsidRPr="00CB20C3">
        <w:rPr>
          <w:rFonts w:ascii="Times New Roman" w:hAnsi="Times New Roman" w:cs="Times New Roman"/>
          <w:sz w:val="24"/>
          <w:szCs w:val="24"/>
          <w:lang w:val="en-US"/>
        </w:rPr>
        <w:t xml:space="preserve"> = </w:t>
      </w:r>
      <w:proofErr w:type="gramStart"/>
      <w:r w:rsidRPr="00CB20C3">
        <w:rPr>
          <w:rFonts w:ascii="Times New Roman" w:hAnsi="Times New Roman" w:cs="Times New Roman"/>
          <w:sz w:val="24"/>
          <w:szCs w:val="24"/>
          <w:lang w:val="en-US"/>
        </w:rPr>
        <w:t>1</w:t>
      </w:r>
      <w:proofErr w:type="gramEnd"/>
      <w:r w:rsidRPr="00CB20C3">
        <w:rPr>
          <w:rFonts w:ascii="Times New Roman" w:hAnsi="Times New Roman" w:cs="Times New Roman"/>
          <w:sz w:val="24"/>
          <w:szCs w:val="24"/>
          <w:lang w:val="en-US"/>
        </w:rPr>
        <w:t xml:space="preserve">, the stock of the firm is traded in </w:t>
      </w:r>
      <w:r>
        <w:rPr>
          <w:rFonts w:ascii="Times New Roman" w:hAnsi="Times New Roman" w:cs="Times New Roman"/>
          <w:sz w:val="24"/>
          <w:szCs w:val="24"/>
          <w:lang w:val="en-US"/>
        </w:rPr>
        <w:t>a securities exchange</w:t>
      </w:r>
      <w:r w:rsidRPr="00CB20C3">
        <w:rPr>
          <w:rFonts w:ascii="Times New Roman" w:hAnsi="Times New Roman" w:cs="Times New Roman"/>
          <w:sz w:val="24"/>
          <w:szCs w:val="24"/>
          <w:lang w:val="en-US"/>
        </w:rPr>
        <w:t>. We model the stock market as a standard CARA-normal setup</w:t>
      </w:r>
      <w:r>
        <w:rPr>
          <w:rFonts w:ascii="Times New Roman" w:hAnsi="Times New Roman" w:cs="Times New Roman"/>
          <w:sz w:val="24"/>
          <w:szCs w:val="24"/>
          <w:lang w:val="en-US"/>
        </w:rPr>
        <w:t xml:space="preserve">, </w:t>
      </w:r>
      <w:r w:rsidRPr="00CB20C3">
        <w:rPr>
          <w:rFonts w:ascii="Times New Roman" w:hAnsi="Times New Roman" w:cs="Times New Roman"/>
          <w:sz w:val="24"/>
          <w:szCs w:val="24"/>
          <w:lang w:val="en-US"/>
        </w:rPr>
        <w:t>consist</w:t>
      </w:r>
      <w:r>
        <w:rPr>
          <w:rFonts w:ascii="Times New Roman" w:hAnsi="Times New Roman" w:cs="Times New Roman"/>
          <w:sz w:val="24"/>
          <w:szCs w:val="24"/>
          <w:lang w:val="en-US"/>
        </w:rPr>
        <w:t>ing</w:t>
      </w:r>
      <w:r w:rsidRPr="00CB20C3">
        <w:rPr>
          <w:rFonts w:ascii="Times New Roman" w:hAnsi="Times New Roman" w:cs="Times New Roman"/>
          <w:sz w:val="24"/>
          <w:szCs w:val="24"/>
          <w:lang w:val="en-US"/>
        </w:rPr>
        <w:t xml:space="preserve"> of a representative </w:t>
      </w:r>
      <w:r>
        <w:rPr>
          <w:rFonts w:ascii="Times New Roman" w:hAnsi="Times New Roman" w:cs="Times New Roman"/>
          <w:sz w:val="24"/>
          <w:szCs w:val="24"/>
          <w:lang w:val="en-US"/>
        </w:rPr>
        <w:t>sophisticated (</w:t>
      </w:r>
      <w:r w:rsidRPr="00CB20C3">
        <w:rPr>
          <w:rFonts w:ascii="Times New Roman" w:hAnsi="Times New Roman" w:cs="Times New Roman"/>
          <w:sz w:val="24"/>
          <w:szCs w:val="24"/>
          <w:lang w:val="en-US"/>
        </w:rPr>
        <w:t>institutional</w:t>
      </w:r>
      <w:r>
        <w:rPr>
          <w:rFonts w:ascii="Times New Roman" w:hAnsi="Times New Roman" w:cs="Times New Roman"/>
          <w:sz w:val="24"/>
          <w:szCs w:val="24"/>
          <w:lang w:val="en-US"/>
        </w:rPr>
        <w:t>)</w:t>
      </w:r>
      <w:r w:rsidRPr="00CB20C3">
        <w:rPr>
          <w:rFonts w:ascii="Times New Roman" w:hAnsi="Times New Roman" w:cs="Times New Roman"/>
          <w:sz w:val="24"/>
          <w:szCs w:val="24"/>
          <w:lang w:val="en-US"/>
        </w:rPr>
        <w:t xml:space="preserve"> investor, a representative </w:t>
      </w:r>
      <w:r>
        <w:rPr>
          <w:rFonts w:ascii="Times New Roman" w:hAnsi="Times New Roman" w:cs="Times New Roman"/>
          <w:sz w:val="24"/>
          <w:szCs w:val="24"/>
          <w:lang w:val="en-US"/>
        </w:rPr>
        <w:t>uninformed (</w:t>
      </w:r>
      <w:r w:rsidRPr="00CB20C3">
        <w:rPr>
          <w:rFonts w:ascii="Times New Roman" w:hAnsi="Times New Roman" w:cs="Times New Roman"/>
          <w:sz w:val="24"/>
          <w:szCs w:val="24"/>
          <w:lang w:val="en-US"/>
        </w:rPr>
        <w:t>retail</w:t>
      </w:r>
      <w:r>
        <w:rPr>
          <w:rFonts w:ascii="Times New Roman" w:hAnsi="Times New Roman" w:cs="Times New Roman"/>
          <w:sz w:val="24"/>
          <w:szCs w:val="24"/>
          <w:lang w:val="en-US"/>
        </w:rPr>
        <w:t>)</w:t>
      </w:r>
      <w:r w:rsidRPr="00CB20C3">
        <w:rPr>
          <w:rFonts w:ascii="Times New Roman" w:hAnsi="Times New Roman" w:cs="Times New Roman"/>
          <w:sz w:val="24"/>
          <w:szCs w:val="24"/>
          <w:lang w:val="en-US"/>
        </w:rPr>
        <w:t xml:space="preserve"> investor</w:t>
      </w:r>
      <w:r>
        <w:rPr>
          <w:rFonts w:ascii="Times New Roman" w:hAnsi="Times New Roman" w:cs="Times New Roman"/>
          <w:sz w:val="24"/>
          <w:szCs w:val="24"/>
          <w:lang w:val="en-US"/>
        </w:rPr>
        <w:t>,</w:t>
      </w:r>
      <w:r w:rsidRPr="00CB20C3">
        <w:rPr>
          <w:rFonts w:ascii="Times New Roman" w:hAnsi="Times New Roman" w:cs="Times New Roman"/>
          <w:sz w:val="24"/>
          <w:szCs w:val="24"/>
          <w:lang w:val="en-US"/>
        </w:rPr>
        <w:t xml:space="preserve"> and a mass of noise traders. </w:t>
      </w:r>
    </w:p>
    <w:p w14:paraId="7EA7DC05" w14:textId="77777777" w:rsidR="001D1710" w:rsidRPr="00CB20C3" w:rsidRDefault="001D1710" w:rsidP="001D1710">
      <w:pPr>
        <w:spacing w:after="0" w:line="480" w:lineRule="auto"/>
        <w:ind w:firstLine="567"/>
        <w:jc w:val="both"/>
        <w:rPr>
          <w:rFonts w:ascii="Times New Roman" w:hAnsi="Times New Roman" w:cs="Times New Roman"/>
          <w:sz w:val="24"/>
          <w:szCs w:val="24"/>
          <w:lang w:val="en-US"/>
        </w:rPr>
      </w:pPr>
      <w:r w:rsidRPr="00CB20C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institutional investor is assumed </w:t>
      </w:r>
      <w:proofErr w:type="gramStart"/>
      <w:r>
        <w:rPr>
          <w:rFonts w:ascii="Times New Roman" w:hAnsi="Times New Roman" w:cs="Times New Roman"/>
          <w:sz w:val="24"/>
          <w:szCs w:val="24"/>
          <w:lang w:val="en-US"/>
        </w:rPr>
        <w:t>to be sophisticated</w:t>
      </w:r>
      <w:proofErr w:type="gramEnd"/>
      <w:r>
        <w:rPr>
          <w:rFonts w:ascii="Times New Roman" w:hAnsi="Times New Roman" w:cs="Times New Roman"/>
          <w:sz w:val="24"/>
          <w:szCs w:val="24"/>
          <w:lang w:val="en-US"/>
        </w:rPr>
        <w:t xml:space="preserve"> in the sense that this investor has the expertise and skills to process the information content embedded in tournament incentives. As such, although this investor </w:t>
      </w:r>
      <w:r w:rsidRPr="00CB20C3">
        <w:rPr>
          <w:rFonts w:ascii="Times New Roman" w:hAnsi="Times New Roman" w:cs="Times New Roman"/>
          <w:sz w:val="24"/>
          <w:szCs w:val="24"/>
          <w:lang w:val="en-US"/>
        </w:rPr>
        <w:t>cannot directly observe the effort choices of CEO contestants</w:t>
      </w:r>
      <w:r>
        <w:rPr>
          <w:rFonts w:ascii="Times New Roman" w:hAnsi="Times New Roman" w:cs="Times New Roman"/>
          <w:sz w:val="24"/>
          <w:szCs w:val="24"/>
          <w:lang w:val="en-US"/>
        </w:rPr>
        <w:t>,</w:t>
      </w:r>
      <w:r w:rsidRPr="00CB20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institutional investor </w:t>
      </w:r>
      <w:r w:rsidRPr="00CB20C3">
        <w:rPr>
          <w:rFonts w:ascii="Times New Roman" w:hAnsi="Times New Roman" w:cs="Times New Roman"/>
          <w:sz w:val="24"/>
          <w:szCs w:val="24"/>
          <w:lang w:val="en-US"/>
        </w:rPr>
        <w:t xml:space="preserve">can rationally infer their effort choice from </w:t>
      </w:r>
      <w:r>
        <w:rPr>
          <w:rFonts w:ascii="Times New Roman" w:hAnsi="Times New Roman" w:cs="Times New Roman"/>
          <w:sz w:val="24"/>
          <w:szCs w:val="24"/>
          <w:lang w:val="en-US"/>
        </w:rPr>
        <w:t xml:space="preserve">the </w:t>
      </w:r>
      <w:r w:rsidRPr="00CB20C3">
        <w:rPr>
          <w:rFonts w:ascii="Times New Roman" w:hAnsi="Times New Roman" w:cs="Times New Roman"/>
          <w:sz w:val="24"/>
          <w:szCs w:val="24"/>
          <w:lang w:val="en-US"/>
        </w:rPr>
        <w:t>observ</w:t>
      </w:r>
      <w:r>
        <w:rPr>
          <w:rFonts w:ascii="Times New Roman" w:hAnsi="Times New Roman" w:cs="Times New Roman"/>
          <w:sz w:val="24"/>
          <w:szCs w:val="24"/>
          <w:lang w:val="en-US"/>
        </w:rPr>
        <w:t xml:space="preserve">ation of </w:t>
      </w:r>
      <w:r w:rsidRPr="00CB20C3">
        <w:rPr>
          <w:rFonts w:ascii="Times New Roman" w:hAnsi="Times New Roman" w:cs="Times New Roman"/>
          <w:sz w:val="24"/>
          <w:szCs w:val="24"/>
          <w:lang w:val="en-US"/>
        </w:rPr>
        <w:t>tournament incentives</w:t>
      </w:r>
      <w:r>
        <w:rPr>
          <w:rFonts w:ascii="Times New Roman" w:hAnsi="Times New Roman" w:cs="Times New Roman"/>
          <w:sz w:val="24"/>
          <w:szCs w:val="24"/>
          <w:lang w:val="en-US"/>
        </w:rPr>
        <w:t xml:space="preserve"> within the firm</w:t>
      </w:r>
      <w:r w:rsidRPr="00CB20C3">
        <w:rPr>
          <w:rFonts w:ascii="Times New Roman" w:hAnsi="Times New Roman" w:cs="Times New Roman"/>
          <w:sz w:val="24"/>
          <w:szCs w:val="24"/>
          <w:lang w:val="en-US"/>
        </w:rPr>
        <w:t xml:space="preserve">. Based on </w:t>
      </w:r>
      <w:r>
        <w:rPr>
          <w:rFonts w:ascii="Times New Roman" w:hAnsi="Times New Roman" w:cs="Times New Roman"/>
          <w:sz w:val="24"/>
          <w:szCs w:val="24"/>
          <w:lang w:val="en-US"/>
        </w:rPr>
        <w:t xml:space="preserve">the institutional investor’s knowledge of </w:t>
      </w:r>
      <w:r w:rsidRPr="00CB20C3">
        <w:rPr>
          <w:rFonts w:ascii="Times New Roman" w:hAnsi="Times New Roman" w:cs="Times New Roman"/>
          <w:sz w:val="24"/>
          <w:szCs w:val="24"/>
          <w:lang w:val="en-US"/>
        </w:rPr>
        <w:t xml:space="preserve">tournament incentives and </w:t>
      </w:r>
      <w:r>
        <w:rPr>
          <w:rFonts w:ascii="Times New Roman" w:hAnsi="Times New Roman" w:cs="Times New Roman"/>
          <w:sz w:val="24"/>
          <w:szCs w:val="24"/>
          <w:lang w:val="en-US"/>
        </w:rPr>
        <w:t xml:space="preserve">the </w:t>
      </w:r>
      <w:r w:rsidRPr="00CB20C3">
        <w:rPr>
          <w:rFonts w:ascii="Times New Roman" w:hAnsi="Times New Roman" w:cs="Times New Roman"/>
          <w:sz w:val="24"/>
          <w:szCs w:val="24"/>
          <w:lang w:val="en-US"/>
        </w:rPr>
        <w:t>implications</w:t>
      </w:r>
      <w:r>
        <w:rPr>
          <w:rFonts w:ascii="Times New Roman" w:hAnsi="Times New Roman" w:cs="Times New Roman"/>
          <w:sz w:val="24"/>
          <w:szCs w:val="24"/>
          <w:lang w:val="en-US"/>
        </w:rPr>
        <w:t xml:space="preserve"> that arise from it</w:t>
      </w:r>
      <w:r w:rsidRPr="00CB20C3">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institutional investor </w:t>
      </w:r>
      <w:r w:rsidRPr="00CB20C3">
        <w:rPr>
          <w:rFonts w:ascii="Times New Roman" w:hAnsi="Times New Roman" w:cs="Times New Roman"/>
          <w:sz w:val="24"/>
          <w:szCs w:val="24"/>
          <w:lang w:val="en-US"/>
        </w:rPr>
        <w:t xml:space="preserve">chooses </w:t>
      </w:r>
      <w:r>
        <w:rPr>
          <w:rFonts w:ascii="Times New Roman" w:hAnsi="Times New Roman" w:cs="Times New Roman"/>
          <w:sz w:val="24"/>
          <w:szCs w:val="24"/>
          <w:lang w:val="en-US"/>
        </w:rPr>
        <w:t>investment</w:t>
      </w:r>
      <w:r w:rsidRPr="00CB20C3">
        <w:rPr>
          <w:rFonts w:ascii="Times New Roman" w:hAnsi="Times New Roman" w:cs="Times New Roman"/>
          <w:sz w:val="24"/>
          <w:szCs w:val="24"/>
          <w:lang w:val="en-US"/>
        </w:rPr>
        <w:t xml:space="preserve"> position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oMath>
      <w:r>
        <w:rPr>
          <w:rFonts w:ascii="Times New Roman" w:eastAsiaTheme="minorEastAsia" w:hAnsi="Times New Roman" w:cs="Times New Roman"/>
          <w:sz w:val="24"/>
          <w:szCs w:val="24"/>
          <w:lang w:val="en-US"/>
        </w:rPr>
        <w:t xml:space="preserve"> in the stock</w:t>
      </w:r>
      <w:r w:rsidRPr="00CB20C3">
        <w:rPr>
          <w:rFonts w:ascii="Times New Roman" w:hAnsi="Times New Roman" w:cs="Times New Roman"/>
          <w:sz w:val="24"/>
          <w:szCs w:val="24"/>
          <w:lang w:val="en-US"/>
        </w:rPr>
        <w:t xml:space="preserve"> to maximize expected utility:</w:t>
      </w:r>
    </w:p>
    <w:p w14:paraId="08B0AC9F" w14:textId="77777777" w:rsidR="001D1710" w:rsidRPr="00B047DE" w:rsidRDefault="001D1710" w:rsidP="001D1710">
      <w:pPr>
        <w:spacing w:after="0" w:line="480" w:lineRule="auto"/>
        <w:ind w:firstLine="720"/>
        <w:jc w:val="both"/>
        <w:rPr>
          <w:rFonts w:ascii="Times New Roman" w:eastAsiaTheme="minorEastAsia" w:hAnsi="Times New Roman" w:cs="Times New Roman"/>
          <w:sz w:val="24"/>
          <w:szCs w:val="24"/>
          <w:lang w:val="en-US"/>
        </w:rPr>
      </w:pPr>
    </w:p>
    <w:p w14:paraId="7CDB0C86" w14:textId="77777777" w:rsidR="001D1710" w:rsidRPr="00CB20C3" w:rsidRDefault="00CF1E13" w:rsidP="001D1710">
      <w:pPr>
        <w:spacing w:after="0" w:line="480" w:lineRule="auto"/>
        <w:ind w:firstLine="720"/>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max</m:t>
                  </m:r>
                </m:e>
                <m:lim>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S</m:t>
                      </m:r>
                    </m:sub>
                  </m:sSub>
                </m:lim>
              </m:limLow>
            </m:fName>
            <m:e>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S</m:t>
                  </m:r>
                </m:sub>
              </m:sSub>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S</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S</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2</m:t>
                              </m:r>
                            </m:sub>
                          </m:sSub>
                          <m:r>
                            <w:rPr>
                              <w:rFonts w:ascii="Cambria Math" w:hAnsi="Cambria Math" w:cs="Times New Roman"/>
                              <w:sz w:val="24"/>
                              <w:szCs w:val="24"/>
                              <w:lang w:val="en-US"/>
                            </w:rPr>
                            <m:t>-P</m:t>
                          </m:r>
                        </m:e>
                      </m:d>
                    </m:e>
                  </m:d>
                </m:e>
              </m:d>
              <m:r>
                <w:rPr>
                  <w:rFonts w:ascii="Cambria Math" w:hAnsi="Cambria Math" w:cs="Times New Roman"/>
                  <w:sz w:val="24"/>
                  <w:szCs w:val="24"/>
                  <w:lang w:val="en-US"/>
                </w:rPr>
                <m:t>,                                                                                 (2)</m:t>
              </m:r>
            </m:e>
          </m:func>
        </m:oMath>
      </m:oMathPara>
    </w:p>
    <w:p w14:paraId="7A7C7CCB" w14:textId="77777777" w:rsidR="001D1710" w:rsidRPr="00CB20C3" w:rsidRDefault="001D1710" w:rsidP="001D1710">
      <w:pPr>
        <w:spacing w:after="0" w:line="480" w:lineRule="auto"/>
        <w:jc w:val="both"/>
        <w:rPr>
          <w:rFonts w:ascii="Times New Roman" w:hAnsi="Times New Roman" w:cs="Times New Roman"/>
          <w:sz w:val="24"/>
          <w:szCs w:val="24"/>
          <w:lang w:val="en-US"/>
        </w:rPr>
      </w:pPr>
      <w:proofErr w:type="gramStart"/>
      <w:r w:rsidRPr="00CB20C3">
        <w:rPr>
          <w:rFonts w:ascii="Times New Roman" w:hAnsi="Times New Roman" w:cs="Times New Roman"/>
          <w:sz w:val="24"/>
          <w:szCs w:val="24"/>
          <w:lang w:val="en-US"/>
        </w:rPr>
        <w:t>where</w:t>
      </w:r>
      <w:proofErr w:type="gramEnd"/>
      <w:r w:rsidRPr="00CB20C3">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S</m:t>
            </m:r>
          </m:sub>
        </m:sSub>
      </m:oMath>
      <w:r w:rsidRPr="00CB20C3">
        <w:rPr>
          <w:rFonts w:ascii="Times New Roman" w:eastAsiaTheme="minorEastAsia" w:hAnsi="Times New Roman" w:cs="Times New Roman"/>
          <w:sz w:val="24"/>
          <w:szCs w:val="24"/>
          <w:lang w:val="en-US"/>
        </w:rPr>
        <w:t xml:space="preserve"> is the exponential utility function with the risk-aversion coefficient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S</m:t>
            </m:r>
          </m:sub>
        </m:sSub>
      </m:oMath>
      <w:r>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S</m:t>
            </m:r>
          </m:sub>
        </m:sSub>
      </m:oMath>
      <w:r>
        <w:rPr>
          <w:rFonts w:ascii="Times New Roman" w:eastAsiaTheme="minorEastAsia" w:hAnsi="Times New Roman" w:cs="Times New Roman"/>
          <w:sz w:val="24"/>
          <w:szCs w:val="24"/>
          <w:lang w:val="en-US"/>
        </w:rPr>
        <w:t xml:space="preserve"> is the expectation based on the institutional investor’s sophisticated knowledge.</w:t>
      </w:r>
    </w:p>
    <w:p w14:paraId="14CC6B5D" w14:textId="77777777" w:rsidR="001D1710" w:rsidRPr="00CB20C3" w:rsidRDefault="001D1710" w:rsidP="001D1710">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contrast, t</w:t>
      </w:r>
      <w:r w:rsidRPr="00CB20C3">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retail investor is assumed </w:t>
      </w:r>
      <w:proofErr w:type="gramStart"/>
      <w:r>
        <w:rPr>
          <w:rFonts w:ascii="Times New Roman" w:hAnsi="Times New Roman" w:cs="Times New Roman"/>
          <w:sz w:val="24"/>
          <w:szCs w:val="24"/>
          <w:lang w:val="en-US"/>
        </w:rPr>
        <w:t xml:space="preserve">to be </w:t>
      </w:r>
      <w:r w:rsidRPr="00CB20C3">
        <w:rPr>
          <w:rFonts w:ascii="Times New Roman" w:hAnsi="Times New Roman" w:cs="Times New Roman"/>
          <w:sz w:val="24"/>
          <w:szCs w:val="24"/>
          <w:lang w:val="en-US"/>
        </w:rPr>
        <w:t>naïve</w:t>
      </w:r>
      <w:proofErr w:type="gramEnd"/>
      <w:r w:rsidRPr="00CB20C3">
        <w:rPr>
          <w:rFonts w:ascii="Times New Roman" w:hAnsi="Times New Roman" w:cs="Times New Roman"/>
          <w:sz w:val="24"/>
          <w:szCs w:val="24"/>
          <w:lang w:val="en-US"/>
        </w:rPr>
        <w:t xml:space="preserve"> in </w:t>
      </w:r>
      <w:r>
        <w:rPr>
          <w:rFonts w:ascii="Times New Roman" w:hAnsi="Times New Roman" w:cs="Times New Roman"/>
          <w:sz w:val="24"/>
          <w:szCs w:val="24"/>
          <w:lang w:val="en-US"/>
        </w:rPr>
        <w:t>the sense of lacking</w:t>
      </w:r>
      <w:r w:rsidRPr="00AB6E35">
        <w:rPr>
          <w:rFonts w:ascii="Times New Roman" w:hAnsi="Times New Roman" w:cs="Times New Roman"/>
          <w:sz w:val="24"/>
          <w:szCs w:val="24"/>
          <w:lang w:val="en-US"/>
        </w:rPr>
        <w:t xml:space="preserve"> expertise and skills </w:t>
      </w:r>
      <w:r>
        <w:rPr>
          <w:rFonts w:ascii="Times New Roman" w:hAnsi="Times New Roman" w:cs="Times New Roman"/>
          <w:sz w:val="24"/>
          <w:szCs w:val="24"/>
          <w:lang w:val="en-US"/>
        </w:rPr>
        <w:t xml:space="preserve">required </w:t>
      </w:r>
      <w:r w:rsidRPr="00AB6E35">
        <w:rPr>
          <w:rFonts w:ascii="Times New Roman" w:hAnsi="Times New Roman" w:cs="Times New Roman"/>
          <w:sz w:val="24"/>
          <w:szCs w:val="24"/>
          <w:lang w:val="en-US"/>
        </w:rPr>
        <w:t>to process the information content embedded in tournament incentives</w:t>
      </w:r>
      <w:r>
        <w:rPr>
          <w:rFonts w:ascii="Times New Roman" w:hAnsi="Times New Roman" w:cs="Times New Roman"/>
          <w:sz w:val="24"/>
          <w:szCs w:val="24"/>
          <w:lang w:val="en-US"/>
        </w:rPr>
        <w:t xml:space="preserve">. As such, this uninformed investor </w:t>
      </w:r>
      <w:r w:rsidRPr="00CB20C3">
        <w:rPr>
          <w:rFonts w:ascii="Times New Roman" w:hAnsi="Times New Roman" w:cs="Times New Roman"/>
          <w:sz w:val="24"/>
          <w:szCs w:val="24"/>
          <w:lang w:val="en-US"/>
        </w:rPr>
        <w:t>is either ignorant of the tournament incentives or do</w:t>
      </w:r>
      <w:r>
        <w:rPr>
          <w:rFonts w:ascii="Times New Roman" w:hAnsi="Times New Roman" w:cs="Times New Roman"/>
          <w:sz w:val="24"/>
          <w:szCs w:val="24"/>
          <w:lang w:val="en-US"/>
        </w:rPr>
        <w:t>es</w:t>
      </w:r>
      <w:r w:rsidRPr="00CB20C3">
        <w:rPr>
          <w:rFonts w:ascii="Times New Roman" w:hAnsi="Times New Roman" w:cs="Times New Roman"/>
          <w:sz w:val="24"/>
          <w:szCs w:val="24"/>
          <w:lang w:val="en-US"/>
        </w:rPr>
        <w:t xml:space="preserve"> not fully understand </w:t>
      </w:r>
      <w:r>
        <w:rPr>
          <w:rFonts w:ascii="Times New Roman" w:hAnsi="Times New Roman" w:cs="Times New Roman"/>
          <w:sz w:val="24"/>
          <w:szCs w:val="24"/>
          <w:lang w:val="en-US"/>
        </w:rPr>
        <w:t xml:space="preserve">the </w:t>
      </w:r>
      <w:r w:rsidRPr="00CB20C3">
        <w:rPr>
          <w:rFonts w:ascii="Times New Roman" w:hAnsi="Times New Roman" w:cs="Times New Roman"/>
          <w:sz w:val="24"/>
          <w:szCs w:val="24"/>
          <w:lang w:val="en-US"/>
        </w:rPr>
        <w:t>implication</w:t>
      </w:r>
      <w:r>
        <w:rPr>
          <w:rFonts w:ascii="Times New Roman" w:hAnsi="Times New Roman" w:cs="Times New Roman"/>
          <w:sz w:val="24"/>
          <w:szCs w:val="24"/>
          <w:lang w:val="en-US"/>
        </w:rPr>
        <w:t xml:space="preserve"> that tournament incentives encourage managers to exert greater effort on the projects that they oversee</w:t>
      </w:r>
      <w:r w:rsidRPr="00CB20C3">
        <w:rPr>
          <w:rFonts w:ascii="Times New Roman" w:hAnsi="Times New Roman" w:cs="Times New Roman"/>
          <w:sz w:val="24"/>
          <w:szCs w:val="24"/>
          <w:lang w:val="en-US"/>
        </w:rPr>
        <w:t>. Thus, the naïve trader holds on to the prior belief of the project value distributions</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r w:rsidRPr="007F33DB">
        <w:rPr>
          <w:rFonts w:ascii="Times New Roman" w:hAnsi="Times New Roman" w:cs="Times New Roman"/>
          <w:sz w:val="24"/>
          <w:szCs w:val="24"/>
          <w:lang w:val="en-US"/>
        </w:rPr>
        <w:t>The retail investor</w:t>
      </w:r>
      <w:r w:rsidRPr="00CB20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then </w:t>
      </w:r>
      <w:r w:rsidRPr="00CB20C3">
        <w:rPr>
          <w:rFonts w:ascii="Times New Roman" w:hAnsi="Times New Roman" w:cs="Times New Roman"/>
          <w:sz w:val="24"/>
          <w:szCs w:val="24"/>
          <w:lang w:val="en-US"/>
        </w:rPr>
        <w:t xml:space="preserve">chooses the position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oMath>
      <w:r w:rsidRPr="00CB20C3">
        <w:rPr>
          <w:rFonts w:ascii="Times New Roman" w:eastAsiaTheme="minorEastAsia" w:hAnsi="Times New Roman" w:cs="Times New Roman"/>
          <w:sz w:val="24"/>
          <w:szCs w:val="24"/>
          <w:lang w:val="en-US"/>
        </w:rPr>
        <w:t xml:space="preserve"> </w:t>
      </w:r>
      <w:r w:rsidRPr="00CB20C3">
        <w:rPr>
          <w:rFonts w:ascii="Times New Roman" w:hAnsi="Times New Roman" w:cs="Times New Roman"/>
          <w:sz w:val="24"/>
          <w:szCs w:val="24"/>
          <w:lang w:val="en-US"/>
        </w:rPr>
        <w:t>to maximize expected utility:</w:t>
      </w:r>
      <w:r w:rsidRPr="007F33DB">
        <w:rPr>
          <w:rStyle w:val="FootnoteReference"/>
          <w:rFonts w:ascii="Times New Roman" w:hAnsi="Times New Roman" w:cs="Times New Roman"/>
          <w:sz w:val="24"/>
          <w:szCs w:val="24"/>
          <w:lang w:val="en-US"/>
        </w:rPr>
        <w:t xml:space="preserve"> </w:t>
      </w:r>
    </w:p>
    <w:p w14:paraId="013F8CC1" w14:textId="77777777" w:rsidR="001D1710" w:rsidRPr="00CB20C3" w:rsidRDefault="00CF1E13" w:rsidP="001D1710">
      <w:pPr>
        <w:spacing w:after="0" w:line="480" w:lineRule="auto"/>
        <w:ind w:firstLine="720"/>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max</m:t>
                  </m:r>
                </m:e>
                <m:lim>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lim>
              </m:limLow>
            </m:fName>
            <m:e>
              <m:r>
                <w:rPr>
                  <w:rFonts w:ascii="Cambria Math" w:hAnsi="Cambria Math" w:cs="Times New Roman"/>
                  <w:sz w:val="24"/>
                  <w:szCs w:val="24"/>
                  <w:lang w:val="en-US"/>
                </w:rPr>
                <m:t xml:space="preserve">    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N</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2</m:t>
                              </m:r>
                            </m:sub>
                          </m:sSub>
                          <m:r>
                            <w:rPr>
                              <w:rFonts w:ascii="Cambria Math" w:hAnsi="Cambria Math" w:cs="Times New Roman"/>
                              <w:sz w:val="24"/>
                              <w:szCs w:val="24"/>
                              <w:lang w:val="en-US"/>
                            </w:rPr>
                            <m:t>-P</m:t>
                          </m:r>
                        </m:e>
                      </m:d>
                    </m:e>
                  </m:d>
                </m:e>
              </m:d>
              <m:r>
                <w:rPr>
                  <w:rFonts w:ascii="Cambria Math" w:hAnsi="Cambria Math" w:cs="Times New Roman"/>
                  <w:sz w:val="24"/>
                  <w:szCs w:val="24"/>
                  <w:lang w:val="en-US"/>
                </w:rPr>
                <m:t>,                                                                                       (3)</m:t>
              </m:r>
            </m:e>
          </m:func>
        </m:oMath>
      </m:oMathPara>
    </w:p>
    <w:p w14:paraId="7E0783E7" w14:textId="1DC13201" w:rsidR="001D1710" w:rsidRDefault="001D1710" w:rsidP="001D1710">
      <w:pPr>
        <w:spacing w:after="0" w:line="480" w:lineRule="auto"/>
        <w:jc w:val="both"/>
        <w:rPr>
          <w:rFonts w:ascii="Times New Roman" w:eastAsiaTheme="minorEastAsia" w:hAnsi="Times New Roman" w:cs="Times New Roman"/>
          <w:sz w:val="24"/>
          <w:szCs w:val="24"/>
          <w:lang w:val="en-US"/>
        </w:rPr>
      </w:pPr>
      <w:proofErr w:type="gramStart"/>
      <w:r w:rsidRPr="00CB20C3">
        <w:rPr>
          <w:rFonts w:ascii="Times New Roman" w:hAnsi="Times New Roman" w:cs="Times New Roman"/>
          <w:sz w:val="24"/>
          <w:szCs w:val="24"/>
          <w:lang w:val="en-US"/>
        </w:rPr>
        <w:t>where</w:t>
      </w:r>
      <w:proofErr w:type="gramEnd"/>
      <w:r w:rsidRPr="00CB20C3">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N</m:t>
            </m:r>
          </m:sub>
        </m:sSub>
      </m:oMath>
      <w:r w:rsidRPr="00CB20C3">
        <w:rPr>
          <w:rFonts w:ascii="Times New Roman" w:eastAsiaTheme="minorEastAsia" w:hAnsi="Times New Roman" w:cs="Times New Roman"/>
          <w:sz w:val="24"/>
          <w:szCs w:val="24"/>
          <w:lang w:val="en-US"/>
        </w:rPr>
        <w:t xml:space="preserve"> is the exponential utility function with the risk-aversion coefficient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N</m:t>
            </m:r>
          </m:sub>
        </m:sSub>
      </m:oMath>
      <w:r>
        <w:rPr>
          <w:rFonts w:ascii="Times New Roman" w:eastAsiaTheme="minorEastAsia" w:hAnsi="Times New Roman" w:cs="Times New Roman"/>
          <w:sz w:val="24"/>
          <w:szCs w:val="24"/>
          <w:lang w:val="en-US"/>
        </w:rPr>
        <w:t xml:space="preserve"> and </w:t>
      </w:r>
      <m:oMath>
        <m:r>
          <w:rPr>
            <w:rFonts w:ascii="Cambria Math" w:hAnsi="Cambria Math" w:cs="Times New Roman"/>
            <w:sz w:val="24"/>
            <w:szCs w:val="24"/>
            <w:lang w:val="en-US"/>
          </w:rPr>
          <m:t>E</m:t>
        </m:r>
      </m:oMath>
      <w:r w:rsidRPr="00B047DE">
        <w:rPr>
          <w:rFonts w:ascii="Times New Roman" w:eastAsiaTheme="minorEastAsia" w:hAnsi="Times New Roman" w:cs="Times New Roman"/>
          <w:sz w:val="24"/>
          <w:szCs w:val="24"/>
          <w:lang w:val="en-US"/>
        </w:rPr>
        <w:t xml:space="preserve"> is </w:t>
      </w:r>
      <w:r>
        <w:rPr>
          <w:rFonts w:ascii="Times New Roman" w:eastAsiaTheme="minorEastAsia" w:hAnsi="Times New Roman" w:cs="Times New Roman"/>
          <w:sz w:val="24"/>
          <w:szCs w:val="24"/>
          <w:lang w:val="en-US"/>
        </w:rPr>
        <w:t xml:space="preserve">the expectation </w:t>
      </w:r>
      <w:r w:rsidRPr="00B047DE">
        <w:rPr>
          <w:rFonts w:ascii="Times New Roman" w:eastAsiaTheme="minorEastAsia" w:hAnsi="Times New Roman" w:cs="Times New Roman"/>
          <w:sz w:val="24"/>
          <w:szCs w:val="24"/>
          <w:lang w:val="en-US"/>
        </w:rPr>
        <w:t xml:space="preserve">based on the </w:t>
      </w:r>
      <w:r>
        <w:rPr>
          <w:rFonts w:ascii="Times New Roman" w:eastAsiaTheme="minorEastAsia" w:hAnsi="Times New Roman" w:cs="Times New Roman"/>
          <w:sz w:val="24"/>
          <w:szCs w:val="24"/>
          <w:lang w:val="en-US"/>
        </w:rPr>
        <w:t xml:space="preserve">prior belief of the project value distribution. </w:t>
      </w:r>
      <w:r w:rsidRPr="00CB20C3">
        <w:rPr>
          <w:rFonts w:ascii="Times New Roman" w:hAnsi="Times New Roman" w:cs="Times New Roman"/>
          <w:sz w:val="24"/>
          <w:szCs w:val="24"/>
          <w:lang w:val="en-US"/>
        </w:rPr>
        <w:t>Noise traders are subject to a random</w:t>
      </w:r>
      <w:r w:rsidRPr="00CB20C3">
        <w:rPr>
          <w:rFonts w:ascii="Times New Roman" w:hAnsi="Times New Roman" w:cs="Times New Roman"/>
          <w:noProof/>
          <w:sz w:val="24"/>
          <w:szCs w:val="24"/>
          <w:lang w:val="en-US"/>
        </w:rPr>
        <w:t xml:space="preserve"> shock</w:t>
      </w:r>
      <w:r>
        <w:rPr>
          <w:rFonts w:ascii="Times New Roman" w:hAnsi="Times New Roman" w:cs="Times New Roman"/>
          <w:sz w:val="24"/>
          <w:szCs w:val="24"/>
          <w:lang w:val="en-US"/>
        </w:rPr>
        <w:t xml:space="preserve"> and therefore</w:t>
      </w:r>
      <w:r w:rsidRPr="00CB20C3">
        <w:rPr>
          <w:rFonts w:ascii="Times New Roman" w:hAnsi="Times New Roman" w:cs="Times New Roman"/>
          <w:sz w:val="24"/>
          <w:szCs w:val="24"/>
          <w:lang w:val="en-US"/>
        </w:rPr>
        <w:t xml:space="preserve"> demand a random total </w:t>
      </w:r>
      <w:proofErr w:type="gramStart"/>
      <w:r w:rsidRPr="00CB20C3">
        <w:rPr>
          <w:rFonts w:ascii="Times New Roman" w:hAnsi="Times New Roman" w:cs="Times New Roman"/>
          <w:sz w:val="24"/>
          <w:szCs w:val="24"/>
          <w:lang w:val="en-US"/>
        </w:rPr>
        <w:t xml:space="preserve">amount </w:t>
      </w:r>
      <w:proofErr w:type="gramEnd"/>
      <m:oMath>
        <m:r>
          <w:rPr>
            <w:rFonts w:ascii="Cambria Math" w:hAnsi="Cambria Math" w:cs="Times New Roman"/>
            <w:sz w:val="24"/>
            <w:szCs w:val="24"/>
            <w:lang w:val="en-US"/>
          </w:rPr>
          <m:t>z∼N</m:t>
        </m:r>
        <m:d>
          <m:dPr>
            <m:ctrlPr>
              <w:rPr>
                <w:rFonts w:ascii="Cambria Math" w:hAnsi="Cambria Math" w:cs="Times New Roman"/>
                <w:i/>
                <w:sz w:val="24"/>
                <w:szCs w:val="24"/>
                <w:lang w:val="en-US"/>
              </w:rPr>
            </m:ctrlPr>
          </m:dPr>
          <m:e>
            <m:r>
              <w:rPr>
                <w:rFonts w:ascii="Cambria Math" w:hAnsi="Cambria Math" w:cs="Times New Roman"/>
                <w:sz w:val="24"/>
                <w:szCs w:val="24"/>
                <w:lang w:val="en-US"/>
              </w:rPr>
              <m:t>0,</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z</m:t>
                </m:r>
              </m:sub>
              <m:sup>
                <m:r>
                  <w:rPr>
                    <w:rFonts w:ascii="Cambria Math" w:hAnsi="Cambria Math" w:cs="Times New Roman"/>
                    <w:sz w:val="24"/>
                    <w:szCs w:val="24"/>
                    <w:lang w:val="en-US"/>
                  </w:rPr>
                  <m:t>2</m:t>
                </m:r>
              </m:sup>
            </m:sSubSup>
          </m:e>
        </m:d>
      </m:oMath>
      <w:r w:rsidRPr="00CB20C3">
        <w:rPr>
          <w:rFonts w:ascii="Times New Roman" w:eastAsiaTheme="minorEastAsia" w:hAnsi="Times New Roman" w:cs="Times New Roman"/>
          <w:sz w:val="24"/>
          <w:szCs w:val="24"/>
          <w:lang w:val="en-US"/>
        </w:rPr>
        <w:t>. The following market clearing condition determines the equilibrium in the stock market:</w:t>
      </w:r>
    </w:p>
    <w:p w14:paraId="015C332D" w14:textId="77777777" w:rsidR="001D1710" w:rsidRPr="00CB20C3" w:rsidRDefault="001D1710" w:rsidP="001D1710">
      <w:pPr>
        <w:spacing w:after="0" w:line="480" w:lineRule="auto"/>
        <w:ind w:firstLine="567"/>
        <w:jc w:val="both"/>
        <w:rPr>
          <w:rFonts w:ascii="Times New Roman" w:hAnsi="Times New Roman" w:cs="Times New Roman"/>
          <w:sz w:val="24"/>
          <w:szCs w:val="24"/>
          <w:lang w:val="en-US"/>
        </w:rPr>
      </w:pPr>
      <m:oMathPara>
        <m:oMathParaPr>
          <m:jc m:val="right"/>
        </m:oMathParaP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S</m:t>
                  </m:r>
                </m:sub>
              </m:sSub>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+z=0</m:t>
          </m:r>
          <m:r>
            <w:rPr>
              <w:rFonts w:ascii="Cambria Math" w:hAnsi="Cambria Math" w:cs="Times New Roman"/>
              <w:noProof/>
              <w:sz w:val="24"/>
              <w:szCs w:val="24"/>
              <w:lang w:val="en-US"/>
            </w:rPr>
            <m:t xml:space="preserve">.    </m:t>
          </m:r>
          <m:r>
            <w:rPr>
              <w:rFonts w:ascii="Cambria Math" w:hAnsi="Cambria Math" w:cs="Times New Roman"/>
              <w:sz w:val="24"/>
              <w:szCs w:val="24"/>
              <w:lang w:val="en-US"/>
            </w:rPr>
            <m:t xml:space="preserve">                                                                                                                   (4)</m:t>
          </m:r>
        </m:oMath>
      </m:oMathPara>
    </w:p>
    <w:p w14:paraId="492406E9" w14:textId="77777777" w:rsidR="001D1710" w:rsidRPr="00CB20C3" w:rsidRDefault="001D1710" w:rsidP="001D1710">
      <w:pPr>
        <w:spacing w:after="0" w:line="480" w:lineRule="auto"/>
        <w:ind w:firstLine="567"/>
        <w:jc w:val="both"/>
        <w:rPr>
          <w:rFonts w:ascii="Times New Roman" w:hAnsi="Times New Roman" w:cs="Times New Roman"/>
          <w:sz w:val="24"/>
          <w:szCs w:val="24"/>
          <w:lang w:val="en-US"/>
        </w:rPr>
      </w:pPr>
    </w:p>
    <w:p w14:paraId="0629F004" w14:textId="77777777" w:rsidR="001D1710" w:rsidRPr="00C10B0F" w:rsidRDefault="001D1710" w:rsidP="001D1710">
      <w:pPr>
        <w:spacing w:after="0" w:line="480" w:lineRule="auto"/>
        <w:jc w:val="both"/>
        <w:rPr>
          <w:rFonts w:ascii="Times New Roman" w:hAnsi="Times New Roman" w:cs="Times New Roman"/>
          <w:bCs/>
          <w:i/>
          <w:sz w:val="24"/>
          <w:szCs w:val="24"/>
          <w:lang w:val="en-US"/>
        </w:rPr>
      </w:pPr>
      <w:r w:rsidRPr="00C10B0F">
        <w:rPr>
          <w:rFonts w:ascii="Times New Roman" w:hAnsi="Times New Roman" w:cs="Times New Roman"/>
          <w:bCs/>
          <w:i/>
          <w:sz w:val="24"/>
          <w:szCs w:val="24"/>
          <w:lang w:val="en-US"/>
        </w:rPr>
        <w:t>2.3 Model solution</w:t>
      </w:r>
    </w:p>
    <w:p w14:paraId="11E98074" w14:textId="77777777" w:rsidR="001D1710" w:rsidRPr="00CB20C3" w:rsidRDefault="001D1710" w:rsidP="001D1710">
      <w:pPr>
        <w:spacing w:after="0" w:line="480" w:lineRule="auto"/>
        <w:jc w:val="both"/>
        <w:rPr>
          <w:rFonts w:ascii="Times New Roman" w:eastAsiaTheme="minorEastAsia" w:hAnsi="Times New Roman" w:cs="Times New Roman"/>
          <w:sz w:val="24"/>
          <w:szCs w:val="24"/>
          <w:lang w:val="en-US"/>
        </w:rPr>
      </w:pPr>
      <w:r w:rsidRPr="00CB20C3">
        <w:rPr>
          <w:rFonts w:ascii="Times New Roman" w:hAnsi="Times New Roman" w:cs="Times New Roman"/>
          <w:bCs/>
          <w:i/>
          <w:sz w:val="24"/>
          <w:szCs w:val="24"/>
          <w:lang w:val="en-US"/>
        </w:rPr>
        <w:t xml:space="preserve">      Tournament Competition. </w:t>
      </w:r>
      <w:r w:rsidRPr="00CB20C3">
        <w:rPr>
          <w:rFonts w:ascii="Times New Roman" w:hAnsi="Times New Roman" w:cs="Times New Roman"/>
          <w:bCs/>
          <w:sz w:val="24"/>
          <w:szCs w:val="24"/>
          <w:lang w:val="en-US"/>
        </w:rPr>
        <w:t xml:space="preserve">As we assume the </w:t>
      </w:r>
      <w:proofErr w:type="gramStart"/>
      <w:r w:rsidRPr="00CB20C3">
        <w:rPr>
          <w:rFonts w:ascii="Times New Roman" w:hAnsi="Times New Roman" w:cs="Times New Roman"/>
          <w:bCs/>
          <w:sz w:val="24"/>
          <w:szCs w:val="24"/>
          <w:lang w:val="en-US"/>
        </w:rPr>
        <w:t>error</w:t>
      </w:r>
      <w:proofErr w:type="gramEnd"/>
      <w:r w:rsidRPr="00CB20C3">
        <w:rPr>
          <w:rFonts w:ascii="Times New Roman" w:hAnsi="Times New Roman" w:cs="Times New Roman"/>
          <w:bCs/>
          <w:sz w:val="24"/>
          <w:szCs w:val="24"/>
          <w:lang w:val="en-US"/>
        </w:rPr>
        <w:t xml:space="preserve"> terms of the project value are normally distributed and also that the CEO contestants are identical, </w:t>
      </w:r>
      <w:r w:rsidRPr="00CB20C3">
        <w:rPr>
          <w:rFonts w:ascii="Times New Roman" w:eastAsiaTheme="minorEastAsia" w:hAnsi="Times New Roman" w:cs="Times New Roman"/>
          <w:sz w:val="24"/>
          <w:szCs w:val="24"/>
          <w:lang w:val="en-US"/>
        </w:rPr>
        <w:t>the optimal effort choices for CEO contestants can be solved as</w:t>
      </w:r>
      <w:r>
        <w:rPr>
          <w:rFonts w:ascii="Times New Roman" w:eastAsiaTheme="minorEastAsia" w:hAnsi="Times New Roman" w:cs="Times New Roman"/>
          <w:sz w:val="24"/>
          <w:szCs w:val="24"/>
          <w:lang w:val="en-US"/>
        </w:rPr>
        <w:t xml:space="preserve"> (cf. </w:t>
      </w:r>
      <w:proofErr w:type="spellStart"/>
      <w:r>
        <w:rPr>
          <w:rFonts w:ascii="Times New Roman" w:eastAsiaTheme="minorEastAsia" w:hAnsi="Times New Roman" w:cs="Times New Roman"/>
          <w:sz w:val="24"/>
          <w:szCs w:val="24"/>
          <w:lang w:val="en-US"/>
        </w:rPr>
        <w:t>Lazear</w:t>
      </w:r>
      <w:proofErr w:type="spellEnd"/>
      <w:r>
        <w:rPr>
          <w:rFonts w:ascii="Times New Roman" w:eastAsiaTheme="minorEastAsia" w:hAnsi="Times New Roman" w:cs="Times New Roman"/>
          <w:sz w:val="24"/>
          <w:szCs w:val="24"/>
          <w:lang w:val="en-US"/>
        </w:rPr>
        <w:t xml:space="preserve"> and Rosen, 1981, p.846)</w:t>
      </w:r>
      <w:r w:rsidRPr="00CB20C3">
        <w:rPr>
          <w:rFonts w:ascii="Times New Roman" w:eastAsiaTheme="minorEastAsia" w:hAnsi="Times New Roman" w:cs="Times New Roman"/>
          <w:sz w:val="24"/>
          <w:szCs w:val="24"/>
          <w:lang w:val="en-US"/>
        </w:rPr>
        <w:t>:</w:t>
      </w:r>
    </w:p>
    <w:p w14:paraId="45F1A20E" w14:textId="77777777" w:rsidR="001D1710" w:rsidRPr="00CB20C3" w:rsidRDefault="001D1710" w:rsidP="001D1710">
      <w:pPr>
        <w:spacing w:after="0" w:line="480" w:lineRule="auto"/>
        <w:ind w:firstLine="567"/>
        <w:jc w:val="both"/>
        <w:rPr>
          <w:rFonts w:ascii="Times New Roman" w:eastAsiaTheme="minorEastAsia" w:hAnsi="Times New Roman" w:cs="Times New Roman"/>
          <w:sz w:val="24"/>
          <w:szCs w:val="24"/>
          <w:lang w:val="en-US"/>
        </w:rPr>
      </w:pPr>
      <w:r w:rsidRPr="00CB20C3">
        <w:rPr>
          <w:rFonts w:ascii="Times New Roman" w:eastAsiaTheme="minorEastAsia" w:hAnsi="Times New Roman" w:cs="Times New Roman"/>
          <w:sz w:val="24"/>
          <w:szCs w:val="24"/>
          <w:lang w:val="en-US"/>
        </w:rPr>
        <w:t xml:space="preserve">                        </w:t>
      </w:r>
      <w:r w:rsidRPr="00CB20C3">
        <w:rPr>
          <w:rFonts w:ascii="Times New Roman" w:eastAsiaTheme="minorEastAsia" w:hAnsi="Times New Roman" w:cs="Times New Roman"/>
          <w:sz w:val="24"/>
          <w:szCs w:val="24"/>
          <w:lang w:val="en-US"/>
        </w:rPr>
        <w:br/>
      </w:r>
      <m:oMathPara>
        <m:oMathParaPr>
          <m:jc m:val="right"/>
        </m:oMathParaPr>
        <m:oMath>
          <m:r>
            <w:rPr>
              <w:rFonts w:ascii="Cambria Math"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2</m:t>
              </m:r>
            </m:sub>
          </m:sSub>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∆w∙I</m:t>
              </m:r>
            </m:num>
            <m:den>
              <m:r>
                <w:rPr>
                  <w:rFonts w:ascii="Cambria Math" w:hAnsi="Cambria Math" w:cs="Times New Roman"/>
                  <w:sz w:val="24"/>
                  <w:szCs w:val="24"/>
                  <w:lang w:val="en-US"/>
                </w:rPr>
                <m:t>2∙k∙</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π</m:t>
                  </m:r>
                </m:e>
              </m:rad>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ε</m:t>
                  </m:r>
                </m:sub>
              </m:sSub>
            </m:den>
          </m:f>
          <m:r>
            <w:rPr>
              <w:rFonts w:ascii="Cambria Math" w:hAnsi="Cambria Math" w:cs="Times New Roman"/>
              <w:sz w:val="24"/>
              <w:szCs w:val="24"/>
              <w:lang w:val="en-US"/>
            </w:rPr>
            <m:t>.                                                                                             (5)</m:t>
          </m:r>
        </m:oMath>
      </m:oMathPara>
    </w:p>
    <w:p w14:paraId="61E2CA9A" w14:textId="77777777" w:rsidR="001D1710" w:rsidRPr="00CB20C3" w:rsidRDefault="001D1710" w:rsidP="001D1710">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Equation (5</w:t>
      </w:r>
      <w:r w:rsidRPr="00CB20C3">
        <w:rPr>
          <w:rFonts w:ascii="Times New Roman" w:eastAsiaTheme="minorEastAsia" w:hAnsi="Times New Roman" w:cs="Times New Roman"/>
          <w:sz w:val="24"/>
          <w:szCs w:val="24"/>
          <w:lang w:val="en-US"/>
        </w:rPr>
        <w:t xml:space="preserve">) </w:t>
      </w:r>
      <w:r w:rsidRPr="00CB20C3">
        <w:rPr>
          <w:rFonts w:ascii="Times New Roman" w:hAnsi="Times New Roman" w:cs="Times New Roman"/>
          <w:sz w:val="24"/>
          <w:szCs w:val="24"/>
          <w:lang w:val="en-US"/>
        </w:rPr>
        <w:t>indicates</w:t>
      </w:r>
      <w:r w:rsidRPr="00CB20C3">
        <w:rPr>
          <w:rFonts w:ascii="Times New Roman" w:eastAsiaTheme="minorEastAsia" w:hAnsi="Times New Roman" w:cs="Times New Roman"/>
          <w:sz w:val="24"/>
          <w:szCs w:val="24"/>
          <w:lang w:val="en-US"/>
        </w:rPr>
        <w:t xml:space="preserve"> that optimal effort levels increase with tournament incentives. The sophisticated </w:t>
      </w:r>
      <w:r>
        <w:rPr>
          <w:rFonts w:ascii="Times New Roman" w:eastAsiaTheme="minorEastAsia" w:hAnsi="Times New Roman" w:cs="Times New Roman"/>
          <w:sz w:val="24"/>
          <w:szCs w:val="24"/>
          <w:lang w:val="en-US"/>
        </w:rPr>
        <w:t>institutional investor</w:t>
      </w:r>
      <w:r w:rsidRPr="00CB20C3">
        <w:rPr>
          <w:rFonts w:ascii="Times New Roman" w:eastAsiaTheme="minorEastAsia" w:hAnsi="Times New Roman" w:cs="Times New Roman"/>
          <w:sz w:val="24"/>
          <w:szCs w:val="24"/>
          <w:lang w:val="en-US"/>
        </w:rPr>
        <w:t xml:space="preserve"> observes ∆w and </w:t>
      </w:r>
      <w:r>
        <w:rPr>
          <w:rFonts w:ascii="Times New Roman" w:eastAsiaTheme="minorEastAsia" w:hAnsi="Times New Roman" w:cs="Times New Roman"/>
          <w:sz w:val="24"/>
          <w:szCs w:val="24"/>
          <w:lang w:val="en-US"/>
        </w:rPr>
        <w:t xml:space="preserve">rationally infers </w:t>
      </w:r>
      <w:r w:rsidRPr="00CB20C3">
        <w:rPr>
          <w:rFonts w:ascii="Times New Roman" w:eastAsiaTheme="minorEastAsia" w:hAnsi="Times New Roman" w:cs="Times New Roman"/>
          <w:sz w:val="24"/>
          <w:szCs w:val="24"/>
          <w:lang w:val="en-US"/>
        </w:rPr>
        <w:t>its implications</w:t>
      </w:r>
      <w:r>
        <w:rPr>
          <w:rFonts w:ascii="Times New Roman" w:eastAsiaTheme="minorEastAsia" w:hAnsi="Times New Roman" w:cs="Times New Roman"/>
          <w:sz w:val="24"/>
          <w:szCs w:val="24"/>
          <w:lang w:val="en-US"/>
        </w:rPr>
        <w:t xml:space="preserve"> for effort choices through Equation (5),</w:t>
      </w:r>
      <w:r w:rsidRPr="00CB20C3">
        <w:rPr>
          <w:rFonts w:ascii="Times New Roman" w:eastAsiaTheme="minorEastAsia" w:hAnsi="Times New Roman" w:cs="Times New Roman"/>
          <w:sz w:val="24"/>
          <w:szCs w:val="24"/>
          <w:lang w:val="en-US"/>
        </w:rPr>
        <w:t xml:space="preserve"> whereas the naïve </w:t>
      </w:r>
      <w:r>
        <w:rPr>
          <w:rFonts w:ascii="Times New Roman" w:eastAsiaTheme="minorEastAsia" w:hAnsi="Times New Roman" w:cs="Times New Roman"/>
          <w:sz w:val="24"/>
          <w:szCs w:val="24"/>
          <w:lang w:val="en-US"/>
        </w:rPr>
        <w:t xml:space="preserve">retail investor </w:t>
      </w:r>
      <w:r w:rsidRPr="00CB20C3">
        <w:rPr>
          <w:rFonts w:ascii="Times New Roman" w:hAnsi="Times New Roman" w:cs="Times New Roman"/>
          <w:sz w:val="24"/>
          <w:szCs w:val="24"/>
          <w:lang w:val="en-US"/>
        </w:rPr>
        <w:t xml:space="preserve">is ignorant of </w:t>
      </w:r>
      <w:r w:rsidRPr="00CB20C3">
        <w:rPr>
          <w:rFonts w:ascii="Times New Roman" w:eastAsiaTheme="minorEastAsia" w:hAnsi="Times New Roman" w:cs="Times New Roman"/>
          <w:sz w:val="24"/>
          <w:szCs w:val="24"/>
          <w:lang w:val="en-US"/>
        </w:rPr>
        <w:t>∆w</w:t>
      </w:r>
      <w:r w:rsidRPr="00CB20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CB20C3">
        <w:rPr>
          <w:rFonts w:ascii="Times New Roman" w:hAnsi="Times New Roman" w:cs="Times New Roman"/>
          <w:sz w:val="24"/>
          <w:szCs w:val="24"/>
          <w:lang w:val="en-US"/>
        </w:rPr>
        <w:t>its implications</w:t>
      </w:r>
      <w:r>
        <w:rPr>
          <w:rFonts w:ascii="Times New Roman" w:hAnsi="Times New Roman" w:cs="Times New Roman"/>
          <w:sz w:val="24"/>
          <w:szCs w:val="24"/>
          <w:lang w:val="en-US"/>
        </w:rPr>
        <w:t xml:space="preserve"> on </w:t>
      </w:r>
      <w:r w:rsidRPr="0072409C">
        <w:rPr>
          <w:rFonts w:ascii="Times New Roman" w:hAnsi="Times New Roman" w:cs="Times New Roman"/>
          <w:noProof/>
          <w:sz w:val="24"/>
          <w:szCs w:val="24"/>
          <w:lang w:val="en-US"/>
        </w:rPr>
        <w:t>managerial</w:t>
      </w:r>
      <w:r>
        <w:rPr>
          <w:rFonts w:ascii="Times New Roman" w:hAnsi="Times New Roman" w:cs="Times New Roman"/>
          <w:sz w:val="24"/>
          <w:szCs w:val="24"/>
          <w:lang w:val="en-US"/>
        </w:rPr>
        <w:t xml:space="preserve"> effort</w:t>
      </w:r>
      <w:r w:rsidRPr="00CB20C3">
        <w:rPr>
          <w:rFonts w:ascii="Times New Roman" w:eastAsiaTheme="minorEastAsia" w:hAnsi="Times New Roman" w:cs="Times New Roman"/>
          <w:sz w:val="24"/>
          <w:szCs w:val="24"/>
          <w:lang w:val="en-US"/>
        </w:rPr>
        <w:t xml:space="preserve">. </w:t>
      </w:r>
    </w:p>
    <w:p w14:paraId="548355C7" w14:textId="77777777" w:rsidR="001D1710" w:rsidRPr="00CB20C3" w:rsidRDefault="001D1710" w:rsidP="001D1710">
      <w:pPr>
        <w:spacing w:after="0" w:line="480" w:lineRule="auto"/>
        <w:jc w:val="both"/>
        <w:rPr>
          <w:rFonts w:ascii="Times New Roman" w:eastAsiaTheme="minorEastAsia" w:hAnsi="Times New Roman" w:cs="Times New Roman"/>
          <w:sz w:val="24"/>
          <w:szCs w:val="24"/>
          <w:lang w:val="en-US"/>
        </w:rPr>
      </w:pPr>
    </w:p>
    <w:p w14:paraId="4D7E9958" w14:textId="77777777" w:rsidR="001D1710" w:rsidRPr="00CB20C3" w:rsidRDefault="001D1710" w:rsidP="001D1710">
      <w:pPr>
        <w:spacing w:after="0" w:line="480" w:lineRule="auto"/>
        <w:rPr>
          <w:rFonts w:ascii="Times New Roman" w:eastAsiaTheme="minorEastAsia" w:hAnsi="Times New Roman" w:cs="Times New Roman"/>
          <w:sz w:val="24"/>
          <w:szCs w:val="24"/>
          <w:lang w:val="en-US"/>
        </w:rPr>
      </w:pPr>
      <w:r w:rsidRPr="00CB20C3">
        <w:rPr>
          <w:rFonts w:ascii="Times New Roman" w:hAnsi="Times New Roman" w:cs="Times New Roman"/>
          <w:i/>
          <w:sz w:val="24"/>
          <w:szCs w:val="24"/>
          <w:lang w:val="en-US"/>
        </w:rPr>
        <w:t xml:space="preserve">      Stock Market Equilibrium. </w:t>
      </w:r>
      <w:r w:rsidRPr="00CB20C3">
        <w:rPr>
          <w:rFonts w:ascii="Times New Roman" w:hAnsi="Times New Roman" w:cs="Times New Roman"/>
          <w:sz w:val="24"/>
          <w:szCs w:val="24"/>
          <w:lang w:val="en-US"/>
        </w:rPr>
        <w:t>Solving the opt</w:t>
      </w:r>
      <w:r>
        <w:rPr>
          <w:rFonts w:ascii="Times New Roman" w:hAnsi="Times New Roman" w:cs="Times New Roman"/>
          <w:sz w:val="24"/>
          <w:szCs w:val="24"/>
          <w:lang w:val="en-US"/>
        </w:rPr>
        <w:t>imal trading strategies for the institutional</w:t>
      </w:r>
      <w:r w:rsidRPr="00CB20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investor </w:t>
      </w:r>
      <w:r w:rsidRPr="00CB20C3">
        <w:rPr>
          <w:rFonts w:ascii="Times New Roman" w:hAnsi="Times New Roman" w:cs="Times New Roman"/>
          <w:sz w:val="24"/>
          <w:szCs w:val="24"/>
          <w:lang w:val="en-US"/>
        </w:rPr>
        <w:t xml:space="preserve">and </w:t>
      </w:r>
      <w:proofErr w:type="gramStart"/>
      <w:r w:rsidRPr="00CB20C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retail</w:t>
      </w:r>
      <w:proofErr w:type="gramEnd"/>
      <w:r>
        <w:rPr>
          <w:rFonts w:ascii="Times New Roman" w:hAnsi="Times New Roman" w:cs="Times New Roman"/>
          <w:sz w:val="24"/>
          <w:szCs w:val="24"/>
          <w:lang w:val="en-US"/>
        </w:rPr>
        <w:t xml:space="preserve"> investor</w:t>
      </w:r>
      <w:r w:rsidRPr="00CB20C3">
        <w:rPr>
          <w:rFonts w:ascii="Times New Roman" w:hAnsi="Times New Roman" w:cs="Times New Roman"/>
          <w:sz w:val="24"/>
          <w:szCs w:val="24"/>
          <w:lang w:val="en-US"/>
        </w:rPr>
        <w:t xml:space="preserve"> yields:</w:t>
      </w:r>
      <w:r>
        <w:rPr>
          <w:rStyle w:val="FootnoteReference"/>
          <w:rFonts w:ascii="Times New Roman" w:hAnsi="Times New Roman" w:cs="Times New Roman"/>
          <w:sz w:val="24"/>
          <w:szCs w:val="24"/>
          <w:lang w:val="en-US"/>
        </w:rPr>
        <w:footnoteReference w:id="4"/>
      </w:r>
    </w:p>
    <w:p w14:paraId="0CCDADF2" w14:textId="77777777" w:rsidR="001D1710" w:rsidRPr="00CB20C3" w:rsidRDefault="001D1710" w:rsidP="001D1710">
      <w:pPr>
        <w:spacing w:after="0" w:line="480" w:lineRule="auto"/>
        <w:rPr>
          <w:rFonts w:ascii="Times New Roman" w:eastAsiaTheme="minorEastAsia" w:hAnsi="Times New Roman" w:cs="Times New Roman"/>
          <w:sz w:val="24"/>
          <w:szCs w:val="24"/>
          <w:lang w:val="en-US"/>
        </w:rPr>
      </w:pPr>
      <m:oMathPara>
        <m:oMathParaPr>
          <m:jc m:val="right"/>
        </m:oMathParaPr>
        <m:oMath>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S</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S</m:t>
                  </m:r>
                </m:sub>
              </m:sSub>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2</m:t>
                      </m:r>
                    </m:sub>
                  </m:sSub>
                </m:e>
              </m:d>
              <m:r>
                <w:rPr>
                  <w:rFonts w:ascii="Cambria Math" w:hAnsi="Cambria Math" w:cs="Times New Roman"/>
                  <w:sz w:val="24"/>
                  <w:szCs w:val="24"/>
                  <w:lang w:val="en-US"/>
                </w:rPr>
                <m:t>-P</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Var</m:t>
                  </m:r>
                </m:e>
                <m:sub>
                  <m:r>
                    <w:rPr>
                      <w:rFonts w:ascii="Cambria Math" w:hAnsi="Cambria Math" w:cs="Times New Roman"/>
                      <w:sz w:val="24"/>
                      <w:szCs w:val="24"/>
                      <w:lang w:val="en-US"/>
                    </w:rPr>
                    <m:t>S</m:t>
                  </m:r>
                </m:sub>
              </m:sSub>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2</m:t>
                      </m:r>
                    </m:sub>
                  </m:sSub>
                </m:e>
              </m:d>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f>
                <m:fPr>
                  <m:ctrlPr>
                    <w:rPr>
                      <w:rFonts w:ascii="Cambria Math" w:hAnsi="Cambria Math" w:cs="Times New Roman"/>
                      <w:i/>
                      <w:sz w:val="24"/>
                      <w:szCs w:val="24"/>
                      <w:lang w:val="en-US"/>
                    </w:rPr>
                  </m:ctrlPr>
                </m:fPr>
                <m:num>
                  <m:r>
                    <w:rPr>
                      <w:rFonts w:ascii="Cambria Math" w:hAnsi="Cambria Math" w:cs="Times New Roman"/>
                      <w:sz w:val="24"/>
                      <w:szCs w:val="24"/>
                      <w:lang w:val="en-US"/>
                    </w:rPr>
                    <m:t>∆w∙I</m:t>
                  </m:r>
                </m:num>
                <m:den>
                  <m:r>
                    <w:rPr>
                      <w:rFonts w:ascii="Cambria Math" w:hAnsi="Cambria Math" w:cs="Times New Roman"/>
                      <w:sz w:val="24"/>
                      <w:szCs w:val="24"/>
                      <w:lang w:val="en-US"/>
                    </w:rPr>
                    <m:t>k∙</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π</m:t>
                      </m:r>
                    </m:e>
                  </m:rad>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ε</m:t>
                      </m:r>
                    </m:sub>
                  </m:sSub>
                </m:den>
              </m:f>
              <m:r>
                <w:rPr>
                  <w:rFonts w:ascii="Cambria Math" w:hAnsi="Cambria Math" w:cs="Times New Roman"/>
                  <w:sz w:val="24"/>
                  <w:szCs w:val="24"/>
                  <w:lang w:val="en-US"/>
                </w:rPr>
                <m:t>-P</m:t>
              </m:r>
            </m:num>
            <m:den>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den>
          </m:f>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6</m:t>
              </m:r>
            </m:e>
          </m:d>
        </m:oMath>
      </m:oMathPara>
    </w:p>
    <w:p w14:paraId="4996E2BF" w14:textId="77777777" w:rsidR="001D1710" w:rsidRPr="00CB20C3" w:rsidRDefault="001D1710" w:rsidP="001D1710">
      <w:pPr>
        <w:spacing w:after="0" w:line="480" w:lineRule="auto"/>
        <w:ind w:firstLine="284"/>
        <w:jc w:val="both"/>
        <w:rPr>
          <w:rFonts w:ascii="Times New Roman" w:eastAsiaTheme="minorEastAsia" w:hAnsi="Times New Roman" w:cs="Times New Roman"/>
          <w:sz w:val="24"/>
          <w:szCs w:val="24"/>
          <w:lang w:val="en-US"/>
        </w:rPr>
      </w:pPr>
      <m:oMathPara>
        <m:oMathParaPr>
          <m:jc m:val="right"/>
        </m:oMathParaPr>
        <m:oMath>
          <m:r>
            <w:rPr>
              <w:rFonts w:ascii="Cambria Math" w:hAnsi="Cambria Math" w:cs="Times New Roman"/>
              <w:sz w:val="24"/>
              <w:szCs w:val="24"/>
              <w:lang w:val="en-US"/>
            </w:rPr>
            <w:lastRenderedPageBreak/>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N</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2</m:t>
                      </m:r>
                    </m:sub>
                  </m:sSub>
                </m:e>
              </m:d>
              <m:r>
                <w:rPr>
                  <w:rFonts w:ascii="Cambria Math" w:hAnsi="Cambria Math" w:cs="Times New Roman"/>
                  <w:sz w:val="24"/>
                  <w:szCs w:val="24"/>
                  <w:lang w:val="en-US"/>
                </w:rPr>
                <m:t>-P</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r>
                <w:rPr>
                  <w:rFonts w:ascii="Cambria Math" w:hAnsi="Cambria Math" w:cs="Times New Roman"/>
                  <w:sz w:val="24"/>
                  <w:szCs w:val="24"/>
                  <w:lang w:val="en-US"/>
                </w:rPr>
                <m:t>∙Var</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V</m:t>
                          </m:r>
                        </m:e>
                      </m:acc>
                    </m:e>
                    <m:sub>
                      <m:r>
                        <w:rPr>
                          <w:rFonts w:ascii="Cambria Math" w:hAnsi="Cambria Math" w:cs="Times New Roman"/>
                          <w:sz w:val="24"/>
                          <w:szCs w:val="24"/>
                          <w:lang w:val="en-US"/>
                        </w:rPr>
                        <m:t>2</m:t>
                      </m:r>
                    </m:sub>
                  </m:sSub>
                </m:e>
              </m:d>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2∙</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r>
                <w:rPr>
                  <w:rFonts w:ascii="Cambria Math" w:hAnsi="Cambria Math" w:cs="Times New Roman"/>
                  <w:sz w:val="24"/>
                  <w:szCs w:val="24"/>
                  <w:lang w:val="en-US"/>
                </w:rPr>
                <m:t>-P</m:t>
              </m:r>
            </m:num>
            <m:den>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den>
          </m:f>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r>
                <w:rPr>
                  <w:rFonts w:ascii="Cambria Math" w:hAnsi="Cambria Math" w:cs="Times New Roman"/>
                  <w:sz w:val="24"/>
                  <w:szCs w:val="24"/>
                  <w:lang w:val="en-US"/>
                </w:rPr>
                <m:t>7</m:t>
              </m:r>
            </m:e>
          </m:d>
        </m:oMath>
      </m:oMathPara>
    </w:p>
    <w:p w14:paraId="3C859E51" w14:textId="77777777" w:rsidR="001D1710" w:rsidRPr="00CB20C3" w:rsidRDefault="001D1710" w:rsidP="001D1710">
      <w:pPr>
        <w:spacing w:after="0" w:line="480" w:lineRule="auto"/>
        <w:jc w:val="both"/>
        <w:rPr>
          <w:rFonts w:ascii="Times New Roman" w:eastAsiaTheme="minorEastAsia" w:hAnsi="Times New Roman" w:cs="Times New Roman"/>
          <w:sz w:val="24"/>
          <w:szCs w:val="24"/>
          <w:lang w:val="en-US"/>
        </w:rPr>
      </w:pPr>
      <w:r w:rsidRPr="00CB20C3">
        <w:rPr>
          <w:rFonts w:ascii="Times New Roman" w:eastAsiaTheme="minorEastAsia" w:hAnsi="Times New Roman" w:cs="Times New Roman"/>
          <w:sz w:val="24"/>
          <w:szCs w:val="24"/>
          <w:lang w:val="en-US"/>
        </w:rPr>
        <w:t xml:space="preserve">      By substituting Equations (6) and (7) into the market clearing condition (4), we obtain the equilibrium stock price:</w:t>
      </w:r>
    </w:p>
    <w:p w14:paraId="6D175699" w14:textId="77777777" w:rsidR="001D1710" w:rsidRPr="00CB20C3" w:rsidRDefault="001D1710" w:rsidP="001D1710">
      <w:pPr>
        <w:spacing w:after="0" w:line="480" w:lineRule="auto"/>
        <w:ind w:firstLine="567"/>
        <w:jc w:val="both"/>
        <w:rPr>
          <w:rFonts w:ascii="Times New Roman" w:eastAsiaTheme="minorEastAsia" w:hAnsi="Times New Roman" w:cs="Times New Roman"/>
          <w:sz w:val="24"/>
          <w:szCs w:val="24"/>
          <w:lang w:val="en-US"/>
        </w:rPr>
      </w:pPr>
      <m:oMathPara>
        <m:oMathParaPr>
          <m:jc m:val="right"/>
        </m:oMathParaPr>
        <m:oMath>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∆w∙I</m:t>
                  </m:r>
                </m:num>
                <m:den>
                  <m:r>
                    <w:rPr>
                      <w:rFonts w:ascii="Cambria Math" w:hAnsi="Cambria Math" w:cs="Times New Roman"/>
                      <w:sz w:val="24"/>
                      <w:szCs w:val="24"/>
                      <w:lang w:val="en-US"/>
                    </w:rPr>
                    <m:t>k∙</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π</m:t>
                      </m:r>
                    </m:e>
                  </m:rad>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ε</m:t>
                      </m:r>
                    </m:sub>
                  </m:sSub>
                </m:den>
              </m:f>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)∙z</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den>
          </m:f>
          <m:r>
            <w:rPr>
              <w:rFonts w:ascii="Cambria Math" w:hAnsi="Cambria Math" w:cs="Times New Roman"/>
              <w:sz w:val="24"/>
              <w:szCs w:val="24"/>
              <w:lang w:val="en-US"/>
            </w:rPr>
            <m:t>.            (8)</m:t>
          </m:r>
        </m:oMath>
      </m:oMathPara>
    </w:p>
    <w:p w14:paraId="33622F3B" w14:textId="77777777" w:rsidR="001D1710" w:rsidRPr="00CB20C3" w:rsidRDefault="001D1710" w:rsidP="001D1710">
      <w:pPr>
        <w:spacing w:after="0" w:line="480" w:lineRule="auto"/>
        <w:ind w:firstLine="567"/>
        <w:jc w:val="both"/>
        <w:rPr>
          <w:rFonts w:ascii="Times New Roman" w:hAnsi="Times New Roman" w:cs="Times New Roman"/>
          <w:i/>
          <w:sz w:val="24"/>
          <w:szCs w:val="24"/>
          <w:lang w:val="en-US"/>
        </w:rPr>
      </w:pPr>
      <w:r w:rsidRPr="00CB20C3">
        <w:rPr>
          <w:rFonts w:ascii="Times New Roman" w:hAnsi="Times New Roman" w:cs="Times New Roman"/>
          <w:i/>
          <w:sz w:val="24"/>
          <w:szCs w:val="24"/>
          <w:lang w:val="en-US"/>
        </w:rPr>
        <w:t xml:space="preserve"> </w:t>
      </w:r>
    </w:p>
    <w:p w14:paraId="58BAC9D1" w14:textId="77777777" w:rsidR="001D1710" w:rsidRPr="00CB20C3" w:rsidRDefault="001D1710" w:rsidP="001D1710">
      <w:pPr>
        <w:spacing w:after="0" w:line="480" w:lineRule="auto"/>
        <w:ind w:firstLine="567"/>
        <w:jc w:val="both"/>
        <w:rPr>
          <w:rFonts w:ascii="Times New Roman" w:hAnsi="Times New Roman" w:cs="Times New Roman"/>
          <w:sz w:val="24"/>
          <w:szCs w:val="24"/>
          <w:lang w:val="en-US"/>
        </w:rPr>
      </w:pPr>
      <w:r w:rsidRPr="00CB20C3">
        <w:rPr>
          <w:rFonts w:ascii="Times New Roman" w:hAnsi="Times New Roman" w:cs="Times New Roman"/>
          <w:sz w:val="24"/>
          <w:szCs w:val="24"/>
          <w:lang w:val="en-US"/>
        </w:rPr>
        <w:t>To determine the relationship between tournament incentives and institutional holdings we substitute Equation (8) into Equation (6) to obtain:</w:t>
      </w:r>
    </w:p>
    <w:p w14:paraId="10DD3989" w14:textId="77777777" w:rsidR="001D1710" w:rsidRPr="00CB20C3" w:rsidRDefault="001D1710" w:rsidP="001D1710">
      <w:pPr>
        <w:spacing w:after="0" w:line="480" w:lineRule="auto"/>
        <w:ind w:firstLine="284"/>
        <w:jc w:val="both"/>
        <w:rPr>
          <w:rFonts w:ascii="Times New Roman" w:eastAsiaTheme="minorEastAsia" w:hAnsi="Times New Roman" w:cs="Times New Roman"/>
          <w:sz w:val="24"/>
          <w:szCs w:val="24"/>
          <w:lang w:val="en-US"/>
        </w:rPr>
      </w:pPr>
      <m:oMathPara>
        <m:oMathParaPr>
          <m:jc m:val="right"/>
        </m:oMathParaPr>
        <m:oMath>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S</m:t>
              </m:r>
            </m:sub>
            <m:sup>
              <m:r>
                <w:rPr>
                  <w:rFonts w:ascii="Cambria Math" w:hAnsi="Cambria Math" w:cs="Times New Roman"/>
                  <w:sz w:val="24"/>
                  <w:szCs w:val="24"/>
                  <w:lang w:val="en-US"/>
                </w:rPr>
                <m:t>*</m:t>
              </m:r>
            </m:sup>
          </m:sSub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∆w∙I</m:t>
              </m:r>
            </m:num>
            <m:den>
              <m:r>
                <w:rPr>
                  <w:rFonts w:ascii="Cambria Math" w:hAnsi="Cambria Math" w:cs="Times New Roman"/>
                  <w:sz w:val="24"/>
                  <w:szCs w:val="24"/>
                  <w:lang w:val="en-US"/>
                </w:rPr>
                <m:t>2∙k∙</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π</m:t>
                  </m:r>
                </m:e>
              </m:rad>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ε</m:t>
                  </m:r>
                </m:sub>
              </m:sSub>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e>
              </m:d>
            </m:den>
          </m:f>
          <m:r>
            <w:rPr>
              <w:rFonts w:ascii="Cambria Math" w:hAnsi="Cambria Math" w:cs="Times New Roman"/>
              <w:sz w:val="24"/>
              <w:szCs w:val="24"/>
              <w:lang w:val="en-US"/>
            </w:rPr>
            <m:t xml:space="preserve">+K,                                                           </m:t>
          </m:r>
          <m:d>
            <m:dPr>
              <m:ctrlPr>
                <w:rPr>
                  <w:rFonts w:ascii="Cambria Math" w:hAnsi="Cambria Math" w:cs="Times New Roman"/>
                  <w:i/>
                  <w:sz w:val="24"/>
                  <w:szCs w:val="24"/>
                  <w:lang w:val="en-US"/>
                </w:rPr>
              </m:ctrlPr>
            </m:dPr>
            <m:e>
              <m:r>
                <w:rPr>
                  <w:rFonts w:ascii="Cambria Math" w:hAnsi="Cambria Math" w:cs="Times New Roman"/>
                  <w:sz w:val="24"/>
                  <w:szCs w:val="24"/>
                  <w:lang w:val="en-US"/>
                </w:rPr>
                <m:t>9</m:t>
              </m:r>
            </m:e>
          </m:d>
        </m:oMath>
      </m:oMathPara>
    </w:p>
    <w:p w14:paraId="4B54994C" w14:textId="77777777" w:rsidR="004E77F0" w:rsidRDefault="004E77F0" w:rsidP="001D1710">
      <w:pPr>
        <w:spacing w:after="0" w:line="480" w:lineRule="auto"/>
        <w:jc w:val="both"/>
        <w:rPr>
          <w:rFonts w:ascii="Times New Roman" w:hAnsi="Times New Roman" w:cs="Times New Roman"/>
          <w:sz w:val="24"/>
          <w:szCs w:val="24"/>
          <w:lang w:val="en-US"/>
        </w:rPr>
      </w:pPr>
    </w:p>
    <w:p w14:paraId="11F4F1BF" w14:textId="67E15A5D" w:rsidR="001D1710" w:rsidRPr="00CB20C3" w:rsidRDefault="001D1710" w:rsidP="001D1710">
      <w:pPr>
        <w:spacing w:after="0" w:line="480" w:lineRule="auto"/>
        <w:jc w:val="both"/>
        <w:rPr>
          <w:rFonts w:ascii="Times New Roman" w:hAnsi="Times New Roman" w:cs="Times New Roman"/>
          <w:sz w:val="24"/>
          <w:szCs w:val="24"/>
          <w:lang w:val="en-US"/>
        </w:rPr>
      </w:pPr>
      <w:proofErr w:type="gramStart"/>
      <w:r w:rsidRPr="00CB20C3">
        <w:rPr>
          <w:rFonts w:ascii="Times New Roman" w:hAnsi="Times New Roman" w:cs="Times New Roman"/>
          <w:sz w:val="24"/>
          <w:szCs w:val="24"/>
          <w:lang w:val="en-US"/>
        </w:rPr>
        <w:t xml:space="preserve">where </w:t>
      </w:r>
      <w:proofErr w:type="gramEnd"/>
      <m:oMath>
        <m:r>
          <w:rPr>
            <w:rFonts w:ascii="Cambria Math" w:hAnsi="Cambria Math" w:cs="Times New Roman"/>
            <w:sz w:val="24"/>
            <w:szCs w:val="24"/>
            <w:lang w:val="en-US"/>
          </w:rPr>
          <m:t>K=-</m:t>
        </m:r>
        <m:f>
          <m:fPr>
            <m:ctrlPr>
              <w:rPr>
                <w:rFonts w:ascii="Cambria Math" w:eastAsiaTheme="minorEastAsia" w:hAnsi="Cambria Math" w:cs="Times New Roman"/>
                <w:i/>
                <w:sz w:val="24"/>
                <w:szCs w:val="24"/>
                <w:lang w:val="en-US"/>
              </w:rPr>
            </m:ctrlPr>
          </m:fPr>
          <m:num>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e>
            </m:d>
            <m:r>
              <w:rPr>
                <w:rFonts w:ascii="Cambria Math" w:eastAsiaTheme="minorEastAsia" w:hAnsi="Cambria Math" w:cs="Times New Roman"/>
                <w:sz w:val="24"/>
                <w:szCs w:val="24"/>
                <w:lang w:val="en-US"/>
              </w:rPr>
              <m:t>z</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den>
        </m:f>
      </m:oMath>
      <w:r w:rsidRPr="00CB20C3">
        <w:rPr>
          <w:rFonts w:ascii="Times New Roman" w:eastAsiaTheme="minorEastAsia" w:hAnsi="Times New Roman" w:cs="Times New Roman"/>
          <w:sz w:val="24"/>
          <w:szCs w:val="24"/>
          <w:lang w:val="en-US"/>
        </w:rPr>
        <w:t>.</w:t>
      </w:r>
    </w:p>
    <w:p w14:paraId="2E277765" w14:textId="77777777" w:rsidR="004E77F0" w:rsidRDefault="004E77F0" w:rsidP="001D1710">
      <w:pPr>
        <w:spacing w:after="0" w:line="480" w:lineRule="auto"/>
        <w:ind w:firstLine="567"/>
        <w:jc w:val="both"/>
        <w:rPr>
          <w:rFonts w:ascii="Times New Roman" w:hAnsi="Times New Roman" w:cs="Times New Roman"/>
          <w:sz w:val="24"/>
          <w:szCs w:val="24"/>
          <w:lang w:val="en-US"/>
        </w:rPr>
      </w:pPr>
    </w:p>
    <w:p w14:paraId="7CEAEFF8" w14:textId="3703F6FF" w:rsidR="001D1710" w:rsidRPr="00CB20C3" w:rsidRDefault="001D1710" w:rsidP="001D1710">
      <w:pPr>
        <w:spacing w:after="0" w:line="480" w:lineRule="auto"/>
        <w:ind w:firstLine="567"/>
        <w:jc w:val="both"/>
        <w:rPr>
          <w:rFonts w:ascii="Times New Roman" w:hAnsi="Times New Roman" w:cs="Times New Roman"/>
          <w:sz w:val="24"/>
          <w:szCs w:val="24"/>
          <w:lang w:val="en-US"/>
        </w:rPr>
      </w:pPr>
      <w:r w:rsidRPr="00CB20C3">
        <w:rPr>
          <w:rFonts w:ascii="Times New Roman" w:hAnsi="Times New Roman" w:cs="Times New Roman"/>
          <w:sz w:val="24"/>
          <w:szCs w:val="24"/>
          <w:lang w:val="en-US"/>
        </w:rPr>
        <w:t>Simple comparative statics yield:</w:t>
      </w:r>
    </w:p>
    <w:p w14:paraId="5C04F727" w14:textId="77777777" w:rsidR="001D1710" w:rsidRPr="00CB20C3" w:rsidRDefault="00CF1E13" w:rsidP="001D1710">
      <w:pPr>
        <w:spacing w:after="0" w:line="480" w:lineRule="auto"/>
        <w:jc w:val="both"/>
        <w:rPr>
          <w:rFonts w:ascii="Times New Roman" w:eastAsiaTheme="minorEastAsia" w:hAnsi="Times New Roman" w:cs="Times New Roman"/>
          <w:sz w:val="24"/>
          <w:szCs w:val="24"/>
          <w:lang w:val="en-US"/>
        </w:rPr>
      </w:pPr>
      <m:oMathPara>
        <m:oMathParaPr>
          <m:jc m:val="righ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S</m:t>
                  </m:r>
                </m:sub>
                <m:sup>
                  <m:r>
                    <w:rPr>
                      <w:rFonts w:ascii="Cambria Math" w:hAnsi="Cambria Math" w:cs="Times New Roman"/>
                      <w:sz w:val="24"/>
                      <w:szCs w:val="24"/>
                      <w:lang w:val="en-US"/>
                    </w:rPr>
                    <m:t>*</m:t>
                  </m:r>
                </m:sup>
              </m:sSubSup>
            </m:num>
            <m:den>
              <m:r>
                <w:rPr>
                  <w:rFonts w:ascii="Cambria Math" w:hAnsi="Cambria Math" w:cs="Times New Roman"/>
                  <w:sz w:val="24"/>
                  <w:szCs w:val="24"/>
                  <w:lang w:val="en-US"/>
                </w:rPr>
                <m:t>d∆w</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I</m:t>
              </m:r>
            </m:num>
            <m:den>
              <m:r>
                <w:rPr>
                  <w:rFonts w:ascii="Cambria Math" w:hAnsi="Cambria Math" w:cs="Times New Roman"/>
                  <w:sz w:val="24"/>
                  <w:szCs w:val="24"/>
                  <w:lang w:val="en-US"/>
                </w:rPr>
                <m:t>2∙k∙</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π</m:t>
                  </m:r>
                </m:e>
              </m:rad>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ε</m:t>
                  </m:r>
                </m:sub>
              </m:sSub>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e>
              </m:d>
            </m:den>
          </m:f>
          <m:r>
            <w:rPr>
              <w:rFonts w:ascii="Cambria Math" w:hAnsi="Cambria Math" w:cs="Times New Roman"/>
              <w:sz w:val="24"/>
              <w:szCs w:val="24"/>
              <w:lang w:val="en-US"/>
            </w:rPr>
            <m:t>&gt;0.                                                    (10)</m:t>
          </m:r>
        </m:oMath>
      </m:oMathPara>
    </w:p>
    <w:p w14:paraId="2E02DE9E" w14:textId="77777777" w:rsidR="004E77F0" w:rsidRDefault="004E77F0" w:rsidP="001D1710">
      <w:pPr>
        <w:spacing w:after="0" w:line="480" w:lineRule="auto"/>
        <w:ind w:firstLine="567"/>
        <w:jc w:val="both"/>
        <w:rPr>
          <w:rFonts w:ascii="Times New Roman" w:hAnsi="Times New Roman" w:cs="Times New Roman"/>
          <w:sz w:val="24"/>
          <w:szCs w:val="24"/>
          <w:lang w:val="en-US"/>
        </w:rPr>
      </w:pPr>
    </w:p>
    <w:p w14:paraId="458A68F6" w14:textId="27E241CB" w:rsidR="001D1710" w:rsidRPr="00CB20C3" w:rsidRDefault="001D1710" w:rsidP="001D171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Equation (10) implies that there should be a positive association between tournament competition and institutional holdings, providing us with our formal hypothesis that </w:t>
      </w:r>
      <w:r w:rsidRPr="00C10B0F">
        <w:rPr>
          <w:rFonts w:ascii="Times New Roman" w:hAnsi="Times New Roman" w:cs="Times New Roman"/>
          <w:i/>
          <w:sz w:val="24"/>
          <w:szCs w:val="24"/>
          <w:lang w:val="en-US"/>
        </w:rPr>
        <w:t>greater tournament incentives increase institutional ownership of the firm</w:t>
      </w:r>
      <w:r>
        <w:rPr>
          <w:rFonts w:ascii="Times New Roman" w:hAnsi="Times New Roman" w:cs="Times New Roman"/>
          <w:sz w:val="24"/>
          <w:szCs w:val="24"/>
        </w:rPr>
        <w:t xml:space="preserve">. The </w:t>
      </w:r>
      <w:r>
        <w:rPr>
          <w:rFonts w:ascii="Times New Roman" w:hAnsi="Times New Roman" w:cs="Times New Roman"/>
          <w:sz w:val="24"/>
          <w:szCs w:val="24"/>
          <w:lang w:val="en-US"/>
        </w:rPr>
        <w:t>intuition behind this being that</w:t>
      </w:r>
      <w:r w:rsidRPr="00CB20C3">
        <w:rPr>
          <w:rFonts w:ascii="Times New Roman" w:hAnsi="Times New Roman" w:cs="Times New Roman"/>
          <w:sz w:val="24"/>
          <w:szCs w:val="24"/>
          <w:lang w:val="en-US"/>
        </w:rPr>
        <w:t xml:space="preserve"> greater corporate tournament competition induces more effort input from CEO contestants, which will </w:t>
      </w:r>
      <w:r>
        <w:rPr>
          <w:rFonts w:ascii="Times New Roman" w:hAnsi="Times New Roman" w:cs="Times New Roman"/>
          <w:sz w:val="24"/>
          <w:szCs w:val="24"/>
          <w:lang w:val="en-US"/>
        </w:rPr>
        <w:t xml:space="preserve">inevitably </w:t>
      </w:r>
      <w:r w:rsidRPr="00CB20C3">
        <w:rPr>
          <w:rFonts w:ascii="Times New Roman" w:hAnsi="Times New Roman" w:cs="Times New Roman"/>
          <w:sz w:val="24"/>
          <w:szCs w:val="24"/>
          <w:lang w:val="en-US"/>
        </w:rPr>
        <w:t>benefit the firm. Because the institutional investor, as a sophis</w:t>
      </w:r>
      <w:r>
        <w:rPr>
          <w:rFonts w:ascii="Times New Roman" w:hAnsi="Times New Roman" w:cs="Times New Roman"/>
          <w:sz w:val="24"/>
          <w:szCs w:val="24"/>
          <w:lang w:val="en-US"/>
        </w:rPr>
        <w:t>ticated trader, appreciates this</w:t>
      </w:r>
      <w:r w:rsidRPr="00CB20C3">
        <w:rPr>
          <w:rFonts w:ascii="Times New Roman" w:hAnsi="Times New Roman" w:cs="Times New Roman"/>
          <w:sz w:val="24"/>
          <w:szCs w:val="24"/>
          <w:lang w:val="en-US"/>
        </w:rPr>
        <w:t xml:space="preserve">, they </w:t>
      </w:r>
      <w:proofErr w:type="gramStart"/>
      <w:r w:rsidRPr="00CB20C3">
        <w:rPr>
          <w:rFonts w:ascii="Times New Roman" w:hAnsi="Times New Roman" w:cs="Times New Roman"/>
          <w:sz w:val="24"/>
          <w:szCs w:val="24"/>
          <w:lang w:val="en-US"/>
        </w:rPr>
        <w:t>are incentivized</w:t>
      </w:r>
      <w:proofErr w:type="gramEnd"/>
      <w:r w:rsidRPr="00CB20C3">
        <w:rPr>
          <w:rFonts w:ascii="Times New Roman" w:hAnsi="Times New Roman" w:cs="Times New Roman"/>
          <w:sz w:val="24"/>
          <w:szCs w:val="24"/>
          <w:lang w:val="en-US"/>
        </w:rPr>
        <w:t xml:space="preserve"> to hold more stock of the firm.</w:t>
      </w:r>
    </w:p>
    <w:p w14:paraId="37524D2D" w14:textId="77777777" w:rsidR="00496852" w:rsidRPr="00D37BD3" w:rsidRDefault="00496852" w:rsidP="00496852">
      <w:pPr>
        <w:spacing w:line="360" w:lineRule="auto"/>
        <w:jc w:val="both"/>
        <w:rPr>
          <w:rFonts w:ascii="Times New Roman" w:hAnsi="Times New Roman" w:cs="Times New Roman"/>
          <w:sz w:val="24"/>
          <w:szCs w:val="24"/>
        </w:rPr>
      </w:pPr>
    </w:p>
    <w:p w14:paraId="12C9C895" w14:textId="066715F6" w:rsidR="000C469C" w:rsidRPr="00A80890" w:rsidRDefault="00A80890" w:rsidP="004152E4">
      <w:pPr>
        <w:pStyle w:val="Heading1"/>
        <w:numPr>
          <w:ilvl w:val="0"/>
          <w:numId w:val="14"/>
        </w:numPr>
        <w:ind w:left="567" w:hanging="567"/>
        <w:rPr>
          <w:caps/>
        </w:rPr>
      </w:pPr>
      <w:r>
        <w:t>S</w:t>
      </w:r>
      <w:r w:rsidRPr="00A80890">
        <w:t xml:space="preserve">ample </w:t>
      </w:r>
      <w:r>
        <w:t>and</w:t>
      </w:r>
      <w:r w:rsidRPr="00A80890">
        <w:t xml:space="preserve"> descriptive statistics</w:t>
      </w:r>
    </w:p>
    <w:p w14:paraId="6220B359" w14:textId="320513C9" w:rsidR="000C469C" w:rsidRPr="00B8344A" w:rsidRDefault="000C469C" w:rsidP="00B8344A">
      <w:pPr>
        <w:spacing w:after="0" w:line="480" w:lineRule="auto"/>
        <w:ind w:firstLine="567"/>
        <w:jc w:val="both"/>
        <w:rPr>
          <w:rFonts w:ascii="Times New Roman" w:eastAsia="Times New Roman" w:hAnsi="Times New Roman" w:cs="Times New Roman"/>
          <w:sz w:val="24"/>
          <w:szCs w:val="24"/>
        </w:rPr>
      </w:pPr>
      <w:r w:rsidRPr="062454F4">
        <w:rPr>
          <w:rFonts w:ascii="Times New Roman" w:eastAsia="Times New Roman" w:hAnsi="Times New Roman" w:cs="Times New Roman"/>
          <w:sz w:val="24"/>
          <w:szCs w:val="24"/>
        </w:rPr>
        <w:lastRenderedPageBreak/>
        <w:t xml:space="preserve">Our initial sample comprises all </w:t>
      </w:r>
      <w:r>
        <w:rPr>
          <w:rFonts w:ascii="Times New Roman" w:eastAsia="Times New Roman" w:hAnsi="Times New Roman" w:cs="Times New Roman"/>
          <w:sz w:val="24"/>
          <w:szCs w:val="24"/>
        </w:rPr>
        <w:t xml:space="preserve">firms contained within the </w:t>
      </w:r>
      <w:proofErr w:type="spellStart"/>
      <w:r w:rsidRPr="062454F4">
        <w:rPr>
          <w:rFonts w:ascii="Times New Roman" w:eastAsia="Times New Roman" w:hAnsi="Times New Roman" w:cs="Times New Roman"/>
          <w:sz w:val="24"/>
          <w:szCs w:val="24"/>
        </w:rPr>
        <w:t>ExecuComp</w:t>
      </w:r>
      <w:proofErr w:type="spellEnd"/>
      <w:r w:rsidRPr="06245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database </w:t>
      </w:r>
      <w:r w:rsidRPr="062454F4">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1992</w:t>
      </w:r>
      <w:r w:rsidRPr="062454F4">
        <w:rPr>
          <w:rFonts w:ascii="Times New Roman" w:eastAsia="Times New Roman" w:hAnsi="Times New Roman" w:cs="Times New Roman"/>
          <w:sz w:val="24"/>
          <w:szCs w:val="24"/>
        </w:rPr>
        <w:t xml:space="preserve"> to 201</w:t>
      </w:r>
      <w:r>
        <w:rPr>
          <w:rFonts w:ascii="Times New Roman" w:eastAsia="Times New Roman" w:hAnsi="Times New Roman" w:cs="Times New Roman"/>
          <w:sz w:val="24"/>
          <w:szCs w:val="24"/>
        </w:rPr>
        <w:t>6</w:t>
      </w:r>
      <w:r w:rsidRPr="06245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each </w:t>
      </w:r>
      <w:r w:rsidRPr="00B21808">
        <w:rPr>
          <w:rFonts w:ascii="Times New Roman" w:eastAsia="Times New Roman" w:hAnsi="Times New Roman" w:cs="Times New Roman"/>
          <w:noProof/>
          <w:sz w:val="24"/>
          <w:szCs w:val="24"/>
        </w:rPr>
        <w:t>firm</w:t>
      </w:r>
      <w:r w:rsidR="00B21808">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we also</w:t>
      </w:r>
      <w:r w:rsidRPr="062454F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collect annual</w:t>
      </w:r>
      <w:r w:rsidRPr="062454F4">
        <w:rPr>
          <w:rFonts w:ascii="Times New Roman" w:eastAsia="Times New Roman" w:hAnsi="Times New Roman" w:cs="Times New Roman"/>
          <w:color w:val="000000" w:themeColor="text1"/>
          <w:sz w:val="24"/>
          <w:szCs w:val="24"/>
        </w:rPr>
        <w:t xml:space="preserve"> </w:t>
      </w:r>
      <w:r w:rsidRPr="00D76351">
        <w:rPr>
          <w:rFonts w:ascii="Times New Roman" w:eastAsia="Times New Roman" w:hAnsi="Times New Roman" w:cs="Times New Roman"/>
          <w:color w:val="000000" w:themeColor="text1"/>
          <w:sz w:val="24"/>
          <w:szCs w:val="24"/>
        </w:rPr>
        <w:t>institutional holdings</w:t>
      </w:r>
      <w:r>
        <w:rPr>
          <w:rFonts w:ascii="Times New Roman" w:eastAsia="Times New Roman" w:hAnsi="Times New Roman" w:cs="Times New Roman"/>
          <w:color w:val="000000" w:themeColor="text1"/>
          <w:sz w:val="24"/>
          <w:szCs w:val="24"/>
        </w:rPr>
        <w:t xml:space="preserve"> data</w:t>
      </w:r>
      <w:r w:rsidRPr="062454F4">
        <w:rPr>
          <w:rFonts w:ascii="Times New Roman" w:eastAsia="Times New Roman" w:hAnsi="Times New Roman" w:cs="Times New Roman"/>
          <w:color w:val="000000" w:themeColor="text1"/>
          <w:sz w:val="24"/>
          <w:szCs w:val="24"/>
        </w:rPr>
        <w:t xml:space="preserve"> from </w:t>
      </w:r>
      <w:r>
        <w:rPr>
          <w:rFonts w:ascii="Times New Roman" w:eastAsia="Times New Roman" w:hAnsi="Times New Roman" w:cs="Times New Roman"/>
          <w:color w:val="000000" w:themeColor="text1"/>
          <w:sz w:val="24"/>
          <w:szCs w:val="24"/>
        </w:rPr>
        <w:t xml:space="preserve">the </w:t>
      </w:r>
      <w:r w:rsidRPr="062454F4">
        <w:rPr>
          <w:rFonts w:ascii="Times New Roman" w:eastAsia="Times New Roman" w:hAnsi="Times New Roman" w:cs="Times New Roman"/>
          <w:color w:val="000000" w:themeColor="text1"/>
          <w:sz w:val="24"/>
          <w:szCs w:val="24"/>
        </w:rPr>
        <w:t xml:space="preserve">Thomson Reuters </w:t>
      </w:r>
      <w:r>
        <w:rPr>
          <w:rFonts w:ascii="Times New Roman" w:eastAsia="Times New Roman" w:hAnsi="Times New Roman" w:cs="Times New Roman"/>
          <w:color w:val="000000" w:themeColor="text1"/>
          <w:sz w:val="24"/>
          <w:szCs w:val="24"/>
        </w:rPr>
        <w:t xml:space="preserve">Ownership (13f) </w:t>
      </w:r>
      <w:r w:rsidRPr="062454F4">
        <w:rPr>
          <w:rFonts w:ascii="Times New Roman" w:eastAsia="Times New Roman" w:hAnsi="Times New Roman" w:cs="Times New Roman"/>
          <w:color w:val="000000" w:themeColor="text1"/>
          <w:sz w:val="24"/>
          <w:szCs w:val="24"/>
        </w:rPr>
        <w:t>database</w:t>
      </w:r>
      <w:r>
        <w:rPr>
          <w:rFonts w:ascii="Times New Roman" w:eastAsia="Times New Roman" w:hAnsi="Times New Roman" w:cs="Times New Roman"/>
          <w:color w:val="000000" w:themeColor="text1"/>
          <w:sz w:val="24"/>
          <w:szCs w:val="24"/>
        </w:rPr>
        <w:t>, financial data fr</w:t>
      </w:r>
      <w:r w:rsidRPr="004A52B0">
        <w:rPr>
          <w:rFonts w:ascii="Times New Roman" w:eastAsia="Times New Roman" w:hAnsi="Times New Roman" w:cs="Times New Roman"/>
          <w:color w:val="000000" w:themeColor="text1"/>
          <w:sz w:val="24"/>
          <w:szCs w:val="24"/>
        </w:rPr>
        <w:t xml:space="preserve">om </w:t>
      </w:r>
      <w:r w:rsidR="003C5A39">
        <w:rPr>
          <w:rFonts w:ascii="Times New Roman" w:eastAsia="Times New Roman" w:hAnsi="Times New Roman" w:cs="Times New Roman"/>
          <w:color w:val="000000" w:themeColor="text1"/>
          <w:sz w:val="24"/>
          <w:szCs w:val="24"/>
        </w:rPr>
        <w:t xml:space="preserve">the </w:t>
      </w:r>
      <w:proofErr w:type="spellStart"/>
      <w:r w:rsidRPr="004A52B0">
        <w:rPr>
          <w:rFonts w:ascii="Times New Roman" w:eastAsia="Times New Roman" w:hAnsi="Times New Roman" w:cs="Times New Roman"/>
          <w:color w:val="000000" w:themeColor="text1"/>
          <w:sz w:val="24"/>
          <w:szCs w:val="24"/>
        </w:rPr>
        <w:t>Compustat</w:t>
      </w:r>
      <w:proofErr w:type="spellEnd"/>
      <w:r w:rsidRPr="004A52B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North America </w:t>
      </w:r>
      <w:r w:rsidRPr="004A52B0">
        <w:rPr>
          <w:rFonts w:ascii="Times New Roman" w:eastAsia="Times New Roman" w:hAnsi="Times New Roman" w:cs="Times New Roman"/>
          <w:color w:val="000000" w:themeColor="text1"/>
          <w:sz w:val="24"/>
          <w:szCs w:val="24"/>
        </w:rPr>
        <w:t>database</w:t>
      </w:r>
      <w:r>
        <w:rPr>
          <w:rFonts w:ascii="Times New Roman" w:eastAsia="Times New Roman" w:hAnsi="Times New Roman" w:cs="Times New Roman"/>
          <w:color w:val="000000" w:themeColor="text1"/>
          <w:sz w:val="24"/>
          <w:szCs w:val="24"/>
        </w:rPr>
        <w:t>, corporate g</w:t>
      </w:r>
      <w:r w:rsidRPr="0076488B">
        <w:rPr>
          <w:rFonts w:ascii="Times New Roman" w:eastAsia="Times New Roman" w:hAnsi="Times New Roman" w:cs="Times New Roman"/>
          <w:color w:val="000000" w:themeColor="text1"/>
          <w:sz w:val="24"/>
          <w:szCs w:val="24"/>
        </w:rPr>
        <w:t>overnance</w:t>
      </w:r>
      <w:r>
        <w:rPr>
          <w:rFonts w:ascii="Times New Roman" w:eastAsia="Times New Roman" w:hAnsi="Times New Roman" w:cs="Times New Roman"/>
          <w:color w:val="000000" w:themeColor="text1"/>
          <w:sz w:val="24"/>
          <w:szCs w:val="24"/>
        </w:rPr>
        <w:t xml:space="preserve"> data </w:t>
      </w:r>
      <w:proofErr w:type="gramStart"/>
      <w:r>
        <w:rPr>
          <w:rFonts w:ascii="Times New Roman" w:eastAsia="Times New Roman" w:hAnsi="Times New Roman" w:cs="Times New Roman"/>
          <w:color w:val="000000" w:themeColor="text1"/>
          <w:sz w:val="24"/>
          <w:szCs w:val="24"/>
        </w:rPr>
        <w:t>from Institutional Shareholder Services</w:t>
      </w:r>
      <w:r w:rsidRPr="004A52B0">
        <w:rPr>
          <w:rFonts w:ascii="Times New Roman" w:eastAsia="Times New Roman" w:hAnsi="Times New Roman" w:cs="Times New Roman"/>
          <w:color w:val="000000" w:themeColor="text1"/>
          <w:sz w:val="24"/>
          <w:szCs w:val="24"/>
        </w:rPr>
        <w:t xml:space="preserve"> and stock</w:t>
      </w:r>
      <w:r w:rsidRPr="004A52B0">
        <w:rPr>
          <w:rFonts w:ascii="Times New Roman" w:eastAsia="Times New Roman" w:hAnsi="Times New Roman" w:cs="Times New Roman"/>
          <w:sz w:val="24"/>
          <w:szCs w:val="24"/>
        </w:rPr>
        <w:t xml:space="preserve"> prices from the Centre for Research in Security Prices (CRSP)</w:t>
      </w:r>
      <w:proofErr w:type="gramEnd"/>
      <w:r w:rsidRPr="004A52B0">
        <w:rPr>
          <w:rFonts w:ascii="Times New Roman" w:eastAsia="Times New Roman" w:hAnsi="Times New Roman" w:cs="Times New Roman"/>
          <w:sz w:val="24"/>
          <w:szCs w:val="24"/>
        </w:rPr>
        <w:t>. Due to differen</w:t>
      </w:r>
      <w:r>
        <w:rPr>
          <w:rFonts w:ascii="Times New Roman" w:eastAsia="Times New Roman" w:hAnsi="Times New Roman" w:cs="Times New Roman"/>
          <w:sz w:val="24"/>
          <w:szCs w:val="24"/>
        </w:rPr>
        <w:t>ces in the</w:t>
      </w:r>
      <w:r w:rsidRPr="004A52B0">
        <w:rPr>
          <w:rFonts w:ascii="Times New Roman" w:eastAsia="Times New Roman" w:hAnsi="Times New Roman" w:cs="Times New Roman"/>
          <w:sz w:val="24"/>
          <w:szCs w:val="24"/>
        </w:rPr>
        <w:t xml:space="preserve"> regulatory environment, we exclude financial firms (SIC code 6000-6799) and utility firms (SIC 4900-4999) from our sample</w:t>
      </w:r>
      <w:r w:rsidRPr="004A52B0">
        <w:rPr>
          <w:rFonts w:ascii="Times New Roman" w:eastAsia="Times New Roman" w:hAnsi="Times New Roman" w:cs="Times New Roman"/>
          <w:color w:val="000000" w:themeColor="text1"/>
          <w:sz w:val="24"/>
          <w:szCs w:val="24"/>
        </w:rPr>
        <w:t xml:space="preserve">. </w:t>
      </w:r>
    </w:p>
    <w:p w14:paraId="1B8D5884" w14:textId="610E29A8" w:rsidR="000C469C" w:rsidRPr="008B648B" w:rsidRDefault="003451BF" w:rsidP="000C469C">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our primary </w:t>
      </w:r>
      <w:r w:rsidR="000C469C" w:rsidRPr="004A52B0">
        <w:rPr>
          <w:rFonts w:ascii="Times New Roman" w:eastAsia="Times New Roman" w:hAnsi="Times New Roman" w:cs="Times New Roman"/>
          <w:sz w:val="24"/>
          <w:szCs w:val="24"/>
        </w:rPr>
        <w:t xml:space="preserve">proxy </w:t>
      </w:r>
      <w:r w:rsidR="003C5A39">
        <w:rPr>
          <w:rFonts w:ascii="Times New Roman" w:eastAsia="Times New Roman" w:hAnsi="Times New Roman" w:cs="Times New Roman"/>
          <w:sz w:val="24"/>
          <w:szCs w:val="24"/>
        </w:rPr>
        <w:t xml:space="preserve">for </w:t>
      </w:r>
      <w:r w:rsidR="000C469C" w:rsidRPr="004A52B0">
        <w:rPr>
          <w:rFonts w:ascii="Times New Roman" w:eastAsia="Times New Roman" w:hAnsi="Times New Roman" w:cs="Times New Roman"/>
          <w:sz w:val="24"/>
          <w:szCs w:val="24"/>
        </w:rPr>
        <w:t>corporate</w:t>
      </w:r>
      <w:r w:rsidR="000C469C" w:rsidRPr="062454F4">
        <w:rPr>
          <w:rFonts w:ascii="Times New Roman" w:eastAsia="Times New Roman" w:hAnsi="Times New Roman" w:cs="Times New Roman"/>
          <w:sz w:val="24"/>
          <w:szCs w:val="24"/>
        </w:rPr>
        <w:t xml:space="preserve"> tournament </w:t>
      </w:r>
      <w:proofErr w:type="gramStart"/>
      <w:r w:rsidR="000C469C" w:rsidRPr="062454F4">
        <w:rPr>
          <w:rFonts w:ascii="Times New Roman" w:eastAsia="Times New Roman" w:hAnsi="Times New Roman" w:cs="Times New Roman"/>
          <w:sz w:val="24"/>
          <w:szCs w:val="24"/>
        </w:rPr>
        <w:t>competition</w:t>
      </w:r>
      <w:proofErr w:type="gramEnd"/>
      <w:r w:rsidR="000C469C" w:rsidRPr="06245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use</w:t>
      </w:r>
      <w:r w:rsidR="000C469C" w:rsidRPr="062454F4">
        <w:rPr>
          <w:rFonts w:ascii="Times New Roman" w:eastAsia="Times New Roman" w:hAnsi="Times New Roman" w:cs="Times New Roman"/>
          <w:sz w:val="24"/>
          <w:szCs w:val="24"/>
        </w:rPr>
        <w:t xml:space="preserve"> </w:t>
      </w:r>
      <w:r w:rsidR="000C469C" w:rsidRPr="00D76351">
        <w:rPr>
          <w:rFonts w:ascii="Times New Roman" w:eastAsia="Times New Roman" w:hAnsi="Times New Roman" w:cs="Times New Roman"/>
          <w:i/>
          <w:sz w:val="24"/>
          <w:szCs w:val="24"/>
        </w:rPr>
        <w:t>CEO Pay Gap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We introduce a secondary proxy, the number of Vice Presidents that a firm has, later as a robustness test.</w:t>
      </w:r>
      <w:r w:rsidR="000C469C" w:rsidRPr="062454F4">
        <w:rPr>
          <w:rFonts w:ascii="Times New Roman" w:eastAsia="Times New Roman" w:hAnsi="Times New Roman" w:cs="Times New Roman"/>
          <w:sz w:val="24"/>
          <w:szCs w:val="24"/>
        </w:rPr>
        <w:t xml:space="preserve"> </w:t>
      </w:r>
      <w:r w:rsidR="000C469C">
        <w:rPr>
          <w:rFonts w:ascii="Times New Roman" w:eastAsia="Times New Roman" w:hAnsi="Times New Roman" w:cs="Times New Roman"/>
          <w:sz w:val="24"/>
          <w:szCs w:val="24"/>
        </w:rPr>
        <w:t>We follow the</w:t>
      </w:r>
      <w:r w:rsidR="000C469C" w:rsidRPr="062454F4">
        <w:rPr>
          <w:rFonts w:ascii="Times New Roman" w:eastAsia="Times New Roman" w:hAnsi="Times New Roman" w:cs="Times New Roman"/>
          <w:sz w:val="24"/>
          <w:szCs w:val="24"/>
        </w:rPr>
        <w:t xml:space="preserve"> prior literature (</w:t>
      </w:r>
      <w:proofErr w:type="spellStart"/>
      <w:r w:rsidR="000C469C" w:rsidRPr="062454F4">
        <w:rPr>
          <w:rFonts w:ascii="Times New Roman" w:eastAsia="Times New Roman" w:hAnsi="Times New Roman" w:cs="Times New Roman"/>
          <w:sz w:val="24"/>
          <w:szCs w:val="24"/>
        </w:rPr>
        <w:t>Bebchuk</w:t>
      </w:r>
      <w:proofErr w:type="spellEnd"/>
      <w:r w:rsidR="000C469C" w:rsidRPr="062454F4">
        <w:rPr>
          <w:rFonts w:ascii="Times New Roman" w:eastAsia="Times New Roman" w:hAnsi="Times New Roman" w:cs="Times New Roman"/>
          <w:sz w:val="24"/>
          <w:szCs w:val="24"/>
        </w:rPr>
        <w:t xml:space="preserve"> et al., 2011; </w:t>
      </w:r>
      <w:proofErr w:type="spellStart"/>
      <w:r w:rsidR="000C469C" w:rsidRPr="062454F4">
        <w:rPr>
          <w:rFonts w:ascii="Times New Roman" w:eastAsia="Times New Roman" w:hAnsi="Times New Roman" w:cs="Times New Roman"/>
          <w:sz w:val="24"/>
          <w:szCs w:val="24"/>
        </w:rPr>
        <w:t>Cremers</w:t>
      </w:r>
      <w:proofErr w:type="spellEnd"/>
      <w:r w:rsidR="000C469C" w:rsidRPr="062454F4">
        <w:rPr>
          <w:rFonts w:ascii="Times New Roman" w:eastAsia="Times New Roman" w:hAnsi="Times New Roman" w:cs="Times New Roman"/>
          <w:sz w:val="24"/>
          <w:szCs w:val="24"/>
        </w:rPr>
        <w:t xml:space="preserve"> and </w:t>
      </w:r>
      <w:proofErr w:type="spellStart"/>
      <w:r w:rsidR="000C469C" w:rsidRPr="062454F4">
        <w:rPr>
          <w:rFonts w:ascii="Times New Roman" w:eastAsia="Times New Roman" w:hAnsi="Times New Roman" w:cs="Times New Roman"/>
          <w:sz w:val="24"/>
          <w:szCs w:val="24"/>
        </w:rPr>
        <w:t>Palia</w:t>
      </w:r>
      <w:proofErr w:type="spellEnd"/>
      <w:r w:rsidR="000C469C" w:rsidRPr="062454F4">
        <w:rPr>
          <w:rFonts w:ascii="Times New Roman" w:eastAsia="Times New Roman" w:hAnsi="Times New Roman" w:cs="Times New Roman"/>
          <w:sz w:val="24"/>
          <w:szCs w:val="24"/>
        </w:rPr>
        <w:t>, 2011; Chen et al., 2013)</w:t>
      </w:r>
      <w:r w:rsidR="000C469C">
        <w:rPr>
          <w:rFonts w:ascii="Times New Roman" w:eastAsia="Times New Roman" w:hAnsi="Times New Roman" w:cs="Times New Roman"/>
          <w:sz w:val="24"/>
          <w:szCs w:val="24"/>
        </w:rPr>
        <w:t xml:space="preserve"> and</w:t>
      </w:r>
      <w:r w:rsidR="000C469C" w:rsidRPr="062454F4">
        <w:rPr>
          <w:rFonts w:ascii="Times New Roman" w:eastAsia="Times New Roman" w:hAnsi="Times New Roman" w:cs="Times New Roman"/>
          <w:sz w:val="24"/>
          <w:szCs w:val="24"/>
        </w:rPr>
        <w:t xml:space="preserve"> define </w:t>
      </w:r>
      <w:r w:rsidR="000C469C">
        <w:rPr>
          <w:rFonts w:ascii="Times New Roman" w:eastAsia="Times New Roman" w:hAnsi="Times New Roman" w:cs="Times New Roman"/>
          <w:i/>
          <w:sz w:val="24"/>
          <w:szCs w:val="24"/>
        </w:rPr>
        <w:t>CEO Pay Gap</w:t>
      </w:r>
      <w:r w:rsidR="000C469C" w:rsidRPr="062454F4">
        <w:rPr>
          <w:rFonts w:ascii="Times New Roman" w:eastAsia="Times New Roman" w:hAnsi="Times New Roman" w:cs="Times New Roman"/>
          <w:sz w:val="24"/>
          <w:szCs w:val="24"/>
        </w:rPr>
        <w:t xml:space="preserve"> as the ratio of CEO total compensation </w:t>
      </w:r>
      <w:r w:rsidR="00F05E07">
        <w:rPr>
          <w:rFonts w:ascii="Times New Roman" w:eastAsia="Times New Roman" w:hAnsi="Times New Roman" w:cs="Times New Roman"/>
          <w:sz w:val="24"/>
          <w:szCs w:val="24"/>
        </w:rPr>
        <w:t>relative to the</w:t>
      </w:r>
      <w:r w:rsidR="000C469C" w:rsidRPr="062454F4">
        <w:rPr>
          <w:rFonts w:ascii="Times New Roman" w:eastAsia="Times New Roman" w:hAnsi="Times New Roman" w:cs="Times New Roman"/>
          <w:sz w:val="24"/>
          <w:szCs w:val="24"/>
        </w:rPr>
        <w:t xml:space="preserve"> sum of </w:t>
      </w:r>
      <w:r w:rsidR="00C46BFE">
        <w:rPr>
          <w:rFonts w:ascii="Times New Roman" w:eastAsia="Times New Roman" w:hAnsi="Times New Roman" w:cs="Times New Roman"/>
          <w:sz w:val="24"/>
          <w:szCs w:val="24"/>
        </w:rPr>
        <w:t xml:space="preserve">the </w:t>
      </w:r>
      <w:r w:rsidR="000C469C" w:rsidRPr="062454F4">
        <w:rPr>
          <w:rFonts w:ascii="Times New Roman" w:eastAsia="Times New Roman" w:hAnsi="Times New Roman" w:cs="Times New Roman"/>
          <w:sz w:val="24"/>
          <w:szCs w:val="24"/>
        </w:rPr>
        <w:t xml:space="preserve">total compensation </w:t>
      </w:r>
      <w:r w:rsidR="00C46BFE">
        <w:rPr>
          <w:rFonts w:ascii="Times New Roman" w:eastAsia="Times New Roman" w:hAnsi="Times New Roman" w:cs="Times New Roman"/>
          <w:sz w:val="24"/>
          <w:szCs w:val="24"/>
        </w:rPr>
        <w:t xml:space="preserve">of the </w:t>
      </w:r>
      <w:r w:rsidR="000C469C" w:rsidRPr="062454F4">
        <w:rPr>
          <w:rFonts w:ascii="Times New Roman" w:eastAsia="Times New Roman" w:hAnsi="Times New Roman" w:cs="Times New Roman"/>
          <w:sz w:val="24"/>
          <w:szCs w:val="24"/>
        </w:rPr>
        <w:t xml:space="preserve">top five highest-paid executives within the firm (including the CEO). To compute </w:t>
      </w:r>
      <w:r w:rsidR="000C469C" w:rsidRPr="00D76351">
        <w:rPr>
          <w:rFonts w:ascii="Times New Roman" w:eastAsia="Times New Roman" w:hAnsi="Times New Roman" w:cs="Times New Roman"/>
          <w:i/>
          <w:sz w:val="24"/>
          <w:szCs w:val="24"/>
        </w:rPr>
        <w:t>CEO Pay Gap</w:t>
      </w:r>
      <w:r w:rsidR="000C469C" w:rsidRPr="062454F4">
        <w:rPr>
          <w:rFonts w:ascii="Times New Roman" w:eastAsia="Times New Roman" w:hAnsi="Times New Roman" w:cs="Times New Roman"/>
          <w:sz w:val="24"/>
          <w:szCs w:val="24"/>
        </w:rPr>
        <w:t xml:space="preserve">, we </w:t>
      </w:r>
      <w:r w:rsidR="000C469C">
        <w:rPr>
          <w:rFonts w:ascii="Times New Roman" w:eastAsia="Times New Roman" w:hAnsi="Times New Roman" w:cs="Times New Roman"/>
          <w:sz w:val="24"/>
          <w:szCs w:val="24"/>
        </w:rPr>
        <w:t>use the</w:t>
      </w:r>
      <w:r w:rsidR="000C469C" w:rsidRPr="062454F4">
        <w:rPr>
          <w:rFonts w:ascii="Times New Roman" w:eastAsia="Times New Roman" w:hAnsi="Times New Roman" w:cs="Times New Roman"/>
          <w:sz w:val="24"/>
          <w:szCs w:val="24"/>
        </w:rPr>
        <w:t xml:space="preserve"> annual compensation information of executives reported in the firms’ proxy statements. If there </w:t>
      </w:r>
      <w:r w:rsidR="003C5A39">
        <w:rPr>
          <w:rFonts w:ascii="Times New Roman" w:eastAsia="Times New Roman" w:hAnsi="Times New Roman" w:cs="Times New Roman"/>
          <w:sz w:val="24"/>
          <w:szCs w:val="24"/>
        </w:rPr>
        <w:t>are fewer</w:t>
      </w:r>
      <w:r w:rsidR="000C469C">
        <w:rPr>
          <w:rFonts w:ascii="Times New Roman" w:eastAsia="Times New Roman" w:hAnsi="Times New Roman" w:cs="Times New Roman"/>
          <w:sz w:val="24"/>
          <w:szCs w:val="24"/>
        </w:rPr>
        <w:t xml:space="preserve"> than three executive</w:t>
      </w:r>
      <w:r w:rsidR="003C5A39">
        <w:rPr>
          <w:rFonts w:ascii="Times New Roman" w:eastAsia="Times New Roman" w:hAnsi="Times New Roman" w:cs="Times New Roman"/>
          <w:sz w:val="24"/>
          <w:szCs w:val="24"/>
        </w:rPr>
        <w:t>s</w:t>
      </w:r>
      <w:r w:rsidR="000C469C">
        <w:rPr>
          <w:rFonts w:ascii="Times New Roman" w:eastAsia="Times New Roman" w:hAnsi="Times New Roman" w:cs="Times New Roman"/>
          <w:sz w:val="24"/>
          <w:szCs w:val="24"/>
        </w:rPr>
        <w:t xml:space="preserve"> or </w:t>
      </w:r>
      <w:r w:rsidR="000C469C" w:rsidRPr="062454F4">
        <w:rPr>
          <w:rFonts w:ascii="Times New Roman" w:eastAsia="Times New Roman" w:hAnsi="Times New Roman" w:cs="Times New Roman"/>
          <w:sz w:val="24"/>
          <w:szCs w:val="24"/>
        </w:rPr>
        <w:t xml:space="preserve">insufficient (missing) compensation information </w:t>
      </w:r>
      <w:r w:rsidR="003C5A39">
        <w:rPr>
          <w:rFonts w:ascii="Times New Roman" w:eastAsia="Times New Roman" w:hAnsi="Times New Roman" w:cs="Times New Roman"/>
          <w:sz w:val="24"/>
          <w:szCs w:val="24"/>
        </w:rPr>
        <w:t xml:space="preserve">for </w:t>
      </w:r>
      <w:r w:rsidR="000C469C" w:rsidRPr="062454F4">
        <w:rPr>
          <w:rFonts w:ascii="Times New Roman" w:eastAsia="Times New Roman" w:hAnsi="Times New Roman" w:cs="Times New Roman"/>
          <w:sz w:val="24"/>
          <w:szCs w:val="24"/>
        </w:rPr>
        <w:t xml:space="preserve">the </w:t>
      </w:r>
      <w:proofErr w:type="gramStart"/>
      <w:r w:rsidR="000C469C" w:rsidRPr="062454F4">
        <w:rPr>
          <w:rFonts w:ascii="Times New Roman" w:eastAsia="Times New Roman" w:hAnsi="Times New Roman" w:cs="Times New Roman"/>
          <w:sz w:val="24"/>
          <w:szCs w:val="24"/>
        </w:rPr>
        <w:t>whole</w:t>
      </w:r>
      <w:proofErr w:type="gramEnd"/>
      <w:r w:rsidR="000C469C" w:rsidRPr="062454F4">
        <w:rPr>
          <w:rFonts w:ascii="Times New Roman" w:eastAsia="Times New Roman" w:hAnsi="Times New Roman" w:cs="Times New Roman"/>
          <w:sz w:val="24"/>
          <w:szCs w:val="24"/>
        </w:rPr>
        <w:t xml:space="preserve"> executive team for any given firm-year, we delete that firm-y</w:t>
      </w:r>
      <w:r w:rsidR="000C469C" w:rsidRPr="008B648B">
        <w:rPr>
          <w:rFonts w:ascii="Times New Roman" w:eastAsia="Times New Roman" w:hAnsi="Times New Roman" w:cs="Times New Roman"/>
          <w:sz w:val="24"/>
          <w:szCs w:val="24"/>
        </w:rPr>
        <w:t xml:space="preserve">ear observation. </w:t>
      </w:r>
    </w:p>
    <w:p w14:paraId="462454DA" w14:textId="6BF11C20" w:rsidR="008B648B" w:rsidRDefault="008B648B" w:rsidP="008B648B">
      <w:pPr>
        <w:spacing w:after="0" w:line="480" w:lineRule="auto"/>
        <w:ind w:firstLine="567"/>
        <w:jc w:val="both"/>
        <w:rPr>
          <w:rFonts w:ascii="Times New Roman" w:eastAsia="Times New Roman" w:hAnsi="Times New Roman" w:cs="Times New Roman"/>
          <w:sz w:val="24"/>
          <w:szCs w:val="24"/>
        </w:rPr>
      </w:pPr>
      <w:r w:rsidRPr="008B648B">
        <w:rPr>
          <w:rFonts w:ascii="Times New Roman" w:eastAsia="Times New Roman" w:hAnsi="Times New Roman" w:cs="Times New Roman"/>
          <w:sz w:val="24"/>
          <w:szCs w:val="24"/>
        </w:rPr>
        <w:t xml:space="preserve">To test our hypothesis that there is a positive relationship between corporate tournament competition (i.e., </w:t>
      </w:r>
      <w:r w:rsidRPr="008B648B">
        <w:rPr>
          <w:rFonts w:ascii="Times New Roman" w:eastAsia="Times New Roman" w:hAnsi="Times New Roman" w:cs="Times New Roman"/>
          <w:i/>
          <w:sz w:val="24"/>
          <w:szCs w:val="24"/>
        </w:rPr>
        <w:t>CEO Pay Gap</w:t>
      </w:r>
      <w:r w:rsidRPr="008B648B">
        <w:rPr>
          <w:rFonts w:ascii="Times New Roman" w:eastAsia="Times New Roman" w:hAnsi="Times New Roman" w:cs="Times New Roman"/>
          <w:sz w:val="24"/>
          <w:szCs w:val="24"/>
        </w:rPr>
        <w:t>) and institutional ownership (</w:t>
      </w:r>
      <w:r w:rsidRPr="008B648B">
        <w:rPr>
          <w:rFonts w:ascii="Times New Roman" w:eastAsia="Times New Roman" w:hAnsi="Times New Roman" w:cs="Times New Roman"/>
          <w:i/>
          <w:sz w:val="24"/>
          <w:szCs w:val="24"/>
        </w:rPr>
        <w:t>Inst. Holdings</w:t>
      </w:r>
      <w:r w:rsidRPr="008B648B">
        <w:rPr>
          <w:rFonts w:ascii="Times New Roman" w:eastAsia="Times New Roman" w:hAnsi="Times New Roman" w:cs="Times New Roman"/>
          <w:sz w:val="24"/>
          <w:szCs w:val="24"/>
        </w:rPr>
        <w:t>), we use an OLS panel regression model:</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629"/>
      </w:tblGrid>
      <w:tr w:rsidR="008B648B" w:rsidRPr="008B648B" w14:paraId="3278F2B2" w14:textId="77777777" w:rsidTr="008B648B">
        <w:tc>
          <w:tcPr>
            <w:tcW w:w="8613" w:type="dxa"/>
          </w:tcPr>
          <w:p w14:paraId="7AD817A4" w14:textId="77777777" w:rsidR="008B648B" w:rsidRPr="008B648B" w:rsidRDefault="00CF1E13" w:rsidP="008B648B">
            <w:pPr>
              <w:spacing w:line="480" w:lineRule="auto"/>
              <w:ind w:firstLine="720"/>
              <w:jc w:val="both"/>
              <w:rPr>
                <w:rFonts w:ascii="Times New Roman" w:eastAsiaTheme="minorEastAsia" w:hAnsi="Times New Roman" w:cs="Times New Roman"/>
                <w:sz w:val="24"/>
                <w:szCs w:val="24"/>
                <w:vertAlign w:val="subscript"/>
                <w:lang w:val="en-US" w:eastAsia="en-AU"/>
              </w:rPr>
            </w:pPr>
            <m:oMathPara>
              <m:oMath>
                <m:sSub>
                  <m:sSubPr>
                    <m:ctrlPr>
                      <w:rPr>
                        <w:rFonts w:ascii="Cambria Math" w:eastAsiaTheme="minorEastAsia" w:hAnsi="Cambria Math" w:cs="Times New Roman"/>
                        <w:i/>
                        <w:sz w:val="24"/>
                        <w:szCs w:val="24"/>
                        <w:lang w:val="en-US" w:eastAsia="en-AU"/>
                      </w:rPr>
                    </m:ctrlPr>
                  </m:sSubPr>
                  <m:e>
                    <m:r>
                      <w:rPr>
                        <w:rFonts w:ascii="Cambria Math" w:eastAsiaTheme="minorEastAsia" w:hAnsi="Cambria Math" w:cs="Times New Roman"/>
                        <w:sz w:val="24"/>
                        <w:szCs w:val="24"/>
                        <w:lang w:val="en-US" w:eastAsia="en-AU"/>
                      </w:rPr>
                      <m:t>Inst. Holdings</m:t>
                    </m:r>
                  </m:e>
                  <m:sub>
                    <m:r>
                      <w:rPr>
                        <w:rFonts w:ascii="Cambria Math" w:eastAsiaTheme="minorEastAsia" w:hAnsi="Cambria Math" w:cs="Times New Roman"/>
                        <w:sz w:val="24"/>
                        <w:szCs w:val="24"/>
                        <w:lang w:val="en-US" w:eastAsia="en-AU"/>
                      </w:rPr>
                      <m:t>it</m:t>
                    </m:r>
                  </m:sub>
                </m:sSub>
                <m:r>
                  <w:rPr>
                    <w:rFonts w:ascii="Cambria Math" w:eastAsiaTheme="minorEastAsia" w:hAnsi="Cambria Math" w:cs="Times New Roman"/>
                    <w:sz w:val="24"/>
                    <w:szCs w:val="24"/>
                    <w:lang w:val="en-US" w:eastAsia="en-AU"/>
                  </w:rPr>
                  <m:t>=α+</m:t>
                </m:r>
                <m:sSub>
                  <m:sSubPr>
                    <m:ctrlPr>
                      <w:rPr>
                        <w:rFonts w:ascii="Cambria Math" w:eastAsiaTheme="minorEastAsia" w:hAnsi="Cambria Math" w:cs="Times New Roman"/>
                        <w:i/>
                        <w:sz w:val="24"/>
                        <w:szCs w:val="24"/>
                        <w:lang w:val="en-US" w:eastAsia="en-AU"/>
                      </w:rPr>
                    </m:ctrlPr>
                  </m:sSubPr>
                  <m:e>
                    <m:r>
                      <w:rPr>
                        <w:rFonts w:ascii="Cambria Math" w:eastAsiaTheme="minorEastAsia" w:hAnsi="Cambria Math" w:cs="Times New Roman"/>
                        <w:sz w:val="24"/>
                        <w:szCs w:val="24"/>
                        <w:lang w:val="en-US" w:eastAsia="en-AU"/>
                      </w:rPr>
                      <m:t>β</m:t>
                    </m:r>
                  </m:e>
                  <m:sub>
                    <m:r>
                      <w:rPr>
                        <w:rFonts w:ascii="Cambria Math" w:eastAsiaTheme="minorEastAsia" w:hAnsi="Cambria Math" w:cs="Times New Roman"/>
                        <w:sz w:val="24"/>
                        <w:szCs w:val="24"/>
                        <w:lang w:val="en-US" w:eastAsia="en-AU"/>
                      </w:rPr>
                      <m:t>1</m:t>
                    </m:r>
                  </m:sub>
                </m:sSub>
                <m:sSub>
                  <m:sSubPr>
                    <m:ctrlPr>
                      <w:rPr>
                        <w:rFonts w:ascii="Cambria Math" w:eastAsiaTheme="minorEastAsia" w:hAnsi="Cambria Math" w:cs="Times New Roman"/>
                        <w:i/>
                        <w:sz w:val="24"/>
                        <w:szCs w:val="24"/>
                        <w:lang w:val="en-US" w:eastAsia="en-AU"/>
                      </w:rPr>
                    </m:ctrlPr>
                  </m:sSubPr>
                  <m:e>
                    <m:r>
                      <w:rPr>
                        <w:rFonts w:ascii="Cambria Math" w:eastAsiaTheme="minorEastAsia" w:hAnsi="Cambria Math" w:cs="Times New Roman"/>
                        <w:sz w:val="24"/>
                        <w:szCs w:val="24"/>
                        <w:lang w:val="en-US" w:eastAsia="en-AU"/>
                      </w:rPr>
                      <m:t>CEO Pay Gap</m:t>
                    </m:r>
                  </m:e>
                  <m:sub>
                    <m:r>
                      <w:rPr>
                        <w:rFonts w:ascii="Cambria Math" w:eastAsiaTheme="minorEastAsia" w:hAnsi="Cambria Math" w:cs="Times New Roman"/>
                        <w:sz w:val="24"/>
                        <w:szCs w:val="24"/>
                        <w:lang w:val="en-US" w:eastAsia="en-AU"/>
                      </w:rPr>
                      <m:t>it</m:t>
                    </m:r>
                  </m:sub>
                </m:sSub>
                <m:r>
                  <w:rPr>
                    <w:rFonts w:ascii="Cambria Math" w:eastAsiaTheme="minorEastAsia" w:hAnsi="Cambria Math" w:cs="Times New Roman" w:hint="eastAsia"/>
                    <w:sz w:val="24"/>
                    <w:szCs w:val="24"/>
                    <w:lang w:val="en-US" w:eastAsia="en-AU"/>
                  </w:rPr>
                  <m:t>+ γ</m:t>
                </m:r>
                <m:r>
                  <w:rPr>
                    <w:rFonts w:ascii="Cambria Math" w:eastAsiaTheme="minorEastAsia" w:hAnsi="Cambria Math" w:cs="Times New Roman" w:hint="eastAsia"/>
                    <w:sz w:val="24"/>
                    <w:szCs w:val="24"/>
                    <w:lang w:val="en-US" w:eastAsia="en-AU"/>
                  </w:rPr>
                  <m:t>'</m:t>
                </m:r>
                <m:sSub>
                  <m:sSubPr>
                    <m:ctrlPr>
                      <w:rPr>
                        <w:rFonts w:ascii="Cambria Math" w:eastAsiaTheme="minorEastAsia" w:hAnsi="Cambria Math" w:cs="Times New Roman"/>
                        <w:sz w:val="24"/>
                        <w:szCs w:val="24"/>
                        <w:lang w:val="en-US" w:eastAsia="en-AU"/>
                      </w:rPr>
                    </m:ctrlPr>
                  </m:sSubPr>
                  <m:e>
                    <m:r>
                      <w:rPr>
                        <w:rFonts w:ascii="Cambria Math" w:eastAsiaTheme="minorEastAsia" w:hAnsi="Cambria Math" w:cs="Times New Roman"/>
                        <w:sz w:val="24"/>
                        <w:szCs w:val="24"/>
                        <w:lang w:val="en-US" w:eastAsia="en-AU"/>
                      </w:rPr>
                      <m:t>X</m:t>
                    </m:r>
                  </m:e>
                  <m:sub>
                    <m:r>
                      <w:rPr>
                        <w:rFonts w:ascii="Cambria Math" w:eastAsiaTheme="minorEastAsia" w:hAnsi="Cambria Math" w:cs="Times New Roman"/>
                        <w:sz w:val="24"/>
                        <w:szCs w:val="24"/>
                        <w:lang w:val="en-US" w:eastAsia="en-AU"/>
                      </w:rPr>
                      <m:t>ikt</m:t>
                    </m:r>
                  </m:sub>
                </m:sSub>
                <m:r>
                  <m:rPr>
                    <m:sty m:val="p"/>
                  </m:rPr>
                  <w:rPr>
                    <w:rFonts w:ascii="Cambria Math" w:eastAsiaTheme="minorEastAsia" w:hAnsi="Cambria Math" w:cs="Times New Roman"/>
                    <w:sz w:val="24"/>
                    <w:szCs w:val="24"/>
                    <w:lang w:val="en-US" w:eastAsia="en-AU"/>
                  </w:rPr>
                  <m:t>+</m:t>
                </m:r>
                <m:sSub>
                  <m:sSubPr>
                    <m:ctrlPr>
                      <w:rPr>
                        <w:rFonts w:ascii="Cambria Math" w:eastAsiaTheme="minorEastAsia" w:hAnsi="Cambria Math" w:cs="Times New Roman"/>
                        <w:sz w:val="24"/>
                        <w:szCs w:val="24"/>
                        <w:lang w:val="en-US" w:eastAsia="en-AU"/>
                      </w:rPr>
                    </m:ctrlPr>
                  </m:sSubPr>
                  <m:e>
                    <m:r>
                      <w:rPr>
                        <w:rFonts w:ascii="Cambria Math" w:eastAsiaTheme="minorEastAsia" w:hAnsi="Cambria Math" w:cs="Times New Roman"/>
                        <w:sz w:val="24"/>
                        <w:szCs w:val="24"/>
                        <w:lang w:val="en-US" w:eastAsia="en-AU"/>
                      </w:rPr>
                      <m:t>ε</m:t>
                    </m:r>
                  </m:e>
                  <m:sub>
                    <m:r>
                      <w:rPr>
                        <w:rFonts w:ascii="Cambria Math" w:eastAsiaTheme="minorEastAsia" w:hAnsi="Cambria Math" w:cs="Times New Roman"/>
                        <w:sz w:val="24"/>
                        <w:szCs w:val="24"/>
                        <w:lang w:val="en-US" w:eastAsia="en-AU"/>
                      </w:rPr>
                      <m:t>it</m:t>
                    </m:r>
                  </m:sub>
                </m:sSub>
              </m:oMath>
            </m:oMathPara>
          </w:p>
        </w:tc>
        <w:tc>
          <w:tcPr>
            <w:tcW w:w="629" w:type="dxa"/>
            <w:vAlign w:val="center"/>
          </w:tcPr>
          <w:p w14:paraId="4F0FF6B9" w14:textId="77777777" w:rsidR="008B648B" w:rsidRPr="008B648B" w:rsidRDefault="008B648B" w:rsidP="008B648B">
            <w:pPr>
              <w:spacing w:line="480" w:lineRule="auto"/>
              <w:jc w:val="both"/>
              <w:rPr>
                <w:rFonts w:ascii="Times New Roman" w:eastAsiaTheme="minorEastAsia" w:hAnsi="Times New Roman" w:cs="Times New Roman"/>
                <w:sz w:val="24"/>
                <w:szCs w:val="24"/>
                <w:lang w:val="en-US" w:eastAsia="en-AU"/>
              </w:rPr>
            </w:pPr>
            <w:r w:rsidRPr="008B648B">
              <w:rPr>
                <w:rFonts w:ascii="Times New Roman" w:eastAsiaTheme="minorEastAsia" w:hAnsi="Times New Roman" w:cs="Times New Roman"/>
                <w:sz w:val="24"/>
                <w:szCs w:val="24"/>
                <w:lang w:eastAsia="en-AU"/>
              </w:rPr>
              <w:t>(11)</w:t>
            </w:r>
          </w:p>
        </w:tc>
      </w:tr>
    </w:tbl>
    <w:p w14:paraId="6503682F" w14:textId="4A82D6A5" w:rsidR="008B648B" w:rsidRDefault="008B648B" w:rsidP="008B648B">
      <w:pPr>
        <w:spacing w:line="480" w:lineRule="auto"/>
        <w:ind w:firstLine="720"/>
        <w:jc w:val="both"/>
        <w:rPr>
          <w:rFonts w:ascii="Times New Roman" w:eastAsia="Times New Roman" w:hAnsi="Times New Roman" w:cs="Times New Roman"/>
          <w:sz w:val="24"/>
          <w:szCs w:val="24"/>
        </w:rPr>
      </w:pPr>
      <w:proofErr w:type="gramStart"/>
      <w:r w:rsidRPr="008B648B">
        <w:rPr>
          <w:rFonts w:ascii="Times New Roman" w:eastAsiaTheme="minorEastAsia" w:hAnsi="Times New Roman" w:cs="Times New Roman"/>
          <w:sz w:val="24"/>
          <w:szCs w:val="24"/>
          <w:lang w:val="en-US" w:eastAsia="en-AU"/>
        </w:rPr>
        <w:t>where</w:t>
      </w:r>
      <w:proofErr w:type="gramEnd"/>
      <w:r w:rsidRPr="008B648B">
        <w:rPr>
          <w:rFonts w:ascii="Times New Roman" w:eastAsiaTheme="minorEastAsia" w:hAnsi="Times New Roman" w:cs="Times New Roman"/>
          <w:sz w:val="24"/>
          <w:szCs w:val="24"/>
          <w:lang w:val="en-US" w:eastAsia="en-AU"/>
        </w:rPr>
        <w:t xml:space="preserve"> the </w:t>
      </w:r>
      <w:r w:rsidRPr="008B648B">
        <w:rPr>
          <w:rFonts w:ascii="Times New Roman" w:eastAsia="Times New Roman" w:hAnsi="Times New Roman" w:cs="Times New Roman"/>
          <w:sz w:val="24"/>
          <w:szCs w:val="24"/>
        </w:rPr>
        <w:t xml:space="preserve">dependent variable, </w:t>
      </w:r>
      <w:r w:rsidRPr="008B648B">
        <w:rPr>
          <w:rFonts w:ascii="Times New Roman" w:eastAsia="Times New Roman" w:hAnsi="Times New Roman" w:cs="Times New Roman"/>
          <w:i/>
          <w:sz w:val="24"/>
          <w:szCs w:val="24"/>
        </w:rPr>
        <w:t xml:space="preserve">Inst. </w:t>
      </w:r>
      <w:r w:rsidRPr="0072409C">
        <w:rPr>
          <w:rFonts w:ascii="Times New Roman" w:eastAsia="Times New Roman" w:hAnsi="Times New Roman" w:cs="Times New Roman"/>
          <w:i/>
          <w:noProof/>
          <w:sz w:val="24"/>
          <w:szCs w:val="24"/>
        </w:rPr>
        <w:t>Holdings</w:t>
      </w:r>
      <w:r w:rsidRPr="0072409C">
        <w:rPr>
          <w:rFonts w:ascii="Times New Roman" w:eastAsia="Times New Roman" w:hAnsi="Times New Roman" w:cs="Times New Roman"/>
          <w:noProof/>
          <w:sz w:val="24"/>
          <w:szCs w:val="24"/>
        </w:rPr>
        <w:t>,</w:t>
      </w:r>
      <w:r w:rsidRPr="008B648B">
        <w:rPr>
          <w:rFonts w:ascii="Times New Roman" w:eastAsia="Times New Roman" w:hAnsi="Times New Roman" w:cs="Times New Roman"/>
          <w:sz w:val="24"/>
          <w:szCs w:val="24"/>
        </w:rPr>
        <w:t xml:space="preserve"> is measured as the ratio of firm </w:t>
      </w:r>
      <w:r w:rsidRPr="0072409C">
        <w:rPr>
          <w:rFonts w:ascii="Times New Roman" w:eastAsia="Times New Roman" w:hAnsi="Times New Roman" w:cs="Times New Roman"/>
          <w:i/>
          <w:noProof/>
          <w:sz w:val="24"/>
          <w:szCs w:val="24"/>
        </w:rPr>
        <w:t>i</w:t>
      </w:r>
      <w:r w:rsidRPr="0072409C">
        <w:rPr>
          <w:rFonts w:ascii="Times New Roman" w:eastAsia="Times New Roman" w:hAnsi="Times New Roman" w:cs="Times New Roman"/>
          <w:noProof/>
          <w:sz w:val="24"/>
          <w:szCs w:val="24"/>
        </w:rPr>
        <w:t>’s</w:t>
      </w:r>
      <w:r w:rsidRPr="008B648B">
        <w:rPr>
          <w:rFonts w:ascii="Times New Roman" w:eastAsia="Times New Roman" w:hAnsi="Times New Roman" w:cs="Times New Roman"/>
          <w:sz w:val="24"/>
          <w:szCs w:val="24"/>
        </w:rPr>
        <w:t xml:space="preserve"> total institutional ownership over total shares outstanding for the year </w:t>
      </w:r>
      <w:r w:rsidRPr="008B648B">
        <w:rPr>
          <w:rFonts w:ascii="Times New Roman" w:eastAsia="Times New Roman" w:hAnsi="Times New Roman" w:cs="Times New Roman"/>
          <w:i/>
          <w:sz w:val="24"/>
          <w:szCs w:val="24"/>
        </w:rPr>
        <w:t>t</w:t>
      </w:r>
      <w:r w:rsidRPr="008B648B">
        <w:rPr>
          <w:rFonts w:ascii="Times New Roman" w:eastAsia="Times New Roman" w:hAnsi="Times New Roman" w:cs="Times New Roman"/>
          <w:sz w:val="24"/>
          <w:szCs w:val="24"/>
        </w:rPr>
        <w:t xml:space="preserve">. </w:t>
      </w:r>
      <w:r w:rsidRPr="008B648B">
        <w:rPr>
          <w:rFonts w:ascii="Times New Roman" w:eastAsiaTheme="minorEastAsia" w:hAnsi="Times New Roman" w:cs="Times New Roman"/>
          <w:sz w:val="24"/>
          <w:szCs w:val="24"/>
          <w:lang w:val="en-US" w:eastAsia="en-AU"/>
        </w:rPr>
        <w:t xml:space="preserve">This is regressed against </w:t>
      </w:r>
      <w:r w:rsidRPr="008B648B">
        <w:rPr>
          <w:rFonts w:ascii="Times New Roman" w:eastAsiaTheme="minorEastAsia" w:hAnsi="Times New Roman" w:cs="Times New Roman"/>
          <w:i/>
          <w:sz w:val="24"/>
          <w:szCs w:val="24"/>
          <w:lang w:val="en-US" w:eastAsia="en-AU"/>
        </w:rPr>
        <w:t>CEO Pay Gap</w:t>
      </w:r>
      <w:r w:rsidRPr="008B648B">
        <w:rPr>
          <w:rFonts w:ascii="Times New Roman" w:eastAsiaTheme="minorEastAsia" w:hAnsi="Times New Roman" w:cs="Times New Roman"/>
          <w:sz w:val="24"/>
          <w:szCs w:val="24"/>
          <w:lang w:val="en-US" w:eastAsia="en-AU"/>
        </w:rPr>
        <w:t xml:space="preserve"> and a vector </w:t>
      </w:r>
      <w:r w:rsidRPr="008B648B">
        <w:rPr>
          <w:rFonts w:ascii="Times New Roman" w:eastAsiaTheme="minorEastAsia" w:hAnsi="Times New Roman" w:cs="Times New Roman"/>
          <w:i/>
          <w:sz w:val="24"/>
          <w:szCs w:val="24"/>
          <w:lang w:val="en-US" w:eastAsia="en-AU"/>
        </w:rPr>
        <w:t>X</w:t>
      </w:r>
      <w:r w:rsidRPr="008B648B">
        <w:rPr>
          <w:rFonts w:ascii="Times New Roman" w:eastAsiaTheme="minorEastAsia" w:hAnsi="Times New Roman" w:cs="Times New Roman"/>
          <w:sz w:val="24"/>
          <w:szCs w:val="24"/>
          <w:lang w:val="en-US" w:eastAsia="en-AU"/>
        </w:rPr>
        <w:t xml:space="preserve">, representing our </w:t>
      </w:r>
      <w:r w:rsidRPr="008B648B">
        <w:rPr>
          <w:rFonts w:ascii="Times New Roman" w:eastAsiaTheme="minorEastAsia" w:hAnsi="Times New Roman" w:cs="Times New Roman"/>
          <w:i/>
          <w:sz w:val="24"/>
          <w:szCs w:val="24"/>
          <w:lang w:val="en-US" w:eastAsia="en-AU"/>
        </w:rPr>
        <w:t xml:space="preserve">k </w:t>
      </w:r>
      <w:r w:rsidRPr="008B648B">
        <w:rPr>
          <w:rFonts w:ascii="Times New Roman" w:eastAsiaTheme="minorEastAsia" w:hAnsi="Times New Roman" w:cs="Times New Roman"/>
          <w:sz w:val="24"/>
          <w:szCs w:val="24"/>
          <w:lang w:val="en-US" w:eastAsia="en-AU"/>
        </w:rPr>
        <w:t xml:space="preserve">number of control variables. </w:t>
      </w:r>
      <w:r w:rsidRPr="008B648B">
        <w:rPr>
          <w:rFonts w:ascii="Times New Roman" w:eastAsia="Times New Roman" w:hAnsi="Times New Roman" w:cs="Times New Roman"/>
          <w:sz w:val="24"/>
          <w:szCs w:val="24"/>
        </w:rPr>
        <w:t xml:space="preserve">We utilize </w:t>
      </w:r>
      <w:r w:rsidR="00957A92">
        <w:rPr>
          <w:rFonts w:ascii="Times New Roman" w:eastAsia="Times New Roman" w:hAnsi="Times New Roman" w:cs="Times New Roman"/>
          <w:sz w:val="24"/>
          <w:szCs w:val="24"/>
        </w:rPr>
        <w:t>eleven</w:t>
      </w:r>
      <w:r w:rsidRPr="008B648B">
        <w:rPr>
          <w:rFonts w:ascii="Times New Roman" w:eastAsia="Times New Roman" w:hAnsi="Times New Roman" w:cs="Times New Roman"/>
          <w:sz w:val="24"/>
          <w:szCs w:val="24"/>
        </w:rPr>
        <w:t xml:space="preserve"> firm and managerial characteristics as control variables. Specifically, we proxy for </w:t>
      </w:r>
      <w:r w:rsidRPr="008B648B">
        <w:rPr>
          <w:rFonts w:ascii="Times New Roman" w:eastAsia="Times New Roman" w:hAnsi="Times New Roman" w:cs="Times New Roman"/>
          <w:i/>
          <w:sz w:val="24"/>
          <w:szCs w:val="24"/>
        </w:rPr>
        <w:t>Firm Size</w:t>
      </w:r>
      <w:r w:rsidRPr="008B648B">
        <w:rPr>
          <w:rFonts w:ascii="Times New Roman" w:eastAsia="Times New Roman" w:hAnsi="Times New Roman" w:cs="Times New Roman"/>
          <w:sz w:val="24"/>
          <w:szCs w:val="24"/>
        </w:rPr>
        <w:t xml:space="preserve"> using the natural logarithm of total assets, and </w:t>
      </w:r>
      <w:r w:rsidRPr="008B648B">
        <w:rPr>
          <w:rFonts w:ascii="Times New Roman" w:eastAsia="Times New Roman" w:hAnsi="Times New Roman" w:cs="Times New Roman"/>
          <w:i/>
          <w:sz w:val="24"/>
          <w:szCs w:val="24"/>
        </w:rPr>
        <w:t>Sales Growth</w:t>
      </w:r>
      <w:r w:rsidRPr="008B648B">
        <w:rPr>
          <w:rFonts w:ascii="Times New Roman" w:eastAsia="Times New Roman" w:hAnsi="Times New Roman" w:cs="Times New Roman"/>
          <w:sz w:val="24"/>
          <w:szCs w:val="24"/>
        </w:rPr>
        <w:t xml:space="preserve"> is used as a proxy for a firm’s </w:t>
      </w:r>
      <w:r w:rsidRPr="008B648B">
        <w:rPr>
          <w:rFonts w:ascii="Times New Roman" w:eastAsia="Times New Roman" w:hAnsi="Times New Roman" w:cs="Times New Roman"/>
          <w:sz w:val="24"/>
          <w:szCs w:val="24"/>
        </w:rPr>
        <w:lastRenderedPageBreak/>
        <w:t>growth potential. Return on assets (</w:t>
      </w:r>
      <w:r w:rsidRPr="008B648B">
        <w:rPr>
          <w:rFonts w:ascii="Times New Roman" w:eastAsia="Times New Roman" w:hAnsi="Times New Roman" w:cs="Times New Roman"/>
          <w:i/>
          <w:sz w:val="24"/>
          <w:szCs w:val="24"/>
        </w:rPr>
        <w:t>ROA</w:t>
      </w:r>
      <w:r w:rsidRPr="008B648B">
        <w:rPr>
          <w:rFonts w:ascii="Times New Roman" w:eastAsia="Times New Roman" w:hAnsi="Times New Roman" w:cs="Times New Roman"/>
          <w:sz w:val="24"/>
          <w:szCs w:val="24"/>
        </w:rPr>
        <w:t>) and shareholders’ previous year stock return (</w:t>
      </w:r>
      <w:r w:rsidRPr="008B648B">
        <w:rPr>
          <w:rFonts w:ascii="Times New Roman" w:eastAsia="Times New Roman" w:hAnsi="Times New Roman" w:cs="Times New Roman"/>
          <w:i/>
          <w:sz w:val="24"/>
          <w:szCs w:val="24"/>
        </w:rPr>
        <w:t>Returns</w:t>
      </w:r>
      <w:r w:rsidRPr="008B648B">
        <w:rPr>
          <w:rFonts w:ascii="Times New Roman" w:eastAsia="Times New Roman" w:hAnsi="Times New Roman" w:cs="Times New Roman"/>
          <w:sz w:val="24"/>
          <w:szCs w:val="24"/>
        </w:rPr>
        <w:t xml:space="preserve">) </w:t>
      </w:r>
      <w:proofErr w:type="gramStart"/>
      <w:r w:rsidRPr="008B648B">
        <w:rPr>
          <w:rFonts w:ascii="Times New Roman" w:eastAsia="Times New Roman" w:hAnsi="Times New Roman" w:cs="Times New Roman"/>
          <w:sz w:val="24"/>
          <w:szCs w:val="24"/>
        </w:rPr>
        <w:t>are used</w:t>
      </w:r>
      <w:proofErr w:type="gramEnd"/>
      <w:r w:rsidRPr="008B648B">
        <w:rPr>
          <w:rFonts w:ascii="Times New Roman" w:eastAsia="Times New Roman" w:hAnsi="Times New Roman" w:cs="Times New Roman"/>
          <w:sz w:val="24"/>
          <w:szCs w:val="24"/>
        </w:rPr>
        <w:t xml:space="preserve"> as measures of firm performance. We also include three different measures of firm risk. These include </w:t>
      </w:r>
      <w:r w:rsidRPr="008B648B">
        <w:rPr>
          <w:rFonts w:ascii="Times New Roman" w:eastAsia="Times New Roman" w:hAnsi="Times New Roman" w:cs="Times New Roman"/>
          <w:i/>
          <w:sz w:val="24"/>
          <w:szCs w:val="24"/>
        </w:rPr>
        <w:t>Leverage</w:t>
      </w:r>
      <w:r w:rsidRPr="008B648B">
        <w:rPr>
          <w:rFonts w:ascii="Times New Roman" w:eastAsia="Times New Roman" w:hAnsi="Times New Roman" w:cs="Times New Roman"/>
          <w:sz w:val="24"/>
          <w:szCs w:val="24"/>
        </w:rPr>
        <w:t>, measured as long-term debts to total assets of the firm; the standard deviation of the return on assets (</w:t>
      </w:r>
      <w:proofErr w:type="spellStart"/>
      <w:r w:rsidRPr="008B648B">
        <w:rPr>
          <w:rFonts w:ascii="Times New Roman" w:eastAsia="Times New Roman" w:hAnsi="Times New Roman" w:cs="Times New Roman"/>
          <w:i/>
          <w:color w:val="000000" w:themeColor="text1"/>
          <w:sz w:val="24"/>
          <w:szCs w:val="24"/>
        </w:rPr>
        <w:t>σ</w:t>
      </w:r>
      <w:r w:rsidRPr="008B648B">
        <w:rPr>
          <w:rFonts w:ascii="Times New Roman" w:eastAsia="Times New Roman" w:hAnsi="Times New Roman" w:cs="Times New Roman"/>
          <w:i/>
          <w:color w:val="000000" w:themeColor="text1"/>
          <w:sz w:val="24"/>
          <w:szCs w:val="24"/>
          <w:vertAlign w:val="subscript"/>
        </w:rPr>
        <w:t>ROA</w:t>
      </w:r>
      <w:proofErr w:type="spellEnd"/>
      <w:r w:rsidRPr="008B648B">
        <w:rPr>
          <w:rFonts w:ascii="Times New Roman" w:eastAsia="Times New Roman" w:hAnsi="Times New Roman" w:cs="Times New Roman"/>
          <w:color w:val="000000" w:themeColor="text1"/>
          <w:sz w:val="24"/>
          <w:szCs w:val="24"/>
        </w:rPr>
        <w:t>)</w:t>
      </w:r>
      <w:r w:rsidRPr="008B648B">
        <w:rPr>
          <w:rFonts w:ascii="Times New Roman" w:eastAsia="Times New Roman" w:hAnsi="Times New Roman" w:cs="Times New Roman"/>
          <w:sz w:val="24"/>
          <w:szCs w:val="24"/>
        </w:rPr>
        <w:t>; and the standard deviation of operating cash flows (</w:t>
      </w:r>
      <w:proofErr w:type="spellStart"/>
      <w:r w:rsidRPr="008B648B">
        <w:rPr>
          <w:rFonts w:ascii="Times New Roman" w:eastAsia="Times New Roman" w:hAnsi="Times New Roman" w:cs="Times New Roman"/>
          <w:i/>
          <w:color w:val="000000" w:themeColor="text1"/>
          <w:sz w:val="24"/>
          <w:szCs w:val="24"/>
        </w:rPr>
        <w:t>σ</w:t>
      </w:r>
      <w:r w:rsidRPr="008B648B">
        <w:rPr>
          <w:rFonts w:ascii="Times New Roman" w:eastAsia="Times New Roman" w:hAnsi="Times New Roman" w:cs="Times New Roman"/>
          <w:i/>
          <w:color w:val="000000" w:themeColor="text1"/>
          <w:sz w:val="24"/>
          <w:szCs w:val="24"/>
          <w:vertAlign w:val="subscript"/>
        </w:rPr>
        <w:t>OCF</w:t>
      </w:r>
      <w:proofErr w:type="spellEnd"/>
      <w:r w:rsidRPr="008B648B">
        <w:rPr>
          <w:rFonts w:ascii="Times New Roman" w:eastAsia="Times New Roman" w:hAnsi="Times New Roman" w:cs="Times New Roman"/>
          <w:sz w:val="24"/>
          <w:szCs w:val="24"/>
        </w:rPr>
        <w:t>). Capital expenditure (</w:t>
      </w:r>
      <w:r w:rsidRPr="008B648B">
        <w:rPr>
          <w:rFonts w:ascii="Times New Roman" w:eastAsia="Times New Roman" w:hAnsi="Times New Roman" w:cs="Times New Roman"/>
          <w:i/>
          <w:sz w:val="24"/>
          <w:szCs w:val="24"/>
        </w:rPr>
        <w:t>Capex</w:t>
      </w:r>
      <w:r w:rsidRPr="008B648B">
        <w:rPr>
          <w:rFonts w:ascii="Times New Roman" w:eastAsia="Times New Roman" w:hAnsi="Times New Roman" w:cs="Times New Roman"/>
          <w:sz w:val="24"/>
          <w:szCs w:val="24"/>
        </w:rPr>
        <w:t>) and Research and Development expenditures (</w:t>
      </w:r>
      <w:r w:rsidRPr="008B648B">
        <w:rPr>
          <w:rFonts w:ascii="Times New Roman" w:eastAsia="Times New Roman" w:hAnsi="Times New Roman" w:cs="Times New Roman"/>
          <w:i/>
          <w:sz w:val="24"/>
          <w:szCs w:val="24"/>
        </w:rPr>
        <w:t>R&amp;D</w:t>
      </w:r>
      <w:r w:rsidRPr="008B648B">
        <w:rPr>
          <w:rFonts w:ascii="Times New Roman" w:eastAsia="Times New Roman" w:hAnsi="Times New Roman" w:cs="Times New Roman"/>
          <w:sz w:val="24"/>
          <w:szCs w:val="24"/>
        </w:rPr>
        <w:t xml:space="preserve">) </w:t>
      </w:r>
      <w:proofErr w:type="gramStart"/>
      <w:r w:rsidRPr="008B648B">
        <w:rPr>
          <w:rFonts w:ascii="Times New Roman" w:eastAsia="Times New Roman" w:hAnsi="Times New Roman" w:cs="Times New Roman"/>
          <w:sz w:val="24"/>
          <w:szCs w:val="24"/>
        </w:rPr>
        <w:t>are used</w:t>
      </w:r>
      <w:proofErr w:type="gramEnd"/>
      <w:r w:rsidRPr="008B648B">
        <w:rPr>
          <w:rFonts w:ascii="Times New Roman" w:eastAsia="Times New Roman" w:hAnsi="Times New Roman" w:cs="Times New Roman"/>
          <w:sz w:val="24"/>
          <w:szCs w:val="24"/>
        </w:rPr>
        <w:t xml:space="preserve"> as proxies for firm capital intensity levels. We use discretional accruals (</w:t>
      </w:r>
      <w:r w:rsidRPr="008B648B">
        <w:rPr>
          <w:rFonts w:ascii="Times New Roman" w:eastAsia="Times New Roman" w:hAnsi="Times New Roman" w:cs="Times New Roman"/>
          <w:i/>
          <w:sz w:val="24"/>
          <w:szCs w:val="24"/>
        </w:rPr>
        <w:t>Accruals</w:t>
      </w:r>
      <w:r w:rsidRPr="008B648B">
        <w:rPr>
          <w:rFonts w:ascii="Times New Roman" w:eastAsia="Times New Roman" w:hAnsi="Times New Roman" w:cs="Times New Roman"/>
          <w:sz w:val="24"/>
          <w:szCs w:val="24"/>
        </w:rPr>
        <w:t xml:space="preserve">) to proxy for earnings quality (Jones, 1991; </w:t>
      </w:r>
      <w:proofErr w:type="spellStart"/>
      <w:r w:rsidRPr="008B648B">
        <w:rPr>
          <w:rFonts w:ascii="Times New Roman" w:eastAsia="Times New Roman" w:hAnsi="Times New Roman" w:cs="Times New Roman"/>
          <w:sz w:val="24"/>
          <w:szCs w:val="24"/>
        </w:rPr>
        <w:t>Dechow</w:t>
      </w:r>
      <w:proofErr w:type="spellEnd"/>
      <w:r w:rsidRPr="008B648B">
        <w:rPr>
          <w:rFonts w:ascii="Times New Roman" w:eastAsia="Times New Roman" w:hAnsi="Times New Roman" w:cs="Times New Roman"/>
          <w:sz w:val="24"/>
          <w:szCs w:val="24"/>
        </w:rPr>
        <w:t xml:space="preserve"> et al., 1995; </w:t>
      </w:r>
      <w:proofErr w:type="spellStart"/>
      <w:r w:rsidRPr="008B648B">
        <w:rPr>
          <w:rFonts w:ascii="Times New Roman" w:eastAsia="Times New Roman" w:hAnsi="Times New Roman" w:cs="Times New Roman"/>
          <w:color w:val="000000" w:themeColor="text1"/>
          <w:sz w:val="24"/>
          <w:szCs w:val="24"/>
        </w:rPr>
        <w:t>Bergstresser</w:t>
      </w:r>
      <w:proofErr w:type="spellEnd"/>
      <w:r w:rsidRPr="008B648B">
        <w:rPr>
          <w:rFonts w:ascii="Times New Roman" w:eastAsia="Times New Roman" w:hAnsi="Times New Roman" w:cs="Times New Roman"/>
          <w:color w:val="000000" w:themeColor="text1"/>
          <w:sz w:val="24"/>
          <w:szCs w:val="24"/>
        </w:rPr>
        <w:t xml:space="preserve"> and </w:t>
      </w:r>
      <w:proofErr w:type="spellStart"/>
      <w:r w:rsidRPr="008B648B">
        <w:rPr>
          <w:rFonts w:ascii="Times New Roman" w:eastAsia="Times New Roman" w:hAnsi="Times New Roman" w:cs="Times New Roman"/>
          <w:color w:val="000000" w:themeColor="text1"/>
          <w:sz w:val="24"/>
          <w:szCs w:val="24"/>
        </w:rPr>
        <w:t>Philippon</w:t>
      </w:r>
      <w:proofErr w:type="spellEnd"/>
      <w:r w:rsidRPr="008B648B">
        <w:rPr>
          <w:rFonts w:ascii="Times New Roman" w:eastAsia="Times New Roman" w:hAnsi="Times New Roman" w:cs="Times New Roman"/>
          <w:color w:val="000000" w:themeColor="text1"/>
          <w:sz w:val="24"/>
          <w:szCs w:val="24"/>
        </w:rPr>
        <w:t xml:space="preserve">, 2006). </w:t>
      </w:r>
      <w:r w:rsidRPr="008B648B">
        <w:rPr>
          <w:rFonts w:ascii="Times New Roman" w:eastAsia="Times New Roman" w:hAnsi="Times New Roman" w:cs="Times New Roman"/>
          <w:sz w:val="24"/>
          <w:szCs w:val="24"/>
        </w:rPr>
        <w:t xml:space="preserve">Lastly, we </w:t>
      </w:r>
      <w:r w:rsidR="003E3202">
        <w:rPr>
          <w:rFonts w:ascii="Times New Roman" w:eastAsia="Times New Roman" w:hAnsi="Times New Roman" w:cs="Times New Roman"/>
          <w:sz w:val="24"/>
          <w:szCs w:val="24"/>
        </w:rPr>
        <w:t xml:space="preserve">employ a dummy variable, </w:t>
      </w:r>
      <w:r w:rsidR="003E3202" w:rsidRPr="003E3202">
        <w:rPr>
          <w:rFonts w:ascii="Times New Roman" w:eastAsia="Times New Roman" w:hAnsi="Times New Roman" w:cs="Times New Roman"/>
          <w:i/>
          <w:sz w:val="24"/>
          <w:szCs w:val="24"/>
        </w:rPr>
        <w:t>Entrenched</w:t>
      </w:r>
      <w:r w:rsidR="003E3202">
        <w:rPr>
          <w:rFonts w:ascii="Times New Roman" w:eastAsia="Times New Roman" w:hAnsi="Times New Roman" w:cs="Times New Roman"/>
          <w:sz w:val="24"/>
          <w:szCs w:val="24"/>
        </w:rPr>
        <w:t xml:space="preserve">, to capture firms that have a high </w:t>
      </w:r>
      <w:r w:rsidRPr="008B648B">
        <w:rPr>
          <w:rFonts w:ascii="Times New Roman" w:eastAsia="Times New Roman" w:hAnsi="Times New Roman" w:cs="Times New Roman"/>
          <w:sz w:val="24"/>
          <w:szCs w:val="24"/>
        </w:rPr>
        <w:t>entrenchment index to proxy for corporate governance (</w:t>
      </w:r>
      <w:proofErr w:type="spellStart"/>
      <w:r w:rsidRPr="008B648B">
        <w:rPr>
          <w:rFonts w:ascii="Times New Roman" w:eastAsia="Times New Roman" w:hAnsi="Times New Roman" w:cs="Times New Roman"/>
          <w:sz w:val="24"/>
          <w:szCs w:val="24"/>
        </w:rPr>
        <w:t>Bebchuk</w:t>
      </w:r>
      <w:proofErr w:type="spellEnd"/>
      <w:r w:rsidRPr="008B648B">
        <w:rPr>
          <w:rFonts w:ascii="Times New Roman" w:eastAsia="Times New Roman" w:hAnsi="Times New Roman" w:cs="Times New Roman"/>
          <w:sz w:val="24"/>
          <w:szCs w:val="24"/>
        </w:rPr>
        <w:t xml:space="preserve">, </w:t>
      </w:r>
      <w:r w:rsidR="00CD761D">
        <w:rPr>
          <w:rFonts w:ascii="Times New Roman" w:eastAsia="Times New Roman" w:hAnsi="Times New Roman" w:cs="Times New Roman"/>
          <w:sz w:val="24"/>
          <w:szCs w:val="24"/>
        </w:rPr>
        <w:t xml:space="preserve">et al., </w:t>
      </w:r>
      <w:r w:rsidRPr="008B648B">
        <w:rPr>
          <w:rFonts w:ascii="Times New Roman" w:eastAsia="Times New Roman" w:hAnsi="Times New Roman" w:cs="Times New Roman"/>
          <w:sz w:val="24"/>
          <w:szCs w:val="24"/>
        </w:rPr>
        <w:t>2009)</w:t>
      </w:r>
      <w:r w:rsidR="003E3202">
        <w:rPr>
          <w:rFonts w:ascii="Times New Roman" w:eastAsia="Times New Roman" w:hAnsi="Times New Roman" w:cs="Times New Roman"/>
          <w:sz w:val="24"/>
          <w:szCs w:val="24"/>
        </w:rPr>
        <w:t xml:space="preserve">. We use this to </w:t>
      </w:r>
      <w:r w:rsidR="00B21808">
        <w:rPr>
          <w:rFonts w:ascii="Times New Roman" w:eastAsia="Times New Roman" w:hAnsi="Times New Roman" w:cs="Times New Roman"/>
          <w:sz w:val="24"/>
          <w:szCs w:val="24"/>
        </w:rPr>
        <w:t xml:space="preserve">mitigate the concern </w:t>
      </w:r>
      <w:r w:rsidRPr="008B648B">
        <w:rPr>
          <w:rFonts w:ascii="Times New Roman" w:eastAsia="Times New Roman" w:hAnsi="Times New Roman" w:cs="Times New Roman"/>
          <w:sz w:val="24"/>
          <w:szCs w:val="24"/>
        </w:rPr>
        <w:t>that</w:t>
      </w:r>
      <w:r w:rsidR="003451BF">
        <w:rPr>
          <w:rFonts w:ascii="Times New Roman" w:eastAsia="Times New Roman" w:hAnsi="Times New Roman" w:cs="Times New Roman"/>
          <w:sz w:val="24"/>
          <w:szCs w:val="24"/>
        </w:rPr>
        <w:t xml:space="preserve"> the</w:t>
      </w:r>
      <w:r w:rsidRPr="008B648B">
        <w:rPr>
          <w:rFonts w:ascii="Times New Roman" w:eastAsia="Times New Roman" w:hAnsi="Times New Roman" w:cs="Times New Roman"/>
          <w:sz w:val="24"/>
          <w:szCs w:val="24"/>
        </w:rPr>
        <w:t xml:space="preserve"> </w:t>
      </w:r>
      <w:r w:rsidRPr="008B648B">
        <w:rPr>
          <w:rFonts w:ascii="Times New Roman" w:eastAsia="Times New Roman" w:hAnsi="Times New Roman" w:cs="Times New Roman"/>
          <w:i/>
          <w:sz w:val="24"/>
          <w:szCs w:val="24"/>
        </w:rPr>
        <w:t>CEO Pay Gap</w:t>
      </w:r>
      <w:r w:rsidRPr="008B648B">
        <w:rPr>
          <w:rFonts w:ascii="Times New Roman" w:eastAsia="Times New Roman" w:hAnsi="Times New Roman" w:cs="Times New Roman"/>
          <w:sz w:val="24"/>
          <w:szCs w:val="24"/>
        </w:rPr>
        <w:t xml:space="preserve"> of a firm </w:t>
      </w:r>
      <w:proofErr w:type="gramStart"/>
      <w:r w:rsidR="003451BF">
        <w:rPr>
          <w:rFonts w:ascii="Times New Roman" w:eastAsia="Times New Roman" w:hAnsi="Times New Roman" w:cs="Times New Roman"/>
          <w:sz w:val="24"/>
          <w:szCs w:val="24"/>
        </w:rPr>
        <w:t>is driven</w:t>
      </w:r>
      <w:proofErr w:type="gramEnd"/>
      <w:r w:rsidR="003451BF">
        <w:rPr>
          <w:rFonts w:ascii="Times New Roman" w:eastAsia="Times New Roman" w:hAnsi="Times New Roman" w:cs="Times New Roman"/>
          <w:sz w:val="24"/>
          <w:szCs w:val="24"/>
        </w:rPr>
        <w:t xml:space="preserve"> by</w:t>
      </w:r>
      <w:r w:rsidRPr="008B648B">
        <w:rPr>
          <w:rFonts w:ascii="Times New Roman" w:eastAsia="Times New Roman" w:hAnsi="Times New Roman" w:cs="Times New Roman"/>
          <w:sz w:val="24"/>
          <w:szCs w:val="24"/>
        </w:rPr>
        <w:t xml:space="preserve"> CEO</w:t>
      </w:r>
      <w:r w:rsidR="003E3202">
        <w:rPr>
          <w:rFonts w:ascii="Times New Roman" w:eastAsia="Times New Roman" w:hAnsi="Times New Roman" w:cs="Times New Roman"/>
          <w:sz w:val="24"/>
          <w:szCs w:val="24"/>
        </w:rPr>
        <w:t xml:space="preserve"> entrenchment</w:t>
      </w:r>
      <w:r w:rsidR="008A20C2">
        <w:rPr>
          <w:rFonts w:ascii="Times New Roman" w:eastAsia="Times New Roman" w:hAnsi="Times New Roman" w:cs="Times New Roman"/>
          <w:sz w:val="24"/>
          <w:szCs w:val="24"/>
        </w:rPr>
        <w:t xml:space="preserve"> (</w:t>
      </w:r>
      <w:proofErr w:type="spellStart"/>
      <w:r w:rsidR="00534F28">
        <w:rPr>
          <w:rFonts w:ascii="Times New Roman" w:eastAsia="Times New Roman" w:hAnsi="Times New Roman" w:cs="Times New Roman"/>
          <w:sz w:val="24"/>
          <w:szCs w:val="24"/>
        </w:rPr>
        <w:t>Bebchuk</w:t>
      </w:r>
      <w:proofErr w:type="spellEnd"/>
      <w:r w:rsidR="00CD761D">
        <w:rPr>
          <w:rFonts w:ascii="Times New Roman" w:eastAsia="Times New Roman" w:hAnsi="Times New Roman" w:cs="Times New Roman"/>
          <w:sz w:val="24"/>
          <w:szCs w:val="24"/>
        </w:rPr>
        <w:t xml:space="preserve"> et al.</w:t>
      </w:r>
      <w:r w:rsidR="00534F28">
        <w:rPr>
          <w:rFonts w:ascii="Times New Roman" w:eastAsia="Times New Roman" w:hAnsi="Times New Roman" w:cs="Times New Roman"/>
          <w:sz w:val="24"/>
          <w:szCs w:val="24"/>
        </w:rPr>
        <w:t>, 2011</w:t>
      </w:r>
      <w:r w:rsidR="008A20C2">
        <w:rPr>
          <w:rFonts w:ascii="Times New Roman" w:eastAsia="Times New Roman" w:hAnsi="Times New Roman" w:cs="Times New Roman"/>
          <w:sz w:val="24"/>
          <w:szCs w:val="24"/>
        </w:rPr>
        <w:t>)</w:t>
      </w:r>
      <w:r w:rsidRPr="008B648B">
        <w:rPr>
          <w:rFonts w:ascii="Times New Roman" w:eastAsia="Times New Roman" w:hAnsi="Times New Roman" w:cs="Times New Roman"/>
          <w:sz w:val="24"/>
          <w:szCs w:val="24"/>
        </w:rPr>
        <w:t>. Appendix I includes a full description of how each variable is constructed.</w:t>
      </w:r>
    </w:p>
    <w:p w14:paraId="10E76CE7" w14:textId="11253CBE" w:rsidR="000C469C" w:rsidRDefault="000C469C" w:rsidP="000C469C">
      <w:pPr>
        <w:spacing w:after="0" w:line="480" w:lineRule="auto"/>
        <w:ind w:firstLine="567"/>
        <w:jc w:val="both"/>
        <w:rPr>
          <w:rFonts w:ascii="Times New Roman" w:eastAsia="Times New Roman" w:hAnsi="Times New Roman" w:cs="Times New Roman"/>
          <w:sz w:val="24"/>
          <w:szCs w:val="24"/>
        </w:rPr>
      </w:pPr>
      <w:r w:rsidRPr="00A25D0C">
        <w:rPr>
          <w:rFonts w:ascii="Times New Roman" w:eastAsia="Times New Roman" w:hAnsi="Times New Roman" w:cs="Times New Roman"/>
          <w:sz w:val="24"/>
          <w:szCs w:val="24"/>
        </w:rPr>
        <w:t xml:space="preserve">Table 1 presents the descriptive statistics and correlation matrix of </w:t>
      </w:r>
      <w:r>
        <w:rPr>
          <w:rFonts w:ascii="Times New Roman" w:eastAsia="Times New Roman" w:hAnsi="Times New Roman" w:cs="Times New Roman"/>
          <w:sz w:val="24"/>
          <w:szCs w:val="24"/>
        </w:rPr>
        <w:t xml:space="preserve">the </w:t>
      </w:r>
      <w:r w:rsidRPr="00A25D0C">
        <w:rPr>
          <w:rFonts w:ascii="Times New Roman" w:eastAsia="Times New Roman" w:hAnsi="Times New Roman" w:cs="Times New Roman"/>
          <w:sz w:val="24"/>
          <w:szCs w:val="24"/>
        </w:rPr>
        <w:t xml:space="preserve">variables of interest and control variables </w:t>
      </w:r>
      <w:r>
        <w:rPr>
          <w:rFonts w:ascii="Times New Roman" w:eastAsia="Times New Roman" w:hAnsi="Times New Roman" w:cs="Times New Roman"/>
          <w:sz w:val="24"/>
          <w:szCs w:val="24"/>
        </w:rPr>
        <w:t>using our final sample of</w:t>
      </w:r>
      <w:r w:rsidRPr="00A25D0C">
        <w:rPr>
          <w:rFonts w:ascii="Times New Roman" w:eastAsia="Times New Roman" w:hAnsi="Times New Roman" w:cs="Times New Roman"/>
          <w:color w:val="000000" w:themeColor="text1"/>
          <w:sz w:val="24"/>
          <w:szCs w:val="24"/>
        </w:rPr>
        <w:t xml:space="preserve"> 15</w:t>
      </w:r>
      <w:r>
        <w:rPr>
          <w:rFonts w:ascii="Times New Roman" w:eastAsia="Times New Roman" w:hAnsi="Times New Roman" w:cs="Times New Roman"/>
          <w:color w:val="000000" w:themeColor="text1"/>
          <w:sz w:val="24"/>
          <w:szCs w:val="24"/>
        </w:rPr>
        <w:t>,</w:t>
      </w:r>
      <w:r w:rsidRPr="00A25D0C">
        <w:rPr>
          <w:rFonts w:ascii="Times New Roman" w:eastAsia="Times New Roman" w:hAnsi="Times New Roman" w:cs="Times New Roman"/>
          <w:color w:val="000000" w:themeColor="text1"/>
          <w:sz w:val="24"/>
          <w:szCs w:val="24"/>
        </w:rPr>
        <w:t xml:space="preserve">845 </w:t>
      </w:r>
      <w:r w:rsidRPr="00A25D0C">
        <w:rPr>
          <w:rFonts w:ascii="Times New Roman" w:hAnsi="Times New Roman" w:cs="Times New Roman"/>
          <w:color w:val="000000"/>
          <w:sz w:val="24"/>
          <w:szCs w:val="24"/>
        </w:rPr>
        <w:t>firm-year observations</w:t>
      </w:r>
      <w:r>
        <w:rPr>
          <w:rFonts w:ascii="Times New Roman" w:hAnsi="Times New Roman" w:cs="Times New Roman"/>
          <w:color w:val="000000"/>
          <w:sz w:val="24"/>
          <w:szCs w:val="24"/>
        </w:rPr>
        <w:t xml:space="preserve"> (</w:t>
      </w:r>
      <w:r w:rsidR="0000403F">
        <w:rPr>
          <w:rFonts w:ascii="Times New Roman" w:hAnsi="Times New Roman" w:cs="Times New Roman"/>
          <w:color w:val="000000"/>
          <w:sz w:val="24"/>
          <w:szCs w:val="24"/>
        </w:rPr>
        <w:t>consisting of</w:t>
      </w:r>
      <w:r>
        <w:rPr>
          <w:rFonts w:ascii="Times New Roman" w:hAnsi="Times New Roman" w:cs="Times New Roman"/>
          <w:color w:val="000000"/>
          <w:sz w:val="24"/>
          <w:szCs w:val="24"/>
        </w:rPr>
        <w:t xml:space="preserve"> </w:t>
      </w:r>
      <w:r w:rsidR="00E624A4">
        <w:rPr>
          <w:rFonts w:ascii="Times New Roman" w:hAnsi="Times New Roman" w:cs="Times New Roman"/>
          <w:color w:val="000000"/>
          <w:sz w:val="24"/>
          <w:szCs w:val="24"/>
        </w:rPr>
        <w:t>1</w:t>
      </w:r>
      <w:r w:rsidR="0000403F">
        <w:rPr>
          <w:rFonts w:ascii="Times New Roman" w:hAnsi="Times New Roman" w:cs="Times New Roman"/>
          <w:color w:val="000000"/>
          <w:sz w:val="24"/>
          <w:szCs w:val="24"/>
        </w:rPr>
        <w:t>,</w:t>
      </w:r>
      <w:r w:rsidR="00E624A4">
        <w:rPr>
          <w:rFonts w:ascii="Times New Roman" w:hAnsi="Times New Roman" w:cs="Times New Roman"/>
          <w:color w:val="000000"/>
          <w:sz w:val="24"/>
          <w:szCs w:val="24"/>
        </w:rPr>
        <w:t>955</w:t>
      </w:r>
      <w:r>
        <w:rPr>
          <w:rFonts w:ascii="Times New Roman" w:hAnsi="Times New Roman" w:cs="Times New Roman"/>
          <w:color w:val="000000"/>
          <w:sz w:val="24"/>
          <w:szCs w:val="24"/>
        </w:rPr>
        <w:t xml:space="preserve"> unique firms)</w:t>
      </w:r>
      <w:r w:rsidRPr="00A25D0C">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r w:rsidRPr="00A25D0C">
        <w:rPr>
          <w:rFonts w:ascii="Times New Roman" w:eastAsia="Times New Roman" w:hAnsi="Times New Roman" w:cs="Times New Roman"/>
          <w:sz w:val="24"/>
          <w:szCs w:val="24"/>
        </w:rPr>
        <w:t xml:space="preserve"> On average, </w:t>
      </w:r>
      <w:proofErr w:type="gramStart"/>
      <w:r w:rsidRPr="00A25D0C">
        <w:rPr>
          <w:rFonts w:ascii="Times New Roman" w:eastAsia="Times New Roman" w:hAnsi="Times New Roman" w:cs="Times New Roman"/>
          <w:sz w:val="24"/>
          <w:szCs w:val="24"/>
        </w:rPr>
        <w:t xml:space="preserve">72% of </w:t>
      </w:r>
      <w:r w:rsidR="003C5A39">
        <w:rPr>
          <w:rFonts w:ascii="Times New Roman" w:eastAsia="Times New Roman" w:hAnsi="Times New Roman" w:cs="Times New Roman"/>
          <w:sz w:val="24"/>
          <w:szCs w:val="24"/>
        </w:rPr>
        <w:t xml:space="preserve">all outstanding </w:t>
      </w:r>
      <w:r w:rsidRPr="00A25D0C">
        <w:rPr>
          <w:rFonts w:ascii="Times New Roman" w:eastAsia="Times New Roman" w:hAnsi="Times New Roman" w:cs="Times New Roman"/>
          <w:sz w:val="24"/>
          <w:szCs w:val="24"/>
        </w:rPr>
        <w:t xml:space="preserve">shares are </w:t>
      </w:r>
      <w:r w:rsidR="003C5A39">
        <w:rPr>
          <w:rFonts w:ascii="Times New Roman" w:eastAsia="Times New Roman" w:hAnsi="Times New Roman" w:cs="Times New Roman"/>
          <w:sz w:val="24"/>
          <w:szCs w:val="24"/>
        </w:rPr>
        <w:t xml:space="preserve">held </w:t>
      </w:r>
      <w:r w:rsidRPr="00A25D0C">
        <w:rPr>
          <w:rFonts w:ascii="Times New Roman" w:eastAsia="Times New Roman" w:hAnsi="Times New Roman" w:cs="Times New Roman"/>
          <w:sz w:val="24"/>
          <w:szCs w:val="24"/>
        </w:rPr>
        <w:t>by institutional holders</w:t>
      </w:r>
      <w:r>
        <w:rPr>
          <w:rFonts w:ascii="Times New Roman" w:eastAsia="Times New Roman" w:hAnsi="Times New Roman" w:cs="Times New Roman"/>
          <w:sz w:val="24"/>
          <w:szCs w:val="24"/>
        </w:rPr>
        <w:t xml:space="preserve"> in our sample, </w:t>
      </w:r>
      <w:r w:rsidRPr="00A25D0C">
        <w:rPr>
          <w:rFonts w:ascii="Times New Roman" w:eastAsia="Times New Roman" w:hAnsi="Times New Roman" w:cs="Times New Roman"/>
          <w:sz w:val="24"/>
          <w:szCs w:val="24"/>
        </w:rPr>
        <w:t>highlight</w:t>
      </w:r>
      <w:r>
        <w:rPr>
          <w:rFonts w:ascii="Times New Roman" w:eastAsia="Times New Roman" w:hAnsi="Times New Roman" w:cs="Times New Roman"/>
          <w:sz w:val="24"/>
          <w:szCs w:val="24"/>
        </w:rPr>
        <w:t>ing</w:t>
      </w:r>
      <w:r w:rsidRPr="00A25D0C">
        <w:rPr>
          <w:rFonts w:ascii="Times New Roman" w:eastAsia="Times New Roman" w:hAnsi="Times New Roman" w:cs="Times New Roman"/>
          <w:sz w:val="24"/>
          <w:szCs w:val="24"/>
        </w:rPr>
        <w:t xml:space="preserve"> the importan</w:t>
      </w:r>
      <w:r>
        <w:rPr>
          <w:rFonts w:ascii="Times New Roman" w:eastAsia="Times New Roman" w:hAnsi="Times New Roman" w:cs="Times New Roman"/>
          <w:sz w:val="24"/>
          <w:szCs w:val="24"/>
        </w:rPr>
        <w:t>ce</w:t>
      </w:r>
      <w:r w:rsidRPr="00A25D0C">
        <w:rPr>
          <w:rFonts w:ascii="Times New Roman" w:eastAsia="Times New Roman" w:hAnsi="Times New Roman" w:cs="Times New Roman"/>
          <w:sz w:val="24"/>
          <w:szCs w:val="24"/>
        </w:rPr>
        <w:t xml:space="preserve"> of institutional investors in the capital market</w:t>
      </w:r>
      <w:proofErr w:type="gramEnd"/>
      <w:r w:rsidRPr="00A25D0C">
        <w:rPr>
          <w:rFonts w:ascii="Times New Roman" w:eastAsia="Times New Roman" w:hAnsi="Times New Roman" w:cs="Times New Roman"/>
          <w:sz w:val="24"/>
          <w:szCs w:val="24"/>
        </w:rPr>
        <w:t xml:space="preserve">. Both mean and median </w:t>
      </w:r>
      <w:r w:rsidRPr="008C2EFD">
        <w:rPr>
          <w:rFonts w:ascii="Times New Roman" w:eastAsia="Times New Roman" w:hAnsi="Times New Roman" w:cs="Times New Roman"/>
          <w:i/>
          <w:sz w:val="24"/>
          <w:szCs w:val="24"/>
        </w:rPr>
        <w:t>CEO Pay Gap</w:t>
      </w:r>
      <w:r w:rsidRPr="00A25D0C">
        <w:rPr>
          <w:rFonts w:ascii="Times New Roman" w:eastAsia="Times New Roman" w:hAnsi="Times New Roman" w:cs="Times New Roman"/>
          <w:sz w:val="24"/>
          <w:szCs w:val="24"/>
        </w:rPr>
        <w:t xml:space="preserve"> </w:t>
      </w:r>
      <w:r w:rsidRPr="0072409C">
        <w:rPr>
          <w:rFonts w:ascii="Times New Roman" w:eastAsia="Times New Roman" w:hAnsi="Times New Roman" w:cs="Times New Roman"/>
          <w:noProof/>
          <w:sz w:val="24"/>
          <w:szCs w:val="24"/>
        </w:rPr>
        <w:t>are</w:t>
      </w:r>
      <w:r w:rsidRPr="00A25D0C">
        <w:rPr>
          <w:rFonts w:ascii="Times New Roman" w:eastAsia="Times New Roman" w:hAnsi="Times New Roman" w:cs="Times New Roman"/>
          <w:sz w:val="24"/>
          <w:szCs w:val="24"/>
        </w:rPr>
        <w:t xml:space="preserve"> 0.40</w:t>
      </w:r>
      <w:r>
        <w:rPr>
          <w:rFonts w:ascii="Times New Roman" w:eastAsia="Times New Roman" w:hAnsi="Times New Roman" w:cs="Times New Roman"/>
          <w:sz w:val="24"/>
          <w:szCs w:val="24"/>
        </w:rPr>
        <w:t>,</w:t>
      </w:r>
      <w:r w:rsidRPr="00A25D0C">
        <w:rPr>
          <w:rFonts w:ascii="Times New Roman" w:eastAsia="Times New Roman" w:hAnsi="Times New Roman" w:cs="Times New Roman"/>
          <w:sz w:val="24"/>
          <w:szCs w:val="24"/>
        </w:rPr>
        <w:t xml:space="preserve"> indicat</w:t>
      </w:r>
      <w:r>
        <w:rPr>
          <w:rFonts w:ascii="Times New Roman" w:eastAsia="Times New Roman" w:hAnsi="Times New Roman" w:cs="Times New Roman"/>
          <w:sz w:val="24"/>
          <w:szCs w:val="24"/>
        </w:rPr>
        <w:t>ing that the</w:t>
      </w:r>
      <w:r w:rsidRPr="00A25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management team (less the CEO)</w:t>
      </w:r>
      <w:r w:rsidRPr="00A25D0C">
        <w:rPr>
          <w:rFonts w:ascii="Times New Roman" w:eastAsia="Times New Roman" w:hAnsi="Times New Roman" w:cs="Times New Roman"/>
          <w:sz w:val="24"/>
          <w:szCs w:val="24"/>
        </w:rPr>
        <w:t xml:space="preserve"> receive</w:t>
      </w:r>
      <w:r w:rsidR="003C5A39">
        <w:rPr>
          <w:rFonts w:ascii="Times New Roman" w:eastAsia="Times New Roman" w:hAnsi="Times New Roman" w:cs="Times New Roman"/>
          <w:sz w:val="24"/>
          <w:szCs w:val="24"/>
        </w:rPr>
        <w:t>s</w:t>
      </w:r>
      <w:r w:rsidRPr="00A25D0C">
        <w:rPr>
          <w:rFonts w:ascii="Times New Roman" w:eastAsia="Times New Roman" w:hAnsi="Times New Roman" w:cs="Times New Roman"/>
          <w:sz w:val="24"/>
          <w:szCs w:val="24"/>
        </w:rPr>
        <w:t xml:space="preserve"> 60% </w:t>
      </w:r>
      <w:r>
        <w:rPr>
          <w:rFonts w:ascii="Times New Roman" w:eastAsia="Times New Roman" w:hAnsi="Times New Roman" w:cs="Times New Roman"/>
          <w:sz w:val="24"/>
          <w:szCs w:val="24"/>
        </w:rPr>
        <w:t xml:space="preserve">of the </w:t>
      </w:r>
      <w:r w:rsidRPr="00A25D0C">
        <w:rPr>
          <w:rFonts w:ascii="Times New Roman" w:eastAsia="Times New Roman" w:hAnsi="Times New Roman" w:cs="Times New Roman"/>
          <w:sz w:val="24"/>
          <w:szCs w:val="24"/>
        </w:rPr>
        <w:t>total compensation</w:t>
      </w:r>
      <w:r>
        <w:rPr>
          <w:rFonts w:ascii="Times New Roman" w:eastAsia="Times New Roman" w:hAnsi="Times New Roman" w:cs="Times New Roman"/>
          <w:sz w:val="24"/>
          <w:szCs w:val="24"/>
        </w:rPr>
        <w:t xml:space="preserve"> package</w:t>
      </w:r>
      <w:r w:rsidR="003C5A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CEO receiving 40%</w:t>
      </w:r>
      <w:r w:rsidRPr="00A25D0C">
        <w:rPr>
          <w:rFonts w:ascii="Times New Roman" w:eastAsia="Times New Roman" w:hAnsi="Times New Roman" w:cs="Times New Roman"/>
          <w:sz w:val="24"/>
          <w:szCs w:val="24"/>
        </w:rPr>
        <w:t>. Th</w:t>
      </w:r>
      <w:r w:rsidR="003C5A39">
        <w:rPr>
          <w:rFonts w:ascii="Times New Roman" w:eastAsia="Times New Roman" w:hAnsi="Times New Roman" w:cs="Times New Roman"/>
          <w:sz w:val="24"/>
          <w:szCs w:val="24"/>
        </w:rPr>
        <w:t xml:space="preserve">ese percentages suggest a strong </w:t>
      </w:r>
      <w:r w:rsidRPr="00A25D0C">
        <w:rPr>
          <w:rFonts w:ascii="Times New Roman" w:eastAsia="Times New Roman" w:hAnsi="Times New Roman" w:cs="Times New Roman"/>
          <w:sz w:val="24"/>
          <w:szCs w:val="24"/>
        </w:rPr>
        <w:t xml:space="preserve">corporate tournament incentive for top executives to </w:t>
      </w:r>
      <w:r w:rsidR="003F2BAA">
        <w:rPr>
          <w:rFonts w:ascii="Times New Roman" w:eastAsia="Times New Roman" w:hAnsi="Times New Roman" w:cs="Times New Roman"/>
          <w:sz w:val="24"/>
          <w:szCs w:val="24"/>
        </w:rPr>
        <w:t xml:space="preserve">exert maximal effort </w:t>
      </w:r>
      <w:r w:rsidRPr="00A25D0C">
        <w:rPr>
          <w:rFonts w:ascii="Times New Roman" w:eastAsia="Times New Roman" w:hAnsi="Times New Roman" w:cs="Times New Roman"/>
          <w:sz w:val="24"/>
          <w:szCs w:val="24"/>
        </w:rPr>
        <w:t xml:space="preserve">within the firm. Focusing on the correlation matrix, there </w:t>
      </w:r>
      <w:r w:rsidR="003F2BAA">
        <w:rPr>
          <w:rFonts w:ascii="Times New Roman" w:eastAsia="Times New Roman" w:hAnsi="Times New Roman" w:cs="Times New Roman"/>
          <w:sz w:val="24"/>
          <w:szCs w:val="24"/>
        </w:rPr>
        <w:t>are</w:t>
      </w:r>
      <w:r w:rsidRPr="00A25D0C">
        <w:rPr>
          <w:rFonts w:ascii="Times New Roman" w:eastAsia="Times New Roman" w:hAnsi="Times New Roman" w:cs="Times New Roman"/>
          <w:sz w:val="24"/>
          <w:szCs w:val="24"/>
        </w:rPr>
        <w:t xml:space="preserve"> no serious multi-collinearity issues among the variables</w:t>
      </w:r>
      <w:r>
        <w:rPr>
          <w:rFonts w:ascii="Times New Roman" w:eastAsia="Times New Roman" w:hAnsi="Times New Roman" w:cs="Times New Roman"/>
          <w:sz w:val="24"/>
          <w:szCs w:val="24"/>
        </w:rPr>
        <w:t xml:space="preserve"> on a pairwise basis</w:t>
      </w:r>
      <w:r w:rsidRPr="00A25D0C">
        <w:rPr>
          <w:rFonts w:ascii="Times New Roman" w:eastAsia="Times New Roman" w:hAnsi="Times New Roman" w:cs="Times New Roman"/>
          <w:sz w:val="24"/>
          <w:szCs w:val="24"/>
        </w:rPr>
        <w:t xml:space="preserve">. There is a positive correlation (0.112) between </w:t>
      </w:r>
      <w:r w:rsidRPr="008C2EFD">
        <w:rPr>
          <w:rFonts w:ascii="Times New Roman" w:eastAsia="Times New Roman" w:hAnsi="Times New Roman" w:cs="Times New Roman"/>
          <w:i/>
          <w:sz w:val="24"/>
          <w:szCs w:val="24"/>
        </w:rPr>
        <w:t>CEO Pay Gap</w:t>
      </w:r>
      <w:r w:rsidRPr="00A25D0C">
        <w:rPr>
          <w:rFonts w:ascii="Times New Roman" w:eastAsia="Times New Roman" w:hAnsi="Times New Roman" w:cs="Times New Roman"/>
          <w:sz w:val="24"/>
          <w:szCs w:val="24"/>
        </w:rPr>
        <w:t xml:space="preserve"> and </w:t>
      </w:r>
      <w:r w:rsidRPr="00DC33D3">
        <w:rPr>
          <w:rFonts w:ascii="Times New Roman" w:eastAsia="Times New Roman" w:hAnsi="Times New Roman" w:cs="Times New Roman"/>
          <w:i/>
          <w:sz w:val="24"/>
          <w:szCs w:val="24"/>
        </w:rPr>
        <w:t>Inst. Holdings</w:t>
      </w:r>
      <w:r w:rsidRPr="00A25D0C">
        <w:rPr>
          <w:rFonts w:ascii="Times New Roman" w:eastAsia="Times New Roman" w:hAnsi="Times New Roman" w:cs="Times New Roman"/>
          <w:sz w:val="24"/>
          <w:szCs w:val="24"/>
        </w:rPr>
        <w:t>, indicating that corporate tournament</w:t>
      </w:r>
      <w:r w:rsidR="0000403F">
        <w:rPr>
          <w:rFonts w:ascii="Times New Roman" w:eastAsia="Times New Roman" w:hAnsi="Times New Roman" w:cs="Times New Roman"/>
          <w:sz w:val="24"/>
          <w:szCs w:val="24"/>
        </w:rPr>
        <w:t>s</w:t>
      </w:r>
      <w:r w:rsidRPr="00A25D0C">
        <w:rPr>
          <w:rFonts w:ascii="Times New Roman" w:eastAsia="Times New Roman" w:hAnsi="Times New Roman" w:cs="Times New Roman"/>
          <w:sz w:val="24"/>
          <w:szCs w:val="24"/>
        </w:rPr>
        <w:t xml:space="preserve"> </w:t>
      </w:r>
      <w:r w:rsidR="0000403F">
        <w:rPr>
          <w:rFonts w:ascii="Times New Roman" w:eastAsia="Times New Roman" w:hAnsi="Times New Roman" w:cs="Times New Roman"/>
          <w:sz w:val="24"/>
          <w:szCs w:val="24"/>
        </w:rPr>
        <w:t>are</w:t>
      </w:r>
      <w:r w:rsidRPr="00A25D0C">
        <w:rPr>
          <w:rFonts w:ascii="Times New Roman" w:eastAsia="Times New Roman" w:hAnsi="Times New Roman" w:cs="Times New Roman"/>
          <w:sz w:val="24"/>
          <w:szCs w:val="24"/>
        </w:rPr>
        <w:t xml:space="preserve"> positively associated with institutional </w:t>
      </w:r>
      <w:r w:rsidRPr="00332ED7">
        <w:rPr>
          <w:rFonts w:ascii="Times New Roman" w:eastAsia="Times New Roman" w:hAnsi="Times New Roman" w:cs="Times New Roman"/>
          <w:sz w:val="24"/>
          <w:szCs w:val="24"/>
        </w:rPr>
        <w:t>ownership</w:t>
      </w:r>
      <w:r w:rsidR="00B337EF" w:rsidRPr="00332ED7">
        <w:rPr>
          <w:rFonts w:ascii="Times New Roman" w:eastAsia="Times New Roman" w:hAnsi="Times New Roman" w:cs="Times New Roman"/>
          <w:sz w:val="24"/>
          <w:szCs w:val="24"/>
        </w:rPr>
        <w:t xml:space="preserve"> (</w:t>
      </w:r>
      <w:r w:rsidR="00B337EF" w:rsidRPr="00332ED7">
        <w:rPr>
          <w:rFonts w:ascii="Times New Roman" w:eastAsia="Times New Roman" w:hAnsi="Times New Roman" w:cs="Times New Roman"/>
          <w:i/>
          <w:sz w:val="24"/>
          <w:szCs w:val="24"/>
        </w:rPr>
        <w:t>p</w:t>
      </w:r>
      <w:r w:rsidR="002F6C7C" w:rsidRPr="00332ED7">
        <w:rPr>
          <w:rFonts w:ascii="Times New Roman" w:eastAsia="Times New Roman" w:hAnsi="Times New Roman" w:cs="Times New Roman"/>
          <w:sz w:val="24"/>
          <w:szCs w:val="24"/>
        </w:rPr>
        <w:t>-value&lt;0.01</w:t>
      </w:r>
      <w:r w:rsidR="00B337EF" w:rsidRPr="00332ED7">
        <w:rPr>
          <w:rFonts w:ascii="Times New Roman" w:eastAsia="Times New Roman" w:hAnsi="Times New Roman" w:cs="Times New Roman"/>
          <w:sz w:val="24"/>
          <w:szCs w:val="24"/>
        </w:rPr>
        <w:t>)</w:t>
      </w:r>
      <w:r w:rsidRPr="00332ED7">
        <w:rPr>
          <w:rFonts w:ascii="Times New Roman" w:eastAsia="Times New Roman" w:hAnsi="Times New Roman" w:cs="Times New Roman"/>
          <w:sz w:val="24"/>
          <w:szCs w:val="24"/>
        </w:rPr>
        <w:t>.</w:t>
      </w:r>
    </w:p>
    <w:p w14:paraId="3E5E98E4" w14:textId="495BB9D7" w:rsidR="000C469C" w:rsidRDefault="000C469C" w:rsidP="00F4488D">
      <w:pPr>
        <w:rPr>
          <w:rFonts w:ascii="Times New Roman" w:eastAsia="Times New Roman" w:hAnsi="Times New Roman" w:cs="Times New Roman"/>
          <w:b/>
          <w:sz w:val="20"/>
          <w:szCs w:val="20"/>
        </w:rPr>
      </w:pPr>
    </w:p>
    <w:p w14:paraId="4E1C32B3" w14:textId="5EF53A0E" w:rsidR="000C469C" w:rsidRPr="00C10B0F" w:rsidRDefault="00B337EF" w:rsidP="004152E4">
      <w:pPr>
        <w:pStyle w:val="Heading1"/>
        <w:numPr>
          <w:ilvl w:val="0"/>
          <w:numId w:val="14"/>
        </w:numPr>
        <w:ind w:left="567" w:hanging="567"/>
        <w:rPr>
          <w:rFonts w:eastAsia="Times New Roman"/>
          <w:caps/>
        </w:rPr>
      </w:pPr>
      <w:r w:rsidRPr="00B337EF">
        <w:rPr>
          <w:rFonts w:eastAsia="Times New Roman"/>
        </w:rPr>
        <w:lastRenderedPageBreak/>
        <w:t>Empirical evidence</w:t>
      </w:r>
    </w:p>
    <w:p w14:paraId="52CA6AAD" w14:textId="01408277" w:rsidR="000C469C" w:rsidRPr="00FE540A" w:rsidRDefault="000C469C" w:rsidP="00F4488D">
      <w:pPr>
        <w:spacing w:after="0" w:line="480" w:lineRule="auto"/>
        <w:ind w:firstLine="567"/>
        <w:jc w:val="both"/>
        <w:rPr>
          <w:rFonts w:ascii="Times New Roman" w:eastAsia="Times New Roman" w:hAnsi="Times New Roman" w:cs="Times New Roman"/>
          <w:sz w:val="24"/>
          <w:szCs w:val="24"/>
        </w:rPr>
      </w:pPr>
      <w:r w:rsidRPr="062454F4">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2</w:t>
      </w:r>
      <w:r w:rsidRPr="062454F4">
        <w:rPr>
          <w:rFonts w:ascii="Times New Roman" w:eastAsia="Times New Roman" w:hAnsi="Times New Roman" w:cs="Times New Roman"/>
          <w:sz w:val="24"/>
          <w:szCs w:val="24"/>
        </w:rPr>
        <w:t xml:space="preserve"> presents </w:t>
      </w:r>
      <w:r>
        <w:rPr>
          <w:rFonts w:ascii="Times New Roman" w:eastAsia="Times New Roman" w:hAnsi="Times New Roman" w:cs="Times New Roman"/>
          <w:sz w:val="24"/>
          <w:szCs w:val="24"/>
        </w:rPr>
        <w:t>a</w:t>
      </w:r>
      <w:r w:rsidRPr="062454F4">
        <w:rPr>
          <w:rFonts w:ascii="Times New Roman" w:eastAsia="Times New Roman" w:hAnsi="Times New Roman" w:cs="Times New Roman"/>
          <w:sz w:val="24"/>
          <w:szCs w:val="24"/>
        </w:rPr>
        <w:t xml:space="preserve"> univariate</w:t>
      </w:r>
      <w:r>
        <w:rPr>
          <w:rFonts w:ascii="Times New Roman" w:eastAsia="Times New Roman" w:hAnsi="Times New Roman" w:cs="Times New Roman"/>
          <w:sz w:val="24"/>
          <w:szCs w:val="24"/>
        </w:rPr>
        <w:t xml:space="preserve"> test of the</w:t>
      </w:r>
      <w:r w:rsidRPr="062454F4">
        <w:rPr>
          <w:rFonts w:ascii="Times New Roman" w:eastAsia="Times New Roman" w:hAnsi="Times New Roman" w:cs="Times New Roman"/>
          <w:sz w:val="24"/>
          <w:szCs w:val="24"/>
        </w:rPr>
        <w:t xml:space="preserve"> </w:t>
      </w:r>
      <w:r w:rsidRPr="00D33FDE">
        <w:rPr>
          <w:rFonts w:ascii="Times New Roman" w:eastAsia="Times New Roman" w:hAnsi="Times New Roman" w:cs="Times New Roman"/>
          <w:sz w:val="24"/>
          <w:szCs w:val="24"/>
        </w:rPr>
        <w:t xml:space="preserve">relationship between </w:t>
      </w:r>
      <w:r w:rsidRPr="008C2EFD">
        <w:rPr>
          <w:rFonts w:ascii="Times New Roman" w:eastAsia="Times New Roman" w:hAnsi="Times New Roman" w:cs="Times New Roman"/>
          <w:i/>
          <w:sz w:val="24"/>
          <w:szCs w:val="24"/>
        </w:rPr>
        <w:t>CEO Pay Gap</w:t>
      </w:r>
      <w:r w:rsidRPr="00D33FDE">
        <w:rPr>
          <w:rFonts w:ascii="Times New Roman" w:eastAsia="Times New Roman" w:hAnsi="Times New Roman" w:cs="Times New Roman"/>
          <w:sz w:val="24"/>
          <w:szCs w:val="24"/>
        </w:rPr>
        <w:t xml:space="preserve"> and </w:t>
      </w:r>
      <w:r w:rsidRPr="00DC33D3">
        <w:rPr>
          <w:rFonts w:ascii="Times New Roman" w:eastAsia="Times New Roman" w:hAnsi="Times New Roman" w:cs="Times New Roman"/>
          <w:i/>
          <w:sz w:val="24"/>
          <w:szCs w:val="24"/>
        </w:rPr>
        <w:t>Inst. Holdings</w:t>
      </w:r>
      <w:r w:rsidRPr="00D33F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split</w:t>
      </w:r>
      <w:r w:rsidRPr="00D33FDE">
        <w:rPr>
          <w:rFonts w:ascii="Times New Roman" w:eastAsia="Times New Roman" w:hAnsi="Times New Roman" w:cs="Times New Roman"/>
          <w:sz w:val="24"/>
          <w:szCs w:val="24"/>
        </w:rPr>
        <w:t xml:space="preserve"> </w:t>
      </w:r>
      <w:r w:rsidRPr="008C2EFD">
        <w:rPr>
          <w:rFonts w:ascii="Times New Roman" w:eastAsia="Times New Roman" w:hAnsi="Times New Roman" w:cs="Times New Roman"/>
          <w:i/>
          <w:sz w:val="24"/>
          <w:szCs w:val="24"/>
        </w:rPr>
        <w:t>CEO Pay Gap</w:t>
      </w:r>
      <w:r w:rsidRPr="00D33F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into</w:t>
      </w:r>
      <w:r w:rsidRPr="00D33FDE">
        <w:rPr>
          <w:rFonts w:ascii="Times New Roman" w:eastAsia="Times New Roman" w:hAnsi="Times New Roman" w:cs="Times New Roman"/>
          <w:sz w:val="24"/>
          <w:szCs w:val="24"/>
        </w:rPr>
        <w:t xml:space="preserve"> quintiles. The first quintile consists of firms with the lowest </w:t>
      </w:r>
      <w:r w:rsidRPr="008C2EFD">
        <w:rPr>
          <w:rFonts w:ascii="Times New Roman" w:eastAsia="Times New Roman" w:hAnsi="Times New Roman" w:cs="Times New Roman"/>
          <w:i/>
          <w:sz w:val="24"/>
          <w:szCs w:val="24"/>
        </w:rPr>
        <w:t>CEO Pay Gap</w:t>
      </w:r>
      <w:r w:rsidRPr="00D33FDE">
        <w:rPr>
          <w:rFonts w:ascii="Times New Roman" w:eastAsia="Times New Roman" w:hAnsi="Times New Roman" w:cs="Times New Roman"/>
          <w:sz w:val="24"/>
          <w:szCs w:val="24"/>
        </w:rPr>
        <w:t xml:space="preserve"> while the fifth quintile has the highest </w:t>
      </w:r>
      <w:r w:rsidRPr="008C2EFD">
        <w:rPr>
          <w:rFonts w:ascii="Times New Roman" w:eastAsia="Times New Roman" w:hAnsi="Times New Roman" w:cs="Times New Roman"/>
          <w:i/>
          <w:sz w:val="24"/>
          <w:szCs w:val="24"/>
        </w:rPr>
        <w:t>CEO Pay Gap</w:t>
      </w:r>
      <w:r w:rsidRPr="00D33FDE">
        <w:rPr>
          <w:rFonts w:ascii="Times New Roman" w:eastAsia="Times New Roman" w:hAnsi="Times New Roman" w:cs="Times New Roman"/>
          <w:sz w:val="24"/>
          <w:szCs w:val="24"/>
        </w:rPr>
        <w:t xml:space="preserve">. On average, the highest </w:t>
      </w:r>
      <w:r w:rsidRPr="008C2EFD">
        <w:rPr>
          <w:rFonts w:ascii="Times New Roman" w:eastAsia="Times New Roman" w:hAnsi="Times New Roman" w:cs="Times New Roman"/>
          <w:i/>
          <w:sz w:val="24"/>
          <w:szCs w:val="24"/>
        </w:rPr>
        <w:t>CEO Pay Gap</w:t>
      </w:r>
      <w:r w:rsidRPr="00D33FDE">
        <w:rPr>
          <w:rFonts w:ascii="Times New Roman" w:eastAsia="Times New Roman" w:hAnsi="Times New Roman" w:cs="Times New Roman"/>
          <w:sz w:val="24"/>
          <w:szCs w:val="24"/>
        </w:rPr>
        <w:t xml:space="preserve"> </w:t>
      </w:r>
      <w:r w:rsidRPr="00332ED7">
        <w:rPr>
          <w:rFonts w:ascii="Times New Roman" w:eastAsia="Times New Roman" w:hAnsi="Times New Roman" w:cs="Times New Roman"/>
          <w:sz w:val="24"/>
          <w:szCs w:val="24"/>
        </w:rPr>
        <w:t xml:space="preserve">quintile has </w:t>
      </w:r>
      <w:r w:rsidR="00BC0443" w:rsidRPr="00332ED7">
        <w:rPr>
          <w:rFonts w:ascii="Times New Roman" w:eastAsia="Times New Roman" w:hAnsi="Times New Roman" w:cs="Times New Roman"/>
          <w:sz w:val="24"/>
          <w:szCs w:val="24"/>
        </w:rPr>
        <w:t>6.11</w:t>
      </w:r>
      <w:r w:rsidRPr="00332ED7">
        <w:rPr>
          <w:rFonts w:ascii="Times New Roman" w:eastAsia="Times New Roman" w:hAnsi="Times New Roman" w:cs="Times New Roman"/>
          <w:sz w:val="24"/>
          <w:szCs w:val="24"/>
        </w:rPr>
        <w:t>% higher</w:t>
      </w:r>
      <w:r w:rsidRPr="00D33FDE">
        <w:rPr>
          <w:rFonts w:ascii="Times New Roman" w:eastAsia="Times New Roman" w:hAnsi="Times New Roman" w:cs="Times New Roman"/>
          <w:sz w:val="24"/>
          <w:szCs w:val="24"/>
        </w:rPr>
        <w:t xml:space="preserve"> </w:t>
      </w:r>
      <w:r w:rsidRPr="00DC33D3">
        <w:rPr>
          <w:rFonts w:ascii="Times New Roman" w:eastAsia="Times New Roman" w:hAnsi="Times New Roman" w:cs="Times New Roman"/>
          <w:i/>
          <w:sz w:val="24"/>
          <w:szCs w:val="24"/>
        </w:rPr>
        <w:t>Inst. Holdings</w:t>
      </w:r>
      <w:r>
        <w:rPr>
          <w:rFonts w:ascii="Times New Roman" w:eastAsia="Times New Roman" w:hAnsi="Times New Roman" w:cs="Times New Roman"/>
          <w:i/>
          <w:sz w:val="24"/>
          <w:szCs w:val="24"/>
        </w:rPr>
        <w:t xml:space="preserve"> </w:t>
      </w:r>
      <w:r w:rsidRPr="00D33FDE">
        <w:rPr>
          <w:rFonts w:ascii="Times New Roman" w:eastAsia="Times New Roman" w:hAnsi="Times New Roman" w:cs="Times New Roman"/>
          <w:sz w:val="24"/>
          <w:szCs w:val="24"/>
        </w:rPr>
        <w:t xml:space="preserve">than the lowest </w:t>
      </w:r>
      <w:r w:rsidRPr="008C2EFD">
        <w:rPr>
          <w:rFonts w:ascii="Times New Roman" w:eastAsia="Times New Roman" w:hAnsi="Times New Roman" w:cs="Times New Roman"/>
          <w:i/>
          <w:sz w:val="24"/>
          <w:szCs w:val="24"/>
        </w:rPr>
        <w:t>CEO Pay Gap</w:t>
      </w:r>
      <w:r w:rsidRPr="00D33FDE">
        <w:rPr>
          <w:rFonts w:ascii="Times New Roman" w:eastAsia="Times New Roman" w:hAnsi="Times New Roman" w:cs="Times New Roman"/>
          <w:sz w:val="24"/>
          <w:szCs w:val="24"/>
        </w:rPr>
        <w:t xml:space="preserve"> quintile. The mean and median differen</w:t>
      </w:r>
      <w:r w:rsidRPr="00FE540A">
        <w:rPr>
          <w:rFonts w:ascii="Times New Roman" w:eastAsia="Times New Roman" w:hAnsi="Times New Roman" w:cs="Times New Roman"/>
          <w:sz w:val="24"/>
          <w:szCs w:val="24"/>
        </w:rPr>
        <w:t xml:space="preserve">ces are statistically significant at the 1% level. This result provides preliminary, model-free evidence that corporate tournament competition attracts institutional investors.    </w:t>
      </w:r>
    </w:p>
    <w:p w14:paraId="01C2EBED" w14:textId="4CD3F671" w:rsidR="000D70C7" w:rsidRPr="00B8344A" w:rsidRDefault="00C13C1E" w:rsidP="00F4488D">
      <w:pPr>
        <w:spacing w:after="0" w:line="480" w:lineRule="auto"/>
        <w:ind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rPr>
        <w:t>Our</w:t>
      </w:r>
      <w:r w:rsidRPr="00FE5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main</w:t>
      </w:r>
      <w:r w:rsidRPr="00FE540A">
        <w:rPr>
          <w:rFonts w:ascii="Times New Roman" w:eastAsia="Times New Roman" w:hAnsi="Times New Roman" w:cs="Times New Roman"/>
          <w:sz w:val="24"/>
          <w:szCs w:val="24"/>
        </w:rPr>
        <w:t xml:space="preserve"> </w:t>
      </w:r>
      <w:r w:rsidR="006B6039" w:rsidRPr="00FE540A">
        <w:rPr>
          <w:rFonts w:ascii="Times New Roman" w:eastAsia="Times New Roman" w:hAnsi="Times New Roman" w:cs="Times New Roman"/>
          <w:sz w:val="24"/>
          <w:szCs w:val="24"/>
        </w:rPr>
        <w:t xml:space="preserve">regressions of </w:t>
      </w:r>
      <w:r w:rsidR="000F0BC8" w:rsidRPr="00FE540A">
        <w:rPr>
          <w:rFonts w:ascii="Times New Roman" w:eastAsia="Times New Roman" w:hAnsi="Times New Roman" w:cs="Times New Roman"/>
          <w:i/>
          <w:sz w:val="24"/>
          <w:szCs w:val="24"/>
        </w:rPr>
        <w:t>CEO Pay Gap</w:t>
      </w:r>
      <w:r w:rsidR="000F0BC8" w:rsidRPr="00FE540A">
        <w:rPr>
          <w:rFonts w:ascii="Times New Roman" w:eastAsia="Times New Roman" w:hAnsi="Times New Roman" w:cs="Times New Roman"/>
          <w:sz w:val="24"/>
          <w:szCs w:val="24"/>
        </w:rPr>
        <w:t xml:space="preserve"> </w:t>
      </w:r>
      <w:r w:rsidR="006B6039" w:rsidRPr="00FE540A">
        <w:rPr>
          <w:rFonts w:ascii="Times New Roman" w:eastAsia="Times New Roman" w:hAnsi="Times New Roman" w:cs="Times New Roman"/>
          <w:sz w:val="24"/>
          <w:szCs w:val="24"/>
        </w:rPr>
        <w:t xml:space="preserve">on </w:t>
      </w:r>
      <w:r w:rsidR="000F0BC8" w:rsidRPr="00FE540A">
        <w:rPr>
          <w:rFonts w:ascii="Times New Roman" w:eastAsia="Times New Roman" w:hAnsi="Times New Roman" w:cs="Times New Roman"/>
          <w:i/>
          <w:sz w:val="24"/>
          <w:szCs w:val="24"/>
        </w:rPr>
        <w:t xml:space="preserve">Inst. Holdings </w:t>
      </w:r>
      <w:proofErr w:type="gramStart"/>
      <w:r w:rsidR="006B6039" w:rsidRPr="00FE540A">
        <w:rPr>
          <w:rFonts w:ascii="Times New Roman" w:eastAsia="Times New Roman" w:hAnsi="Times New Roman" w:cs="Times New Roman"/>
          <w:sz w:val="24"/>
          <w:szCs w:val="24"/>
        </w:rPr>
        <w:t>are presented</w:t>
      </w:r>
      <w:proofErr w:type="gramEnd"/>
      <w:r w:rsidR="006B6039" w:rsidRPr="00FE540A">
        <w:rPr>
          <w:rFonts w:ascii="Times New Roman" w:eastAsia="Times New Roman" w:hAnsi="Times New Roman" w:cs="Times New Roman"/>
          <w:sz w:val="24"/>
          <w:szCs w:val="24"/>
        </w:rPr>
        <w:t xml:space="preserve"> in Table </w:t>
      </w:r>
      <w:r w:rsidR="000F0BC8" w:rsidRPr="00FE540A">
        <w:rPr>
          <w:rFonts w:ascii="Times New Roman" w:eastAsia="Times New Roman" w:hAnsi="Times New Roman" w:cs="Times New Roman"/>
          <w:sz w:val="24"/>
          <w:szCs w:val="24"/>
        </w:rPr>
        <w:t>3</w:t>
      </w:r>
      <w:r w:rsidR="006B6039" w:rsidRPr="00FE540A">
        <w:rPr>
          <w:rFonts w:ascii="Times New Roman" w:eastAsia="Times New Roman" w:hAnsi="Times New Roman" w:cs="Times New Roman"/>
          <w:sz w:val="24"/>
          <w:szCs w:val="24"/>
        </w:rPr>
        <w:t xml:space="preserve">. </w:t>
      </w:r>
      <w:r w:rsidR="0000403F">
        <w:rPr>
          <w:rFonts w:ascii="Times New Roman" w:eastAsia="Times New Roman" w:hAnsi="Times New Roman" w:cs="Times New Roman"/>
          <w:sz w:val="24"/>
          <w:szCs w:val="24"/>
        </w:rPr>
        <w:t>Column</w:t>
      </w:r>
      <w:r w:rsidR="006B6039" w:rsidRPr="00FE540A">
        <w:rPr>
          <w:rFonts w:ascii="Times New Roman" w:eastAsia="Times New Roman" w:hAnsi="Times New Roman" w:cs="Times New Roman"/>
          <w:sz w:val="24"/>
          <w:szCs w:val="24"/>
        </w:rPr>
        <w:t xml:space="preserve"> (1) shows the </w:t>
      </w:r>
      <w:r w:rsidR="003F2BAA">
        <w:rPr>
          <w:rFonts w:ascii="Times New Roman" w:eastAsia="Times New Roman" w:hAnsi="Times New Roman" w:cs="Times New Roman"/>
          <w:sz w:val="24"/>
          <w:szCs w:val="24"/>
        </w:rPr>
        <w:t xml:space="preserve">primary </w:t>
      </w:r>
      <w:r w:rsidR="006B6039" w:rsidRPr="00FE540A">
        <w:rPr>
          <w:rFonts w:ascii="Times New Roman" w:eastAsia="Times New Roman" w:hAnsi="Times New Roman" w:cs="Times New Roman"/>
          <w:sz w:val="24"/>
          <w:szCs w:val="24"/>
        </w:rPr>
        <w:t xml:space="preserve">relationship that </w:t>
      </w:r>
      <w:r w:rsidR="000F0BC8" w:rsidRPr="00FE540A">
        <w:rPr>
          <w:rFonts w:ascii="Times New Roman" w:eastAsia="Times New Roman" w:hAnsi="Times New Roman" w:cs="Times New Roman"/>
          <w:i/>
          <w:sz w:val="24"/>
          <w:szCs w:val="24"/>
        </w:rPr>
        <w:t>CEO Pay Gap</w:t>
      </w:r>
      <w:r w:rsidR="006B6039" w:rsidRPr="00FE540A">
        <w:rPr>
          <w:rFonts w:ascii="Times New Roman" w:eastAsia="Times New Roman" w:hAnsi="Times New Roman" w:cs="Times New Roman"/>
          <w:sz w:val="24"/>
          <w:szCs w:val="24"/>
        </w:rPr>
        <w:t xml:space="preserve"> has on </w:t>
      </w:r>
      <w:r w:rsidR="000F0BC8" w:rsidRPr="00FE540A">
        <w:rPr>
          <w:rFonts w:ascii="Times New Roman" w:eastAsia="Times New Roman" w:hAnsi="Times New Roman" w:cs="Times New Roman"/>
          <w:i/>
          <w:sz w:val="24"/>
          <w:szCs w:val="24"/>
        </w:rPr>
        <w:t>Inst. Holdings</w:t>
      </w:r>
      <w:r w:rsidR="006B6039" w:rsidRPr="00FE540A">
        <w:rPr>
          <w:rFonts w:ascii="Times New Roman" w:eastAsia="Times New Roman" w:hAnsi="Times New Roman" w:cs="Times New Roman"/>
          <w:sz w:val="24"/>
          <w:szCs w:val="24"/>
        </w:rPr>
        <w:t>.</w:t>
      </w:r>
      <w:r w:rsidR="000F0BC8" w:rsidRPr="00FE540A">
        <w:rPr>
          <w:rFonts w:ascii="Times New Roman" w:eastAsia="Times New Roman" w:hAnsi="Times New Roman" w:cs="Times New Roman"/>
          <w:sz w:val="24"/>
          <w:szCs w:val="24"/>
        </w:rPr>
        <w:t xml:space="preserve"> In </w:t>
      </w:r>
      <w:r w:rsidR="0000403F">
        <w:rPr>
          <w:rFonts w:ascii="Times New Roman" w:eastAsia="Times New Roman" w:hAnsi="Times New Roman" w:cs="Times New Roman"/>
          <w:sz w:val="24"/>
          <w:szCs w:val="24"/>
        </w:rPr>
        <w:t>Column</w:t>
      </w:r>
      <w:r w:rsidR="000F0BC8" w:rsidRPr="00FE540A">
        <w:rPr>
          <w:rFonts w:ascii="Times New Roman" w:eastAsia="Times New Roman" w:hAnsi="Times New Roman" w:cs="Times New Roman"/>
          <w:sz w:val="24"/>
          <w:szCs w:val="24"/>
        </w:rPr>
        <w:t xml:space="preserve"> (</w:t>
      </w:r>
      <w:proofErr w:type="gramStart"/>
      <w:r w:rsidR="008F0DB1" w:rsidRPr="00FE540A">
        <w:rPr>
          <w:rFonts w:ascii="Times New Roman" w:eastAsia="Times New Roman" w:hAnsi="Times New Roman" w:cs="Times New Roman"/>
          <w:sz w:val="24"/>
          <w:szCs w:val="24"/>
        </w:rPr>
        <w:t>2</w:t>
      </w:r>
      <w:r w:rsidR="006B6039" w:rsidRPr="00FE540A">
        <w:rPr>
          <w:rFonts w:ascii="Times New Roman" w:eastAsia="Times New Roman" w:hAnsi="Times New Roman" w:cs="Times New Roman"/>
          <w:sz w:val="24"/>
          <w:szCs w:val="24"/>
        </w:rPr>
        <w:t>)</w:t>
      </w:r>
      <w:proofErr w:type="gramEnd"/>
      <w:r w:rsidR="006B6039" w:rsidRPr="00FE540A">
        <w:rPr>
          <w:rFonts w:ascii="Times New Roman" w:eastAsia="Times New Roman" w:hAnsi="Times New Roman" w:cs="Times New Roman"/>
          <w:sz w:val="24"/>
          <w:szCs w:val="24"/>
        </w:rPr>
        <w:t xml:space="preserve"> we add</w:t>
      </w:r>
      <w:r>
        <w:rPr>
          <w:rFonts w:ascii="Times New Roman" w:eastAsia="Times New Roman" w:hAnsi="Times New Roman" w:cs="Times New Roman"/>
          <w:sz w:val="24"/>
          <w:szCs w:val="24"/>
        </w:rPr>
        <w:t xml:space="preserve"> the</w:t>
      </w:r>
      <w:r w:rsidR="006B6039" w:rsidRPr="00FE540A">
        <w:rPr>
          <w:rFonts w:ascii="Times New Roman" w:eastAsia="Times New Roman" w:hAnsi="Times New Roman" w:cs="Times New Roman"/>
          <w:sz w:val="24"/>
          <w:szCs w:val="24"/>
        </w:rPr>
        <w:t xml:space="preserve"> </w:t>
      </w:r>
      <w:r w:rsidR="003F2BAA">
        <w:rPr>
          <w:rFonts w:ascii="Times New Roman" w:eastAsia="Times New Roman" w:hAnsi="Times New Roman" w:cs="Times New Roman"/>
          <w:sz w:val="24"/>
          <w:szCs w:val="24"/>
        </w:rPr>
        <w:t>11</w:t>
      </w:r>
      <w:r w:rsidR="00221F6D" w:rsidRPr="00FE540A">
        <w:rPr>
          <w:rFonts w:ascii="Times New Roman" w:eastAsia="Times New Roman" w:hAnsi="Times New Roman" w:cs="Times New Roman"/>
          <w:sz w:val="24"/>
          <w:szCs w:val="24"/>
        </w:rPr>
        <w:t xml:space="preserve"> control variables to </w:t>
      </w:r>
      <w:r w:rsidR="0000403F">
        <w:rPr>
          <w:rFonts w:ascii="Times New Roman" w:eastAsia="Times New Roman" w:hAnsi="Times New Roman" w:cs="Times New Roman"/>
          <w:sz w:val="24"/>
          <w:szCs w:val="24"/>
        </w:rPr>
        <w:t>the regression.</w:t>
      </w:r>
      <w:r w:rsidR="006B6039" w:rsidRPr="00FE540A">
        <w:rPr>
          <w:rFonts w:ascii="Times New Roman" w:eastAsia="Times New Roman" w:hAnsi="Times New Roman" w:cs="Times New Roman"/>
          <w:sz w:val="24"/>
          <w:szCs w:val="24"/>
        </w:rPr>
        <w:t xml:space="preserve"> Confirming the evidence from the univariate tests</w:t>
      </w:r>
      <w:r w:rsidR="000F0BC8" w:rsidRPr="00FE540A">
        <w:rPr>
          <w:rFonts w:ascii="Times New Roman" w:eastAsia="Times New Roman" w:hAnsi="Times New Roman" w:cs="Times New Roman"/>
          <w:sz w:val="24"/>
          <w:szCs w:val="24"/>
        </w:rPr>
        <w:t xml:space="preserve"> </w:t>
      </w:r>
      <w:r w:rsidR="003F2BAA">
        <w:rPr>
          <w:rFonts w:ascii="Times New Roman" w:eastAsia="Times New Roman" w:hAnsi="Times New Roman" w:cs="Times New Roman"/>
          <w:sz w:val="24"/>
          <w:szCs w:val="24"/>
        </w:rPr>
        <w:t xml:space="preserve">in </w:t>
      </w:r>
      <w:r w:rsidR="000F0BC8" w:rsidRPr="00FE540A">
        <w:rPr>
          <w:rFonts w:ascii="Times New Roman" w:eastAsia="Times New Roman" w:hAnsi="Times New Roman" w:cs="Times New Roman"/>
          <w:sz w:val="24"/>
          <w:szCs w:val="24"/>
        </w:rPr>
        <w:t>Table 2</w:t>
      </w:r>
      <w:r w:rsidR="006B6039" w:rsidRPr="00FE540A">
        <w:rPr>
          <w:rFonts w:ascii="Times New Roman" w:eastAsia="Times New Roman" w:hAnsi="Times New Roman" w:cs="Times New Roman"/>
          <w:sz w:val="24"/>
          <w:szCs w:val="24"/>
        </w:rPr>
        <w:t xml:space="preserve">, </w:t>
      </w:r>
      <w:r w:rsidR="006B6039" w:rsidRPr="00A74C3E">
        <w:rPr>
          <w:rFonts w:ascii="Times New Roman" w:eastAsia="Times New Roman" w:hAnsi="Times New Roman" w:cs="Times New Roman"/>
          <w:sz w:val="24"/>
          <w:szCs w:val="24"/>
        </w:rPr>
        <w:t xml:space="preserve">the coefficients of </w:t>
      </w:r>
      <w:r w:rsidR="000F0BC8" w:rsidRPr="00A74C3E">
        <w:rPr>
          <w:rFonts w:ascii="Times New Roman" w:eastAsia="Times New Roman" w:hAnsi="Times New Roman" w:cs="Times New Roman"/>
          <w:i/>
          <w:sz w:val="24"/>
          <w:szCs w:val="24"/>
        </w:rPr>
        <w:t>CEO Pay Gap</w:t>
      </w:r>
      <w:r w:rsidR="000F0BC8" w:rsidRPr="00A74C3E">
        <w:rPr>
          <w:rFonts w:ascii="Times New Roman" w:eastAsia="Times New Roman" w:hAnsi="Times New Roman" w:cs="Times New Roman"/>
          <w:sz w:val="24"/>
          <w:szCs w:val="24"/>
        </w:rPr>
        <w:t xml:space="preserve"> </w:t>
      </w:r>
      <w:r w:rsidR="006B6039" w:rsidRPr="00A74C3E">
        <w:rPr>
          <w:rFonts w:ascii="Times New Roman" w:eastAsia="Times New Roman" w:hAnsi="Times New Roman" w:cs="Times New Roman"/>
          <w:sz w:val="24"/>
          <w:szCs w:val="24"/>
        </w:rPr>
        <w:t>remain positive and statistically significant in both regressions</w:t>
      </w:r>
      <w:r w:rsidR="000F0BC8" w:rsidRPr="00A74C3E">
        <w:rPr>
          <w:rFonts w:ascii="Times New Roman" w:eastAsia="Times New Roman" w:hAnsi="Times New Roman" w:cs="Times New Roman"/>
          <w:sz w:val="24"/>
          <w:szCs w:val="24"/>
        </w:rPr>
        <w:t>. Based on regression (</w:t>
      </w:r>
      <w:r w:rsidR="008F0DB1" w:rsidRPr="00A74C3E">
        <w:rPr>
          <w:rFonts w:ascii="Times New Roman" w:eastAsia="Times New Roman" w:hAnsi="Times New Roman" w:cs="Times New Roman"/>
          <w:sz w:val="24"/>
          <w:szCs w:val="24"/>
        </w:rPr>
        <w:t>2</w:t>
      </w:r>
      <w:r w:rsidR="006B6039" w:rsidRPr="00A74C3E">
        <w:rPr>
          <w:rFonts w:ascii="Times New Roman" w:eastAsia="Times New Roman" w:hAnsi="Times New Roman" w:cs="Times New Roman"/>
          <w:sz w:val="24"/>
          <w:szCs w:val="24"/>
        </w:rPr>
        <w:t xml:space="preserve">), </w:t>
      </w:r>
      <w:r w:rsidR="000D70C7" w:rsidRPr="00A74C3E">
        <w:rPr>
          <w:rFonts w:ascii="Times New Roman" w:hAnsi="Times New Roman" w:cs="Times New Roman"/>
          <w:sz w:val="24"/>
          <w:szCs w:val="24"/>
          <w:lang w:val="en-US"/>
        </w:rPr>
        <w:t xml:space="preserve">an increase in </w:t>
      </w:r>
      <w:r w:rsidR="000D70C7" w:rsidRPr="00A74C3E">
        <w:rPr>
          <w:rFonts w:ascii="Times New Roman" w:hAnsi="Times New Roman" w:cs="Times New Roman"/>
          <w:i/>
          <w:sz w:val="24"/>
          <w:szCs w:val="24"/>
          <w:lang w:val="en-US"/>
        </w:rPr>
        <w:t>CEO Pay Gap</w:t>
      </w:r>
      <w:r w:rsidR="000D70C7" w:rsidRPr="00A74C3E">
        <w:rPr>
          <w:rFonts w:ascii="Times New Roman" w:hAnsi="Times New Roman" w:cs="Times New Roman"/>
          <w:sz w:val="24"/>
          <w:szCs w:val="24"/>
          <w:lang w:val="en-US"/>
        </w:rPr>
        <w:t xml:space="preserve"> from the lowest to the highest quintile results </w:t>
      </w:r>
      <w:r w:rsidR="00A74C3E" w:rsidRPr="00A74C3E">
        <w:rPr>
          <w:rFonts w:ascii="Times New Roman" w:hAnsi="Times New Roman" w:cs="Times New Roman"/>
          <w:sz w:val="24"/>
          <w:szCs w:val="24"/>
          <w:lang w:val="en-US"/>
        </w:rPr>
        <w:t>in a 5.6% proportional rise in</w:t>
      </w:r>
      <w:r w:rsidR="000D70C7" w:rsidRPr="00A74C3E">
        <w:rPr>
          <w:rFonts w:ascii="Times New Roman" w:hAnsi="Times New Roman" w:cs="Times New Roman"/>
          <w:sz w:val="24"/>
          <w:szCs w:val="24"/>
          <w:lang w:val="en-US"/>
        </w:rPr>
        <w:t xml:space="preserve"> institutional ownership</w:t>
      </w:r>
      <w:r w:rsidR="00A74C3E" w:rsidRPr="00A74C3E">
        <w:rPr>
          <w:rFonts w:ascii="Times New Roman" w:hAnsi="Times New Roman" w:cs="Times New Roman"/>
          <w:sz w:val="24"/>
          <w:szCs w:val="24"/>
          <w:lang w:val="en-US"/>
        </w:rPr>
        <w:t>.</w:t>
      </w:r>
      <w:r w:rsidR="00A74C3E">
        <w:rPr>
          <w:rStyle w:val="FootnoteReference"/>
          <w:rFonts w:ascii="Times New Roman" w:hAnsi="Times New Roman" w:cs="Times New Roman"/>
          <w:sz w:val="24"/>
          <w:szCs w:val="24"/>
          <w:lang w:val="en-US"/>
        </w:rPr>
        <w:footnoteReference w:id="6"/>
      </w:r>
      <w:r w:rsidR="00BD3664" w:rsidRPr="00A74C3E">
        <w:rPr>
          <w:rFonts w:ascii="Times New Roman" w:hAnsi="Times New Roman" w:cs="Times New Roman"/>
          <w:sz w:val="24"/>
          <w:szCs w:val="24"/>
        </w:rPr>
        <w:t xml:space="preserve"> </w:t>
      </w:r>
      <w:r w:rsidR="000D70C7" w:rsidRPr="00A74C3E">
        <w:rPr>
          <w:rFonts w:ascii="Times New Roman" w:hAnsi="Times New Roman" w:cs="Times New Roman"/>
          <w:sz w:val="24"/>
          <w:szCs w:val="24"/>
          <w:lang w:val="en-US"/>
        </w:rPr>
        <w:t>Given that institutiona</w:t>
      </w:r>
      <w:r w:rsidR="000D70C7">
        <w:rPr>
          <w:rFonts w:ascii="Times New Roman" w:hAnsi="Times New Roman" w:cs="Times New Roman"/>
          <w:sz w:val="24"/>
          <w:szCs w:val="24"/>
          <w:lang w:val="en-US"/>
        </w:rPr>
        <w:t xml:space="preserve">l investors in our sample </w:t>
      </w:r>
      <w:r w:rsidR="000D70C7" w:rsidRPr="00B8344A">
        <w:rPr>
          <w:rFonts w:ascii="Times New Roman" w:hAnsi="Times New Roman" w:cs="Times New Roman"/>
          <w:sz w:val="24"/>
          <w:szCs w:val="24"/>
          <w:lang w:val="en-US"/>
        </w:rPr>
        <w:t>invest</w:t>
      </w:r>
      <w:r>
        <w:rPr>
          <w:rFonts w:ascii="Times New Roman" w:hAnsi="Times New Roman" w:cs="Times New Roman"/>
          <w:sz w:val="24"/>
          <w:szCs w:val="24"/>
          <w:lang w:val="en-US"/>
        </w:rPr>
        <w:t>, on average,</w:t>
      </w:r>
      <w:r w:rsidR="000D70C7" w:rsidRPr="00B8344A">
        <w:rPr>
          <w:rFonts w:ascii="Times New Roman" w:hAnsi="Times New Roman" w:cs="Times New Roman"/>
          <w:sz w:val="24"/>
          <w:szCs w:val="24"/>
          <w:lang w:val="en-US"/>
        </w:rPr>
        <w:t xml:space="preserve"> $5.67 billion per firm</w:t>
      </w:r>
      <w:r w:rsidR="000D70C7">
        <w:rPr>
          <w:rFonts w:ascii="Times New Roman" w:hAnsi="Times New Roman" w:cs="Times New Roman"/>
          <w:sz w:val="24"/>
          <w:szCs w:val="24"/>
          <w:lang w:val="en-US"/>
        </w:rPr>
        <w:t xml:space="preserve">, this represents an </w:t>
      </w:r>
      <w:r w:rsidR="000D70C7" w:rsidRPr="00B8344A">
        <w:rPr>
          <w:rFonts w:ascii="Times New Roman" w:hAnsi="Times New Roman" w:cs="Times New Roman"/>
          <w:sz w:val="24"/>
          <w:szCs w:val="24"/>
          <w:lang w:val="en-US"/>
        </w:rPr>
        <w:t>additional $318 million dollar investment</w:t>
      </w:r>
      <w:r w:rsidR="000D70C7">
        <w:rPr>
          <w:rFonts w:ascii="Times New Roman" w:hAnsi="Times New Roman" w:cs="Times New Roman"/>
          <w:sz w:val="24"/>
          <w:szCs w:val="24"/>
          <w:lang w:val="en-US"/>
        </w:rPr>
        <w:t xml:space="preserve"> from institutional investors into the firm.</w:t>
      </w:r>
      <w:r w:rsidR="000D70C7" w:rsidRPr="00B8344A">
        <w:rPr>
          <w:rFonts w:ascii="Times New Roman" w:hAnsi="Times New Roman" w:cs="Times New Roman"/>
          <w:sz w:val="24"/>
          <w:szCs w:val="24"/>
          <w:lang w:val="en-US"/>
        </w:rPr>
        <w:t xml:space="preserve"> </w:t>
      </w:r>
    </w:p>
    <w:p w14:paraId="431ABF3A" w14:textId="41EE4EB9" w:rsidR="006B6039" w:rsidRPr="00FE540A" w:rsidRDefault="00C13C1E" w:rsidP="00F4488D">
      <w:pPr>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As a preliminary means of addressing </w:t>
      </w:r>
      <w:proofErr w:type="spellStart"/>
      <w:r w:rsidR="006B6039" w:rsidRPr="00FE540A">
        <w:rPr>
          <w:rFonts w:ascii="Times New Roman" w:eastAsia="Times New Roman" w:hAnsi="Times New Roman" w:cs="Times New Roman"/>
          <w:sz w:val="24"/>
          <w:szCs w:val="24"/>
        </w:rPr>
        <w:t>endogeneity</w:t>
      </w:r>
      <w:proofErr w:type="spellEnd"/>
      <w:r w:rsidR="00937ACB">
        <w:rPr>
          <w:rFonts w:ascii="Times New Roman" w:eastAsia="Times New Roman" w:hAnsi="Times New Roman" w:cs="Times New Roman"/>
          <w:sz w:val="24"/>
          <w:szCs w:val="24"/>
        </w:rPr>
        <w:t xml:space="preserve">, </w:t>
      </w:r>
      <w:r w:rsidR="00B4632B">
        <w:rPr>
          <w:rFonts w:ascii="Times New Roman" w:eastAsia="Times New Roman" w:hAnsi="Times New Roman" w:cs="Times New Roman"/>
          <w:sz w:val="24"/>
          <w:szCs w:val="24"/>
        </w:rPr>
        <w:t>Columns (3) and (4)</w:t>
      </w:r>
      <w:r>
        <w:rPr>
          <w:rFonts w:ascii="Times New Roman" w:eastAsia="Times New Roman" w:hAnsi="Times New Roman" w:cs="Times New Roman"/>
          <w:sz w:val="24"/>
          <w:szCs w:val="24"/>
        </w:rPr>
        <w:t xml:space="preserve"> show the </w:t>
      </w:r>
      <w:r w:rsidRPr="0072409C">
        <w:rPr>
          <w:rFonts w:ascii="Times New Roman" w:eastAsia="Times New Roman" w:hAnsi="Times New Roman" w:cs="Times New Roman"/>
          <w:noProof/>
          <w:sz w:val="24"/>
          <w:szCs w:val="24"/>
        </w:rPr>
        <w:t xml:space="preserve">results </w:t>
      </w:r>
      <w:r w:rsidR="00835C99" w:rsidRPr="0072409C">
        <w:rPr>
          <w:rFonts w:ascii="Times New Roman" w:eastAsia="Times New Roman" w:hAnsi="Times New Roman" w:cs="Times New Roman"/>
          <w:noProof/>
          <w:sz w:val="24"/>
          <w:szCs w:val="24"/>
        </w:rPr>
        <w:t xml:space="preserve"> based</w:t>
      </w:r>
      <w:r w:rsidR="00835C99">
        <w:rPr>
          <w:rFonts w:ascii="Times New Roman" w:eastAsia="Times New Roman" w:hAnsi="Times New Roman" w:cs="Times New Roman"/>
          <w:sz w:val="24"/>
          <w:szCs w:val="24"/>
        </w:rPr>
        <w:t xml:space="preserve"> on the use of </w:t>
      </w:r>
      <w:r w:rsidR="006B6039" w:rsidRPr="00FE540A">
        <w:rPr>
          <w:rFonts w:ascii="Times New Roman" w:eastAsia="Times New Roman" w:hAnsi="Times New Roman" w:cs="Times New Roman"/>
          <w:sz w:val="24"/>
          <w:szCs w:val="24"/>
        </w:rPr>
        <w:t xml:space="preserve">lagged </w:t>
      </w:r>
      <w:r w:rsidR="00D9009A" w:rsidRPr="00FE540A">
        <w:rPr>
          <w:rFonts w:ascii="Times New Roman" w:eastAsia="Times New Roman" w:hAnsi="Times New Roman" w:cs="Times New Roman"/>
          <w:i/>
          <w:sz w:val="24"/>
          <w:szCs w:val="24"/>
        </w:rPr>
        <w:t>CEO Pay Gap</w:t>
      </w:r>
      <w:r w:rsidR="00D9009A" w:rsidRPr="00FE540A">
        <w:rPr>
          <w:rFonts w:ascii="Times New Roman" w:eastAsia="Times New Roman" w:hAnsi="Times New Roman" w:cs="Times New Roman"/>
          <w:sz w:val="24"/>
          <w:szCs w:val="24"/>
        </w:rPr>
        <w:t xml:space="preserve"> </w:t>
      </w:r>
      <w:r w:rsidR="006B6039" w:rsidRPr="00FE540A">
        <w:rPr>
          <w:rFonts w:ascii="Times New Roman" w:eastAsia="Times New Roman" w:hAnsi="Times New Roman" w:cs="Times New Roman"/>
          <w:sz w:val="24"/>
          <w:szCs w:val="24"/>
        </w:rPr>
        <w:t>as an exogenous variable</w:t>
      </w:r>
      <w:r w:rsidR="00835C99">
        <w:rPr>
          <w:rFonts w:ascii="Times New Roman" w:eastAsia="Times New Roman" w:hAnsi="Times New Roman" w:cs="Times New Roman"/>
          <w:sz w:val="24"/>
          <w:szCs w:val="24"/>
        </w:rPr>
        <w:t xml:space="preserve"> to</w:t>
      </w:r>
      <w:r w:rsidR="000D70C7">
        <w:rPr>
          <w:rFonts w:ascii="Times New Roman" w:eastAsia="Times New Roman" w:hAnsi="Times New Roman" w:cs="Times New Roman"/>
          <w:sz w:val="24"/>
          <w:szCs w:val="24"/>
        </w:rPr>
        <w:t xml:space="preserve"> mitigate the</w:t>
      </w:r>
      <w:r w:rsidR="006B6039" w:rsidRPr="00FE540A">
        <w:rPr>
          <w:rFonts w:ascii="Times New Roman" w:eastAsia="Times New Roman" w:hAnsi="Times New Roman" w:cs="Times New Roman"/>
          <w:sz w:val="24"/>
          <w:szCs w:val="24"/>
        </w:rPr>
        <w:t xml:space="preserve"> concern that an unidentified variable in year </w:t>
      </w:r>
      <w:r w:rsidR="006B6039" w:rsidRPr="00B4632B">
        <w:rPr>
          <w:rFonts w:ascii="Times New Roman" w:eastAsia="Times New Roman" w:hAnsi="Times New Roman" w:cs="Times New Roman"/>
          <w:i/>
          <w:sz w:val="24"/>
          <w:szCs w:val="24"/>
        </w:rPr>
        <w:t>t</w:t>
      </w:r>
      <w:r w:rsidR="006B6039" w:rsidRPr="00FE540A">
        <w:rPr>
          <w:rFonts w:ascii="Times New Roman" w:eastAsia="Times New Roman" w:hAnsi="Times New Roman" w:cs="Times New Roman"/>
          <w:sz w:val="24"/>
          <w:szCs w:val="24"/>
        </w:rPr>
        <w:t xml:space="preserve"> is correlated with both </w:t>
      </w:r>
      <w:r w:rsidR="00D9009A" w:rsidRPr="00FE540A">
        <w:rPr>
          <w:rFonts w:ascii="Times New Roman" w:eastAsia="Times New Roman" w:hAnsi="Times New Roman" w:cs="Times New Roman"/>
          <w:i/>
          <w:sz w:val="24"/>
          <w:szCs w:val="24"/>
        </w:rPr>
        <w:t>CEO Pay Gap</w:t>
      </w:r>
      <w:r w:rsidR="00D9009A" w:rsidRPr="00FE540A">
        <w:rPr>
          <w:rFonts w:ascii="Times New Roman" w:eastAsia="Times New Roman" w:hAnsi="Times New Roman" w:cs="Times New Roman"/>
          <w:sz w:val="24"/>
          <w:szCs w:val="24"/>
        </w:rPr>
        <w:t xml:space="preserve"> </w:t>
      </w:r>
      <w:r w:rsidR="006B6039" w:rsidRPr="00FE540A">
        <w:rPr>
          <w:rFonts w:ascii="Times New Roman" w:eastAsia="Times New Roman" w:hAnsi="Times New Roman" w:cs="Times New Roman"/>
          <w:sz w:val="24"/>
          <w:szCs w:val="24"/>
        </w:rPr>
        <w:t xml:space="preserve">and </w:t>
      </w:r>
      <w:r w:rsidR="00D9009A" w:rsidRPr="00FE540A">
        <w:rPr>
          <w:rFonts w:ascii="Times New Roman" w:eastAsia="Times New Roman" w:hAnsi="Times New Roman" w:cs="Times New Roman"/>
          <w:i/>
          <w:sz w:val="24"/>
          <w:szCs w:val="24"/>
        </w:rPr>
        <w:t xml:space="preserve">Inst. Holdings </w:t>
      </w:r>
      <w:r w:rsidR="006B6039" w:rsidRPr="00FE540A">
        <w:rPr>
          <w:rFonts w:ascii="Times New Roman" w:eastAsia="Times New Roman" w:hAnsi="Times New Roman" w:cs="Times New Roman"/>
          <w:sz w:val="24"/>
          <w:szCs w:val="24"/>
        </w:rPr>
        <w:t xml:space="preserve">at year </w:t>
      </w:r>
      <w:r w:rsidR="006B6039" w:rsidRPr="00B4632B">
        <w:rPr>
          <w:rFonts w:ascii="Times New Roman" w:eastAsia="Times New Roman" w:hAnsi="Times New Roman" w:cs="Times New Roman"/>
          <w:i/>
          <w:sz w:val="24"/>
          <w:szCs w:val="24"/>
        </w:rPr>
        <w:t>t</w:t>
      </w:r>
      <w:r w:rsidR="006B6039" w:rsidRPr="00FE5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835C99">
        <w:rPr>
          <w:rFonts w:ascii="Times New Roman" w:eastAsia="Times New Roman" w:hAnsi="Times New Roman" w:cs="Times New Roman"/>
          <w:sz w:val="24"/>
          <w:szCs w:val="24"/>
        </w:rPr>
        <w:t xml:space="preserve">sing the lagged value </w:t>
      </w:r>
      <w:r>
        <w:rPr>
          <w:rFonts w:ascii="Times New Roman" w:eastAsia="Times New Roman" w:hAnsi="Times New Roman" w:cs="Times New Roman"/>
          <w:sz w:val="24"/>
          <w:szCs w:val="24"/>
        </w:rPr>
        <w:t xml:space="preserve">also </w:t>
      </w:r>
      <w:r w:rsidR="00B4632B">
        <w:rPr>
          <w:rFonts w:ascii="Times New Roman" w:eastAsia="Times New Roman" w:hAnsi="Times New Roman" w:cs="Times New Roman"/>
          <w:sz w:val="24"/>
          <w:szCs w:val="24"/>
        </w:rPr>
        <w:t>limits the possibility that</w:t>
      </w:r>
      <w:r w:rsidR="006B6039" w:rsidRPr="00FE540A">
        <w:rPr>
          <w:rFonts w:ascii="Times New Roman" w:eastAsia="Times New Roman" w:hAnsi="Times New Roman" w:cs="Times New Roman"/>
          <w:sz w:val="24"/>
          <w:szCs w:val="24"/>
        </w:rPr>
        <w:t xml:space="preserve"> </w:t>
      </w:r>
      <w:r w:rsidR="00D9009A" w:rsidRPr="00FE540A">
        <w:rPr>
          <w:rFonts w:ascii="Times New Roman" w:eastAsia="Times New Roman" w:hAnsi="Times New Roman" w:cs="Times New Roman"/>
          <w:i/>
          <w:sz w:val="24"/>
          <w:szCs w:val="24"/>
        </w:rPr>
        <w:t xml:space="preserve">Inst. Holdings </w:t>
      </w:r>
      <w:r w:rsidR="006B6039" w:rsidRPr="00FE540A">
        <w:rPr>
          <w:rFonts w:ascii="Times New Roman" w:eastAsia="Times New Roman" w:hAnsi="Times New Roman" w:cs="Times New Roman"/>
          <w:sz w:val="24"/>
          <w:szCs w:val="24"/>
        </w:rPr>
        <w:t xml:space="preserve">at year </w:t>
      </w:r>
      <w:r w:rsidR="006B6039" w:rsidRPr="00B4632B">
        <w:rPr>
          <w:rFonts w:ascii="Times New Roman" w:eastAsia="Times New Roman" w:hAnsi="Times New Roman" w:cs="Times New Roman"/>
          <w:i/>
          <w:sz w:val="24"/>
          <w:szCs w:val="24"/>
        </w:rPr>
        <w:t>t</w:t>
      </w:r>
      <w:r w:rsidR="006B6039" w:rsidRPr="00FE540A">
        <w:rPr>
          <w:rFonts w:ascii="Times New Roman" w:eastAsia="Times New Roman" w:hAnsi="Times New Roman" w:cs="Times New Roman"/>
          <w:sz w:val="24"/>
          <w:szCs w:val="24"/>
        </w:rPr>
        <w:t xml:space="preserve"> </w:t>
      </w:r>
      <w:r w:rsidR="00B4632B">
        <w:rPr>
          <w:rFonts w:ascii="Times New Roman" w:eastAsia="Times New Roman" w:hAnsi="Times New Roman" w:cs="Times New Roman"/>
          <w:sz w:val="24"/>
          <w:szCs w:val="24"/>
        </w:rPr>
        <w:t>can affect</w:t>
      </w:r>
      <w:r w:rsidR="006B6039" w:rsidRPr="00FE540A">
        <w:rPr>
          <w:rFonts w:ascii="Times New Roman" w:eastAsia="Times New Roman" w:hAnsi="Times New Roman" w:cs="Times New Roman"/>
          <w:sz w:val="24"/>
          <w:szCs w:val="24"/>
        </w:rPr>
        <w:t xml:space="preserve"> lagged </w:t>
      </w:r>
      <w:r w:rsidR="00D9009A" w:rsidRPr="00FE540A">
        <w:rPr>
          <w:rFonts w:ascii="Times New Roman" w:eastAsia="Times New Roman" w:hAnsi="Times New Roman" w:cs="Times New Roman"/>
          <w:i/>
          <w:sz w:val="24"/>
          <w:szCs w:val="24"/>
        </w:rPr>
        <w:t>CEO Pay Gap</w:t>
      </w:r>
      <w:r w:rsidR="00D9009A" w:rsidRPr="00FE540A">
        <w:rPr>
          <w:rFonts w:ascii="Times New Roman" w:eastAsia="Times New Roman" w:hAnsi="Times New Roman" w:cs="Times New Roman"/>
          <w:sz w:val="24"/>
          <w:szCs w:val="24"/>
        </w:rPr>
        <w:t xml:space="preserve"> </w:t>
      </w:r>
      <w:r w:rsidR="006B6039" w:rsidRPr="00FE540A">
        <w:rPr>
          <w:rFonts w:ascii="Times New Roman" w:eastAsia="Times New Roman" w:hAnsi="Times New Roman" w:cs="Times New Roman"/>
          <w:sz w:val="24"/>
          <w:szCs w:val="24"/>
        </w:rPr>
        <w:t xml:space="preserve">(Fang et al., 2009; </w:t>
      </w:r>
      <w:proofErr w:type="spellStart"/>
      <w:r w:rsidR="006B6039" w:rsidRPr="00FE540A">
        <w:rPr>
          <w:rFonts w:ascii="Times New Roman" w:eastAsia="Times New Roman" w:hAnsi="Times New Roman" w:cs="Times New Roman"/>
          <w:sz w:val="24"/>
          <w:szCs w:val="24"/>
        </w:rPr>
        <w:t>Jayaraman</w:t>
      </w:r>
      <w:proofErr w:type="spellEnd"/>
      <w:r w:rsidR="006B6039" w:rsidRPr="00FE540A">
        <w:rPr>
          <w:rFonts w:ascii="Times New Roman" w:eastAsia="Times New Roman" w:hAnsi="Times New Roman" w:cs="Times New Roman"/>
          <w:sz w:val="24"/>
          <w:szCs w:val="24"/>
        </w:rPr>
        <w:t xml:space="preserve"> &amp; Milbourn, 2012).</w:t>
      </w:r>
      <w:proofErr w:type="gramEnd"/>
      <w:r w:rsidR="006B6039" w:rsidRPr="00FE540A">
        <w:rPr>
          <w:rFonts w:ascii="Times New Roman" w:eastAsia="Times New Roman" w:hAnsi="Times New Roman" w:cs="Times New Roman"/>
          <w:sz w:val="24"/>
          <w:szCs w:val="24"/>
        </w:rPr>
        <w:t xml:space="preserve"> Consistent with </w:t>
      </w:r>
      <w:r w:rsidR="00B4632B">
        <w:rPr>
          <w:rFonts w:ascii="Times New Roman" w:eastAsia="Times New Roman" w:hAnsi="Times New Roman" w:cs="Times New Roman"/>
          <w:sz w:val="24"/>
          <w:szCs w:val="24"/>
        </w:rPr>
        <w:t xml:space="preserve">our </w:t>
      </w:r>
      <w:r w:rsidR="00D9009A" w:rsidRPr="00FE540A">
        <w:rPr>
          <w:rFonts w:ascii="Times New Roman" w:eastAsia="Times New Roman" w:hAnsi="Times New Roman" w:cs="Times New Roman"/>
          <w:sz w:val="24"/>
          <w:szCs w:val="24"/>
        </w:rPr>
        <w:t>previous results</w:t>
      </w:r>
      <w:r w:rsidR="006B6039" w:rsidRPr="00FE540A">
        <w:rPr>
          <w:rFonts w:ascii="Times New Roman" w:eastAsia="Times New Roman" w:hAnsi="Times New Roman" w:cs="Times New Roman"/>
          <w:sz w:val="24"/>
          <w:szCs w:val="24"/>
        </w:rPr>
        <w:t xml:space="preserve">, the coefficients of </w:t>
      </w:r>
      <w:r w:rsidR="00C06782" w:rsidRPr="00FE540A">
        <w:rPr>
          <w:rFonts w:ascii="Times New Roman" w:eastAsia="Times New Roman" w:hAnsi="Times New Roman" w:cs="Times New Roman"/>
          <w:sz w:val="24"/>
          <w:szCs w:val="24"/>
        </w:rPr>
        <w:t>lag</w:t>
      </w:r>
      <w:r w:rsidR="00B4632B">
        <w:rPr>
          <w:rFonts w:ascii="Times New Roman" w:eastAsia="Times New Roman" w:hAnsi="Times New Roman" w:cs="Times New Roman"/>
          <w:sz w:val="24"/>
          <w:szCs w:val="24"/>
        </w:rPr>
        <w:t>ged</w:t>
      </w:r>
      <w:r w:rsidR="00C06782" w:rsidRPr="00FE540A">
        <w:rPr>
          <w:rFonts w:ascii="Times New Roman" w:eastAsia="Times New Roman" w:hAnsi="Times New Roman" w:cs="Times New Roman"/>
          <w:sz w:val="24"/>
          <w:szCs w:val="24"/>
        </w:rPr>
        <w:t xml:space="preserve"> </w:t>
      </w:r>
      <w:r w:rsidR="00D9009A" w:rsidRPr="00FE540A">
        <w:rPr>
          <w:rFonts w:ascii="Times New Roman" w:eastAsia="Times New Roman" w:hAnsi="Times New Roman" w:cs="Times New Roman"/>
          <w:i/>
          <w:sz w:val="24"/>
          <w:szCs w:val="24"/>
        </w:rPr>
        <w:t>CEO Pay Gap</w:t>
      </w:r>
      <w:r w:rsidR="006B6039" w:rsidRPr="00FE540A">
        <w:rPr>
          <w:rFonts w:ascii="Times New Roman" w:eastAsia="Times New Roman" w:hAnsi="Times New Roman" w:cs="Times New Roman"/>
          <w:sz w:val="24"/>
          <w:szCs w:val="24"/>
        </w:rPr>
        <w:t xml:space="preserve"> are also positive and statistically </w:t>
      </w:r>
      <w:r w:rsidR="006B6039" w:rsidRPr="00FE540A">
        <w:rPr>
          <w:rFonts w:ascii="Times New Roman" w:eastAsia="Times New Roman" w:hAnsi="Times New Roman" w:cs="Times New Roman"/>
          <w:sz w:val="24"/>
          <w:szCs w:val="24"/>
        </w:rPr>
        <w:lastRenderedPageBreak/>
        <w:t xml:space="preserve">significant at </w:t>
      </w:r>
      <w:r w:rsidR="001A0052" w:rsidRPr="00FE540A">
        <w:rPr>
          <w:rFonts w:ascii="Times New Roman" w:eastAsia="Times New Roman" w:hAnsi="Times New Roman" w:cs="Times New Roman"/>
          <w:sz w:val="24"/>
          <w:szCs w:val="24"/>
        </w:rPr>
        <w:t xml:space="preserve">the </w:t>
      </w:r>
      <w:r w:rsidR="00B4632B">
        <w:rPr>
          <w:rFonts w:ascii="Times New Roman" w:eastAsia="Times New Roman" w:hAnsi="Times New Roman" w:cs="Times New Roman"/>
          <w:sz w:val="24"/>
          <w:szCs w:val="24"/>
        </w:rPr>
        <w:t>1%</w:t>
      </w:r>
      <w:r w:rsidR="006B6039" w:rsidRPr="00FE540A">
        <w:rPr>
          <w:rFonts w:ascii="Times New Roman" w:eastAsia="Times New Roman" w:hAnsi="Times New Roman" w:cs="Times New Roman"/>
          <w:sz w:val="24"/>
          <w:szCs w:val="24"/>
        </w:rPr>
        <w:t xml:space="preserve"> level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does not substantially change the size of the coefficient</w:t>
      </w:r>
      <w:r w:rsidR="006B6039" w:rsidRPr="00FE540A">
        <w:rPr>
          <w:rFonts w:ascii="Times New Roman" w:eastAsia="Times New Roman" w:hAnsi="Times New Roman" w:cs="Times New Roman"/>
          <w:sz w:val="24"/>
          <w:szCs w:val="24"/>
        </w:rPr>
        <w:t xml:space="preserve">. </w:t>
      </w:r>
      <w:r w:rsidR="00B4632B">
        <w:rPr>
          <w:rFonts w:ascii="Times New Roman" w:eastAsia="Times New Roman" w:hAnsi="Times New Roman" w:cs="Times New Roman"/>
          <w:sz w:val="24"/>
          <w:szCs w:val="24"/>
        </w:rPr>
        <w:t>Taken together, these r</w:t>
      </w:r>
      <w:r w:rsidR="00C06782" w:rsidRPr="00FE540A">
        <w:rPr>
          <w:rFonts w:ascii="Times New Roman" w:eastAsia="Times New Roman" w:hAnsi="Times New Roman" w:cs="Times New Roman"/>
          <w:sz w:val="24"/>
          <w:szCs w:val="24"/>
        </w:rPr>
        <w:t xml:space="preserve">esults support </w:t>
      </w:r>
      <w:r w:rsidR="00B4632B">
        <w:rPr>
          <w:rFonts w:ascii="Times New Roman" w:eastAsia="Times New Roman" w:hAnsi="Times New Roman" w:cs="Times New Roman"/>
          <w:sz w:val="24"/>
          <w:szCs w:val="24"/>
        </w:rPr>
        <w:t>our</w:t>
      </w:r>
      <w:r w:rsidR="00C06782" w:rsidRPr="00FE540A">
        <w:rPr>
          <w:rFonts w:ascii="Times New Roman" w:eastAsia="Times New Roman" w:hAnsi="Times New Roman" w:cs="Times New Roman"/>
          <w:sz w:val="24"/>
          <w:szCs w:val="24"/>
        </w:rPr>
        <w:t xml:space="preserve"> hypothesis </w:t>
      </w:r>
      <w:r w:rsidR="00B4632B">
        <w:rPr>
          <w:rFonts w:ascii="Times New Roman" w:eastAsia="Times New Roman" w:hAnsi="Times New Roman" w:cs="Times New Roman"/>
          <w:sz w:val="24"/>
          <w:szCs w:val="24"/>
        </w:rPr>
        <w:t>that</w:t>
      </w:r>
      <w:r w:rsidR="00C06782" w:rsidRPr="00FE540A">
        <w:rPr>
          <w:rFonts w:ascii="Times New Roman" w:eastAsia="Times New Roman" w:hAnsi="Times New Roman" w:cs="Times New Roman"/>
          <w:sz w:val="24"/>
          <w:szCs w:val="24"/>
        </w:rPr>
        <w:t xml:space="preserve"> </w:t>
      </w:r>
      <w:r w:rsidR="00B4632B">
        <w:rPr>
          <w:rFonts w:ascii="Times New Roman" w:eastAsia="Times New Roman" w:hAnsi="Times New Roman" w:cs="Times New Roman"/>
          <w:sz w:val="24"/>
          <w:szCs w:val="24"/>
        </w:rPr>
        <w:t xml:space="preserve">the </w:t>
      </w:r>
      <w:r w:rsidR="00C06782" w:rsidRPr="00FE540A">
        <w:rPr>
          <w:rFonts w:ascii="Times New Roman" w:eastAsia="Times New Roman" w:hAnsi="Times New Roman" w:cs="Times New Roman"/>
          <w:sz w:val="24"/>
          <w:szCs w:val="24"/>
        </w:rPr>
        <w:t xml:space="preserve">strength of tournament competition influences institutional ownership levels. </w:t>
      </w:r>
    </w:p>
    <w:p w14:paraId="31E21DED" w14:textId="79DC4E2A" w:rsidR="00F4488D" w:rsidRPr="008C4B82" w:rsidRDefault="00C13C1E" w:rsidP="00C13C1E">
      <w:pPr>
        <w:autoSpaceDE w:val="0"/>
        <w:autoSpaceDN w:val="0"/>
        <w:adjustRightInd w:val="0"/>
        <w:spacing w:after="120" w:line="48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To more formally </w:t>
      </w:r>
      <w:r w:rsidR="00F4488D" w:rsidRPr="00DE0E52">
        <w:rPr>
          <w:rFonts w:ascii="Times New Roman" w:eastAsia="Times New Roman" w:hAnsi="Times New Roman" w:cs="Times New Roman"/>
          <w:sz w:val="24"/>
          <w:szCs w:val="24"/>
        </w:rPr>
        <w:t>address</w:t>
      </w:r>
      <w:proofErr w:type="gramEnd"/>
      <w:r w:rsidR="00F4488D" w:rsidRPr="00DE0E52">
        <w:rPr>
          <w:rFonts w:ascii="Times New Roman" w:eastAsia="Times New Roman" w:hAnsi="Times New Roman" w:cs="Times New Roman"/>
          <w:sz w:val="24"/>
          <w:szCs w:val="24"/>
        </w:rPr>
        <w:t xml:space="preserve"> </w:t>
      </w:r>
      <w:r w:rsidR="00835C99">
        <w:rPr>
          <w:rFonts w:ascii="Times New Roman" w:eastAsia="Times New Roman" w:hAnsi="Times New Roman" w:cs="Times New Roman"/>
          <w:sz w:val="24"/>
          <w:szCs w:val="24"/>
        </w:rPr>
        <w:t xml:space="preserve">possible </w:t>
      </w:r>
      <w:proofErr w:type="spellStart"/>
      <w:r w:rsidR="00F4488D" w:rsidRPr="00DE0E52">
        <w:rPr>
          <w:rFonts w:ascii="Times New Roman" w:eastAsia="Times New Roman" w:hAnsi="Times New Roman" w:cs="Times New Roman"/>
          <w:sz w:val="24"/>
          <w:szCs w:val="24"/>
        </w:rPr>
        <w:t>endogeneity</w:t>
      </w:r>
      <w:proofErr w:type="spellEnd"/>
      <w:r w:rsidR="00F4488D" w:rsidRPr="00DE0E52">
        <w:rPr>
          <w:rFonts w:ascii="Times New Roman" w:eastAsia="Times New Roman" w:hAnsi="Times New Roman" w:cs="Times New Roman"/>
          <w:sz w:val="24"/>
          <w:szCs w:val="24"/>
        </w:rPr>
        <w:t xml:space="preserve"> issue</w:t>
      </w:r>
      <w:r w:rsidR="00835C99">
        <w:rPr>
          <w:rFonts w:ascii="Times New Roman" w:eastAsia="Times New Roman" w:hAnsi="Times New Roman" w:cs="Times New Roman"/>
          <w:sz w:val="24"/>
          <w:szCs w:val="24"/>
        </w:rPr>
        <w:t xml:space="preserve">s, we </w:t>
      </w:r>
      <w:r w:rsidR="00F4488D" w:rsidRPr="00DE0E52">
        <w:rPr>
          <w:rFonts w:ascii="Times New Roman" w:eastAsia="Times New Roman" w:hAnsi="Times New Roman" w:cs="Times New Roman"/>
          <w:sz w:val="24"/>
          <w:szCs w:val="24"/>
        </w:rPr>
        <w:t>apply an instrumental variable</w:t>
      </w:r>
      <w:r w:rsidR="00F4488D">
        <w:rPr>
          <w:rFonts w:ascii="Times New Roman" w:eastAsia="Times New Roman" w:hAnsi="Times New Roman" w:cs="Times New Roman"/>
          <w:sz w:val="24"/>
          <w:szCs w:val="24"/>
        </w:rPr>
        <w:t xml:space="preserve"> </w:t>
      </w:r>
      <w:r w:rsidR="00835C99">
        <w:rPr>
          <w:rFonts w:ascii="Times New Roman" w:eastAsia="Times New Roman" w:hAnsi="Times New Roman" w:cs="Times New Roman"/>
          <w:sz w:val="24"/>
          <w:szCs w:val="24"/>
        </w:rPr>
        <w:t xml:space="preserve">(IV) </w:t>
      </w:r>
      <w:r w:rsidR="00F4488D">
        <w:rPr>
          <w:rFonts w:ascii="Times New Roman" w:eastAsia="Times New Roman" w:hAnsi="Times New Roman" w:cs="Times New Roman"/>
          <w:sz w:val="24"/>
          <w:szCs w:val="24"/>
        </w:rPr>
        <w:t>approach</w:t>
      </w:r>
      <w:r>
        <w:rPr>
          <w:rFonts w:ascii="Times New Roman" w:eastAsia="Times New Roman" w:hAnsi="Times New Roman" w:cs="Times New Roman"/>
          <w:sz w:val="24"/>
          <w:szCs w:val="24"/>
        </w:rPr>
        <w:t xml:space="preserve"> using two independent IVs in two separate regressions</w:t>
      </w:r>
      <w:r w:rsidR="00835C99">
        <w:rPr>
          <w:rFonts w:ascii="Times New Roman" w:eastAsia="Times New Roman" w:hAnsi="Times New Roman" w:cs="Times New Roman"/>
          <w:sz w:val="24"/>
          <w:szCs w:val="24"/>
        </w:rPr>
        <w:t>.</w:t>
      </w:r>
      <w:r w:rsidR="00F4488D">
        <w:rPr>
          <w:rFonts w:ascii="Times New Roman" w:eastAsia="Times New Roman" w:hAnsi="Times New Roman" w:cs="Times New Roman"/>
          <w:sz w:val="24"/>
          <w:szCs w:val="24"/>
        </w:rPr>
        <w:t xml:space="preserve"> The first IV </w:t>
      </w:r>
      <w:r w:rsidR="00835C99">
        <w:rPr>
          <w:rFonts w:ascii="Times New Roman" w:eastAsia="Times New Roman" w:hAnsi="Times New Roman" w:cs="Times New Roman"/>
          <w:sz w:val="24"/>
          <w:szCs w:val="24"/>
        </w:rPr>
        <w:t xml:space="preserve">that </w:t>
      </w:r>
      <w:r w:rsidR="00F4488D">
        <w:rPr>
          <w:rFonts w:ascii="Times New Roman" w:eastAsia="Times New Roman" w:hAnsi="Times New Roman" w:cs="Times New Roman"/>
          <w:sz w:val="24"/>
          <w:szCs w:val="24"/>
        </w:rPr>
        <w:t xml:space="preserve">we consider </w:t>
      </w:r>
      <w:r w:rsidR="006050BA">
        <w:rPr>
          <w:rFonts w:ascii="Times New Roman" w:eastAsia="Times New Roman" w:hAnsi="Times New Roman" w:cs="Times New Roman"/>
          <w:sz w:val="24"/>
          <w:szCs w:val="24"/>
        </w:rPr>
        <w:t xml:space="preserve">is an </w:t>
      </w:r>
      <w:r w:rsidR="006050BA">
        <w:rPr>
          <w:rFonts w:ascii="Times New Roman" w:eastAsia="Times New Roman" w:hAnsi="Times New Roman" w:cs="Times New Roman"/>
          <w:i/>
          <w:sz w:val="24"/>
          <w:szCs w:val="24"/>
        </w:rPr>
        <w:t>I</w:t>
      </w:r>
      <w:r w:rsidR="00835C99" w:rsidRPr="00C10B0F">
        <w:rPr>
          <w:rFonts w:ascii="Times New Roman" w:eastAsia="Times New Roman" w:hAnsi="Times New Roman" w:cs="Times New Roman"/>
          <w:i/>
          <w:sz w:val="24"/>
          <w:szCs w:val="24"/>
        </w:rPr>
        <w:t>ndustry</w:t>
      </w:r>
      <w:r w:rsidR="00835C99">
        <w:rPr>
          <w:rFonts w:ascii="Times New Roman" w:eastAsia="Times New Roman" w:hAnsi="Times New Roman" w:cs="Times New Roman"/>
          <w:sz w:val="24"/>
          <w:szCs w:val="24"/>
        </w:rPr>
        <w:t xml:space="preserve"> IV </w:t>
      </w:r>
      <w:r w:rsidR="006050BA">
        <w:rPr>
          <w:rFonts w:ascii="Times New Roman" w:eastAsia="Times New Roman" w:hAnsi="Times New Roman" w:cs="Times New Roman"/>
          <w:sz w:val="24"/>
          <w:szCs w:val="24"/>
        </w:rPr>
        <w:t xml:space="preserve">that </w:t>
      </w:r>
      <w:proofErr w:type="gramStart"/>
      <w:r w:rsidR="00F4488D">
        <w:rPr>
          <w:rFonts w:ascii="Times New Roman" w:eastAsia="Times New Roman" w:hAnsi="Times New Roman" w:cs="Times New Roman"/>
          <w:sz w:val="24"/>
          <w:szCs w:val="24"/>
        </w:rPr>
        <w:t>is based</w:t>
      </w:r>
      <w:proofErr w:type="gramEnd"/>
      <w:r w:rsidR="00F4488D">
        <w:rPr>
          <w:rFonts w:ascii="Times New Roman" w:eastAsia="Times New Roman" w:hAnsi="Times New Roman" w:cs="Times New Roman"/>
          <w:sz w:val="24"/>
          <w:szCs w:val="24"/>
        </w:rPr>
        <w:t xml:space="preserve"> on the prior literature</w:t>
      </w:r>
      <w:r w:rsidR="00835C99">
        <w:rPr>
          <w:rFonts w:ascii="Times New Roman" w:eastAsia="Times New Roman" w:hAnsi="Times New Roman" w:cs="Times New Roman"/>
          <w:sz w:val="24"/>
          <w:szCs w:val="24"/>
        </w:rPr>
        <w:t>.</w:t>
      </w:r>
      <w:r w:rsidR="00F4488D">
        <w:rPr>
          <w:rFonts w:ascii="Times New Roman" w:eastAsia="Times New Roman" w:hAnsi="Times New Roman" w:cs="Times New Roman"/>
          <w:sz w:val="24"/>
          <w:szCs w:val="24"/>
        </w:rPr>
        <w:t xml:space="preserve"> </w:t>
      </w:r>
      <w:r w:rsidR="00F4488D" w:rsidRPr="00DE0E52">
        <w:rPr>
          <w:rFonts w:ascii="Times New Roman" w:eastAsia="Times New Roman" w:hAnsi="Times New Roman" w:cs="Times New Roman"/>
          <w:sz w:val="24"/>
          <w:szCs w:val="24"/>
        </w:rPr>
        <w:t xml:space="preserve">Both Kale, </w:t>
      </w:r>
      <w:r w:rsidR="00F4488D" w:rsidRPr="00DE0E52">
        <w:rPr>
          <w:rFonts w:ascii="Times New Roman" w:eastAsia="Times New Roman" w:hAnsi="Times New Roman" w:cs="Times New Roman"/>
          <w:noProof/>
          <w:sz w:val="24"/>
          <w:szCs w:val="24"/>
        </w:rPr>
        <w:t>Reis,</w:t>
      </w:r>
      <w:r w:rsidR="00F4488D" w:rsidRPr="00DE0E52">
        <w:rPr>
          <w:rFonts w:ascii="Times New Roman" w:eastAsia="Times New Roman" w:hAnsi="Times New Roman" w:cs="Times New Roman"/>
          <w:sz w:val="24"/>
          <w:szCs w:val="24"/>
        </w:rPr>
        <w:t xml:space="preserve"> and </w:t>
      </w:r>
      <w:proofErr w:type="spellStart"/>
      <w:r w:rsidR="00F4488D" w:rsidRPr="00DE0E52">
        <w:rPr>
          <w:rFonts w:ascii="Times New Roman" w:eastAsia="Times New Roman" w:hAnsi="Times New Roman" w:cs="Times New Roman"/>
          <w:sz w:val="24"/>
          <w:szCs w:val="24"/>
        </w:rPr>
        <w:t>Venkateswaran</w:t>
      </w:r>
      <w:proofErr w:type="spellEnd"/>
      <w:r w:rsidR="00F4488D" w:rsidRPr="00DE0E52">
        <w:rPr>
          <w:rFonts w:ascii="Times New Roman" w:eastAsia="Times New Roman" w:hAnsi="Times New Roman" w:cs="Times New Roman"/>
          <w:sz w:val="24"/>
          <w:szCs w:val="24"/>
        </w:rPr>
        <w:t xml:space="preserve"> (2009) and </w:t>
      </w:r>
      <w:r w:rsidR="00F4488D" w:rsidRPr="00DE0E52">
        <w:rPr>
          <w:rFonts w:ascii="Times New Roman" w:hAnsi="Times New Roman" w:cs="Times New Roman"/>
          <w:sz w:val="24"/>
          <w:szCs w:val="24"/>
        </w:rPr>
        <w:t xml:space="preserve">Shen and Zhang (2018) </w:t>
      </w:r>
      <w:r w:rsidR="00F4488D" w:rsidRPr="00DE0E52">
        <w:rPr>
          <w:rFonts w:ascii="Times New Roman" w:eastAsia="Times New Roman" w:hAnsi="Times New Roman" w:cs="Times New Roman"/>
          <w:sz w:val="24"/>
          <w:szCs w:val="24"/>
        </w:rPr>
        <w:t>use industry median</w:t>
      </w:r>
      <w:r w:rsidR="00F4488D">
        <w:rPr>
          <w:rFonts w:ascii="Times New Roman" w:eastAsia="Times New Roman" w:hAnsi="Times New Roman" w:cs="Times New Roman"/>
          <w:sz w:val="24"/>
          <w:szCs w:val="24"/>
        </w:rPr>
        <w:t>s</w:t>
      </w:r>
      <w:r w:rsidR="00F4488D" w:rsidRPr="00DE0E52">
        <w:rPr>
          <w:rFonts w:ascii="Times New Roman" w:eastAsia="Times New Roman" w:hAnsi="Times New Roman" w:cs="Times New Roman"/>
          <w:sz w:val="24"/>
          <w:szCs w:val="24"/>
        </w:rPr>
        <w:t xml:space="preserve"> to instrument </w:t>
      </w:r>
      <w:r w:rsidR="00F4488D">
        <w:rPr>
          <w:rFonts w:ascii="Times New Roman" w:eastAsia="Times New Roman" w:hAnsi="Times New Roman" w:cs="Times New Roman"/>
          <w:sz w:val="24"/>
          <w:szCs w:val="24"/>
        </w:rPr>
        <w:t>differences between the pay of the CEO and other senior management</w:t>
      </w:r>
      <w:r w:rsidR="00F4488D" w:rsidRPr="00DE0E52">
        <w:rPr>
          <w:rFonts w:ascii="Times New Roman" w:eastAsia="Times New Roman" w:hAnsi="Times New Roman" w:cs="Times New Roman"/>
          <w:sz w:val="24"/>
          <w:szCs w:val="24"/>
        </w:rPr>
        <w:t xml:space="preserve">. </w:t>
      </w:r>
      <w:r w:rsidR="006050BA">
        <w:rPr>
          <w:rFonts w:ascii="Times New Roman" w:eastAsia="Times New Roman" w:hAnsi="Times New Roman" w:cs="Times New Roman"/>
          <w:sz w:val="24"/>
          <w:szCs w:val="24"/>
        </w:rPr>
        <w:t>They argue it</w:t>
      </w:r>
      <w:r w:rsidR="00835C99">
        <w:rPr>
          <w:rFonts w:ascii="Times New Roman" w:eastAsia="Times New Roman" w:hAnsi="Times New Roman" w:cs="Times New Roman"/>
          <w:sz w:val="24"/>
          <w:szCs w:val="24"/>
        </w:rPr>
        <w:t xml:space="preserve"> </w:t>
      </w:r>
      <w:r w:rsidR="00F4488D">
        <w:rPr>
          <w:rFonts w:ascii="Times New Roman" w:eastAsia="Times New Roman" w:hAnsi="Times New Roman" w:cs="Times New Roman"/>
          <w:sz w:val="24"/>
          <w:szCs w:val="24"/>
        </w:rPr>
        <w:t xml:space="preserve">meets the relevancy condition of a valid IV as </w:t>
      </w:r>
      <w:r w:rsidR="00F4488D" w:rsidRPr="00DE0E52">
        <w:rPr>
          <w:rFonts w:ascii="Times New Roman" w:eastAsia="Times New Roman" w:hAnsi="Times New Roman" w:cs="Times New Roman"/>
          <w:sz w:val="24"/>
          <w:szCs w:val="24"/>
        </w:rPr>
        <w:t>Kale et al. (2009)</w:t>
      </w:r>
      <w:r w:rsidR="00F4488D">
        <w:rPr>
          <w:rFonts w:ascii="Times New Roman" w:eastAsia="Times New Roman" w:hAnsi="Times New Roman" w:cs="Times New Roman"/>
          <w:sz w:val="24"/>
          <w:szCs w:val="24"/>
        </w:rPr>
        <w:t xml:space="preserve"> highlight that </w:t>
      </w:r>
      <w:r w:rsidR="00F4488D" w:rsidRPr="00DE0E52">
        <w:rPr>
          <w:rFonts w:ascii="Times New Roman" w:eastAsia="Times New Roman" w:hAnsi="Times New Roman" w:cs="Times New Roman"/>
          <w:sz w:val="24"/>
          <w:szCs w:val="24"/>
        </w:rPr>
        <w:t xml:space="preserve">executive </w:t>
      </w:r>
      <w:r w:rsidR="00F4488D" w:rsidRPr="008C4B82">
        <w:rPr>
          <w:rFonts w:ascii="Times New Roman" w:eastAsia="Times New Roman" w:hAnsi="Times New Roman" w:cs="Times New Roman"/>
          <w:sz w:val="24"/>
          <w:szCs w:val="24"/>
        </w:rPr>
        <w:t>compensation varies by firm size and industry. In addit</w:t>
      </w:r>
      <w:r w:rsidR="00835C99">
        <w:rPr>
          <w:rFonts w:ascii="Times New Roman" w:eastAsia="Times New Roman" w:hAnsi="Times New Roman" w:cs="Times New Roman"/>
          <w:sz w:val="24"/>
          <w:szCs w:val="24"/>
        </w:rPr>
        <w:t>i</w:t>
      </w:r>
      <w:r w:rsidR="00F4488D" w:rsidRPr="008C4B82">
        <w:rPr>
          <w:rFonts w:ascii="Times New Roman" w:eastAsia="Times New Roman" w:hAnsi="Times New Roman" w:cs="Times New Roman"/>
          <w:sz w:val="24"/>
          <w:szCs w:val="24"/>
        </w:rPr>
        <w:t>on, Shen and Zhang (2018) state that an individual firm is likely to be a “compensation-taker</w:t>
      </w:r>
      <w:r w:rsidR="0029453F">
        <w:rPr>
          <w:rFonts w:ascii="Times New Roman" w:eastAsia="Times New Roman" w:hAnsi="Times New Roman" w:cs="Times New Roman"/>
          <w:sz w:val="24"/>
          <w:szCs w:val="24"/>
        </w:rPr>
        <w:t>,</w:t>
      </w:r>
      <w:r w:rsidR="00F4488D" w:rsidRPr="008C4B82">
        <w:rPr>
          <w:rFonts w:ascii="Times New Roman" w:eastAsia="Times New Roman" w:hAnsi="Times New Roman" w:cs="Times New Roman"/>
          <w:sz w:val="24"/>
          <w:szCs w:val="24"/>
        </w:rPr>
        <w:t xml:space="preserve">” adjusting </w:t>
      </w:r>
      <w:r w:rsidR="008502E0">
        <w:rPr>
          <w:rFonts w:ascii="Times New Roman" w:eastAsia="Times New Roman" w:hAnsi="Times New Roman" w:cs="Times New Roman"/>
          <w:sz w:val="24"/>
          <w:szCs w:val="24"/>
        </w:rPr>
        <w:t>the top management team’s (</w:t>
      </w:r>
      <w:r w:rsidR="00F4488D" w:rsidRPr="008C4B82">
        <w:rPr>
          <w:rFonts w:ascii="Times New Roman" w:eastAsia="Times New Roman" w:hAnsi="Times New Roman" w:cs="Times New Roman"/>
          <w:sz w:val="24"/>
          <w:szCs w:val="24"/>
        </w:rPr>
        <w:t>TMT</w:t>
      </w:r>
      <w:r w:rsidR="008502E0">
        <w:rPr>
          <w:rFonts w:ascii="Times New Roman" w:eastAsia="Times New Roman" w:hAnsi="Times New Roman" w:cs="Times New Roman"/>
          <w:sz w:val="24"/>
          <w:szCs w:val="24"/>
        </w:rPr>
        <w:t>)</w:t>
      </w:r>
      <w:r w:rsidR="00F4488D" w:rsidRPr="008C4B82">
        <w:rPr>
          <w:rFonts w:ascii="Times New Roman" w:eastAsia="Times New Roman" w:hAnsi="Times New Roman" w:cs="Times New Roman"/>
          <w:sz w:val="24"/>
          <w:szCs w:val="24"/>
        </w:rPr>
        <w:t xml:space="preserve"> compensation when peer firms change their executive pay </w:t>
      </w:r>
      <w:r w:rsidR="00F4488D" w:rsidRPr="008C4B82">
        <w:rPr>
          <w:rFonts w:ascii="Times New Roman" w:hAnsi="Times New Roman" w:cs="Times New Roman"/>
          <w:sz w:val="24"/>
          <w:szCs w:val="24"/>
        </w:rPr>
        <w:t>(</w:t>
      </w:r>
      <w:proofErr w:type="spellStart"/>
      <w:r w:rsidR="00F4488D" w:rsidRPr="008C4B82">
        <w:rPr>
          <w:rFonts w:ascii="Times New Roman" w:hAnsi="Times New Roman" w:cs="Times New Roman"/>
          <w:sz w:val="24"/>
          <w:szCs w:val="24"/>
        </w:rPr>
        <w:t>DiPrete</w:t>
      </w:r>
      <w:proofErr w:type="spellEnd"/>
      <w:r w:rsidR="00F4488D" w:rsidRPr="008C4B82">
        <w:rPr>
          <w:rFonts w:ascii="Times New Roman" w:hAnsi="Times New Roman" w:cs="Times New Roman"/>
          <w:sz w:val="24"/>
          <w:szCs w:val="24"/>
        </w:rPr>
        <w:t xml:space="preserve">, </w:t>
      </w:r>
      <w:proofErr w:type="spellStart"/>
      <w:r w:rsidR="00F4488D" w:rsidRPr="008C4B82">
        <w:rPr>
          <w:rFonts w:ascii="Times New Roman" w:hAnsi="Times New Roman" w:cs="Times New Roman"/>
          <w:sz w:val="24"/>
          <w:szCs w:val="24"/>
        </w:rPr>
        <w:t>Eirich</w:t>
      </w:r>
      <w:proofErr w:type="spellEnd"/>
      <w:r w:rsidR="00F4488D" w:rsidRPr="008C4B82">
        <w:rPr>
          <w:rFonts w:ascii="Times New Roman" w:hAnsi="Times New Roman" w:cs="Times New Roman"/>
          <w:sz w:val="24"/>
          <w:szCs w:val="24"/>
        </w:rPr>
        <w:t xml:space="preserve">, and </w:t>
      </w:r>
      <w:proofErr w:type="spellStart"/>
      <w:r w:rsidR="00F4488D" w:rsidRPr="008C4B82">
        <w:rPr>
          <w:rFonts w:ascii="Times New Roman" w:hAnsi="Times New Roman" w:cs="Times New Roman"/>
          <w:sz w:val="24"/>
          <w:szCs w:val="24"/>
        </w:rPr>
        <w:t>Pittinsky</w:t>
      </w:r>
      <w:proofErr w:type="spellEnd"/>
      <w:r w:rsidR="00F4488D" w:rsidRPr="008C4B82">
        <w:rPr>
          <w:rFonts w:ascii="Times New Roman" w:hAnsi="Times New Roman" w:cs="Times New Roman"/>
          <w:sz w:val="24"/>
          <w:szCs w:val="24"/>
        </w:rPr>
        <w:t xml:space="preserve">, 2010). </w:t>
      </w:r>
      <w:r w:rsidR="006050BA">
        <w:rPr>
          <w:rFonts w:ascii="Times New Roman" w:hAnsi="Times New Roman" w:cs="Times New Roman"/>
          <w:sz w:val="24"/>
          <w:szCs w:val="24"/>
        </w:rPr>
        <w:t xml:space="preserve">In other words, the tournament incentives of a firm </w:t>
      </w:r>
      <w:proofErr w:type="gramStart"/>
      <w:r w:rsidR="006050BA">
        <w:rPr>
          <w:rFonts w:ascii="Times New Roman" w:hAnsi="Times New Roman" w:cs="Times New Roman"/>
          <w:sz w:val="24"/>
          <w:szCs w:val="24"/>
        </w:rPr>
        <w:t>will be significantly influenced</w:t>
      </w:r>
      <w:proofErr w:type="gramEnd"/>
      <w:r w:rsidR="006050BA">
        <w:rPr>
          <w:rFonts w:ascii="Times New Roman" w:hAnsi="Times New Roman" w:cs="Times New Roman"/>
          <w:sz w:val="24"/>
          <w:szCs w:val="24"/>
        </w:rPr>
        <w:t xml:space="preserve"> by industry trends.</w:t>
      </w:r>
      <w:r w:rsidR="006050BA" w:rsidRPr="006050BA">
        <w:rPr>
          <w:rFonts w:ascii="Times New Roman" w:hAnsi="Times New Roman" w:cs="Times New Roman"/>
          <w:sz w:val="24"/>
          <w:szCs w:val="24"/>
        </w:rPr>
        <w:t xml:space="preserve"> </w:t>
      </w:r>
      <w:r w:rsidR="006050BA">
        <w:rPr>
          <w:rFonts w:ascii="Times New Roman" w:hAnsi="Times New Roman" w:cs="Times New Roman"/>
          <w:sz w:val="24"/>
          <w:szCs w:val="24"/>
        </w:rPr>
        <w:t xml:space="preserve">At the same time, it </w:t>
      </w:r>
      <w:proofErr w:type="gramStart"/>
      <w:r w:rsidR="006050BA">
        <w:rPr>
          <w:rFonts w:ascii="Times New Roman" w:hAnsi="Times New Roman" w:cs="Times New Roman"/>
          <w:sz w:val="24"/>
          <w:szCs w:val="24"/>
        </w:rPr>
        <w:t>is also argued</w:t>
      </w:r>
      <w:proofErr w:type="gramEnd"/>
      <w:r w:rsidR="006050BA">
        <w:rPr>
          <w:rFonts w:ascii="Times New Roman" w:hAnsi="Times New Roman" w:cs="Times New Roman"/>
          <w:sz w:val="24"/>
          <w:szCs w:val="24"/>
        </w:rPr>
        <w:t xml:space="preserve"> that t</w:t>
      </w:r>
      <w:r w:rsidR="006050BA" w:rsidRPr="00DE0E52">
        <w:rPr>
          <w:rFonts w:ascii="Times New Roman" w:eastAsia="Times New Roman" w:hAnsi="Times New Roman" w:cs="Times New Roman"/>
          <w:sz w:val="24"/>
          <w:szCs w:val="24"/>
        </w:rPr>
        <w:t>he portion of</w:t>
      </w:r>
      <w:r w:rsidR="006050BA">
        <w:rPr>
          <w:rFonts w:ascii="Times New Roman" w:eastAsia="Times New Roman" w:hAnsi="Times New Roman" w:cs="Times New Roman"/>
          <w:sz w:val="24"/>
          <w:szCs w:val="24"/>
        </w:rPr>
        <w:t xml:space="preserve"> the</w:t>
      </w:r>
      <w:r w:rsidR="006050BA" w:rsidRPr="00DE0E52">
        <w:rPr>
          <w:rFonts w:ascii="Times New Roman" w:eastAsia="Times New Roman" w:hAnsi="Times New Roman" w:cs="Times New Roman"/>
          <w:sz w:val="24"/>
          <w:szCs w:val="24"/>
        </w:rPr>
        <w:t xml:space="preserve"> firm’s </w:t>
      </w:r>
      <w:r w:rsidR="006050BA" w:rsidRPr="00DE0E52">
        <w:rPr>
          <w:rFonts w:ascii="Times New Roman" w:eastAsia="Times New Roman" w:hAnsi="Times New Roman" w:cs="Times New Roman"/>
          <w:i/>
          <w:sz w:val="24"/>
          <w:szCs w:val="24"/>
        </w:rPr>
        <w:t>CEO Pay Gap</w:t>
      </w:r>
      <w:r w:rsidR="006050BA" w:rsidRPr="00DE0E52">
        <w:rPr>
          <w:rFonts w:ascii="Times New Roman" w:eastAsia="Times New Roman" w:hAnsi="Times New Roman" w:cs="Times New Roman"/>
          <w:sz w:val="24"/>
          <w:szCs w:val="24"/>
        </w:rPr>
        <w:t xml:space="preserve"> that is correlated with the </w:t>
      </w:r>
      <w:r w:rsidR="006050BA">
        <w:rPr>
          <w:rFonts w:ascii="Times New Roman" w:eastAsia="Times New Roman" w:hAnsi="Times New Roman" w:cs="Times New Roman"/>
          <w:sz w:val="24"/>
          <w:szCs w:val="24"/>
        </w:rPr>
        <w:t>i</w:t>
      </w:r>
      <w:r w:rsidR="006050BA" w:rsidRPr="00C10B0F">
        <w:rPr>
          <w:rFonts w:ascii="Times New Roman" w:hAnsi="Times New Roman" w:cs="Times New Roman"/>
          <w:sz w:val="24"/>
          <w:szCs w:val="24"/>
        </w:rPr>
        <w:t>ndustry</w:t>
      </w:r>
      <w:r w:rsidR="006050BA">
        <w:rPr>
          <w:rFonts w:ascii="Times New Roman" w:hAnsi="Times New Roman" w:cs="Times New Roman"/>
          <w:sz w:val="24"/>
          <w:szCs w:val="24"/>
        </w:rPr>
        <w:t xml:space="preserve"> m</w:t>
      </w:r>
      <w:r w:rsidR="006050BA" w:rsidRPr="00C10B0F">
        <w:rPr>
          <w:rFonts w:ascii="Times New Roman" w:hAnsi="Times New Roman" w:cs="Times New Roman"/>
          <w:sz w:val="24"/>
          <w:szCs w:val="24"/>
        </w:rPr>
        <w:t>edian</w:t>
      </w:r>
      <w:r w:rsidR="006050BA">
        <w:rPr>
          <w:rFonts w:ascii="Times New Roman" w:hAnsi="Times New Roman" w:cs="Times New Roman"/>
          <w:sz w:val="24"/>
          <w:szCs w:val="24"/>
        </w:rPr>
        <w:t xml:space="preserve"> level of CEO pay gap</w:t>
      </w:r>
      <w:r w:rsidR="006050BA" w:rsidRPr="00DE0E52">
        <w:rPr>
          <w:rFonts w:ascii="Times New Roman" w:eastAsia="Times New Roman" w:hAnsi="Times New Roman" w:cs="Times New Roman"/>
          <w:sz w:val="24"/>
          <w:szCs w:val="24"/>
        </w:rPr>
        <w:t xml:space="preserve"> is less likely to be correlated with unknown factors that are affecting the firm’s institutional ownership</w:t>
      </w:r>
      <w:r w:rsidR="00440974">
        <w:rPr>
          <w:rFonts w:ascii="Times New Roman" w:eastAsia="Times New Roman" w:hAnsi="Times New Roman" w:cs="Times New Roman"/>
          <w:sz w:val="24"/>
          <w:szCs w:val="24"/>
        </w:rPr>
        <w:t>, thus meeting the exclusion condition for a valid IV</w:t>
      </w:r>
      <w:r w:rsidR="006050BA" w:rsidRPr="00DE0E52">
        <w:rPr>
          <w:rFonts w:ascii="Times New Roman" w:eastAsia="Times New Roman" w:hAnsi="Times New Roman" w:cs="Times New Roman"/>
          <w:sz w:val="24"/>
          <w:szCs w:val="24"/>
        </w:rPr>
        <w:t>.</w:t>
      </w:r>
      <w:r w:rsidR="006050BA" w:rsidRPr="00DE0E52">
        <w:rPr>
          <w:rFonts w:ascii="Times New Roman" w:eastAsia="Times New Roman" w:hAnsi="Times New Roman" w:cs="Times New Roman"/>
          <w:color w:val="1F4E79" w:themeColor="accent1" w:themeShade="80"/>
          <w:sz w:val="24"/>
          <w:szCs w:val="24"/>
        </w:rPr>
        <w:t xml:space="preserve"> </w:t>
      </w:r>
    </w:p>
    <w:p w14:paraId="4AA2CB10" w14:textId="3F079C5B" w:rsidR="00F4488D" w:rsidRPr="007622E2" w:rsidRDefault="00F4488D" w:rsidP="00F4488D">
      <w:pPr>
        <w:autoSpaceDE w:val="0"/>
        <w:autoSpaceDN w:val="0"/>
        <w:adjustRightInd w:val="0"/>
        <w:spacing w:after="12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Therefore, based on </w:t>
      </w:r>
      <w:r w:rsidRPr="00DE0E52">
        <w:rPr>
          <w:rFonts w:ascii="Times New Roman" w:eastAsia="Times New Roman" w:hAnsi="Times New Roman" w:cs="Times New Roman"/>
          <w:sz w:val="24"/>
          <w:szCs w:val="24"/>
        </w:rPr>
        <w:t xml:space="preserve">Kale </w:t>
      </w:r>
      <w:r w:rsidRPr="00DE0E52">
        <w:rPr>
          <w:rFonts w:ascii="Times New Roman" w:eastAsia="Times New Roman" w:hAnsi="Times New Roman" w:cs="Times New Roman"/>
          <w:noProof/>
          <w:sz w:val="24"/>
          <w:szCs w:val="24"/>
        </w:rPr>
        <w:t>et. al.</w:t>
      </w:r>
      <w:r w:rsidRPr="00DE0E52">
        <w:rPr>
          <w:rFonts w:ascii="Times New Roman" w:eastAsia="Times New Roman" w:hAnsi="Times New Roman" w:cs="Times New Roman"/>
          <w:sz w:val="24"/>
          <w:szCs w:val="24"/>
        </w:rPr>
        <w:t xml:space="preserve"> (2009) and </w:t>
      </w:r>
      <w:r w:rsidRPr="00DE0E52">
        <w:rPr>
          <w:rFonts w:ascii="Times New Roman" w:hAnsi="Times New Roman" w:cs="Times New Roman"/>
          <w:sz w:val="24"/>
          <w:szCs w:val="24"/>
        </w:rPr>
        <w:t xml:space="preserve">Shen and Zhang (2018), </w:t>
      </w:r>
      <w:r>
        <w:rPr>
          <w:rFonts w:ascii="Times New Roman" w:hAnsi="Times New Roman" w:cs="Times New Roman"/>
          <w:sz w:val="24"/>
          <w:szCs w:val="24"/>
        </w:rPr>
        <w:t xml:space="preserve">we create an </w:t>
      </w:r>
      <w:r w:rsidRPr="00B31745">
        <w:rPr>
          <w:rFonts w:ascii="Times New Roman" w:hAnsi="Times New Roman" w:cs="Times New Roman"/>
          <w:i/>
          <w:sz w:val="24"/>
          <w:szCs w:val="24"/>
        </w:rPr>
        <w:t>Industry</w:t>
      </w:r>
      <w:r w:rsidR="00332ED7">
        <w:rPr>
          <w:rFonts w:ascii="Times New Roman" w:hAnsi="Times New Roman" w:cs="Times New Roman"/>
          <w:i/>
          <w:sz w:val="24"/>
          <w:szCs w:val="24"/>
        </w:rPr>
        <w:t xml:space="preserve"> </w:t>
      </w:r>
      <w:r>
        <w:rPr>
          <w:rFonts w:ascii="Times New Roman" w:hAnsi="Times New Roman" w:cs="Times New Roman"/>
          <w:sz w:val="24"/>
          <w:szCs w:val="24"/>
        </w:rPr>
        <w:t xml:space="preserve">IV </w:t>
      </w:r>
      <w:r w:rsidR="00332ED7">
        <w:rPr>
          <w:rFonts w:ascii="Times New Roman" w:hAnsi="Times New Roman" w:cs="Times New Roman"/>
          <w:sz w:val="24"/>
          <w:szCs w:val="24"/>
        </w:rPr>
        <w:t>that</w:t>
      </w:r>
      <w:r w:rsidR="00440974" w:rsidDel="006050BA">
        <w:rPr>
          <w:rFonts w:ascii="Times New Roman" w:hAnsi="Times New Roman" w:cs="Times New Roman"/>
          <w:sz w:val="24"/>
          <w:szCs w:val="24"/>
        </w:rPr>
        <w:t xml:space="preserve"> </w:t>
      </w:r>
      <w:r w:rsidR="00440974">
        <w:rPr>
          <w:rFonts w:ascii="Times New Roman" w:hAnsi="Times New Roman" w:cs="Times New Roman"/>
          <w:sz w:val="24"/>
          <w:szCs w:val="24"/>
        </w:rPr>
        <w:t>is</w:t>
      </w:r>
      <w:r>
        <w:rPr>
          <w:rFonts w:ascii="Times New Roman" w:hAnsi="Times New Roman" w:cs="Times New Roman"/>
          <w:sz w:val="24"/>
          <w:szCs w:val="24"/>
        </w:rPr>
        <w:t xml:space="preserve"> calculat</w:t>
      </w:r>
      <w:r w:rsidR="006050BA">
        <w:rPr>
          <w:rFonts w:ascii="Times New Roman" w:hAnsi="Times New Roman" w:cs="Times New Roman"/>
          <w:sz w:val="24"/>
          <w:szCs w:val="24"/>
        </w:rPr>
        <w:t>e</w:t>
      </w:r>
      <w:r w:rsidR="00440974">
        <w:rPr>
          <w:rFonts w:ascii="Times New Roman" w:hAnsi="Times New Roman" w:cs="Times New Roman"/>
          <w:sz w:val="24"/>
          <w:szCs w:val="24"/>
        </w:rPr>
        <w:t>d as</w:t>
      </w:r>
      <w:r>
        <w:rPr>
          <w:rFonts w:ascii="Times New Roman" w:hAnsi="Times New Roman" w:cs="Times New Roman"/>
          <w:sz w:val="24"/>
          <w:szCs w:val="24"/>
        </w:rPr>
        <w:t xml:space="preserve"> </w:t>
      </w:r>
      <w:r w:rsidR="00440974">
        <w:rPr>
          <w:rFonts w:ascii="Times New Roman" w:hAnsi="Times New Roman" w:cs="Times New Roman"/>
          <w:sz w:val="24"/>
          <w:szCs w:val="24"/>
        </w:rPr>
        <w:t>the</w:t>
      </w:r>
      <w:r>
        <w:rPr>
          <w:rFonts w:ascii="Times New Roman" w:hAnsi="Times New Roman" w:cs="Times New Roman"/>
          <w:sz w:val="24"/>
          <w:szCs w:val="24"/>
        </w:rPr>
        <w:t xml:space="preserve"> </w:t>
      </w:r>
      <w:r w:rsidRPr="00DE0E52">
        <w:rPr>
          <w:rFonts w:ascii="Times New Roman" w:hAnsi="Times New Roman" w:cs="Times New Roman"/>
          <w:sz w:val="24"/>
          <w:szCs w:val="24"/>
        </w:rPr>
        <w:t xml:space="preserve">median CEO pay gap for firms in the </w:t>
      </w:r>
      <w:r w:rsidRPr="008C4B82">
        <w:rPr>
          <w:rFonts w:ascii="Times New Roman" w:hAnsi="Times New Roman" w:cs="Times New Roman"/>
          <w:sz w:val="24"/>
          <w:szCs w:val="24"/>
        </w:rPr>
        <w:t>same SIC division</w:t>
      </w:r>
      <w:r w:rsidR="00332ED7">
        <w:rPr>
          <w:rFonts w:ascii="Times New Roman" w:hAnsi="Times New Roman" w:cs="Times New Roman"/>
          <w:sz w:val="24"/>
          <w:szCs w:val="24"/>
        </w:rPr>
        <w:t xml:space="preserve"> and is in</w:t>
      </w:r>
      <w:r w:rsidRPr="00DE0E52">
        <w:rPr>
          <w:rFonts w:ascii="Times New Roman" w:hAnsi="Times New Roman" w:cs="Times New Roman"/>
          <w:sz w:val="24"/>
          <w:szCs w:val="24"/>
        </w:rPr>
        <w:t xml:space="preserve"> same </w:t>
      </w:r>
      <w:r w:rsidRPr="00BD71A7">
        <w:rPr>
          <w:rFonts w:ascii="Times New Roman" w:hAnsi="Times New Roman" w:cs="Times New Roman"/>
          <w:sz w:val="24"/>
          <w:szCs w:val="24"/>
        </w:rPr>
        <w:t>size quartile as the</w:t>
      </w:r>
      <w:r w:rsidRPr="00DE0E52">
        <w:rPr>
          <w:rFonts w:ascii="Times New Roman" w:hAnsi="Times New Roman" w:cs="Times New Roman"/>
          <w:sz w:val="24"/>
          <w:szCs w:val="24"/>
        </w:rPr>
        <w:t xml:space="preserve"> </w:t>
      </w:r>
      <w:r>
        <w:rPr>
          <w:rFonts w:ascii="Times New Roman" w:hAnsi="Times New Roman" w:cs="Times New Roman"/>
          <w:sz w:val="24"/>
          <w:szCs w:val="24"/>
        </w:rPr>
        <w:t xml:space="preserve">focus </w:t>
      </w:r>
      <w:r w:rsidRPr="00DE0E52">
        <w:rPr>
          <w:rFonts w:ascii="Times New Roman" w:hAnsi="Times New Roman" w:cs="Times New Roman"/>
          <w:sz w:val="24"/>
          <w:szCs w:val="24"/>
        </w:rPr>
        <w:t xml:space="preserve">firm. </w:t>
      </w:r>
      <w:r w:rsidRPr="00DE0E52">
        <w:rPr>
          <w:rFonts w:ascii="Times New Roman" w:eastAsia="Times New Roman" w:hAnsi="Times New Roman" w:cs="Times New Roman"/>
          <w:sz w:val="24"/>
          <w:szCs w:val="24"/>
        </w:rPr>
        <w:t xml:space="preserve">In the first-stage regression, we use </w:t>
      </w:r>
      <w:r w:rsidR="00332ED7">
        <w:rPr>
          <w:rFonts w:ascii="Times New Roman" w:eastAsia="Times New Roman" w:hAnsi="Times New Roman" w:cs="Times New Roman"/>
          <w:sz w:val="24"/>
          <w:szCs w:val="24"/>
        </w:rPr>
        <w:t xml:space="preserve">the </w:t>
      </w:r>
      <w:r w:rsidRPr="00B31745">
        <w:rPr>
          <w:rFonts w:ascii="Times New Roman" w:hAnsi="Times New Roman" w:cs="Times New Roman"/>
          <w:i/>
          <w:sz w:val="24"/>
          <w:szCs w:val="24"/>
        </w:rPr>
        <w:t>Industry</w:t>
      </w:r>
      <w:r>
        <w:rPr>
          <w:rFonts w:ascii="Times New Roman" w:hAnsi="Times New Roman" w:cs="Times New Roman"/>
          <w:sz w:val="24"/>
          <w:szCs w:val="24"/>
        </w:rPr>
        <w:t xml:space="preserve"> IV</w:t>
      </w:r>
      <w:r w:rsidRPr="00DE0E52">
        <w:rPr>
          <w:rFonts w:ascii="Times New Roman" w:eastAsia="Times New Roman" w:hAnsi="Times New Roman" w:cs="Times New Roman"/>
          <w:sz w:val="24"/>
          <w:szCs w:val="24"/>
        </w:rPr>
        <w:t xml:space="preserve"> to predict </w:t>
      </w:r>
      <w:r>
        <w:rPr>
          <w:rFonts w:ascii="Times New Roman" w:eastAsia="Times New Roman" w:hAnsi="Times New Roman" w:cs="Times New Roman"/>
          <w:sz w:val="24"/>
          <w:szCs w:val="24"/>
        </w:rPr>
        <w:t xml:space="preserve">a </w:t>
      </w:r>
      <w:r w:rsidRPr="00DE0E52">
        <w:rPr>
          <w:rFonts w:ascii="Times New Roman" w:eastAsia="Times New Roman" w:hAnsi="Times New Roman" w:cs="Times New Roman"/>
          <w:sz w:val="24"/>
          <w:szCs w:val="24"/>
        </w:rPr>
        <w:t xml:space="preserve">firm’s </w:t>
      </w:r>
      <w:r w:rsidRPr="00B31745">
        <w:rPr>
          <w:rFonts w:ascii="Times New Roman" w:eastAsia="Times New Roman" w:hAnsi="Times New Roman" w:cs="Times New Roman"/>
          <w:i/>
          <w:sz w:val="24"/>
          <w:szCs w:val="24"/>
        </w:rPr>
        <w:t xml:space="preserve">CEO </w:t>
      </w:r>
      <w:r>
        <w:rPr>
          <w:rFonts w:ascii="Times New Roman" w:eastAsia="Times New Roman" w:hAnsi="Times New Roman" w:cs="Times New Roman"/>
          <w:i/>
          <w:sz w:val="24"/>
          <w:szCs w:val="24"/>
        </w:rPr>
        <w:t>P</w:t>
      </w:r>
      <w:r w:rsidRPr="00B31745">
        <w:rPr>
          <w:rFonts w:ascii="Times New Roman" w:eastAsia="Times New Roman" w:hAnsi="Times New Roman" w:cs="Times New Roman"/>
          <w:i/>
          <w:sz w:val="24"/>
          <w:szCs w:val="24"/>
        </w:rPr>
        <w:t xml:space="preserve">ay </w:t>
      </w:r>
      <w:r>
        <w:rPr>
          <w:rFonts w:ascii="Times New Roman" w:eastAsia="Times New Roman" w:hAnsi="Times New Roman" w:cs="Times New Roman"/>
          <w:i/>
          <w:sz w:val="24"/>
          <w:szCs w:val="24"/>
        </w:rPr>
        <w:t>G</w:t>
      </w:r>
      <w:r w:rsidRPr="00B31745">
        <w:rPr>
          <w:rFonts w:ascii="Times New Roman" w:eastAsia="Times New Roman" w:hAnsi="Times New Roman" w:cs="Times New Roman"/>
          <w:i/>
          <w:sz w:val="24"/>
          <w:szCs w:val="24"/>
        </w:rPr>
        <w:t>ap</w:t>
      </w:r>
      <w:r w:rsidRPr="00DE0E52">
        <w:rPr>
          <w:rFonts w:ascii="Times New Roman" w:eastAsia="Times New Roman" w:hAnsi="Times New Roman" w:cs="Times New Roman"/>
          <w:sz w:val="24"/>
          <w:szCs w:val="24"/>
        </w:rPr>
        <w:t>. Subsequently, the fitted value</w:t>
      </w:r>
      <w:r>
        <w:rPr>
          <w:rFonts w:ascii="Times New Roman" w:eastAsia="Times New Roman" w:hAnsi="Times New Roman" w:cs="Times New Roman"/>
          <w:sz w:val="24"/>
          <w:szCs w:val="24"/>
        </w:rPr>
        <w:t>s</w:t>
      </w:r>
      <w:r w:rsidRPr="00DE0E52">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 xml:space="preserve">first-stage </w:t>
      </w:r>
      <w:r w:rsidRPr="00DE0E52">
        <w:rPr>
          <w:rFonts w:ascii="Times New Roman" w:eastAsia="Times New Roman" w:hAnsi="Times New Roman" w:cs="Times New Roman"/>
          <w:sz w:val="24"/>
          <w:szCs w:val="24"/>
        </w:rPr>
        <w:t xml:space="preserve">regression </w:t>
      </w:r>
      <w:proofErr w:type="gramStart"/>
      <w:r>
        <w:rPr>
          <w:rFonts w:ascii="Times New Roman" w:eastAsia="Times New Roman" w:hAnsi="Times New Roman" w:cs="Times New Roman"/>
          <w:sz w:val="24"/>
          <w:szCs w:val="24"/>
        </w:rPr>
        <w:t>are</w:t>
      </w:r>
      <w:r w:rsidRPr="00DE0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w:t>
      </w:r>
      <w:r w:rsidRPr="00DE0E52">
        <w:rPr>
          <w:rFonts w:ascii="Times New Roman" w:eastAsia="Times New Roman" w:hAnsi="Times New Roman" w:cs="Times New Roman"/>
          <w:sz w:val="24"/>
          <w:szCs w:val="24"/>
        </w:rPr>
        <w:t>used</w:t>
      </w:r>
      <w:proofErr w:type="gramEnd"/>
      <w:r w:rsidRPr="00DE0E52">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the</w:t>
      </w:r>
      <w:r w:rsidRPr="00DE0E52">
        <w:rPr>
          <w:rFonts w:ascii="Times New Roman" w:eastAsia="Times New Roman" w:hAnsi="Times New Roman" w:cs="Times New Roman"/>
          <w:sz w:val="24"/>
          <w:szCs w:val="24"/>
        </w:rPr>
        <w:t xml:space="preserve"> instrumented </w:t>
      </w:r>
      <w:r w:rsidRPr="00B31745">
        <w:rPr>
          <w:rFonts w:ascii="Times New Roman" w:eastAsia="Times New Roman" w:hAnsi="Times New Roman" w:cs="Times New Roman"/>
          <w:i/>
          <w:sz w:val="24"/>
          <w:szCs w:val="24"/>
        </w:rPr>
        <w:t>CEO Pay Gap</w:t>
      </w:r>
      <w:r w:rsidRPr="00DE0E52">
        <w:rPr>
          <w:rFonts w:ascii="Times New Roman" w:eastAsia="Times New Roman" w:hAnsi="Times New Roman" w:cs="Times New Roman"/>
          <w:sz w:val="24"/>
          <w:szCs w:val="24"/>
        </w:rPr>
        <w:t xml:space="preserve"> for the </w:t>
      </w:r>
      <w:r w:rsidRPr="0072409C">
        <w:rPr>
          <w:rFonts w:ascii="Times New Roman" w:eastAsia="Times New Roman" w:hAnsi="Times New Roman" w:cs="Times New Roman"/>
          <w:noProof/>
          <w:sz w:val="24"/>
          <w:szCs w:val="24"/>
        </w:rPr>
        <w:t>second-stage</w:t>
      </w:r>
      <w:r w:rsidRPr="00DE0E52">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the </w:t>
      </w:r>
      <w:r w:rsidRPr="00DE0E52">
        <w:rPr>
          <w:rFonts w:ascii="Times New Roman" w:eastAsia="Times New Roman" w:hAnsi="Times New Roman" w:cs="Times New Roman"/>
          <w:sz w:val="24"/>
          <w:szCs w:val="24"/>
        </w:rPr>
        <w:t>2SLS regression.</w:t>
      </w:r>
      <w:r w:rsidR="00CD72EB">
        <w:rPr>
          <w:rFonts w:ascii="Times New Roman" w:eastAsia="Times New Roman" w:hAnsi="Times New Roman" w:cs="Times New Roman"/>
          <w:sz w:val="24"/>
          <w:szCs w:val="24"/>
        </w:rPr>
        <w:t xml:space="preserve"> </w:t>
      </w:r>
    </w:p>
    <w:p w14:paraId="625506F7" w14:textId="4FC1412C" w:rsidR="00F4488D" w:rsidRDefault="00F4488D" w:rsidP="00F4488D">
      <w:pPr>
        <w:spacing w:after="12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Columns (1) and (2) of Table 4 presents the two-stage least squares regression (2SLS) results from using the </w:t>
      </w:r>
      <w:r w:rsidRPr="00B31745">
        <w:rPr>
          <w:rFonts w:ascii="Times New Roman" w:hAnsi="Times New Roman" w:cs="Times New Roman"/>
          <w:i/>
          <w:sz w:val="24"/>
          <w:szCs w:val="24"/>
        </w:rPr>
        <w:t>Industry</w:t>
      </w:r>
      <w:r>
        <w:rPr>
          <w:rFonts w:ascii="Times New Roman" w:hAnsi="Times New Roman" w:cs="Times New Roman"/>
          <w:sz w:val="24"/>
          <w:szCs w:val="24"/>
        </w:rPr>
        <w:t xml:space="preserve"> IV</w:t>
      </w:r>
      <w:r>
        <w:rPr>
          <w:rFonts w:ascii="Times New Roman" w:eastAsia="Times New Roman" w:hAnsi="Times New Roman" w:cs="Times New Roman"/>
          <w:sz w:val="24"/>
          <w:szCs w:val="24"/>
        </w:rPr>
        <w:t xml:space="preserve"> as an instrument for </w:t>
      </w:r>
      <w:r w:rsidRPr="00921FA5">
        <w:rPr>
          <w:rFonts w:ascii="Times New Roman" w:eastAsia="Times New Roman" w:hAnsi="Times New Roman" w:cs="Times New Roman"/>
          <w:i/>
          <w:sz w:val="24"/>
          <w:szCs w:val="24"/>
        </w:rPr>
        <w:t>CEO Pay Gap</w:t>
      </w:r>
      <w:r>
        <w:rPr>
          <w:rFonts w:ascii="Times New Roman" w:eastAsia="Times New Roman" w:hAnsi="Times New Roman" w:cs="Times New Roman"/>
          <w:sz w:val="24"/>
          <w:szCs w:val="24"/>
        </w:rPr>
        <w:t xml:space="preserve">. </w:t>
      </w:r>
      <w:r w:rsidR="00CD72EB">
        <w:rPr>
          <w:rFonts w:ascii="Times New Roman" w:eastAsia="Times New Roman" w:hAnsi="Times New Roman" w:cs="Times New Roman"/>
          <w:sz w:val="24"/>
          <w:szCs w:val="24"/>
        </w:rPr>
        <w:t xml:space="preserve">We lag all our independent variables by one period in these regressions. </w:t>
      </w:r>
      <w:r>
        <w:rPr>
          <w:rFonts w:ascii="Times New Roman" w:eastAsia="Times New Roman" w:hAnsi="Times New Roman" w:cs="Times New Roman"/>
          <w:sz w:val="24"/>
          <w:szCs w:val="24"/>
        </w:rPr>
        <w:t xml:space="preserve">Column (1) shows that the </w:t>
      </w:r>
      <w:r w:rsidRPr="00B31745">
        <w:rPr>
          <w:rFonts w:ascii="Times New Roman" w:hAnsi="Times New Roman" w:cs="Times New Roman"/>
          <w:i/>
          <w:sz w:val="24"/>
          <w:szCs w:val="24"/>
        </w:rPr>
        <w:t>Industry</w:t>
      </w:r>
      <w:r>
        <w:rPr>
          <w:rFonts w:ascii="Times New Roman" w:hAnsi="Times New Roman" w:cs="Times New Roman"/>
          <w:sz w:val="24"/>
          <w:szCs w:val="24"/>
        </w:rPr>
        <w:t xml:space="preserve"> </w:t>
      </w:r>
      <w:r>
        <w:rPr>
          <w:rFonts w:ascii="Times New Roman" w:hAnsi="Times New Roman" w:cs="Times New Roman"/>
          <w:sz w:val="24"/>
          <w:szCs w:val="24"/>
        </w:rPr>
        <w:lastRenderedPageBreak/>
        <w:t>IV</w:t>
      </w:r>
      <w:r>
        <w:rPr>
          <w:rFonts w:ascii="Times New Roman" w:eastAsia="Times New Roman" w:hAnsi="Times New Roman" w:cs="Times New Roman"/>
          <w:sz w:val="24"/>
          <w:szCs w:val="24"/>
        </w:rPr>
        <w:t xml:space="preserve"> is significant and positively related to </w:t>
      </w:r>
      <w:r w:rsidRPr="00921FA5">
        <w:rPr>
          <w:rFonts w:ascii="Times New Roman" w:eastAsia="Times New Roman" w:hAnsi="Times New Roman" w:cs="Times New Roman"/>
          <w:i/>
          <w:sz w:val="24"/>
          <w:szCs w:val="24"/>
        </w:rPr>
        <w:t>CEO Pay Gap</w:t>
      </w:r>
      <w:r>
        <w:rPr>
          <w:rFonts w:ascii="Times New Roman" w:eastAsia="Times New Roman" w:hAnsi="Times New Roman" w:cs="Times New Roman"/>
          <w:sz w:val="24"/>
          <w:szCs w:val="24"/>
        </w:rPr>
        <w:t xml:space="preserve">, thereby showing </w:t>
      </w:r>
      <w:r w:rsidR="008502E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it meets the relevancy condition. In </w:t>
      </w:r>
      <w:r w:rsidR="008502E0">
        <w:rPr>
          <w:rFonts w:ascii="Times New Roman" w:eastAsia="Times New Roman" w:hAnsi="Times New Roman" w:cs="Times New Roman"/>
          <w:sz w:val="24"/>
          <w:szCs w:val="24"/>
        </w:rPr>
        <w:t>C</w:t>
      </w:r>
      <w:r>
        <w:rPr>
          <w:rFonts w:ascii="Times New Roman" w:eastAsia="Times New Roman" w:hAnsi="Times New Roman" w:cs="Times New Roman"/>
          <w:sz w:val="24"/>
          <w:szCs w:val="24"/>
        </w:rPr>
        <w:t>olumn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we find that the coefficient for the instrumented variable in the second-stage regression is also significant, at the 1% level, and positively related to </w:t>
      </w:r>
      <w:r w:rsidRPr="00921FA5">
        <w:rPr>
          <w:rFonts w:ascii="Times New Roman" w:eastAsia="Times New Roman" w:hAnsi="Times New Roman" w:cs="Times New Roman"/>
          <w:i/>
          <w:sz w:val="24"/>
          <w:szCs w:val="24"/>
        </w:rPr>
        <w:t>Inst. Holdings</w:t>
      </w:r>
      <w:r>
        <w:rPr>
          <w:rFonts w:ascii="Times New Roman" w:eastAsia="Times New Roman" w:hAnsi="Times New Roman" w:cs="Times New Roman"/>
          <w:sz w:val="24"/>
          <w:szCs w:val="24"/>
        </w:rPr>
        <w:t xml:space="preserve">. </w:t>
      </w:r>
    </w:p>
    <w:p w14:paraId="72F92FFB" w14:textId="6B13F297" w:rsidR="00F4488D" w:rsidRPr="008A1942" w:rsidRDefault="00F4488D" w:rsidP="00F4488D">
      <w:pPr>
        <w:spacing w:after="120" w:line="480" w:lineRule="auto"/>
        <w:ind w:firstLine="567"/>
        <w:jc w:val="both"/>
      </w:pPr>
      <w:r w:rsidRPr="00887429">
        <w:rPr>
          <w:rFonts w:ascii="Times New Roman" w:eastAsia="Times New Roman" w:hAnsi="Times New Roman" w:cs="Times New Roman"/>
          <w:sz w:val="24"/>
          <w:szCs w:val="24"/>
        </w:rPr>
        <w:t>In Columns (3) and (4)</w:t>
      </w:r>
      <w:r w:rsidR="008502E0">
        <w:rPr>
          <w:rFonts w:ascii="Times New Roman" w:eastAsia="Times New Roman" w:hAnsi="Times New Roman" w:cs="Times New Roman"/>
          <w:sz w:val="24"/>
          <w:szCs w:val="24"/>
        </w:rPr>
        <w:t>,</w:t>
      </w:r>
      <w:r w:rsidRPr="00887429">
        <w:rPr>
          <w:rFonts w:ascii="Times New Roman" w:eastAsia="Times New Roman" w:hAnsi="Times New Roman" w:cs="Times New Roman"/>
          <w:sz w:val="24"/>
          <w:szCs w:val="24"/>
        </w:rPr>
        <w:t xml:space="preserve"> we repeat the 2SLS process using a completely different IV. </w:t>
      </w:r>
      <w:r w:rsidR="008502E0">
        <w:rPr>
          <w:rFonts w:ascii="Times New Roman" w:eastAsia="Times New Roman" w:hAnsi="Times New Roman" w:cs="Times New Roman"/>
          <w:sz w:val="24"/>
          <w:szCs w:val="24"/>
        </w:rPr>
        <w:t xml:space="preserve">Our </w:t>
      </w:r>
      <w:r w:rsidR="00332ED7">
        <w:rPr>
          <w:rFonts w:ascii="Times New Roman" w:eastAsia="Times New Roman" w:hAnsi="Times New Roman" w:cs="Times New Roman"/>
          <w:i/>
          <w:sz w:val="24"/>
          <w:szCs w:val="24"/>
        </w:rPr>
        <w:t>Geographic</w:t>
      </w:r>
      <w:r w:rsidRPr="000E44EF">
        <w:rPr>
          <w:rFonts w:ascii="Times New Roman" w:eastAsia="Times New Roman" w:hAnsi="Times New Roman" w:cs="Times New Roman"/>
          <w:i/>
          <w:sz w:val="24"/>
          <w:szCs w:val="24"/>
        </w:rPr>
        <w:t xml:space="preserve"> </w:t>
      </w:r>
      <w:r w:rsidRPr="008C4B82">
        <w:rPr>
          <w:rFonts w:ascii="Times New Roman" w:eastAsia="Times New Roman" w:hAnsi="Times New Roman" w:cs="Times New Roman"/>
          <w:sz w:val="24"/>
          <w:szCs w:val="24"/>
        </w:rPr>
        <w:t>IV</w:t>
      </w:r>
      <w:r w:rsidR="008502E0">
        <w:rPr>
          <w:rFonts w:ascii="Times New Roman" w:eastAsia="Times New Roman" w:hAnsi="Times New Roman" w:cs="Times New Roman"/>
          <w:sz w:val="24"/>
          <w:szCs w:val="24"/>
        </w:rPr>
        <w:t xml:space="preserve"> </w:t>
      </w:r>
      <w:r w:rsidRPr="000E44EF">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based on the</w:t>
      </w:r>
      <w:r w:rsidRPr="000E44EF">
        <w:rPr>
          <w:rFonts w:ascii="Times New Roman" w:eastAsia="Times New Roman" w:hAnsi="Times New Roman" w:cs="Times New Roman"/>
          <w:sz w:val="24"/>
          <w:szCs w:val="24"/>
        </w:rPr>
        <w:t xml:space="preserve"> median </w:t>
      </w:r>
      <w:r w:rsidRPr="00C10B0F">
        <w:rPr>
          <w:rFonts w:ascii="Times New Roman" w:eastAsia="Times New Roman" w:hAnsi="Times New Roman" w:cs="Times New Roman"/>
          <w:i/>
          <w:sz w:val="24"/>
          <w:szCs w:val="24"/>
        </w:rPr>
        <w:t>CEO Pay Gap</w:t>
      </w:r>
      <w:r w:rsidRPr="000E44EF">
        <w:rPr>
          <w:rFonts w:ascii="Times New Roman" w:eastAsia="Times New Roman" w:hAnsi="Times New Roman" w:cs="Times New Roman"/>
          <w:sz w:val="24"/>
          <w:szCs w:val="24"/>
        </w:rPr>
        <w:t xml:space="preserve"> of firms </w:t>
      </w:r>
      <w:r w:rsidR="00BD71A7">
        <w:rPr>
          <w:rFonts w:ascii="Times New Roman" w:eastAsia="Times New Roman" w:hAnsi="Times New Roman" w:cs="Times New Roman"/>
          <w:sz w:val="24"/>
          <w:szCs w:val="24"/>
        </w:rPr>
        <w:t>in</w:t>
      </w:r>
      <w:r w:rsidR="00332ED7">
        <w:rPr>
          <w:rFonts w:ascii="Times New Roman" w:eastAsia="Times New Roman" w:hAnsi="Times New Roman" w:cs="Times New Roman"/>
          <w:sz w:val="24"/>
          <w:szCs w:val="24"/>
        </w:rPr>
        <w:t xml:space="preserve"> the same </w:t>
      </w:r>
      <w:r w:rsidR="00BD71A7">
        <w:rPr>
          <w:rFonts w:ascii="Times New Roman" w:eastAsia="Times New Roman" w:hAnsi="Times New Roman" w:cs="Times New Roman"/>
          <w:sz w:val="24"/>
          <w:szCs w:val="24"/>
        </w:rPr>
        <w:t xml:space="preserve">size </w:t>
      </w:r>
      <w:r w:rsidR="00332ED7">
        <w:rPr>
          <w:rFonts w:ascii="Times New Roman" w:eastAsia="Times New Roman" w:hAnsi="Times New Roman" w:cs="Times New Roman"/>
          <w:sz w:val="24"/>
          <w:szCs w:val="24"/>
        </w:rPr>
        <w:t xml:space="preserve">quartile and are </w:t>
      </w:r>
      <w:r w:rsidRPr="000E44EF">
        <w:rPr>
          <w:rFonts w:ascii="Times New Roman" w:eastAsia="Times New Roman" w:hAnsi="Times New Roman" w:cs="Times New Roman"/>
          <w:sz w:val="24"/>
          <w:szCs w:val="24"/>
        </w:rPr>
        <w:t xml:space="preserve">within the same state </w:t>
      </w:r>
      <w:r w:rsidR="00D80A62">
        <w:rPr>
          <w:rFonts w:ascii="Times New Roman" w:eastAsia="Times New Roman" w:hAnsi="Times New Roman" w:cs="Times New Roman"/>
          <w:sz w:val="24"/>
          <w:szCs w:val="24"/>
        </w:rPr>
        <w:t xml:space="preserve">where </w:t>
      </w:r>
      <w:r w:rsidRPr="000E44EF">
        <w:rPr>
          <w:rFonts w:ascii="Times New Roman" w:eastAsia="Times New Roman" w:hAnsi="Times New Roman" w:cs="Times New Roman"/>
          <w:sz w:val="24"/>
          <w:szCs w:val="24"/>
        </w:rPr>
        <w:t>the focus firm</w:t>
      </w:r>
      <w:r>
        <w:rPr>
          <w:rFonts w:ascii="Times New Roman" w:eastAsia="Times New Roman" w:hAnsi="Times New Roman" w:cs="Times New Roman"/>
          <w:sz w:val="24"/>
          <w:szCs w:val="24"/>
        </w:rPr>
        <w:t xml:space="preserve"> is headquartered,</w:t>
      </w:r>
      <w:r w:rsidRPr="000E44EF">
        <w:rPr>
          <w:rFonts w:ascii="Times New Roman" w:eastAsia="Times New Roman" w:hAnsi="Times New Roman" w:cs="Times New Roman"/>
          <w:sz w:val="24"/>
          <w:szCs w:val="24"/>
        </w:rPr>
        <w:t xml:space="preserve"> but not in the same 2-digit SIC </w:t>
      </w:r>
      <w:r w:rsidRPr="009C74A1">
        <w:rPr>
          <w:rFonts w:ascii="Times New Roman" w:eastAsia="Times New Roman" w:hAnsi="Times New Roman" w:cs="Times New Roman"/>
          <w:sz w:val="24"/>
          <w:szCs w:val="24"/>
        </w:rPr>
        <w:t>industry.</w:t>
      </w:r>
      <w:r>
        <w:rPr>
          <w:rStyle w:val="FootnoteReference"/>
          <w:rFonts w:ascii="Times New Roman" w:eastAsia="Times New Roman" w:hAnsi="Times New Roman" w:cs="Times New Roman"/>
          <w:sz w:val="24"/>
          <w:szCs w:val="24"/>
        </w:rPr>
        <w:footnoteReference w:id="7"/>
      </w:r>
      <w:r w:rsidRPr="009C74A1">
        <w:rPr>
          <w:rFonts w:ascii="Times New Roman" w:eastAsia="Times New Roman" w:hAnsi="Times New Roman" w:cs="Times New Roman"/>
          <w:sz w:val="24"/>
          <w:szCs w:val="24"/>
        </w:rPr>
        <w:t xml:space="preserve"> </w:t>
      </w:r>
      <w:r w:rsidR="00D80A62">
        <w:rPr>
          <w:rFonts w:ascii="Times New Roman" w:eastAsia="Times New Roman" w:hAnsi="Times New Roman" w:cs="Times New Roman"/>
          <w:sz w:val="24"/>
          <w:szCs w:val="24"/>
        </w:rPr>
        <w:t>Since s</w:t>
      </w:r>
      <w:proofErr w:type="spellStart"/>
      <w:r w:rsidRPr="009C74A1">
        <w:rPr>
          <w:rFonts w:ascii="Times New Roman" w:hAnsi="Times New Roman" w:cs="Times New Roman"/>
          <w:sz w:val="24"/>
          <w:szCs w:val="24"/>
          <w:lang w:val="en-US"/>
        </w:rPr>
        <w:t>tate</w:t>
      </w:r>
      <w:proofErr w:type="spellEnd"/>
      <w:r w:rsidRPr="009C74A1">
        <w:rPr>
          <w:rFonts w:ascii="Times New Roman" w:hAnsi="Times New Roman" w:cs="Times New Roman"/>
          <w:sz w:val="24"/>
          <w:szCs w:val="24"/>
          <w:lang w:val="en-US"/>
        </w:rPr>
        <w:t xml:space="preserve"> income taxes differ across states</w:t>
      </w:r>
      <w:r w:rsidR="00D80A62">
        <w:rPr>
          <w:rFonts w:ascii="Times New Roman" w:hAnsi="Times New Roman" w:cs="Times New Roman"/>
          <w:sz w:val="24"/>
          <w:szCs w:val="24"/>
          <w:lang w:val="en-US"/>
        </w:rPr>
        <w:t>,</w:t>
      </w:r>
      <w:r w:rsidRPr="009C74A1">
        <w:rPr>
          <w:rFonts w:ascii="Times New Roman" w:hAnsi="Times New Roman" w:cs="Times New Roman"/>
          <w:sz w:val="24"/>
          <w:szCs w:val="24"/>
          <w:lang w:val="en-US"/>
        </w:rPr>
        <w:t xml:space="preserve"> this will have an impact on the </w:t>
      </w:r>
      <w:r>
        <w:rPr>
          <w:rFonts w:ascii="Times New Roman" w:hAnsi="Times New Roman" w:cs="Times New Roman"/>
          <w:sz w:val="24"/>
          <w:szCs w:val="24"/>
          <w:lang w:val="en-US"/>
        </w:rPr>
        <w:t xml:space="preserve">after-tax </w:t>
      </w:r>
      <w:r w:rsidRPr="009C74A1">
        <w:rPr>
          <w:rFonts w:ascii="Times New Roman" w:hAnsi="Times New Roman" w:cs="Times New Roman"/>
          <w:sz w:val="24"/>
          <w:szCs w:val="24"/>
          <w:lang w:val="en-US"/>
        </w:rPr>
        <w:t>value</w:t>
      </w:r>
      <w:r w:rsidR="00D80A62">
        <w:rPr>
          <w:rFonts w:ascii="Times New Roman" w:hAnsi="Times New Roman" w:cs="Times New Roman"/>
          <w:sz w:val="24"/>
          <w:szCs w:val="24"/>
          <w:lang w:val="en-US"/>
        </w:rPr>
        <w:t>s</w:t>
      </w:r>
      <w:r w:rsidRPr="009C74A1">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Pr="009C74A1">
        <w:rPr>
          <w:rFonts w:ascii="Times New Roman" w:hAnsi="Times New Roman" w:cs="Times New Roman"/>
          <w:sz w:val="24"/>
          <w:szCs w:val="24"/>
          <w:lang w:val="en-US"/>
        </w:rPr>
        <w:t xml:space="preserve">tournament incentives </w:t>
      </w:r>
      <w:r w:rsidR="008502E0">
        <w:rPr>
          <w:rFonts w:ascii="Times New Roman" w:hAnsi="Times New Roman" w:cs="Times New Roman"/>
          <w:sz w:val="24"/>
          <w:szCs w:val="24"/>
          <w:lang w:val="en-US"/>
        </w:rPr>
        <w:t xml:space="preserve">that </w:t>
      </w:r>
      <w:r w:rsidRPr="009C74A1">
        <w:rPr>
          <w:rFonts w:ascii="Times New Roman" w:hAnsi="Times New Roman" w:cs="Times New Roman"/>
          <w:sz w:val="24"/>
          <w:szCs w:val="24"/>
          <w:lang w:val="en-US"/>
        </w:rPr>
        <w:t>firm</w:t>
      </w:r>
      <w:r w:rsidR="008502E0">
        <w:rPr>
          <w:rFonts w:ascii="Times New Roman" w:hAnsi="Times New Roman" w:cs="Times New Roman"/>
          <w:sz w:val="24"/>
          <w:szCs w:val="24"/>
          <w:lang w:val="en-US"/>
        </w:rPr>
        <w:t>s</w:t>
      </w:r>
      <w:r w:rsidRPr="009C74A1">
        <w:rPr>
          <w:rFonts w:ascii="Times New Roman" w:hAnsi="Times New Roman" w:cs="Times New Roman"/>
          <w:sz w:val="24"/>
          <w:szCs w:val="24"/>
          <w:lang w:val="en-US"/>
        </w:rPr>
        <w:t xml:space="preserve"> offer. </w:t>
      </w:r>
      <w:r>
        <w:rPr>
          <w:rFonts w:ascii="Times New Roman" w:hAnsi="Times New Roman" w:cs="Times New Roman"/>
          <w:sz w:val="24"/>
          <w:szCs w:val="24"/>
          <w:lang w:val="en-US"/>
        </w:rPr>
        <w:t xml:space="preserve">The state of </w:t>
      </w:r>
      <w:r w:rsidRPr="000E44EF">
        <w:rPr>
          <w:rFonts w:ascii="Times New Roman" w:hAnsi="Times New Roman" w:cs="Times New Roman"/>
          <w:sz w:val="24"/>
          <w:szCs w:val="24"/>
          <w:lang w:val="en-US"/>
        </w:rPr>
        <w:t>California</w:t>
      </w:r>
      <w:r>
        <w:rPr>
          <w:rFonts w:ascii="Times New Roman" w:hAnsi="Times New Roman" w:cs="Times New Roman"/>
          <w:sz w:val="24"/>
          <w:szCs w:val="24"/>
          <w:lang w:val="en-US"/>
        </w:rPr>
        <w:t>, for example,</w:t>
      </w:r>
      <w:r w:rsidRPr="000E44EF">
        <w:rPr>
          <w:rFonts w:ascii="Times New Roman" w:hAnsi="Times New Roman" w:cs="Times New Roman"/>
          <w:sz w:val="24"/>
          <w:szCs w:val="24"/>
          <w:lang w:val="en-US"/>
        </w:rPr>
        <w:t xml:space="preserve"> has double</w:t>
      </w:r>
      <w:r w:rsidR="008502E0">
        <w:rPr>
          <w:rFonts w:ascii="Times New Roman" w:hAnsi="Times New Roman" w:cs="Times New Roman"/>
          <w:sz w:val="24"/>
          <w:szCs w:val="24"/>
          <w:lang w:val="en-US"/>
        </w:rPr>
        <w:t>-</w:t>
      </w:r>
      <w:r w:rsidRPr="000E44EF">
        <w:rPr>
          <w:rFonts w:ascii="Times New Roman" w:hAnsi="Times New Roman" w:cs="Times New Roman"/>
          <w:sz w:val="24"/>
          <w:szCs w:val="24"/>
          <w:lang w:val="en-US"/>
        </w:rPr>
        <w:t>digit income tax brackets</w:t>
      </w:r>
      <w:r w:rsidR="008502E0">
        <w:rPr>
          <w:rFonts w:ascii="Times New Roman" w:hAnsi="Times New Roman" w:cs="Times New Roman"/>
          <w:sz w:val="24"/>
          <w:szCs w:val="24"/>
          <w:lang w:val="en-US"/>
        </w:rPr>
        <w:t>; in contrast,</w:t>
      </w:r>
      <w:r w:rsidRPr="000E44EF">
        <w:rPr>
          <w:rFonts w:ascii="Times New Roman" w:hAnsi="Times New Roman" w:cs="Times New Roman"/>
          <w:sz w:val="24"/>
          <w:szCs w:val="24"/>
          <w:lang w:val="en-US"/>
        </w:rPr>
        <w:t xml:space="preserve"> there is no personal income tax in Florida. </w:t>
      </w:r>
      <w:r>
        <w:rPr>
          <w:rFonts w:ascii="Times New Roman" w:hAnsi="Times New Roman" w:cs="Times New Roman"/>
          <w:sz w:val="24"/>
          <w:szCs w:val="24"/>
          <w:lang w:val="en-US"/>
        </w:rPr>
        <w:t xml:space="preserve">We </w:t>
      </w:r>
      <w:r w:rsidRPr="0072409C">
        <w:rPr>
          <w:rFonts w:ascii="Times New Roman" w:hAnsi="Times New Roman" w:cs="Times New Roman"/>
          <w:noProof/>
          <w:sz w:val="24"/>
          <w:szCs w:val="24"/>
          <w:lang w:val="en-US"/>
        </w:rPr>
        <w:t>therefore</w:t>
      </w:r>
      <w:r>
        <w:rPr>
          <w:rFonts w:ascii="Times New Roman" w:hAnsi="Times New Roman" w:cs="Times New Roman"/>
          <w:sz w:val="24"/>
          <w:szCs w:val="24"/>
          <w:lang w:val="en-US"/>
        </w:rPr>
        <w:t xml:space="preserve"> expect </w:t>
      </w:r>
      <w:r w:rsidR="008502E0" w:rsidRPr="0072409C">
        <w:rPr>
          <w:rFonts w:ascii="Times New Roman" w:hAnsi="Times New Roman" w:cs="Times New Roman"/>
          <w:noProof/>
          <w:sz w:val="24"/>
          <w:szCs w:val="24"/>
          <w:lang w:val="en-US"/>
        </w:rPr>
        <w:t xml:space="preserve">that </w:t>
      </w:r>
      <w:r w:rsidRPr="0072409C">
        <w:rPr>
          <w:rFonts w:ascii="Times New Roman" w:hAnsi="Times New Roman" w:cs="Times New Roman"/>
          <w:noProof/>
          <w:sz w:val="24"/>
          <w:szCs w:val="24"/>
          <w:lang w:val="en-US"/>
        </w:rPr>
        <w:t>tournament incentives</w:t>
      </w:r>
      <w:r>
        <w:rPr>
          <w:rFonts w:ascii="Times New Roman" w:hAnsi="Times New Roman" w:cs="Times New Roman"/>
          <w:sz w:val="24"/>
          <w:szCs w:val="24"/>
          <w:lang w:val="en-US"/>
        </w:rPr>
        <w:t xml:space="preserve"> </w:t>
      </w:r>
      <w:r w:rsidR="00675B80">
        <w:rPr>
          <w:rFonts w:ascii="Times New Roman" w:hAnsi="Times New Roman" w:cs="Times New Roman"/>
          <w:sz w:val="24"/>
          <w:szCs w:val="24"/>
          <w:lang w:val="en-US"/>
        </w:rPr>
        <w:t xml:space="preserve">will </w:t>
      </w:r>
      <w:r>
        <w:rPr>
          <w:rFonts w:ascii="Times New Roman" w:hAnsi="Times New Roman" w:cs="Times New Roman"/>
          <w:sz w:val="24"/>
          <w:szCs w:val="24"/>
          <w:lang w:val="en-US"/>
        </w:rPr>
        <w:t xml:space="preserve">vary across states </w:t>
      </w:r>
      <w:proofErr w:type="gramStart"/>
      <w:r>
        <w:rPr>
          <w:rFonts w:ascii="Times New Roman" w:hAnsi="Times New Roman" w:cs="Times New Roman"/>
          <w:sz w:val="24"/>
          <w:szCs w:val="24"/>
          <w:lang w:val="en-US"/>
        </w:rPr>
        <w:t>to partly offset</w:t>
      </w:r>
      <w:proofErr w:type="gramEnd"/>
      <w:r>
        <w:rPr>
          <w:rFonts w:ascii="Times New Roman" w:hAnsi="Times New Roman" w:cs="Times New Roman"/>
          <w:sz w:val="24"/>
          <w:szCs w:val="24"/>
          <w:lang w:val="en-US"/>
        </w:rPr>
        <w:t xml:space="preserve"> the impact that state taxes have on the after</w:t>
      </w:r>
      <w:r w:rsidR="00D80A62">
        <w:rPr>
          <w:rFonts w:ascii="Times New Roman" w:hAnsi="Times New Roman" w:cs="Times New Roman"/>
          <w:sz w:val="24"/>
          <w:szCs w:val="24"/>
          <w:lang w:val="en-US"/>
        </w:rPr>
        <w:t>-</w:t>
      </w:r>
      <w:r>
        <w:rPr>
          <w:rFonts w:ascii="Times New Roman" w:hAnsi="Times New Roman" w:cs="Times New Roman"/>
          <w:sz w:val="24"/>
          <w:szCs w:val="24"/>
          <w:lang w:val="en-US"/>
        </w:rPr>
        <w:t xml:space="preserve">tax value of </w:t>
      </w:r>
      <w:r w:rsidR="00D80A62">
        <w:rPr>
          <w:rFonts w:ascii="Times New Roman" w:hAnsi="Times New Roman" w:cs="Times New Roman"/>
          <w:sz w:val="24"/>
          <w:szCs w:val="24"/>
          <w:lang w:val="en-US"/>
        </w:rPr>
        <w:t>tournament</w:t>
      </w:r>
      <w:r>
        <w:rPr>
          <w:rFonts w:ascii="Times New Roman" w:hAnsi="Times New Roman" w:cs="Times New Roman"/>
          <w:sz w:val="24"/>
          <w:szCs w:val="24"/>
          <w:lang w:val="en-US"/>
        </w:rPr>
        <w:t xml:space="preserve"> incentives</w:t>
      </w:r>
      <w:r w:rsidR="00BD71A7">
        <w:rPr>
          <w:rFonts w:ascii="Times New Roman" w:hAnsi="Times New Roman" w:cs="Times New Roman"/>
          <w:sz w:val="24"/>
          <w:szCs w:val="24"/>
          <w:lang w:val="en-US"/>
        </w:rPr>
        <w:t>, thereby meeting the relevancy condition for a valid IV</w:t>
      </w:r>
      <w:r>
        <w:rPr>
          <w:rFonts w:ascii="Times New Roman" w:hAnsi="Times New Roman" w:cs="Times New Roman"/>
          <w:sz w:val="24"/>
          <w:szCs w:val="24"/>
          <w:lang w:val="en-US"/>
        </w:rPr>
        <w:t xml:space="preserve">. </w:t>
      </w:r>
      <w:proofErr w:type="gramStart"/>
      <w:r w:rsidRPr="008A1942">
        <w:rPr>
          <w:rFonts w:ascii="Times New Roman" w:hAnsi="Times New Roman" w:cs="Times New Roman"/>
          <w:sz w:val="24"/>
          <w:szCs w:val="24"/>
          <w:lang w:val="en-US"/>
        </w:rPr>
        <w:t xml:space="preserve">In addition, </w:t>
      </w:r>
      <w:r w:rsidR="00BD71A7">
        <w:rPr>
          <w:rFonts w:ascii="Times New Roman" w:hAnsi="Times New Roman" w:cs="Times New Roman"/>
          <w:sz w:val="24"/>
          <w:szCs w:val="24"/>
          <w:lang w:val="en-US"/>
        </w:rPr>
        <w:t xml:space="preserve">to ensure it meets the exclusion condition, </w:t>
      </w:r>
      <w:r w:rsidRPr="008A1942">
        <w:rPr>
          <w:rFonts w:ascii="Times New Roman" w:hAnsi="Times New Roman" w:cs="Times New Roman"/>
          <w:sz w:val="24"/>
          <w:szCs w:val="24"/>
          <w:lang w:val="en-US"/>
        </w:rPr>
        <w:t>by using only firms from outside of the focus firm’s industry</w:t>
      </w:r>
      <w:r>
        <w:rPr>
          <w:rFonts w:ascii="Times New Roman" w:hAnsi="Times New Roman" w:cs="Times New Roman"/>
          <w:sz w:val="24"/>
          <w:szCs w:val="24"/>
          <w:lang w:val="en-US"/>
        </w:rPr>
        <w:t xml:space="preserve"> to calculate the median </w:t>
      </w:r>
      <w:r w:rsidRPr="00C10B0F">
        <w:rPr>
          <w:rFonts w:ascii="Times New Roman" w:hAnsi="Times New Roman" w:cs="Times New Roman"/>
          <w:i/>
          <w:sz w:val="24"/>
          <w:szCs w:val="24"/>
          <w:lang w:val="en-US"/>
        </w:rPr>
        <w:t>CEO Pay Gap</w:t>
      </w:r>
      <w:r w:rsidRPr="008A1942">
        <w:rPr>
          <w:rFonts w:ascii="Times New Roman" w:hAnsi="Times New Roman" w:cs="Times New Roman"/>
          <w:sz w:val="24"/>
          <w:szCs w:val="24"/>
          <w:lang w:val="en-US"/>
        </w:rPr>
        <w:t xml:space="preserve">, it </w:t>
      </w:r>
      <w:r w:rsidR="00675B80">
        <w:rPr>
          <w:rFonts w:ascii="Times New Roman" w:hAnsi="Times New Roman" w:cs="Times New Roman"/>
          <w:sz w:val="24"/>
          <w:szCs w:val="24"/>
          <w:lang w:val="en-US"/>
        </w:rPr>
        <w:t xml:space="preserve">is even more </w:t>
      </w:r>
      <w:r w:rsidRPr="008A1942">
        <w:rPr>
          <w:rFonts w:ascii="Times New Roman" w:hAnsi="Times New Roman" w:cs="Times New Roman"/>
          <w:sz w:val="24"/>
          <w:szCs w:val="24"/>
          <w:lang w:val="en-US"/>
        </w:rPr>
        <w:t>unlikely</w:t>
      </w:r>
      <w:r w:rsidR="00675B80">
        <w:rPr>
          <w:rFonts w:ascii="Times New Roman" w:hAnsi="Times New Roman" w:cs="Times New Roman"/>
          <w:sz w:val="24"/>
          <w:szCs w:val="24"/>
          <w:lang w:val="en-US"/>
        </w:rPr>
        <w:t xml:space="preserve"> (relative to our </w:t>
      </w:r>
      <w:r w:rsidR="00675B80" w:rsidRPr="00C10B0F">
        <w:rPr>
          <w:rFonts w:ascii="Times New Roman" w:hAnsi="Times New Roman" w:cs="Times New Roman"/>
          <w:i/>
          <w:sz w:val="24"/>
          <w:szCs w:val="24"/>
          <w:lang w:val="en-US"/>
        </w:rPr>
        <w:t>Industry</w:t>
      </w:r>
      <w:r w:rsidR="00675B80">
        <w:rPr>
          <w:rFonts w:ascii="Times New Roman" w:hAnsi="Times New Roman" w:cs="Times New Roman"/>
          <w:sz w:val="24"/>
          <w:szCs w:val="24"/>
          <w:lang w:val="en-US"/>
        </w:rPr>
        <w:t xml:space="preserve"> IV)</w:t>
      </w:r>
      <w:r w:rsidRPr="008A1942">
        <w:rPr>
          <w:rFonts w:ascii="Times New Roman" w:hAnsi="Times New Roman" w:cs="Times New Roman"/>
          <w:sz w:val="24"/>
          <w:szCs w:val="24"/>
          <w:lang w:val="en-US"/>
        </w:rPr>
        <w:t xml:space="preserve"> that the focus firm </w:t>
      </w:r>
      <w:r w:rsidR="00D80A62">
        <w:rPr>
          <w:rFonts w:ascii="Times New Roman" w:hAnsi="Times New Roman" w:cs="Times New Roman"/>
          <w:sz w:val="24"/>
          <w:szCs w:val="24"/>
          <w:lang w:val="en-US"/>
        </w:rPr>
        <w:t xml:space="preserve">will </w:t>
      </w:r>
      <w:r w:rsidRPr="008A1942">
        <w:rPr>
          <w:rFonts w:ascii="Times New Roman" w:hAnsi="Times New Roman" w:cs="Times New Roman"/>
          <w:sz w:val="24"/>
          <w:szCs w:val="24"/>
          <w:lang w:val="en-US"/>
        </w:rPr>
        <w:t>influenc</w:t>
      </w:r>
      <w:r w:rsidR="00D80A62">
        <w:rPr>
          <w:rFonts w:ascii="Times New Roman" w:hAnsi="Times New Roman" w:cs="Times New Roman"/>
          <w:sz w:val="24"/>
          <w:szCs w:val="24"/>
          <w:lang w:val="en-US"/>
        </w:rPr>
        <w:t>e</w:t>
      </w:r>
      <w:r w:rsidRPr="008A1942">
        <w:rPr>
          <w:rFonts w:ascii="Times New Roman" w:hAnsi="Times New Roman" w:cs="Times New Roman"/>
          <w:sz w:val="24"/>
          <w:szCs w:val="24"/>
          <w:lang w:val="en-US"/>
        </w:rPr>
        <w:t xml:space="preserve"> the tournament incentives of </w:t>
      </w:r>
      <w:r w:rsidR="00675B80">
        <w:rPr>
          <w:rFonts w:ascii="Times New Roman" w:hAnsi="Times New Roman" w:cs="Times New Roman"/>
          <w:sz w:val="24"/>
          <w:szCs w:val="24"/>
          <w:lang w:val="en-US"/>
        </w:rPr>
        <w:t>firms not in the same industry</w:t>
      </w:r>
      <w:r w:rsidR="00D80A62">
        <w:rPr>
          <w:rFonts w:ascii="Times New Roman" w:hAnsi="Times New Roman" w:cs="Times New Roman"/>
          <w:sz w:val="24"/>
          <w:szCs w:val="24"/>
          <w:lang w:val="en-US"/>
        </w:rPr>
        <w:t xml:space="preserve">, </w:t>
      </w:r>
      <w:r w:rsidR="00675B80">
        <w:rPr>
          <w:rFonts w:ascii="Times New Roman" w:hAnsi="Times New Roman" w:cs="Times New Roman"/>
          <w:sz w:val="24"/>
          <w:szCs w:val="24"/>
          <w:lang w:val="en-US"/>
        </w:rPr>
        <w:t>as they are not in direct competition with each other</w:t>
      </w:r>
      <w:r w:rsidRPr="009C74A1">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14:paraId="5CB2B2DB" w14:textId="782C0BC7" w:rsidR="00F4488D" w:rsidRDefault="00F4488D" w:rsidP="00F4488D">
      <w:pPr>
        <w:spacing w:after="12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BE3CCF">
        <w:rPr>
          <w:rFonts w:ascii="Times New Roman" w:hAnsi="Times New Roman" w:cs="Times New Roman"/>
          <w:sz w:val="24"/>
          <w:szCs w:val="24"/>
          <w:lang w:val="en-US"/>
        </w:rPr>
        <w:t>ur results</w:t>
      </w:r>
      <w:r>
        <w:rPr>
          <w:rFonts w:ascii="Times New Roman" w:hAnsi="Times New Roman" w:cs="Times New Roman"/>
          <w:sz w:val="24"/>
          <w:szCs w:val="24"/>
          <w:lang w:val="en-US"/>
        </w:rPr>
        <w:t xml:space="preserve"> from using the </w:t>
      </w:r>
      <w:r w:rsidR="00BD71A7">
        <w:rPr>
          <w:rFonts w:ascii="Times New Roman" w:hAnsi="Times New Roman" w:cs="Times New Roman"/>
          <w:i/>
          <w:sz w:val="24"/>
          <w:szCs w:val="24"/>
          <w:lang w:val="en-US"/>
        </w:rPr>
        <w:t>Geographic</w:t>
      </w:r>
      <w:r>
        <w:rPr>
          <w:rFonts w:ascii="Times New Roman" w:hAnsi="Times New Roman" w:cs="Times New Roman"/>
          <w:sz w:val="24"/>
          <w:szCs w:val="24"/>
          <w:lang w:val="en-US"/>
        </w:rPr>
        <w:t xml:space="preserve"> IV show that </w:t>
      </w:r>
      <w:r w:rsidR="00D80A62">
        <w:rPr>
          <w:rFonts w:ascii="Times New Roman" w:hAnsi="Times New Roman" w:cs="Times New Roman"/>
          <w:sz w:val="24"/>
          <w:szCs w:val="24"/>
          <w:lang w:val="en-US"/>
        </w:rPr>
        <w:t>this variable</w:t>
      </w:r>
      <w:r>
        <w:rPr>
          <w:rFonts w:ascii="Times New Roman" w:hAnsi="Times New Roman" w:cs="Times New Roman"/>
          <w:sz w:val="24"/>
          <w:szCs w:val="24"/>
          <w:lang w:val="en-US"/>
        </w:rPr>
        <w:t xml:space="preserve"> meets the relevancy </w:t>
      </w:r>
      <w:proofErr w:type="gramStart"/>
      <w:r>
        <w:rPr>
          <w:rFonts w:ascii="Times New Roman" w:hAnsi="Times New Roman" w:cs="Times New Roman"/>
          <w:sz w:val="24"/>
          <w:szCs w:val="24"/>
          <w:lang w:val="en-US"/>
        </w:rPr>
        <w:t>condition</w:t>
      </w:r>
      <w:proofErr w:type="gramEnd"/>
      <w:r>
        <w:rPr>
          <w:rFonts w:ascii="Times New Roman" w:hAnsi="Times New Roman" w:cs="Times New Roman"/>
          <w:sz w:val="24"/>
          <w:szCs w:val="24"/>
          <w:lang w:val="en-US"/>
        </w:rPr>
        <w:t xml:space="preserve"> as </w:t>
      </w:r>
      <w:r>
        <w:rPr>
          <w:rFonts w:ascii="Times New Roman" w:eastAsia="Times New Roman" w:hAnsi="Times New Roman" w:cs="Times New Roman"/>
          <w:sz w:val="24"/>
          <w:szCs w:val="24"/>
        </w:rPr>
        <w:t>the</w:t>
      </w:r>
      <w:r w:rsidRPr="00BE3CCF">
        <w:rPr>
          <w:rFonts w:ascii="Times New Roman" w:hAnsi="Times New Roman" w:cs="Times New Roman"/>
          <w:sz w:val="24"/>
          <w:szCs w:val="24"/>
          <w:lang w:val="en-US"/>
        </w:rPr>
        <w:t xml:space="preserve"> coefficient of</w:t>
      </w:r>
      <w:r>
        <w:rPr>
          <w:rFonts w:ascii="Times New Roman" w:hAnsi="Times New Roman" w:cs="Times New Roman"/>
          <w:sz w:val="24"/>
          <w:szCs w:val="24"/>
          <w:lang w:val="en-US"/>
        </w:rPr>
        <w:t xml:space="preserve"> the </w:t>
      </w:r>
      <w:r w:rsidR="00BD71A7">
        <w:rPr>
          <w:rFonts w:ascii="Times New Roman" w:hAnsi="Times New Roman" w:cs="Times New Roman"/>
          <w:i/>
          <w:sz w:val="24"/>
          <w:szCs w:val="24"/>
          <w:lang w:val="en-US"/>
        </w:rPr>
        <w:t>Geographic</w:t>
      </w:r>
      <w:r>
        <w:rPr>
          <w:rFonts w:ascii="Times New Roman" w:hAnsi="Times New Roman" w:cs="Times New Roman"/>
          <w:sz w:val="24"/>
          <w:szCs w:val="24"/>
          <w:lang w:val="en-US"/>
        </w:rPr>
        <w:t xml:space="preserve"> IV</w:t>
      </w:r>
      <w:r w:rsidRPr="00BE3CCF">
        <w:rPr>
          <w:rFonts w:ascii="Times New Roman" w:hAnsi="Times New Roman" w:cs="Times New Roman"/>
          <w:sz w:val="24"/>
          <w:szCs w:val="24"/>
          <w:lang w:val="en-US"/>
        </w:rPr>
        <w:t xml:space="preserve"> </w:t>
      </w:r>
      <w:r>
        <w:rPr>
          <w:rFonts w:ascii="Times New Roman" w:hAnsi="Times New Roman" w:cs="Times New Roman"/>
          <w:sz w:val="24"/>
          <w:szCs w:val="24"/>
          <w:lang w:val="en-US"/>
        </w:rPr>
        <w:t>is positive and significant at the 1% level in the first stage regression</w:t>
      </w:r>
      <w:r w:rsidR="00D80A62">
        <w:rPr>
          <w:rFonts w:ascii="Times New Roman" w:hAnsi="Times New Roman" w:cs="Times New Roman"/>
          <w:sz w:val="24"/>
          <w:szCs w:val="24"/>
          <w:lang w:val="en-US"/>
        </w:rPr>
        <w:t xml:space="preserve">. In addition, </w:t>
      </w:r>
      <w:r w:rsidRPr="00BE3CCF">
        <w:rPr>
          <w:rFonts w:ascii="Times New Roman" w:hAnsi="Times New Roman" w:cs="Times New Roman"/>
          <w:sz w:val="24"/>
          <w:szCs w:val="24"/>
          <w:lang w:val="en-US"/>
        </w:rPr>
        <w:t xml:space="preserve">the instrumented corporate tournament measure </w:t>
      </w:r>
      <w:r>
        <w:rPr>
          <w:rFonts w:ascii="Times New Roman" w:hAnsi="Times New Roman" w:cs="Times New Roman"/>
          <w:sz w:val="24"/>
          <w:szCs w:val="24"/>
          <w:lang w:val="en-US"/>
        </w:rPr>
        <w:t>is</w:t>
      </w:r>
      <w:r w:rsidRPr="00BE3CCF">
        <w:rPr>
          <w:rFonts w:ascii="Times New Roman" w:hAnsi="Times New Roman" w:cs="Times New Roman"/>
          <w:sz w:val="24"/>
          <w:szCs w:val="24"/>
          <w:lang w:val="en-US"/>
        </w:rPr>
        <w:t xml:space="preserve"> statistically significant and positive</w:t>
      </w:r>
      <w:r w:rsidRPr="00560E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w:t>
      </w:r>
      <w:r w:rsidR="00675B80">
        <w:rPr>
          <w:rFonts w:ascii="Times New Roman" w:hAnsi="Times New Roman" w:cs="Times New Roman"/>
          <w:sz w:val="24"/>
          <w:szCs w:val="24"/>
          <w:lang w:val="en-US"/>
        </w:rPr>
        <w:t xml:space="preserve">the </w:t>
      </w:r>
      <w:r>
        <w:rPr>
          <w:rFonts w:ascii="Times New Roman" w:hAnsi="Times New Roman" w:cs="Times New Roman"/>
          <w:sz w:val="24"/>
          <w:szCs w:val="24"/>
          <w:lang w:val="en-US"/>
        </w:rPr>
        <w:t>1% level in the second stage regression</w:t>
      </w:r>
      <w:r w:rsidRPr="00BE3CCF">
        <w:rPr>
          <w:rFonts w:ascii="Times New Roman" w:hAnsi="Times New Roman" w:cs="Times New Roman"/>
          <w:sz w:val="24"/>
          <w:szCs w:val="24"/>
          <w:lang w:val="en-US"/>
        </w:rPr>
        <w:t>, indicating that institutional investors prefer to invest in companies with high</w:t>
      </w:r>
      <w:r>
        <w:rPr>
          <w:rFonts w:ascii="Times New Roman" w:hAnsi="Times New Roman" w:cs="Times New Roman"/>
          <w:sz w:val="24"/>
          <w:szCs w:val="24"/>
          <w:lang w:val="en-US"/>
        </w:rPr>
        <w:t>er</w:t>
      </w:r>
      <w:r w:rsidRPr="00BE3CCF">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E3CCF">
        <w:rPr>
          <w:rFonts w:ascii="Times New Roman" w:hAnsi="Times New Roman" w:cs="Times New Roman"/>
          <w:sz w:val="24"/>
          <w:szCs w:val="24"/>
          <w:lang w:val="en-US"/>
        </w:rPr>
        <w:t>orporate tournament</w:t>
      </w:r>
      <w:r>
        <w:rPr>
          <w:rFonts w:ascii="Times New Roman" w:hAnsi="Times New Roman" w:cs="Times New Roman"/>
          <w:sz w:val="24"/>
          <w:szCs w:val="24"/>
          <w:lang w:val="en-US"/>
        </w:rPr>
        <w:t xml:space="preserve"> incentives</w:t>
      </w:r>
      <w:r w:rsidRPr="00BE3CCF">
        <w:rPr>
          <w:rFonts w:ascii="Times New Roman" w:hAnsi="Times New Roman" w:cs="Times New Roman"/>
          <w:sz w:val="24"/>
          <w:szCs w:val="24"/>
          <w:lang w:val="en-US"/>
        </w:rPr>
        <w:t>.</w:t>
      </w:r>
    </w:p>
    <w:p w14:paraId="4CCCC282" w14:textId="77777777" w:rsidR="004E77F0" w:rsidRDefault="004E77F0" w:rsidP="00F4488D">
      <w:pPr>
        <w:spacing w:after="120" w:line="480" w:lineRule="auto"/>
        <w:ind w:firstLine="567"/>
        <w:jc w:val="both"/>
        <w:rPr>
          <w:rFonts w:ascii="Times New Roman" w:hAnsi="Times New Roman" w:cs="Times New Roman"/>
          <w:sz w:val="24"/>
          <w:szCs w:val="24"/>
          <w:lang w:val="en-US"/>
        </w:rPr>
      </w:pPr>
    </w:p>
    <w:p w14:paraId="4CBBB68A" w14:textId="0E665457" w:rsidR="00D80A62" w:rsidRPr="00C10B0F" w:rsidRDefault="00675B80" w:rsidP="00C10B0F">
      <w:pPr>
        <w:pStyle w:val="ListParagraph"/>
        <w:numPr>
          <w:ilvl w:val="0"/>
          <w:numId w:val="14"/>
        </w:numPr>
        <w:autoSpaceDE w:val="0"/>
        <w:autoSpaceDN w:val="0"/>
        <w:adjustRightInd w:val="0"/>
        <w:spacing w:after="120" w:line="480" w:lineRule="auto"/>
        <w:jc w:val="both"/>
        <w:rPr>
          <w:rFonts w:ascii="Times New Roman" w:eastAsia="Times New Roman" w:hAnsi="Times New Roman" w:cs="Times New Roman"/>
          <w:b/>
          <w:sz w:val="24"/>
          <w:szCs w:val="24"/>
        </w:rPr>
      </w:pPr>
      <w:r w:rsidRPr="00C10B0F">
        <w:rPr>
          <w:rFonts w:ascii="Times New Roman" w:eastAsia="Times New Roman" w:hAnsi="Times New Roman" w:cs="Times New Roman"/>
          <w:b/>
          <w:sz w:val="24"/>
          <w:szCs w:val="24"/>
        </w:rPr>
        <w:t>Additional analyses</w:t>
      </w:r>
    </w:p>
    <w:p w14:paraId="04D2939C" w14:textId="1276AE50" w:rsidR="002E1F2E" w:rsidRPr="00C10B0F" w:rsidRDefault="002E1F2E" w:rsidP="00C10B0F">
      <w:pPr>
        <w:spacing w:after="120" w:line="480" w:lineRule="auto"/>
        <w:ind w:firstLine="360"/>
        <w:jc w:val="both"/>
        <w:rPr>
          <w:rFonts w:ascii="Times New Roman" w:hAnsi="Times New Roman" w:cs="Times New Roman"/>
          <w:i/>
          <w:sz w:val="24"/>
          <w:szCs w:val="24"/>
        </w:rPr>
      </w:pPr>
      <w:r w:rsidRPr="00C10B0F">
        <w:rPr>
          <w:rFonts w:ascii="Times New Roman" w:hAnsi="Times New Roman" w:cs="Times New Roman"/>
          <w:i/>
          <w:sz w:val="24"/>
          <w:szCs w:val="24"/>
        </w:rPr>
        <w:t xml:space="preserve">5.1 An alternative proxy for corporate tournament competition  </w:t>
      </w:r>
    </w:p>
    <w:p w14:paraId="4E84735E" w14:textId="3B8DBC37" w:rsidR="00F4488D" w:rsidRDefault="00F4488D" w:rsidP="00F4488D">
      <w:pPr>
        <w:spacing w:after="120" w:line="48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next consider a</w:t>
      </w:r>
      <w:r w:rsidRPr="00FE540A">
        <w:rPr>
          <w:rFonts w:ascii="Times New Roman" w:eastAsia="Times New Roman" w:hAnsi="Times New Roman" w:cs="Times New Roman"/>
          <w:sz w:val="24"/>
          <w:szCs w:val="24"/>
        </w:rPr>
        <w:t xml:space="preserve">n alternative </w:t>
      </w:r>
      <w:r w:rsidR="00D80A62">
        <w:rPr>
          <w:rFonts w:ascii="Times New Roman" w:eastAsia="Times New Roman" w:hAnsi="Times New Roman" w:cs="Times New Roman"/>
          <w:sz w:val="24"/>
          <w:szCs w:val="24"/>
        </w:rPr>
        <w:t xml:space="preserve">proxy for </w:t>
      </w:r>
      <w:r w:rsidRPr="00FE540A">
        <w:rPr>
          <w:rFonts w:ascii="Times New Roman" w:eastAsia="Times New Roman" w:hAnsi="Times New Roman" w:cs="Times New Roman"/>
          <w:sz w:val="24"/>
          <w:szCs w:val="24"/>
        </w:rPr>
        <w:t>corporate tournament competition</w:t>
      </w:r>
      <w:r>
        <w:rPr>
          <w:rFonts w:ascii="Times New Roman" w:eastAsia="Times New Roman" w:hAnsi="Times New Roman" w:cs="Times New Roman"/>
          <w:sz w:val="24"/>
          <w:szCs w:val="24"/>
        </w:rPr>
        <w:t xml:space="preserve">, </w:t>
      </w:r>
      <w:r w:rsidRPr="00FE540A">
        <w:rPr>
          <w:rFonts w:ascii="Times New Roman" w:eastAsia="Times New Roman" w:hAnsi="Times New Roman" w:cs="Times New Roman"/>
          <w:sz w:val="24"/>
          <w:szCs w:val="24"/>
        </w:rPr>
        <w:t>the number of Vice President</w:t>
      </w:r>
      <w:r>
        <w:rPr>
          <w:rFonts w:ascii="Times New Roman" w:eastAsia="Times New Roman" w:hAnsi="Times New Roman" w:cs="Times New Roman"/>
          <w:sz w:val="24"/>
          <w:szCs w:val="24"/>
        </w:rPr>
        <w:t>s</w:t>
      </w:r>
      <w:r w:rsidRPr="00FE540A">
        <w:rPr>
          <w:rFonts w:ascii="Times New Roman" w:eastAsia="Times New Roman" w:hAnsi="Times New Roman" w:cs="Times New Roman"/>
          <w:sz w:val="24"/>
          <w:szCs w:val="24"/>
        </w:rPr>
        <w:t xml:space="preserve"> (</w:t>
      </w:r>
      <w:r w:rsidRPr="00D50516">
        <w:rPr>
          <w:rFonts w:ascii="Times New Roman" w:eastAsia="Times New Roman" w:hAnsi="Times New Roman" w:cs="Times New Roman"/>
          <w:i/>
          <w:sz w:val="24"/>
          <w:szCs w:val="24"/>
        </w:rPr>
        <w:t>VP</w:t>
      </w:r>
      <w:r w:rsidRPr="004C6264">
        <w:rPr>
          <w:rFonts w:ascii="Times New Roman" w:eastAsia="Times New Roman" w:hAnsi="Times New Roman" w:cs="Times New Roman"/>
          <w:sz w:val="24"/>
          <w:szCs w:val="24"/>
        </w:rPr>
        <w:t>) in the firm</w:t>
      </w:r>
      <w:r w:rsidR="00D80A62">
        <w:rPr>
          <w:rFonts w:ascii="Times New Roman" w:eastAsia="Times New Roman" w:hAnsi="Times New Roman" w:cs="Times New Roman"/>
          <w:sz w:val="24"/>
          <w:szCs w:val="24"/>
        </w:rPr>
        <w:t xml:space="preserve">, as suggested by </w:t>
      </w:r>
      <w:r w:rsidRPr="004C6264">
        <w:rPr>
          <w:rFonts w:ascii="Times New Roman" w:hAnsi="Times New Roman" w:cs="Times New Roman"/>
          <w:sz w:val="24"/>
          <w:szCs w:val="24"/>
        </w:rPr>
        <w:t>Main, O’Reilly</w:t>
      </w:r>
      <w:r w:rsidR="00D80A62">
        <w:rPr>
          <w:rFonts w:ascii="Times New Roman" w:hAnsi="Times New Roman" w:cs="Times New Roman"/>
          <w:sz w:val="24"/>
          <w:szCs w:val="24"/>
        </w:rPr>
        <w:t>,</w:t>
      </w:r>
      <w:r w:rsidRPr="004C6264">
        <w:rPr>
          <w:rFonts w:ascii="Times New Roman" w:hAnsi="Times New Roman" w:cs="Times New Roman"/>
          <w:sz w:val="24"/>
          <w:szCs w:val="24"/>
        </w:rPr>
        <w:t xml:space="preserve"> and Wade</w:t>
      </w:r>
      <w:r w:rsidR="00D80A62">
        <w:rPr>
          <w:rFonts w:ascii="Times New Roman" w:hAnsi="Times New Roman" w:cs="Times New Roman"/>
          <w:sz w:val="24"/>
          <w:szCs w:val="24"/>
        </w:rPr>
        <w:t xml:space="preserve"> (</w:t>
      </w:r>
      <w:r w:rsidRPr="004C6264">
        <w:rPr>
          <w:rFonts w:ascii="Times New Roman" w:hAnsi="Times New Roman" w:cs="Times New Roman"/>
          <w:sz w:val="24"/>
          <w:szCs w:val="24"/>
        </w:rPr>
        <w:t>1993</w:t>
      </w:r>
      <w:r w:rsidR="00D80A62">
        <w:rPr>
          <w:rFonts w:ascii="Times New Roman" w:hAnsi="Times New Roman" w:cs="Times New Roman"/>
          <w:sz w:val="24"/>
          <w:szCs w:val="24"/>
        </w:rPr>
        <w:t xml:space="preserve">), </w:t>
      </w:r>
      <w:r w:rsidRPr="004C6264">
        <w:rPr>
          <w:rFonts w:ascii="Times New Roman" w:hAnsi="Times New Roman" w:cs="Times New Roman"/>
          <w:sz w:val="24"/>
          <w:szCs w:val="24"/>
        </w:rPr>
        <w:t xml:space="preserve">Kale, Reis, and </w:t>
      </w:r>
      <w:proofErr w:type="spellStart"/>
      <w:r w:rsidRPr="004C6264">
        <w:rPr>
          <w:rFonts w:ascii="Times New Roman" w:hAnsi="Times New Roman" w:cs="Times New Roman"/>
          <w:sz w:val="24"/>
          <w:szCs w:val="24"/>
        </w:rPr>
        <w:t>Venkateswaran</w:t>
      </w:r>
      <w:proofErr w:type="spellEnd"/>
      <w:r w:rsidRPr="004C6264">
        <w:rPr>
          <w:rFonts w:ascii="Times New Roman" w:hAnsi="Times New Roman" w:cs="Times New Roman"/>
          <w:sz w:val="24"/>
          <w:szCs w:val="24"/>
        </w:rPr>
        <w:t xml:space="preserve"> </w:t>
      </w:r>
      <w:r w:rsidR="00D80A62">
        <w:rPr>
          <w:rFonts w:ascii="Times New Roman" w:hAnsi="Times New Roman" w:cs="Times New Roman"/>
          <w:sz w:val="24"/>
          <w:szCs w:val="24"/>
        </w:rPr>
        <w:t>(</w:t>
      </w:r>
      <w:r w:rsidRPr="004C6264">
        <w:rPr>
          <w:rFonts w:ascii="Times New Roman" w:hAnsi="Times New Roman" w:cs="Times New Roman"/>
          <w:sz w:val="24"/>
          <w:szCs w:val="24"/>
        </w:rPr>
        <w:t>2009</w:t>
      </w:r>
      <w:r w:rsidR="00D80A62">
        <w:rPr>
          <w:rFonts w:ascii="Times New Roman" w:hAnsi="Times New Roman" w:cs="Times New Roman"/>
          <w:sz w:val="24"/>
          <w:szCs w:val="24"/>
        </w:rPr>
        <w:t>),</w:t>
      </w:r>
      <w:r w:rsidRPr="004C6264">
        <w:rPr>
          <w:rFonts w:ascii="Times New Roman" w:hAnsi="Times New Roman" w:cs="Times New Roman"/>
          <w:sz w:val="24"/>
          <w:szCs w:val="24"/>
        </w:rPr>
        <w:t xml:space="preserve"> </w:t>
      </w:r>
      <w:r w:rsidR="00D80A62">
        <w:rPr>
          <w:rFonts w:ascii="Times New Roman" w:hAnsi="Times New Roman" w:cs="Times New Roman"/>
          <w:sz w:val="24"/>
          <w:szCs w:val="24"/>
        </w:rPr>
        <w:t xml:space="preserve">and </w:t>
      </w:r>
      <w:proofErr w:type="spellStart"/>
      <w:r w:rsidRPr="004C6264">
        <w:rPr>
          <w:rFonts w:ascii="Times New Roman" w:hAnsi="Times New Roman" w:cs="Times New Roman"/>
          <w:sz w:val="24"/>
          <w:szCs w:val="24"/>
        </w:rPr>
        <w:t>Kini</w:t>
      </w:r>
      <w:proofErr w:type="spellEnd"/>
      <w:r w:rsidRPr="004C6264">
        <w:rPr>
          <w:rFonts w:ascii="Times New Roman" w:hAnsi="Times New Roman" w:cs="Times New Roman"/>
          <w:sz w:val="24"/>
          <w:szCs w:val="24"/>
        </w:rPr>
        <w:t xml:space="preserve"> and Williams</w:t>
      </w:r>
      <w:r w:rsidR="00D80A62">
        <w:rPr>
          <w:rFonts w:ascii="Times New Roman" w:hAnsi="Times New Roman" w:cs="Times New Roman"/>
          <w:sz w:val="24"/>
          <w:szCs w:val="24"/>
        </w:rPr>
        <w:t xml:space="preserve"> (</w:t>
      </w:r>
      <w:r w:rsidRPr="004C6264">
        <w:rPr>
          <w:rFonts w:ascii="Times New Roman" w:hAnsi="Times New Roman" w:cs="Times New Roman"/>
          <w:sz w:val="24"/>
          <w:szCs w:val="24"/>
        </w:rPr>
        <w:t>2012)</w:t>
      </w:r>
      <w:r w:rsidRPr="004C6264">
        <w:rPr>
          <w:rFonts w:ascii="Times New Roman" w:eastAsia="Times New Roman" w:hAnsi="Times New Roman" w:cs="Times New Roman"/>
          <w:sz w:val="24"/>
          <w:szCs w:val="24"/>
        </w:rPr>
        <w:t>.</w:t>
      </w:r>
      <w:r w:rsidRPr="00FE540A">
        <w:rPr>
          <w:rFonts w:ascii="Times New Roman" w:eastAsia="Times New Roman" w:hAnsi="Times New Roman" w:cs="Times New Roman"/>
          <w:sz w:val="24"/>
          <w:szCs w:val="24"/>
        </w:rPr>
        <w:t xml:space="preserve"> The higher the number of VPs in a firm, </w:t>
      </w:r>
      <w:r>
        <w:rPr>
          <w:rFonts w:ascii="Times New Roman" w:eastAsia="Times New Roman" w:hAnsi="Times New Roman" w:cs="Times New Roman"/>
          <w:sz w:val="24"/>
          <w:szCs w:val="24"/>
        </w:rPr>
        <w:t xml:space="preserve">the </w:t>
      </w:r>
      <w:r w:rsidR="00D80A62">
        <w:rPr>
          <w:rFonts w:ascii="Times New Roman" w:eastAsia="Times New Roman" w:hAnsi="Times New Roman" w:cs="Times New Roman"/>
          <w:sz w:val="24"/>
          <w:szCs w:val="24"/>
        </w:rPr>
        <w:t>larger</w:t>
      </w:r>
      <w:r w:rsidRPr="00FE5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FE540A">
        <w:rPr>
          <w:rFonts w:ascii="Times New Roman" w:eastAsia="Times New Roman" w:hAnsi="Times New Roman" w:cs="Times New Roman"/>
          <w:i/>
          <w:sz w:val="24"/>
          <w:szCs w:val="24"/>
        </w:rPr>
        <w:t>CEO Pay Gap</w:t>
      </w:r>
      <w:r w:rsidRPr="00FE5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likely to be </w:t>
      </w:r>
      <w:r w:rsidR="00D80A62">
        <w:rPr>
          <w:rFonts w:ascii="Times New Roman" w:eastAsia="Times New Roman" w:hAnsi="Times New Roman" w:cs="Times New Roman"/>
          <w:sz w:val="24"/>
          <w:szCs w:val="24"/>
        </w:rPr>
        <w:t xml:space="preserve">in order </w:t>
      </w:r>
      <w:r w:rsidRPr="00FE540A">
        <w:rPr>
          <w:rFonts w:ascii="Times New Roman" w:eastAsia="Times New Roman" w:hAnsi="Times New Roman" w:cs="Times New Roman"/>
          <w:sz w:val="24"/>
          <w:szCs w:val="24"/>
        </w:rPr>
        <w:t xml:space="preserve">to compensate for the lower probability of winning </w:t>
      </w:r>
      <w:r>
        <w:rPr>
          <w:rFonts w:ascii="Times New Roman" w:eastAsia="Times New Roman" w:hAnsi="Times New Roman" w:cs="Times New Roman"/>
          <w:sz w:val="24"/>
          <w:szCs w:val="24"/>
        </w:rPr>
        <w:t>a</w:t>
      </w:r>
      <w:r w:rsidRPr="00FE540A">
        <w:rPr>
          <w:rFonts w:ascii="Times New Roman" w:eastAsia="Times New Roman" w:hAnsi="Times New Roman" w:cs="Times New Roman"/>
          <w:sz w:val="24"/>
          <w:szCs w:val="24"/>
        </w:rPr>
        <w:t xml:space="preserve"> CEO tournament (</w:t>
      </w:r>
      <w:r w:rsidRPr="004C6264">
        <w:rPr>
          <w:rFonts w:ascii="Times New Roman" w:hAnsi="Times New Roman" w:cs="Times New Roman"/>
          <w:sz w:val="24"/>
          <w:szCs w:val="24"/>
        </w:rPr>
        <w:t>Main, O’Reilly</w:t>
      </w:r>
      <w:r w:rsidR="00D80A62">
        <w:rPr>
          <w:rFonts w:ascii="Times New Roman" w:hAnsi="Times New Roman" w:cs="Times New Roman"/>
          <w:sz w:val="24"/>
          <w:szCs w:val="24"/>
        </w:rPr>
        <w:t>,</w:t>
      </w:r>
      <w:r w:rsidRPr="004C6264">
        <w:rPr>
          <w:rFonts w:ascii="Times New Roman" w:hAnsi="Times New Roman" w:cs="Times New Roman"/>
          <w:sz w:val="24"/>
          <w:szCs w:val="24"/>
        </w:rPr>
        <w:t xml:space="preserve"> and Wade, 1993</w:t>
      </w:r>
      <w:r w:rsidRPr="00FE5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Main et al. (1993) find a positive </w:t>
      </w:r>
      <w:r w:rsidRPr="002E1F2E">
        <w:rPr>
          <w:rFonts w:ascii="Times New Roman" w:eastAsia="Times New Roman" w:hAnsi="Times New Roman" w:cs="Times New Roman"/>
          <w:sz w:val="24"/>
          <w:szCs w:val="24"/>
        </w:rPr>
        <w:t xml:space="preserve">relationship between the number of VPs and </w:t>
      </w:r>
      <w:r w:rsidR="00F152F2" w:rsidRPr="002E1F2E">
        <w:rPr>
          <w:rFonts w:ascii="Times New Roman" w:eastAsia="Times New Roman" w:hAnsi="Times New Roman" w:cs="Times New Roman"/>
          <w:sz w:val="24"/>
          <w:szCs w:val="24"/>
        </w:rPr>
        <w:t>dollar</w:t>
      </w:r>
      <w:r w:rsidR="00F152F2">
        <w:rPr>
          <w:rFonts w:ascii="Times New Roman" w:eastAsia="Times New Roman" w:hAnsi="Times New Roman" w:cs="Times New Roman"/>
          <w:sz w:val="24"/>
          <w:szCs w:val="24"/>
        </w:rPr>
        <w:t>-denominated</w:t>
      </w:r>
      <w:r w:rsidR="00F152F2" w:rsidRPr="002E1F2E">
        <w:rPr>
          <w:rFonts w:ascii="Times New Roman" w:eastAsia="Times New Roman" w:hAnsi="Times New Roman" w:cs="Times New Roman"/>
          <w:sz w:val="24"/>
          <w:szCs w:val="24"/>
        </w:rPr>
        <w:t xml:space="preserve"> </w:t>
      </w:r>
      <w:r w:rsidRPr="002E1F2E">
        <w:rPr>
          <w:rFonts w:ascii="Times New Roman" w:eastAsia="Times New Roman" w:hAnsi="Times New Roman" w:cs="Times New Roman"/>
          <w:sz w:val="24"/>
          <w:szCs w:val="24"/>
        </w:rPr>
        <w:t>CEO pay gap</w:t>
      </w:r>
      <w:r w:rsidR="00F152F2">
        <w:rPr>
          <w:rFonts w:ascii="Times New Roman" w:eastAsia="Times New Roman" w:hAnsi="Times New Roman" w:cs="Times New Roman"/>
          <w:sz w:val="24"/>
          <w:szCs w:val="24"/>
        </w:rPr>
        <w:t>s</w:t>
      </w:r>
      <w:r w:rsidR="00D80A62" w:rsidRPr="002E1F2E">
        <w:rPr>
          <w:rFonts w:ascii="Times New Roman" w:eastAsia="Times New Roman" w:hAnsi="Times New Roman" w:cs="Times New Roman"/>
          <w:sz w:val="24"/>
          <w:szCs w:val="24"/>
        </w:rPr>
        <w:t>,</w:t>
      </w:r>
      <w:r w:rsidRPr="002E1F2E">
        <w:rPr>
          <w:rFonts w:ascii="Times New Roman" w:eastAsia="Times New Roman" w:hAnsi="Times New Roman" w:cs="Times New Roman"/>
          <w:sz w:val="24"/>
          <w:szCs w:val="24"/>
        </w:rPr>
        <w:t xml:space="preserve"> and </w:t>
      </w:r>
      <w:r w:rsidR="002E1F2E" w:rsidRPr="002E1F2E">
        <w:rPr>
          <w:rFonts w:ascii="Times New Roman" w:eastAsia="Times New Roman" w:hAnsi="Times New Roman" w:cs="Times New Roman"/>
          <w:sz w:val="24"/>
          <w:szCs w:val="24"/>
        </w:rPr>
        <w:t xml:space="preserve">this </w:t>
      </w:r>
      <w:proofErr w:type="gramStart"/>
      <w:r w:rsidR="002E1F2E" w:rsidRPr="002E1F2E">
        <w:rPr>
          <w:rFonts w:ascii="Times New Roman" w:eastAsia="Times New Roman" w:hAnsi="Times New Roman" w:cs="Times New Roman"/>
          <w:sz w:val="24"/>
          <w:szCs w:val="24"/>
        </w:rPr>
        <w:t>is also</w:t>
      </w:r>
      <w:proofErr w:type="gramEnd"/>
      <w:r w:rsidR="002E1F2E" w:rsidRPr="002E1F2E">
        <w:rPr>
          <w:rFonts w:ascii="Times New Roman" w:eastAsia="Times New Roman" w:hAnsi="Times New Roman" w:cs="Times New Roman"/>
          <w:sz w:val="24"/>
          <w:szCs w:val="24"/>
        </w:rPr>
        <w:t xml:space="preserve"> true for our</w:t>
      </w:r>
      <w:r w:rsidRPr="002E1F2E">
        <w:rPr>
          <w:rFonts w:ascii="Times New Roman" w:eastAsia="Times New Roman" w:hAnsi="Times New Roman" w:cs="Times New Roman"/>
          <w:sz w:val="24"/>
          <w:szCs w:val="24"/>
        </w:rPr>
        <w:t xml:space="preserve"> sample.</w:t>
      </w:r>
      <w:r w:rsidR="002E1F2E" w:rsidRPr="00C10B0F">
        <w:rPr>
          <w:rFonts w:ascii="Times New Roman" w:eastAsia="Times New Roman" w:hAnsi="Times New Roman" w:cs="Times New Roman"/>
          <w:sz w:val="24"/>
          <w:szCs w:val="24"/>
        </w:rPr>
        <w:t xml:space="preserve"> </w:t>
      </w:r>
      <w:r w:rsidR="00643099">
        <w:rPr>
          <w:rFonts w:ascii="Times New Roman" w:eastAsia="Times New Roman" w:hAnsi="Times New Roman" w:cs="Times New Roman"/>
          <w:sz w:val="24"/>
          <w:szCs w:val="24"/>
        </w:rPr>
        <w:t>For example</w:t>
      </w:r>
      <w:r w:rsidR="002E1F2E" w:rsidRPr="00C10B0F">
        <w:rPr>
          <w:rFonts w:ascii="Times New Roman" w:eastAsia="Times New Roman" w:hAnsi="Times New Roman" w:cs="Times New Roman"/>
          <w:sz w:val="24"/>
          <w:szCs w:val="24"/>
        </w:rPr>
        <w:t xml:space="preserve">, </w:t>
      </w:r>
      <w:r w:rsidR="00F152F2">
        <w:rPr>
          <w:rFonts w:ascii="Times New Roman" w:eastAsia="Times New Roman" w:hAnsi="Times New Roman" w:cs="Times New Roman"/>
          <w:sz w:val="24"/>
          <w:szCs w:val="24"/>
        </w:rPr>
        <w:t xml:space="preserve">the </w:t>
      </w:r>
      <w:r w:rsidR="00F152F2" w:rsidRPr="00C10B0F">
        <w:rPr>
          <w:rFonts w:ascii="Times New Roman" w:eastAsia="Times New Roman" w:hAnsi="Times New Roman" w:cs="Times New Roman"/>
          <w:sz w:val="24"/>
          <w:szCs w:val="24"/>
        </w:rPr>
        <w:t>dollar</w:t>
      </w:r>
      <w:r w:rsidR="00F152F2">
        <w:rPr>
          <w:rFonts w:ascii="Times New Roman" w:eastAsia="Times New Roman" w:hAnsi="Times New Roman" w:cs="Times New Roman"/>
          <w:sz w:val="24"/>
          <w:szCs w:val="24"/>
        </w:rPr>
        <w:t xml:space="preserve">-denominated </w:t>
      </w:r>
      <w:r w:rsidR="002E1F2E" w:rsidRPr="00C10B0F">
        <w:rPr>
          <w:rFonts w:ascii="Times New Roman" w:eastAsia="Times New Roman" w:hAnsi="Times New Roman" w:cs="Times New Roman"/>
          <w:sz w:val="24"/>
          <w:szCs w:val="24"/>
        </w:rPr>
        <w:t xml:space="preserve">CEO pay gap </w:t>
      </w:r>
      <w:r w:rsidR="00F152F2">
        <w:rPr>
          <w:rFonts w:ascii="Times New Roman" w:eastAsia="Times New Roman" w:hAnsi="Times New Roman" w:cs="Times New Roman"/>
          <w:sz w:val="24"/>
          <w:szCs w:val="24"/>
        </w:rPr>
        <w:t xml:space="preserve">in our sample </w:t>
      </w:r>
      <w:r w:rsidR="002E1F2E" w:rsidRPr="00C10B0F">
        <w:rPr>
          <w:rFonts w:ascii="Times New Roman" w:eastAsia="Times New Roman" w:hAnsi="Times New Roman" w:cs="Times New Roman"/>
          <w:sz w:val="24"/>
          <w:szCs w:val="24"/>
        </w:rPr>
        <w:t xml:space="preserve">is almost double </w:t>
      </w:r>
      <w:r w:rsidR="00BD71A7">
        <w:rPr>
          <w:rFonts w:ascii="Times New Roman" w:eastAsia="Times New Roman" w:hAnsi="Times New Roman" w:cs="Times New Roman"/>
          <w:sz w:val="24"/>
          <w:szCs w:val="24"/>
        </w:rPr>
        <w:t xml:space="preserve">the size </w:t>
      </w:r>
      <w:r w:rsidR="002E1F2E" w:rsidRPr="00C10B0F">
        <w:rPr>
          <w:rFonts w:ascii="Times New Roman" w:eastAsia="Times New Roman" w:hAnsi="Times New Roman" w:cs="Times New Roman"/>
          <w:sz w:val="24"/>
          <w:szCs w:val="24"/>
        </w:rPr>
        <w:t xml:space="preserve">when the number of VPs increase from </w:t>
      </w:r>
      <w:proofErr w:type="gramStart"/>
      <w:r w:rsidR="002E1F2E" w:rsidRPr="00C10B0F">
        <w:rPr>
          <w:rFonts w:ascii="Times New Roman" w:eastAsia="Times New Roman" w:hAnsi="Times New Roman" w:cs="Times New Roman"/>
          <w:sz w:val="24"/>
          <w:szCs w:val="24"/>
        </w:rPr>
        <w:t>2</w:t>
      </w:r>
      <w:proofErr w:type="gramEnd"/>
      <w:r w:rsidR="002E1F2E" w:rsidRPr="00C10B0F">
        <w:rPr>
          <w:rFonts w:ascii="Times New Roman" w:eastAsia="Times New Roman" w:hAnsi="Times New Roman" w:cs="Times New Roman"/>
          <w:sz w:val="24"/>
          <w:szCs w:val="24"/>
        </w:rPr>
        <w:t xml:space="preserve"> to 4.</w:t>
      </w:r>
      <w:r w:rsidR="00643099">
        <w:rPr>
          <w:rStyle w:val="FootnoteReference"/>
          <w:rFonts w:ascii="Times New Roman" w:eastAsia="Times New Roman" w:hAnsi="Times New Roman" w:cs="Times New Roman"/>
          <w:sz w:val="24"/>
          <w:szCs w:val="24"/>
        </w:rPr>
        <w:footnoteReference w:id="8"/>
      </w:r>
      <w:r w:rsidR="00BD71A7">
        <w:rPr>
          <w:rFonts w:ascii="Times New Roman" w:eastAsia="Times New Roman" w:hAnsi="Times New Roman" w:cs="Times New Roman"/>
          <w:sz w:val="24"/>
          <w:szCs w:val="24"/>
        </w:rPr>
        <w:t xml:space="preserve"> </w:t>
      </w:r>
    </w:p>
    <w:p w14:paraId="4A4AC7FF" w14:textId="5E5B5685" w:rsidR="00F4488D" w:rsidRDefault="00F4488D" w:rsidP="00643099">
      <w:pPr>
        <w:spacing w:after="120" w:line="48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D80A6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olumns (1) and (2) of Table </w:t>
      </w:r>
      <w:r w:rsidRPr="0072409C">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t xml:space="preserve"> we show the results from </w:t>
      </w:r>
      <w:r w:rsidRPr="00FE540A">
        <w:rPr>
          <w:rFonts w:ascii="Times New Roman" w:eastAsia="Times New Roman" w:hAnsi="Times New Roman" w:cs="Times New Roman"/>
          <w:sz w:val="24"/>
          <w:szCs w:val="24"/>
        </w:rPr>
        <w:t>re-run</w:t>
      </w:r>
      <w:r>
        <w:rPr>
          <w:rFonts w:ascii="Times New Roman" w:eastAsia="Times New Roman" w:hAnsi="Times New Roman" w:cs="Times New Roman"/>
          <w:sz w:val="24"/>
          <w:szCs w:val="24"/>
        </w:rPr>
        <w:t>ning</w:t>
      </w:r>
      <w:r w:rsidRPr="00FE5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our baseline </w:t>
      </w:r>
      <w:r w:rsidRPr="00FE540A">
        <w:rPr>
          <w:rFonts w:ascii="Times New Roman" w:eastAsia="Times New Roman" w:hAnsi="Times New Roman" w:cs="Times New Roman"/>
          <w:sz w:val="24"/>
          <w:szCs w:val="24"/>
        </w:rPr>
        <w:t xml:space="preserve">regressions </w:t>
      </w:r>
      <w:r w:rsidR="002E1F2E">
        <w:rPr>
          <w:rFonts w:ascii="Times New Roman" w:eastAsia="Times New Roman" w:hAnsi="Times New Roman" w:cs="Times New Roman"/>
          <w:sz w:val="24"/>
          <w:szCs w:val="24"/>
        </w:rPr>
        <w:t xml:space="preserve">(i.e., Table 3) </w:t>
      </w:r>
      <w:r>
        <w:rPr>
          <w:rFonts w:ascii="Times New Roman" w:eastAsia="Times New Roman" w:hAnsi="Times New Roman" w:cs="Times New Roman"/>
          <w:sz w:val="24"/>
          <w:szCs w:val="24"/>
        </w:rPr>
        <w:t>when we replace</w:t>
      </w:r>
      <w:r w:rsidRPr="00FE540A">
        <w:rPr>
          <w:rFonts w:ascii="Times New Roman" w:eastAsia="Times New Roman" w:hAnsi="Times New Roman" w:cs="Times New Roman"/>
          <w:sz w:val="24"/>
          <w:szCs w:val="24"/>
        </w:rPr>
        <w:t xml:space="preserve"> </w:t>
      </w:r>
      <w:r w:rsidRPr="00FE540A">
        <w:rPr>
          <w:rFonts w:ascii="Times New Roman" w:eastAsia="Times New Roman" w:hAnsi="Times New Roman" w:cs="Times New Roman"/>
          <w:i/>
          <w:sz w:val="24"/>
          <w:szCs w:val="24"/>
        </w:rPr>
        <w:t>CEO Pay Gap</w:t>
      </w:r>
      <w:r w:rsidRPr="00FE540A">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 xml:space="preserve">the </w:t>
      </w:r>
      <w:r w:rsidRPr="00FE540A">
        <w:rPr>
          <w:rFonts w:ascii="Times New Roman" w:eastAsia="Times New Roman" w:hAnsi="Times New Roman" w:cs="Times New Roman"/>
          <w:sz w:val="24"/>
          <w:szCs w:val="24"/>
        </w:rPr>
        <w:t xml:space="preserve">contemporaneous and </w:t>
      </w:r>
      <w:r>
        <w:rPr>
          <w:rFonts w:ascii="Times New Roman" w:eastAsia="Times New Roman" w:hAnsi="Times New Roman" w:cs="Times New Roman"/>
          <w:sz w:val="24"/>
          <w:szCs w:val="24"/>
        </w:rPr>
        <w:t xml:space="preserve">the </w:t>
      </w:r>
      <w:r w:rsidRPr="00FE540A">
        <w:rPr>
          <w:rFonts w:ascii="Times New Roman" w:eastAsia="Times New Roman" w:hAnsi="Times New Roman" w:cs="Times New Roman"/>
          <w:sz w:val="24"/>
          <w:szCs w:val="24"/>
        </w:rPr>
        <w:t>lagged number of VP</w:t>
      </w:r>
      <w:r>
        <w:rPr>
          <w:rFonts w:ascii="Times New Roman" w:eastAsia="Times New Roman" w:hAnsi="Times New Roman" w:cs="Times New Roman"/>
          <w:sz w:val="24"/>
          <w:szCs w:val="24"/>
        </w:rPr>
        <w:t>s, respectively</w:t>
      </w:r>
      <w:r w:rsidRPr="00FE54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find that the coefficient</w:t>
      </w:r>
      <w:r w:rsidRPr="00FE540A">
        <w:rPr>
          <w:rFonts w:ascii="Times New Roman" w:eastAsia="Times New Roman" w:hAnsi="Times New Roman" w:cs="Times New Roman"/>
          <w:sz w:val="24"/>
          <w:szCs w:val="24"/>
        </w:rPr>
        <w:t xml:space="preserve"> </w:t>
      </w:r>
      <w:r w:rsidR="002F25F1">
        <w:rPr>
          <w:rFonts w:ascii="Times New Roman" w:eastAsia="Times New Roman" w:hAnsi="Times New Roman" w:cs="Times New Roman"/>
          <w:sz w:val="24"/>
          <w:szCs w:val="24"/>
        </w:rPr>
        <w:t xml:space="preserve">for </w:t>
      </w:r>
      <w:r w:rsidRPr="00E04CA0">
        <w:rPr>
          <w:rFonts w:ascii="Times New Roman" w:eastAsia="Times New Roman" w:hAnsi="Times New Roman" w:cs="Times New Roman"/>
          <w:i/>
          <w:sz w:val="24"/>
          <w:szCs w:val="24"/>
        </w:rPr>
        <w:t>VP</w:t>
      </w:r>
      <w:r w:rsidRPr="00FE5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002F25F1">
        <w:rPr>
          <w:rFonts w:ascii="Times New Roman" w:eastAsia="Times New Roman" w:hAnsi="Times New Roman" w:cs="Times New Roman"/>
          <w:sz w:val="24"/>
          <w:szCs w:val="24"/>
        </w:rPr>
        <w:t xml:space="preserve">positive and </w:t>
      </w:r>
      <w:r>
        <w:rPr>
          <w:rFonts w:ascii="Times New Roman" w:eastAsia="Times New Roman" w:hAnsi="Times New Roman" w:cs="Times New Roman"/>
          <w:sz w:val="24"/>
          <w:szCs w:val="24"/>
        </w:rPr>
        <w:t xml:space="preserve">significant </w:t>
      </w:r>
      <w:r w:rsidR="002F25F1">
        <w:rPr>
          <w:rFonts w:ascii="Times New Roman" w:eastAsia="Times New Roman" w:hAnsi="Times New Roman" w:cs="Times New Roman"/>
          <w:sz w:val="24"/>
          <w:szCs w:val="24"/>
        </w:rPr>
        <w:t xml:space="preserve">(insignificant) for the </w:t>
      </w:r>
      <w:r>
        <w:rPr>
          <w:rFonts w:ascii="Times New Roman" w:eastAsia="Times New Roman" w:hAnsi="Times New Roman" w:cs="Times New Roman"/>
          <w:sz w:val="24"/>
          <w:szCs w:val="24"/>
        </w:rPr>
        <w:t xml:space="preserve">contemporaneous </w:t>
      </w:r>
      <w:r w:rsidR="002F25F1">
        <w:rPr>
          <w:rFonts w:ascii="Times New Roman" w:eastAsia="Times New Roman" w:hAnsi="Times New Roman" w:cs="Times New Roman"/>
          <w:sz w:val="24"/>
          <w:szCs w:val="24"/>
        </w:rPr>
        <w:t xml:space="preserve">(lagged) </w:t>
      </w:r>
      <w:r>
        <w:rPr>
          <w:rFonts w:ascii="Times New Roman" w:eastAsia="Times New Roman" w:hAnsi="Times New Roman" w:cs="Times New Roman"/>
          <w:sz w:val="24"/>
          <w:szCs w:val="24"/>
        </w:rPr>
        <w:t>value</w:t>
      </w:r>
      <w:r w:rsidR="006905DE">
        <w:rPr>
          <w:rFonts w:ascii="Times New Roman" w:eastAsia="Times New Roman" w:hAnsi="Times New Roman" w:cs="Times New Roman"/>
          <w:sz w:val="24"/>
          <w:szCs w:val="24"/>
        </w:rPr>
        <w:t>s.</w:t>
      </w:r>
      <w:r w:rsidR="002F2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w:t>
      </w:r>
      <w:r w:rsidR="006905DE">
        <w:rPr>
          <w:rFonts w:ascii="Times New Roman" w:eastAsia="Times New Roman" w:hAnsi="Times New Roman" w:cs="Times New Roman"/>
          <w:sz w:val="24"/>
          <w:szCs w:val="24"/>
        </w:rPr>
        <w:t>the coefficient</w:t>
      </w:r>
      <w:r w:rsidR="006905DE" w:rsidRPr="00FE540A">
        <w:rPr>
          <w:rFonts w:ascii="Times New Roman" w:eastAsia="Times New Roman" w:hAnsi="Times New Roman" w:cs="Times New Roman"/>
          <w:sz w:val="24"/>
          <w:szCs w:val="24"/>
        </w:rPr>
        <w:t xml:space="preserve"> </w:t>
      </w:r>
      <w:r w:rsidR="006905DE">
        <w:rPr>
          <w:rFonts w:ascii="Times New Roman" w:eastAsia="Times New Roman" w:hAnsi="Times New Roman" w:cs="Times New Roman"/>
          <w:sz w:val="24"/>
          <w:szCs w:val="24"/>
        </w:rPr>
        <w:t xml:space="preserve">for </w:t>
      </w:r>
      <w:r w:rsidR="006905DE" w:rsidRPr="00E04CA0">
        <w:rPr>
          <w:rFonts w:ascii="Times New Roman" w:eastAsia="Times New Roman" w:hAnsi="Times New Roman" w:cs="Times New Roman"/>
          <w:i/>
          <w:sz w:val="24"/>
          <w:szCs w:val="24"/>
        </w:rPr>
        <w:t>VP</w:t>
      </w:r>
      <w:r w:rsidR="006905DE" w:rsidRPr="00FE540A">
        <w:rPr>
          <w:rFonts w:ascii="Times New Roman" w:eastAsia="Times New Roman" w:hAnsi="Times New Roman" w:cs="Times New Roman"/>
          <w:sz w:val="24"/>
          <w:szCs w:val="24"/>
        </w:rPr>
        <w:t xml:space="preserve"> </w:t>
      </w:r>
      <w:r w:rsidR="006905DE">
        <w:rPr>
          <w:rFonts w:ascii="Times New Roman" w:eastAsia="Times New Roman" w:hAnsi="Times New Roman" w:cs="Times New Roman"/>
          <w:sz w:val="24"/>
          <w:szCs w:val="24"/>
        </w:rPr>
        <w:t xml:space="preserve">is also significant for the lagged values when we apply </w:t>
      </w:r>
      <w:r>
        <w:rPr>
          <w:rFonts w:ascii="Times New Roman" w:eastAsia="Times New Roman" w:hAnsi="Times New Roman" w:cs="Times New Roman"/>
          <w:sz w:val="24"/>
          <w:szCs w:val="24"/>
        </w:rPr>
        <w:t>an instrumental variable approach. Columns (3)</w:t>
      </w:r>
      <w:r w:rsidR="00643099">
        <w:rPr>
          <w:rFonts w:ascii="Times New Roman" w:eastAsia="Times New Roman" w:hAnsi="Times New Roman" w:cs="Times New Roman"/>
          <w:sz w:val="24"/>
          <w:szCs w:val="24"/>
        </w:rPr>
        <w:t xml:space="preserve"> and (4) show the first and second stage results when using the median number of VPs in the industry of the focus firm within the same size quartile as an IV (</w:t>
      </w:r>
      <w:r w:rsidR="00643099" w:rsidRPr="00643099">
        <w:rPr>
          <w:rFonts w:ascii="Times New Roman" w:eastAsia="Times New Roman" w:hAnsi="Times New Roman" w:cs="Times New Roman"/>
          <w:i/>
          <w:sz w:val="24"/>
          <w:szCs w:val="24"/>
        </w:rPr>
        <w:t>Industry-VP</w:t>
      </w:r>
      <w:r w:rsidR="00643099">
        <w:rPr>
          <w:rFonts w:ascii="Times New Roman" w:eastAsia="Times New Roman" w:hAnsi="Times New Roman" w:cs="Times New Roman"/>
          <w:sz w:val="24"/>
          <w:szCs w:val="24"/>
        </w:rPr>
        <w:t xml:space="preserve">). Columns (5) and (6) </w:t>
      </w:r>
      <w:r w:rsidR="00AF629A">
        <w:rPr>
          <w:rFonts w:ascii="Times New Roman" w:eastAsia="Times New Roman" w:hAnsi="Times New Roman" w:cs="Times New Roman"/>
          <w:sz w:val="24"/>
          <w:szCs w:val="24"/>
        </w:rPr>
        <w:t xml:space="preserve">provide the results when applying an IV, </w:t>
      </w:r>
      <w:r w:rsidR="00AF629A" w:rsidRPr="00AF629A">
        <w:rPr>
          <w:rFonts w:ascii="Times New Roman" w:eastAsia="Times New Roman" w:hAnsi="Times New Roman" w:cs="Times New Roman"/>
          <w:i/>
          <w:sz w:val="24"/>
          <w:szCs w:val="24"/>
        </w:rPr>
        <w:t>Geographic-</w:t>
      </w:r>
      <w:proofErr w:type="gramStart"/>
      <w:r w:rsidR="00AF629A" w:rsidRPr="00AF629A">
        <w:rPr>
          <w:rFonts w:ascii="Times New Roman" w:eastAsia="Times New Roman" w:hAnsi="Times New Roman" w:cs="Times New Roman"/>
          <w:i/>
          <w:sz w:val="24"/>
          <w:szCs w:val="24"/>
        </w:rPr>
        <w:t>VP</w:t>
      </w:r>
      <w:r w:rsidR="00AF629A">
        <w:rPr>
          <w:rFonts w:ascii="Times New Roman" w:eastAsia="Times New Roman" w:hAnsi="Times New Roman" w:cs="Times New Roman"/>
          <w:sz w:val="24"/>
          <w:szCs w:val="24"/>
        </w:rPr>
        <w:t xml:space="preserve">, </w:t>
      </w:r>
      <w:r w:rsidR="00AF629A" w:rsidRPr="00AF629A">
        <w:rPr>
          <w:rFonts w:ascii="Times New Roman" w:eastAsia="Times New Roman" w:hAnsi="Times New Roman" w:cs="Times New Roman"/>
          <w:sz w:val="24"/>
          <w:szCs w:val="24"/>
        </w:rPr>
        <w:t>that</w:t>
      </w:r>
      <w:proofErr w:type="gramEnd"/>
      <w:r w:rsidR="00AF629A">
        <w:rPr>
          <w:rFonts w:ascii="Times New Roman" w:eastAsia="Times New Roman" w:hAnsi="Times New Roman" w:cs="Times New Roman"/>
          <w:sz w:val="24"/>
          <w:szCs w:val="24"/>
        </w:rPr>
        <w:t xml:space="preserve"> is based on the median number of VPs firms have within the same state as the focus firm and are in the same size quartile.</w:t>
      </w:r>
      <w:r>
        <w:rPr>
          <w:rFonts w:ascii="Times New Roman" w:eastAsia="Times New Roman" w:hAnsi="Times New Roman" w:cs="Times New Roman"/>
          <w:sz w:val="24"/>
          <w:szCs w:val="24"/>
        </w:rPr>
        <w:t xml:space="preserve"> In each case, the first-stage coefficients are significant and h</w:t>
      </w:r>
      <w:r w:rsidR="006905DE">
        <w:rPr>
          <w:rFonts w:ascii="Times New Roman" w:eastAsia="Times New Roman" w:hAnsi="Times New Roman" w:cs="Times New Roman"/>
          <w:sz w:val="24"/>
          <w:szCs w:val="24"/>
        </w:rPr>
        <w:t>ave</w:t>
      </w:r>
      <w:r>
        <w:rPr>
          <w:rFonts w:ascii="Times New Roman" w:eastAsia="Times New Roman" w:hAnsi="Times New Roman" w:cs="Times New Roman"/>
          <w:sz w:val="24"/>
          <w:szCs w:val="24"/>
        </w:rPr>
        <w:t xml:space="preserve"> the right signs</w:t>
      </w:r>
      <w:r w:rsidR="006905DE">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the second-stage </w:t>
      </w:r>
      <w:r w:rsidRPr="0072409C">
        <w:rPr>
          <w:rFonts w:ascii="Times New Roman" w:eastAsia="Times New Roman" w:hAnsi="Times New Roman" w:cs="Times New Roman"/>
          <w:noProof/>
          <w:sz w:val="24"/>
          <w:szCs w:val="24"/>
        </w:rPr>
        <w:t>regressions</w:t>
      </w:r>
      <w:r>
        <w:rPr>
          <w:rFonts w:ascii="Times New Roman" w:eastAsia="Times New Roman" w:hAnsi="Times New Roman" w:cs="Times New Roman"/>
          <w:sz w:val="24"/>
          <w:szCs w:val="24"/>
        </w:rPr>
        <w:t xml:space="preserve"> the coefficients for the instrumented </w:t>
      </w:r>
      <w:r>
        <w:rPr>
          <w:rFonts w:ascii="Times New Roman" w:eastAsia="Times New Roman" w:hAnsi="Times New Roman" w:cs="Times New Roman"/>
          <w:sz w:val="24"/>
          <w:szCs w:val="24"/>
        </w:rPr>
        <w:lastRenderedPageBreak/>
        <w:t xml:space="preserve">variables are also </w:t>
      </w:r>
      <w:r w:rsidR="006905DE">
        <w:rPr>
          <w:rFonts w:ascii="Times New Roman" w:eastAsia="Times New Roman" w:hAnsi="Times New Roman" w:cs="Times New Roman"/>
          <w:sz w:val="24"/>
          <w:szCs w:val="24"/>
        </w:rPr>
        <w:t xml:space="preserve">positive and </w:t>
      </w:r>
      <w:r>
        <w:rPr>
          <w:rFonts w:ascii="Times New Roman" w:eastAsia="Times New Roman" w:hAnsi="Times New Roman" w:cs="Times New Roman"/>
          <w:sz w:val="24"/>
          <w:szCs w:val="24"/>
        </w:rPr>
        <w:t xml:space="preserve">significant, </w:t>
      </w:r>
      <w:r w:rsidR="006905DE">
        <w:rPr>
          <w:rFonts w:ascii="Times New Roman" w:eastAsia="Times New Roman" w:hAnsi="Times New Roman" w:cs="Times New Roman"/>
          <w:sz w:val="24"/>
          <w:szCs w:val="24"/>
        </w:rPr>
        <w:t xml:space="preserve">confirming </w:t>
      </w:r>
      <w:r>
        <w:rPr>
          <w:rFonts w:ascii="Times New Roman" w:eastAsia="Times New Roman" w:hAnsi="Times New Roman" w:cs="Times New Roman"/>
          <w:sz w:val="24"/>
          <w:szCs w:val="24"/>
        </w:rPr>
        <w:t xml:space="preserve">that as the number of VPs within a firm rises, so does the </w:t>
      </w:r>
      <w:r w:rsidRPr="00AA7585">
        <w:rPr>
          <w:rFonts w:ascii="Times New Roman" w:eastAsia="Times New Roman" w:hAnsi="Times New Roman" w:cs="Times New Roman"/>
          <w:sz w:val="24"/>
          <w:szCs w:val="24"/>
        </w:rPr>
        <w:t>proportion of institutional investors holding shares in the firm.</w:t>
      </w:r>
    </w:p>
    <w:p w14:paraId="713F4737" w14:textId="77777777" w:rsidR="002E1F2E" w:rsidRPr="00AA7585" w:rsidRDefault="002E1F2E" w:rsidP="00F4488D">
      <w:pPr>
        <w:spacing w:after="120" w:line="480" w:lineRule="auto"/>
        <w:ind w:right="142" w:firstLine="567"/>
        <w:jc w:val="both"/>
        <w:rPr>
          <w:rFonts w:ascii="Times New Roman" w:eastAsia="Times New Roman" w:hAnsi="Times New Roman" w:cs="Times New Roman"/>
          <w:sz w:val="24"/>
          <w:szCs w:val="24"/>
        </w:rPr>
      </w:pPr>
    </w:p>
    <w:p w14:paraId="6C10EA7F" w14:textId="3688FE1E" w:rsidR="008B741E" w:rsidRPr="00C10B0F" w:rsidRDefault="002E1F2E" w:rsidP="00C10B0F">
      <w:pPr>
        <w:spacing w:after="120" w:line="480" w:lineRule="auto"/>
        <w:jc w:val="both"/>
        <w:rPr>
          <w:rFonts w:ascii="Times New Roman" w:hAnsi="Times New Roman" w:cs="Times New Roman"/>
          <w:i/>
          <w:sz w:val="24"/>
          <w:szCs w:val="24"/>
        </w:rPr>
      </w:pPr>
      <w:r>
        <w:rPr>
          <w:rFonts w:ascii="Times New Roman" w:hAnsi="Times New Roman" w:cs="Times New Roman"/>
          <w:i/>
          <w:sz w:val="24"/>
          <w:szCs w:val="24"/>
        </w:rPr>
        <w:t>5.2</w:t>
      </w:r>
      <w:r w:rsidR="008B741E" w:rsidRPr="00C10B0F">
        <w:rPr>
          <w:rFonts w:ascii="Times New Roman" w:hAnsi="Times New Roman" w:cs="Times New Roman"/>
          <w:i/>
          <w:sz w:val="24"/>
          <w:szCs w:val="24"/>
        </w:rPr>
        <w:t xml:space="preserve"> </w:t>
      </w:r>
      <w:r w:rsidR="008B689C" w:rsidRPr="00C10B0F">
        <w:rPr>
          <w:rFonts w:ascii="Times New Roman" w:hAnsi="Times New Roman" w:cs="Times New Roman"/>
          <w:i/>
          <w:sz w:val="24"/>
          <w:szCs w:val="24"/>
        </w:rPr>
        <w:t>Tournament</w:t>
      </w:r>
      <w:r w:rsidR="00A17ED1">
        <w:rPr>
          <w:rFonts w:ascii="Times New Roman" w:hAnsi="Times New Roman" w:cs="Times New Roman"/>
          <w:i/>
          <w:sz w:val="24"/>
          <w:szCs w:val="24"/>
        </w:rPr>
        <w:t xml:space="preserve"> </w:t>
      </w:r>
      <w:r w:rsidR="00ED2471">
        <w:rPr>
          <w:rFonts w:ascii="Times New Roman" w:hAnsi="Times New Roman" w:cs="Times New Roman"/>
          <w:i/>
          <w:sz w:val="24"/>
          <w:szCs w:val="24"/>
        </w:rPr>
        <w:t>intensity</w:t>
      </w:r>
    </w:p>
    <w:p w14:paraId="6237A870" w14:textId="3AAA8E4A" w:rsidR="0010219B" w:rsidRDefault="0010219B" w:rsidP="00F4488D">
      <w:pPr>
        <w:spacing w:after="12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Next, </w:t>
      </w:r>
      <w:r w:rsidR="00F4488D" w:rsidRPr="00AA7585">
        <w:rPr>
          <w:rFonts w:ascii="Times New Roman" w:hAnsi="Times New Roman" w:cs="Times New Roman"/>
          <w:sz w:val="24"/>
          <w:szCs w:val="24"/>
        </w:rPr>
        <w:t xml:space="preserve">we </w:t>
      </w:r>
      <w:r w:rsidR="00F4488D" w:rsidRPr="00AA7585">
        <w:rPr>
          <w:rFonts w:ascii="Times New Roman" w:hAnsi="Times New Roman" w:cs="Times New Roman"/>
          <w:sz w:val="24"/>
          <w:szCs w:val="24"/>
          <w:lang w:val="en-US"/>
        </w:rPr>
        <w:t>examine a subset of our data and select years in which</w:t>
      </w:r>
      <w:r w:rsidR="00A17ED1">
        <w:rPr>
          <w:rFonts w:ascii="Times New Roman" w:hAnsi="Times New Roman" w:cs="Times New Roman"/>
          <w:sz w:val="24"/>
          <w:szCs w:val="24"/>
          <w:lang w:val="en-US"/>
        </w:rPr>
        <w:t xml:space="preserve"> the payoffs from tournament competition are more (or less) likely to be materialized</w:t>
      </w:r>
      <w:r w:rsidR="00F4488D" w:rsidRPr="00AA7585">
        <w:rPr>
          <w:rFonts w:ascii="Times New Roman" w:hAnsi="Times New Roman" w:cs="Times New Roman"/>
          <w:sz w:val="24"/>
          <w:szCs w:val="24"/>
          <w:lang w:val="en-US"/>
        </w:rPr>
        <w:t>.</w:t>
      </w:r>
      <w:r w:rsidR="00A17ED1">
        <w:rPr>
          <w:rFonts w:ascii="Times New Roman" w:hAnsi="Times New Roman" w:cs="Times New Roman"/>
          <w:sz w:val="24"/>
          <w:szCs w:val="24"/>
          <w:lang w:val="en-US"/>
        </w:rPr>
        <w:t xml:space="preserve"> This should have an impact on the importance of tournament incentives within the firm and therefore the value of it for the sophisticated (institutional) investor.</w:t>
      </w:r>
      <w:r w:rsidR="00F4488D" w:rsidRPr="00AA7585">
        <w:rPr>
          <w:rFonts w:ascii="Times New Roman" w:hAnsi="Times New Roman" w:cs="Times New Roman"/>
          <w:sz w:val="24"/>
          <w:szCs w:val="24"/>
          <w:lang w:val="en-US"/>
        </w:rPr>
        <w:t xml:space="preserve"> We expect </w:t>
      </w:r>
      <w:r w:rsidR="00074D48">
        <w:rPr>
          <w:rFonts w:ascii="Times New Roman" w:hAnsi="Times New Roman" w:cs="Times New Roman"/>
          <w:sz w:val="24"/>
          <w:szCs w:val="24"/>
          <w:lang w:val="en-US"/>
        </w:rPr>
        <w:t xml:space="preserve">that </w:t>
      </w:r>
      <w:r w:rsidR="00402DA6">
        <w:rPr>
          <w:rFonts w:ascii="Times New Roman" w:hAnsi="Times New Roman" w:cs="Times New Roman"/>
          <w:sz w:val="24"/>
          <w:szCs w:val="24"/>
          <w:lang w:val="en-US"/>
        </w:rPr>
        <w:t>a</w:t>
      </w:r>
      <w:r w:rsidR="00F4488D" w:rsidRPr="00AA7585">
        <w:rPr>
          <w:rFonts w:ascii="Times New Roman" w:hAnsi="Times New Roman" w:cs="Times New Roman"/>
          <w:sz w:val="24"/>
          <w:szCs w:val="24"/>
          <w:lang w:val="en-US"/>
        </w:rPr>
        <w:t xml:space="preserve">fter </w:t>
      </w:r>
      <w:r w:rsidR="00402DA6">
        <w:rPr>
          <w:rFonts w:ascii="Times New Roman" w:hAnsi="Times New Roman" w:cs="Times New Roman"/>
          <w:sz w:val="24"/>
          <w:szCs w:val="24"/>
          <w:lang w:val="en-US"/>
        </w:rPr>
        <w:t xml:space="preserve">there has been a change in the </w:t>
      </w:r>
      <w:r w:rsidR="00F4488D" w:rsidRPr="00AA7585">
        <w:rPr>
          <w:rFonts w:ascii="Times New Roman" w:hAnsi="Times New Roman" w:cs="Times New Roman"/>
          <w:sz w:val="24"/>
          <w:szCs w:val="24"/>
          <w:lang w:val="en-US"/>
        </w:rPr>
        <w:t>CEO</w:t>
      </w:r>
      <w:r w:rsidR="00402DA6">
        <w:rPr>
          <w:rFonts w:ascii="Times New Roman" w:hAnsi="Times New Roman" w:cs="Times New Roman"/>
          <w:sz w:val="24"/>
          <w:szCs w:val="24"/>
          <w:lang w:val="en-US"/>
        </w:rPr>
        <w:t>, the value of tournament incentives within the firm will diminish</w:t>
      </w:r>
      <w:r w:rsidR="00074D48">
        <w:rPr>
          <w:rFonts w:ascii="Times New Roman" w:hAnsi="Times New Roman" w:cs="Times New Roman"/>
          <w:sz w:val="24"/>
          <w:szCs w:val="24"/>
          <w:lang w:val="en-US"/>
        </w:rPr>
        <w:t xml:space="preserve">. The reason being that contestants for the position (i.e., other senior management) have a reduced incentive to exert additional effort in their role when they know the payoff, of becoming the new CEO, is unlikely to occur in the immediate future. </w:t>
      </w:r>
      <w:r w:rsidR="00F4488D" w:rsidRPr="00AA7585">
        <w:rPr>
          <w:rFonts w:ascii="Times New Roman" w:hAnsi="Times New Roman" w:cs="Times New Roman"/>
          <w:sz w:val="24"/>
          <w:szCs w:val="24"/>
          <w:lang w:val="en-US"/>
        </w:rPr>
        <w:t xml:space="preserve">Hence, we expect </w:t>
      </w:r>
      <w:r w:rsidR="00402DA6">
        <w:rPr>
          <w:rFonts w:ascii="Times New Roman" w:hAnsi="Times New Roman" w:cs="Times New Roman"/>
          <w:sz w:val="24"/>
          <w:szCs w:val="24"/>
          <w:lang w:val="en-US"/>
        </w:rPr>
        <w:t xml:space="preserve">the </w:t>
      </w:r>
      <w:r w:rsidR="00C10B0F">
        <w:rPr>
          <w:rFonts w:ascii="Times New Roman" w:hAnsi="Times New Roman" w:cs="Times New Roman"/>
          <w:sz w:val="24"/>
          <w:szCs w:val="24"/>
          <w:lang w:val="en-US"/>
        </w:rPr>
        <w:t>intensity</w:t>
      </w:r>
      <w:r w:rsidR="00402DA6">
        <w:rPr>
          <w:rFonts w:ascii="Times New Roman" w:hAnsi="Times New Roman" w:cs="Times New Roman"/>
          <w:sz w:val="24"/>
          <w:szCs w:val="24"/>
          <w:lang w:val="en-US"/>
        </w:rPr>
        <w:t xml:space="preserve"> of </w:t>
      </w:r>
      <w:r w:rsidR="00F4488D" w:rsidRPr="00AA7585">
        <w:rPr>
          <w:rFonts w:ascii="Times New Roman" w:hAnsi="Times New Roman" w:cs="Times New Roman"/>
          <w:sz w:val="24"/>
          <w:szCs w:val="24"/>
          <w:lang w:val="en-US"/>
        </w:rPr>
        <w:t xml:space="preserve">tournament competition </w:t>
      </w:r>
      <w:r w:rsidR="00F4488D">
        <w:rPr>
          <w:rFonts w:ascii="Times New Roman" w:hAnsi="Times New Roman" w:cs="Times New Roman"/>
          <w:sz w:val="24"/>
          <w:szCs w:val="24"/>
          <w:lang w:val="en-US"/>
        </w:rPr>
        <w:t xml:space="preserve">to be </w:t>
      </w:r>
      <w:r w:rsidR="00F4488D" w:rsidRPr="00AA7585">
        <w:rPr>
          <w:rFonts w:ascii="Times New Roman" w:hAnsi="Times New Roman" w:cs="Times New Roman"/>
          <w:sz w:val="24"/>
          <w:szCs w:val="24"/>
          <w:lang w:val="en-US"/>
        </w:rPr>
        <w:t>lower</w:t>
      </w:r>
      <w:r w:rsidR="00074D48">
        <w:rPr>
          <w:rFonts w:ascii="Times New Roman" w:hAnsi="Times New Roman" w:cs="Times New Roman"/>
          <w:sz w:val="24"/>
          <w:szCs w:val="24"/>
          <w:lang w:val="en-US"/>
        </w:rPr>
        <w:t>,</w:t>
      </w:r>
      <w:r w:rsidR="00F4488D" w:rsidRPr="00AA7585">
        <w:rPr>
          <w:rFonts w:ascii="Times New Roman" w:hAnsi="Times New Roman" w:cs="Times New Roman"/>
          <w:sz w:val="24"/>
          <w:szCs w:val="24"/>
          <w:lang w:val="en-US"/>
        </w:rPr>
        <w:t xml:space="preserve"> and </w:t>
      </w:r>
      <w:r w:rsidR="00F4488D" w:rsidRPr="00952CC9">
        <w:rPr>
          <w:rFonts w:ascii="Times New Roman" w:hAnsi="Times New Roman" w:cs="Times New Roman"/>
          <w:i/>
          <w:sz w:val="24"/>
          <w:szCs w:val="24"/>
          <w:lang w:val="en-US"/>
        </w:rPr>
        <w:t>CEO Pay Gap</w:t>
      </w:r>
      <w:r w:rsidR="00F4488D" w:rsidRPr="00AA7585">
        <w:rPr>
          <w:rFonts w:ascii="Times New Roman" w:hAnsi="Times New Roman" w:cs="Times New Roman"/>
          <w:sz w:val="24"/>
          <w:szCs w:val="24"/>
          <w:lang w:val="en-US"/>
        </w:rPr>
        <w:t xml:space="preserve"> </w:t>
      </w:r>
      <w:r w:rsidR="00F4488D">
        <w:rPr>
          <w:rFonts w:ascii="Times New Roman" w:hAnsi="Times New Roman" w:cs="Times New Roman"/>
          <w:sz w:val="24"/>
          <w:szCs w:val="24"/>
          <w:lang w:val="en-US"/>
        </w:rPr>
        <w:t>to</w:t>
      </w:r>
      <w:r w:rsidR="00F4488D" w:rsidRPr="00AA7585">
        <w:rPr>
          <w:rFonts w:ascii="Times New Roman" w:hAnsi="Times New Roman" w:cs="Times New Roman"/>
          <w:sz w:val="24"/>
          <w:szCs w:val="24"/>
          <w:lang w:val="en-US"/>
        </w:rPr>
        <w:t xml:space="preserve"> have a weaker effect</w:t>
      </w:r>
      <w:r w:rsidR="00074D48">
        <w:rPr>
          <w:rFonts w:ascii="Times New Roman" w:hAnsi="Times New Roman" w:cs="Times New Roman"/>
          <w:sz w:val="24"/>
          <w:szCs w:val="24"/>
          <w:lang w:val="en-US"/>
        </w:rPr>
        <w:t>,</w:t>
      </w:r>
      <w:r w:rsidR="00F4488D" w:rsidRPr="00AA7585">
        <w:rPr>
          <w:rFonts w:ascii="Times New Roman" w:hAnsi="Times New Roman" w:cs="Times New Roman"/>
          <w:sz w:val="24"/>
          <w:szCs w:val="24"/>
          <w:lang w:val="en-US"/>
        </w:rPr>
        <w:t xml:space="preserve"> on institutional ownership</w:t>
      </w:r>
      <w:r>
        <w:rPr>
          <w:rFonts w:ascii="Times New Roman" w:hAnsi="Times New Roman" w:cs="Times New Roman"/>
          <w:sz w:val="24"/>
          <w:szCs w:val="24"/>
          <w:lang w:val="en-US"/>
        </w:rPr>
        <w:t xml:space="preserve"> in </w:t>
      </w:r>
      <w:r w:rsidR="00402DA6">
        <w:rPr>
          <w:rFonts w:ascii="Times New Roman" w:hAnsi="Times New Roman" w:cs="Times New Roman"/>
          <w:sz w:val="24"/>
          <w:szCs w:val="24"/>
          <w:lang w:val="en-US"/>
        </w:rPr>
        <w:t>the</w:t>
      </w:r>
      <w:r>
        <w:rPr>
          <w:rFonts w:ascii="Times New Roman" w:hAnsi="Times New Roman" w:cs="Times New Roman"/>
          <w:sz w:val="24"/>
          <w:szCs w:val="24"/>
          <w:lang w:val="en-US"/>
        </w:rPr>
        <w:t xml:space="preserve"> post-appointment period</w:t>
      </w:r>
      <w:r w:rsidR="00402DA6">
        <w:rPr>
          <w:rFonts w:ascii="Times New Roman" w:hAnsi="Times New Roman" w:cs="Times New Roman"/>
          <w:sz w:val="24"/>
          <w:szCs w:val="24"/>
          <w:lang w:val="en-US"/>
        </w:rPr>
        <w:t xml:space="preserve"> relative to before the CEO turnover occurs</w:t>
      </w:r>
      <w:r w:rsidR="00F4488D" w:rsidRPr="00AA7585">
        <w:rPr>
          <w:rFonts w:ascii="Times New Roman" w:hAnsi="Times New Roman" w:cs="Times New Roman"/>
          <w:sz w:val="24"/>
          <w:szCs w:val="24"/>
          <w:lang w:val="en-US"/>
        </w:rPr>
        <w:t xml:space="preserve">. </w:t>
      </w:r>
    </w:p>
    <w:p w14:paraId="31E75C3A" w14:textId="3B17B436" w:rsidR="00F4488D" w:rsidRPr="00AA7585" w:rsidRDefault="00F4488D" w:rsidP="00F4488D">
      <w:pPr>
        <w:spacing w:after="120" w:line="480" w:lineRule="auto"/>
        <w:ind w:firstLine="567"/>
        <w:jc w:val="both"/>
        <w:rPr>
          <w:rFonts w:ascii="Times New Roman" w:hAnsi="Times New Roman" w:cs="Times New Roman"/>
          <w:sz w:val="24"/>
          <w:szCs w:val="24"/>
        </w:rPr>
      </w:pPr>
      <w:r w:rsidRPr="00AA7585">
        <w:rPr>
          <w:rFonts w:ascii="Times New Roman" w:hAnsi="Times New Roman" w:cs="Times New Roman"/>
          <w:sz w:val="24"/>
          <w:szCs w:val="24"/>
          <w:lang w:val="en-US"/>
        </w:rPr>
        <w:t xml:space="preserve">Panel </w:t>
      </w:r>
      <w:proofErr w:type="gramStart"/>
      <w:r w:rsidRPr="00AA7585">
        <w:rPr>
          <w:rFonts w:ascii="Times New Roman" w:hAnsi="Times New Roman" w:cs="Times New Roman"/>
          <w:sz w:val="24"/>
          <w:szCs w:val="24"/>
          <w:lang w:val="en-US"/>
        </w:rPr>
        <w:t>A</w:t>
      </w:r>
      <w:proofErr w:type="gramEnd"/>
      <w:r w:rsidRPr="00AA75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AA7585">
        <w:rPr>
          <w:rFonts w:ascii="Times New Roman" w:hAnsi="Times New Roman" w:cs="Times New Roman"/>
          <w:sz w:val="24"/>
          <w:szCs w:val="24"/>
          <w:lang w:val="en-US"/>
        </w:rPr>
        <w:t xml:space="preserve">Table 6 presents the regression results of </w:t>
      </w:r>
      <w:r w:rsidRPr="00AA7585">
        <w:rPr>
          <w:rFonts w:ascii="Times New Roman" w:hAnsi="Times New Roman" w:cs="Times New Roman"/>
          <w:i/>
          <w:sz w:val="24"/>
          <w:szCs w:val="24"/>
          <w:lang w:val="en-US"/>
        </w:rPr>
        <w:t>CEO Pay Gap</w:t>
      </w:r>
      <w:r w:rsidRPr="00AA7585">
        <w:rPr>
          <w:rFonts w:ascii="Times New Roman" w:hAnsi="Times New Roman" w:cs="Times New Roman"/>
          <w:sz w:val="24"/>
          <w:szCs w:val="24"/>
          <w:lang w:val="en-US"/>
        </w:rPr>
        <w:t xml:space="preserve"> on </w:t>
      </w:r>
      <w:r w:rsidRPr="00AA7585">
        <w:rPr>
          <w:rFonts w:ascii="Times New Roman" w:hAnsi="Times New Roman" w:cs="Times New Roman"/>
          <w:i/>
          <w:sz w:val="24"/>
          <w:szCs w:val="24"/>
          <w:lang w:val="en-US"/>
        </w:rPr>
        <w:t>Inst. Holdings</w:t>
      </w:r>
      <w:r w:rsidRPr="00AA7585">
        <w:rPr>
          <w:rFonts w:ascii="Times New Roman" w:hAnsi="Times New Roman" w:cs="Times New Roman"/>
          <w:sz w:val="24"/>
          <w:szCs w:val="24"/>
          <w:lang w:val="en-US"/>
        </w:rPr>
        <w:t xml:space="preserve"> </w:t>
      </w:r>
      <w:r w:rsidR="0010219B">
        <w:rPr>
          <w:rFonts w:ascii="Times New Roman" w:hAnsi="Times New Roman" w:cs="Times New Roman"/>
          <w:sz w:val="24"/>
          <w:szCs w:val="24"/>
          <w:lang w:val="en-US"/>
        </w:rPr>
        <w:t xml:space="preserve">during a </w:t>
      </w:r>
      <w:r w:rsidR="00402DA6">
        <w:rPr>
          <w:rFonts w:ascii="Times New Roman" w:hAnsi="Times New Roman" w:cs="Times New Roman"/>
          <w:sz w:val="24"/>
          <w:szCs w:val="24"/>
          <w:lang w:val="en-US"/>
        </w:rPr>
        <w:t>3</w:t>
      </w:r>
      <w:r w:rsidR="0010219B">
        <w:rPr>
          <w:rFonts w:ascii="Times New Roman" w:hAnsi="Times New Roman" w:cs="Times New Roman"/>
          <w:sz w:val="24"/>
          <w:szCs w:val="24"/>
          <w:lang w:val="en-US"/>
        </w:rPr>
        <w:t xml:space="preserve">-year, </w:t>
      </w:r>
      <w:r w:rsidRPr="00AA7585">
        <w:rPr>
          <w:rFonts w:ascii="Times New Roman" w:hAnsi="Times New Roman" w:cs="Times New Roman"/>
          <w:sz w:val="24"/>
          <w:szCs w:val="24"/>
          <w:lang w:val="en-US"/>
        </w:rPr>
        <w:t>pre- and post-CEO turnover</w:t>
      </w:r>
      <w:r w:rsidR="0010219B">
        <w:rPr>
          <w:rFonts w:ascii="Times New Roman" w:hAnsi="Times New Roman" w:cs="Times New Roman"/>
          <w:sz w:val="24"/>
          <w:szCs w:val="24"/>
          <w:lang w:val="en-US"/>
        </w:rPr>
        <w:t xml:space="preserve"> period</w:t>
      </w:r>
      <w:r w:rsidRPr="00AA7585">
        <w:rPr>
          <w:rFonts w:ascii="Times New Roman" w:hAnsi="Times New Roman" w:cs="Times New Roman"/>
          <w:sz w:val="24"/>
          <w:szCs w:val="24"/>
          <w:lang w:val="en-US"/>
        </w:rPr>
        <w:t xml:space="preserve">. </w:t>
      </w:r>
      <w:r w:rsidRPr="00626619">
        <w:rPr>
          <w:rFonts w:ascii="Times New Roman" w:hAnsi="Times New Roman" w:cs="Times New Roman"/>
          <w:sz w:val="24"/>
          <w:szCs w:val="24"/>
          <w:lang w:val="en-US"/>
        </w:rPr>
        <w:t>Consistent with our expectation, the coefficient o</w:t>
      </w:r>
      <w:r w:rsidR="0010219B">
        <w:rPr>
          <w:rFonts w:ascii="Times New Roman" w:hAnsi="Times New Roman" w:cs="Times New Roman"/>
          <w:sz w:val="24"/>
          <w:szCs w:val="24"/>
          <w:lang w:val="en-US"/>
        </w:rPr>
        <w:t>n</w:t>
      </w:r>
      <w:r w:rsidRPr="00626619">
        <w:rPr>
          <w:rFonts w:ascii="Times New Roman" w:hAnsi="Times New Roman" w:cs="Times New Roman"/>
          <w:sz w:val="24"/>
          <w:szCs w:val="24"/>
          <w:lang w:val="en-US"/>
        </w:rPr>
        <w:t xml:space="preserve"> </w:t>
      </w:r>
      <w:r w:rsidRPr="00952CC9">
        <w:rPr>
          <w:rFonts w:ascii="Times New Roman" w:hAnsi="Times New Roman" w:cs="Times New Roman"/>
          <w:i/>
          <w:sz w:val="24"/>
          <w:szCs w:val="24"/>
          <w:lang w:val="en-US"/>
        </w:rPr>
        <w:t>CEO Pay Gap</w:t>
      </w:r>
      <w:r w:rsidRPr="00626619">
        <w:rPr>
          <w:rFonts w:ascii="Times New Roman" w:hAnsi="Times New Roman" w:cs="Times New Roman"/>
          <w:sz w:val="24"/>
          <w:szCs w:val="24"/>
          <w:lang w:val="en-US"/>
        </w:rPr>
        <w:t xml:space="preserve"> prior to CEO turnover is positive and </w:t>
      </w:r>
      <w:r w:rsidR="0010219B">
        <w:rPr>
          <w:rFonts w:ascii="Times New Roman" w:hAnsi="Times New Roman" w:cs="Times New Roman"/>
          <w:sz w:val="24"/>
          <w:szCs w:val="24"/>
          <w:lang w:val="en-US"/>
        </w:rPr>
        <w:t>significantly larger</w:t>
      </w:r>
      <w:r w:rsidRPr="00626619">
        <w:rPr>
          <w:rFonts w:ascii="Times New Roman" w:hAnsi="Times New Roman" w:cs="Times New Roman"/>
          <w:sz w:val="24"/>
          <w:szCs w:val="24"/>
          <w:lang w:val="en-US"/>
        </w:rPr>
        <w:t xml:space="preserve"> than the coefficient o</w:t>
      </w:r>
      <w:r w:rsidR="0010219B">
        <w:rPr>
          <w:rFonts w:ascii="Times New Roman" w:hAnsi="Times New Roman" w:cs="Times New Roman"/>
          <w:sz w:val="24"/>
          <w:szCs w:val="24"/>
          <w:lang w:val="en-US"/>
        </w:rPr>
        <w:t>n</w:t>
      </w:r>
      <w:r w:rsidRPr="00626619">
        <w:rPr>
          <w:rFonts w:ascii="Times New Roman" w:hAnsi="Times New Roman" w:cs="Times New Roman"/>
          <w:sz w:val="24"/>
          <w:szCs w:val="24"/>
          <w:lang w:val="en-US"/>
        </w:rPr>
        <w:t xml:space="preserve"> </w:t>
      </w:r>
      <w:r w:rsidRPr="00952CC9">
        <w:rPr>
          <w:rFonts w:ascii="Times New Roman" w:hAnsi="Times New Roman" w:cs="Times New Roman"/>
          <w:i/>
          <w:sz w:val="24"/>
          <w:szCs w:val="24"/>
          <w:lang w:val="en-US"/>
        </w:rPr>
        <w:t>CEO Pay Gap</w:t>
      </w:r>
      <w:r w:rsidRPr="00626619">
        <w:rPr>
          <w:rFonts w:ascii="Times New Roman" w:hAnsi="Times New Roman" w:cs="Times New Roman"/>
          <w:sz w:val="24"/>
          <w:szCs w:val="24"/>
          <w:lang w:val="en-US"/>
        </w:rPr>
        <w:t xml:space="preserve"> after the CEO turnover (0.1795 v</w:t>
      </w:r>
      <w:r w:rsidR="0010219B">
        <w:rPr>
          <w:rFonts w:ascii="Times New Roman" w:hAnsi="Times New Roman" w:cs="Times New Roman"/>
          <w:sz w:val="24"/>
          <w:szCs w:val="24"/>
          <w:lang w:val="en-US"/>
        </w:rPr>
        <w:t>ersus</w:t>
      </w:r>
      <w:r w:rsidRPr="00626619">
        <w:rPr>
          <w:rFonts w:ascii="Times New Roman" w:hAnsi="Times New Roman" w:cs="Times New Roman"/>
          <w:sz w:val="24"/>
          <w:szCs w:val="24"/>
          <w:lang w:val="en-US"/>
        </w:rPr>
        <w:t xml:space="preserve"> 0.1202</w:t>
      </w:r>
      <w:r w:rsidR="0010219B">
        <w:rPr>
          <w:rFonts w:ascii="Times New Roman" w:hAnsi="Times New Roman" w:cs="Times New Roman"/>
          <w:sz w:val="24"/>
          <w:szCs w:val="24"/>
          <w:lang w:val="en-US"/>
        </w:rPr>
        <w:t>, respectively</w:t>
      </w:r>
      <w:r w:rsidRPr="00626619">
        <w:rPr>
          <w:rFonts w:ascii="Times New Roman" w:hAnsi="Times New Roman" w:cs="Times New Roman"/>
          <w:sz w:val="24"/>
          <w:szCs w:val="24"/>
          <w:lang w:val="en-US"/>
        </w:rPr>
        <w:t xml:space="preserve">). </w:t>
      </w:r>
      <w:r w:rsidR="0010219B">
        <w:rPr>
          <w:rFonts w:ascii="Times New Roman" w:hAnsi="Times New Roman" w:cs="Times New Roman"/>
          <w:sz w:val="24"/>
          <w:szCs w:val="24"/>
          <w:lang w:val="en-US"/>
        </w:rPr>
        <w:t>T</w:t>
      </w:r>
      <w:r w:rsidRPr="00626619">
        <w:rPr>
          <w:rFonts w:ascii="Times New Roman" w:hAnsi="Times New Roman" w:cs="Times New Roman"/>
          <w:sz w:val="24"/>
          <w:szCs w:val="24"/>
          <w:lang w:val="en-US"/>
        </w:rPr>
        <w:t xml:space="preserve">he difference in </w:t>
      </w:r>
      <w:r w:rsidRPr="00952CC9">
        <w:rPr>
          <w:rFonts w:ascii="Times New Roman" w:hAnsi="Times New Roman" w:cs="Times New Roman"/>
          <w:i/>
          <w:sz w:val="24"/>
          <w:szCs w:val="24"/>
          <w:lang w:val="en-US"/>
        </w:rPr>
        <w:t>CEO Pay Gap</w:t>
      </w:r>
      <w:r w:rsidRPr="00626619">
        <w:rPr>
          <w:rFonts w:ascii="Times New Roman" w:hAnsi="Times New Roman" w:cs="Times New Roman"/>
          <w:sz w:val="24"/>
          <w:szCs w:val="24"/>
          <w:lang w:val="en-US"/>
        </w:rPr>
        <w:t xml:space="preserve"> coefficient</w:t>
      </w:r>
      <w:r>
        <w:rPr>
          <w:rFonts w:ascii="Times New Roman" w:hAnsi="Times New Roman" w:cs="Times New Roman"/>
          <w:sz w:val="24"/>
          <w:szCs w:val="24"/>
          <w:lang w:val="en-US"/>
        </w:rPr>
        <w:t>s in the two regressions</w:t>
      </w:r>
      <w:r w:rsidRPr="00626619">
        <w:rPr>
          <w:rFonts w:ascii="Times New Roman" w:hAnsi="Times New Roman" w:cs="Times New Roman"/>
          <w:sz w:val="24"/>
          <w:szCs w:val="24"/>
          <w:lang w:val="en-US"/>
        </w:rPr>
        <w:t xml:space="preserve"> is statistically significant at </w:t>
      </w:r>
      <w:r>
        <w:rPr>
          <w:rFonts w:ascii="Times New Roman" w:hAnsi="Times New Roman" w:cs="Times New Roman"/>
          <w:sz w:val="24"/>
          <w:szCs w:val="24"/>
          <w:lang w:val="en-US"/>
        </w:rPr>
        <w:t>the 1</w:t>
      </w:r>
      <w:r w:rsidRPr="00626619">
        <w:rPr>
          <w:rFonts w:ascii="Times New Roman" w:hAnsi="Times New Roman" w:cs="Times New Roman"/>
          <w:sz w:val="24"/>
          <w:szCs w:val="24"/>
          <w:lang w:val="en-US"/>
        </w:rPr>
        <w:t>% level (</w:t>
      </w:r>
      <w:r w:rsidRPr="00626619">
        <w:rPr>
          <w:rFonts w:ascii="Times New Roman" w:eastAsia="Times New Roman" w:hAnsi="Times New Roman" w:cs="Times New Roman"/>
          <w:color w:val="000000" w:themeColor="text1"/>
          <w:sz w:val="24"/>
          <w:szCs w:val="24"/>
        </w:rPr>
        <w:t>χ</w:t>
      </w:r>
      <w:r w:rsidRPr="00626619">
        <w:rPr>
          <w:rFonts w:ascii="Times New Roman" w:eastAsia="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themeColor="text1"/>
          <w:sz w:val="24"/>
          <w:szCs w:val="24"/>
        </w:rPr>
        <w:t xml:space="preserve"> </w:t>
      </w:r>
      <w:r w:rsidRPr="00626619">
        <w:rPr>
          <w:rFonts w:ascii="Times New Roman" w:eastAsia="Times New Roman" w:hAnsi="Times New Roman" w:cs="Times New Roman"/>
          <w:color w:val="000000" w:themeColor="text1"/>
          <w:sz w:val="24"/>
          <w:szCs w:val="24"/>
        </w:rPr>
        <w:t>= 15.31)</w:t>
      </w:r>
      <w:r w:rsidRPr="00626619">
        <w:rPr>
          <w:rFonts w:ascii="Times New Roman" w:hAnsi="Times New Roman" w:cs="Times New Roman"/>
          <w:sz w:val="24"/>
          <w:szCs w:val="24"/>
          <w:lang w:val="en-US"/>
        </w:rPr>
        <w:t>.</w:t>
      </w:r>
      <w:r w:rsidR="006D0E0B">
        <w:rPr>
          <w:rStyle w:val="FootnoteReference"/>
          <w:rFonts w:ascii="Times New Roman" w:hAnsi="Times New Roman" w:cs="Times New Roman"/>
          <w:sz w:val="24"/>
          <w:szCs w:val="24"/>
          <w:lang w:val="en-US"/>
        </w:rPr>
        <w:footnoteReference w:id="9"/>
      </w:r>
      <w:r w:rsidRPr="00626619">
        <w:rPr>
          <w:rFonts w:ascii="Times New Roman" w:hAnsi="Times New Roman" w:cs="Times New Roman"/>
          <w:sz w:val="24"/>
          <w:szCs w:val="24"/>
          <w:lang w:val="en-US"/>
        </w:rPr>
        <w:t xml:space="preserve"> </w:t>
      </w:r>
      <w:r w:rsidRPr="00AA7585">
        <w:rPr>
          <w:rFonts w:ascii="Times New Roman" w:hAnsi="Times New Roman" w:cs="Times New Roman"/>
          <w:sz w:val="24"/>
          <w:szCs w:val="24"/>
          <w:lang w:val="en-US"/>
        </w:rPr>
        <w:t>Panel B of Table 6</w:t>
      </w:r>
      <w:r>
        <w:rPr>
          <w:rFonts w:ascii="Times New Roman" w:hAnsi="Times New Roman" w:cs="Times New Roman"/>
          <w:sz w:val="24"/>
          <w:szCs w:val="24"/>
          <w:lang w:val="en-US"/>
        </w:rPr>
        <w:t xml:space="preserve"> shows the results from using a</w:t>
      </w:r>
      <w:r w:rsidRPr="00626619">
        <w:rPr>
          <w:rFonts w:ascii="Times New Roman" w:hAnsi="Times New Roman" w:cs="Times New Roman"/>
          <w:sz w:val="24"/>
          <w:szCs w:val="24"/>
          <w:lang w:val="en-US"/>
        </w:rPr>
        <w:t xml:space="preserve"> shorter </w:t>
      </w:r>
      <w:proofErr w:type="gramStart"/>
      <w:r w:rsidRPr="00626619">
        <w:rPr>
          <w:rFonts w:ascii="Times New Roman" w:hAnsi="Times New Roman" w:cs="Times New Roman"/>
          <w:sz w:val="24"/>
          <w:szCs w:val="24"/>
          <w:lang w:val="en-US"/>
        </w:rPr>
        <w:t>time frame</w:t>
      </w:r>
      <w:proofErr w:type="gramEnd"/>
      <w:r w:rsidRPr="00626619">
        <w:rPr>
          <w:rFonts w:ascii="Times New Roman" w:hAnsi="Times New Roman" w:cs="Times New Roman"/>
          <w:sz w:val="24"/>
          <w:szCs w:val="24"/>
          <w:lang w:val="en-US"/>
        </w:rPr>
        <w:t xml:space="preserve"> </w:t>
      </w:r>
      <w:r w:rsidR="0010219B">
        <w:rPr>
          <w:rFonts w:ascii="Times New Roman" w:hAnsi="Times New Roman" w:cs="Times New Roman"/>
          <w:sz w:val="24"/>
          <w:szCs w:val="24"/>
          <w:lang w:val="en-US"/>
        </w:rPr>
        <w:t xml:space="preserve">of </w:t>
      </w:r>
      <w:r w:rsidR="00A268B4">
        <w:rPr>
          <w:rFonts w:ascii="Times New Roman" w:hAnsi="Times New Roman" w:cs="Times New Roman"/>
          <w:sz w:val="24"/>
          <w:szCs w:val="24"/>
          <w:lang w:val="en-US"/>
        </w:rPr>
        <w:t>2</w:t>
      </w:r>
      <w:r w:rsidRPr="00626619">
        <w:rPr>
          <w:rFonts w:ascii="Times New Roman" w:hAnsi="Times New Roman" w:cs="Times New Roman"/>
          <w:sz w:val="24"/>
          <w:szCs w:val="24"/>
          <w:lang w:val="en-US"/>
        </w:rPr>
        <w:t xml:space="preserve"> year</w:t>
      </w:r>
      <w:r w:rsidR="00A268B4">
        <w:rPr>
          <w:rFonts w:ascii="Times New Roman" w:hAnsi="Times New Roman" w:cs="Times New Roman"/>
          <w:sz w:val="24"/>
          <w:szCs w:val="24"/>
          <w:lang w:val="en-US"/>
        </w:rPr>
        <w:t>s</w:t>
      </w:r>
      <w:r w:rsidR="0010219B">
        <w:rPr>
          <w:rFonts w:ascii="Times New Roman" w:hAnsi="Times New Roman" w:cs="Times New Roman"/>
          <w:sz w:val="24"/>
          <w:szCs w:val="24"/>
          <w:lang w:val="en-US"/>
        </w:rPr>
        <w:t xml:space="preserve"> for the </w:t>
      </w:r>
      <w:r w:rsidRPr="00626619">
        <w:rPr>
          <w:rFonts w:ascii="Times New Roman" w:hAnsi="Times New Roman" w:cs="Times New Roman"/>
          <w:sz w:val="24"/>
          <w:szCs w:val="24"/>
          <w:lang w:val="en-US"/>
        </w:rPr>
        <w:t xml:space="preserve">pre- and post-CEO turnover </w:t>
      </w:r>
      <w:r w:rsidR="0010219B">
        <w:rPr>
          <w:rFonts w:ascii="Times New Roman" w:hAnsi="Times New Roman" w:cs="Times New Roman"/>
          <w:sz w:val="24"/>
          <w:szCs w:val="24"/>
          <w:lang w:val="en-US"/>
        </w:rPr>
        <w:t xml:space="preserve">period. These results are consistent with those in Panel A; specifically, </w:t>
      </w:r>
      <w:r w:rsidR="0010219B" w:rsidRPr="00626619">
        <w:rPr>
          <w:rFonts w:ascii="Times New Roman" w:hAnsi="Times New Roman" w:cs="Times New Roman"/>
          <w:sz w:val="24"/>
          <w:szCs w:val="24"/>
          <w:lang w:val="en-US"/>
        </w:rPr>
        <w:t>the coefficient o</w:t>
      </w:r>
      <w:r w:rsidR="0010219B">
        <w:rPr>
          <w:rFonts w:ascii="Times New Roman" w:hAnsi="Times New Roman" w:cs="Times New Roman"/>
          <w:sz w:val="24"/>
          <w:szCs w:val="24"/>
          <w:lang w:val="en-US"/>
        </w:rPr>
        <w:t>n</w:t>
      </w:r>
      <w:r w:rsidR="0010219B" w:rsidRPr="00626619">
        <w:rPr>
          <w:rFonts w:ascii="Times New Roman" w:hAnsi="Times New Roman" w:cs="Times New Roman"/>
          <w:sz w:val="24"/>
          <w:szCs w:val="24"/>
          <w:lang w:val="en-US"/>
        </w:rPr>
        <w:t xml:space="preserve"> </w:t>
      </w:r>
      <w:r w:rsidR="0010219B" w:rsidRPr="00952CC9">
        <w:rPr>
          <w:rFonts w:ascii="Times New Roman" w:hAnsi="Times New Roman" w:cs="Times New Roman"/>
          <w:i/>
          <w:sz w:val="24"/>
          <w:szCs w:val="24"/>
          <w:lang w:val="en-US"/>
        </w:rPr>
        <w:t>CEO Pay Gap</w:t>
      </w:r>
      <w:r w:rsidR="0010219B" w:rsidRPr="00626619">
        <w:rPr>
          <w:rFonts w:ascii="Times New Roman" w:hAnsi="Times New Roman" w:cs="Times New Roman"/>
          <w:sz w:val="24"/>
          <w:szCs w:val="24"/>
          <w:lang w:val="en-US"/>
        </w:rPr>
        <w:t xml:space="preserve"> prior to CEO turnover is positive and </w:t>
      </w:r>
      <w:r w:rsidR="0010219B">
        <w:rPr>
          <w:rFonts w:ascii="Times New Roman" w:hAnsi="Times New Roman" w:cs="Times New Roman"/>
          <w:sz w:val="24"/>
          <w:szCs w:val="24"/>
          <w:lang w:val="en-US"/>
        </w:rPr>
        <w:t>significantly larger</w:t>
      </w:r>
      <w:r w:rsidR="0010219B" w:rsidRPr="00626619">
        <w:rPr>
          <w:rFonts w:ascii="Times New Roman" w:hAnsi="Times New Roman" w:cs="Times New Roman"/>
          <w:sz w:val="24"/>
          <w:szCs w:val="24"/>
          <w:lang w:val="en-US"/>
        </w:rPr>
        <w:t xml:space="preserve"> </w:t>
      </w:r>
      <w:r w:rsidR="00627C92" w:rsidRPr="00626619">
        <w:rPr>
          <w:rFonts w:ascii="Times New Roman" w:hAnsi="Times New Roman" w:cs="Times New Roman"/>
          <w:sz w:val="24"/>
          <w:szCs w:val="24"/>
          <w:lang w:val="en-US"/>
        </w:rPr>
        <w:t>(</w:t>
      </w:r>
      <w:r w:rsidR="00627C92" w:rsidRPr="00626619">
        <w:rPr>
          <w:rFonts w:ascii="Times New Roman" w:eastAsia="Times New Roman" w:hAnsi="Times New Roman" w:cs="Times New Roman"/>
          <w:color w:val="000000" w:themeColor="text1"/>
          <w:sz w:val="24"/>
          <w:szCs w:val="24"/>
        </w:rPr>
        <w:t>χ</w:t>
      </w:r>
      <w:r w:rsidR="00627C92" w:rsidRPr="00626619">
        <w:rPr>
          <w:rFonts w:ascii="Times New Roman" w:eastAsia="Times New Roman" w:hAnsi="Times New Roman" w:cs="Times New Roman"/>
          <w:color w:val="000000" w:themeColor="text1"/>
          <w:sz w:val="24"/>
          <w:szCs w:val="24"/>
          <w:vertAlign w:val="superscript"/>
        </w:rPr>
        <w:t>2</w:t>
      </w:r>
      <w:r w:rsidR="00627C92">
        <w:rPr>
          <w:rFonts w:ascii="Times New Roman" w:eastAsia="Times New Roman" w:hAnsi="Times New Roman" w:cs="Times New Roman"/>
          <w:color w:val="000000" w:themeColor="text1"/>
          <w:sz w:val="24"/>
          <w:szCs w:val="24"/>
        </w:rPr>
        <w:t xml:space="preserve"> = 3.82</w:t>
      </w:r>
      <w:r w:rsidR="00627C92" w:rsidRPr="00626619">
        <w:rPr>
          <w:rFonts w:ascii="Times New Roman" w:eastAsia="Times New Roman" w:hAnsi="Times New Roman" w:cs="Times New Roman"/>
          <w:color w:val="000000" w:themeColor="text1"/>
          <w:sz w:val="24"/>
          <w:szCs w:val="24"/>
        </w:rPr>
        <w:t>)</w:t>
      </w:r>
      <w:r w:rsidR="00627C92">
        <w:rPr>
          <w:rFonts w:ascii="Times New Roman" w:hAnsi="Times New Roman" w:cs="Times New Roman"/>
          <w:sz w:val="24"/>
          <w:szCs w:val="24"/>
          <w:lang w:val="en-US"/>
        </w:rPr>
        <w:t xml:space="preserve"> </w:t>
      </w:r>
      <w:r w:rsidR="0010219B" w:rsidRPr="00626619">
        <w:rPr>
          <w:rFonts w:ascii="Times New Roman" w:hAnsi="Times New Roman" w:cs="Times New Roman"/>
          <w:sz w:val="24"/>
          <w:szCs w:val="24"/>
          <w:lang w:val="en-US"/>
        </w:rPr>
        <w:t>than the coefficient o</w:t>
      </w:r>
      <w:r w:rsidR="0010219B">
        <w:rPr>
          <w:rFonts w:ascii="Times New Roman" w:hAnsi="Times New Roman" w:cs="Times New Roman"/>
          <w:sz w:val="24"/>
          <w:szCs w:val="24"/>
          <w:lang w:val="en-US"/>
        </w:rPr>
        <w:t>n</w:t>
      </w:r>
      <w:r w:rsidR="0010219B" w:rsidRPr="00626619">
        <w:rPr>
          <w:rFonts w:ascii="Times New Roman" w:hAnsi="Times New Roman" w:cs="Times New Roman"/>
          <w:sz w:val="24"/>
          <w:szCs w:val="24"/>
          <w:lang w:val="en-US"/>
        </w:rPr>
        <w:t xml:space="preserve"> </w:t>
      </w:r>
      <w:r w:rsidR="0010219B" w:rsidRPr="00952CC9">
        <w:rPr>
          <w:rFonts w:ascii="Times New Roman" w:hAnsi="Times New Roman" w:cs="Times New Roman"/>
          <w:i/>
          <w:sz w:val="24"/>
          <w:szCs w:val="24"/>
          <w:lang w:val="en-US"/>
        </w:rPr>
        <w:t>CEO Pay Gap</w:t>
      </w:r>
      <w:r w:rsidR="0010219B" w:rsidRPr="00626619">
        <w:rPr>
          <w:rFonts w:ascii="Times New Roman" w:hAnsi="Times New Roman" w:cs="Times New Roman"/>
          <w:sz w:val="24"/>
          <w:szCs w:val="24"/>
          <w:lang w:val="en-US"/>
        </w:rPr>
        <w:t xml:space="preserve"> after the CEO turnover</w:t>
      </w:r>
      <w:r w:rsidR="00627C92">
        <w:rPr>
          <w:rFonts w:ascii="Times New Roman" w:hAnsi="Times New Roman" w:cs="Times New Roman"/>
          <w:sz w:val="24"/>
          <w:szCs w:val="24"/>
          <w:lang w:val="en-US"/>
        </w:rPr>
        <w:t xml:space="preserve">. </w:t>
      </w:r>
      <w:r w:rsidR="00627C92">
        <w:rPr>
          <w:rFonts w:ascii="Times New Roman" w:hAnsi="Times New Roman" w:cs="Times New Roman"/>
          <w:sz w:val="24"/>
          <w:szCs w:val="24"/>
          <w:lang w:val="en-US"/>
        </w:rPr>
        <w:lastRenderedPageBreak/>
        <w:t xml:space="preserve">Overall, these results in Table 6 </w:t>
      </w:r>
      <w:r w:rsidR="00402DA6">
        <w:rPr>
          <w:rFonts w:ascii="Times New Roman" w:hAnsi="Times New Roman" w:cs="Times New Roman"/>
          <w:sz w:val="24"/>
          <w:szCs w:val="24"/>
          <w:lang w:val="en-US"/>
        </w:rPr>
        <w:t xml:space="preserve">also provide further </w:t>
      </w:r>
      <w:r>
        <w:rPr>
          <w:rFonts w:ascii="Times New Roman" w:hAnsi="Times New Roman" w:cs="Times New Roman"/>
          <w:sz w:val="24"/>
          <w:szCs w:val="24"/>
          <w:lang w:val="en-US"/>
        </w:rPr>
        <w:t xml:space="preserve">support </w:t>
      </w:r>
      <w:r w:rsidR="00402DA6">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our </w:t>
      </w:r>
      <w:r w:rsidR="00627C92">
        <w:rPr>
          <w:rFonts w:ascii="Times New Roman" w:hAnsi="Times New Roman" w:cs="Times New Roman"/>
          <w:sz w:val="24"/>
          <w:szCs w:val="24"/>
          <w:lang w:val="en-US"/>
        </w:rPr>
        <w:t>hypothesis</w:t>
      </w:r>
      <w:r>
        <w:rPr>
          <w:rFonts w:ascii="Times New Roman" w:hAnsi="Times New Roman" w:cs="Times New Roman"/>
          <w:sz w:val="24"/>
          <w:szCs w:val="24"/>
          <w:lang w:val="en-US"/>
        </w:rPr>
        <w:t xml:space="preserve"> that tournament competition has a positive impact on </w:t>
      </w:r>
      <w:r w:rsidR="00627C92">
        <w:rPr>
          <w:rFonts w:ascii="Times New Roman" w:hAnsi="Times New Roman" w:cs="Times New Roman"/>
          <w:sz w:val="24"/>
          <w:szCs w:val="24"/>
          <w:lang w:val="en-US"/>
        </w:rPr>
        <w:t xml:space="preserve">ownership demand from </w:t>
      </w:r>
      <w:r>
        <w:rPr>
          <w:rFonts w:ascii="Times New Roman" w:hAnsi="Times New Roman" w:cs="Times New Roman"/>
          <w:sz w:val="24"/>
          <w:szCs w:val="24"/>
          <w:lang w:val="en-US"/>
        </w:rPr>
        <w:t xml:space="preserve">sophisticated (institutional) investors. </w:t>
      </w:r>
      <w:r w:rsidRPr="00AA7585">
        <w:rPr>
          <w:rFonts w:ascii="Times New Roman" w:hAnsi="Times New Roman" w:cs="Times New Roman"/>
          <w:sz w:val="24"/>
          <w:szCs w:val="24"/>
          <w:lang w:val="en-US"/>
        </w:rPr>
        <w:t xml:space="preserve">   </w:t>
      </w:r>
    </w:p>
    <w:p w14:paraId="48F9D834" w14:textId="1E293972" w:rsidR="008B689C" w:rsidRDefault="00627C92" w:rsidP="00865526">
      <w:pPr>
        <w:spacing w:after="12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next subsample analysis focuses on the impact of CEO retirement. </w:t>
      </w:r>
      <w:proofErr w:type="gramStart"/>
      <w:r>
        <w:rPr>
          <w:rFonts w:ascii="Times New Roman" w:hAnsi="Times New Roman" w:cs="Times New Roman"/>
          <w:sz w:val="24"/>
          <w:szCs w:val="24"/>
          <w:lang w:val="en-US"/>
        </w:rPr>
        <w:t>All else</w:t>
      </w:r>
      <w:proofErr w:type="gramEnd"/>
      <w:r>
        <w:rPr>
          <w:rFonts w:ascii="Times New Roman" w:hAnsi="Times New Roman" w:cs="Times New Roman"/>
          <w:sz w:val="24"/>
          <w:szCs w:val="24"/>
          <w:lang w:val="en-US"/>
        </w:rPr>
        <w:t xml:space="preserve"> equal, we expect that the intensity of corporate tournaments will increase as the CEO approaches retirement</w:t>
      </w:r>
      <w:r w:rsidR="00074D48">
        <w:rPr>
          <w:rFonts w:ascii="Times New Roman" w:hAnsi="Times New Roman" w:cs="Times New Roman"/>
          <w:sz w:val="24"/>
          <w:szCs w:val="24"/>
          <w:lang w:val="en-US"/>
        </w:rPr>
        <w:t>, particularly if there are younger VP’s within the firm that can take over.</w:t>
      </w:r>
      <w:r>
        <w:rPr>
          <w:rFonts w:ascii="Times New Roman" w:hAnsi="Times New Roman" w:cs="Times New Roman"/>
          <w:sz w:val="24"/>
          <w:szCs w:val="24"/>
          <w:lang w:val="en-US"/>
        </w:rPr>
        <w:t xml:space="preserve"> </w:t>
      </w:r>
      <w:r w:rsidR="00F4488D">
        <w:rPr>
          <w:rFonts w:ascii="Times New Roman" w:hAnsi="Times New Roman" w:cs="Times New Roman"/>
          <w:sz w:val="24"/>
          <w:szCs w:val="24"/>
          <w:lang w:val="en-US"/>
        </w:rPr>
        <w:t>If</w:t>
      </w:r>
      <w:r w:rsidR="00F4488D" w:rsidRPr="00AA7585">
        <w:rPr>
          <w:rFonts w:ascii="Times New Roman" w:hAnsi="Times New Roman" w:cs="Times New Roman"/>
          <w:sz w:val="24"/>
          <w:szCs w:val="24"/>
          <w:lang w:val="en-US"/>
        </w:rPr>
        <w:t xml:space="preserve"> </w:t>
      </w:r>
      <w:r w:rsidR="0046551A">
        <w:rPr>
          <w:rFonts w:ascii="Times New Roman" w:hAnsi="Times New Roman" w:cs="Times New Roman"/>
          <w:sz w:val="24"/>
          <w:szCs w:val="24"/>
          <w:lang w:val="en-US"/>
        </w:rPr>
        <w:t xml:space="preserve">institutional investors </w:t>
      </w:r>
      <w:proofErr w:type="gramStart"/>
      <w:r w:rsidR="0046551A">
        <w:rPr>
          <w:rFonts w:ascii="Times New Roman" w:hAnsi="Times New Roman" w:cs="Times New Roman"/>
          <w:sz w:val="24"/>
          <w:szCs w:val="24"/>
          <w:lang w:val="en-US"/>
        </w:rPr>
        <w:t>are attracted</w:t>
      </w:r>
      <w:proofErr w:type="gramEnd"/>
      <w:r w:rsidR="0046551A">
        <w:rPr>
          <w:rFonts w:ascii="Times New Roman" w:hAnsi="Times New Roman" w:cs="Times New Roman"/>
          <w:sz w:val="24"/>
          <w:szCs w:val="24"/>
          <w:lang w:val="en-US"/>
        </w:rPr>
        <w:t xml:space="preserve"> by corporate </w:t>
      </w:r>
      <w:r w:rsidR="00F4488D" w:rsidRPr="00AA7585">
        <w:rPr>
          <w:rFonts w:ascii="Times New Roman" w:hAnsi="Times New Roman" w:cs="Times New Roman"/>
          <w:sz w:val="24"/>
          <w:szCs w:val="24"/>
        </w:rPr>
        <w:t>tournament competition</w:t>
      </w:r>
      <w:r w:rsidR="0046551A">
        <w:rPr>
          <w:rFonts w:ascii="Times New Roman" w:hAnsi="Times New Roman" w:cs="Times New Roman"/>
          <w:sz w:val="24"/>
          <w:szCs w:val="24"/>
        </w:rPr>
        <w:t xml:space="preserve">, then the impending retirement of a CEO should act as a positive signal for additional institutional interest. </w:t>
      </w:r>
      <w:r w:rsidR="0046551A">
        <w:rPr>
          <w:rFonts w:ascii="Times New Roman" w:hAnsi="Times New Roman" w:cs="Times New Roman"/>
          <w:sz w:val="24"/>
          <w:szCs w:val="24"/>
          <w:lang w:val="en-US"/>
        </w:rPr>
        <w:t xml:space="preserve">We </w:t>
      </w:r>
      <w:r w:rsidR="0046551A" w:rsidRPr="0072409C">
        <w:rPr>
          <w:rFonts w:ascii="Times New Roman" w:hAnsi="Times New Roman" w:cs="Times New Roman"/>
          <w:noProof/>
          <w:sz w:val="24"/>
          <w:szCs w:val="24"/>
          <w:lang w:val="en-US"/>
        </w:rPr>
        <w:t>therefore</w:t>
      </w:r>
      <w:r w:rsidR="0046551A">
        <w:rPr>
          <w:rFonts w:ascii="Times New Roman" w:hAnsi="Times New Roman" w:cs="Times New Roman"/>
          <w:sz w:val="24"/>
          <w:szCs w:val="24"/>
          <w:lang w:val="en-US"/>
        </w:rPr>
        <w:t xml:space="preserve"> posit a </w:t>
      </w:r>
      <w:r w:rsidR="008B689C">
        <w:rPr>
          <w:rFonts w:ascii="Times New Roman" w:hAnsi="Times New Roman" w:cs="Times New Roman"/>
          <w:sz w:val="24"/>
          <w:szCs w:val="24"/>
          <w:lang w:val="en-US"/>
        </w:rPr>
        <w:t>stronger relationship between internal tournaments and institutional ownership when the sitting CEO is likely to be replaced in the near term. I</w:t>
      </w:r>
      <w:r w:rsidR="00F4488D">
        <w:rPr>
          <w:rFonts w:ascii="Times New Roman" w:hAnsi="Times New Roman" w:cs="Times New Roman"/>
          <w:sz w:val="24"/>
          <w:szCs w:val="24"/>
          <w:lang w:val="en-US"/>
        </w:rPr>
        <w:t xml:space="preserve">n columns (1) and (2) of </w:t>
      </w:r>
      <w:r w:rsidR="00D7294D">
        <w:rPr>
          <w:rFonts w:ascii="Times New Roman" w:hAnsi="Times New Roman" w:cs="Times New Roman"/>
          <w:sz w:val="24"/>
          <w:szCs w:val="24"/>
          <w:lang w:val="en-US"/>
        </w:rPr>
        <w:t xml:space="preserve">Panel </w:t>
      </w:r>
      <w:r w:rsidR="00255399">
        <w:rPr>
          <w:rFonts w:ascii="Times New Roman" w:hAnsi="Times New Roman" w:cs="Times New Roman"/>
          <w:sz w:val="24"/>
          <w:szCs w:val="24"/>
          <w:lang w:val="en-US"/>
        </w:rPr>
        <w:t>A</w:t>
      </w:r>
      <w:r w:rsidR="00D7294D">
        <w:rPr>
          <w:rFonts w:ascii="Times New Roman" w:hAnsi="Times New Roman" w:cs="Times New Roman"/>
          <w:sz w:val="24"/>
          <w:szCs w:val="24"/>
          <w:lang w:val="en-US"/>
        </w:rPr>
        <w:t xml:space="preserve"> in </w:t>
      </w:r>
      <w:r w:rsidR="00F4488D">
        <w:rPr>
          <w:rFonts w:ascii="Times New Roman" w:hAnsi="Times New Roman" w:cs="Times New Roman"/>
          <w:sz w:val="24"/>
          <w:szCs w:val="24"/>
          <w:lang w:val="en-US"/>
        </w:rPr>
        <w:t>Table 7</w:t>
      </w:r>
      <w:r w:rsidR="00F4488D" w:rsidRPr="00AA7585">
        <w:rPr>
          <w:rFonts w:ascii="Times New Roman" w:hAnsi="Times New Roman" w:cs="Times New Roman"/>
          <w:sz w:val="24"/>
          <w:szCs w:val="24"/>
          <w:lang w:val="en-US"/>
        </w:rPr>
        <w:t xml:space="preserve"> </w:t>
      </w:r>
      <w:r w:rsidR="00F4488D">
        <w:rPr>
          <w:rFonts w:ascii="Times New Roman" w:hAnsi="Times New Roman" w:cs="Times New Roman"/>
          <w:sz w:val="24"/>
          <w:szCs w:val="24"/>
          <w:lang w:val="en-US"/>
        </w:rPr>
        <w:t xml:space="preserve">we present the regressions </w:t>
      </w:r>
      <w:r w:rsidR="00F4488D" w:rsidRPr="00527252">
        <w:rPr>
          <w:rFonts w:ascii="Times New Roman" w:hAnsi="Times New Roman" w:cs="Times New Roman"/>
          <w:i/>
          <w:sz w:val="24"/>
          <w:szCs w:val="24"/>
          <w:lang w:val="en-US"/>
        </w:rPr>
        <w:t>of CEO Pay Gap</w:t>
      </w:r>
      <w:r w:rsidR="00F4488D">
        <w:rPr>
          <w:rFonts w:ascii="Times New Roman" w:hAnsi="Times New Roman" w:cs="Times New Roman"/>
          <w:sz w:val="24"/>
          <w:szCs w:val="24"/>
          <w:lang w:val="en-US"/>
        </w:rPr>
        <w:t xml:space="preserve"> on </w:t>
      </w:r>
      <w:r w:rsidR="00F4488D" w:rsidRPr="00527252">
        <w:rPr>
          <w:rFonts w:ascii="Times New Roman" w:hAnsi="Times New Roman" w:cs="Times New Roman"/>
          <w:i/>
          <w:sz w:val="24"/>
          <w:szCs w:val="24"/>
          <w:lang w:val="en-US"/>
        </w:rPr>
        <w:t>Inst. Holdings</w:t>
      </w:r>
      <w:r w:rsidR="00F4488D">
        <w:rPr>
          <w:rFonts w:ascii="Times New Roman" w:hAnsi="Times New Roman" w:cs="Times New Roman"/>
          <w:sz w:val="24"/>
          <w:szCs w:val="24"/>
          <w:lang w:val="en-US"/>
        </w:rPr>
        <w:t xml:space="preserve"> for a subset </w:t>
      </w:r>
      <w:r w:rsidR="00F4488D" w:rsidRPr="00A270AC">
        <w:rPr>
          <w:rFonts w:ascii="Times New Roman" w:hAnsi="Times New Roman" w:cs="Times New Roman"/>
          <w:sz w:val="24"/>
          <w:szCs w:val="24"/>
          <w:lang w:val="en-US"/>
        </w:rPr>
        <w:t xml:space="preserve">retirement-CEO firms and non-retirement-CEO firms. </w:t>
      </w:r>
      <w:r w:rsidR="00865526">
        <w:rPr>
          <w:rFonts w:ascii="Times New Roman" w:hAnsi="Times New Roman" w:cs="Times New Roman"/>
          <w:sz w:val="24"/>
          <w:szCs w:val="24"/>
          <w:lang w:val="en-US"/>
        </w:rPr>
        <w:t>We classify retirement-CEO firms as those f</w:t>
      </w:r>
      <w:r w:rsidR="00F4488D" w:rsidRPr="00A270AC">
        <w:rPr>
          <w:rFonts w:ascii="Times New Roman" w:hAnsi="Times New Roman" w:cs="Times New Roman"/>
          <w:sz w:val="24"/>
          <w:szCs w:val="24"/>
          <w:lang w:val="en-US"/>
        </w:rPr>
        <w:t>irm</w:t>
      </w:r>
      <w:r w:rsidR="00865526">
        <w:rPr>
          <w:rFonts w:ascii="Times New Roman" w:hAnsi="Times New Roman" w:cs="Times New Roman"/>
          <w:sz w:val="24"/>
          <w:szCs w:val="24"/>
          <w:lang w:val="en-US"/>
        </w:rPr>
        <w:t xml:space="preserve">s that have </w:t>
      </w:r>
      <w:r w:rsidR="00F4488D" w:rsidRPr="00A270AC">
        <w:rPr>
          <w:rFonts w:ascii="Times New Roman" w:hAnsi="Times New Roman" w:cs="Times New Roman"/>
          <w:sz w:val="24"/>
          <w:szCs w:val="24"/>
          <w:lang w:val="en-US"/>
        </w:rPr>
        <w:t>a CEO of</w:t>
      </w:r>
      <w:r w:rsidR="00865526">
        <w:rPr>
          <w:rFonts w:ascii="Times New Roman" w:hAnsi="Times New Roman" w:cs="Times New Roman"/>
          <w:sz w:val="24"/>
          <w:szCs w:val="24"/>
          <w:lang w:val="en-US"/>
        </w:rPr>
        <w:t xml:space="preserve"> retirement age (age 60 years or older) and where possible internal replacements exist (measured by the average age of the remaining TMT being below 60 years of age)</w:t>
      </w:r>
      <w:r w:rsidR="00F4488D" w:rsidRPr="00A270AC">
        <w:rPr>
          <w:rFonts w:ascii="Times New Roman" w:hAnsi="Times New Roman" w:cs="Times New Roman"/>
          <w:sz w:val="24"/>
          <w:szCs w:val="24"/>
          <w:lang w:val="en-US"/>
        </w:rPr>
        <w:t>.</w:t>
      </w:r>
      <w:r w:rsidR="00CD72EB">
        <w:rPr>
          <w:rFonts w:ascii="Times New Roman" w:hAnsi="Times New Roman" w:cs="Times New Roman"/>
          <w:sz w:val="24"/>
          <w:szCs w:val="24"/>
          <w:lang w:val="en-US"/>
        </w:rPr>
        <w:t xml:space="preserve"> We lag all our independent variables. </w:t>
      </w:r>
      <w:r w:rsidR="00F4488D" w:rsidRPr="00A270AC">
        <w:rPr>
          <w:rFonts w:ascii="Times New Roman" w:hAnsi="Times New Roman" w:cs="Times New Roman"/>
          <w:sz w:val="24"/>
          <w:szCs w:val="24"/>
          <w:lang w:val="en-US"/>
        </w:rPr>
        <w:t xml:space="preserve">We find that the sensitivity of </w:t>
      </w:r>
      <w:r w:rsidR="00F4488D" w:rsidRPr="00527252">
        <w:rPr>
          <w:rFonts w:ascii="Times New Roman" w:hAnsi="Times New Roman" w:cs="Times New Roman"/>
          <w:i/>
          <w:sz w:val="24"/>
          <w:szCs w:val="24"/>
          <w:lang w:val="en-US"/>
        </w:rPr>
        <w:t>CEO Pay Gap</w:t>
      </w:r>
      <w:r w:rsidR="00F4488D" w:rsidRPr="00A270AC">
        <w:rPr>
          <w:rFonts w:ascii="Times New Roman" w:hAnsi="Times New Roman" w:cs="Times New Roman"/>
          <w:sz w:val="24"/>
          <w:szCs w:val="24"/>
          <w:lang w:val="en-US"/>
        </w:rPr>
        <w:t xml:space="preserve"> on </w:t>
      </w:r>
      <w:r w:rsidR="00F4488D" w:rsidRPr="00527252">
        <w:rPr>
          <w:rFonts w:ascii="Times New Roman" w:hAnsi="Times New Roman" w:cs="Times New Roman"/>
          <w:i/>
          <w:sz w:val="24"/>
          <w:szCs w:val="24"/>
          <w:lang w:val="en-US"/>
        </w:rPr>
        <w:t>Inst. Holdings</w:t>
      </w:r>
      <w:r w:rsidR="00F4488D" w:rsidRPr="00A270AC">
        <w:rPr>
          <w:rFonts w:ascii="Times New Roman" w:hAnsi="Times New Roman" w:cs="Times New Roman"/>
          <w:sz w:val="24"/>
          <w:szCs w:val="24"/>
          <w:lang w:val="en-US"/>
        </w:rPr>
        <w:t xml:space="preserve"> </w:t>
      </w:r>
      <w:r w:rsidR="00F4488D" w:rsidRPr="0072409C">
        <w:rPr>
          <w:rFonts w:ascii="Times New Roman" w:hAnsi="Times New Roman" w:cs="Times New Roman"/>
          <w:noProof/>
          <w:sz w:val="24"/>
          <w:szCs w:val="24"/>
          <w:lang w:val="en-US"/>
        </w:rPr>
        <w:t>is</w:t>
      </w:r>
      <w:r w:rsidR="00F4488D" w:rsidRPr="00A270AC">
        <w:rPr>
          <w:rFonts w:ascii="Times New Roman" w:hAnsi="Times New Roman" w:cs="Times New Roman"/>
          <w:sz w:val="24"/>
          <w:szCs w:val="24"/>
          <w:lang w:val="en-US"/>
        </w:rPr>
        <w:t xml:space="preserve"> higher for </w:t>
      </w:r>
      <w:r w:rsidR="00F4488D">
        <w:rPr>
          <w:rFonts w:ascii="Times New Roman" w:hAnsi="Times New Roman" w:cs="Times New Roman"/>
          <w:sz w:val="24"/>
          <w:szCs w:val="24"/>
          <w:lang w:val="en-US"/>
        </w:rPr>
        <w:t xml:space="preserve">the </w:t>
      </w:r>
      <w:r w:rsidR="00F4488D" w:rsidRPr="00A270AC">
        <w:rPr>
          <w:rFonts w:ascii="Times New Roman" w:hAnsi="Times New Roman" w:cs="Times New Roman"/>
          <w:sz w:val="24"/>
          <w:szCs w:val="24"/>
          <w:lang w:val="en-US"/>
        </w:rPr>
        <w:t xml:space="preserve">retirement-CEO subsample than </w:t>
      </w:r>
      <w:r w:rsidR="00F4488D">
        <w:rPr>
          <w:rFonts w:ascii="Times New Roman" w:hAnsi="Times New Roman" w:cs="Times New Roman"/>
          <w:sz w:val="24"/>
          <w:szCs w:val="24"/>
          <w:lang w:val="en-US"/>
        </w:rPr>
        <w:t xml:space="preserve">the </w:t>
      </w:r>
      <w:r w:rsidR="00F4488D" w:rsidRPr="00A270AC">
        <w:rPr>
          <w:rFonts w:ascii="Times New Roman" w:hAnsi="Times New Roman" w:cs="Times New Roman"/>
          <w:sz w:val="24"/>
          <w:szCs w:val="24"/>
          <w:lang w:val="en-US"/>
        </w:rPr>
        <w:t>non-retirement-CEO subsample</w:t>
      </w:r>
      <w:r w:rsidR="00865526" w:rsidRPr="00865526">
        <w:rPr>
          <w:rFonts w:ascii="Times New Roman" w:hAnsi="Times New Roman" w:cs="Times New Roman"/>
          <w:sz w:val="24"/>
          <w:szCs w:val="24"/>
          <w:lang w:val="en-US"/>
        </w:rPr>
        <w:t xml:space="preserve"> </w:t>
      </w:r>
      <w:r w:rsidR="00865526">
        <w:rPr>
          <w:rFonts w:ascii="Times New Roman" w:hAnsi="Times New Roman" w:cs="Times New Roman"/>
          <w:sz w:val="24"/>
          <w:szCs w:val="24"/>
          <w:lang w:val="en-US"/>
        </w:rPr>
        <w:t>larger</w:t>
      </w:r>
      <w:r w:rsidR="00865526" w:rsidRPr="00626619">
        <w:rPr>
          <w:rFonts w:ascii="Times New Roman" w:hAnsi="Times New Roman" w:cs="Times New Roman"/>
          <w:sz w:val="24"/>
          <w:szCs w:val="24"/>
          <w:lang w:val="en-US"/>
        </w:rPr>
        <w:t xml:space="preserve"> (</w:t>
      </w:r>
      <w:r w:rsidR="00865526" w:rsidRPr="00626619">
        <w:rPr>
          <w:rFonts w:ascii="Times New Roman" w:eastAsia="Times New Roman" w:hAnsi="Times New Roman" w:cs="Times New Roman"/>
          <w:color w:val="000000" w:themeColor="text1"/>
          <w:sz w:val="24"/>
          <w:szCs w:val="24"/>
        </w:rPr>
        <w:t>χ</w:t>
      </w:r>
      <w:r w:rsidR="00865526" w:rsidRPr="00626619">
        <w:rPr>
          <w:rFonts w:ascii="Times New Roman" w:eastAsia="Times New Roman" w:hAnsi="Times New Roman" w:cs="Times New Roman"/>
          <w:color w:val="000000" w:themeColor="text1"/>
          <w:sz w:val="24"/>
          <w:szCs w:val="24"/>
          <w:vertAlign w:val="superscript"/>
        </w:rPr>
        <w:t>2</w:t>
      </w:r>
      <w:r w:rsidR="00865526">
        <w:rPr>
          <w:rFonts w:ascii="Times New Roman" w:eastAsia="Times New Roman" w:hAnsi="Times New Roman" w:cs="Times New Roman"/>
          <w:color w:val="000000" w:themeColor="text1"/>
          <w:sz w:val="24"/>
          <w:szCs w:val="24"/>
        </w:rPr>
        <w:t xml:space="preserve"> = 3.46</w:t>
      </w:r>
      <w:r w:rsidR="00865526" w:rsidRPr="00626619">
        <w:rPr>
          <w:rFonts w:ascii="Times New Roman" w:eastAsia="Times New Roman" w:hAnsi="Times New Roman" w:cs="Times New Roman"/>
          <w:color w:val="000000" w:themeColor="text1"/>
          <w:sz w:val="24"/>
          <w:szCs w:val="24"/>
        </w:rPr>
        <w:t>)</w:t>
      </w:r>
      <w:r w:rsidR="00F4488D" w:rsidRPr="00A270AC">
        <w:rPr>
          <w:rFonts w:ascii="Times New Roman" w:hAnsi="Times New Roman" w:cs="Times New Roman"/>
          <w:sz w:val="24"/>
          <w:szCs w:val="24"/>
          <w:lang w:val="en-US"/>
        </w:rPr>
        <w:t xml:space="preserve">. Overall, consistent with our expectation, we find </w:t>
      </w:r>
      <w:r w:rsidR="00083557">
        <w:rPr>
          <w:rFonts w:ascii="Times New Roman" w:hAnsi="Times New Roman" w:cs="Times New Roman"/>
          <w:sz w:val="24"/>
          <w:szCs w:val="24"/>
          <w:lang w:val="en-US"/>
        </w:rPr>
        <w:t xml:space="preserve">that </w:t>
      </w:r>
      <w:r w:rsidR="00F4488D" w:rsidRPr="00A270AC">
        <w:rPr>
          <w:rFonts w:ascii="Times New Roman" w:hAnsi="Times New Roman" w:cs="Times New Roman"/>
          <w:sz w:val="24"/>
          <w:szCs w:val="24"/>
          <w:lang w:val="en-US"/>
        </w:rPr>
        <w:t xml:space="preserve">there is a higher sensitivity between </w:t>
      </w:r>
      <w:r w:rsidR="00F4488D" w:rsidRPr="00527252">
        <w:rPr>
          <w:rFonts w:ascii="Times New Roman" w:hAnsi="Times New Roman" w:cs="Times New Roman"/>
          <w:i/>
          <w:sz w:val="24"/>
          <w:szCs w:val="24"/>
          <w:lang w:val="en-US"/>
        </w:rPr>
        <w:t>CEO Pay Gap</w:t>
      </w:r>
      <w:r w:rsidR="00F4488D" w:rsidRPr="00A270AC">
        <w:rPr>
          <w:rFonts w:ascii="Times New Roman" w:hAnsi="Times New Roman" w:cs="Times New Roman"/>
          <w:sz w:val="24"/>
          <w:szCs w:val="24"/>
          <w:lang w:val="en-US"/>
        </w:rPr>
        <w:t xml:space="preserve"> and institutional ownership when</w:t>
      </w:r>
      <w:r w:rsidR="00865526">
        <w:rPr>
          <w:rFonts w:ascii="Times New Roman" w:hAnsi="Times New Roman" w:cs="Times New Roman"/>
          <w:sz w:val="24"/>
          <w:szCs w:val="24"/>
          <w:lang w:val="en-US"/>
        </w:rPr>
        <w:t xml:space="preserve"> the payoff from tournaments (i.e., CEO turnover) </w:t>
      </w:r>
      <w:r w:rsidR="00083557">
        <w:rPr>
          <w:rFonts w:ascii="Times New Roman" w:hAnsi="Times New Roman" w:cs="Times New Roman"/>
          <w:sz w:val="24"/>
          <w:szCs w:val="24"/>
          <w:lang w:val="en-US"/>
        </w:rPr>
        <w:t>is</w:t>
      </w:r>
      <w:r w:rsidR="00865526">
        <w:rPr>
          <w:rFonts w:ascii="Times New Roman" w:hAnsi="Times New Roman" w:cs="Times New Roman"/>
          <w:sz w:val="24"/>
          <w:szCs w:val="24"/>
          <w:lang w:val="en-US"/>
        </w:rPr>
        <w:t xml:space="preserve"> more likely to occur.</w:t>
      </w:r>
    </w:p>
    <w:p w14:paraId="03C5D57B" w14:textId="77777777" w:rsidR="00865526" w:rsidRDefault="00865526" w:rsidP="00C10B0F">
      <w:pPr>
        <w:spacing w:after="120" w:line="480" w:lineRule="auto"/>
        <w:ind w:firstLine="567"/>
        <w:jc w:val="both"/>
        <w:rPr>
          <w:rFonts w:ascii="Times New Roman" w:hAnsi="Times New Roman" w:cs="Times New Roman"/>
          <w:sz w:val="24"/>
          <w:szCs w:val="24"/>
          <w:lang w:val="en-US"/>
        </w:rPr>
      </w:pPr>
    </w:p>
    <w:p w14:paraId="230CB2BD" w14:textId="41C4F6B9" w:rsidR="008B689C" w:rsidRPr="00C10B0F" w:rsidRDefault="00083557" w:rsidP="00083557">
      <w:pPr>
        <w:spacing w:line="480" w:lineRule="auto"/>
        <w:jc w:val="both"/>
        <w:rPr>
          <w:rFonts w:ascii="Times New Roman" w:hAnsi="Times New Roman" w:cs="Times New Roman"/>
          <w:i/>
          <w:sz w:val="24"/>
          <w:szCs w:val="24"/>
          <w:lang w:val="en-US"/>
        </w:rPr>
      </w:pPr>
      <w:r w:rsidRPr="00C10B0F">
        <w:rPr>
          <w:rFonts w:ascii="Times New Roman" w:hAnsi="Times New Roman" w:cs="Times New Roman"/>
          <w:i/>
          <w:sz w:val="24"/>
          <w:szCs w:val="24"/>
          <w:lang w:val="en-US"/>
        </w:rPr>
        <w:t>5.3 The impact of capital expenditure</w:t>
      </w:r>
    </w:p>
    <w:p w14:paraId="43CA9492" w14:textId="1186339D" w:rsidR="00F4488D" w:rsidRPr="00EB2457" w:rsidRDefault="00F4488D" w:rsidP="00F4488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Finally, </w:t>
      </w:r>
      <w:r w:rsidR="008B689C">
        <w:rPr>
          <w:rFonts w:ascii="Times New Roman" w:hAnsi="Times New Roman" w:cs="Times New Roman"/>
          <w:sz w:val="24"/>
          <w:szCs w:val="24"/>
          <w:lang w:val="en-US"/>
        </w:rPr>
        <w:t xml:space="preserve">we </w:t>
      </w:r>
      <w:r w:rsidR="003522C0">
        <w:rPr>
          <w:rFonts w:ascii="Times New Roman" w:hAnsi="Times New Roman" w:cs="Times New Roman"/>
          <w:sz w:val="24"/>
          <w:szCs w:val="24"/>
          <w:lang w:val="en-US"/>
        </w:rPr>
        <w:t xml:space="preserve">extend </w:t>
      </w:r>
      <w:r>
        <w:rPr>
          <w:rFonts w:ascii="Times New Roman" w:hAnsi="Times New Roman" w:cs="Times New Roman"/>
          <w:sz w:val="24"/>
          <w:szCs w:val="24"/>
          <w:lang w:val="en-US"/>
        </w:rPr>
        <w:t xml:space="preserve">our theoretical model </w:t>
      </w:r>
      <w:proofErr w:type="gramStart"/>
      <w:r w:rsidR="003522C0">
        <w:rPr>
          <w:rFonts w:ascii="Times New Roman" w:hAnsi="Times New Roman" w:cs="Times New Roman"/>
          <w:sz w:val="24"/>
          <w:szCs w:val="24"/>
          <w:lang w:val="en-US"/>
        </w:rPr>
        <w:t xml:space="preserve">to explicitly </w:t>
      </w:r>
      <w:r w:rsidR="00482CA6">
        <w:rPr>
          <w:rFonts w:ascii="Times New Roman" w:hAnsi="Times New Roman" w:cs="Times New Roman"/>
          <w:sz w:val="24"/>
          <w:szCs w:val="24"/>
          <w:lang w:val="en-US"/>
        </w:rPr>
        <w:t>-consider</w:t>
      </w:r>
      <w:proofErr w:type="gramEnd"/>
      <w:r w:rsidR="00482C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impact </w:t>
      </w:r>
      <w:r w:rsidR="00A77735">
        <w:rPr>
          <w:rFonts w:ascii="Times New Roman" w:hAnsi="Times New Roman" w:cs="Times New Roman"/>
          <w:sz w:val="24"/>
          <w:szCs w:val="24"/>
          <w:lang w:val="en-US"/>
        </w:rPr>
        <w:t>that</w:t>
      </w:r>
      <w:r w:rsidR="003522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capital expenditure </w:t>
      </w:r>
      <w:r w:rsidR="00A77735">
        <w:rPr>
          <w:rFonts w:ascii="Times New Roman" w:hAnsi="Times New Roman" w:cs="Times New Roman"/>
          <w:sz w:val="24"/>
          <w:szCs w:val="24"/>
          <w:lang w:val="en-US"/>
        </w:rPr>
        <w:t xml:space="preserve">can have in </w:t>
      </w:r>
      <w:r w:rsidR="003522C0">
        <w:rPr>
          <w:rFonts w:ascii="Times New Roman" w:hAnsi="Times New Roman" w:cs="Times New Roman"/>
          <w:sz w:val="24"/>
          <w:szCs w:val="24"/>
          <w:lang w:val="en-US"/>
        </w:rPr>
        <w:t xml:space="preserve">intensifying </w:t>
      </w:r>
      <w:r>
        <w:rPr>
          <w:rFonts w:ascii="Times New Roman" w:hAnsi="Times New Roman" w:cs="Times New Roman"/>
          <w:sz w:val="24"/>
          <w:szCs w:val="24"/>
          <w:lang w:val="en-US"/>
        </w:rPr>
        <w:t xml:space="preserve">the relationship between </w:t>
      </w:r>
      <w:r w:rsidRPr="00527252">
        <w:rPr>
          <w:rFonts w:ascii="Times New Roman" w:hAnsi="Times New Roman" w:cs="Times New Roman"/>
          <w:i/>
          <w:sz w:val="24"/>
          <w:szCs w:val="24"/>
          <w:lang w:val="en-US"/>
        </w:rPr>
        <w:t>CEO Pay Gap</w:t>
      </w:r>
      <w:r w:rsidRPr="00A270AC">
        <w:rPr>
          <w:rFonts w:ascii="Times New Roman" w:hAnsi="Times New Roman" w:cs="Times New Roman"/>
          <w:sz w:val="24"/>
          <w:szCs w:val="24"/>
          <w:lang w:val="en-US"/>
        </w:rPr>
        <w:t xml:space="preserve"> and institutional ownership</w:t>
      </w:r>
      <w:r>
        <w:rPr>
          <w:rFonts w:ascii="Times New Roman" w:hAnsi="Times New Roman" w:cs="Times New Roman"/>
          <w:sz w:val="24"/>
          <w:szCs w:val="24"/>
          <w:lang w:val="en-US"/>
        </w:rPr>
        <w:t xml:space="preserve">. By differentiating equation (10) </w:t>
      </w:r>
      <w:r w:rsidR="003522C0">
        <w:rPr>
          <w:rFonts w:ascii="Times New Roman" w:hAnsi="Times New Roman" w:cs="Times New Roman"/>
          <w:sz w:val="24"/>
          <w:szCs w:val="24"/>
          <w:lang w:val="en-US"/>
        </w:rPr>
        <w:t>with respect to</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I</w:t>
      </w:r>
      <w:proofErr w:type="gramEnd"/>
      <w:r>
        <w:rPr>
          <w:rFonts w:ascii="Times New Roman" w:hAnsi="Times New Roman" w:cs="Times New Roman"/>
          <w:sz w:val="24"/>
          <w:szCs w:val="24"/>
          <w:lang w:val="en-US"/>
        </w:rPr>
        <w:t>, we arrive at:</w:t>
      </w:r>
    </w:p>
    <w:p w14:paraId="4DB27703" w14:textId="77777777" w:rsidR="00F4488D" w:rsidRPr="00A37C1F" w:rsidRDefault="00CF1E13" w:rsidP="00F4488D">
      <w:pPr>
        <w:spacing w:after="0" w:line="480" w:lineRule="auto"/>
        <w:jc w:val="both"/>
        <w:rPr>
          <w:rFonts w:ascii="Times New Roman" w:eastAsiaTheme="minorEastAsia" w:hAnsi="Times New Roman" w:cs="Times New Roman"/>
          <w:sz w:val="24"/>
          <w:szCs w:val="24"/>
          <w:lang w:val="en-US"/>
        </w:rPr>
      </w:pPr>
      <m:oMathPara>
        <m:oMathParaPr>
          <m:jc m:val="right"/>
        </m:oMathParaPr>
        <m:oMath>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2</m:t>
                  </m:r>
                </m:sup>
              </m:sSup>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S</m:t>
                  </m:r>
                </m:sub>
                <m:sup>
                  <m:r>
                    <w:rPr>
                      <w:rFonts w:ascii="Cambria Math" w:hAnsi="Cambria Math" w:cs="Times New Roman"/>
                      <w:sz w:val="24"/>
                      <w:szCs w:val="24"/>
                      <w:lang w:val="en-US"/>
                    </w:rPr>
                    <m:t>*</m:t>
                  </m:r>
                </m:sup>
              </m:sSubSup>
            </m:num>
            <m:den>
              <m:r>
                <w:rPr>
                  <w:rFonts w:ascii="Cambria Math" w:hAnsi="Cambria Math" w:cs="Times New Roman"/>
                  <w:sz w:val="24"/>
                  <w:szCs w:val="24"/>
                  <w:lang w:val="en-US"/>
                </w:rPr>
                <m:t>d∆wdI</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2∙k∙</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π</m:t>
                  </m:r>
                </m:e>
              </m:rad>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ε</m:t>
                  </m:r>
                </m:sub>
              </m:sSub>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N</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ε</m:t>
                      </m:r>
                    </m:sub>
                    <m:sup>
                      <m:r>
                        <w:rPr>
                          <w:rFonts w:ascii="Cambria Math" w:hAnsi="Cambria Math" w:cs="Times New Roman"/>
                          <w:sz w:val="24"/>
                          <w:szCs w:val="24"/>
                          <w:lang w:val="en-US"/>
                        </w:rPr>
                        <m:t>2</m:t>
                      </m:r>
                    </m:sup>
                  </m:sSubSup>
                </m:e>
              </m:d>
            </m:den>
          </m:f>
          <m:r>
            <w:rPr>
              <w:rFonts w:ascii="Cambria Math" w:hAnsi="Cambria Math" w:cs="Times New Roman"/>
              <w:sz w:val="24"/>
              <w:szCs w:val="24"/>
              <w:lang w:val="en-US"/>
            </w:rPr>
            <m:t>&gt;0.                                                    (11)</m:t>
          </m:r>
        </m:oMath>
      </m:oMathPara>
    </w:p>
    <w:p w14:paraId="11D9AAF0" w14:textId="77777777" w:rsidR="002B580F" w:rsidRDefault="002B580F" w:rsidP="00A77735">
      <w:pPr>
        <w:spacing w:line="480" w:lineRule="auto"/>
        <w:ind w:firstLine="567"/>
        <w:jc w:val="both"/>
        <w:rPr>
          <w:rFonts w:ascii="Times New Roman" w:hAnsi="Times New Roman" w:cs="Times New Roman"/>
          <w:sz w:val="24"/>
          <w:szCs w:val="24"/>
          <w:lang w:val="en-US"/>
        </w:rPr>
      </w:pPr>
    </w:p>
    <w:p w14:paraId="7AE118A2" w14:textId="39777CBF" w:rsidR="002B580F" w:rsidRDefault="00A77735" w:rsidP="00A7773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Equation (11) implies that t</w:t>
      </w:r>
      <w:r w:rsidR="00F4488D">
        <w:rPr>
          <w:rFonts w:ascii="Times New Roman" w:hAnsi="Times New Roman" w:cs="Times New Roman"/>
          <w:sz w:val="24"/>
          <w:szCs w:val="24"/>
          <w:lang w:val="en-US"/>
        </w:rPr>
        <w:t>he effort CEO contestants exert</w:t>
      </w:r>
      <w:r>
        <w:rPr>
          <w:rFonts w:ascii="Times New Roman" w:hAnsi="Times New Roman" w:cs="Times New Roman"/>
          <w:sz w:val="24"/>
          <w:szCs w:val="24"/>
          <w:lang w:val="en-US"/>
        </w:rPr>
        <w:t>,</w:t>
      </w:r>
      <w:r w:rsidR="00F4488D">
        <w:rPr>
          <w:rFonts w:ascii="Times New Roman" w:hAnsi="Times New Roman" w:cs="Times New Roman"/>
          <w:sz w:val="24"/>
          <w:szCs w:val="24"/>
          <w:lang w:val="en-US"/>
        </w:rPr>
        <w:t xml:space="preserve"> and the capital the firm invests in for the projects it executes</w:t>
      </w:r>
      <w:r>
        <w:rPr>
          <w:rFonts w:ascii="Times New Roman" w:hAnsi="Times New Roman" w:cs="Times New Roman"/>
          <w:sz w:val="24"/>
          <w:szCs w:val="24"/>
          <w:lang w:val="en-US"/>
        </w:rPr>
        <w:t>,</w:t>
      </w:r>
      <w:r w:rsidR="00F4488D" w:rsidRPr="004E16F9">
        <w:rPr>
          <w:rFonts w:ascii="Times New Roman" w:hAnsi="Times New Roman" w:cs="Times New Roman"/>
          <w:sz w:val="24"/>
          <w:szCs w:val="24"/>
          <w:lang w:val="en-US"/>
        </w:rPr>
        <w:t xml:space="preserve"> are complements in enhancing project value. Hence, when greater corporate tournament competition induces more effort input from CEO contestants, this value creation </w:t>
      </w:r>
      <w:r w:rsidR="00F4488D">
        <w:rPr>
          <w:rFonts w:ascii="Times New Roman" w:hAnsi="Times New Roman" w:cs="Times New Roman"/>
          <w:sz w:val="24"/>
          <w:szCs w:val="24"/>
          <w:lang w:val="en-US"/>
        </w:rPr>
        <w:t>should</w:t>
      </w:r>
      <w:r w:rsidR="00F4488D" w:rsidRPr="004E16F9">
        <w:rPr>
          <w:rFonts w:ascii="Times New Roman" w:hAnsi="Times New Roman" w:cs="Times New Roman"/>
          <w:sz w:val="24"/>
          <w:szCs w:val="24"/>
          <w:lang w:val="en-US"/>
        </w:rPr>
        <w:t xml:space="preserve"> be greater </w:t>
      </w:r>
      <w:r w:rsidR="00F4488D">
        <w:rPr>
          <w:rFonts w:ascii="Times New Roman" w:hAnsi="Times New Roman" w:cs="Times New Roman"/>
          <w:sz w:val="24"/>
          <w:szCs w:val="24"/>
          <w:lang w:val="en-US"/>
        </w:rPr>
        <w:t>for firms that invest in more capital</w:t>
      </w:r>
      <w:r w:rsidR="00F4488D" w:rsidRPr="004E16F9">
        <w:rPr>
          <w:rFonts w:ascii="Times New Roman" w:hAnsi="Times New Roman" w:cs="Times New Roman"/>
          <w:sz w:val="24"/>
          <w:szCs w:val="24"/>
          <w:lang w:val="en-US"/>
        </w:rPr>
        <w:t>.</w:t>
      </w:r>
      <w:r w:rsidRPr="00A77735">
        <w:rPr>
          <w:rFonts w:ascii="Times New Roman" w:hAnsi="Times New Roman" w:cs="Times New Roman"/>
          <w:sz w:val="24"/>
          <w:szCs w:val="24"/>
        </w:rPr>
        <w:t xml:space="preserve"> </w:t>
      </w:r>
      <w:r>
        <w:rPr>
          <w:rFonts w:ascii="Times New Roman" w:hAnsi="Times New Roman" w:cs="Times New Roman"/>
          <w:sz w:val="24"/>
          <w:szCs w:val="24"/>
        </w:rPr>
        <w:t xml:space="preserve">Therefore, firms with high capital expenditures are effectively “leveraging up” the impact of managerial efforts and actions on corporate performance. </w:t>
      </w:r>
    </w:p>
    <w:p w14:paraId="0EF5F5A0" w14:textId="192576A1" w:rsidR="00A77735" w:rsidRDefault="00A77735" w:rsidP="00A77735">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ratio of capital expenditure over total assets </w:t>
      </w:r>
      <w:r w:rsidR="002B580F">
        <w:rPr>
          <w:rFonts w:ascii="Times New Roman" w:hAnsi="Times New Roman" w:cs="Times New Roman"/>
          <w:sz w:val="24"/>
          <w:szCs w:val="24"/>
          <w:lang w:val="en-US"/>
        </w:rPr>
        <w:t>(</w:t>
      </w:r>
      <w:r w:rsidR="002B580F" w:rsidRPr="00C10B0F">
        <w:rPr>
          <w:rFonts w:ascii="Times New Roman" w:hAnsi="Times New Roman" w:cs="Times New Roman"/>
          <w:i/>
          <w:sz w:val="24"/>
          <w:szCs w:val="24"/>
          <w:lang w:val="en-US"/>
        </w:rPr>
        <w:t>CAPEX</w:t>
      </w:r>
      <w:r w:rsidR="002B58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 proxy for capital intensity, </w:t>
      </w:r>
      <w:r w:rsidR="00F4488D">
        <w:rPr>
          <w:rFonts w:ascii="Times New Roman" w:hAnsi="Times New Roman" w:cs="Times New Roman"/>
          <w:sz w:val="24"/>
          <w:szCs w:val="24"/>
          <w:lang w:val="en-US"/>
        </w:rPr>
        <w:t xml:space="preserve">we split our sample </w:t>
      </w:r>
      <w:r w:rsidR="00ED2471">
        <w:rPr>
          <w:rFonts w:ascii="Times New Roman" w:hAnsi="Times New Roman" w:cs="Times New Roman"/>
          <w:sz w:val="24"/>
          <w:szCs w:val="24"/>
          <w:lang w:val="en-US"/>
        </w:rPr>
        <w:t xml:space="preserve">into low and high </w:t>
      </w:r>
      <w:proofErr w:type="gramStart"/>
      <w:r w:rsidR="00ED2471">
        <w:rPr>
          <w:rFonts w:ascii="Times New Roman" w:hAnsi="Times New Roman" w:cs="Times New Roman"/>
          <w:sz w:val="24"/>
          <w:szCs w:val="24"/>
          <w:lang w:val="en-US"/>
        </w:rPr>
        <w:t>capital intensive</w:t>
      </w:r>
      <w:proofErr w:type="gramEnd"/>
      <w:r w:rsidR="00ED2471">
        <w:rPr>
          <w:rFonts w:ascii="Times New Roman" w:hAnsi="Times New Roman" w:cs="Times New Roman"/>
          <w:sz w:val="24"/>
          <w:szCs w:val="24"/>
          <w:lang w:val="en-US"/>
        </w:rPr>
        <w:t xml:space="preserve"> firms based on whether</w:t>
      </w:r>
      <w:r w:rsidR="002B580F">
        <w:rPr>
          <w:rFonts w:ascii="Times New Roman" w:hAnsi="Times New Roman" w:cs="Times New Roman"/>
          <w:sz w:val="24"/>
          <w:szCs w:val="24"/>
          <w:lang w:val="en-US"/>
        </w:rPr>
        <w:t xml:space="preserve"> they are below, or above, the median of the ratio, respectively</w:t>
      </w:r>
      <w:r w:rsidR="00ED2471">
        <w:rPr>
          <w:rFonts w:ascii="Times New Roman" w:hAnsi="Times New Roman" w:cs="Times New Roman"/>
          <w:sz w:val="24"/>
          <w:szCs w:val="24"/>
          <w:lang w:val="en-US"/>
        </w:rPr>
        <w:t>.</w:t>
      </w:r>
      <w:r w:rsidR="002B580F">
        <w:rPr>
          <w:rFonts w:ascii="Times New Roman" w:hAnsi="Times New Roman" w:cs="Times New Roman"/>
          <w:sz w:val="24"/>
          <w:szCs w:val="24"/>
          <w:lang w:val="en-US"/>
        </w:rPr>
        <w:t xml:space="preserve"> Panel B of Table 7 provides the results from the regressions of low and high </w:t>
      </w:r>
      <w:r w:rsidR="002B580F" w:rsidRPr="00C10B0F">
        <w:rPr>
          <w:rFonts w:ascii="Times New Roman" w:hAnsi="Times New Roman" w:cs="Times New Roman"/>
          <w:i/>
          <w:sz w:val="24"/>
          <w:szCs w:val="24"/>
          <w:lang w:val="en-US"/>
        </w:rPr>
        <w:t>CAPEX</w:t>
      </w:r>
      <w:r w:rsidR="002B580F">
        <w:rPr>
          <w:rFonts w:ascii="Times New Roman" w:hAnsi="Times New Roman" w:cs="Times New Roman"/>
          <w:sz w:val="24"/>
          <w:szCs w:val="24"/>
          <w:lang w:val="en-US"/>
        </w:rPr>
        <w:t xml:space="preserve"> firms.</w:t>
      </w:r>
      <w:r w:rsidR="00ED2471">
        <w:rPr>
          <w:rFonts w:ascii="Times New Roman" w:hAnsi="Times New Roman" w:cs="Times New Roman"/>
          <w:sz w:val="24"/>
          <w:szCs w:val="24"/>
          <w:lang w:val="en-US"/>
        </w:rPr>
        <w:t xml:space="preserve"> As expected, regression analyses </w:t>
      </w:r>
      <w:r w:rsidR="00ED2471" w:rsidRPr="0072409C">
        <w:rPr>
          <w:rFonts w:ascii="Times New Roman" w:hAnsi="Times New Roman" w:cs="Times New Roman"/>
          <w:noProof/>
          <w:sz w:val="24"/>
          <w:szCs w:val="24"/>
          <w:lang w:val="en-US"/>
        </w:rPr>
        <w:t>reveal</w:t>
      </w:r>
      <w:r w:rsidR="00ED2471">
        <w:rPr>
          <w:rFonts w:ascii="Times New Roman" w:hAnsi="Times New Roman" w:cs="Times New Roman"/>
          <w:sz w:val="24"/>
          <w:szCs w:val="24"/>
          <w:lang w:val="en-US"/>
        </w:rPr>
        <w:t xml:space="preserve"> that the impact of</w:t>
      </w:r>
      <w:r w:rsidR="002B580F">
        <w:rPr>
          <w:rFonts w:ascii="Times New Roman" w:hAnsi="Times New Roman" w:cs="Times New Roman"/>
          <w:i/>
          <w:sz w:val="24"/>
          <w:szCs w:val="24"/>
          <w:lang w:val="en-US"/>
        </w:rPr>
        <w:t xml:space="preserve"> </w:t>
      </w:r>
      <w:r w:rsidR="002B580F" w:rsidRPr="00C10B0F">
        <w:rPr>
          <w:rFonts w:ascii="Times New Roman" w:hAnsi="Times New Roman" w:cs="Times New Roman"/>
          <w:sz w:val="24"/>
          <w:szCs w:val="24"/>
          <w:lang w:val="en-US"/>
        </w:rPr>
        <w:t>tournament incentives</w:t>
      </w:r>
      <w:r w:rsidR="002B580F">
        <w:rPr>
          <w:rFonts w:ascii="Times New Roman" w:hAnsi="Times New Roman" w:cs="Times New Roman"/>
          <w:i/>
          <w:sz w:val="24"/>
          <w:szCs w:val="24"/>
          <w:lang w:val="en-US"/>
        </w:rPr>
        <w:t xml:space="preserve"> </w:t>
      </w:r>
      <w:r w:rsidR="00ED2471">
        <w:rPr>
          <w:rFonts w:ascii="Times New Roman" w:hAnsi="Times New Roman" w:cs="Times New Roman"/>
          <w:sz w:val="24"/>
          <w:szCs w:val="24"/>
          <w:lang w:val="en-US"/>
        </w:rPr>
        <w:t xml:space="preserve">on institutional holdings </w:t>
      </w:r>
      <w:proofErr w:type="gramStart"/>
      <w:r w:rsidR="00ED2471">
        <w:rPr>
          <w:rFonts w:ascii="Times New Roman" w:hAnsi="Times New Roman" w:cs="Times New Roman"/>
          <w:sz w:val="24"/>
          <w:szCs w:val="24"/>
          <w:lang w:val="en-US"/>
        </w:rPr>
        <w:t>is amplified</w:t>
      </w:r>
      <w:proofErr w:type="gramEnd"/>
      <w:r w:rsidR="00ED2471">
        <w:rPr>
          <w:rFonts w:ascii="Times New Roman" w:hAnsi="Times New Roman" w:cs="Times New Roman"/>
          <w:sz w:val="24"/>
          <w:szCs w:val="24"/>
          <w:lang w:val="en-US"/>
        </w:rPr>
        <w:t xml:space="preserve"> for high</w:t>
      </w:r>
      <w:r w:rsidR="002B580F">
        <w:rPr>
          <w:rFonts w:ascii="Times New Roman" w:hAnsi="Times New Roman" w:cs="Times New Roman"/>
          <w:sz w:val="24"/>
          <w:szCs w:val="24"/>
          <w:lang w:val="en-US"/>
        </w:rPr>
        <w:t xml:space="preserve"> </w:t>
      </w:r>
      <w:r w:rsidR="00ED2471" w:rsidRPr="0072409C">
        <w:rPr>
          <w:rFonts w:ascii="Times New Roman" w:hAnsi="Times New Roman" w:cs="Times New Roman"/>
          <w:noProof/>
          <w:sz w:val="24"/>
          <w:szCs w:val="24"/>
          <w:lang w:val="en-US"/>
        </w:rPr>
        <w:t>capital</w:t>
      </w:r>
      <w:r w:rsidR="00B21808" w:rsidRPr="0072409C">
        <w:rPr>
          <w:rFonts w:ascii="Times New Roman" w:hAnsi="Times New Roman" w:cs="Times New Roman"/>
          <w:noProof/>
          <w:sz w:val="24"/>
          <w:szCs w:val="24"/>
          <w:lang w:val="en-US"/>
        </w:rPr>
        <w:t>-</w:t>
      </w:r>
      <w:r w:rsidR="00ED2471" w:rsidRPr="0072409C">
        <w:rPr>
          <w:rFonts w:ascii="Times New Roman" w:hAnsi="Times New Roman" w:cs="Times New Roman"/>
          <w:noProof/>
          <w:sz w:val="24"/>
          <w:szCs w:val="24"/>
          <w:lang w:val="en-US"/>
        </w:rPr>
        <w:t>intensive</w:t>
      </w:r>
      <w:r w:rsidR="00ED2471">
        <w:rPr>
          <w:rFonts w:ascii="Times New Roman" w:hAnsi="Times New Roman" w:cs="Times New Roman"/>
          <w:sz w:val="24"/>
          <w:szCs w:val="24"/>
          <w:lang w:val="en-US"/>
        </w:rPr>
        <w:t xml:space="preserve"> firms</w:t>
      </w:r>
      <w:r w:rsidR="002B580F">
        <w:rPr>
          <w:rFonts w:ascii="Times New Roman" w:hAnsi="Times New Roman" w:cs="Times New Roman"/>
          <w:sz w:val="24"/>
          <w:szCs w:val="24"/>
          <w:lang w:val="en-US"/>
        </w:rPr>
        <w:t xml:space="preserve">. The coefficient for </w:t>
      </w:r>
      <w:r w:rsidR="002B580F" w:rsidRPr="00C10B0F">
        <w:rPr>
          <w:rFonts w:ascii="Times New Roman" w:hAnsi="Times New Roman" w:cs="Times New Roman"/>
          <w:i/>
          <w:sz w:val="24"/>
          <w:szCs w:val="24"/>
          <w:lang w:val="en-US"/>
        </w:rPr>
        <w:t xml:space="preserve">CEO </w:t>
      </w:r>
      <w:r w:rsidR="002B580F">
        <w:rPr>
          <w:rFonts w:ascii="Times New Roman" w:hAnsi="Times New Roman" w:cs="Times New Roman"/>
          <w:i/>
          <w:sz w:val="24"/>
          <w:szCs w:val="24"/>
          <w:lang w:val="en-US"/>
        </w:rPr>
        <w:t>P</w:t>
      </w:r>
      <w:r w:rsidR="002B580F" w:rsidRPr="00C10B0F">
        <w:rPr>
          <w:rFonts w:ascii="Times New Roman" w:hAnsi="Times New Roman" w:cs="Times New Roman"/>
          <w:i/>
          <w:sz w:val="24"/>
          <w:szCs w:val="24"/>
          <w:lang w:val="en-US"/>
        </w:rPr>
        <w:t xml:space="preserve">ay </w:t>
      </w:r>
      <w:r w:rsidR="002B580F">
        <w:rPr>
          <w:rFonts w:ascii="Times New Roman" w:hAnsi="Times New Roman" w:cs="Times New Roman"/>
          <w:i/>
          <w:sz w:val="24"/>
          <w:szCs w:val="24"/>
          <w:lang w:val="en-US"/>
        </w:rPr>
        <w:t>Gap</w:t>
      </w:r>
      <w:r w:rsidR="002B580F">
        <w:rPr>
          <w:rFonts w:ascii="Times New Roman" w:hAnsi="Times New Roman" w:cs="Times New Roman"/>
          <w:sz w:val="24"/>
          <w:szCs w:val="24"/>
          <w:lang w:val="en-US"/>
        </w:rPr>
        <w:t xml:space="preserve"> is significantly lower, at the 5% significance level</w:t>
      </w:r>
      <w:r w:rsidR="00C10B0F">
        <w:rPr>
          <w:rFonts w:ascii="Times New Roman" w:hAnsi="Times New Roman" w:cs="Times New Roman"/>
          <w:sz w:val="24"/>
          <w:szCs w:val="24"/>
          <w:lang w:val="en-US"/>
        </w:rPr>
        <w:t xml:space="preserve"> </w:t>
      </w:r>
      <w:r w:rsidR="00C10B0F" w:rsidRPr="00626619">
        <w:rPr>
          <w:rFonts w:ascii="Times New Roman" w:hAnsi="Times New Roman" w:cs="Times New Roman"/>
          <w:sz w:val="24"/>
          <w:szCs w:val="24"/>
          <w:lang w:val="en-US"/>
        </w:rPr>
        <w:t>(</w:t>
      </w:r>
      <w:r w:rsidR="00C10B0F" w:rsidRPr="00626619">
        <w:rPr>
          <w:rFonts w:ascii="Times New Roman" w:eastAsia="Times New Roman" w:hAnsi="Times New Roman" w:cs="Times New Roman"/>
          <w:color w:val="000000" w:themeColor="text1"/>
          <w:sz w:val="24"/>
          <w:szCs w:val="24"/>
        </w:rPr>
        <w:t>χ</w:t>
      </w:r>
      <w:r w:rsidR="00C10B0F" w:rsidRPr="00626619">
        <w:rPr>
          <w:rFonts w:ascii="Times New Roman" w:eastAsia="Times New Roman" w:hAnsi="Times New Roman" w:cs="Times New Roman"/>
          <w:color w:val="000000" w:themeColor="text1"/>
          <w:sz w:val="24"/>
          <w:szCs w:val="24"/>
          <w:vertAlign w:val="superscript"/>
        </w:rPr>
        <w:t>2</w:t>
      </w:r>
      <w:r w:rsidR="00C10B0F">
        <w:rPr>
          <w:rFonts w:ascii="Times New Roman" w:eastAsia="Times New Roman" w:hAnsi="Times New Roman" w:cs="Times New Roman"/>
          <w:color w:val="000000" w:themeColor="text1"/>
          <w:sz w:val="24"/>
          <w:szCs w:val="24"/>
        </w:rPr>
        <w:t xml:space="preserve"> = 3.46</w:t>
      </w:r>
      <w:r w:rsidR="00C10B0F" w:rsidRPr="00626619">
        <w:rPr>
          <w:rFonts w:ascii="Times New Roman" w:eastAsia="Times New Roman" w:hAnsi="Times New Roman" w:cs="Times New Roman"/>
          <w:color w:val="000000" w:themeColor="text1"/>
          <w:sz w:val="24"/>
          <w:szCs w:val="24"/>
        </w:rPr>
        <w:t>)</w:t>
      </w:r>
      <w:r w:rsidR="00C10B0F">
        <w:rPr>
          <w:rFonts w:ascii="Times New Roman" w:hAnsi="Times New Roman" w:cs="Times New Roman"/>
          <w:sz w:val="24"/>
          <w:szCs w:val="24"/>
          <w:lang w:val="en-US"/>
        </w:rPr>
        <w:t>,</w:t>
      </w:r>
      <w:r w:rsidR="002B580F">
        <w:rPr>
          <w:rFonts w:ascii="Times New Roman" w:hAnsi="Times New Roman" w:cs="Times New Roman"/>
          <w:sz w:val="24"/>
          <w:szCs w:val="24"/>
          <w:lang w:val="en-US"/>
        </w:rPr>
        <w:t xml:space="preserve"> for low </w:t>
      </w:r>
      <w:r w:rsidR="002B580F" w:rsidRPr="00C10B0F">
        <w:rPr>
          <w:rFonts w:ascii="Times New Roman" w:hAnsi="Times New Roman" w:cs="Times New Roman"/>
          <w:i/>
          <w:sz w:val="24"/>
          <w:szCs w:val="24"/>
          <w:lang w:val="en-US"/>
        </w:rPr>
        <w:t>CAPEX</w:t>
      </w:r>
      <w:r w:rsidR="002B580F">
        <w:rPr>
          <w:rFonts w:ascii="Times New Roman" w:hAnsi="Times New Roman" w:cs="Times New Roman"/>
          <w:sz w:val="24"/>
          <w:szCs w:val="24"/>
          <w:lang w:val="en-US"/>
        </w:rPr>
        <w:t xml:space="preserve"> firms relative to high </w:t>
      </w:r>
      <w:r w:rsidR="002B580F" w:rsidRPr="00C10B0F">
        <w:rPr>
          <w:rFonts w:ascii="Times New Roman" w:hAnsi="Times New Roman" w:cs="Times New Roman"/>
          <w:i/>
          <w:sz w:val="24"/>
          <w:szCs w:val="24"/>
          <w:lang w:val="en-US"/>
        </w:rPr>
        <w:t>CAPEX</w:t>
      </w:r>
      <w:r w:rsidR="002B580F">
        <w:rPr>
          <w:rFonts w:ascii="Times New Roman" w:hAnsi="Times New Roman" w:cs="Times New Roman"/>
          <w:sz w:val="24"/>
          <w:szCs w:val="24"/>
          <w:lang w:val="en-US"/>
        </w:rPr>
        <w:t xml:space="preserve"> firms (</w:t>
      </w:r>
      <w:r w:rsidR="002B580F" w:rsidRPr="00626619">
        <w:rPr>
          <w:rFonts w:ascii="Times New Roman" w:hAnsi="Times New Roman" w:cs="Times New Roman"/>
          <w:sz w:val="24"/>
          <w:szCs w:val="24"/>
          <w:lang w:val="en-US"/>
        </w:rPr>
        <w:t>0.1</w:t>
      </w:r>
      <w:r w:rsidR="00C10B0F">
        <w:rPr>
          <w:rFonts w:ascii="Times New Roman" w:hAnsi="Times New Roman" w:cs="Times New Roman"/>
          <w:sz w:val="24"/>
          <w:szCs w:val="24"/>
          <w:lang w:val="en-US"/>
        </w:rPr>
        <w:t>053</w:t>
      </w:r>
      <w:r w:rsidR="002B580F" w:rsidRPr="00626619">
        <w:rPr>
          <w:rFonts w:ascii="Times New Roman" w:hAnsi="Times New Roman" w:cs="Times New Roman"/>
          <w:sz w:val="24"/>
          <w:szCs w:val="24"/>
          <w:lang w:val="en-US"/>
        </w:rPr>
        <w:t xml:space="preserve"> v</w:t>
      </w:r>
      <w:r w:rsidR="002B580F">
        <w:rPr>
          <w:rFonts w:ascii="Times New Roman" w:hAnsi="Times New Roman" w:cs="Times New Roman"/>
          <w:sz w:val="24"/>
          <w:szCs w:val="24"/>
          <w:lang w:val="en-US"/>
        </w:rPr>
        <w:t>ersus</w:t>
      </w:r>
      <w:r w:rsidR="002B580F" w:rsidRPr="00626619">
        <w:rPr>
          <w:rFonts w:ascii="Times New Roman" w:hAnsi="Times New Roman" w:cs="Times New Roman"/>
          <w:sz w:val="24"/>
          <w:szCs w:val="24"/>
          <w:lang w:val="en-US"/>
        </w:rPr>
        <w:t xml:space="preserve"> 0.1</w:t>
      </w:r>
      <w:r w:rsidR="00C10B0F">
        <w:rPr>
          <w:rFonts w:ascii="Times New Roman" w:hAnsi="Times New Roman" w:cs="Times New Roman"/>
          <w:sz w:val="24"/>
          <w:szCs w:val="24"/>
          <w:lang w:val="en-US"/>
        </w:rPr>
        <w:t>514</w:t>
      </w:r>
      <w:r w:rsidR="002B580F">
        <w:rPr>
          <w:rFonts w:ascii="Times New Roman" w:hAnsi="Times New Roman" w:cs="Times New Roman"/>
          <w:sz w:val="24"/>
          <w:szCs w:val="24"/>
          <w:lang w:val="en-US"/>
        </w:rPr>
        <w:t>, respectively</w:t>
      </w:r>
      <w:r w:rsidR="002B580F" w:rsidRPr="00626619">
        <w:rPr>
          <w:rFonts w:ascii="Times New Roman" w:hAnsi="Times New Roman" w:cs="Times New Roman"/>
          <w:sz w:val="24"/>
          <w:szCs w:val="24"/>
          <w:lang w:val="en-US"/>
        </w:rPr>
        <w:t xml:space="preserve">). </w:t>
      </w:r>
    </w:p>
    <w:p w14:paraId="0BB2E9FD" w14:textId="52C1BF93" w:rsidR="00A77735" w:rsidRDefault="00A77735" w:rsidP="00C10B0F">
      <w:pPr>
        <w:spacing w:line="480" w:lineRule="auto"/>
        <w:ind w:firstLine="567"/>
        <w:jc w:val="both"/>
        <w:rPr>
          <w:rFonts w:ascii="Times New Roman" w:eastAsia="Times New Roman" w:hAnsi="Times New Roman" w:cs="Times New Roman"/>
          <w:sz w:val="24"/>
          <w:szCs w:val="24"/>
        </w:rPr>
      </w:pPr>
    </w:p>
    <w:p w14:paraId="051C3452" w14:textId="77777777" w:rsidR="008B648B" w:rsidRPr="008B648B" w:rsidRDefault="008B648B" w:rsidP="008B648B">
      <w:pPr>
        <w:spacing w:line="480" w:lineRule="auto"/>
        <w:jc w:val="both"/>
        <w:rPr>
          <w:rFonts w:ascii="Times New Roman" w:eastAsia="Times New Roman" w:hAnsi="Times New Roman" w:cs="Times New Roman"/>
          <w:i/>
          <w:sz w:val="24"/>
          <w:szCs w:val="24"/>
        </w:rPr>
      </w:pPr>
      <w:r w:rsidRPr="008B648B">
        <w:rPr>
          <w:rFonts w:ascii="Times New Roman" w:eastAsia="Times New Roman" w:hAnsi="Times New Roman" w:cs="Times New Roman"/>
          <w:i/>
          <w:sz w:val="24"/>
          <w:szCs w:val="24"/>
        </w:rPr>
        <w:t>5.4 Further analyses</w:t>
      </w:r>
    </w:p>
    <w:p w14:paraId="260FEBAF" w14:textId="181F2E54" w:rsidR="008B648B" w:rsidRDefault="008B648B" w:rsidP="008B648B">
      <w:pPr>
        <w:spacing w:line="480" w:lineRule="auto"/>
        <w:jc w:val="both"/>
        <w:rPr>
          <w:rFonts w:ascii="Times New Roman" w:hAnsi="Times New Roman" w:cs="Times New Roman"/>
          <w:sz w:val="24"/>
          <w:szCs w:val="24"/>
        </w:rPr>
      </w:pPr>
      <w:r w:rsidRPr="008B648B">
        <w:rPr>
          <w:rFonts w:ascii="Times New Roman" w:eastAsia="Times New Roman" w:hAnsi="Times New Roman" w:cs="Times New Roman"/>
          <w:sz w:val="24"/>
          <w:szCs w:val="24"/>
        </w:rPr>
        <w:t xml:space="preserve">A number of further tests </w:t>
      </w:r>
      <w:proofErr w:type="gramStart"/>
      <w:r w:rsidRPr="008B648B">
        <w:rPr>
          <w:rFonts w:ascii="Times New Roman" w:eastAsia="Times New Roman" w:hAnsi="Times New Roman" w:cs="Times New Roman"/>
          <w:sz w:val="24"/>
          <w:szCs w:val="24"/>
        </w:rPr>
        <w:t>are also conducted</w:t>
      </w:r>
      <w:proofErr w:type="gramEnd"/>
      <w:r w:rsidRPr="008B648B">
        <w:rPr>
          <w:rFonts w:ascii="Times New Roman" w:eastAsia="Times New Roman" w:hAnsi="Times New Roman" w:cs="Times New Roman"/>
          <w:sz w:val="24"/>
          <w:szCs w:val="24"/>
        </w:rPr>
        <w:t xml:space="preserve"> that we do not tabulate. These include changes to how we measure the dependent variable, </w:t>
      </w:r>
      <w:r w:rsidRPr="008B648B">
        <w:rPr>
          <w:rFonts w:ascii="Times New Roman" w:eastAsia="Times New Roman" w:hAnsi="Times New Roman" w:cs="Times New Roman"/>
          <w:i/>
          <w:sz w:val="24"/>
          <w:szCs w:val="24"/>
        </w:rPr>
        <w:t>CEO Pay Gap</w:t>
      </w:r>
      <w:r w:rsidRPr="008B648B">
        <w:rPr>
          <w:rFonts w:ascii="Times New Roman" w:eastAsia="Times New Roman" w:hAnsi="Times New Roman" w:cs="Times New Roman"/>
          <w:sz w:val="24"/>
          <w:szCs w:val="24"/>
        </w:rPr>
        <w:t>.</w:t>
      </w:r>
      <w:r w:rsidRPr="008B648B">
        <w:rPr>
          <w:rFonts w:ascii="Times New Roman" w:eastAsia="Times New Roman" w:hAnsi="Times New Roman" w:cs="Times New Roman"/>
          <w:i/>
          <w:sz w:val="24"/>
          <w:szCs w:val="24"/>
        </w:rPr>
        <w:t xml:space="preserve"> </w:t>
      </w:r>
      <w:r w:rsidRPr="008B648B">
        <w:rPr>
          <w:rFonts w:ascii="Times New Roman" w:eastAsia="Times New Roman" w:hAnsi="Times New Roman" w:cs="Times New Roman"/>
          <w:sz w:val="24"/>
          <w:szCs w:val="24"/>
        </w:rPr>
        <w:t xml:space="preserve">Specifically, our results hold if we </w:t>
      </w:r>
      <w:r w:rsidRPr="00F152F2">
        <w:rPr>
          <w:rFonts w:ascii="Times New Roman" w:eastAsia="Times New Roman" w:hAnsi="Times New Roman" w:cs="Times New Roman"/>
          <w:sz w:val="24"/>
          <w:szCs w:val="24"/>
        </w:rPr>
        <w:t>remove all firms that have five or less VP’s (11% of our sample) and when we use different measures of dollar-denominated CEO Pay Gap (as opposed to the proportional</w:t>
      </w:r>
      <w:r w:rsidR="00C14649" w:rsidRPr="00F152F2">
        <w:rPr>
          <w:rFonts w:ascii="Times New Roman" w:eastAsia="Times New Roman" w:hAnsi="Times New Roman" w:cs="Times New Roman"/>
          <w:sz w:val="24"/>
          <w:szCs w:val="24"/>
        </w:rPr>
        <w:t>ly-based</w:t>
      </w:r>
      <w:r w:rsidRPr="00F152F2">
        <w:rPr>
          <w:rFonts w:ascii="Times New Roman" w:eastAsia="Times New Roman" w:hAnsi="Times New Roman" w:cs="Times New Roman"/>
          <w:sz w:val="24"/>
          <w:szCs w:val="24"/>
        </w:rPr>
        <w:t xml:space="preserve"> pay gap measure we focus on). Our results</w:t>
      </w:r>
      <w:r w:rsidRPr="008B648B">
        <w:rPr>
          <w:rFonts w:ascii="Times New Roman" w:eastAsia="Times New Roman" w:hAnsi="Times New Roman" w:cs="Times New Roman"/>
          <w:sz w:val="24"/>
          <w:szCs w:val="24"/>
        </w:rPr>
        <w:t xml:space="preserve"> also hold for various sub-sample periods. This includes when </w:t>
      </w:r>
      <w:r w:rsidRPr="008B648B">
        <w:rPr>
          <w:rFonts w:ascii="Times New Roman" w:eastAsia="Times New Roman" w:hAnsi="Times New Roman" w:cs="Times New Roman"/>
          <w:sz w:val="24"/>
          <w:szCs w:val="24"/>
        </w:rPr>
        <w:lastRenderedPageBreak/>
        <w:t xml:space="preserve">we account for </w:t>
      </w:r>
      <w:r w:rsidRPr="008B648B">
        <w:rPr>
          <w:rFonts w:ascii="Times New Roman" w:hAnsi="Times New Roman" w:cs="Times New Roman"/>
          <w:sz w:val="24"/>
          <w:szCs w:val="24"/>
        </w:rPr>
        <w:t xml:space="preserve">FAS 123R taking effect in June 2005. FAS 123R replaces the previous FAS 123 that requires all firms to expense employee stock options at fair market values, thereby removing the accounting benefits associated with stock option grants. This new accounting standard may influence CEO total compensation and the benefits from tournament incentives that a firm offers. However, we find our results do not change when we split our data before and after </w:t>
      </w:r>
      <w:proofErr w:type="gramStart"/>
      <w:r w:rsidRPr="008B648B">
        <w:rPr>
          <w:rFonts w:ascii="Times New Roman" w:hAnsi="Times New Roman" w:cs="Times New Roman"/>
          <w:sz w:val="24"/>
          <w:szCs w:val="24"/>
        </w:rPr>
        <w:t>FAS</w:t>
      </w:r>
      <w:proofErr w:type="gramEnd"/>
      <w:r w:rsidRPr="008B648B">
        <w:rPr>
          <w:rFonts w:ascii="Times New Roman" w:hAnsi="Times New Roman" w:cs="Times New Roman"/>
          <w:sz w:val="24"/>
          <w:szCs w:val="24"/>
        </w:rPr>
        <w:t xml:space="preserve"> 123R is introduced. </w:t>
      </w:r>
    </w:p>
    <w:p w14:paraId="7F4116B1" w14:textId="77777777" w:rsidR="004E77F0" w:rsidRDefault="004E77F0" w:rsidP="008B648B">
      <w:pPr>
        <w:spacing w:line="480" w:lineRule="auto"/>
        <w:jc w:val="both"/>
        <w:rPr>
          <w:rFonts w:ascii="Times New Roman" w:hAnsi="Times New Roman" w:cs="Times New Roman"/>
          <w:sz w:val="24"/>
          <w:szCs w:val="24"/>
        </w:rPr>
      </w:pPr>
    </w:p>
    <w:p w14:paraId="777B86B5" w14:textId="30E3BA5E" w:rsidR="00B13A5C" w:rsidRDefault="00C10B0F" w:rsidP="004152E4">
      <w:pPr>
        <w:pStyle w:val="Heading1"/>
        <w:numPr>
          <w:ilvl w:val="0"/>
          <w:numId w:val="14"/>
        </w:numPr>
        <w:spacing w:line="240" w:lineRule="auto"/>
      </w:pPr>
      <w:r>
        <w:t>Conclusion</w:t>
      </w:r>
    </w:p>
    <w:p w14:paraId="51EADFE2" w14:textId="77777777" w:rsidR="00F4488D" w:rsidRPr="00F4488D" w:rsidRDefault="00F4488D" w:rsidP="00F4488D">
      <w:pPr>
        <w:rPr>
          <w:lang w:val="en-US"/>
        </w:rPr>
      </w:pPr>
    </w:p>
    <w:p w14:paraId="42ADB653" w14:textId="35698BF1" w:rsidR="00EC74BA" w:rsidRDefault="00CF1E13" w:rsidP="00855DD6">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This study</w:t>
      </w:r>
      <w:r w:rsidRPr="00CF1E13">
        <w:rPr>
          <w:rFonts w:ascii="Times New Roman" w:eastAsia="Times New Roman" w:hAnsi="Times New Roman" w:cs="Times New Roman"/>
          <w:sz w:val="24"/>
          <w:szCs w:val="24"/>
        </w:rPr>
        <w:t xml:space="preserve"> extend</w:t>
      </w:r>
      <w:r>
        <w:rPr>
          <w:rFonts w:ascii="Times New Roman" w:eastAsia="Times New Roman" w:hAnsi="Times New Roman" w:cs="Times New Roman"/>
          <w:sz w:val="24"/>
          <w:szCs w:val="24"/>
        </w:rPr>
        <w:t>s</w:t>
      </w:r>
      <w:r w:rsidRPr="00CF1E13">
        <w:rPr>
          <w:rFonts w:ascii="Times New Roman" w:eastAsia="Times New Roman" w:hAnsi="Times New Roman" w:cs="Times New Roman"/>
          <w:sz w:val="24"/>
          <w:szCs w:val="24"/>
        </w:rPr>
        <w:t xml:space="preserve"> the corporate tournament literature by investigating how tournament incentives influence institutional investors. </w:t>
      </w:r>
      <w:r>
        <w:rPr>
          <w:rFonts w:ascii="Times New Roman" w:eastAsia="Times New Roman" w:hAnsi="Times New Roman" w:cs="Times New Roman"/>
          <w:sz w:val="24"/>
          <w:szCs w:val="24"/>
        </w:rPr>
        <w:t>W</w:t>
      </w:r>
      <w:r w:rsidRPr="00CF1E13">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first </w:t>
      </w:r>
      <w:r w:rsidRPr="00CF1E13">
        <w:rPr>
          <w:rFonts w:ascii="Times New Roman" w:eastAsia="Times New Roman" w:hAnsi="Times New Roman" w:cs="Times New Roman"/>
          <w:sz w:val="24"/>
          <w:szCs w:val="24"/>
        </w:rPr>
        <w:t xml:space="preserve">construct a model that captures the salient features of internal tournaments and their </w:t>
      </w:r>
      <w:r w:rsidR="00DE2E06">
        <w:rPr>
          <w:rFonts w:ascii="Times New Roman" w:eastAsia="Times New Roman" w:hAnsi="Times New Roman" w:cs="Times New Roman"/>
          <w:sz w:val="24"/>
          <w:szCs w:val="24"/>
        </w:rPr>
        <w:t>impact on ownership structures.</w:t>
      </w:r>
      <w:r w:rsidRPr="00CF1E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Utilising a large sample</w:t>
      </w:r>
      <w:r w:rsidRPr="00CF1E13">
        <w:rPr>
          <w:rFonts w:ascii="Times New Roman" w:eastAsia="Times New Roman" w:hAnsi="Times New Roman" w:cs="Times New Roman"/>
          <w:sz w:val="24"/>
          <w:szCs w:val="24"/>
        </w:rPr>
        <w:t>, we find strong support for our model prediction, i.e. that firms can influence institutional holdings by changing the strength of tournament incentives</w:t>
      </w:r>
      <w:r>
        <w:rPr>
          <w:rFonts w:ascii="Times New Roman" w:eastAsia="Times New Roman" w:hAnsi="Times New Roman" w:cs="Times New Roman"/>
          <w:sz w:val="24"/>
          <w:szCs w:val="24"/>
        </w:rPr>
        <w:t>. Our</w:t>
      </w:r>
      <w:r w:rsidRPr="00CF1E13">
        <w:rPr>
          <w:rFonts w:ascii="Times New Roman" w:eastAsia="Times New Roman" w:hAnsi="Times New Roman" w:cs="Times New Roman"/>
          <w:sz w:val="24"/>
          <w:szCs w:val="24"/>
        </w:rPr>
        <w:t xml:space="preserve"> findings are robust to alternative measures of tournament competition and to potential </w:t>
      </w:r>
      <w:proofErr w:type="spellStart"/>
      <w:r w:rsidRPr="00CF1E13">
        <w:rPr>
          <w:rFonts w:ascii="Times New Roman" w:eastAsia="Times New Roman" w:hAnsi="Times New Roman" w:cs="Times New Roman"/>
          <w:sz w:val="24"/>
          <w:szCs w:val="24"/>
        </w:rPr>
        <w:t>endogeneity</w:t>
      </w:r>
      <w:proofErr w:type="spellEnd"/>
      <w:r w:rsidRPr="00CF1E13">
        <w:rPr>
          <w:rFonts w:ascii="Times New Roman" w:eastAsia="Times New Roman" w:hAnsi="Times New Roman" w:cs="Times New Roman"/>
          <w:sz w:val="24"/>
          <w:szCs w:val="24"/>
        </w:rPr>
        <w:t xml:space="preserve"> issues. Overall, this study uncovers a novel linkage between corporate tournaments and institutional ownership. </w:t>
      </w:r>
      <w:r w:rsidR="00EC74BA">
        <w:rPr>
          <w:rFonts w:ascii="Times New Roman" w:eastAsia="Times New Roman" w:hAnsi="Times New Roman" w:cs="Times New Roman"/>
          <w:sz w:val="24"/>
          <w:szCs w:val="24"/>
        </w:rPr>
        <w:t xml:space="preserve"> </w:t>
      </w:r>
    </w:p>
    <w:p w14:paraId="1D3865E5" w14:textId="0E9B71B4" w:rsidR="00A9060C" w:rsidRDefault="00A9060C" w:rsidP="00855DD6">
      <w:pPr>
        <w:spacing w:after="0" w:line="480" w:lineRule="auto"/>
        <w:ind w:firstLine="567"/>
        <w:jc w:val="both"/>
        <w:rPr>
          <w:rFonts w:ascii="Times New Roman" w:eastAsia="Times New Roman" w:hAnsi="Times New Roman" w:cs="Times New Roman"/>
          <w:sz w:val="24"/>
          <w:szCs w:val="24"/>
        </w:rPr>
      </w:pPr>
    </w:p>
    <w:p w14:paraId="34B9101B" w14:textId="77777777" w:rsidR="007017B8" w:rsidRPr="00D94EB8" w:rsidRDefault="007017B8" w:rsidP="007017B8">
      <w:pPr>
        <w:pStyle w:val="Heading1"/>
        <w:numPr>
          <w:ilvl w:val="0"/>
          <w:numId w:val="0"/>
        </w:numPr>
      </w:pPr>
      <w:r>
        <w:t>B</w:t>
      </w:r>
      <w:r w:rsidRPr="00D94EB8">
        <w:t>ibliography</w:t>
      </w:r>
    </w:p>
    <w:p w14:paraId="3AABA1A4" w14:textId="7F53F9E2"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3E3FC0">
        <w:rPr>
          <w:rFonts w:ascii="Times New Roman" w:eastAsiaTheme="minorEastAsia" w:hAnsi="Times New Roman" w:cs="Times New Roman"/>
          <w:sz w:val="24"/>
          <w:szCs w:val="24"/>
          <w:lang w:val="en-US"/>
        </w:rPr>
        <w:t>Aghion</w:t>
      </w:r>
      <w:proofErr w:type="spellEnd"/>
      <w:r w:rsidRPr="003E3FC0">
        <w:rPr>
          <w:rFonts w:ascii="Times New Roman" w:eastAsiaTheme="minorEastAsia" w:hAnsi="Times New Roman" w:cs="Times New Roman"/>
          <w:sz w:val="24"/>
          <w:szCs w:val="24"/>
          <w:lang w:val="en-US"/>
        </w:rPr>
        <w:t xml:space="preserve">, P., Van </w:t>
      </w:r>
      <w:proofErr w:type="spellStart"/>
      <w:r w:rsidRPr="003E3FC0">
        <w:rPr>
          <w:rFonts w:ascii="Times New Roman" w:eastAsiaTheme="minorEastAsia" w:hAnsi="Times New Roman" w:cs="Times New Roman"/>
          <w:sz w:val="24"/>
          <w:szCs w:val="24"/>
          <w:lang w:val="en-US"/>
        </w:rPr>
        <w:t>Reenen</w:t>
      </w:r>
      <w:proofErr w:type="spellEnd"/>
      <w:r w:rsidRPr="003E3FC0">
        <w:rPr>
          <w:rFonts w:ascii="Times New Roman" w:eastAsiaTheme="minorEastAsia" w:hAnsi="Times New Roman" w:cs="Times New Roman"/>
          <w:sz w:val="24"/>
          <w:szCs w:val="24"/>
          <w:lang w:val="en-US"/>
        </w:rPr>
        <w:t xml:space="preserve">, J., &amp; </w:t>
      </w:r>
      <w:proofErr w:type="spellStart"/>
      <w:r w:rsidRPr="003E3FC0">
        <w:rPr>
          <w:rFonts w:ascii="Times New Roman" w:eastAsiaTheme="minorEastAsia" w:hAnsi="Times New Roman" w:cs="Times New Roman"/>
          <w:sz w:val="24"/>
          <w:szCs w:val="24"/>
          <w:lang w:val="en-US"/>
        </w:rPr>
        <w:t>Zingales</w:t>
      </w:r>
      <w:proofErr w:type="spellEnd"/>
      <w:r w:rsidRPr="003E3FC0">
        <w:rPr>
          <w:rFonts w:ascii="Times New Roman" w:eastAsiaTheme="minorEastAsia" w:hAnsi="Times New Roman" w:cs="Times New Roman"/>
          <w:sz w:val="24"/>
          <w:szCs w:val="24"/>
          <w:lang w:val="en-US"/>
        </w:rPr>
        <w:t xml:space="preserve">, L. (2013). Innovation and institutional ownership. </w:t>
      </w:r>
      <w:r w:rsidRPr="00EE3EE4">
        <w:rPr>
          <w:rFonts w:ascii="Times New Roman" w:eastAsiaTheme="minorEastAsia" w:hAnsi="Times New Roman" w:cs="Times New Roman"/>
          <w:i/>
          <w:sz w:val="24"/>
          <w:szCs w:val="24"/>
          <w:lang w:val="en-US"/>
        </w:rPr>
        <w:t xml:space="preserve">American </w:t>
      </w:r>
      <w:r w:rsidR="00EE3EE4" w:rsidRPr="00EE3EE4">
        <w:rPr>
          <w:rFonts w:ascii="Times New Roman" w:eastAsiaTheme="minorEastAsia" w:hAnsi="Times New Roman" w:cs="Times New Roman"/>
          <w:i/>
          <w:sz w:val="24"/>
          <w:szCs w:val="24"/>
          <w:lang w:val="en-US"/>
        </w:rPr>
        <w:t>E</w:t>
      </w:r>
      <w:r w:rsidRPr="00EE3EE4">
        <w:rPr>
          <w:rFonts w:ascii="Times New Roman" w:eastAsiaTheme="minorEastAsia" w:hAnsi="Times New Roman" w:cs="Times New Roman"/>
          <w:i/>
          <w:sz w:val="24"/>
          <w:szCs w:val="24"/>
          <w:lang w:val="en-US"/>
        </w:rPr>
        <w:t xml:space="preserve">conomic </w:t>
      </w:r>
      <w:r w:rsidR="00EE3EE4" w:rsidRPr="00EE3EE4">
        <w:rPr>
          <w:rFonts w:ascii="Times New Roman" w:eastAsiaTheme="minorEastAsia" w:hAnsi="Times New Roman" w:cs="Times New Roman"/>
          <w:i/>
          <w:sz w:val="24"/>
          <w:szCs w:val="24"/>
          <w:lang w:val="en-US"/>
        </w:rPr>
        <w:t>R</w:t>
      </w:r>
      <w:r w:rsidRPr="00EE3EE4">
        <w:rPr>
          <w:rFonts w:ascii="Times New Roman" w:eastAsiaTheme="minorEastAsia" w:hAnsi="Times New Roman" w:cs="Times New Roman"/>
          <w:i/>
          <w:sz w:val="24"/>
          <w:szCs w:val="24"/>
          <w:lang w:val="en-US"/>
        </w:rPr>
        <w:t>eview</w:t>
      </w:r>
      <w:r w:rsidRPr="003E3FC0">
        <w:rPr>
          <w:rFonts w:ascii="Times New Roman" w:eastAsiaTheme="minorEastAsia" w:hAnsi="Times New Roman" w:cs="Times New Roman"/>
          <w:sz w:val="24"/>
          <w:szCs w:val="24"/>
          <w:lang w:val="en-US"/>
        </w:rPr>
        <w:t>, 103(1), 277-304.</w:t>
      </w:r>
    </w:p>
    <w:p w14:paraId="6564F581" w14:textId="13AC4980"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AA38B5">
        <w:rPr>
          <w:rFonts w:ascii="Times New Roman" w:eastAsiaTheme="minorEastAsia" w:hAnsi="Times New Roman" w:cs="Times New Roman"/>
          <w:sz w:val="24"/>
          <w:szCs w:val="24"/>
          <w:lang w:val="en-US"/>
        </w:rPr>
        <w:t xml:space="preserve">Allen, F., Bernardo, A., and I. Welch. (2000). A Theory of Dividends Based on Tax Clienteles. </w:t>
      </w:r>
      <w:r w:rsidRPr="00EE3EE4">
        <w:rPr>
          <w:rFonts w:ascii="Times New Roman" w:eastAsiaTheme="minorEastAsia" w:hAnsi="Times New Roman" w:cs="Times New Roman"/>
          <w:i/>
          <w:sz w:val="24"/>
          <w:szCs w:val="24"/>
          <w:lang w:val="en-US"/>
        </w:rPr>
        <w:t>Journal of Finance</w:t>
      </w:r>
      <w:r w:rsidRPr="00AA38B5">
        <w:rPr>
          <w:rFonts w:ascii="Times New Roman" w:eastAsiaTheme="minorEastAsia" w:hAnsi="Times New Roman" w:cs="Times New Roman"/>
          <w:sz w:val="24"/>
          <w:szCs w:val="24"/>
          <w:lang w:val="en-US"/>
        </w:rPr>
        <w:t>, 55, 2499-2536.</w:t>
      </w:r>
    </w:p>
    <w:p w14:paraId="6D2B4966" w14:textId="6DC95F6C"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370B01">
        <w:rPr>
          <w:rFonts w:ascii="Times New Roman" w:eastAsiaTheme="minorEastAsia" w:hAnsi="Times New Roman" w:cs="Times New Roman"/>
          <w:sz w:val="24"/>
          <w:szCs w:val="24"/>
          <w:lang w:val="en-US"/>
        </w:rPr>
        <w:t>Attig</w:t>
      </w:r>
      <w:proofErr w:type="spellEnd"/>
      <w:r w:rsidRPr="00370B01">
        <w:rPr>
          <w:rFonts w:ascii="Times New Roman" w:eastAsiaTheme="minorEastAsia" w:hAnsi="Times New Roman" w:cs="Times New Roman"/>
          <w:sz w:val="24"/>
          <w:szCs w:val="24"/>
          <w:lang w:val="en-US"/>
        </w:rPr>
        <w:t xml:space="preserve">, N., Cleary, S., El Ghoul, S., &amp; </w:t>
      </w:r>
      <w:proofErr w:type="spellStart"/>
      <w:r w:rsidRPr="00370B01">
        <w:rPr>
          <w:rFonts w:ascii="Times New Roman" w:eastAsiaTheme="minorEastAsia" w:hAnsi="Times New Roman" w:cs="Times New Roman"/>
          <w:sz w:val="24"/>
          <w:szCs w:val="24"/>
          <w:lang w:val="en-US"/>
        </w:rPr>
        <w:t>Guedhami</w:t>
      </w:r>
      <w:proofErr w:type="spellEnd"/>
      <w:r w:rsidRPr="00370B01">
        <w:rPr>
          <w:rFonts w:ascii="Times New Roman" w:eastAsiaTheme="minorEastAsia" w:hAnsi="Times New Roman" w:cs="Times New Roman"/>
          <w:sz w:val="24"/>
          <w:szCs w:val="24"/>
          <w:lang w:val="en-US"/>
        </w:rPr>
        <w:t xml:space="preserve">, O. (2013). Institutional investment horizons and the cost of equity capital. </w:t>
      </w:r>
      <w:r w:rsidRPr="00EE3EE4">
        <w:rPr>
          <w:rFonts w:ascii="Times New Roman" w:eastAsiaTheme="minorEastAsia" w:hAnsi="Times New Roman" w:cs="Times New Roman"/>
          <w:i/>
          <w:sz w:val="24"/>
          <w:szCs w:val="24"/>
          <w:lang w:val="en-US"/>
        </w:rPr>
        <w:t>Financial Management</w:t>
      </w:r>
      <w:r w:rsidRPr="00370B01">
        <w:rPr>
          <w:rFonts w:ascii="Times New Roman" w:eastAsiaTheme="minorEastAsia" w:hAnsi="Times New Roman" w:cs="Times New Roman"/>
          <w:sz w:val="24"/>
          <w:szCs w:val="24"/>
          <w:lang w:val="en-US"/>
        </w:rPr>
        <w:t>, 42(2), 441-477.</w:t>
      </w:r>
    </w:p>
    <w:p w14:paraId="30ABD1B4" w14:textId="70A24561"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45A53">
        <w:rPr>
          <w:rFonts w:ascii="Times New Roman" w:eastAsiaTheme="minorEastAsia" w:hAnsi="Times New Roman" w:cs="Times New Roman"/>
          <w:sz w:val="24"/>
          <w:szCs w:val="24"/>
          <w:lang w:val="en-US"/>
        </w:rPr>
        <w:t xml:space="preserve">Baker, G., Gibbs, M., &amp; </w:t>
      </w:r>
      <w:proofErr w:type="spellStart"/>
      <w:r w:rsidRPr="00D45A53">
        <w:rPr>
          <w:rFonts w:ascii="Times New Roman" w:eastAsiaTheme="minorEastAsia" w:hAnsi="Times New Roman" w:cs="Times New Roman"/>
          <w:sz w:val="24"/>
          <w:szCs w:val="24"/>
          <w:lang w:val="en-US"/>
        </w:rPr>
        <w:t>Holmstrom</w:t>
      </w:r>
      <w:proofErr w:type="spellEnd"/>
      <w:r w:rsidRPr="00D45A53">
        <w:rPr>
          <w:rFonts w:ascii="Times New Roman" w:eastAsiaTheme="minorEastAsia" w:hAnsi="Times New Roman" w:cs="Times New Roman"/>
          <w:sz w:val="24"/>
          <w:szCs w:val="24"/>
          <w:lang w:val="en-US"/>
        </w:rPr>
        <w:t xml:space="preserve">, B. (1994). The wage policy of a firm. </w:t>
      </w:r>
      <w:r w:rsidRPr="00EE3EE4">
        <w:rPr>
          <w:rFonts w:ascii="Times New Roman" w:eastAsiaTheme="minorEastAsia" w:hAnsi="Times New Roman" w:cs="Times New Roman"/>
          <w:i/>
          <w:sz w:val="24"/>
          <w:szCs w:val="24"/>
          <w:lang w:val="en-US"/>
        </w:rPr>
        <w:t>The Quarterly Journal of Economics</w:t>
      </w:r>
      <w:r w:rsidRPr="00D45A53">
        <w:rPr>
          <w:rFonts w:ascii="Times New Roman" w:eastAsiaTheme="minorEastAsia" w:hAnsi="Times New Roman" w:cs="Times New Roman"/>
          <w:sz w:val="24"/>
          <w:szCs w:val="24"/>
          <w:lang w:val="en-US"/>
        </w:rPr>
        <w:t xml:space="preserve">, </w:t>
      </w:r>
      <w:r w:rsidR="00EE3EE4">
        <w:rPr>
          <w:rFonts w:ascii="Times New Roman" w:eastAsiaTheme="minorEastAsia" w:hAnsi="Times New Roman" w:cs="Times New Roman"/>
          <w:sz w:val="24"/>
          <w:szCs w:val="24"/>
          <w:lang w:val="en-US"/>
        </w:rPr>
        <w:t>1</w:t>
      </w:r>
      <w:r w:rsidRPr="00D45A53">
        <w:rPr>
          <w:rFonts w:ascii="Times New Roman" w:eastAsiaTheme="minorEastAsia" w:hAnsi="Times New Roman" w:cs="Times New Roman"/>
          <w:sz w:val="24"/>
          <w:szCs w:val="24"/>
          <w:lang w:val="en-US"/>
        </w:rPr>
        <w:t>09(4), 921-955.</w:t>
      </w:r>
    </w:p>
    <w:p w14:paraId="4A98C5C6" w14:textId="2BB73DEC"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lastRenderedPageBreak/>
        <w:t>Bebchuk</w:t>
      </w:r>
      <w:proofErr w:type="spellEnd"/>
      <w:r w:rsidRPr="00AA38B5">
        <w:rPr>
          <w:rFonts w:ascii="Times New Roman" w:eastAsiaTheme="minorEastAsia" w:hAnsi="Times New Roman" w:cs="Times New Roman"/>
          <w:sz w:val="24"/>
          <w:szCs w:val="24"/>
          <w:lang w:val="en-US"/>
        </w:rPr>
        <w:t xml:space="preserve">, L., Cohen, A. </w:t>
      </w:r>
      <w:r w:rsidRPr="00AA38B5">
        <w:rPr>
          <w:rFonts w:ascii="Times New Roman" w:eastAsiaTheme="minorEastAsia" w:hAnsi="Times New Roman" w:cs="Times New Roman"/>
          <w:noProof/>
          <w:sz w:val="24"/>
          <w:szCs w:val="24"/>
          <w:lang w:val="en-US"/>
        </w:rPr>
        <w:t>and</w:t>
      </w:r>
      <w:r w:rsidRPr="00AA38B5">
        <w:rPr>
          <w:rFonts w:ascii="Times New Roman" w:eastAsiaTheme="minorEastAsia" w:hAnsi="Times New Roman" w:cs="Times New Roman"/>
          <w:sz w:val="24"/>
          <w:szCs w:val="24"/>
          <w:lang w:val="en-US"/>
        </w:rPr>
        <w:t xml:space="preserve"> Ferrell, A. (2009). What Matters in Corporate Governance? </w:t>
      </w:r>
      <w:r w:rsidRPr="00AA38B5">
        <w:rPr>
          <w:rFonts w:ascii="Times New Roman" w:eastAsiaTheme="minorEastAsia" w:hAnsi="Times New Roman" w:cs="Times New Roman"/>
          <w:i/>
          <w:iCs/>
          <w:sz w:val="24"/>
          <w:szCs w:val="24"/>
          <w:lang w:val="en-US"/>
        </w:rPr>
        <w:t>The Review of Financial Studies</w:t>
      </w:r>
      <w:r w:rsidRPr="00AA38B5">
        <w:rPr>
          <w:rFonts w:ascii="Times New Roman" w:eastAsiaTheme="minorEastAsia" w:hAnsi="Times New Roman" w:cs="Times New Roman"/>
          <w:sz w:val="24"/>
          <w:szCs w:val="24"/>
          <w:lang w:val="en-US"/>
        </w:rPr>
        <w:t>, 22 (2), 783-827.</w:t>
      </w:r>
    </w:p>
    <w:p w14:paraId="61E81F89" w14:textId="66E8B61D" w:rsidR="007017B8" w:rsidRPr="00D94EB8" w:rsidRDefault="007017B8" w:rsidP="00EE3EE4">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Bebchuk</w:t>
      </w:r>
      <w:proofErr w:type="spellEnd"/>
      <w:r w:rsidRPr="00AA38B5">
        <w:rPr>
          <w:rFonts w:ascii="Times New Roman" w:eastAsiaTheme="minorEastAsia" w:hAnsi="Times New Roman" w:cs="Times New Roman"/>
          <w:sz w:val="24"/>
          <w:szCs w:val="24"/>
          <w:lang w:val="en-US"/>
        </w:rPr>
        <w:t xml:space="preserve">, L.A., </w:t>
      </w:r>
      <w:proofErr w:type="spellStart"/>
      <w:r w:rsidRPr="00AA38B5">
        <w:rPr>
          <w:rFonts w:ascii="Times New Roman" w:eastAsiaTheme="minorEastAsia" w:hAnsi="Times New Roman" w:cs="Times New Roman"/>
          <w:sz w:val="24"/>
          <w:szCs w:val="24"/>
          <w:lang w:val="en-US"/>
        </w:rPr>
        <w:t>Cremers</w:t>
      </w:r>
      <w:proofErr w:type="spellEnd"/>
      <w:r w:rsidRPr="00AA38B5">
        <w:rPr>
          <w:rFonts w:ascii="Times New Roman" w:eastAsiaTheme="minorEastAsia" w:hAnsi="Times New Roman" w:cs="Times New Roman"/>
          <w:sz w:val="24"/>
          <w:szCs w:val="24"/>
          <w:lang w:val="en-US"/>
        </w:rPr>
        <w:t xml:space="preserve">, K.J.M. and Peyer, U.C. (2011) The CEO pay slice, </w:t>
      </w:r>
      <w:r w:rsidRPr="00EE3EE4">
        <w:rPr>
          <w:rFonts w:ascii="Times New Roman" w:eastAsiaTheme="minorEastAsia" w:hAnsi="Times New Roman" w:cs="Times New Roman"/>
          <w:i/>
          <w:sz w:val="24"/>
          <w:szCs w:val="24"/>
          <w:lang w:val="en-US"/>
        </w:rPr>
        <w:t>Journal of Financial Economics</w:t>
      </w:r>
      <w:r w:rsidRPr="00AA38B5">
        <w:rPr>
          <w:rFonts w:ascii="Times New Roman" w:eastAsiaTheme="minorEastAsia" w:hAnsi="Times New Roman" w:cs="Times New Roman"/>
          <w:sz w:val="24"/>
          <w:szCs w:val="24"/>
          <w:lang w:val="en-US"/>
        </w:rPr>
        <w:t xml:space="preserve">, </w:t>
      </w:r>
      <w:r w:rsidR="00EE3EE4">
        <w:rPr>
          <w:rFonts w:ascii="Times New Roman" w:eastAsiaTheme="minorEastAsia" w:hAnsi="Times New Roman" w:cs="Times New Roman"/>
          <w:sz w:val="24"/>
          <w:szCs w:val="24"/>
          <w:lang w:val="en-US"/>
        </w:rPr>
        <w:t>1</w:t>
      </w:r>
      <w:r w:rsidRPr="00AA38B5">
        <w:rPr>
          <w:rFonts w:ascii="Times New Roman" w:eastAsiaTheme="minorEastAsia" w:hAnsi="Times New Roman" w:cs="Times New Roman"/>
          <w:sz w:val="24"/>
          <w:szCs w:val="24"/>
          <w:lang w:val="en-US"/>
        </w:rPr>
        <w:t>02</w:t>
      </w:r>
      <w:r w:rsidR="00EE3EE4">
        <w:rPr>
          <w:rFonts w:ascii="Times New Roman" w:eastAsiaTheme="minorEastAsia" w:hAnsi="Times New Roman" w:cs="Times New Roman"/>
          <w:sz w:val="24"/>
          <w:szCs w:val="24"/>
          <w:lang w:val="en-US"/>
        </w:rPr>
        <w:t>(1),</w:t>
      </w:r>
      <w:r w:rsidRPr="00AA38B5">
        <w:rPr>
          <w:rFonts w:ascii="Times New Roman" w:eastAsiaTheme="minorEastAsia" w:hAnsi="Times New Roman" w:cs="Times New Roman"/>
          <w:sz w:val="24"/>
          <w:szCs w:val="24"/>
          <w:lang w:val="en-US"/>
        </w:rPr>
        <w:t xml:space="preserve"> 199-221.</w:t>
      </w:r>
      <w:r w:rsidRPr="00D94EB8">
        <w:rPr>
          <w:rFonts w:ascii="Times New Roman" w:eastAsiaTheme="minorEastAsia" w:hAnsi="Times New Roman" w:cs="Times New Roman"/>
          <w:sz w:val="24"/>
          <w:szCs w:val="24"/>
          <w:lang w:val="en-US"/>
        </w:rPr>
        <w:t xml:space="preserve"> </w:t>
      </w:r>
    </w:p>
    <w:p w14:paraId="210EA61C" w14:textId="7E6BB492"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Bergstresser</w:t>
      </w:r>
      <w:proofErr w:type="spellEnd"/>
      <w:r w:rsidRPr="00AA38B5">
        <w:rPr>
          <w:rFonts w:ascii="Times New Roman" w:eastAsiaTheme="minorEastAsia" w:hAnsi="Times New Roman" w:cs="Times New Roman"/>
          <w:sz w:val="24"/>
          <w:szCs w:val="24"/>
          <w:lang w:val="en-US"/>
        </w:rPr>
        <w:t xml:space="preserve">, D. and </w:t>
      </w:r>
      <w:proofErr w:type="spellStart"/>
      <w:r w:rsidRPr="00AA38B5">
        <w:rPr>
          <w:rFonts w:ascii="Times New Roman" w:eastAsiaTheme="minorEastAsia" w:hAnsi="Times New Roman" w:cs="Times New Roman"/>
          <w:sz w:val="24"/>
          <w:szCs w:val="24"/>
          <w:lang w:val="en-US"/>
        </w:rPr>
        <w:t>Philippon</w:t>
      </w:r>
      <w:proofErr w:type="spellEnd"/>
      <w:r w:rsidRPr="00AA38B5">
        <w:rPr>
          <w:rFonts w:ascii="Times New Roman" w:eastAsiaTheme="minorEastAsia" w:hAnsi="Times New Roman" w:cs="Times New Roman"/>
          <w:sz w:val="24"/>
          <w:szCs w:val="24"/>
          <w:lang w:val="en-US"/>
        </w:rPr>
        <w:t xml:space="preserve">, T. (2006). CEO incentives and earnings management, </w:t>
      </w:r>
      <w:r w:rsidRPr="00EE3EE4">
        <w:rPr>
          <w:rFonts w:ascii="Times New Roman" w:eastAsiaTheme="minorEastAsia" w:hAnsi="Times New Roman" w:cs="Times New Roman"/>
          <w:i/>
          <w:sz w:val="24"/>
          <w:szCs w:val="24"/>
          <w:lang w:val="en-US"/>
        </w:rPr>
        <w:t>Journal of Financial Economics</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 xml:space="preserve"> 80, 511-529</w:t>
      </w:r>
    </w:p>
    <w:p w14:paraId="4A0743C2" w14:textId="571C1A84"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FC7875">
        <w:rPr>
          <w:rFonts w:ascii="Times New Roman" w:eastAsiaTheme="minorEastAsia" w:hAnsi="Times New Roman" w:cs="Times New Roman"/>
          <w:sz w:val="24"/>
          <w:szCs w:val="24"/>
          <w:lang w:val="en-US"/>
        </w:rPr>
        <w:t xml:space="preserve">Beyer, A., Cohen, D. A., Lys, T. Z., &amp; Walther, B. R. (2010). The financial reporting environment: Review of the recent literature. </w:t>
      </w:r>
      <w:r w:rsidRPr="00EE3EE4">
        <w:rPr>
          <w:rFonts w:ascii="Times New Roman" w:eastAsiaTheme="minorEastAsia" w:hAnsi="Times New Roman" w:cs="Times New Roman"/>
          <w:i/>
          <w:sz w:val="24"/>
          <w:szCs w:val="24"/>
          <w:lang w:val="en-US"/>
        </w:rPr>
        <w:t xml:space="preserve">Journal of </w:t>
      </w:r>
      <w:r w:rsidR="00EE3EE4">
        <w:rPr>
          <w:rFonts w:ascii="Times New Roman" w:eastAsiaTheme="minorEastAsia" w:hAnsi="Times New Roman" w:cs="Times New Roman"/>
          <w:i/>
          <w:sz w:val="24"/>
          <w:szCs w:val="24"/>
          <w:lang w:val="en-US"/>
        </w:rPr>
        <w:t>A</w:t>
      </w:r>
      <w:r w:rsidRPr="00EE3EE4">
        <w:rPr>
          <w:rFonts w:ascii="Times New Roman" w:eastAsiaTheme="minorEastAsia" w:hAnsi="Times New Roman" w:cs="Times New Roman"/>
          <w:i/>
          <w:sz w:val="24"/>
          <w:szCs w:val="24"/>
          <w:lang w:val="en-US"/>
        </w:rPr>
        <w:t xml:space="preserve">ccounting and </w:t>
      </w:r>
      <w:r w:rsidR="00EE3EE4">
        <w:rPr>
          <w:rFonts w:ascii="Times New Roman" w:eastAsiaTheme="minorEastAsia" w:hAnsi="Times New Roman" w:cs="Times New Roman"/>
          <w:i/>
          <w:sz w:val="24"/>
          <w:szCs w:val="24"/>
          <w:lang w:val="en-US"/>
        </w:rPr>
        <w:t>E</w:t>
      </w:r>
      <w:r w:rsidRPr="00EE3EE4">
        <w:rPr>
          <w:rFonts w:ascii="Times New Roman" w:eastAsiaTheme="minorEastAsia" w:hAnsi="Times New Roman" w:cs="Times New Roman"/>
          <w:i/>
          <w:sz w:val="24"/>
          <w:szCs w:val="24"/>
          <w:lang w:val="en-US"/>
        </w:rPr>
        <w:t>conomics</w:t>
      </w:r>
      <w:r w:rsidRPr="00FC7875">
        <w:rPr>
          <w:rFonts w:ascii="Times New Roman" w:eastAsiaTheme="minorEastAsia" w:hAnsi="Times New Roman" w:cs="Times New Roman"/>
          <w:sz w:val="24"/>
          <w:szCs w:val="24"/>
          <w:lang w:val="en-US"/>
        </w:rPr>
        <w:t>, 50(2), 296-343.</w:t>
      </w:r>
    </w:p>
    <w:p w14:paraId="13BF3D2D"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30981">
        <w:rPr>
          <w:rFonts w:ascii="Times New Roman" w:eastAsiaTheme="minorEastAsia" w:hAnsi="Times New Roman" w:cs="Times New Roman"/>
          <w:sz w:val="24"/>
          <w:szCs w:val="24"/>
          <w:lang w:val="en-US"/>
        </w:rPr>
        <w:t>Bhattacharya, U., &amp; E. Jacobsen, S. (201</w:t>
      </w:r>
      <w:r>
        <w:rPr>
          <w:rFonts w:ascii="Times New Roman" w:eastAsiaTheme="minorEastAsia" w:hAnsi="Times New Roman" w:cs="Times New Roman"/>
          <w:sz w:val="24"/>
          <w:szCs w:val="24"/>
          <w:lang w:val="en-US"/>
        </w:rPr>
        <w:t>6</w:t>
      </w:r>
      <w:r w:rsidRPr="00D30981">
        <w:rPr>
          <w:rFonts w:ascii="Times New Roman" w:eastAsiaTheme="minorEastAsia" w:hAnsi="Times New Roman" w:cs="Times New Roman"/>
          <w:sz w:val="24"/>
          <w:szCs w:val="24"/>
          <w:lang w:val="en-US"/>
        </w:rPr>
        <w:t xml:space="preserve">). The share repurchase announcement puzzle: Theory and evidence. </w:t>
      </w:r>
      <w:r w:rsidRPr="00EE3EE4">
        <w:rPr>
          <w:rFonts w:ascii="Times New Roman" w:eastAsiaTheme="minorEastAsia" w:hAnsi="Times New Roman" w:cs="Times New Roman"/>
          <w:i/>
          <w:sz w:val="24"/>
          <w:szCs w:val="24"/>
          <w:lang w:val="en-US"/>
        </w:rPr>
        <w:t>Review of Finance</w:t>
      </w:r>
      <w:r w:rsidRPr="00D30981">
        <w:rPr>
          <w:rFonts w:ascii="Times New Roman" w:eastAsiaTheme="minorEastAsia" w:hAnsi="Times New Roman" w:cs="Times New Roman"/>
          <w:sz w:val="24"/>
          <w:szCs w:val="24"/>
          <w:lang w:val="en-US"/>
        </w:rPr>
        <w:t>, 20(2), 725-758.</w:t>
      </w:r>
    </w:p>
    <w:p w14:paraId="2A9A96B4"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5D4823">
        <w:rPr>
          <w:rFonts w:ascii="Times New Roman" w:eastAsiaTheme="minorEastAsia" w:hAnsi="Times New Roman" w:cs="Times New Roman"/>
          <w:sz w:val="24"/>
          <w:szCs w:val="24"/>
          <w:lang w:val="en-US"/>
        </w:rPr>
        <w:t>Boehmer</w:t>
      </w:r>
      <w:proofErr w:type="spellEnd"/>
      <w:r w:rsidRPr="005D4823">
        <w:rPr>
          <w:rFonts w:ascii="Times New Roman" w:eastAsiaTheme="minorEastAsia" w:hAnsi="Times New Roman" w:cs="Times New Roman"/>
          <w:sz w:val="24"/>
          <w:szCs w:val="24"/>
          <w:lang w:val="en-US"/>
        </w:rPr>
        <w:t xml:space="preserve">, E., &amp; Kelley, E. K. (2009). Institutional investors and the informational efficiency of prices. </w:t>
      </w:r>
      <w:r w:rsidRPr="00EE3EE4">
        <w:rPr>
          <w:rFonts w:ascii="Times New Roman" w:eastAsiaTheme="minorEastAsia" w:hAnsi="Times New Roman" w:cs="Times New Roman"/>
          <w:i/>
          <w:sz w:val="24"/>
          <w:szCs w:val="24"/>
          <w:lang w:val="en-US"/>
        </w:rPr>
        <w:t>The Review of Financial Studies</w:t>
      </w:r>
      <w:r w:rsidRPr="005D4823">
        <w:rPr>
          <w:rFonts w:ascii="Times New Roman" w:eastAsiaTheme="minorEastAsia" w:hAnsi="Times New Roman" w:cs="Times New Roman"/>
          <w:sz w:val="24"/>
          <w:szCs w:val="24"/>
          <w:lang w:val="en-US"/>
        </w:rPr>
        <w:t>, 22(9), 3563-3594.</w:t>
      </w:r>
    </w:p>
    <w:p w14:paraId="07944971"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D45A53">
        <w:rPr>
          <w:rFonts w:ascii="Times New Roman" w:eastAsiaTheme="minorEastAsia" w:hAnsi="Times New Roman" w:cs="Times New Roman"/>
          <w:sz w:val="24"/>
          <w:szCs w:val="24"/>
          <w:lang w:val="en-US"/>
        </w:rPr>
        <w:t>Bognanno</w:t>
      </w:r>
      <w:proofErr w:type="spellEnd"/>
      <w:r w:rsidRPr="00D45A53">
        <w:rPr>
          <w:rFonts w:ascii="Times New Roman" w:eastAsiaTheme="minorEastAsia" w:hAnsi="Times New Roman" w:cs="Times New Roman"/>
          <w:sz w:val="24"/>
          <w:szCs w:val="24"/>
          <w:lang w:val="en-US"/>
        </w:rPr>
        <w:t xml:space="preserve">, M. L. (2001). Corporate tournaments. </w:t>
      </w:r>
      <w:r w:rsidRPr="00EE3EE4">
        <w:rPr>
          <w:rFonts w:ascii="Times New Roman" w:eastAsiaTheme="minorEastAsia" w:hAnsi="Times New Roman" w:cs="Times New Roman"/>
          <w:i/>
          <w:sz w:val="24"/>
          <w:szCs w:val="24"/>
          <w:lang w:val="en-US"/>
        </w:rPr>
        <w:t>Journal of Labor Economics</w:t>
      </w:r>
      <w:r w:rsidRPr="00D45A53">
        <w:rPr>
          <w:rFonts w:ascii="Times New Roman" w:eastAsiaTheme="minorEastAsia" w:hAnsi="Times New Roman" w:cs="Times New Roman"/>
          <w:sz w:val="24"/>
          <w:szCs w:val="24"/>
          <w:lang w:val="en-US"/>
        </w:rPr>
        <w:t>, 19(2), 290-315.</w:t>
      </w:r>
    </w:p>
    <w:p w14:paraId="5ED2238E"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370B01">
        <w:rPr>
          <w:rFonts w:ascii="Times New Roman" w:eastAsiaTheme="minorEastAsia" w:hAnsi="Times New Roman" w:cs="Times New Roman"/>
          <w:sz w:val="24"/>
          <w:szCs w:val="24"/>
          <w:lang w:val="en-US"/>
        </w:rPr>
        <w:t xml:space="preserve">Boone, A. L., &amp; White, J. T. (2015). The effect of institutional ownership on firm transparency and information production. </w:t>
      </w:r>
      <w:r w:rsidRPr="00EE3EE4">
        <w:rPr>
          <w:rFonts w:ascii="Times New Roman" w:eastAsiaTheme="minorEastAsia" w:hAnsi="Times New Roman" w:cs="Times New Roman"/>
          <w:i/>
          <w:sz w:val="24"/>
          <w:szCs w:val="24"/>
          <w:lang w:val="en-US"/>
        </w:rPr>
        <w:t>Journal of Financial Economics</w:t>
      </w:r>
      <w:r w:rsidRPr="00370B01">
        <w:rPr>
          <w:rFonts w:ascii="Times New Roman" w:eastAsiaTheme="minorEastAsia" w:hAnsi="Times New Roman" w:cs="Times New Roman"/>
          <w:sz w:val="24"/>
          <w:szCs w:val="24"/>
          <w:lang w:val="en-US"/>
        </w:rPr>
        <w:t>, 117(3), 508-533.</w:t>
      </w:r>
    </w:p>
    <w:p w14:paraId="3EAADE92" w14:textId="485BD498"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5D4823">
        <w:rPr>
          <w:rFonts w:ascii="Times New Roman" w:eastAsiaTheme="minorEastAsia" w:hAnsi="Times New Roman" w:cs="Times New Roman"/>
          <w:sz w:val="24"/>
          <w:szCs w:val="24"/>
          <w:lang w:val="en-US"/>
        </w:rPr>
        <w:t>Bushee</w:t>
      </w:r>
      <w:proofErr w:type="spellEnd"/>
      <w:r w:rsidRPr="005D4823">
        <w:rPr>
          <w:rFonts w:ascii="Times New Roman" w:eastAsiaTheme="minorEastAsia" w:hAnsi="Times New Roman" w:cs="Times New Roman"/>
          <w:sz w:val="24"/>
          <w:szCs w:val="24"/>
          <w:lang w:val="en-US"/>
        </w:rPr>
        <w:t xml:space="preserve">, B. J. (1998). The influence of institutional investors on myopic R&amp;D investment behavior. </w:t>
      </w:r>
      <w:r w:rsidRPr="00EE3EE4">
        <w:rPr>
          <w:rFonts w:ascii="Times New Roman" w:eastAsiaTheme="minorEastAsia" w:hAnsi="Times New Roman" w:cs="Times New Roman"/>
          <w:i/>
          <w:sz w:val="24"/>
          <w:szCs w:val="24"/>
          <w:lang w:val="en-US"/>
        </w:rPr>
        <w:t xml:space="preserve">Accounting </w:t>
      </w:r>
      <w:r w:rsidR="00EE3EE4">
        <w:rPr>
          <w:rFonts w:ascii="Times New Roman" w:eastAsiaTheme="minorEastAsia" w:hAnsi="Times New Roman" w:cs="Times New Roman"/>
          <w:i/>
          <w:sz w:val="24"/>
          <w:szCs w:val="24"/>
          <w:lang w:val="en-US"/>
        </w:rPr>
        <w:t>R</w:t>
      </w:r>
      <w:r w:rsidRPr="00EE3EE4">
        <w:rPr>
          <w:rFonts w:ascii="Times New Roman" w:eastAsiaTheme="minorEastAsia" w:hAnsi="Times New Roman" w:cs="Times New Roman"/>
          <w:i/>
          <w:sz w:val="24"/>
          <w:szCs w:val="24"/>
          <w:lang w:val="en-US"/>
        </w:rPr>
        <w:t>eview</w:t>
      </w:r>
      <w:r w:rsidRPr="005D4823">
        <w:rPr>
          <w:rFonts w:ascii="Times New Roman" w:eastAsiaTheme="minorEastAsia" w:hAnsi="Times New Roman" w:cs="Times New Roman"/>
          <w:sz w:val="24"/>
          <w:szCs w:val="24"/>
          <w:lang w:val="en-US"/>
        </w:rPr>
        <w:t>, 305-333.</w:t>
      </w:r>
    </w:p>
    <w:p w14:paraId="3C2954AA" w14:textId="5B20E8DA"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8061BE">
        <w:rPr>
          <w:rFonts w:ascii="Times New Roman" w:eastAsiaTheme="minorEastAsia" w:hAnsi="Times New Roman" w:cs="Times New Roman"/>
          <w:sz w:val="24"/>
          <w:szCs w:val="24"/>
          <w:lang w:val="en-US"/>
        </w:rPr>
        <w:t>Bushee</w:t>
      </w:r>
      <w:proofErr w:type="spellEnd"/>
      <w:r w:rsidRPr="008061BE">
        <w:rPr>
          <w:rFonts w:ascii="Times New Roman" w:eastAsiaTheme="minorEastAsia" w:hAnsi="Times New Roman" w:cs="Times New Roman"/>
          <w:sz w:val="24"/>
          <w:szCs w:val="24"/>
          <w:lang w:val="en-US"/>
        </w:rPr>
        <w:t xml:space="preserve">, B. J., &amp; </w:t>
      </w:r>
      <w:proofErr w:type="spellStart"/>
      <w:r w:rsidRPr="008061BE">
        <w:rPr>
          <w:rFonts w:ascii="Times New Roman" w:eastAsiaTheme="minorEastAsia" w:hAnsi="Times New Roman" w:cs="Times New Roman"/>
          <w:sz w:val="24"/>
          <w:szCs w:val="24"/>
          <w:lang w:val="en-US"/>
        </w:rPr>
        <w:t>Noe</w:t>
      </w:r>
      <w:proofErr w:type="spellEnd"/>
      <w:r w:rsidRPr="008061BE">
        <w:rPr>
          <w:rFonts w:ascii="Times New Roman" w:eastAsiaTheme="minorEastAsia" w:hAnsi="Times New Roman" w:cs="Times New Roman"/>
          <w:sz w:val="24"/>
          <w:szCs w:val="24"/>
          <w:lang w:val="en-US"/>
        </w:rPr>
        <w:t xml:space="preserve">, C. F. (2000). Corporate disclosure practices, institutional investors, and stock return volatility. </w:t>
      </w:r>
      <w:r w:rsidRPr="00EE3EE4">
        <w:rPr>
          <w:rFonts w:ascii="Times New Roman" w:eastAsiaTheme="minorEastAsia" w:hAnsi="Times New Roman" w:cs="Times New Roman"/>
          <w:i/>
          <w:sz w:val="24"/>
          <w:szCs w:val="24"/>
          <w:lang w:val="en-US"/>
        </w:rPr>
        <w:t xml:space="preserve">Journal of </w:t>
      </w:r>
      <w:r w:rsidR="00EE3EE4">
        <w:rPr>
          <w:rFonts w:ascii="Times New Roman" w:eastAsiaTheme="minorEastAsia" w:hAnsi="Times New Roman" w:cs="Times New Roman"/>
          <w:i/>
          <w:sz w:val="24"/>
          <w:szCs w:val="24"/>
          <w:lang w:val="en-US"/>
        </w:rPr>
        <w:t>A</w:t>
      </w:r>
      <w:r w:rsidRPr="00EE3EE4">
        <w:rPr>
          <w:rFonts w:ascii="Times New Roman" w:eastAsiaTheme="minorEastAsia" w:hAnsi="Times New Roman" w:cs="Times New Roman"/>
          <w:i/>
          <w:sz w:val="24"/>
          <w:szCs w:val="24"/>
          <w:lang w:val="en-US"/>
        </w:rPr>
        <w:t xml:space="preserve">ccounting </w:t>
      </w:r>
      <w:r w:rsidR="00EE3EE4">
        <w:rPr>
          <w:rFonts w:ascii="Times New Roman" w:eastAsiaTheme="minorEastAsia" w:hAnsi="Times New Roman" w:cs="Times New Roman"/>
          <w:i/>
          <w:sz w:val="24"/>
          <w:szCs w:val="24"/>
          <w:lang w:val="en-US"/>
        </w:rPr>
        <w:t>R</w:t>
      </w:r>
      <w:r w:rsidRPr="00EE3EE4">
        <w:rPr>
          <w:rFonts w:ascii="Times New Roman" w:eastAsiaTheme="minorEastAsia" w:hAnsi="Times New Roman" w:cs="Times New Roman"/>
          <w:i/>
          <w:sz w:val="24"/>
          <w:szCs w:val="24"/>
          <w:lang w:val="en-US"/>
        </w:rPr>
        <w:t>esearch</w:t>
      </w:r>
      <w:r w:rsidRPr="008061BE">
        <w:rPr>
          <w:rFonts w:ascii="Times New Roman" w:eastAsiaTheme="minorEastAsia" w:hAnsi="Times New Roman" w:cs="Times New Roman"/>
          <w:sz w:val="24"/>
          <w:szCs w:val="24"/>
          <w:lang w:val="en-US"/>
        </w:rPr>
        <w:t>, 171-202.</w:t>
      </w:r>
    </w:p>
    <w:p w14:paraId="18A1DE7E"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5D4823">
        <w:rPr>
          <w:rFonts w:ascii="Times New Roman" w:eastAsiaTheme="minorEastAsia" w:hAnsi="Times New Roman" w:cs="Times New Roman"/>
          <w:sz w:val="24"/>
          <w:szCs w:val="24"/>
          <w:lang w:val="en-US"/>
        </w:rPr>
        <w:t xml:space="preserve">Chen, X., &amp; Cheng, Q. (2006). Institutional holdings and analysts' stock recommendations. </w:t>
      </w:r>
      <w:r w:rsidRPr="00EE3EE4">
        <w:rPr>
          <w:rFonts w:ascii="Times New Roman" w:eastAsiaTheme="minorEastAsia" w:hAnsi="Times New Roman" w:cs="Times New Roman"/>
          <w:i/>
          <w:sz w:val="24"/>
          <w:szCs w:val="24"/>
          <w:lang w:val="en-US"/>
        </w:rPr>
        <w:t>Journal of Accounting, Auditing &amp; Finance</w:t>
      </w:r>
      <w:r w:rsidRPr="005D4823">
        <w:rPr>
          <w:rFonts w:ascii="Times New Roman" w:eastAsiaTheme="minorEastAsia" w:hAnsi="Times New Roman" w:cs="Times New Roman"/>
          <w:sz w:val="24"/>
          <w:szCs w:val="24"/>
          <w:lang w:val="en-US"/>
        </w:rPr>
        <w:t>, 21(4), 399-440.</w:t>
      </w:r>
    </w:p>
    <w:p w14:paraId="14E14E5C" w14:textId="0F13C473"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AA38B5">
        <w:rPr>
          <w:rFonts w:ascii="Times New Roman" w:eastAsiaTheme="minorEastAsia" w:hAnsi="Times New Roman" w:cs="Times New Roman"/>
          <w:sz w:val="24"/>
          <w:szCs w:val="24"/>
          <w:lang w:val="en-US"/>
        </w:rPr>
        <w:t xml:space="preserve">Chen, Z., Huang, Y. and Wei, K.C.J. (2013). Executive pay disparity and the cost of equity capital, </w:t>
      </w:r>
      <w:r w:rsidRPr="00EE3EE4">
        <w:rPr>
          <w:rFonts w:ascii="Times New Roman" w:eastAsiaTheme="minorEastAsia" w:hAnsi="Times New Roman" w:cs="Times New Roman"/>
          <w:i/>
          <w:sz w:val="24"/>
          <w:szCs w:val="24"/>
          <w:lang w:val="en-US"/>
        </w:rPr>
        <w:t>Journal of Financial and Quantitative Analysis</w:t>
      </w:r>
      <w:r w:rsidRPr="00AA38B5">
        <w:rPr>
          <w:rFonts w:ascii="Times New Roman" w:eastAsiaTheme="minorEastAsia" w:hAnsi="Times New Roman" w:cs="Times New Roman"/>
          <w:sz w:val="24"/>
          <w:szCs w:val="24"/>
          <w:lang w:val="en-US"/>
        </w:rPr>
        <w:t>, 48</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3</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 849-885.</w:t>
      </w:r>
      <w:r w:rsidRPr="00D94EB8">
        <w:rPr>
          <w:rFonts w:ascii="Times New Roman" w:eastAsiaTheme="minorEastAsia" w:hAnsi="Times New Roman" w:cs="Times New Roman"/>
          <w:sz w:val="24"/>
          <w:szCs w:val="24"/>
          <w:lang w:val="en-US"/>
        </w:rPr>
        <w:t xml:space="preserve"> </w:t>
      </w:r>
    </w:p>
    <w:p w14:paraId="2287D6F2" w14:textId="3424467E"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D94EB8">
        <w:rPr>
          <w:rFonts w:ascii="Times New Roman" w:eastAsiaTheme="minorEastAsia" w:hAnsi="Times New Roman" w:cs="Times New Roman"/>
          <w:sz w:val="24"/>
          <w:szCs w:val="24"/>
          <w:lang w:val="en-US"/>
        </w:rPr>
        <w:t>Chhaochharia</w:t>
      </w:r>
      <w:proofErr w:type="spellEnd"/>
      <w:r w:rsidRPr="00D94EB8">
        <w:rPr>
          <w:rFonts w:ascii="Times New Roman" w:eastAsiaTheme="minorEastAsia" w:hAnsi="Times New Roman" w:cs="Times New Roman"/>
          <w:sz w:val="24"/>
          <w:szCs w:val="24"/>
          <w:lang w:val="en-US"/>
        </w:rPr>
        <w:t xml:space="preserve">, V. and Grinstein, Y. (2009). 'CEO compensation and board structure', </w:t>
      </w:r>
      <w:r w:rsidRPr="00EE3EE4">
        <w:rPr>
          <w:rFonts w:ascii="Times New Roman" w:eastAsiaTheme="minorEastAsia" w:hAnsi="Times New Roman" w:cs="Times New Roman"/>
          <w:i/>
          <w:sz w:val="24"/>
          <w:szCs w:val="24"/>
          <w:lang w:val="en-US"/>
        </w:rPr>
        <w:t>Journal of Finance</w:t>
      </w:r>
      <w:r w:rsidRPr="00D94EB8">
        <w:rPr>
          <w:rFonts w:ascii="Times New Roman" w:eastAsiaTheme="minorEastAsia" w:hAnsi="Times New Roman" w:cs="Times New Roman"/>
          <w:sz w:val="24"/>
          <w:szCs w:val="24"/>
          <w:lang w:val="en-US"/>
        </w:rPr>
        <w:t>, 64</w:t>
      </w:r>
      <w:r w:rsidR="00EE3EE4">
        <w:rPr>
          <w:rFonts w:ascii="Times New Roman" w:eastAsiaTheme="minorEastAsia" w:hAnsi="Times New Roman" w:cs="Times New Roman"/>
          <w:sz w:val="24"/>
          <w:szCs w:val="24"/>
          <w:lang w:val="en-US"/>
        </w:rPr>
        <w:t>(</w:t>
      </w:r>
      <w:r w:rsidRPr="00D94EB8">
        <w:rPr>
          <w:rFonts w:ascii="Times New Roman" w:eastAsiaTheme="minorEastAsia" w:hAnsi="Times New Roman" w:cs="Times New Roman"/>
          <w:sz w:val="24"/>
          <w:szCs w:val="24"/>
          <w:lang w:val="en-US"/>
        </w:rPr>
        <w:t>1</w:t>
      </w:r>
      <w:r w:rsidR="00EE3EE4">
        <w:rPr>
          <w:rFonts w:ascii="Times New Roman" w:eastAsiaTheme="minorEastAsia" w:hAnsi="Times New Roman" w:cs="Times New Roman"/>
          <w:sz w:val="24"/>
          <w:szCs w:val="24"/>
          <w:lang w:val="en-US"/>
        </w:rPr>
        <w:t>)</w:t>
      </w:r>
      <w:r w:rsidRPr="00D94EB8">
        <w:rPr>
          <w:rFonts w:ascii="Times New Roman" w:eastAsiaTheme="minorEastAsia" w:hAnsi="Times New Roman" w:cs="Times New Roman"/>
          <w:sz w:val="24"/>
          <w:szCs w:val="24"/>
          <w:lang w:val="en-US"/>
        </w:rPr>
        <w:t>, 231-261</w:t>
      </w:r>
    </w:p>
    <w:p w14:paraId="504DCC3E"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8061BE">
        <w:rPr>
          <w:rFonts w:ascii="Times New Roman" w:eastAsiaTheme="minorEastAsia" w:hAnsi="Times New Roman" w:cs="Times New Roman"/>
          <w:sz w:val="24"/>
          <w:szCs w:val="24"/>
          <w:lang w:val="en-US"/>
        </w:rPr>
        <w:t xml:space="preserve">Chung, K. H., &amp; Zhang, H. (2011). Corporate governance and institutional ownership. </w:t>
      </w:r>
      <w:r w:rsidRPr="00EE3EE4">
        <w:rPr>
          <w:rFonts w:ascii="Times New Roman" w:eastAsiaTheme="minorEastAsia" w:hAnsi="Times New Roman" w:cs="Times New Roman"/>
          <w:i/>
          <w:sz w:val="24"/>
          <w:szCs w:val="24"/>
          <w:lang w:val="en-US"/>
        </w:rPr>
        <w:t>Journal of Financial and Quantitative Analysis</w:t>
      </w:r>
      <w:r w:rsidRPr="008061BE">
        <w:rPr>
          <w:rFonts w:ascii="Times New Roman" w:eastAsiaTheme="minorEastAsia" w:hAnsi="Times New Roman" w:cs="Times New Roman"/>
          <w:sz w:val="24"/>
          <w:szCs w:val="24"/>
          <w:lang w:val="en-US"/>
        </w:rPr>
        <w:t>, 46(1), 247-273.</w:t>
      </w:r>
    </w:p>
    <w:p w14:paraId="53A1478E" w14:textId="1493100E"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94EB8">
        <w:rPr>
          <w:rFonts w:ascii="Times New Roman" w:eastAsiaTheme="minorEastAsia" w:hAnsi="Times New Roman" w:cs="Times New Roman"/>
          <w:sz w:val="24"/>
          <w:szCs w:val="24"/>
          <w:lang w:val="en-US"/>
        </w:rPr>
        <w:t xml:space="preserve">Coles, J.L., Daniel, N.D. &amp; Naveen, L. (2014). Co-opted boards, </w:t>
      </w:r>
      <w:r w:rsidRPr="00EE3EE4">
        <w:rPr>
          <w:rFonts w:ascii="Times New Roman" w:eastAsiaTheme="minorEastAsia" w:hAnsi="Times New Roman" w:cs="Times New Roman"/>
          <w:i/>
          <w:sz w:val="24"/>
          <w:szCs w:val="24"/>
          <w:lang w:val="en-US"/>
        </w:rPr>
        <w:t>Review of Financial Studies</w:t>
      </w:r>
      <w:r w:rsidRPr="00D94EB8">
        <w:rPr>
          <w:rFonts w:ascii="Times New Roman" w:eastAsiaTheme="minorEastAsia" w:hAnsi="Times New Roman" w:cs="Times New Roman"/>
          <w:sz w:val="24"/>
          <w:szCs w:val="24"/>
          <w:lang w:val="en-US"/>
        </w:rPr>
        <w:t>, 27</w:t>
      </w:r>
      <w:r w:rsidR="00EE3EE4">
        <w:rPr>
          <w:rFonts w:ascii="Times New Roman" w:eastAsiaTheme="minorEastAsia" w:hAnsi="Times New Roman" w:cs="Times New Roman"/>
          <w:sz w:val="24"/>
          <w:szCs w:val="24"/>
          <w:lang w:val="en-US"/>
        </w:rPr>
        <w:t>(</w:t>
      </w:r>
      <w:r w:rsidRPr="00D94EB8">
        <w:rPr>
          <w:rFonts w:ascii="Times New Roman" w:eastAsiaTheme="minorEastAsia" w:hAnsi="Times New Roman" w:cs="Times New Roman"/>
          <w:sz w:val="24"/>
          <w:szCs w:val="24"/>
          <w:lang w:val="en-US"/>
        </w:rPr>
        <w:t>6</w:t>
      </w:r>
      <w:r w:rsidR="00EE3EE4">
        <w:rPr>
          <w:rFonts w:ascii="Times New Roman" w:eastAsiaTheme="minorEastAsia" w:hAnsi="Times New Roman" w:cs="Times New Roman"/>
          <w:sz w:val="24"/>
          <w:szCs w:val="24"/>
          <w:lang w:val="en-US"/>
        </w:rPr>
        <w:t>),</w:t>
      </w:r>
      <w:r w:rsidRPr="00D94EB8">
        <w:rPr>
          <w:rFonts w:ascii="Times New Roman" w:eastAsiaTheme="minorEastAsia" w:hAnsi="Times New Roman" w:cs="Times New Roman"/>
          <w:sz w:val="24"/>
          <w:szCs w:val="24"/>
          <w:lang w:val="en-US"/>
        </w:rPr>
        <w:t xml:space="preserve"> 1751-1796.</w:t>
      </w:r>
    </w:p>
    <w:p w14:paraId="6D42F50A" w14:textId="6788A7A3"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94EB8">
        <w:rPr>
          <w:rFonts w:ascii="Times New Roman" w:eastAsiaTheme="minorEastAsia" w:hAnsi="Times New Roman" w:cs="Times New Roman"/>
          <w:sz w:val="24"/>
          <w:szCs w:val="24"/>
          <w:lang w:val="en-US"/>
        </w:rPr>
        <w:t xml:space="preserve">Coles, J.L., Daniel, N.D. and Naveen, L. (2006). Managerial incentives and risk-taking, </w:t>
      </w:r>
      <w:r w:rsidRPr="00EE3EE4">
        <w:rPr>
          <w:rFonts w:ascii="Times New Roman" w:eastAsiaTheme="minorEastAsia" w:hAnsi="Times New Roman" w:cs="Times New Roman"/>
          <w:i/>
          <w:sz w:val="24"/>
          <w:szCs w:val="24"/>
          <w:lang w:val="en-US"/>
        </w:rPr>
        <w:t>Journal of Financial Economics</w:t>
      </w:r>
      <w:r w:rsidRPr="00D94EB8">
        <w:rPr>
          <w:rFonts w:ascii="Times New Roman" w:eastAsiaTheme="minorEastAsia" w:hAnsi="Times New Roman" w:cs="Times New Roman"/>
          <w:sz w:val="24"/>
          <w:szCs w:val="24"/>
          <w:lang w:val="en-US"/>
        </w:rPr>
        <w:t>, 79</w:t>
      </w:r>
      <w:r w:rsidR="00EE3EE4">
        <w:rPr>
          <w:rFonts w:ascii="Times New Roman" w:eastAsiaTheme="minorEastAsia" w:hAnsi="Times New Roman" w:cs="Times New Roman"/>
          <w:sz w:val="24"/>
          <w:szCs w:val="24"/>
          <w:lang w:val="en-US"/>
        </w:rPr>
        <w:t>(</w:t>
      </w:r>
      <w:r w:rsidRPr="00D94EB8">
        <w:rPr>
          <w:rFonts w:ascii="Times New Roman" w:eastAsiaTheme="minorEastAsia" w:hAnsi="Times New Roman" w:cs="Times New Roman"/>
          <w:sz w:val="24"/>
          <w:szCs w:val="24"/>
          <w:lang w:val="en-US"/>
        </w:rPr>
        <w:t>2</w:t>
      </w:r>
      <w:r w:rsidR="00EE3EE4">
        <w:rPr>
          <w:rFonts w:ascii="Times New Roman" w:eastAsiaTheme="minorEastAsia" w:hAnsi="Times New Roman" w:cs="Times New Roman"/>
          <w:sz w:val="24"/>
          <w:szCs w:val="24"/>
          <w:lang w:val="en-US"/>
        </w:rPr>
        <w:t>),</w:t>
      </w:r>
      <w:r w:rsidRPr="00D94EB8">
        <w:rPr>
          <w:rFonts w:ascii="Times New Roman" w:eastAsiaTheme="minorEastAsia" w:hAnsi="Times New Roman" w:cs="Times New Roman"/>
          <w:sz w:val="24"/>
          <w:szCs w:val="24"/>
          <w:lang w:val="en-US"/>
        </w:rPr>
        <w:t xml:space="preserve"> 431-468. </w:t>
      </w:r>
    </w:p>
    <w:p w14:paraId="3CBF7466"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E319B9">
        <w:rPr>
          <w:rFonts w:ascii="Times New Roman" w:eastAsiaTheme="minorEastAsia" w:hAnsi="Times New Roman" w:cs="Times New Roman"/>
          <w:sz w:val="24"/>
          <w:szCs w:val="24"/>
          <w:lang w:val="en-US"/>
        </w:rPr>
        <w:t xml:space="preserve">Connelly, B. L., </w:t>
      </w:r>
      <w:proofErr w:type="spellStart"/>
      <w:r w:rsidRPr="00E319B9">
        <w:rPr>
          <w:rFonts w:ascii="Times New Roman" w:eastAsiaTheme="minorEastAsia" w:hAnsi="Times New Roman" w:cs="Times New Roman"/>
          <w:sz w:val="24"/>
          <w:szCs w:val="24"/>
          <w:lang w:val="en-US"/>
        </w:rPr>
        <w:t>Tihanyi</w:t>
      </w:r>
      <w:proofErr w:type="spellEnd"/>
      <w:r w:rsidRPr="00E319B9">
        <w:rPr>
          <w:rFonts w:ascii="Times New Roman" w:eastAsiaTheme="minorEastAsia" w:hAnsi="Times New Roman" w:cs="Times New Roman"/>
          <w:sz w:val="24"/>
          <w:szCs w:val="24"/>
          <w:lang w:val="en-US"/>
        </w:rPr>
        <w:t xml:space="preserve">, L., Crook, T. R., &amp; </w:t>
      </w:r>
      <w:proofErr w:type="spellStart"/>
      <w:r w:rsidRPr="00E319B9">
        <w:rPr>
          <w:rFonts w:ascii="Times New Roman" w:eastAsiaTheme="minorEastAsia" w:hAnsi="Times New Roman" w:cs="Times New Roman"/>
          <w:sz w:val="24"/>
          <w:szCs w:val="24"/>
          <w:lang w:val="en-US"/>
        </w:rPr>
        <w:t>Gangloff</w:t>
      </w:r>
      <w:proofErr w:type="spellEnd"/>
      <w:r w:rsidRPr="00E319B9">
        <w:rPr>
          <w:rFonts w:ascii="Times New Roman" w:eastAsiaTheme="minorEastAsia" w:hAnsi="Times New Roman" w:cs="Times New Roman"/>
          <w:sz w:val="24"/>
          <w:szCs w:val="24"/>
          <w:lang w:val="en-US"/>
        </w:rPr>
        <w:t xml:space="preserve">, K. A. (2014). Tournament theory: Thirty years of contests and competitions. </w:t>
      </w:r>
      <w:r w:rsidRPr="00EE3EE4">
        <w:rPr>
          <w:rFonts w:ascii="Times New Roman" w:eastAsiaTheme="minorEastAsia" w:hAnsi="Times New Roman" w:cs="Times New Roman"/>
          <w:i/>
          <w:sz w:val="24"/>
          <w:szCs w:val="24"/>
          <w:lang w:val="en-US"/>
        </w:rPr>
        <w:t>Journal of Management</w:t>
      </w:r>
      <w:r w:rsidRPr="00E319B9">
        <w:rPr>
          <w:rFonts w:ascii="Times New Roman" w:eastAsiaTheme="minorEastAsia" w:hAnsi="Times New Roman" w:cs="Times New Roman"/>
          <w:sz w:val="24"/>
          <w:szCs w:val="24"/>
          <w:lang w:val="en-US"/>
        </w:rPr>
        <w:t>, 40(1), 16-47.</w:t>
      </w:r>
    </w:p>
    <w:p w14:paraId="17E138F6"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lastRenderedPageBreak/>
        <w:t>Conyon</w:t>
      </w:r>
      <w:proofErr w:type="spellEnd"/>
      <w:r w:rsidRPr="00AA38B5">
        <w:rPr>
          <w:rFonts w:ascii="Times New Roman" w:eastAsiaTheme="minorEastAsia" w:hAnsi="Times New Roman" w:cs="Times New Roman"/>
          <w:sz w:val="24"/>
          <w:szCs w:val="24"/>
          <w:lang w:val="en-US"/>
        </w:rPr>
        <w:t xml:space="preserve">, M., Peck, S. </w:t>
      </w:r>
      <w:r w:rsidRPr="00AA38B5">
        <w:rPr>
          <w:rFonts w:ascii="Times New Roman" w:eastAsiaTheme="minorEastAsia" w:hAnsi="Times New Roman" w:cs="Times New Roman"/>
          <w:noProof/>
          <w:sz w:val="24"/>
          <w:szCs w:val="24"/>
          <w:lang w:val="en-US"/>
        </w:rPr>
        <w:t>and</w:t>
      </w:r>
      <w:r w:rsidRPr="00AA38B5">
        <w:rPr>
          <w:rFonts w:ascii="Times New Roman" w:eastAsiaTheme="minorEastAsia" w:hAnsi="Times New Roman" w:cs="Times New Roman"/>
          <w:sz w:val="24"/>
          <w:szCs w:val="24"/>
          <w:lang w:val="en-US"/>
        </w:rPr>
        <w:t xml:space="preserve"> G. Sadler. (2001). </w:t>
      </w:r>
      <w:proofErr w:type="gramStart"/>
      <w:r w:rsidRPr="00AA38B5">
        <w:rPr>
          <w:rFonts w:ascii="Times New Roman" w:eastAsiaTheme="minorEastAsia" w:hAnsi="Times New Roman" w:cs="Times New Roman"/>
          <w:sz w:val="24"/>
          <w:szCs w:val="24"/>
          <w:lang w:val="en-US"/>
        </w:rPr>
        <w:t>Corporate</w:t>
      </w:r>
      <w:proofErr w:type="gramEnd"/>
      <w:r w:rsidRPr="00AA38B5">
        <w:rPr>
          <w:rFonts w:ascii="Times New Roman" w:eastAsiaTheme="minorEastAsia" w:hAnsi="Times New Roman" w:cs="Times New Roman"/>
          <w:sz w:val="24"/>
          <w:szCs w:val="24"/>
          <w:lang w:val="en-US"/>
        </w:rPr>
        <w:t xml:space="preserve"> tournaments and executive compensation: Evidence from the U.K. </w:t>
      </w:r>
      <w:r w:rsidRPr="00EE3EE4">
        <w:rPr>
          <w:rFonts w:ascii="Times New Roman" w:eastAsiaTheme="minorEastAsia" w:hAnsi="Times New Roman" w:cs="Times New Roman"/>
          <w:i/>
          <w:sz w:val="24"/>
          <w:szCs w:val="24"/>
          <w:lang w:val="en-US"/>
        </w:rPr>
        <w:t>Strategic Management Journal</w:t>
      </w:r>
      <w:r w:rsidRPr="00AA38B5">
        <w:rPr>
          <w:rFonts w:ascii="Times New Roman" w:eastAsiaTheme="minorEastAsia" w:hAnsi="Times New Roman" w:cs="Times New Roman"/>
          <w:sz w:val="24"/>
          <w:szCs w:val="24"/>
          <w:lang w:val="en-US"/>
        </w:rPr>
        <w:t>, 22, 805-815.</w:t>
      </w:r>
    </w:p>
    <w:p w14:paraId="3652E8EB"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Cremers</w:t>
      </w:r>
      <w:proofErr w:type="spellEnd"/>
      <w:r w:rsidRPr="00AA38B5">
        <w:rPr>
          <w:rFonts w:ascii="Times New Roman" w:eastAsiaTheme="minorEastAsia" w:hAnsi="Times New Roman" w:cs="Times New Roman"/>
          <w:sz w:val="24"/>
          <w:szCs w:val="24"/>
          <w:lang w:val="en-US"/>
        </w:rPr>
        <w:t xml:space="preserve">, M. and </w:t>
      </w:r>
      <w:proofErr w:type="spellStart"/>
      <w:r w:rsidRPr="00AA38B5">
        <w:rPr>
          <w:rFonts w:ascii="Times New Roman" w:eastAsiaTheme="minorEastAsia" w:hAnsi="Times New Roman" w:cs="Times New Roman"/>
          <w:sz w:val="24"/>
          <w:szCs w:val="24"/>
          <w:lang w:val="en-US"/>
        </w:rPr>
        <w:t>Palia</w:t>
      </w:r>
      <w:proofErr w:type="spellEnd"/>
      <w:r w:rsidRPr="00AA38B5">
        <w:rPr>
          <w:rFonts w:ascii="Times New Roman" w:eastAsiaTheme="minorEastAsia" w:hAnsi="Times New Roman" w:cs="Times New Roman"/>
          <w:sz w:val="24"/>
          <w:szCs w:val="24"/>
          <w:lang w:val="en-US"/>
        </w:rPr>
        <w:t xml:space="preserve">, D. (2011). Tenure and CEO </w:t>
      </w:r>
      <w:proofErr w:type="gramStart"/>
      <w:r w:rsidRPr="00AA38B5">
        <w:rPr>
          <w:rFonts w:ascii="Times New Roman" w:eastAsiaTheme="minorEastAsia" w:hAnsi="Times New Roman" w:cs="Times New Roman"/>
          <w:sz w:val="24"/>
          <w:szCs w:val="24"/>
          <w:lang w:val="en-US"/>
        </w:rPr>
        <w:t>pay,</w:t>
      </w:r>
      <w:proofErr w:type="gramEnd"/>
      <w:r w:rsidRPr="00AA38B5">
        <w:rPr>
          <w:rFonts w:ascii="Times New Roman" w:eastAsiaTheme="minorEastAsia" w:hAnsi="Times New Roman" w:cs="Times New Roman"/>
          <w:sz w:val="24"/>
          <w:szCs w:val="24"/>
          <w:lang w:val="en-US"/>
        </w:rPr>
        <w:t xml:space="preserve"> &lt;http://depot.som.yale.edu/icf/papers/fileuploads/2701/original/2011_ICF_WPS_Tenure_and_CEO_Pay_Cremers.pdf&gt;</w:t>
      </w:r>
    </w:p>
    <w:p w14:paraId="25BE5803" w14:textId="71ED576F"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Dechow</w:t>
      </w:r>
      <w:proofErr w:type="spellEnd"/>
      <w:r w:rsidRPr="00AA38B5">
        <w:rPr>
          <w:rFonts w:ascii="Times New Roman" w:eastAsiaTheme="minorEastAsia" w:hAnsi="Times New Roman" w:cs="Times New Roman"/>
          <w:sz w:val="24"/>
          <w:szCs w:val="24"/>
          <w:lang w:val="en-US"/>
        </w:rPr>
        <w:t xml:space="preserve">, P.M., Sloan, R.G. and Sweeney, A.P. (1995). Detecting Earnings Management, </w:t>
      </w:r>
      <w:r w:rsidRPr="00EE3EE4">
        <w:rPr>
          <w:rFonts w:ascii="Times New Roman" w:eastAsiaTheme="minorEastAsia" w:hAnsi="Times New Roman" w:cs="Times New Roman"/>
          <w:i/>
          <w:sz w:val="24"/>
          <w:szCs w:val="24"/>
          <w:lang w:val="en-US"/>
        </w:rPr>
        <w:t>Accounting Review</w:t>
      </w:r>
      <w:r w:rsidR="00EE3EE4">
        <w:rPr>
          <w:rFonts w:ascii="Times New Roman" w:eastAsiaTheme="minorEastAsia" w:hAnsi="Times New Roman" w:cs="Times New Roman"/>
          <w:sz w:val="24"/>
          <w:szCs w:val="24"/>
          <w:lang w:val="en-US"/>
        </w:rPr>
        <w:t>,</w:t>
      </w:r>
      <w:r w:rsidRPr="00EE3EE4">
        <w:rPr>
          <w:rFonts w:ascii="Times New Roman" w:eastAsiaTheme="minorEastAsia" w:hAnsi="Times New Roman" w:cs="Times New Roman"/>
          <w:sz w:val="24"/>
          <w:szCs w:val="24"/>
          <w:lang w:val="en-US"/>
        </w:rPr>
        <w:t xml:space="preserve"> </w:t>
      </w:r>
      <w:r w:rsidRPr="00AA38B5">
        <w:rPr>
          <w:rFonts w:ascii="Times New Roman" w:eastAsiaTheme="minorEastAsia" w:hAnsi="Times New Roman" w:cs="Times New Roman"/>
          <w:sz w:val="24"/>
          <w:szCs w:val="24"/>
          <w:lang w:val="en-US"/>
        </w:rPr>
        <w:t>70</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2</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 193-225</w:t>
      </w:r>
    </w:p>
    <w:p w14:paraId="1243405D"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FC7875">
        <w:rPr>
          <w:rFonts w:ascii="Times New Roman" w:eastAsiaTheme="minorEastAsia" w:hAnsi="Times New Roman" w:cs="Times New Roman"/>
          <w:sz w:val="24"/>
          <w:szCs w:val="24"/>
          <w:lang w:val="en-US"/>
        </w:rPr>
        <w:t>DiPrete</w:t>
      </w:r>
      <w:proofErr w:type="spellEnd"/>
      <w:r w:rsidRPr="00FC7875">
        <w:rPr>
          <w:rFonts w:ascii="Times New Roman" w:eastAsiaTheme="minorEastAsia" w:hAnsi="Times New Roman" w:cs="Times New Roman"/>
          <w:sz w:val="24"/>
          <w:szCs w:val="24"/>
          <w:lang w:val="en-US"/>
        </w:rPr>
        <w:t xml:space="preserve">, T. A., </w:t>
      </w:r>
      <w:proofErr w:type="spellStart"/>
      <w:r w:rsidRPr="00FC7875">
        <w:rPr>
          <w:rFonts w:ascii="Times New Roman" w:eastAsiaTheme="minorEastAsia" w:hAnsi="Times New Roman" w:cs="Times New Roman"/>
          <w:sz w:val="24"/>
          <w:szCs w:val="24"/>
          <w:lang w:val="en-US"/>
        </w:rPr>
        <w:t>Eirich</w:t>
      </w:r>
      <w:proofErr w:type="spellEnd"/>
      <w:r w:rsidRPr="00FC7875">
        <w:rPr>
          <w:rFonts w:ascii="Times New Roman" w:eastAsiaTheme="minorEastAsia" w:hAnsi="Times New Roman" w:cs="Times New Roman"/>
          <w:sz w:val="24"/>
          <w:szCs w:val="24"/>
          <w:lang w:val="en-US"/>
        </w:rPr>
        <w:t xml:space="preserve">, G. M., &amp; </w:t>
      </w:r>
      <w:proofErr w:type="spellStart"/>
      <w:r w:rsidRPr="00FC7875">
        <w:rPr>
          <w:rFonts w:ascii="Times New Roman" w:eastAsiaTheme="minorEastAsia" w:hAnsi="Times New Roman" w:cs="Times New Roman"/>
          <w:sz w:val="24"/>
          <w:szCs w:val="24"/>
          <w:lang w:val="en-US"/>
        </w:rPr>
        <w:t>Pittinsky</w:t>
      </w:r>
      <w:proofErr w:type="spellEnd"/>
      <w:r w:rsidRPr="00FC7875">
        <w:rPr>
          <w:rFonts w:ascii="Times New Roman" w:eastAsiaTheme="minorEastAsia" w:hAnsi="Times New Roman" w:cs="Times New Roman"/>
          <w:sz w:val="24"/>
          <w:szCs w:val="24"/>
          <w:lang w:val="en-US"/>
        </w:rPr>
        <w:t xml:space="preserve">, M. (2010). Compensation benchmarking, leapfrogs, and the surge in executive pay. </w:t>
      </w:r>
      <w:r w:rsidRPr="00EE3EE4">
        <w:rPr>
          <w:rFonts w:ascii="Times New Roman" w:eastAsiaTheme="minorEastAsia" w:hAnsi="Times New Roman" w:cs="Times New Roman"/>
          <w:i/>
          <w:sz w:val="24"/>
          <w:szCs w:val="24"/>
          <w:lang w:val="en-US"/>
        </w:rPr>
        <w:t>American Journal of Sociology</w:t>
      </w:r>
      <w:r w:rsidRPr="00FC7875">
        <w:rPr>
          <w:rFonts w:ascii="Times New Roman" w:eastAsiaTheme="minorEastAsia" w:hAnsi="Times New Roman" w:cs="Times New Roman"/>
          <w:sz w:val="24"/>
          <w:szCs w:val="24"/>
          <w:lang w:val="en-US"/>
        </w:rPr>
        <w:t>, 115(6), 1671-1712.</w:t>
      </w:r>
    </w:p>
    <w:p w14:paraId="3908D806" w14:textId="0D8129DA"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370B01">
        <w:rPr>
          <w:rFonts w:ascii="Times New Roman" w:eastAsiaTheme="minorEastAsia" w:hAnsi="Times New Roman" w:cs="Times New Roman"/>
          <w:sz w:val="24"/>
          <w:szCs w:val="24"/>
          <w:lang w:val="en-US"/>
        </w:rPr>
        <w:t xml:space="preserve">Edmans, A. (2014). </w:t>
      </w:r>
      <w:proofErr w:type="spellStart"/>
      <w:r w:rsidRPr="00370B01">
        <w:rPr>
          <w:rFonts w:ascii="Times New Roman" w:eastAsiaTheme="minorEastAsia" w:hAnsi="Times New Roman" w:cs="Times New Roman"/>
          <w:sz w:val="24"/>
          <w:szCs w:val="24"/>
          <w:lang w:val="en-US"/>
        </w:rPr>
        <w:t>Blockholders</w:t>
      </w:r>
      <w:proofErr w:type="spellEnd"/>
      <w:r w:rsidRPr="00370B01">
        <w:rPr>
          <w:rFonts w:ascii="Times New Roman" w:eastAsiaTheme="minorEastAsia" w:hAnsi="Times New Roman" w:cs="Times New Roman"/>
          <w:sz w:val="24"/>
          <w:szCs w:val="24"/>
          <w:lang w:val="en-US"/>
        </w:rPr>
        <w:t xml:space="preserve"> and corporate governance. </w:t>
      </w:r>
      <w:r w:rsidRPr="00EE3EE4">
        <w:rPr>
          <w:rFonts w:ascii="Times New Roman" w:eastAsiaTheme="minorEastAsia" w:hAnsi="Times New Roman" w:cs="Times New Roman"/>
          <w:i/>
          <w:sz w:val="24"/>
          <w:szCs w:val="24"/>
          <w:lang w:val="en-US"/>
        </w:rPr>
        <w:t>Annu</w:t>
      </w:r>
      <w:r w:rsidR="00EE3EE4" w:rsidRPr="00EE3EE4">
        <w:rPr>
          <w:rFonts w:ascii="Times New Roman" w:eastAsiaTheme="minorEastAsia" w:hAnsi="Times New Roman" w:cs="Times New Roman"/>
          <w:i/>
          <w:sz w:val="24"/>
          <w:szCs w:val="24"/>
          <w:lang w:val="en-US"/>
        </w:rPr>
        <w:t>al</w:t>
      </w:r>
      <w:r w:rsidRPr="00EE3EE4">
        <w:rPr>
          <w:rFonts w:ascii="Times New Roman" w:eastAsiaTheme="minorEastAsia" w:hAnsi="Times New Roman" w:cs="Times New Roman"/>
          <w:i/>
          <w:sz w:val="24"/>
          <w:szCs w:val="24"/>
          <w:lang w:val="en-US"/>
        </w:rPr>
        <w:t xml:space="preserve"> Rev</w:t>
      </w:r>
      <w:r w:rsidR="00EE3EE4" w:rsidRPr="00EE3EE4">
        <w:rPr>
          <w:rFonts w:ascii="Times New Roman" w:eastAsiaTheme="minorEastAsia" w:hAnsi="Times New Roman" w:cs="Times New Roman"/>
          <w:i/>
          <w:sz w:val="24"/>
          <w:szCs w:val="24"/>
          <w:lang w:val="en-US"/>
        </w:rPr>
        <w:t>iew of</w:t>
      </w:r>
      <w:r w:rsidRPr="00EE3EE4">
        <w:rPr>
          <w:rFonts w:ascii="Times New Roman" w:eastAsiaTheme="minorEastAsia" w:hAnsi="Times New Roman" w:cs="Times New Roman"/>
          <w:i/>
          <w:sz w:val="24"/>
          <w:szCs w:val="24"/>
          <w:lang w:val="en-US"/>
        </w:rPr>
        <w:t xml:space="preserve"> Financ</w:t>
      </w:r>
      <w:r w:rsidR="00EE3EE4" w:rsidRPr="00EE3EE4">
        <w:rPr>
          <w:rFonts w:ascii="Times New Roman" w:eastAsiaTheme="minorEastAsia" w:hAnsi="Times New Roman" w:cs="Times New Roman"/>
          <w:i/>
          <w:sz w:val="24"/>
          <w:szCs w:val="24"/>
          <w:lang w:val="en-US"/>
        </w:rPr>
        <w:t>ial</w:t>
      </w:r>
      <w:r w:rsidRPr="00EE3EE4">
        <w:rPr>
          <w:rFonts w:ascii="Times New Roman" w:eastAsiaTheme="minorEastAsia" w:hAnsi="Times New Roman" w:cs="Times New Roman"/>
          <w:i/>
          <w:sz w:val="24"/>
          <w:szCs w:val="24"/>
          <w:lang w:val="en-US"/>
        </w:rPr>
        <w:t xml:space="preserve"> Econ</w:t>
      </w:r>
      <w:r w:rsidR="00EE3EE4" w:rsidRPr="00EE3EE4">
        <w:rPr>
          <w:rFonts w:ascii="Times New Roman" w:eastAsiaTheme="minorEastAsia" w:hAnsi="Times New Roman" w:cs="Times New Roman"/>
          <w:i/>
          <w:sz w:val="24"/>
          <w:szCs w:val="24"/>
          <w:lang w:val="en-US"/>
        </w:rPr>
        <w:t>omics</w:t>
      </w:r>
      <w:r w:rsidRPr="00370B01">
        <w:rPr>
          <w:rFonts w:ascii="Times New Roman" w:eastAsiaTheme="minorEastAsia" w:hAnsi="Times New Roman" w:cs="Times New Roman"/>
          <w:sz w:val="24"/>
          <w:szCs w:val="24"/>
          <w:lang w:val="en-US"/>
        </w:rPr>
        <w:t>, 6(1), 23-50.</w:t>
      </w:r>
    </w:p>
    <w:p w14:paraId="2354266A" w14:textId="5DBC251B"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AA38B5">
        <w:rPr>
          <w:rFonts w:ascii="Times New Roman" w:eastAsiaTheme="minorEastAsia" w:hAnsi="Times New Roman" w:cs="Times New Roman"/>
          <w:sz w:val="24"/>
          <w:szCs w:val="24"/>
          <w:lang w:val="en-US"/>
        </w:rPr>
        <w:t xml:space="preserve">Fang, V., T. </w:t>
      </w:r>
      <w:proofErr w:type="spellStart"/>
      <w:r w:rsidRPr="00AA38B5">
        <w:rPr>
          <w:rFonts w:ascii="Times New Roman" w:eastAsiaTheme="minorEastAsia" w:hAnsi="Times New Roman" w:cs="Times New Roman"/>
          <w:sz w:val="24"/>
          <w:szCs w:val="24"/>
          <w:lang w:val="en-US"/>
        </w:rPr>
        <w:t>Noe</w:t>
      </w:r>
      <w:proofErr w:type="spellEnd"/>
      <w:r w:rsidRPr="00AA38B5">
        <w:rPr>
          <w:rFonts w:ascii="Times New Roman" w:eastAsiaTheme="minorEastAsia" w:hAnsi="Times New Roman" w:cs="Times New Roman"/>
          <w:sz w:val="24"/>
          <w:szCs w:val="24"/>
          <w:lang w:val="en-US"/>
        </w:rPr>
        <w:t xml:space="preserve"> and S. Tice (2009). Stock market liquidity and firm value. </w:t>
      </w:r>
      <w:r w:rsidRPr="00EE3EE4">
        <w:rPr>
          <w:rFonts w:ascii="Times New Roman" w:eastAsiaTheme="minorEastAsia" w:hAnsi="Times New Roman" w:cs="Times New Roman"/>
          <w:i/>
          <w:sz w:val="24"/>
          <w:szCs w:val="24"/>
          <w:lang w:val="en-US"/>
        </w:rPr>
        <w:t>Journal of Financial Economics</w:t>
      </w:r>
      <w:r w:rsidRPr="00AA38B5">
        <w:rPr>
          <w:rFonts w:ascii="Times New Roman" w:eastAsiaTheme="minorEastAsia" w:hAnsi="Times New Roman" w:cs="Times New Roman"/>
          <w:sz w:val="24"/>
          <w:szCs w:val="24"/>
          <w:lang w:val="en-US"/>
        </w:rPr>
        <w:t>, 94(1): 150-169.</w:t>
      </w:r>
    </w:p>
    <w:p w14:paraId="6E5267E1"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AA38B5">
        <w:rPr>
          <w:rFonts w:ascii="Times New Roman" w:eastAsiaTheme="minorEastAsia" w:hAnsi="Times New Roman" w:cs="Times New Roman"/>
          <w:sz w:val="24"/>
          <w:szCs w:val="24"/>
          <w:lang w:val="en-US"/>
        </w:rPr>
        <w:t xml:space="preserve">Gibbons, R., and M. Waldman. (1999). Careers in organizations: Theory and evidence. In: Handbook of Labor Economics, Vol. 3a, (eds.) O. </w:t>
      </w:r>
      <w:proofErr w:type="spellStart"/>
      <w:r w:rsidRPr="00AA38B5">
        <w:rPr>
          <w:rFonts w:ascii="Times New Roman" w:eastAsiaTheme="minorEastAsia" w:hAnsi="Times New Roman" w:cs="Times New Roman"/>
          <w:sz w:val="24"/>
          <w:szCs w:val="24"/>
          <w:lang w:val="en-US"/>
        </w:rPr>
        <w:t>Ashenfelter</w:t>
      </w:r>
      <w:proofErr w:type="spellEnd"/>
      <w:r w:rsidRPr="00AA38B5">
        <w:rPr>
          <w:rFonts w:ascii="Times New Roman" w:eastAsiaTheme="minorEastAsia" w:hAnsi="Times New Roman" w:cs="Times New Roman"/>
          <w:sz w:val="24"/>
          <w:szCs w:val="24"/>
          <w:lang w:val="en-US"/>
        </w:rPr>
        <w:t xml:space="preserve"> and D. Card, </w:t>
      </w:r>
      <w:proofErr w:type="gramStart"/>
      <w:r w:rsidRPr="00AA38B5">
        <w:rPr>
          <w:rFonts w:ascii="Times New Roman" w:eastAsiaTheme="minorEastAsia" w:hAnsi="Times New Roman" w:cs="Times New Roman"/>
          <w:sz w:val="24"/>
          <w:szCs w:val="24"/>
          <w:lang w:val="en-US"/>
        </w:rPr>
        <w:t>2384</w:t>
      </w:r>
      <w:proofErr w:type="gramEnd"/>
      <w:r w:rsidRPr="00AA38B5">
        <w:rPr>
          <w:rFonts w:ascii="Times New Roman" w:eastAsiaTheme="minorEastAsia" w:hAnsi="Times New Roman" w:cs="Times New Roman"/>
          <w:sz w:val="24"/>
          <w:szCs w:val="24"/>
          <w:lang w:val="en-US"/>
        </w:rPr>
        <w:t>-2420. Amsterdam: Elsevier.</w:t>
      </w:r>
    </w:p>
    <w:p w14:paraId="6A68057E" w14:textId="32309EFA"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45A53">
        <w:rPr>
          <w:rFonts w:ascii="Times New Roman" w:eastAsiaTheme="minorEastAsia" w:hAnsi="Times New Roman" w:cs="Times New Roman"/>
          <w:sz w:val="24"/>
          <w:szCs w:val="24"/>
          <w:lang w:val="en-US"/>
        </w:rPr>
        <w:t xml:space="preserve">Gompers, P. A., &amp; </w:t>
      </w:r>
      <w:proofErr w:type="spellStart"/>
      <w:r w:rsidRPr="00D45A53">
        <w:rPr>
          <w:rFonts w:ascii="Times New Roman" w:eastAsiaTheme="minorEastAsia" w:hAnsi="Times New Roman" w:cs="Times New Roman"/>
          <w:sz w:val="24"/>
          <w:szCs w:val="24"/>
          <w:lang w:val="en-US"/>
        </w:rPr>
        <w:t>Metrick</w:t>
      </w:r>
      <w:proofErr w:type="spellEnd"/>
      <w:r w:rsidRPr="00D45A53">
        <w:rPr>
          <w:rFonts w:ascii="Times New Roman" w:eastAsiaTheme="minorEastAsia" w:hAnsi="Times New Roman" w:cs="Times New Roman"/>
          <w:sz w:val="24"/>
          <w:szCs w:val="24"/>
          <w:lang w:val="en-US"/>
        </w:rPr>
        <w:t xml:space="preserve">, A. (2001). Institutional investors and equity prices. </w:t>
      </w:r>
      <w:r w:rsidRPr="00EE3EE4">
        <w:rPr>
          <w:rFonts w:ascii="Times New Roman" w:eastAsiaTheme="minorEastAsia" w:hAnsi="Times New Roman" w:cs="Times New Roman"/>
          <w:i/>
          <w:sz w:val="24"/>
          <w:szCs w:val="24"/>
          <w:lang w:val="en-US"/>
        </w:rPr>
        <w:t xml:space="preserve">The </w:t>
      </w:r>
      <w:r w:rsidR="00EE3EE4">
        <w:rPr>
          <w:rFonts w:ascii="Times New Roman" w:eastAsiaTheme="minorEastAsia" w:hAnsi="Times New Roman" w:cs="Times New Roman"/>
          <w:i/>
          <w:sz w:val="24"/>
          <w:szCs w:val="24"/>
          <w:lang w:val="en-US"/>
        </w:rPr>
        <w:t>Q</w:t>
      </w:r>
      <w:r w:rsidRPr="00EE3EE4">
        <w:rPr>
          <w:rFonts w:ascii="Times New Roman" w:eastAsiaTheme="minorEastAsia" w:hAnsi="Times New Roman" w:cs="Times New Roman"/>
          <w:i/>
          <w:sz w:val="24"/>
          <w:szCs w:val="24"/>
          <w:lang w:val="en-US"/>
        </w:rPr>
        <w:t xml:space="preserve">uarterly </w:t>
      </w:r>
      <w:r w:rsidR="00EE3EE4">
        <w:rPr>
          <w:rFonts w:ascii="Times New Roman" w:eastAsiaTheme="minorEastAsia" w:hAnsi="Times New Roman" w:cs="Times New Roman"/>
          <w:i/>
          <w:sz w:val="24"/>
          <w:szCs w:val="24"/>
          <w:lang w:val="en-US"/>
        </w:rPr>
        <w:t>J</w:t>
      </w:r>
      <w:r w:rsidRPr="00EE3EE4">
        <w:rPr>
          <w:rFonts w:ascii="Times New Roman" w:eastAsiaTheme="minorEastAsia" w:hAnsi="Times New Roman" w:cs="Times New Roman"/>
          <w:i/>
          <w:sz w:val="24"/>
          <w:szCs w:val="24"/>
          <w:lang w:val="en-US"/>
        </w:rPr>
        <w:t>ournal of Economics</w:t>
      </w:r>
      <w:r w:rsidRPr="00D45A53">
        <w:rPr>
          <w:rFonts w:ascii="Times New Roman" w:eastAsiaTheme="minorEastAsia" w:hAnsi="Times New Roman" w:cs="Times New Roman"/>
          <w:sz w:val="24"/>
          <w:szCs w:val="24"/>
          <w:lang w:val="en-US"/>
        </w:rPr>
        <w:t>, 116(1), 229-259.</w:t>
      </w:r>
    </w:p>
    <w:p w14:paraId="33A79C33"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8061BE">
        <w:rPr>
          <w:rFonts w:ascii="Times New Roman" w:eastAsiaTheme="minorEastAsia" w:hAnsi="Times New Roman" w:cs="Times New Roman"/>
          <w:sz w:val="24"/>
          <w:szCs w:val="24"/>
          <w:lang w:val="en-US"/>
        </w:rPr>
        <w:t>Grullon</w:t>
      </w:r>
      <w:proofErr w:type="spellEnd"/>
      <w:r w:rsidRPr="008061BE">
        <w:rPr>
          <w:rFonts w:ascii="Times New Roman" w:eastAsiaTheme="minorEastAsia" w:hAnsi="Times New Roman" w:cs="Times New Roman"/>
          <w:sz w:val="24"/>
          <w:szCs w:val="24"/>
          <w:lang w:val="en-US"/>
        </w:rPr>
        <w:t xml:space="preserve">, G., </w:t>
      </w:r>
      <w:proofErr w:type="spellStart"/>
      <w:r w:rsidRPr="008061BE">
        <w:rPr>
          <w:rFonts w:ascii="Times New Roman" w:eastAsiaTheme="minorEastAsia" w:hAnsi="Times New Roman" w:cs="Times New Roman"/>
          <w:sz w:val="24"/>
          <w:szCs w:val="24"/>
          <w:lang w:val="en-US"/>
        </w:rPr>
        <w:t>Kanatas</w:t>
      </w:r>
      <w:proofErr w:type="spellEnd"/>
      <w:r w:rsidRPr="008061BE">
        <w:rPr>
          <w:rFonts w:ascii="Times New Roman" w:eastAsiaTheme="minorEastAsia" w:hAnsi="Times New Roman" w:cs="Times New Roman"/>
          <w:sz w:val="24"/>
          <w:szCs w:val="24"/>
          <w:lang w:val="en-US"/>
        </w:rPr>
        <w:t xml:space="preserve">, G., &amp; Weston, J. P. (2004). Advertising, breadth of ownership, and liquidity. </w:t>
      </w:r>
      <w:r w:rsidRPr="00EE3EE4">
        <w:rPr>
          <w:rFonts w:ascii="Times New Roman" w:eastAsiaTheme="minorEastAsia" w:hAnsi="Times New Roman" w:cs="Times New Roman"/>
          <w:i/>
          <w:sz w:val="24"/>
          <w:szCs w:val="24"/>
          <w:lang w:val="en-US"/>
        </w:rPr>
        <w:t>The Review of Financial Studies</w:t>
      </w:r>
      <w:r w:rsidRPr="008061BE">
        <w:rPr>
          <w:rFonts w:ascii="Times New Roman" w:eastAsiaTheme="minorEastAsia" w:hAnsi="Times New Roman" w:cs="Times New Roman"/>
          <w:sz w:val="24"/>
          <w:szCs w:val="24"/>
          <w:lang w:val="en-US"/>
        </w:rPr>
        <w:t>, 17(2), 439-461.</w:t>
      </w:r>
    </w:p>
    <w:p w14:paraId="402019CF"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Gurtler</w:t>
      </w:r>
      <w:proofErr w:type="spellEnd"/>
      <w:r w:rsidRPr="00AA38B5">
        <w:rPr>
          <w:rFonts w:ascii="Times New Roman" w:eastAsiaTheme="minorEastAsia" w:hAnsi="Times New Roman" w:cs="Times New Roman"/>
          <w:sz w:val="24"/>
          <w:szCs w:val="24"/>
          <w:lang w:val="en-US"/>
        </w:rPr>
        <w:t xml:space="preserve">, O., and M. </w:t>
      </w:r>
      <w:proofErr w:type="spellStart"/>
      <w:r w:rsidRPr="00AA38B5">
        <w:rPr>
          <w:rFonts w:ascii="Times New Roman" w:eastAsiaTheme="minorEastAsia" w:hAnsi="Times New Roman" w:cs="Times New Roman"/>
          <w:sz w:val="24"/>
          <w:szCs w:val="24"/>
          <w:lang w:val="en-US"/>
        </w:rPr>
        <w:t>Krakel</w:t>
      </w:r>
      <w:proofErr w:type="spellEnd"/>
      <w:r w:rsidRPr="00AA38B5">
        <w:rPr>
          <w:rFonts w:ascii="Times New Roman" w:eastAsiaTheme="minorEastAsia" w:hAnsi="Times New Roman" w:cs="Times New Roman"/>
          <w:sz w:val="24"/>
          <w:szCs w:val="24"/>
          <w:lang w:val="en-US"/>
        </w:rPr>
        <w:t xml:space="preserve">. (2010). Optimal tournament contracts for heterogeneous workers. </w:t>
      </w:r>
      <w:r w:rsidRPr="00EE3EE4">
        <w:rPr>
          <w:rFonts w:ascii="Times New Roman" w:eastAsiaTheme="minorEastAsia" w:hAnsi="Times New Roman" w:cs="Times New Roman"/>
          <w:i/>
          <w:sz w:val="24"/>
          <w:szCs w:val="24"/>
          <w:lang w:val="en-US"/>
        </w:rPr>
        <w:t>Journal of Economic Behavior &amp; Organization</w:t>
      </w:r>
      <w:r w:rsidRPr="00AA38B5">
        <w:rPr>
          <w:rFonts w:ascii="Times New Roman" w:eastAsiaTheme="minorEastAsia" w:hAnsi="Times New Roman" w:cs="Times New Roman"/>
          <w:sz w:val="24"/>
          <w:szCs w:val="24"/>
          <w:lang w:val="en-US"/>
        </w:rPr>
        <w:t>, 75, 180-191.</w:t>
      </w:r>
    </w:p>
    <w:p w14:paraId="2A8AE667"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Haß</w:t>
      </w:r>
      <w:proofErr w:type="spellEnd"/>
      <w:r w:rsidRPr="00AA38B5">
        <w:rPr>
          <w:rFonts w:ascii="Times New Roman" w:eastAsiaTheme="minorEastAsia" w:hAnsi="Times New Roman" w:cs="Times New Roman"/>
          <w:sz w:val="24"/>
          <w:szCs w:val="24"/>
          <w:lang w:val="en-US"/>
        </w:rPr>
        <w:t xml:space="preserve">, L. H., Müller, M. A., &amp; </w:t>
      </w:r>
      <w:proofErr w:type="spellStart"/>
      <w:r w:rsidRPr="00AA38B5">
        <w:rPr>
          <w:rFonts w:ascii="Times New Roman" w:eastAsiaTheme="minorEastAsia" w:hAnsi="Times New Roman" w:cs="Times New Roman"/>
          <w:sz w:val="24"/>
          <w:szCs w:val="24"/>
          <w:lang w:val="en-US"/>
        </w:rPr>
        <w:t>Vergauwe</w:t>
      </w:r>
      <w:proofErr w:type="spellEnd"/>
      <w:r w:rsidRPr="00AA38B5">
        <w:rPr>
          <w:rFonts w:ascii="Times New Roman" w:eastAsiaTheme="minorEastAsia" w:hAnsi="Times New Roman" w:cs="Times New Roman"/>
          <w:sz w:val="24"/>
          <w:szCs w:val="24"/>
          <w:lang w:val="en-US"/>
        </w:rPr>
        <w:t xml:space="preserve">, S. (2015). Tournament incentives and corporate fraud. </w:t>
      </w:r>
      <w:r w:rsidRPr="00EE3EE4">
        <w:rPr>
          <w:rFonts w:ascii="Times New Roman" w:eastAsiaTheme="minorEastAsia" w:hAnsi="Times New Roman" w:cs="Times New Roman"/>
          <w:i/>
          <w:sz w:val="24"/>
          <w:szCs w:val="24"/>
          <w:lang w:val="en-US"/>
        </w:rPr>
        <w:t>Journal of Corporate Finance</w:t>
      </w:r>
      <w:r w:rsidRPr="00AA38B5">
        <w:rPr>
          <w:rFonts w:ascii="Times New Roman" w:eastAsiaTheme="minorEastAsia" w:hAnsi="Times New Roman" w:cs="Times New Roman"/>
          <w:sz w:val="24"/>
          <w:szCs w:val="24"/>
          <w:lang w:val="en-US"/>
        </w:rPr>
        <w:t>, 34, 251-267.</w:t>
      </w:r>
    </w:p>
    <w:p w14:paraId="2DB5CCD8"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3E3FC0">
        <w:rPr>
          <w:rFonts w:ascii="Times New Roman" w:eastAsiaTheme="minorEastAsia" w:hAnsi="Times New Roman" w:cs="Times New Roman"/>
          <w:sz w:val="24"/>
          <w:szCs w:val="24"/>
          <w:lang w:val="en-US"/>
        </w:rPr>
        <w:t xml:space="preserve">Huang, C. F., &amp; </w:t>
      </w:r>
      <w:proofErr w:type="spellStart"/>
      <w:r w:rsidRPr="003E3FC0">
        <w:rPr>
          <w:rFonts w:ascii="Times New Roman" w:eastAsiaTheme="minorEastAsia" w:hAnsi="Times New Roman" w:cs="Times New Roman"/>
          <w:sz w:val="24"/>
          <w:szCs w:val="24"/>
          <w:lang w:val="en-US"/>
        </w:rPr>
        <w:t>Litzenberger</w:t>
      </w:r>
      <w:proofErr w:type="spellEnd"/>
      <w:r w:rsidRPr="003E3FC0">
        <w:rPr>
          <w:rFonts w:ascii="Times New Roman" w:eastAsiaTheme="minorEastAsia" w:hAnsi="Times New Roman" w:cs="Times New Roman"/>
          <w:sz w:val="24"/>
          <w:szCs w:val="24"/>
          <w:lang w:val="en-US"/>
        </w:rPr>
        <w:t>, R. H. (1988). Foundations for financial economics. North-Holland.</w:t>
      </w:r>
    </w:p>
    <w:p w14:paraId="328042A0"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Hvide</w:t>
      </w:r>
      <w:proofErr w:type="spellEnd"/>
      <w:r w:rsidRPr="00AA38B5">
        <w:rPr>
          <w:rFonts w:ascii="Times New Roman" w:eastAsiaTheme="minorEastAsia" w:hAnsi="Times New Roman" w:cs="Times New Roman"/>
          <w:sz w:val="24"/>
          <w:szCs w:val="24"/>
          <w:lang w:val="en-US"/>
        </w:rPr>
        <w:t xml:space="preserve">, H. (2002). Tournament Rewards and Risk Taking. </w:t>
      </w:r>
      <w:r w:rsidRPr="00EE3EE4">
        <w:rPr>
          <w:rFonts w:ascii="Times New Roman" w:eastAsiaTheme="minorEastAsia" w:hAnsi="Times New Roman" w:cs="Times New Roman"/>
          <w:i/>
          <w:sz w:val="24"/>
          <w:szCs w:val="24"/>
          <w:lang w:val="en-US"/>
        </w:rPr>
        <w:t>Journal of Labor Economics</w:t>
      </w:r>
      <w:r w:rsidRPr="00AA38B5">
        <w:rPr>
          <w:rFonts w:ascii="Times New Roman" w:eastAsiaTheme="minorEastAsia" w:hAnsi="Times New Roman" w:cs="Times New Roman"/>
          <w:sz w:val="24"/>
          <w:szCs w:val="24"/>
          <w:lang w:val="en-US"/>
        </w:rPr>
        <w:t>, 20, pp. 877-898.</w:t>
      </w:r>
    </w:p>
    <w:p w14:paraId="7D88CAE3" w14:textId="7C814AF4"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Jayaraman</w:t>
      </w:r>
      <w:proofErr w:type="spellEnd"/>
      <w:r w:rsidRPr="00AA38B5">
        <w:rPr>
          <w:rFonts w:ascii="Times New Roman" w:eastAsiaTheme="minorEastAsia" w:hAnsi="Times New Roman" w:cs="Times New Roman"/>
          <w:sz w:val="24"/>
          <w:szCs w:val="24"/>
          <w:lang w:val="en-US"/>
        </w:rPr>
        <w:t>, S. and Milbourn, T. T. (2012). The role of stock liquidity in Executive compensation</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 xml:space="preserve"> </w:t>
      </w:r>
      <w:r w:rsidRPr="00EE3EE4">
        <w:rPr>
          <w:rFonts w:ascii="Times New Roman" w:eastAsiaTheme="minorEastAsia" w:hAnsi="Times New Roman" w:cs="Times New Roman"/>
          <w:i/>
          <w:sz w:val="24"/>
          <w:szCs w:val="24"/>
          <w:lang w:val="en-US"/>
        </w:rPr>
        <w:t>Accounting Review</w:t>
      </w:r>
      <w:r w:rsidRPr="00AA38B5">
        <w:rPr>
          <w:rFonts w:ascii="Times New Roman" w:eastAsiaTheme="minorEastAsia" w:hAnsi="Times New Roman" w:cs="Times New Roman"/>
          <w:sz w:val="24"/>
          <w:szCs w:val="24"/>
          <w:lang w:val="en-US"/>
        </w:rPr>
        <w:t>, 87</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2</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 537-563.</w:t>
      </w:r>
    </w:p>
    <w:p w14:paraId="03DC73B5" w14:textId="468D7D7F"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AA38B5">
        <w:rPr>
          <w:rFonts w:ascii="Times New Roman" w:eastAsiaTheme="minorEastAsia" w:hAnsi="Times New Roman" w:cs="Times New Roman"/>
          <w:sz w:val="24"/>
          <w:szCs w:val="24"/>
          <w:lang w:val="en-US"/>
        </w:rPr>
        <w:t xml:space="preserve">Jones, J.J. (1991). Earnings Management </w:t>
      </w:r>
      <w:proofErr w:type="gramStart"/>
      <w:r w:rsidRPr="00AA38B5">
        <w:rPr>
          <w:rFonts w:ascii="Times New Roman" w:eastAsiaTheme="minorEastAsia" w:hAnsi="Times New Roman" w:cs="Times New Roman"/>
          <w:sz w:val="24"/>
          <w:szCs w:val="24"/>
          <w:lang w:val="en-US"/>
        </w:rPr>
        <w:t>During</w:t>
      </w:r>
      <w:proofErr w:type="gramEnd"/>
      <w:r w:rsidRPr="00AA38B5">
        <w:rPr>
          <w:rFonts w:ascii="Times New Roman" w:eastAsiaTheme="minorEastAsia" w:hAnsi="Times New Roman" w:cs="Times New Roman"/>
          <w:sz w:val="24"/>
          <w:szCs w:val="24"/>
          <w:lang w:val="en-US"/>
        </w:rPr>
        <w:t xml:space="preserve"> Import Relief Investigations, </w:t>
      </w:r>
      <w:r w:rsidRPr="00EE3EE4">
        <w:rPr>
          <w:rFonts w:ascii="Times New Roman" w:eastAsiaTheme="minorEastAsia" w:hAnsi="Times New Roman" w:cs="Times New Roman"/>
          <w:i/>
          <w:sz w:val="24"/>
          <w:szCs w:val="24"/>
          <w:lang w:val="en-US"/>
        </w:rPr>
        <w:t>Journal of Accounting Research</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 xml:space="preserve"> 29, 193-228.</w:t>
      </w:r>
    </w:p>
    <w:p w14:paraId="3B4FA95E" w14:textId="24CDC12D"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AA38B5">
        <w:rPr>
          <w:rFonts w:ascii="Times New Roman" w:eastAsiaTheme="minorEastAsia" w:hAnsi="Times New Roman" w:cs="Times New Roman"/>
          <w:sz w:val="24"/>
          <w:szCs w:val="24"/>
          <w:lang w:val="en-US"/>
        </w:rPr>
        <w:t xml:space="preserve">Kale, J.R., Reis, E. and </w:t>
      </w:r>
      <w:proofErr w:type="spellStart"/>
      <w:r w:rsidRPr="00AA38B5">
        <w:rPr>
          <w:rFonts w:ascii="Times New Roman" w:eastAsiaTheme="minorEastAsia" w:hAnsi="Times New Roman" w:cs="Times New Roman"/>
          <w:sz w:val="24"/>
          <w:szCs w:val="24"/>
          <w:lang w:val="en-US"/>
        </w:rPr>
        <w:t>Venkateswaran</w:t>
      </w:r>
      <w:proofErr w:type="spellEnd"/>
      <w:r w:rsidRPr="00AA38B5">
        <w:rPr>
          <w:rFonts w:ascii="Times New Roman" w:eastAsiaTheme="minorEastAsia" w:hAnsi="Times New Roman" w:cs="Times New Roman"/>
          <w:sz w:val="24"/>
          <w:szCs w:val="24"/>
          <w:lang w:val="en-US"/>
        </w:rPr>
        <w:t xml:space="preserve">, A. (2009). Rank-order tournaments and incentive alignment: the effect on firm performance. </w:t>
      </w:r>
      <w:r w:rsidRPr="00EE3EE4">
        <w:rPr>
          <w:rFonts w:ascii="Times New Roman" w:eastAsiaTheme="minorEastAsia" w:hAnsi="Times New Roman" w:cs="Times New Roman"/>
          <w:i/>
          <w:sz w:val="24"/>
          <w:szCs w:val="24"/>
          <w:lang w:val="en-US"/>
        </w:rPr>
        <w:t>Journal of Finance</w:t>
      </w:r>
      <w:r w:rsidR="00EE3EE4">
        <w:rPr>
          <w:rFonts w:ascii="Times New Roman" w:eastAsiaTheme="minorEastAsia" w:hAnsi="Times New Roman" w:cs="Times New Roman"/>
          <w:sz w:val="24"/>
          <w:szCs w:val="24"/>
          <w:lang w:val="en-US"/>
        </w:rPr>
        <w:t>,</w:t>
      </w:r>
      <w:r w:rsidRPr="00AA38B5">
        <w:rPr>
          <w:rFonts w:ascii="Times New Roman" w:eastAsiaTheme="minorEastAsia" w:hAnsi="Times New Roman" w:cs="Times New Roman"/>
          <w:sz w:val="24"/>
          <w:szCs w:val="24"/>
          <w:lang w:val="en-US"/>
        </w:rPr>
        <w:t xml:space="preserve"> 64, 1479–1512.</w:t>
      </w:r>
    </w:p>
    <w:p w14:paraId="7A2140FA"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Kini</w:t>
      </w:r>
      <w:proofErr w:type="spellEnd"/>
      <w:r w:rsidRPr="00AA38B5">
        <w:rPr>
          <w:rFonts w:ascii="Times New Roman" w:eastAsiaTheme="minorEastAsia" w:hAnsi="Times New Roman" w:cs="Times New Roman"/>
          <w:sz w:val="24"/>
          <w:szCs w:val="24"/>
          <w:lang w:val="en-US"/>
        </w:rPr>
        <w:t xml:space="preserve">, O. and Williams, R. (2012). Tournament incentives, firm risk, and corporate policies. </w:t>
      </w:r>
      <w:r w:rsidRPr="004E77F0">
        <w:rPr>
          <w:rFonts w:ascii="Times New Roman" w:eastAsiaTheme="minorEastAsia" w:hAnsi="Times New Roman" w:cs="Times New Roman"/>
          <w:i/>
          <w:sz w:val="24"/>
          <w:szCs w:val="24"/>
          <w:lang w:val="en-US"/>
        </w:rPr>
        <w:t>Journal of Financial Economics</w:t>
      </w:r>
      <w:r w:rsidRPr="00AA38B5">
        <w:rPr>
          <w:rFonts w:ascii="Times New Roman" w:eastAsiaTheme="minorEastAsia" w:hAnsi="Times New Roman" w:cs="Times New Roman"/>
          <w:sz w:val="24"/>
          <w:szCs w:val="24"/>
          <w:lang w:val="en-US"/>
        </w:rPr>
        <w:t>, 103, 350-376.</w:t>
      </w:r>
      <w:r w:rsidRPr="00D94EB8">
        <w:rPr>
          <w:rFonts w:ascii="Times New Roman" w:eastAsiaTheme="minorEastAsia" w:hAnsi="Times New Roman" w:cs="Times New Roman"/>
          <w:sz w:val="24"/>
          <w:szCs w:val="24"/>
          <w:lang w:val="en-US"/>
        </w:rPr>
        <w:t xml:space="preserve"> </w:t>
      </w:r>
    </w:p>
    <w:p w14:paraId="68C6C21C" w14:textId="6EE7CA75"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lastRenderedPageBreak/>
        <w:t>Lazear</w:t>
      </w:r>
      <w:proofErr w:type="spellEnd"/>
      <w:r w:rsidRPr="00AA38B5">
        <w:rPr>
          <w:rFonts w:ascii="Times New Roman" w:eastAsiaTheme="minorEastAsia" w:hAnsi="Times New Roman" w:cs="Times New Roman"/>
          <w:sz w:val="24"/>
          <w:szCs w:val="24"/>
          <w:lang w:val="en-US"/>
        </w:rPr>
        <w:t xml:space="preserve">, E., and S. Rosen. (1981). Rank order tournaments as optimum labor contracts, </w:t>
      </w:r>
      <w:r w:rsidRPr="004E77F0">
        <w:rPr>
          <w:rFonts w:ascii="Times New Roman" w:eastAsiaTheme="minorEastAsia" w:hAnsi="Times New Roman" w:cs="Times New Roman"/>
          <w:i/>
          <w:sz w:val="24"/>
          <w:szCs w:val="24"/>
          <w:lang w:val="en-US"/>
        </w:rPr>
        <w:t>Journal of Political Economy</w:t>
      </w:r>
      <w:r w:rsidR="004E77F0">
        <w:rPr>
          <w:rFonts w:ascii="Times New Roman" w:eastAsiaTheme="minorEastAsia" w:hAnsi="Times New Roman" w:cs="Times New Roman"/>
          <w:sz w:val="24"/>
          <w:szCs w:val="24"/>
          <w:lang w:val="en-US"/>
        </w:rPr>
        <w:t>,</w:t>
      </w:r>
      <w:r w:rsidRPr="004E77F0">
        <w:rPr>
          <w:rFonts w:ascii="Times New Roman" w:eastAsiaTheme="minorEastAsia" w:hAnsi="Times New Roman" w:cs="Times New Roman"/>
          <w:i/>
          <w:sz w:val="24"/>
          <w:szCs w:val="24"/>
          <w:lang w:val="en-US"/>
        </w:rPr>
        <w:t xml:space="preserve"> </w:t>
      </w:r>
      <w:r w:rsidRPr="00AA38B5">
        <w:rPr>
          <w:rFonts w:ascii="Times New Roman" w:eastAsiaTheme="minorEastAsia" w:hAnsi="Times New Roman" w:cs="Times New Roman"/>
          <w:sz w:val="24"/>
          <w:szCs w:val="24"/>
          <w:lang w:val="en-US"/>
        </w:rPr>
        <w:t>89, 841-864.</w:t>
      </w:r>
    </w:p>
    <w:p w14:paraId="2C119FCA" w14:textId="3D9E99C6"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FC7875">
        <w:rPr>
          <w:rFonts w:ascii="Times New Roman" w:eastAsiaTheme="minorEastAsia" w:hAnsi="Times New Roman" w:cs="Times New Roman"/>
          <w:sz w:val="24"/>
          <w:szCs w:val="24"/>
          <w:lang w:val="en-US"/>
        </w:rPr>
        <w:t xml:space="preserve">Main, B. G., O'Reilly III, C. A., &amp; Wade, J. (1993). Top executive pay: Tournament or teamwork? </w:t>
      </w:r>
      <w:r w:rsidRPr="004E77F0">
        <w:rPr>
          <w:rFonts w:ascii="Times New Roman" w:eastAsiaTheme="minorEastAsia" w:hAnsi="Times New Roman" w:cs="Times New Roman"/>
          <w:i/>
          <w:sz w:val="24"/>
          <w:szCs w:val="24"/>
          <w:lang w:val="en-US"/>
        </w:rPr>
        <w:t>Journal of Labor Economics</w:t>
      </w:r>
      <w:r w:rsidRPr="00FC7875">
        <w:rPr>
          <w:rFonts w:ascii="Times New Roman" w:eastAsiaTheme="minorEastAsia" w:hAnsi="Times New Roman" w:cs="Times New Roman"/>
          <w:sz w:val="24"/>
          <w:szCs w:val="24"/>
          <w:lang w:val="en-US"/>
        </w:rPr>
        <w:t>, 11(4), 606-628.</w:t>
      </w:r>
    </w:p>
    <w:p w14:paraId="3B2BC646"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AA38B5">
        <w:rPr>
          <w:rFonts w:ascii="Times New Roman" w:eastAsiaTheme="minorEastAsia" w:hAnsi="Times New Roman" w:cs="Times New Roman"/>
          <w:sz w:val="24"/>
          <w:szCs w:val="24"/>
          <w:lang w:val="en-US"/>
        </w:rPr>
        <w:t xml:space="preserve">Massa, M., and L. Zhang. (2018). Does corporate hedging attract foreign institutional investors? Evidence from international firms. </w:t>
      </w:r>
      <w:r w:rsidRPr="004E77F0">
        <w:rPr>
          <w:rFonts w:ascii="Times New Roman" w:eastAsiaTheme="minorEastAsia" w:hAnsi="Times New Roman" w:cs="Times New Roman"/>
          <w:i/>
          <w:sz w:val="24"/>
          <w:szCs w:val="24"/>
          <w:lang w:val="en-US"/>
        </w:rPr>
        <w:t>Journal of International Business Studies</w:t>
      </w:r>
      <w:r w:rsidRPr="00AA38B5">
        <w:rPr>
          <w:rFonts w:ascii="Times New Roman" w:eastAsiaTheme="minorEastAsia" w:hAnsi="Times New Roman" w:cs="Times New Roman"/>
          <w:sz w:val="24"/>
          <w:szCs w:val="24"/>
          <w:lang w:val="en-US"/>
        </w:rPr>
        <w:t xml:space="preserve">, 49(5), </w:t>
      </w:r>
      <w:r>
        <w:rPr>
          <w:rFonts w:ascii="Times New Roman" w:eastAsiaTheme="minorEastAsia" w:hAnsi="Times New Roman" w:cs="Times New Roman"/>
          <w:sz w:val="24"/>
          <w:szCs w:val="24"/>
          <w:lang w:val="en-US"/>
        </w:rPr>
        <w:t xml:space="preserve">605-632. </w:t>
      </w:r>
    </w:p>
    <w:p w14:paraId="1962469F"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Mobbs</w:t>
      </w:r>
      <w:proofErr w:type="spellEnd"/>
      <w:r w:rsidRPr="00AA38B5">
        <w:rPr>
          <w:rFonts w:ascii="Times New Roman" w:eastAsiaTheme="minorEastAsia" w:hAnsi="Times New Roman" w:cs="Times New Roman"/>
          <w:sz w:val="24"/>
          <w:szCs w:val="24"/>
          <w:lang w:val="en-US"/>
        </w:rPr>
        <w:t xml:space="preserve">, S., and C. </w:t>
      </w:r>
      <w:proofErr w:type="spellStart"/>
      <w:r w:rsidRPr="00AA38B5">
        <w:rPr>
          <w:rFonts w:ascii="Times New Roman" w:eastAsiaTheme="minorEastAsia" w:hAnsi="Times New Roman" w:cs="Times New Roman"/>
          <w:sz w:val="24"/>
          <w:szCs w:val="24"/>
          <w:lang w:val="en-US"/>
        </w:rPr>
        <w:t>Raheja</w:t>
      </w:r>
      <w:proofErr w:type="spellEnd"/>
      <w:r w:rsidRPr="00AA38B5">
        <w:rPr>
          <w:rFonts w:ascii="Times New Roman" w:eastAsiaTheme="minorEastAsia" w:hAnsi="Times New Roman" w:cs="Times New Roman"/>
          <w:sz w:val="24"/>
          <w:szCs w:val="24"/>
          <w:lang w:val="en-US"/>
        </w:rPr>
        <w:t xml:space="preserve">. (2012). </w:t>
      </w:r>
      <w:proofErr w:type="gramStart"/>
      <w:r w:rsidRPr="00AA38B5">
        <w:rPr>
          <w:rFonts w:ascii="Times New Roman" w:eastAsiaTheme="minorEastAsia" w:hAnsi="Times New Roman" w:cs="Times New Roman"/>
          <w:sz w:val="24"/>
          <w:szCs w:val="24"/>
          <w:lang w:val="en-US"/>
        </w:rPr>
        <w:t>Internal</w:t>
      </w:r>
      <w:proofErr w:type="gramEnd"/>
      <w:r w:rsidRPr="00AA38B5">
        <w:rPr>
          <w:rFonts w:ascii="Times New Roman" w:eastAsiaTheme="minorEastAsia" w:hAnsi="Times New Roman" w:cs="Times New Roman"/>
          <w:sz w:val="24"/>
          <w:szCs w:val="24"/>
          <w:lang w:val="en-US"/>
        </w:rPr>
        <w:t xml:space="preserve"> managerial promotions: Insider incentives and CEO succession. </w:t>
      </w:r>
      <w:r w:rsidRPr="004E77F0">
        <w:rPr>
          <w:rFonts w:ascii="Times New Roman" w:eastAsiaTheme="minorEastAsia" w:hAnsi="Times New Roman" w:cs="Times New Roman"/>
          <w:i/>
          <w:sz w:val="24"/>
          <w:szCs w:val="24"/>
          <w:lang w:val="en-US"/>
        </w:rPr>
        <w:t>Journal of Corporate Finance</w:t>
      </w:r>
      <w:r w:rsidRPr="00AA38B5">
        <w:rPr>
          <w:rFonts w:ascii="Times New Roman" w:eastAsiaTheme="minorEastAsia" w:hAnsi="Times New Roman" w:cs="Times New Roman"/>
          <w:sz w:val="24"/>
          <w:szCs w:val="24"/>
          <w:lang w:val="en-US"/>
        </w:rPr>
        <w:t>, 18, 1337-1353.</w:t>
      </w:r>
    </w:p>
    <w:p w14:paraId="6A3BF768"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Nalebuff</w:t>
      </w:r>
      <w:proofErr w:type="spellEnd"/>
      <w:r w:rsidRPr="00AA38B5">
        <w:rPr>
          <w:rFonts w:ascii="Times New Roman" w:eastAsiaTheme="minorEastAsia" w:hAnsi="Times New Roman" w:cs="Times New Roman"/>
          <w:sz w:val="24"/>
          <w:szCs w:val="24"/>
          <w:lang w:val="en-US"/>
        </w:rPr>
        <w:t xml:space="preserve">, B., and J. </w:t>
      </w:r>
      <w:proofErr w:type="spellStart"/>
      <w:r w:rsidRPr="00AA38B5">
        <w:rPr>
          <w:rFonts w:ascii="Times New Roman" w:eastAsiaTheme="minorEastAsia" w:hAnsi="Times New Roman" w:cs="Times New Roman"/>
          <w:sz w:val="24"/>
          <w:szCs w:val="24"/>
          <w:lang w:val="en-US"/>
        </w:rPr>
        <w:t>Stiglitz</w:t>
      </w:r>
      <w:proofErr w:type="spellEnd"/>
      <w:r w:rsidRPr="00AA38B5">
        <w:rPr>
          <w:rFonts w:ascii="Times New Roman" w:eastAsiaTheme="minorEastAsia" w:hAnsi="Times New Roman" w:cs="Times New Roman"/>
          <w:sz w:val="24"/>
          <w:szCs w:val="24"/>
          <w:lang w:val="en-US"/>
        </w:rPr>
        <w:t xml:space="preserve">. (1983). Prizes and incentives:  Towards a general theory of compensation and competition. </w:t>
      </w:r>
      <w:r w:rsidRPr="004E77F0">
        <w:rPr>
          <w:rFonts w:ascii="Times New Roman" w:eastAsiaTheme="minorEastAsia" w:hAnsi="Times New Roman" w:cs="Times New Roman"/>
          <w:i/>
          <w:sz w:val="24"/>
          <w:szCs w:val="24"/>
          <w:lang w:val="en-US"/>
        </w:rPr>
        <w:t>Bell Journal of Economics</w:t>
      </w:r>
      <w:r w:rsidRPr="00AA38B5">
        <w:rPr>
          <w:rFonts w:ascii="Times New Roman" w:eastAsiaTheme="minorEastAsia" w:hAnsi="Times New Roman" w:cs="Times New Roman"/>
          <w:sz w:val="24"/>
          <w:szCs w:val="24"/>
          <w:lang w:val="en-US"/>
        </w:rPr>
        <w:t xml:space="preserve"> 14, 21-43.</w:t>
      </w:r>
    </w:p>
    <w:p w14:paraId="198F5316"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Perotti</w:t>
      </w:r>
      <w:proofErr w:type="spellEnd"/>
      <w:r w:rsidRPr="00AA38B5">
        <w:rPr>
          <w:rFonts w:ascii="Times New Roman" w:eastAsiaTheme="minorEastAsia" w:hAnsi="Times New Roman" w:cs="Times New Roman"/>
          <w:sz w:val="24"/>
          <w:szCs w:val="24"/>
          <w:lang w:val="en-US"/>
        </w:rPr>
        <w:t xml:space="preserve">, E., and S. </w:t>
      </w:r>
      <w:proofErr w:type="spellStart"/>
      <w:r w:rsidRPr="00AA38B5">
        <w:rPr>
          <w:rFonts w:ascii="Times New Roman" w:eastAsiaTheme="minorEastAsia" w:hAnsi="Times New Roman" w:cs="Times New Roman"/>
          <w:sz w:val="24"/>
          <w:szCs w:val="24"/>
          <w:lang w:val="en-US"/>
        </w:rPr>
        <w:t>Rossetto</w:t>
      </w:r>
      <w:proofErr w:type="spellEnd"/>
      <w:r w:rsidRPr="00AA38B5">
        <w:rPr>
          <w:rFonts w:ascii="Times New Roman" w:eastAsiaTheme="minorEastAsia" w:hAnsi="Times New Roman" w:cs="Times New Roman"/>
          <w:sz w:val="24"/>
          <w:szCs w:val="24"/>
          <w:lang w:val="en-US"/>
        </w:rPr>
        <w:t xml:space="preserve">. (2007). Unlocking Value: Equity Carve Outs as Strategic Real Options. </w:t>
      </w:r>
      <w:r w:rsidRPr="004E77F0">
        <w:rPr>
          <w:rFonts w:ascii="Times New Roman" w:eastAsiaTheme="minorEastAsia" w:hAnsi="Times New Roman" w:cs="Times New Roman"/>
          <w:i/>
          <w:sz w:val="24"/>
          <w:szCs w:val="24"/>
          <w:lang w:val="en-US"/>
        </w:rPr>
        <w:t>Journal of Corporate Finance</w:t>
      </w:r>
      <w:r w:rsidRPr="00AA38B5">
        <w:rPr>
          <w:rFonts w:ascii="Times New Roman" w:eastAsiaTheme="minorEastAsia" w:hAnsi="Times New Roman" w:cs="Times New Roman"/>
          <w:sz w:val="24"/>
          <w:szCs w:val="24"/>
          <w:lang w:val="en-US"/>
        </w:rPr>
        <w:t>, 13, 771-792.</w:t>
      </w:r>
    </w:p>
    <w:p w14:paraId="2A732199"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45A53">
        <w:rPr>
          <w:rFonts w:ascii="Times New Roman" w:eastAsiaTheme="minorEastAsia" w:hAnsi="Times New Roman" w:cs="Times New Roman"/>
          <w:sz w:val="24"/>
          <w:szCs w:val="24"/>
          <w:lang w:val="en-US"/>
        </w:rPr>
        <w:t xml:space="preserve">Phan, H. V., Simpson, T., &amp; Nguyen, H. T. (2017). Tournament-Based Incentives, Corporate Cash Holdings, and the Value of Cash. </w:t>
      </w:r>
      <w:r w:rsidRPr="004E77F0">
        <w:rPr>
          <w:rFonts w:ascii="Times New Roman" w:eastAsiaTheme="minorEastAsia" w:hAnsi="Times New Roman" w:cs="Times New Roman"/>
          <w:i/>
          <w:sz w:val="24"/>
          <w:szCs w:val="24"/>
          <w:lang w:val="en-US"/>
        </w:rPr>
        <w:t>Journal of Financial and Quantitative Analysis</w:t>
      </w:r>
      <w:r w:rsidRPr="00D45A53">
        <w:rPr>
          <w:rFonts w:ascii="Times New Roman" w:eastAsiaTheme="minorEastAsia" w:hAnsi="Times New Roman" w:cs="Times New Roman"/>
          <w:sz w:val="24"/>
          <w:szCs w:val="24"/>
          <w:lang w:val="en-US"/>
        </w:rPr>
        <w:t>, 52(4), 1519-1550.</w:t>
      </w:r>
    </w:p>
    <w:p w14:paraId="1DDCC3AD"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45A53">
        <w:rPr>
          <w:rFonts w:ascii="Times New Roman" w:eastAsiaTheme="minorEastAsia" w:hAnsi="Times New Roman" w:cs="Times New Roman"/>
          <w:sz w:val="24"/>
          <w:szCs w:val="24"/>
          <w:lang w:val="en-US"/>
        </w:rPr>
        <w:t xml:space="preserve">Ridge, J. W., </w:t>
      </w:r>
      <w:proofErr w:type="spellStart"/>
      <w:r w:rsidRPr="00D45A53">
        <w:rPr>
          <w:rFonts w:ascii="Times New Roman" w:eastAsiaTheme="minorEastAsia" w:hAnsi="Times New Roman" w:cs="Times New Roman"/>
          <w:sz w:val="24"/>
          <w:szCs w:val="24"/>
          <w:lang w:val="en-US"/>
        </w:rPr>
        <w:t>Aime</w:t>
      </w:r>
      <w:proofErr w:type="spellEnd"/>
      <w:r w:rsidRPr="00D45A53">
        <w:rPr>
          <w:rFonts w:ascii="Times New Roman" w:eastAsiaTheme="minorEastAsia" w:hAnsi="Times New Roman" w:cs="Times New Roman"/>
          <w:sz w:val="24"/>
          <w:szCs w:val="24"/>
          <w:lang w:val="en-US"/>
        </w:rPr>
        <w:t xml:space="preserve">, F., &amp; White, M. A. (2015). When much more of a difference makes a </w:t>
      </w:r>
      <w:proofErr w:type="gramStart"/>
      <w:r w:rsidRPr="00D45A53">
        <w:rPr>
          <w:rFonts w:ascii="Times New Roman" w:eastAsiaTheme="minorEastAsia" w:hAnsi="Times New Roman" w:cs="Times New Roman"/>
          <w:sz w:val="24"/>
          <w:szCs w:val="24"/>
          <w:lang w:val="en-US"/>
        </w:rPr>
        <w:t>difference:</w:t>
      </w:r>
      <w:proofErr w:type="gramEnd"/>
      <w:r w:rsidRPr="00D45A53">
        <w:rPr>
          <w:rFonts w:ascii="Times New Roman" w:eastAsiaTheme="minorEastAsia" w:hAnsi="Times New Roman" w:cs="Times New Roman"/>
          <w:sz w:val="24"/>
          <w:szCs w:val="24"/>
          <w:lang w:val="en-US"/>
        </w:rPr>
        <w:t xml:space="preserve"> Social comparison and tournaments in the CEO's top team. </w:t>
      </w:r>
      <w:r w:rsidRPr="004E77F0">
        <w:rPr>
          <w:rFonts w:ascii="Times New Roman" w:eastAsiaTheme="minorEastAsia" w:hAnsi="Times New Roman" w:cs="Times New Roman"/>
          <w:i/>
          <w:sz w:val="24"/>
          <w:szCs w:val="24"/>
          <w:lang w:val="en-US"/>
        </w:rPr>
        <w:t>Strategic Management Journal</w:t>
      </w:r>
      <w:r w:rsidRPr="00D45A53">
        <w:rPr>
          <w:rFonts w:ascii="Times New Roman" w:eastAsiaTheme="minorEastAsia" w:hAnsi="Times New Roman" w:cs="Times New Roman"/>
          <w:sz w:val="24"/>
          <w:szCs w:val="24"/>
          <w:lang w:val="en-US"/>
        </w:rPr>
        <w:t>, 36(4), 618-636.</w:t>
      </w:r>
    </w:p>
    <w:p w14:paraId="36CB35BE" w14:textId="1F7CB232" w:rsidR="004E77F0" w:rsidRPr="004E77F0" w:rsidRDefault="004E77F0" w:rsidP="004E77F0">
      <w:pPr>
        <w:pStyle w:val="NormalWeb"/>
        <w:rPr>
          <w:rStyle w:val="a-size-large"/>
          <w:rFonts w:eastAsia="PMingLiU"/>
          <w:bCs/>
          <w:color w:val="000000"/>
          <w:lang w:eastAsia="zh-TW"/>
        </w:rPr>
      </w:pPr>
      <w:proofErr w:type="spellStart"/>
      <w:r w:rsidRPr="004E77F0">
        <w:rPr>
          <w:rStyle w:val="a-size-large"/>
          <w:rFonts w:eastAsia="PMingLiU"/>
          <w:bCs/>
          <w:color w:val="000000"/>
          <w:lang w:eastAsia="zh-TW"/>
        </w:rPr>
        <w:t>Romer</w:t>
      </w:r>
      <w:proofErr w:type="spellEnd"/>
      <w:r w:rsidRPr="004E77F0">
        <w:rPr>
          <w:rStyle w:val="a-size-large"/>
          <w:rFonts w:eastAsia="PMingLiU"/>
          <w:bCs/>
          <w:color w:val="000000"/>
          <w:lang w:eastAsia="zh-TW"/>
        </w:rPr>
        <w:t xml:space="preserve">, D. (2011). Advanced Macroeconomics. </w:t>
      </w:r>
      <w:proofErr w:type="gramStart"/>
      <w:r w:rsidRPr="004E77F0">
        <w:rPr>
          <w:rStyle w:val="a-size-large"/>
          <w:rFonts w:eastAsia="PMingLiU"/>
          <w:bCs/>
          <w:color w:val="000000"/>
          <w:lang w:eastAsia="zh-TW"/>
        </w:rPr>
        <w:t>4</w:t>
      </w:r>
      <w:proofErr w:type="gramEnd"/>
      <w:r w:rsidRPr="004E77F0">
        <w:rPr>
          <w:rStyle w:val="a-size-large"/>
          <w:rFonts w:eastAsia="PMingLiU"/>
          <w:bCs/>
          <w:color w:val="000000"/>
          <w:lang w:eastAsia="zh-TW"/>
        </w:rPr>
        <w:t xml:space="preserve"> Edition. McGraw-Hill.</w:t>
      </w:r>
    </w:p>
    <w:p w14:paraId="0DCCF2CC" w14:textId="77777777" w:rsidR="004E77F0" w:rsidRDefault="004E77F0" w:rsidP="004E77F0">
      <w:pPr>
        <w:pStyle w:val="NormalWeb"/>
        <w:rPr>
          <w:rFonts w:ascii="Calibri" w:hAnsi="Calibri" w:cs="Calibri"/>
          <w:color w:val="000000"/>
        </w:rPr>
      </w:pPr>
    </w:p>
    <w:p w14:paraId="1F025EC4" w14:textId="77777777" w:rsidR="007017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45A53">
        <w:rPr>
          <w:rFonts w:ascii="Times New Roman" w:eastAsiaTheme="minorEastAsia" w:hAnsi="Times New Roman" w:cs="Times New Roman"/>
          <w:sz w:val="24"/>
          <w:szCs w:val="24"/>
          <w:lang w:val="en-US"/>
        </w:rPr>
        <w:t xml:space="preserve">Schain, J. P., &amp; </w:t>
      </w:r>
      <w:proofErr w:type="spellStart"/>
      <w:r w:rsidRPr="00D45A53">
        <w:rPr>
          <w:rFonts w:ascii="Times New Roman" w:eastAsiaTheme="minorEastAsia" w:hAnsi="Times New Roman" w:cs="Times New Roman"/>
          <w:sz w:val="24"/>
          <w:szCs w:val="24"/>
          <w:lang w:val="en-US"/>
        </w:rPr>
        <w:t>Stiebale</w:t>
      </w:r>
      <w:proofErr w:type="spellEnd"/>
      <w:r w:rsidRPr="00D45A53">
        <w:rPr>
          <w:rFonts w:ascii="Times New Roman" w:eastAsiaTheme="minorEastAsia" w:hAnsi="Times New Roman" w:cs="Times New Roman"/>
          <w:sz w:val="24"/>
          <w:szCs w:val="24"/>
          <w:lang w:val="en-US"/>
        </w:rPr>
        <w:t>, J. (2016). Innovation, institutional ownership, and financial constraints (No. 219). DICE Discussion Paper.</w:t>
      </w:r>
      <w:r w:rsidRPr="00D45A53" w:rsidDel="00D45A53">
        <w:rPr>
          <w:rFonts w:ascii="Times New Roman" w:eastAsiaTheme="minorEastAsia" w:hAnsi="Times New Roman" w:cs="Times New Roman"/>
          <w:sz w:val="24"/>
          <w:szCs w:val="24"/>
          <w:lang w:val="en-US"/>
        </w:rPr>
        <w:t xml:space="preserve"> </w:t>
      </w:r>
    </w:p>
    <w:p w14:paraId="38FA4FAF"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r w:rsidRPr="00D45A53">
        <w:rPr>
          <w:rFonts w:ascii="Times New Roman" w:eastAsiaTheme="minorEastAsia" w:hAnsi="Times New Roman" w:cs="Times New Roman"/>
          <w:sz w:val="24"/>
          <w:szCs w:val="24"/>
          <w:lang w:val="en-US"/>
        </w:rPr>
        <w:t>Shen, C. H. H., &amp; Zhang, H. (201</w:t>
      </w:r>
      <w:r>
        <w:rPr>
          <w:rFonts w:ascii="Times New Roman" w:eastAsiaTheme="minorEastAsia" w:hAnsi="Times New Roman" w:cs="Times New Roman"/>
          <w:sz w:val="24"/>
          <w:szCs w:val="24"/>
          <w:lang w:val="en-US"/>
        </w:rPr>
        <w:t>8</w:t>
      </w:r>
      <w:r w:rsidRPr="00D45A53">
        <w:rPr>
          <w:rFonts w:ascii="Times New Roman" w:eastAsiaTheme="minorEastAsia" w:hAnsi="Times New Roman" w:cs="Times New Roman"/>
          <w:sz w:val="24"/>
          <w:szCs w:val="24"/>
          <w:lang w:val="en-US"/>
        </w:rPr>
        <w:t xml:space="preserve">). Tournament Incentives and Firm Innovation. </w:t>
      </w:r>
      <w:r w:rsidRPr="004E77F0">
        <w:rPr>
          <w:rFonts w:ascii="Times New Roman" w:eastAsiaTheme="minorEastAsia" w:hAnsi="Times New Roman" w:cs="Times New Roman"/>
          <w:i/>
          <w:sz w:val="24"/>
          <w:szCs w:val="24"/>
          <w:lang w:val="en-US"/>
        </w:rPr>
        <w:t>Review of Finance</w:t>
      </w:r>
      <w:r w:rsidRPr="00D45A53">
        <w:rPr>
          <w:rFonts w:ascii="Times New Roman" w:eastAsiaTheme="minorEastAsia" w:hAnsi="Times New Roman" w:cs="Times New Roman"/>
          <w:sz w:val="24"/>
          <w:szCs w:val="24"/>
          <w:lang w:val="en-US"/>
        </w:rPr>
        <w:t>, 22(4), 1515-1548.</w:t>
      </w:r>
      <w:r w:rsidRPr="00D45A53" w:rsidDel="00D45A53">
        <w:rPr>
          <w:rFonts w:ascii="Times New Roman" w:eastAsiaTheme="minorEastAsia" w:hAnsi="Times New Roman" w:cs="Times New Roman"/>
          <w:sz w:val="24"/>
          <w:szCs w:val="24"/>
          <w:lang w:val="en-US"/>
        </w:rPr>
        <w:t xml:space="preserve"> </w:t>
      </w:r>
    </w:p>
    <w:p w14:paraId="75CFB52D" w14:textId="77777777" w:rsidR="007017B8" w:rsidRPr="00D94EB8" w:rsidRDefault="007017B8" w:rsidP="007017B8">
      <w:pPr>
        <w:spacing w:after="240" w:line="240" w:lineRule="auto"/>
        <w:ind w:left="567" w:hanging="567"/>
        <w:jc w:val="both"/>
        <w:rPr>
          <w:rFonts w:ascii="Times New Roman" w:eastAsiaTheme="minorEastAsia" w:hAnsi="Times New Roman" w:cs="Times New Roman"/>
          <w:sz w:val="24"/>
          <w:szCs w:val="24"/>
          <w:lang w:val="en-US"/>
        </w:rPr>
      </w:pPr>
      <w:proofErr w:type="spellStart"/>
      <w:r w:rsidRPr="00AA38B5">
        <w:rPr>
          <w:rFonts w:ascii="Times New Roman" w:eastAsiaTheme="minorEastAsia" w:hAnsi="Times New Roman" w:cs="Times New Roman"/>
          <w:sz w:val="24"/>
          <w:szCs w:val="24"/>
          <w:lang w:val="en-US"/>
        </w:rPr>
        <w:t>Strobl</w:t>
      </w:r>
      <w:proofErr w:type="spellEnd"/>
      <w:r w:rsidRPr="00AA38B5">
        <w:rPr>
          <w:rFonts w:ascii="Times New Roman" w:eastAsiaTheme="minorEastAsia" w:hAnsi="Times New Roman" w:cs="Times New Roman"/>
          <w:sz w:val="24"/>
          <w:szCs w:val="24"/>
          <w:lang w:val="en-US"/>
        </w:rPr>
        <w:t xml:space="preserve">, G. (2014). Stock-based managerial compensation, price </w:t>
      </w:r>
      <w:proofErr w:type="spellStart"/>
      <w:r w:rsidRPr="00AA38B5">
        <w:rPr>
          <w:rFonts w:ascii="Times New Roman" w:eastAsiaTheme="minorEastAsia" w:hAnsi="Times New Roman" w:cs="Times New Roman"/>
          <w:sz w:val="24"/>
          <w:szCs w:val="24"/>
          <w:lang w:val="en-US"/>
        </w:rPr>
        <w:t>informativeness</w:t>
      </w:r>
      <w:proofErr w:type="spellEnd"/>
      <w:r w:rsidRPr="00AA38B5">
        <w:rPr>
          <w:rFonts w:ascii="Times New Roman" w:eastAsiaTheme="minorEastAsia" w:hAnsi="Times New Roman" w:cs="Times New Roman"/>
          <w:sz w:val="24"/>
          <w:szCs w:val="24"/>
          <w:lang w:val="en-US"/>
        </w:rPr>
        <w:t xml:space="preserve">, and the incentive to overinvest. </w:t>
      </w:r>
      <w:r w:rsidRPr="004E77F0">
        <w:rPr>
          <w:rFonts w:ascii="Times New Roman" w:eastAsiaTheme="minorEastAsia" w:hAnsi="Times New Roman" w:cs="Times New Roman"/>
          <w:i/>
          <w:sz w:val="24"/>
          <w:szCs w:val="24"/>
          <w:lang w:val="en-US"/>
        </w:rPr>
        <w:t>Journal of Corporate Finance</w:t>
      </w:r>
      <w:r w:rsidRPr="00AA38B5">
        <w:rPr>
          <w:rFonts w:ascii="Times New Roman" w:eastAsiaTheme="minorEastAsia" w:hAnsi="Times New Roman" w:cs="Times New Roman"/>
          <w:sz w:val="24"/>
          <w:szCs w:val="24"/>
          <w:lang w:val="en-US"/>
        </w:rPr>
        <w:t>, 29, 594-606.</w:t>
      </w:r>
    </w:p>
    <w:p w14:paraId="44C4500E" w14:textId="43AF6234" w:rsidR="006B6039" w:rsidRPr="00664EF4" w:rsidRDefault="007017B8" w:rsidP="004E77F0">
      <w:pPr>
        <w:spacing w:after="240" w:line="240" w:lineRule="auto"/>
        <w:ind w:left="567" w:hanging="567"/>
        <w:jc w:val="both"/>
        <w:rPr>
          <w:rFonts w:ascii="Times New Roman" w:hAnsi="Times New Roman" w:cs="Times New Roman"/>
          <w:sz w:val="20"/>
          <w:szCs w:val="20"/>
        </w:rPr>
      </w:pPr>
      <w:proofErr w:type="spellStart"/>
      <w:r w:rsidRPr="00AA38B5">
        <w:rPr>
          <w:rFonts w:ascii="Times New Roman" w:eastAsiaTheme="minorEastAsia" w:hAnsi="Times New Roman" w:cs="Times New Roman"/>
          <w:sz w:val="24"/>
          <w:szCs w:val="24"/>
          <w:lang w:val="en-US"/>
        </w:rPr>
        <w:t>Vives</w:t>
      </w:r>
      <w:proofErr w:type="spellEnd"/>
      <w:r w:rsidRPr="00AA38B5">
        <w:rPr>
          <w:rFonts w:ascii="Times New Roman" w:eastAsiaTheme="minorEastAsia" w:hAnsi="Times New Roman" w:cs="Times New Roman"/>
          <w:sz w:val="24"/>
          <w:szCs w:val="24"/>
          <w:lang w:val="en-US"/>
        </w:rPr>
        <w:t>, X. (2008). Information and Learning in Markets: The Impact of Market Microstructure. Princeton University Press</w:t>
      </w:r>
      <w:r w:rsidR="004E77F0">
        <w:rPr>
          <w:rFonts w:ascii="Times New Roman" w:eastAsiaTheme="minorEastAsia" w:hAnsi="Times New Roman" w:cs="Times New Roman"/>
          <w:sz w:val="24"/>
          <w:szCs w:val="24"/>
          <w:lang w:val="en-US"/>
        </w:rPr>
        <w:t>.</w:t>
      </w:r>
      <w:r w:rsidR="006B6039">
        <w:rPr>
          <w:rFonts w:ascii="Times New Roman" w:eastAsia="Times New Roman" w:hAnsi="Times New Roman" w:cs="Times New Roman"/>
          <w:sz w:val="24"/>
          <w:szCs w:val="24"/>
        </w:rPr>
        <w:br w:type="page"/>
      </w:r>
    </w:p>
    <w:p w14:paraId="3A400014" w14:textId="77777777" w:rsidR="006B6039" w:rsidRPr="00664EF4" w:rsidRDefault="006B6039" w:rsidP="006B6039">
      <w:pPr>
        <w:spacing w:after="0" w:line="240" w:lineRule="auto"/>
        <w:rPr>
          <w:rFonts w:ascii="Times New Roman" w:hAnsi="Times New Roman" w:cs="Times New Roman"/>
          <w:b/>
          <w:sz w:val="20"/>
          <w:szCs w:val="20"/>
        </w:rPr>
        <w:sectPr w:rsidR="006B6039" w:rsidRPr="00664EF4" w:rsidSect="000C469C">
          <w:footerReference w:type="default" r:id="rId9"/>
          <w:pgSz w:w="11907" w:h="16840" w:code="9"/>
          <w:pgMar w:top="1418" w:right="1418" w:bottom="1418" w:left="1418" w:header="720" w:footer="323" w:gutter="0"/>
          <w:cols w:space="720"/>
          <w:docGrid w:linePitch="360"/>
        </w:sectPr>
      </w:pPr>
    </w:p>
    <w:p w14:paraId="444FD4AF" w14:textId="77777777" w:rsidR="000C469C" w:rsidRDefault="000C469C" w:rsidP="000C469C">
      <w:pPr>
        <w:spacing w:after="0" w:line="240" w:lineRule="auto"/>
        <w:rPr>
          <w:rFonts w:ascii="Times New Roman" w:eastAsia="Times New Roman" w:hAnsi="Times New Roman" w:cs="Times New Roman"/>
          <w:b/>
          <w:sz w:val="20"/>
          <w:szCs w:val="20"/>
        </w:rPr>
      </w:pPr>
    </w:p>
    <w:p w14:paraId="459F1A1C" w14:textId="685AB822" w:rsidR="000C469C" w:rsidRPr="00F31E0A" w:rsidRDefault="000C469C" w:rsidP="000C469C">
      <w:pPr>
        <w:spacing w:after="0" w:line="240" w:lineRule="auto"/>
        <w:rPr>
          <w:rFonts w:ascii="Times New Roman" w:eastAsia="Times New Roman" w:hAnsi="Times New Roman" w:cs="Times New Roman"/>
          <w:b/>
          <w:sz w:val="20"/>
          <w:szCs w:val="20"/>
        </w:rPr>
      </w:pPr>
      <w:r w:rsidRPr="00F31E0A">
        <w:rPr>
          <w:rFonts w:ascii="Times New Roman" w:eastAsia="Times New Roman" w:hAnsi="Times New Roman" w:cs="Times New Roman"/>
          <w:b/>
          <w:sz w:val="20"/>
          <w:szCs w:val="20"/>
        </w:rPr>
        <w:t xml:space="preserve">Table 1: Descriptive </w:t>
      </w:r>
      <w:r w:rsidR="004F6005">
        <w:rPr>
          <w:rFonts w:ascii="Times New Roman" w:eastAsia="Times New Roman" w:hAnsi="Times New Roman" w:cs="Times New Roman"/>
          <w:b/>
          <w:sz w:val="20"/>
          <w:szCs w:val="20"/>
        </w:rPr>
        <w:t>s</w:t>
      </w:r>
      <w:r w:rsidRPr="00F31E0A">
        <w:rPr>
          <w:rFonts w:ascii="Times New Roman" w:eastAsia="Times New Roman" w:hAnsi="Times New Roman" w:cs="Times New Roman"/>
          <w:b/>
          <w:sz w:val="20"/>
          <w:szCs w:val="20"/>
        </w:rPr>
        <w:t xml:space="preserve">tatistics and </w:t>
      </w:r>
      <w:r w:rsidR="004F6005">
        <w:rPr>
          <w:rFonts w:ascii="Times New Roman" w:eastAsia="Times New Roman" w:hAnsi="Times New Roman" w:cs="Times New Roman"/>
          <w:b/>
          <w:sz w:val="20"/>
          <w:szCs w:val="20"/>
        </w:rPr>
        <w:t>c</w:t>
      </w:r>
      <w:r w:rsidRPr="00F31E0A">
        <w:rPr>
          <w:rFonts w:ascii="Times New Roman" w:eastAsia="Times New Roman" w:hAnsi="Times New Roman" w:cs="Times New Roman"/>
          <w:b/>
          <w:sz w:val="20"/>
          <w:szCs w:val="20"/>
        </w:rPr>
        <w:t xml:space="preserve">orrelation </w:t>
      </w:r>
      <w:r w:rsidR="004F6005">
        <w:rPr>
          <w:rFonts w:ascii="Times New Roman" w:eastAsia="Times New Roman" w:hAnsi="Times New Roman" w:cs="Times New Roman"/>
          <w:b/>
          <w:sz w:val="20"/>
          <w:szCs w:val="20"/>
        </w:rPr>
        <w:t>m</w:t>
      </w:r>
      <w:r w:rsidRPr="00F31E0A">
        <w:rPr>
          <w:rFonts w:ascii="Times New Roman" w:eastAsia="Times New Roman" w:hAnsi="Times New Roman" w:cs="Times New Roman"/>
          <w:b/>
          <w:sz w:val="20"/>
          <w:szCs w:val="20"/>
        </w:rPr>
        <w:t>atrix</w:t>
      </w:r>
    </w:p>
    <w:tbl>
      <w:tblPr>
        <w:tblW w:w="14480" w:type="dxa"/>
        <w:tblLook w:val="04A0" w:firstRow="1" w:lastRow="0" w:firstColumn="1" w:lastColumn="0" w:noHBand="0" w:noVBand="1"/>
      </w:tblPr>
      <w:tblGrid>
        <w:gridCol w:w="416"/>
        <w:gridCol w:w="1569"/>
        <w:gridCol w:w="674"/>
        <w:gridCol w:w="827"/>
        <w:gridCol w:w="672"/>
        <w:gridCol w:w="794"/>
        <w:gridCol w:w="794"/>
        <w:gridCol w:w="794"/>
        <w:gridCol w:w="794"/>
        <w:gridCol w:w="794"/>
        <w:gridCol w:w="794"/>
        <w:gridCol w:w="794"/>
        <w:gridCol w:w="794"/>
        <w:gridCol w:w="794"/>
        <w:gridCol w:w="794"/>
        <w:gridCol w:w="794"/>
        <w:gridCol w:w="794"/>
        <w:gridCol w:w="794"/>
      </w:tblGrid>
      <w:tr w:rsidR="000C469C" w:rsidRPr="00332CDB" w14:paraId="4E386907" w14:textId="77777777" w:rsidTr="00A12A53">
        <w:trPr>
          <w:trHeight w:val="312"/>
        </w:trPr>
        <w:tc>
          <w:tcPr>
            <w:tcW w:w="416" w:type="dxa"/>
            <w:tcBorders>
              <w:top w:val="single" w:sz="4" w:space="0" w:color="auto"/>
              <w:left w:val="nil"/>
              <w:bottom w:val="single" w:sz="4" w:space="0" w:color="auto"/>
              <w:right w:val="nil"/>
            </w:tcBorders>
            <w:shd w:val="clear" w:color="auto" w:fill="auto"/>
            <w:noWrap/>
            <w:vAlign w:val="center"/>
            <w:hideMark/>
          </w:tcPr>
          <w:p w14:paraId="03B98A87"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1569" w:type="dxa"/>
            <w:tcBorders>
              <w:top w:val="single" w:sz="4" w:space="0" w:color="auto"/>
              <w:left w:val="nil"/>
              <w:bottom w:val="single" w:sz="4" w:space="0" w:color="auto"/>
              <w:right w:val="nil"/>
            </w:tcBorders>
            <w:shd w:val="clear" w:color="auto" w:fill="auto"/>
            <w:noWrap/>
            <w:vAlign w:val="center"/>
            <w:hideMark/>
          </w:tcPr>
          <w:p w14:paraId="0004152B" w14:textId="77777777" w:rsidR="000C469C" w:rsidRPr="00332CDB" w:rsidRDefault="000C469C"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Variables</w:t>
            </w:r>
          </w:p>
        </w:tc>
        <w:tc>
          <w:tcPr>
            <w:tcW w:w="674" w:type="dxa"/>
            <w:tcBorders>
              <w:top w:val="single" w:sz="4" w:space="0" w:color="auto"/>
              <w:left w:val="nil"/>
              <w:bottom w:val="single" w:sz="4" w:space="0" w:color="auto"/>
              <w:right w:val="nil"/>
            </w:tcBorders>
            <w:shd w:val="clear" w:color="auto" w:fill="auto"/>
            <w:noWrap/>
            <w:vAlign w:val="center"/>
            <w:hideMark/>
          </w:tcPr>
          <w:p w14:paraId="37ACC7F9"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Mean</w:t>
            </w:r>
          </w:p>
        </w:tc>
        <w:tc>
          <w:tcPr>
            <w:tcW w:w="827" w:type="dxa"/>
            <w:tcBorders>
              <w:top w:val="single" w:sz="4" w:space="0" w:color="auto"/>
              <w:left w:val="nil"/>
              <w:bottom w:val="single" w:sz="4" w:space="0" w:color="auto"/>
              <w:right w:val="nil"/>
            </w:tcBorders>
            <w:shd w:val="clear" w:color="auto" w:fill="auto"/>
            <w:noWrap/>
            <w:vAlign w:val="center"/>
            <w:hideMark/>
          </w:tcPr>
          <w:p w14:paraId="7A805B85"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Median</w:t>
            </w:r>
          </w:p>
        </w:tc>
        <w:tc>
          <w:tcPr>
            <w:tcW w:w="672" w:type="dxa"/>
            <w:tcBorders>
              <w:top w:val="single" w:sz="4" w:space="0" w:color="auto"/>
              <w:left w:val="nil"/>
              <w:bottom w:val="single" w:sz="4" w:space="0" w:color="auto"/>
              <w:right w:val="nil"/>
            </w:tcBorders>
            <w:shd w:val="clear" w:color="auto" w:fill="auto"/>
            <w:noWrap/>
            <w:vAlign w:val="center"/>
            <w:hideMark/>
          </w:tcPr>
          <w:p w14:paraId="2943F0A2"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SD</w:t>
            </w:r>
          </w:p>
        </w:tc>
        <w:tc>
          <w:tcPr>
            <w:tcW w:w="794" w:type="dxa"/>
            <w:tcBorders>
              <w:top w:val="single" w:sz="4" w:space="0" w:color="auto"/>
              <w:left w:val="nil"/>
              <w:bottom w:val="single" w:sz="4" w:space="0" w:color="auto"/>
              <w:right w:val="nil"/>
            </w:tcBorders>
            <w:shd w:val="clear" w:color="auto" w:fill="auto"/>
            <w:noWrap/>
            <w:vAlign w:val="center"/>
            <w:hideMark/>
          </w:tcPr>
          <w:p w14:paraId="2E733F4F" w14:textId="77777777" w:rsidR="000C469C" w:rsidRPr="00332CDB" w:rsidRDefault="000C469C" w:rsidP="006967B2">
            <w:pPr>
              <w:spacing w:after="0" w:line="240" w:lineRule="auto"/>
              <w:ind w:left="-57" w:right="-57"/>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1</w:t>
            </w:r>
          </w:p>
        </w:tc>
        <w:tc>
          <w:tcPr>
            <w:tcW w:w="794" w:type="dxa"/>
            <w:tcBorders>
              <w:top w:val="single" w:sz="4" w:space="0" w:color="auto"/>
              <w:left w:val="nil"/>
              <w:bottom w:val="single" w:sz="4" w:space="0" w:color="auto"/>
              <w:right w:val="nil"/>
            </w:tcBorders>
            <w:shd w:val="clear" w:color="auto" w:fill="auto"/>
            <w:noWrap/>
            <w:vAlign w:val="center"/>
            <w:hideMark/>
          </w:tcPr>
          <w:p w14:paraId="165085FB"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2</w:t>
            </w:r>
          </w:p>
        </w:tc>
        <w:tc>
          <w:tcPr>
            <w:tcW w:w="794" w:type="dxa"/>
            <w:tcBorders>
              <w:top w:val="single" w:sz="4" w:space="0" w:color="auto"/>
              <w:left w:val="nil"/>
              <w:bottom w:val="single" w:sz="4" w:space="0" w:color="auto"/>
              <w:right w:val="nil"/>
            </w:tcBorders>
            <w:shd w:val="clear" w:color="auto" w:fill="auto"/>
            <w:noWrap/>
            <w:vAlign w:val="center"/>
            <w:hideMark/>
          </w:tcPr>
          <w:p w14:paraId="2A309E37"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3</w:t>
            </w:r>
          </w:p>
        </w:tc>
        <w:tc>
          <w:tcPr>
            <w:tcW w:w="794" w:type="dxa"/>
            <w:tcBorders>
              <w:top w:val="single" w:sz="4" w:space="0" w:color="auto"/>
              <w:left w:val="nil"/>
              <w:bottom w:val="single" w:sz="4" w:space="0" w:color="auto"/>
              <w:right w:val="nil"/>
            </w:tcBorders>
            <w:shd w:val="clear" w:color="auto" w:fill="auto"/>
            <w:noWrap/>
            <w:vAlign w:val="center"/>
            <w:hideMark/>
          </w:tcPr>
          <w:p w14:paraId="26326804"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4</w:t>
            </w:r>
          </w:p>
        </w:tc>
        <w:tc>
          <w:tcPr>
            <w:tcW w:w="794" w:type="dxa"/>
            <w:tcBorders>
              <w:top w:val="single" w:sz="4" w:space="0" w:color="auto"/>
              <w:left w:val="nil"/>
              <w:bottom w:val="single" w:sz="4" w:space="0" w:color="auto"/>
              <w:right w:val="nil"/>
            </w:tcBorders>
            <w:shd w:val="clear" w:color="auto" w:fill="auto"/>
            <w:noWrap/>
            <w:vAlign w:val="center"/>
            <w:hideMark/>
          </w:tcPr>
          <w:p w14:paraId="76CD3897"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5</w:t>
            </w:r>
          </w:p>
        </w:tc>
        <w:tc>
          <w:tcPr>
            <w:tcW w:w="794" w:type="dxa"/>
            <w:tcBorders>
              <w:top w:val="single" w:sz="4" w:space="0" w:color="auto"/>
              <w:left w:val="nil"/>
              <w:bottom w:val="single" w:sz="4" w:space="0" w:color="auto"/>
              <w:right w:val="nil"/>
            </w:tcBorders>
            <w:shd w:val="clear" w:color="auto" w:fill="auto"/>
            <w:noWrap/>
            <w:vAlign w:val="center"/>
            <w:hideMark/>
          </w:tcPr>
          <w:p w14:paraId="3A010293"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6</w:t>
            </w:r>
          </w:p>
        </w:tc>
        <w:tc>
          <w:tcPr>
            <w:tcW w:w="794" w:type="dxa"/>
            <w:tcBorders>
              <w:top w:val="single" w:sz="4" w:space="0" w:color="auto"/>
              <w:left w:val="nil"/>
              <w:bottom w:val="single" w:sz="4" w:space="0" w:color="auto"/>
              <w:right w:val="nil"/>
            </w:tcBorders>
            <w:shd w:val="clear" w:color="auto" w:fill="auto"/>
            <w:noWrap/>
            <w:vAlign w:val="center"/>
            <w:hideMark/>
          </w:tcPr>
          <w:p w14:paraId="53CC95D8"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7</w:t>
            </w:r>
          </w:p>
        </w:tc>
        <w:tc>
          <w:tcPr>
            <w:tcW w:w="794" w:type="dxa"/>
            <w:tcBorders>
              <w:top w:val="single" w:sz="4" w:space="0" w:color="auto"/>
              <w:left w:val="nil"/>
              <w:bottom w:val="single" w:sz="4" w:space="0" w:color="auto"/>
              <w:right w:val="nil"/>
            </w:tcBorders>
            <w:shd w:val="clear" w:color="auto" w:fill="auto"/>
            <w:noWrap/>
            <w:vAlign w:val="center"/>
            <w:hideMark/>
          </w:tcPr>
          <w:p w14:paraId="6A9D7481"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8</w:t>
            </w:r>
          </w:p>
        </w:tc>
        <w:tc>
          <w:tcPr>
            <w:tcW w:w="794" w:type="dxa"/>
            <w:tcBorders>
              <w:top w:val="single" w:sz="4" w:space="0" w:color="auto"/>
              <w:left w:val="nil"/>
              <w:bottom w:val="single" w:sz="4" w:space="0" w:color="auto"/>
              <w:right w:val="nil"/>
            </w:tcBorders>
            <w:shd w:val="clear" w:color="auto" w:fill="auto"/>
            <w:noWrap/>
            <w:vAlign w:val="center"/>
            <w:hideMark/>
          </w:tcPr>
          <w:p w14:paraId="358B6E6D"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9</w:t>
            </w:r>
          </w:p>
        </w:tc>
        <w:tc>
          <w:tcPr>
            <w:tcW w:w="794" w:type="dxa"/>
            <w:tcBorders>
              <w:top w:val="single" w:sz="4" w:space="0" w:color="auto"/>
              <w:left w:val="nil"/>
              <w:bottom w:val="single" w:sz="4" w:space="0" w:color="auto"/>
              <w:right w:val="nil"/>
            </w:tcBorders>
            <w:shd w:val="clear" w:color="auto" w:fill="auto"/>
            <w:noWrap/>
            <w:vAlign w:val="center"/>
            <w:hideMark/>
          </w:tcPr>
          <w:p w14:paraId="41182536"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10</w:t>
            </w:r>
          </w:p>
        </w:tc>
        <w:tc>
          <w:tcPr>
            <w:tcW w:w="794" w:type="dxa"/>
            <w:tcBorders>
              <w:top w:val="single" w:sz="4" w:space="0" w:color="auto"/>
              <w:left w:val="nil"/>
              <w:bottom w:val="single" w:sz="4" w:space="0" w:color="auto"/>
              <w:right w:val="nil"/>
            </w:tcBorders>
            <w:shd w:val="clear" w:color="auto" w:fill="auto"/>
            <w:noWrap/>
            <w:vAlign w:val="center"/>
            <w:hideMark/>
          </w:tcPr>
          <w:p w14:paraId="56586BBF"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11</w:t>
            </w:r>
          </w:p>
        </w:tc>
        <w:tc>
          <w:tcPr>
            <w:tcW w:w="794" w:type="dxa"/>
            <w:tcBorders>
              <w:top w:val="single" w:sz="4" w:space="0" w:color="auto"/>
              <w:left w:val="nil"/>
              <w:bottom w:val="single" w:sz="4" w:space="0" w:color="auto"/>
              <w:right w:val="nil"/>
            </w:tcBorders>
            <w:shd w:val="clear" w:color="auto" w:fill="auto"/>
            <w:noWrap/>
            <w:vAlign w:val="center"/>
            <w:hideMark/>
          </w:tcPr>
          <w:p w14:paraId="192A6424"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12</w:t>
            </w:r>
          </w:p>
        </w:tc>
        <w:tc>
          <w:tcPr>
            <w:tcW w:w="794" w:type="dxa"/>
            <w:tcBorders>
              <w:top w:val="single" w:sz="4" w:space="0" w:color="auto"/>
              <w:left w:val="nil"/>
              <w:bottom w:val="single" w:sz="4" w:space="0" w:color="auto"/>
              <w:right w:val="nil"/>
            </w:tcBorders>
            <w:vAlign w:val="center"/>
          </w:tcPr>
          <w:p w14:paraId="0A50862F"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1</w:t>
            </w:r>
            <w:r>
              <w:rPr>
                <w:rFonts w:ascii="Times New Roman" w:eastAsia="Times New Roman" w:hAnsi="Times New Roman" w:cs="Times New Roman"/>
                <w:color w:val="000000"/>
                <w:sz w:val="20"/>
                <w:szCs w:val="20"/>
                <w:lang w:eastAsia="zh-CN"/>
              </w:rPr>
              <w:t>3</w:t>
            </w:r>
          </w:p>
        </w:tc>
      </w:tr>
      <w:tr w:rsidR="006967B2" w:rsidRPr="00332CDB" w14:paraId="0FDBE91D" w14:textId="77777777" w:rsidTr="00A12A53">
        <w:trPr>
          <w:trHeight w:val="312"/>
        </w:trPr>
        <w:tc>
          <w:tcPr>
            <w:tcW w:w="2659" w:type="dxa"/>
            <w:gridSpan w:val="3"/>
            <w:tcBorders>
              <w:top w:val="nil"/>
              <w:left w:val="nil"/>
              <w:bottom w:val="nil"/>
              <w:right w:val="nil"/>
            </w:tcBorders>
            <w:shd w:val="clear" w:color="auto" w:fill="auto"/>
            <w:noWrap/>
            <w:vAlign w:val="center"/>
            <w:hideMark/>
          </w:tcPr>
          <w:p w14:paraId="6B49C8D2" w14:textId="6C8377CC" w:rsidR="006967B2" w:rsidRPr="00A12A53" w:rsidRDefault="006967B2" w:rsidP="006967B2">
            <w:pPr>
              <w:spacing w:after="0" w:line="240" w:lineRule="auto"/>
              <w:rPr>
                <w:rFonts w:ascii="Times New Roman" w:eastAsia="Times New Roman" w:hAnsi="Times New Roman" w:cs="Times New Roman"/>
                <w:color w:val="000000"/>
                <w:sz w:val="20"/>
                <w:szCs w:val="20"/>
                <w:lang w:eastAsia="zh-CN"/>
              </w:rPr>
            </w:pPr>
            <w:r w:rsidRPr="00A12A53">
              <w:rPr>
                <w:rFonts w:ascii="Times New Roman" w:eastAsia="Times New Roman" w:hAnsi="Times New Roman" w:cs="Times New Roman"/>
                <w:i/>
                <w:color w:val="000000"/>
                <w:sz w:val="20"/>
                <w:szCs w:val="20"/>
                <w:lang w:eastAsia="zh-CN"/>
              </w:rPr>
              <w:t>Dependent variable:</w:t>
            </w:r>
            <w:r w:rsidRPr="00A12A53">
              <w:rPr>
                <w:rFonts w:ascii="Times New Roman" w:eastAsia="Times New Roman" w:hAnsi="Times New Roman" w:cs="Times New Roman"/>
                <w:color w:val="000000"/>
                <w:sz w:val="20"/>
                <w:szCs w:val="20"/>
                <w:lang w:eastAsia="zh-CN"/>
              </w:rPr>
              <w:t> </w:t>
            </w:r>
          </w:p>
        </w:tc>
        <w:tc>
          <w:tcPr>
            <w:tcW w:w="827" w:type="dxa"/>
            <w:tcBorders>
              <w:top w:val="nil"/>
              <w:left w:val="nil"/>
              <w:bottom w:val="nil"/>
              <w:right w:val="nil"/>
            </w:tcBorders>
            <w:shd w:val="clear" w:color="auto" w:fill="auto"/>
            <w:noWrap/>
            <w:vAlign w:val="center"/>
            <w:hideMark/>
          </w:tcPr>
          <w:p w14:paraId="08AA1E79" w14:textId="77777777" w:rsidR="006967B2" w:rsidRPr="00332CDB" w:rsidRDefault="006967B2"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672" w:type="dxa"/>
            <w:tcBorders>
              <w:top w:val="nil"/>
              <w:left w:val="nil"/>
              <w:bottom w:val="nil"/>
              <w:right w:val="nil"/>
            </w:tcBorders>
            <w:shd w:val="clear" w:color="auto" w:fill="auto"/>
            <w:noWrap/>
            <w:vAlign w:val="center"/>
            <w:hideMark/>
          </w:tcPr>
          <w:p w14:paraId="015FB6F1" w14:textId="77777777" w:rsidR="006967B2" w:rsidRPr="00332CDB" w:rsidRDefault="006967B2"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4FF9EAC1" w14:textId="77777777" w:rsidR="006967B2" w:rsidRPr="00332CDB" w:rsidRDefault="006967B2" w:rsidP="006967B2">
            <w:pPr>
              <w:spacing w:after="0" w:line="240" w:lineRule="auto"/>
              <w:ind w:left="-57" w:right="-57"/>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41AFD896"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1214DC12"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454B4F64"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753199A6"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0AE06BD8"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5E95FEBB"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3B5A2DCA"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0D9B80C4"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21A7A5A3"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378A2E2A"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shd w:val="clear" w:color="auto" w:fill="auto"/>
            <w:noWrap/>
            <w:vAlign w:val="bottom"/>
            <w:hideMark/>
          </w:tcPr>
          <w:p w14:paraId="4B19D3D4"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 </w:t>
            </w:r>
          </w:p>
        </w:tc>
        <w:tc>
          <w:tcPr>
            <w:tcW w:w="794" w:type="dxa"/>
            <w:tcBorders>
              <w:top w:val="nil"/>
              <w:left w:val="nil"/>
              <w:bottom w:val="nil"/>
              <w:right w:val="nil"/>
            </w:tcBorders>
          </w:tcPr>
          <w:p w14:paraId="38E04C4D" w14:textId="77777777" w:rsidR="006967B2" w:rsidRPr="00332CDB" w:rsidRDefault="006967B2" w:rsidP="000C469C">
            <w:pPr>
              <w:spacing w:after="0" w:line="240" w:lineRule="auto"/>
              <w:rPr>
                <w:rFonts w:ascii="Times New Roman" w:eastAsia="Times New Roman" w:hAnsi="Times New Roman" w:cs="Times New Roman"/>
                <w:color w:val="000000"/>
                <w:sz w:val="20"/>
                <w:szCs w:val="20"/>
                <w:lang w:eastAsia="zh-CN"/>
              </w:rPr>
            </w:pPr>
          </w:p>
        </w:tc>
      </w:tr>
      <w:tr w:rsidR="000C469C" w:rsidRPr="00332CDB" w14:paraId="166AA5C1" w14:textId="77777777" w:rsidTr="00A12A53">
        <w:trPr>
          <w:trHeight w:val="312"/>
        </w:trPr>
        <w:tc>
          <w:tcPr>
            <w:tcW w:w="416" w:type="dxa"/>
            <w:tcBorders>
              <w:top w:val="nil"/>
              <w:left w:val="nil"/>
              <w:bottom w:val="nil"/>
              <w:right w:val="nil"/>
            </w:tcBorders>
            <w:shd w:val="clear" w:color="auto" w:fill="auto"/>
            <w:noWrap/>
            <w:vAlign w:val="center"/>
            <w:hideMark/>
          </w:tcPr>
          <w:p w14:paraId="028AA76D"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1</w:t>
            </w:r>
          </w:p>
        </w:tc>
        <w:tc>
          <w:tcPr>
            <w:tcW w:w="1569" w:type="dxa"/>
            <w:tcBorders>
              <w:top w:val="nil"/>
              <w:left w:val="nil"/>
              <w:bottom w:val="nil"/>
              <w:right w:val="nil"/>
            </w:tcBorders>
            <w:shd w:val="clear" w:color="auto" w:fill="auto"/>
            <w:noWrap/>
            <w:vAlign w:val="center"/>
            <w:hideMark/>
          </w:tcPr>
          <w:p w14:paraId="1C45A251" w14:textId="77777777" w:rsidR="000C469C" w:rsidRPr="00A12A53" w:rsidRDefault="000C469C" w:rsidP="000C469C">
            <w:pPr>
              <w:spacing w:after="0" w:line="240" w:lineRule="auto"/>
              <w:rPr>
                <w:rFonts w:ascii="Times New Roman" w:eastAsia="Times New Roman" w:hAnsi="Times New Roman" w:cs="Times New Roman"/>
                <w:color w:val="000000"/>
                <w:sz w:val="20"/>
                <w:szCs w:val="20"/>
                <w:lang w:eastAsia="zh-CN"/>
              </w:rPr>
            </w:pPr>
            <w:r w:rsidRPr="00A12A53">
              <w:rPr>
                <w:rFonts w:ascii="Times New Roman" w:eastAsia="Times New Roman" w:hAnsi="Times New Roman" w:cs="Times New Roman"/>
                <w:color w:val="000000"/>
                <w:sz w:val="20"/>
                <w:szCs w:val="20"/>
                <w:lang w:eastAsia="zh-CN"/>
              </w:rPr>
              <w:t>Inst. Holdings</w:t>
            </w:r>
          </w:p>
        </w:tc>
        <w:tc>
          <w:tcPr>
            <w:tcW w:w="674" w:type="dxa"/>
            <w:tcBorders>
              <w:top w:val="nil"/>
              <w:left w:val="nil"/>
              <w:bottom w:val="nil"/>
              <w:right w:val="nil"/>
            </w:tcBorders>
            <w:shd w:val="clear" w:color="auto" w:fill="auto"/>
            <w:noWrap/>
            <w:vAlign w:val="center"/>
          </w:tcPr>
          <w:p w14:paraId="3670CD3A"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0.718</w:t>
            </w:r>
          </w:p>
        </w:tc>
        <w:tc>
          <w:tcPr>
            <w:tcW w:w="827" w:type="dxa"/>
            <w:tcBorders>
              <w:top w:val="nil"/>
              <w:left w:val="nil"/>
              <w:bottom w:val="nil"/>
              <w:right w:val="nil"/>
            </w:tcBorders>
            <w:shd w:val="clear" w:color="auto" w:fill="auto"/>
            <w:noWrap/>
            <w:vAlign w:val="center"/>
          </w:tcPr>
          <w:p w14:paraId="207E05B6"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0.736</w:t>
            </w:r>
          </w:p>
        </w:tc>
        <w:tc>
          <w:tcPr>
            <w:tcW w:w="672" w:type="dxa"/>
            <w:tcBorders>
              <w:top w:val="nil"/>
              <w:left w:val="nil"/>
              <w:bottom w:val="nil"/>
              <w:right w:val="nil"/>
            </w:tcBorders>
            <w:shd w:val="clear" w:color="auto" w:fill="auto"/>
            <w:noWrap/>
            <w:vAlign w:val="center"/>
          </w:tcPr>
          <w:p w14:paraId="1DADD037"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0.188</w:t>
            </w:r>
          </w:p>
        </w:tc>
        <w:tc>
          <w:tcPr>
            <w:tcW w:w="794" w:type="dxa"/>
            <w:tcBorders>
              <w:top w:val="nil"/>
              <w:left w:val="nil"/>
              <w:bottom w:val="nil"/>
              <w:right w:val="nil"/>
            </w:tcBorders>
            <w:shd w:val="clear" w:color="auto" w:fill="auto"/>
            <w:noWrap/>
            <w:vAlign w:val="center"/>
            <w:hideMark/>
          </w:tcPr>
          <w:p w14:paraId="30199131" w14:textId="77777777" w:rsidR="000C469C" w:rsidRPr="00393991" w:rsidRDefault="000C469C" w:rsidP="006967B2">
            <w:pPr>
              <w:spacing w:after="0" w:line="240" w:lineRule="auto"/>
              <w:ind w:left="-57" w:right="-57"/>
              <w:jc w:val="center"/>
              <w:rPr>
                <w:rFonts w:ascii="Times New Roman" w:hAnsi="Times New Roman" w:cs="Times New Roman"/>
                <w:color w:val="000000"/>
                <w:sz w:val="20"/>
                <w:szCs w:val="20"/>
              </w:rPr>
            </w:pPr>
            <w:r w:rsidRPr="00393991">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5FE3DC04"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437C6FC7"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7D8F578"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94DBDB4"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6739CAD"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0C4E5D1C"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556C0DB"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C31688D"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6E84BEA3"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592761D"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0ECA1CF7"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tcPr>
          <w:p w14:paraId="7AC5EEE4"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r>
      <w:tr w:rsidR="006967B2" w:rsidRPr="00332CDB" w14:paraId="0BBB2066" w14:textId="77777777" w:rsidTr="00A12A53">
        <w:trPr>
          <w:trHeight w:val="312"/>
        </w:trPr>
        <w:tc>
          <w:tcPr>
            <w:tcW w:w="2659" w:type="dxa"/>
            <w:gridSpan w:val="3"/>
            <w:tcBorders>
              <w:top w:val="nil"/>
              <w:left w:val="nil"/>
              <w:bottom w:val="nil"/>
              <w:right w:val="nil"/>
            </w:tcBorders>
            <w:shd w:val="clear" w:color="auto" w:fill="auto"/>
            <w:noWrap/>
            <w:vAlign w:val="center"/>
            <w:hideMark/>
          </w:tcPr>
          <w:p w14:paraId="59FD3150" w14:textId="08144232" w:rsidR="006967B2" w:rsidRPr="00A12A53" w:rsidRDefault="006967B2" w:rsidP="000C469C">
            <w:pPr>
              <w:spacing w:after="0" w:line="240" w:lineRule="auto"/>
              <w:rPr>
                <w:rFonts w:ascii="Times New Roman" w:eastAsia="Times New Roman" w:hAnsi="Times New Roman" w:cs="Times New Roman"/>
                <w:color w:val="000000"/>
                <w:sz w:val="20"/>
                <w:szCs w:val="20"/>
                <w:lang w:eastAsia="zh-CN"/>
              </w:rPr>
            </w:pPr>
            <w:r w:rsidRPr="00A12A53">
              <w:rPr>
                <w:rFonts w:ascii="Times New Roman" w:eastAsia="Times New Roman" w:hAnsi="Times New Roman" w:cs="Times New Roman"/>
                <w:i/>
                <w:color w:val="000000"/>
                <w:sz w:val="20"/>
                <w:szCs w:val="20"/>
                <w:lang w:eastAsia="zh-CN"/>
              </w:rPr>
              <w:t>Independent variable:</w:t>
            </w:r>
          </w:p>
        </w:tc>
        <w:tc>
          <w:tcPr>
            <w:tcW w:w="827" w:type="dxa"/>
            <w:tcBorders>
              <w:top w:val="nil"/>
              <w:left w:val="nil"/>
              <w:bottom w:val="nil"/>
              <w:right w:val="nil"/>
            </w:tcBorders>
            <w:shd w:val="clear" w:color="auto" w:fill="auto"/>
            <w:noWrap/>
            <w:vAlign w:val="bottom"/>
          </w:tcPr>
          <w:p w14:paraId="61599EE1" w14:textId="77777777" w:rsidR="006967B2" w:rsidRPr="00393991" w:rsidRDefault="006967B2" w:rsidP="000C469C">
            <w:pPr>
              <w:spacing w:after="0" w:line="240" w:lineRule="auto"/>
              <w:rPr>
                <w:rFonts w:ascii="Times New Roman" w:eastAsia="Times New Roman" w:hAnsi="Times New Roman" w:cs="Times New Roman"/>
                <w:sz w:val="20"/>
                <w:szCs w:val="20"/>
                <w:lang w:eastAsia="zh-CN"/>
              </w:rPr>
            </w:pPr>
          </w:p>
        </w:tc>
        <w:tc>
          <w:tcPr>
            <w:tcW w:w="672" w:type="dxa"/>
            <w:tcBorders>
              <w:top w:val="nil"/>
              <w:left w:val="nil"/>
              <w:bottom w:val="nil"/>
              <w:right w:val="nil"/>
            </w:tcBorders>
            <w:shd w:val="clear" w:color="auto" w:fill="auto"/>
            <w:noWrap/>
            <w:vAlign w:val="bottom"/>
          </w:tcPr>
          <w:p w14:paraId="46310F41" w14:textId="77777777" w:rsidR="006967B2" w:rsidRPr="00393991" w:rsidRDefault="006967B2" w:rsidP="000C469C">
            <w:pPr>
              <w:spacing w:after="0" w:line="240" w:lineRule="auto"/>
              <w:rPr>
                <w:rFonts w:ascii="Times New Roman" w:eastAsia="Times New Roman" w:hAnsi="Times New Roman" w:cs="Times New Roman"/>
                <w:sz w:val="20"/>
                <w:szCs w:val="20"/>
                <w:lang w:eastAsia="zh-CN"/>
              </w:rPr>
            </w:pPr>
          </w:p>
        </w:tc>
        <w:tc>
          <w:tcPr>
            <w:tcW w:w="794" w:type="dxa"/>
            <w:tcBorders>
              <w:top w:val="nil"/>
              <w:left w:val="nil"/>
              <w:bottom w:val="nil"/>
              <w:right w:val="nil"/>
            </w:tcBorders>
            <w:shd w:val="clear" w:color="auto" w:fill="auto"/>
            <w:noWrap/>
            <w:vAlign w:val="center"/>
          </w:tcPr>
          <w:p w14:paraId="63231192" w14:textId="77777777" w:rsidR="006967B2" w:rsidRPr="00393991" w:rsidRDefault="006967B2"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tcPr>
          <w:p w14:paraId="5365E987"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07BCB192"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6CF4D320"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07546F76"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4D44A6A8"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DBA5BFD"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167D466"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74C1E94"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E3DDF38"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06A93DD1"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25B51F91"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tcPr>
          <w:p w14:paraId="3088D0B3"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r>
      <w:tr w:rsidR="000C469C" w:rsidRPr="00332CDB" w14:paraId="43867E4D" w14:textId="77777777" w:rsidTr="00A12A53">
        <w:trPr>
          <w:trHeight w:val="312"/>
        </w:trPr>
        <w:tc>
          <w:tcPr>
            <w:tcW w:w="416" w:type="dxa"/>
            <w:tcBorders>
              <w:top w:val="nil"/>
              <w:left w:val="nil"/>
              <w:bottom w:val="nil"/>
              <w:right w:val="nil"/>
            </w:tcBorders>
            <w:shd w:val="clear" w:color="auto" w:fill="auto"/>
            <w:noWrap/>
            <w:vAlign w:val="center"/>
            <w:hideMark/>
          </w:tcPr>
          <w:p w14:paraId="24D69377"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2</w:t>
            </w:r>
          </w:p>
        </w:tc>
        <w:tc>
          <w:tcPr>
            <w:tcW w:w="1569" w:type="dxa"/>
            <w:tcBorders>
              <w:top w:val="nil"/>
              <w:left w:val="nil"/>
              <w:bottom w:val="nil"/>
              <w:right w:val="nil"/>
            </w:tcBorders>
            <w:shd w:val="clear" w:color="auto" w:fill="auto"/>
            <w:noWrap/>
            <w:vAlign w:val="center"/>
            <w:hideMark/>
          </w:tcPr>
          <w:p w14:paraId="56E40EBA" w14:textId="77777777" w:rsidR="000C469C" w:rsidRPr="00A12A53" w:rsidRDefault="000C469C" w:rsidP="000C469C">
            <w:pPr>
              <w:spacing w:after="0" w:line="240" w:lineRule="auto"/>
              <w:rPr>
                <w:rFonts w:ascii="Times New Roman" w:eastAsia="Times New Roman" w:hAnsi="Times New Roman" w:cs="Times New Roman"/>
                <w:color w:val="000000"/>
                <w:sz w:val="20"/>
                <w:szCs w:val="20"/>
                <w:lang w:eastAsia="zh-CN"/>
              </w:rPr>
            </w:pPr>
            <w:r w:rsidRPr="00A12A53">
              <w:rPr>
                <w:rFonts w:ascii="Times New Roman" w:eastAsia="Times New Roman" w:hAnsi="Times New Roman" w:cs="Times New Roman"/>
                <w:color w:val="000000"/>
                <w:sz w:val="20"/>
                <w:szCs w:val="20"/>
                <w:lang w:eastAsia="zh-CN"/>
              </w:rPr>
              <w:t>CEO Pay Gap</w:t>
            </w:r>
          </w:p>
        </w:tc>
        <w:tc>
          <w:tcPr>
            <w:tcW w:w="674" w:type="dxa"/>
            <w:tcBorders>
              <w:top w:val="nil"/>
              <w:left w:val="nil"/>
              <w:bottom w:val="nil"/>
              <w:right w:val="nil"/>
            </w:tcBorders>
            <w:shd w:val="clear" w:color="auto" w:fill="auto"/>
            <w:noWrap/>
            <w:vAlign w:val="center"/>
          </w:tcPr>
          <w:p w14:paraId="0615CEE4"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0.401</w:t>
            </w:r>
          </w:p>
        </w:tc>
        <w:tc>
          <w:tcPr>
            <w:tcW w:w="827" w:type="dxa"/>
            <w:tcBorders>
              <w:top w:val="nil"/>
              <w:left w:val="nil"/>
              <w:bottom w:val="nil"/>
              <w:right w:val="nil"/>
            </w:tcBorders>
            <w:shd w:val="clear" w:color="auto" w:fill="auto"/>
            <w:noWrap/>
            <w:vAlign w:val="center"/>
          </w:tcPr>
          <w:p w14:paraId="0DAEA1BA"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0.402</w:t>
            </w:r>
          </w:p>
        </w:tc>
        <w:tc>
          <w:tcPr>
            <w:tcW w:w="672" w:type="dxa"/>
            <w:tcBorders>
              <w:top w:val="nil"/>
              <w:left w:val="nil"/>
              <w:bottom w:val="nil"/>
              <w:right w:val="nil"/>
            </w:tcBorders>
            <w:shd w:val="clear" w:color="auto" w:fill="auto"/>
            <w:noWrap/>
            <w:vAlign w:val="center"/>
          </w:tcPr>
          <w:p w14:paraId="7F7F0614"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0.111</w:t>
            </w:r>
          </w:p>
        </w:tc>
        <w:tc>
          <w:tcPr>
            <w:tcW w:w="794" w:type="dxa"/>
            <w:tcBorders>
              <w:top w:val="nil"/>
              <w:left w:val="nil"/>
              <w:bottom w:val="nil"/>
              <w:right w:val="nil"/>
            </w:tcBorders>
            <w:shd w:val="clear" w:color="auto" w:fill="auto"/>
            <w:noWrap/>
            <w:vAlign w:val="center"/>
            <w:hideMark/>
          </w:tcPr>
          <w:p w14:paraId="47191F3B" w14:textId="2DE2104C" w:rsidR="000C469C" w:rsidRPr="00393991" w:rsidRDefault="000C469C" w:rsidP="006967B2">
            <w:pPr>
              <w:spacing w:after="0" w:line="240" w:lineRule="auto"/>
              <w:ind w:left="-57" w:right="-57"/>
              <w:jc w:val="center"/>
              <w:rPr>
                <w:rFonts w:ascii="Times New Roman" w:hAnsi="Times New Roman" w:cs="Times New Roman"/>
                <w:color w:val="000000"/>
                <w:sz w:val="20"/>
                <w:szCs w:val="20"/>
              </w:rPr>
            </w:pPr>
            <w:r w:rsidRPr="00393991">
              <w:rPr>
                <w:rFonts w:ascii="Times New Roman" w:hAnsi="Times New Roman" w:cs="Times New Roman"/>
                <w:color w:val="000000"/>
                <w:sz w:val="20"/>
                <w:szCs w:val="20"/>
              </w:rPr>
              <w:t>0.112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9CFFEEA" w14:textId="77777777" w:rsidR="000C469C" w:rsidRPr="00393991" w:rsidRDefault="000C469C" w:rsidP="006967B2">
            <w:pPr>
              <w:spacing w:after="0" w:line="240" w:lineRule="auto"/>
              <w:ind w:left="-57" w:right="-57"/>
              <w:jc w:val="center"/>
              <w:rPr>
                <w:rFonts w:ascii="Times New Roman" w:hAnsi="Times New Roman" w:cs="Times New Roman"/>
                <w:color w:val="000000"/>
                <w:sz w:val="20"/>
                <w:szCs w:val="20"/>
              </w:rPr>
            </w:pPr>
            <w:r w:rsidRPr="00393991">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2B7320BD"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ABBC24E"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01A2DC3"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75A5C64"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40975E44"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vAlign w:val="center"/>
            <w:hideMark/>
          </w:tcPr>
          <w:p w14:paraId="0A082CCD"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6AB5CA2"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270D9A7B"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4FEC1C40"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004AC9A"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tcPr>
          <w:p w14:paraId="3E5E5242" w14:textId="77777777" w:rsidR="000C469C" w:rsidRPr="006967B2" w:rsidRDefault="000C469C" w:rsidP="006967B2">
            <w:pPr>
              <w:tabs>
                <w:tab w:val="decimal" w:pos="220"/>
              </w:tabs>
              <w:spacing w:after="0" w:line="240" w:lineRule="auto"/>
              <w:jc w:val="center"/>
              <w:rPr>
                <w:rFonts w:ascii="Times New Roman" w:hAnsi="Times New Roman" w:cs="Times New Roman"/>
                <w:color w:val="000000"/>
                <w:sz w:val="20"/>
                <w:szCs w:val="20"/>
              </w:rPr>
            </w:pPr>
          </w:p>
        </w:tc>
      </w:tr>
      <w:tr w:rsidR="006967B2" w:rsidRPr="00332CDB" w14:paraId="709F8EEF" w14:textId="77777777" w:rsidTr="00A12A53">
        <w:trPr>
          <w:trHeight w:val="312"/>
        </w:trPr>
        <w:tc>
          <w:tcPr>
            <w:tcW w:w="2659" w:type="dxa"/>
            <w:gridSpan w:val="3"/>
            <w:tcBorders>
              <w:top w:val="nil"/>
              <w:left w:val="nil"/>
              <w:bottom w:val="nil"/>
              <w:right w:val="nil"/>
            </w:tcBorders>
            <w:shd w:val="clear" w:color="auto" w:fill="auto"/>
            <w:noWrap/>
            <w:vAlign w:val="center"/>
            <w:hideMark/>
          </w:tcPr>
          <w:p w14:paraId="5C5060EE" w14:textId="58196189" w:rsidR="006967B2" w:rsidRPr="00A12A53" w:rsidRDefault="006967B2" w:rsidP="000C469C">
            <w:pPr>
              <w:spacing w:after="0" w:line="240" w:lineRule="auto"/>
              <w:rPr>
                <w:rFonts w:ascii="Times New Roman" w:eastAsia="Times New Roman" w:hAnsi="Times New Roman" w:cs="Times New Roman"/>
                <w:color w:val="000000"/>
                <w:sz w:val="20"/>
                <w:szCs w:val="20"/>
                <w:lang w:eastAsia="zh-CN"/>
              </w:rPr>
            </w:pPr>
            <w:r w:rsidRPr="00A12A53">
              <w:rPr>
                <w:rFonts w:ascii="Times New Roman" w:eastAsia="Times New Roman" w:hAnsi="Times New Roman" w:cs="Times New Roman"/>
                <w:i/>
                <w:color w:val="000000"/>
                <w:sz w:val="20"/>
                <w:szCs w:val="20"/>
                <w:lang w:eastAsia="zh-CN"/>
              </w:rPr>
              <w:t>Control Variables</w:t>
            </w:r>
          </w:p>
        </w:tc>
        <w:tc>
          <w:tcPr>
            <w:tcW w:w="827" w:type="dxa"/>
            <w:tcBorders>
              <w:top w:val="nil"/>
              <w:left w:val="nil"/>
              <w:bottom w:val="nil"/>
              <w:right w:val="nil"/>
            </w:tcBorders>
            <w:shd w:val="clear" w:color="auto" w:fill="auto"/>
            <w:noWrap/>
            <w:vAlign w:val="center"/>
          </w:tcPr>
          <w:p w14:paraId="12A36F78" w14:textId="77777777" w:rsidR="006967B2" w:rsidRPr="00393991" w:rsidRDefault="006967B2" w:rsidP="000C469C">
            <w:pPr>
              <w:spacing w:after="0" w:line="240" w:lineRule="auto"/>
              <w:jc w:val="center"/>
              <w:rPr>
                <w:rFonts w:ascii="Times New Roman" w:eastAsia="Times New Roman" w:hAnsi="Times New Roman" w:cs="Times New Roman"/>
                <w:sz w:val="20"/>
                <w:szCs w:val="20"/>
                <w:lang w:eastAsia="zh-CN"/>
              </w:rPr>
            </w:pPr>
          </w:p>
        </w:tc>
        <w:tc>
          <w:tcPr>
            <w:tcW w:w="672" w:type="dxa"/>
            <w:tcBorders>
              <w:top w:val="nil"/>
              <w:left w:val="nil"/>
              <w:bottom w:val="nil"/>
              <w:right w:val="nil"/>
            </w:tcBorders>
            <w:shd w:val="clear" w:color="auto" w:fill="auto"/>
            <w:noWrap/>
            <w:vAlign w:val="center"/>
          </w:tcPr>
          <w:p w14:paraId="22F7FC61" w14:textId="77777777" w:rsidR="006967B2" w:rsidRPr="00393991" w:rsidRDefault="006967B2" w:rsidP="000C469C">
            <w:pPr>
              <w:spacing w:after="0" w:line="240" w:lineRule="auto"/>
              <w:jc w:val="center"/>
              <w:rPr>
                <w:rFonts w:ascii="Times New Roman" w:eastAsia="Times New Roman" w:hAnsi="Times New Roman" w:cs="Times New Roman"/>
                <w:sz w:val="20"/>
                <w:szCs w:val="20"/>
                <w:lang w:eastAsia="zh-CN"/>
              </w:rPr>
            </w:pPr>
          </w:p>
        </w:tc>
        <w:tc>
          <w:tcPr>
            <w:tcW w:w="794" w:type="dxa"/>
            <w:tcBorders>
              <w:top w:val="nil"/>
              <w:left w:val="nil"/>
              <w:bottom w:val="nil"/>
              <w:right w:val="nil"/>
            </w:tcBorders>
            <w:shd w:val="clear" w:color="auto" w:fill="auto"/>
            <w:noWrap/>
            <w:vAlign w:val="center"/>
            <w:hideMark/>
          </w:tcPr>
          <w:p w14:paraId="1E99C80B" w14:textId="77777777" w:rsidR="006967B2" w:rsidRPr="00393991" w:rsidRDefault="006967B2"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0C9C0752" w14:textId="77777777" w:rsidR="006967B2" w:rsidRPr="00393991" w:rsidRDefault="006967B2"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tcPr>
          <w:p w14:paraId="58D1868A"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9234D59"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A5B3AC7"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8EAD069"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634A5077"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vAlign w:val="center"/>
            <w:hideMark/>
          </w:tcPr>
          <w:p w14:paraId="34FDDD0B"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0A15B37C"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D935045"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77B5810"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1EE0DFD"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tcPr>
          <w:p w14:paraId="549B9B3E" w14:textId="77777777" w:rsidR="006967B2" w:rsidRPr="006967B2" w:rsidRDefault="006967B2" w:rsidP="006967B2">
            <w:pPr>
              <w:spacing w:after="0" w:line="240" w:lineRule="auto"/>
              <w:jc w:val="center"/>
              <w:rPr>
                <w:rFonts w:ascii="Times New Roman" w:hAnsi="Times New Roman" w:cs="Times New Roman"/>
                <w:color w:val="000000"/>
                <w:sz w:val="20"/>
                <w:szCs w:val="20"/>
              </w:rPr>
            </w:pPr>
          </w:p>
        </w:tc>
      </w:tr>
      <w:tr w:rsidR="000C469C" w:rsidRPr="00332CDB" w14:paraId="0495F0EC" w14:textId="77777777" w:rsidTr="00A12A53">
        <w:trPr>
          <w:trHeight w:val="312"/>
        </w:trPr>
        <w:tc>
          <w:tcPr>
            <w:tcW w:w="416" w:type="dxa"/>
            <w:tcBorders>
              <w:top w:val="nil"/>
              <w:left w:val="nil"/>
              <w:bottom w:val="nil"/>
              <w:right w:val="nil"/>
            </w:tcBorders>
            <w:shd w:val="clear" w:color="auto" w:fill="auto"/>
            <w:noWrap/>
            <w:vAlign w:val="center"/>
            <w:hideMark/>
          </w:tcPr>
          <w:p w14:paraId="343B58DE"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3</w:t>
            </w:r>
          </w:p>
        </w:tc>
        <w:tc>
          <w:tcPr>
            <w:tcW w:w="1569" w:type="dxa"/>
            <w:tcBorders>
              <w:top w:val="nil"/>
              <w:left w:val="nil"/>
              <w:bottom w:val="nil"/>
              <w:right w:val="nil"/>
            </w:tcBorders>
            <w:shd w:val="clear" w:color="auto" w:fill="auto"/>
            <w:noWrap/>
            <w:vAlign w:val="center"/>
            <w:hideMark/>
          </w:tcPr>
          <w:p w14:paraId="63CD01CE" w14:textId="77777777" w:rsidR="000C469C" w:rsidRPr="00A12A53" w:rsidRDefault="000C469C" w:rsidP="000C469C">
            <w:pPr>
              <w:spacing w:after="0" w:line="240" w:lineRule="auto"/>
              <w:rPr>
                <w:rFonts w:ascii="Times New Roman" w:eastAsia="Times New Roman" w:hAnsi="Times New Roman" w:cs="Times New Roman"/>
                <w:color w:val="000000"/>
                <w:sz w:val="20"/>
                <w:szCs w:val="20"/>
                <w:lang w:eastAsia="zh-CN"/>
              </w:rPr>
            </w:pPr>
            <w:r w:rsidRPr="00A12A53">
              <w:rPr>
                <w:rFonts w:ascii="Times New Roman" w:eastAsia="Times New Roman" w:hAnsi="Times New Roman" w:cs="Times New Roman"/>
                <w:color w:val="000000"/>
                <w:sz w:val="20"/>
                <w:szCs w:val="20"/>
                <w:lang w:eastAsia="zh-CN"/>
              </w:rPr>
              <w:t>Ln (Total Assets)</w:t>
            </w:r>
          </w:p>
        </w:tc>
        <w:tc>
          <w:tcPr>
            <w:tcW w:w="674" w:type="dxa"/>
            <w:tcBorders>
              <w:top w:val="nil"/>
              <w:left w:val="nil"/>
              <w:bottom w:val="nil"/>
              <w:right w:val="nil"/>
            </w:tcBorders>
            <w:shd w:val="clear" w:color="auto" w:fill="auto"/>
            <w:noWrap/>
            <w:vAlign w:val="center"/>
          </w:tcPr>
          <w:p w14:paraId="4ACB2EC7"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7.464</w:t>
            </w:r>
          </w:p>
        </w:tc>
        <w:tc>
          <w:tcPr>
            <w:tcW w:w="827" w:type="dxa"/>
            <w:tcBorders>
              <w:top w:val="nil"/>
              <w:left w:val="nil"/>
              <w:bottom w:val="nil"/>
              <w:right w:val="nil"/>
            </w:tcBorders>
            <w:shd w:val="clear" w:color="auto" w:fill="auto"/>
            <w:noWrap/>
            <w:vAlign w:val="center"/>
          </w:tcPr>
          <w:p w14:paraId="6FCE5431"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7.307</w:t>
            </w:r>
          </w:p>
        </w:tc>
        <w:tc>
          <w:tcPr>
            <w:tcW w:w="672" w:type="dxa"/>
            <w:tcBorders>
              <w:top w:val="nil"/>
              <w:left w:val="nil"/>
              <w:bottom w:val="nil"/>
              <w:right w:val="nil"/>
            </w:tcBorders>
            <w:shd w:val="clear" w:color="auto" w:fill="auto"/>
            <w:noWrap/>
            <w:vAlign w:val="center"/>
          </w:tcPr>
          <w:p w14:paraId="5980DC14"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1.493</w:t>
            </w:r>
          </w:p>
        </w:tc>
        <w:tc>
          <w:tcPr>
            <w:tcW w:w="794" w:type="dxa"/>
            <w:tcBorders>
              <w:top w:val="nil"/>
              <w:left w:val="nil"/>
              <w:bottom w:val="nil"/>
              <w:right w:val="nil"/>
            </w:tcBorders>
            <w:shd w:val="clear" w:color="auto" w:fill="auto"/>
            <w:noWrap/>
            <w:vAlign w:val="center"/>
            <w:hideMark/>
          </w:tcPr>
          <w:p w14:paraId="3F87C3E8" w14:textId="17D05108" w:rsidR="000C469C" w:rsidRPr="00393991" w:rsidRDefault="000C469C" w:rsidP="006967B2">
            <w:pPr>
              <w:spacing w:after="0" w:line="240" w:lineRule="auto"/>
              <w:ind w:left="-57" w:right="-57"/>
              <w:jc w:val="center"/>
              <w:rPr>
                <w:rFonts w:ascii="Times New Roman" w:hAnsi="Times New Roman" w:cs="Times New Roman"/>
                <w:color w:val="000000"/>
                <w:sz w:val="20"/>
                <w:szCs w:val="20"/>
              </w:rPr>
            </w:pPr>
            <w:r w:rsidRPr="00393991">
              <w:rPr>
                <w:rFonts w:ascii="Times New Roman" w:hAnsi="Times New Roman" w:cs="Times New Roman"/>
                <w:color w:val="000000"/>
                <w:sz w:val="20"/>
                <w:szCs w:val="20"/>
              </w:rPr>
              <w:t>0.037</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673708C" w14:textId="193A075A" w:rsidR="000C469C" w:rsidRPr="00393991" w:rsidRDefault="000C469C" w:rsidP="006967B2">
            <w:pPr>
              <w:spacing w:after="0" w:line="240" w:lineRule="auto"/>
              <w:ind w:left="-57" w:right="-57"/>
              <w:jc w:val="center"/>
              <w:rPr>
                <w:rFonts w:ascii="Times New Roman" w:hAnsi="Times New Roman" w:cs="Times New Roman"/>
                <w:color w:val="000000"/>
                <w:sz w:val="20"/>
                <w:szCs w:val="20"/>
              </w:rPr>
            </w:pPr>
            <w:r w:rsidRPr="00393991">
              <w:rPr>
                <w:rFonts w:ascii="Times New Roman" w:hAnsi="Times New Roman" w:cs="Times New Roman"/>
                <w:color w:val="000000"/>
                <w:sz w:val="20"/>
                <w:szCs w:val="20"/>
              </w:rPr>
              <w:t>0.127</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5B19FD3" w14:textId="77777777" w:rsidR="000C469C" w:rsidRPr="00393991" w:rsidRDefault="000C469C" w:rsidP="006967B2">
            <w:pPr>
              <w:spacing w:after="0" w:line="240" w:lineRule="auto"/>
              <w:ind w:left="-57" w:right="-57"/>
              <w:jc w:val="center"/>
              <w:rPr>
                <w:rFonts w:ascii="Times New Roman" w:hAnsi="Times New Roman" w:cs="Times New Roman"/>
                <w:color w:val="000000"/>
                <w:sz w:val="20"/>
                <w:szCs w:val="20"/>
              </w:rPr>
            </w:pPr>
            <w:r w:rsidRPr="00393991">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2A4D29E3"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6D4CA0D6"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2FC31480"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69F6358F"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vAlign w:val="center"/>
            <w:hideMark/>
          </w:tcPr>
          <w:p w14:paraId="25719E98"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2DDF96D"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68B673A8"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A7FE28D"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72311FD"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7775FDC9"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r>
      <w:tr w:rsidR="000C469C" w:rsidRPr="00332CDB" w14:paraId="32A84A47" w14:textId="77777777" w:rsidTr="00A12A53">
        <w:trPr>
          <w:trHeight w:val="312"/>
        </w:trPr>
        <w:tc>
          <w:tcPr>
            <w:tcW w:w="416" w:type="dxa"/>
            <w:tcBorders>
              <w:top w:val="nil"/>
              <w:left w:val="nil"/>
              <w:bottom w:val="nil"/>
              <w:right w:val="nil"/>
            </w:tcBorders>
            <w:shd w:val="clear" w:color="auto" w:fill="auto"/>
            <w:noWrap/>
            <w:vAlign w:val="center"/>
            <w:hideMark/>
          </w:tcPr>
          <w:p w14:paraId="07484C9A" w14:textId="77777777" w:rsidR="000C469C" w:rsidRPr="00332CDB"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32CDB">
              <w:rPr>
                <w:rFonts w:ascii="Times New Roman" w:eastAsia="Times New Roman" w:hAnsi="Times New Roman" w:cs="Times New Roman"/>
                <w:color w:val="000000"/>
                <w:sz w:val="20"/>
                <w:szCs w:val="20"/>
                <w:lang w:eastAsia="zh-CN"/>
              </w:rPr>
              <w:t>4</w:t>
            </w:r>
          </w:p>
        </w:tc>
        <w:tc>
          <w:tcPr>
            <w:tcW w:w="1569" w:type="dxa"/>
            <w:tcBorders>
              <w:top w:val="nil"/>
              <w:left w:val="nil"/>
              <w:bottom w:val="nil"/>
              <w:right w:val="nil"/>
            </w:tcBorders>
            <w:shd w:val="clear" w:color="auto" w:fill="auto"/>
            <w:noWrap/>
            <w:vAlign w:val="center"/>
            <w:hideMark/>
          </w:tcPr>
          <w:p w14:paraId="7BAF72A1" w14:textId="77777777" w:rsidR="000C469C" w:rsidRPr="00A12A53" w:rsidRDefault="000C469C" w:rsidP="000C469C">
            <w:pPr>
              <w:spacing w:after="0" w:line="240" w:lineRule="auto"/>
              <w:rPr>
                <w:rFonts w:ascii="Times New Roman" w:eastAsia="Times New Roman" w:hAnsi="Times New Roman" w:cs="Times New Roman"/>
                <w:color w:val="000000"/>
                <w:sz w:val="20"/>
                <w:szCs w:val="20"/>
                <w:lang w:eastAsia="zh-CN"/>
              </w:rPr>
            </w:pPr>
            <w:r w:rsidRPr="00A12A53">
              <w:rPr>
                <w:rFonts w:ascii="Times New Roman" w:eastAsia="Times New Roman" w:hAnsi="Times New Roman" w:cs="Times New Roman"/>
                <w:color w:val="000000"/>
                <w:sz w:val="20"/>
                <w:szCs w:val="20"/>
                <w:lang w:eastAsia="zh-CN"/>
              </w:rPr>
              <w:t>Sales Growth</w:t>
            </w:r>
          </w:p>
        </w:tc>
        <w:tc>
          <w:tcPr>
            <w:tcW w:w="674" w:type="dxa"/>
            <w:tcBorders>
              <w:top w:val="nil"/>
              <w:left w:val="nil"/>
              <w:bottom w:val="nil"/>
              <w:right w:val="nil"/>
            </w:tcBorders>
            <w:shd w:val="clear" w:color="auto" w:fill="auto"/>
            <w:noWrap/>
            <w:vAlign w:val="center"/>
          </w:tcPr>
          <w:p w14:paraId="14CD7DA8"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0.095</w:t>
            </w:r>
          </w:p>
        </w:tc>
        <w:tc>
          <w:tcPr>
            <w:tcW w:w="827" w:type="dxa"/>
            <w:tcBorders>
              <w:top w:val="nil"/>
              <w:left w:val="nil"/>
              <w:bottom w:val="nil"/>
              <w:right w:val="nil"/>
            </w:tcBorders>
            <w:shd w:val="clear" w:color="auto" w:fill="auto"/>
            <w:noWrap/>
            <w:vAlign w:val="center"/>
          </w:tcPr>
          <w:p w14:paraId="2A5A508D" w14:textId="77777777" w:rsidR="000C469C" w:rsidRPr="00393991"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393991">
              <w:rPr>
                <w:rFonts w:ascii="Times New Roman" w:hAnsi="Times New Roman" w:cs="Times New Roman"/>
                <w:color w:val="000000"/>
                <w:sz w:val="20"/>
                <w:szCs w:val="20"/>
              </w:rPr>
              <w:t>0.073</w:t>
            </w:r>
          </w:p>
        </w:tc>
        <w:tc>
          <w:tcPr>
            <w:tcW w:w="672" w:type="dxa"/>
            <w:tcBorders>
              <w:top w:val="nil"/>
              <w:left w:val="nil"/>
              <w:bottom w:val="nil"/>
              <w:right w:val="nil"/>
            </w:tcBorders>
            <w:shd w:val="clear" w:color="auto" w:fill="auto"/>
            <w:noWrap/>
            <w:vAlign w:val="center"/>
          </w:tcPr>
          <w:p w14:paraId="65D105BD" w14:textId="77777777" w:rsidR="000C469C" w:rsidRPr="00617780"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617780">
              <w:rPr>
                <w:rFonts w:ascii="Times New Roman" w:hAnsi="Times New Roman" w:cs="Times New Roman"/>
                <w:color w:val="000000"/>
                <w:sz w:val="20"/>
                <w:szCs w:val="20"/>
              </w:rPr>
              <w:t>0.213</w:t>
            </w:r>
          </w:p>
        </w:tc>
        <w:tc>
          <w:tcPr>
            <w:tcW w:w="794" w:type="dxa"/>
            <w:tcBorders>
              <w:top w:val="nil"/>
              <w:left w:val="nil"/>
              <w:bottom w:val="nil"/>
              <w:right w:val="nil"/>
            </w:tcBorders>
            <w:shd w:val="clear" w:color="auto" w:fill="auto"/>
            <w:noWrap/>
            <w:vAlign w:val="center"/>
            <w:hideMark/>
          </w:tcPr>
          <w:p w14:paraId="1ED61FAB" w14:textId="5AF28758" w:rsidR="000C469C" w:rsidRPr="00617780" w:rsidRDefault="000C469C" w:rsidP="006967B2">
            <w:pPr>
              <w:spacing w:after="0" w:line="240" w:lineRule="auto"/>
              <w:ind w:left="-57" w:right="-57"/>
              <w:jc w:val="center"/>
              <w:rPr>
                <w:rFonts w:ascii="Times New Roman" w:hAnsi="Times New Roman" w:cs="Times New Roman"/>
                <w:color w:val="000000"/>
                <w:sz w:val="20"/>
                <w:szCs w:val="20"/>
              </w:rPr>
            </w:pPr>
            <w:r w:rsidRPr="00617780">
              <w:rPr>
                <w:rFonts w:ascii="Times New Roman" w:hAnsi="Times New Roman" w:cs="Times New Roman"/>
                <w:color w:val="000000"/>
                <w:sz w:val="20"/>
                <w:szCs w:val="20"/>
              </w:rPr>
              <w:t>0.061</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1789AE34" w14:textId="48A0F199" w:rsidR="000C469C" w:rsidRPr="00617780" w:rsidRDefault="000C469C" w:rsidP="006967B2">
            <w:pPr>
              <w:spacing w:after="0" w:line="240" w:lineRule="auto"/>
              <w:ind w:left="-57" w:right="-57"/>
              <w:jc w:val="center"/>
              <w:rPr>
                <w:rFonts w:ascii="Times New Roman" w:hAnsi="Times New Roman" w:cs="Times New Roman"/>
                <w:color w:val="000000"/>
                <w:sz w:val="20"/>
                <w:szCs w:val="20"/>
              </w:rPr>
            </w:pPr>
            <w:r w:rsidRPr="00617780">
              <w:rPr>
                <w:rFonts w:ascii="Times New Roman" w:hAnsi="Times New Roman" w:cs="Times New Roman"/>
                <w:color w:val="000000"/>
                <w:sz w:val="20"/>
                <w:szCs w:val="20"/>
              </w:rPr>
              <w:t>-0.010</w:t>
            </w:r>
          </w:p>
        </w:tc>
        <w:tc>
          <w:tcPr>
            <w:tcW w:w="794" w:type="dxa"/>
            <w:tcBorders>
              <w:top w:val="nil"/>
              <w:left w:val="nil"/>
              <w:bottom w:val="nil"/>
              <w:right w:val="nil"/>
            </w:tcBorders>
            <w:shd w:val="clear" w:color="auto" w:fill="auto"/>
            <w:noWrap/>
            <w:vAlign w:val="center"/>
            <w:hideMark/>
          </w:tcPr>
          <w:p w14:paraId="17ECB485" w14:textId="09A4E410" w:rsidR="000C469C" w:rsidRPr="00617780" w:rsidRDefault="000C469C" w:rsidP="006967B2">
            <w:pPr>
              <w:spacing w:after="0" w:line="240" w:lineRule="auto"/>
              <w:ind w:left="-57" w:right="-57"/>
              <w:jc w:val="center"/>
              <w:rPr>
                <w:rFonts w:ascii="Times New Roman" w:hAnsi="Times New Roman" w:cs="Times New Roman"/>
                <w:color w:val="000000"/>
                <w:sz w:val="20"/>
                <w:szCs w:val="20"/>
              </w:rPr>
            </w:pPr>
            <w:r w:rsidRPr="00617780">
              <w:rPr>
                <w:rFonts w:ascii="Times New Roman" w:hAnsi="Times New Roman" w:cs="Times New Roman"/>
                <w:color w:val="000000"/>
                <w:sz w:val="20"/>
                <w:szCs w:val="20"/>
              </w:rPr>
              <w:t>-0.032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6ED60B8F" w14:textId="77777777" w:rsidR="000C469C" w:rsidRPr="00617780" w:rsidRDefault="000C469C" w:rsidP="006967B2">
            <w:pPr>
              <w:spacing w:after="0" w:line="240" w:lineRule="auto"/>
              <w:ind w:left="-57" w:right="-57"/>
              <w:jc w:val="center"/>
              <w:rPr>
                <w:rFonts w:ascii="Times New Roman" w:hAnsi="Times New Roman" w:cs="Times New Roman"/>
                <w:color w:val="000000"/>
                <w:sz w:val="20"/>
                <w:szCs w:val="20"/>
              </w:rPr>
            </w:pPr>
            <w:r w:rsidRPr="00617780">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24866476"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2C8D1EA"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D29F00C"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vAlign w:val="center"/>
            <w:hideMark/>
          </w:tcPr>
          <w:p w14:paraId="4CEAE7BB"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6AC8D602" w14:textId="77777777" w:rsidR="000C469C" w:rsidRPr="006967B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5C70C34"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02BFBEF"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226CDFE2"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45D5B5B2" w14:textId="77777777" w:rsidR="000C469C" w:rsidRPr="006967B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6B4F9703" w14:textId="77777777" w:rsidTr="00A12A53">
        <w:trPr>
          <w:trHeight w:val="312"/>
        </w:trPr>
        <w:tc>
          <w:tcPr>
            <w:tcW w:w="416" w:type="dxa"/>
            <w:tcBorders>
              <w:top w:val="nil"/>
              <w:left w:val="nil"/>
              <w:bottom w:val="nil"/>
              <w:right w:val="nil"/>
            </w:tcBorders>
            <w:shd w:val="clear" w:color="auto" w:fill="auto"/>
            <w:noWrap/>
            <w:vAlign w:val="center"/>
            <w:hideMark/>
          </w:tcPr>
          <w:p w14:paraId="7D364CBF"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5</w:t>
            </w:r>
          </w:p>
        </w:tc>
        <w:tc>
          <w:tcPr>
            <w:tcW w:w="1569" w:type="dxa"/>
            <w:tcBorders>
              <w:top w:val="nil"/>
              <w:left w:val="nil"/>
              <w:bottom w:val="nil"/>
              <w:right w:val="nil"/>
            </w:tcBorders>
            <w:shd w:val="clear" w:color="auto" w:fill="auto"/>
            <w:noWrap/>
            <w:vAlign w:val="center"/>
            <w:hideMark/>
          </w:tcPr>
          <w:p w14:paraId="272B3C1E" w14:textId="77777777" w:rsidR="000C469C" w:rsidRPr="00F152F2" w:rsidRDefault="000C469C" w:rsidP="000C469C">
            <w:pPr>
              <w:spacing w:after="0" w:line="240" w:lineRule="auto"/>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ROA</w:t>
            </w:r>
          </w:p>
        </w:tc>
        <w:tc>
          <w:tcPr>
            <w:tcW w:w="674" w:type="dxa"/>
            <w:tcBorders>
              <w:top w:val="nil"/>
              <w:left w:val="nil"/>
              <w:bottom w:val="nil"/>
              <w:right w:val="nil"/>
            </w:tcBorders>
            <w:shd w:val="clear" w:color="auto" w:fill="auto"/>
            <w:noWrap/>
            <w:vAlign w:val="center"/>
          </w:tcPr>
          <w:p w14:paraId="40AE00C6"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0.104</w:t>
            </w:r>
          </w:p>
        </w:tc>
        <w:tc>
          <w:tcPr>
            <w:tcW w:w="827" w:type="dxa"/>
            <w:tcBorders>
              <w:top w:val="nil"/>
              <w:left w:val="nil"/>
              <w:bottom w:val="nil"/>
              <w:right w:val="nil"/>
            </w:tcBorders>
            <w:shd w:val="clear" w:color="auto" w:fill="auto"/>
            <w:noWrap/>
            <w:vAlign w:val="center"/>
          </w:tcPr>
          <w:p w14:paraId="6E607668"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0.100</w:t>
            </w:r>
          </w:p>
        </w:tc>
        <w:tc>
          <w:tcPr>
            <w:tcW w:w="672" w:type="dxa"/>
            <w:tcBorders>
              <w:top w:val="nil"/>
              <w:left w:val="nil"/>
              <w:bottom w:val="nil"/>
              <w:right w:val="nil"/>
            </w:tcBorders>
            <w:shd w:val="clear" w:color="auto" w:fill="auto"/>
            <w:noWrap/>
            <w:vAlign w:val="center"/>
          </w:tcPr>
          <w:p w14:paraId="05AB62C1"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0.086</w:t>
            </w:r>
          </w:p>
        </w:tc>
        <w:tc>
          <w:tcPr>
            <w:tcW w:w="794" w:type="dxa"/>
            <w:tcBorders>
              <w:top w:val="nil"/>
              <w:left w:val="nil"/>
              <w:bottom w:val="nil"/>
              <w:right w:val="nil"/>
            </w:tcBorders>
            <w:shd w:val="clear" w:color="auto" w:fill="auto"/>
            <w:noWrap/>
            <w:vAlign w:val="center"/>
            <w:hideMark/>
          </w:tcPr>
          <w:p w14:paraId="1AF83A0B" w14:textId="3A39B7BC"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0.062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3FD766C0" w14:textId="497398F5"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0.053</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458DBAC7" w14:textId="79FDE44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0.058</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694334C4" w14:textId="246FD1A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0.230</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24C2030"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4D7BBB3C"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ECAD8EC"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vAlign w:val="center"/>
            <w:hideMark/>
          </w:tcPr>
          <w:p w14:paraId="66F08D54"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56AC72D"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C67E642"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8F954CF"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0375314"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557B03DA"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65F22724" w14:textId="77777777" w:rsidTr="00A12A53">
        <w:trPr>
          <w:trHeight w:val="312"/>
        </w:trPr>
        <w:tc>
          <w:tcPr>
            <w:tcW w:w="416" w:type="dxa"/>
            <w:tcBorders>
              <w:top w:val="nil"/>
              <w:left w:val="nil"/>
              <w:bottom w:val="nil"/>
              <w:right w:val="nil"/>
            </w:tcBorders>
            <w:shd w:val="clear" w:color="auto" w:fill="auto"/>
            <w:noWrap/>
            <w:vAlign w:val="center"/>
            <w:hideMark/>
          </w:tcPr>
          <w:p w14:paraId="67613F9B"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6</w:t>
            </w:r>
          </w:p>
        </w:tc>
        <w:tc>
          <w:tcPr>
            <w:tcW w:w="1569" w:type="dxa"/>
            <w:tcBorders>
              <w:top w:val="nil"/>
              <w:left w:val="nil"/>
              <w:bottom w:val="nil"/>
              <w:right w:val="nil"/>
            </w:tcBorders>
            <w:shd w:val="clear" w:color="auto" w:fill="auto"/>
            <w:noWrap/>
            <w:vAlign w:val="center"/>
            <w:hideMark/>
          </w:tcPr>
          <w:p w14:paraId="18D1FE58" w14:textId="08023841" w:rsidR="000C469C" w:rsidRPr="00F152F2" w:rsidRDefault="000C469C" w:rsidP="000C469C">
            <w:pPr>
              <w:spacing w:after="0" w:line="240" w:lineRule="auto"/>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Return</w:t>
            </w:r>
            <w:r w:rsidR="0011769C" w:rsidRPr="00F152F2">
              <w:rPr>
                <w:rFonts w:ascii="Times New Roman" w:eastAsia="Times New Roman" w:hAnsi="Times New Roman" w:cs="Times New Roman"/>
                <w:color w:val="000000"/>
                <w:sz w:val="20"/>
                <w:szCs w:val="20"/>
                <w:lang w:eastAsia="zh-CN"/>
              </w:rPr>
              <w:t>s</w:t>
            </w:r>
          </w:p>
        </w:tc>
        <w:tc>
          <w:tcPr>
            <w:tcW w:w="674" w:type="dxa"/>
            <w:tcBorders>
              <w:top w:val="nil"/>
              <w:left w:val="nil"/>
              <w:bottom w:val="nil"/>
              <w:right w:val="nil"/>
            </w:tcBorders>
            <w:shd w:val="clear" w:color="auto" w:fill="auto"/>
            <w:noWrap/>
            <w:vAlign w:val="center"/>
          </w:tcPr>
          <w:p w14:paraId="4B173210"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0.170</w:t>
            </w:r>
          </w:p>
        </w:tc>
        <w:tc>
          <w:tcPr>
            <w:tcW w:w="827" w:type="dxa"/>
            <w:tcBorders>
              <w:top w:val="nil"/>
              <w:left w:val="nil"/>
              <w:bottom w:val="nil"/>
              <w:right w:val="nil"/>
            </w:tcBorders>
            <w:shd w:val="clear" w:color="auto" w:fill="auto"/>
            <w:noWrap/>
            <w:vAlign w:val="center"/>
          </w:tcPr>
          <w:p w14:paraId="53E85D36"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0.117</w:t>
            </w:r>
          </w:p>
        </w:tc>
        <w:tc>
          <w:tcPr>
            <w:tcW w:w="672" w:type="dxa"/>
            <w:tcBorders>
              <w:top w:val="nil"/>
              <w:left w:val="nil"/>
              <w:bottom w:val="nil"/>
              <w:right w:val="nil"/>
            </w:tcBorders>
            <w:shd w:val="clear" w:color="auto" w:fill="auto"/>
            <w:noWrap/>
            <w:vAlign w:val="center"/>
          </w:tcPr>
          <w:p w14:paraId="144CD2D0"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0.466</w:t>
            </w:r>
          </w:p>
        </w:tc>
        <w:tc>
          <w:tcPr>
            <w:tcW w:w="794" w:type="dxa"/>
            <w:tcBorders>
              <w:top w:val="nil"/>
              <w:left w:val="nil"/>
              <w:bottom w:val="nil"/>
              <w:right w:val="nil"/>
            </w:tcBorders>
            <w:shd w:val="clear" w:color="auto" w:fill="auto"/>
            <w:noWrap/>
            <w:vAlign w:val="center"/>
            <w:hideMark/>
          </w:tcPr>
          <w:p w14:paraId="62402225" w14:textId="1D038998"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0.047</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16AC234" w14:textId="2C47F999"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0.038</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7A919CA" w14:textId="3F64D59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-0.007</w:t>
            </w:r>
          </w:p>
        </w:tc>
        <w:tc>
          <w:tcPr>
            <w:tcW w:w="794" w:type="dxa"/>
            <w:tcBorders>
              <w:top w:val="nil"/>
              <w:left w:val="nil"/>
              <w:bottom w:val="nil"/>
              <w:right w:val="nil"/>
            </w:tcBorders>
            <w:shd w:val="clear" w:color="auto" w:fill="auto"/>
            <w:noWrap/>
            <w:vAlign w:val="center"/>
            <w:hideMark/>
          </w:tcPr>
          <w:p w14:paraId="7D4F0623" w14:textId="66CBBAB0"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0.331</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BAB6FEA" w14:textId="2ACDEB7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0.230</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AF13FF2"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742EFBE1"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vAlign w:val="center"/>
            <w:hideMark/>
          </w:tcPr>
          <w:p w14:paraId="4981E631"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768BE98"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28648A10"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4114E2C"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6F0B6F8"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2BA7F86D"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763A58D7" w14:textId="77777777" w:rsidTr="00A12A53">
        <w:trPr>
          <w:trHeight w:val="312"/>
        </w:trPr>
        <w:tc>
          <w:tcPr>
            <w:tcW w:w="416" w:type="dxa"/>
            <w:tcBorders>
              <w:top w:val="nil"/>
              <w:left w:val="nil"/>
              <w:bottom w:val="nil"/>
              <w:right w:val="nil"/>
            </w:tcBorders>
            <w:shd w:val="clear" w:color="auto" w:fill="auto"/>
            <w:noWrap/>
            <w:vAlign w:val="center"/>
            <w:hideMark/>
          </w:tcPr>
          <w:p w14:paraId="15D47D1A"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7</w:t>
            </w:r>
          </w:p>
        </w:tc>
        <w:tc>
          <w:tcPr>
            <w:tcW w:w="1569" w:type="dxa"/>
            <w:tcBorders>
              <w:top w:val="nil"/>
              <w:left w:val="nil"/>
              <w:bottom w:val="nil"/>
              <w:right w:val="nil"/>
            </w:tcBorders>
            <w:shd w:val="clear" w:color="auto" w:fill="auto"/>
            <w:noWrap/>
            <w:vAlign w:val="center"/>
            <w:hideMark/>
          </w:tcPr>
          <w:p w14:paraId="13D00CF0" w14:textId="77777777" w:rsidR="000C469C" w:rsidRPr="00F152F2" w:rsidRDefault="000C469C" w:rsidP="000C469C">
            <w:pPr>
              <w:spacing w:after="0" w:line="240" w:lineRule="auto"/>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Leverage</w:t>
            </w:r>
          </w:p>
        </w:tc>
        <w:tc>
          <w:tcPr>
            <w:tcW w:w="674" w:type="dxa"/>
            <w:tcBorders>
              <w:top w:val="nil"/>
              <w:left w:val="nil"/>
              <w:bottom w:val="nil"/>
              <w:right w:val="nil"/>
            </w:tcBorders>
            <w:shd w:val="clear" w:color="auto" w:fill="auto"/>
            <w:noWrap/>
            <w:vAlign w:val="center"/>
          </w:tcPr>
          <w:p w14:paraId="2F8D1966"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0.184</w:t>
            </w:r>
          </w:p>
        </w:tc>
        <w:tc>
          <w:tcPr>
            <w:tcW w:w="827" w:type="dxa"/>
            <w:tcBorders>
              <w:top w:val="nil"/>
              <w:left w:val="nil"/>
              <w:bottom w:val="nil"/>
              <w:right w:val="nil"/>
            </w:tcBorders>
            <w:shd w:val="clear" w:color="auto" w:fill="auto"/>
            <w:noWrap/>
            <w:vAlign w:val="center"/>
          </w:tcPr>
          <w:p w14:paraId="53141919"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0.168</w:t>
            </w:r>
          </w:p>
        </w:tc>
        <w:tc>
          <w:tcPr>
            <w:tcW w:w="672" w:type="dxa"/>
            <w:tcBorders>
              <w:top w:val="nil"/>
              <w:left w:val="nil"/>
              <w:bottom w:val="nil"/>
              <w:right w:val="nil"/>
            </w:tcBorders>
            <w:shd w:val="clear" w:color="auto" w:fill="auto"/>
            <w:noWrap/>
            <w:vAlign w:val="center"/>
          </w:tcPr>
          <w:p w14:paraId="4513B304"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0.160</w:t>
            </w:r>
          </w:p>
        </w:tc>
        <w:tc>
          <w:tcPr>
            <w:tcW w:w="794" w:type="dxa"/>
            <w:tcBorders>
              <w:top w:val="nil"/>
              <w:left w:val="nil"/>
              <w:bottom w:val="nil"/>
              <w:right w:val="nil"/>
            </w:tcBorders>
            <w:shd w:val="clear" w:color="auto" w:fill="auto"/>
            <w:noWrap/>
            <w:vAlign w:val="center"/>
            <w:hideMark/>
          </w:tcPr>
          <w:p w14:paraId="1FC77F9D" w14:textId="1EEBB8EB"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-0.031</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437777BC" w14:textId="35E23FAE"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0.084</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9394EFF" w14:textId="67634E8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0.273</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6987577" w14:textId="4D0B4D8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-0.033</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1DF0E21" w14:textId="21FB689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-0.129</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52DCECD" w14:textId="0309440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-0.062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49633489"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vAlign w:val="center"/>
            <w:hideMark/>
          </w:tcPr>
          <w:p w14:paraId="7DE35018"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1484B13E"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41904933"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75513C6"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75E4827F"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5A6F2DBC"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6700D976" w14:textId="77777777" w:rsidTr="00A12A53">
        <w:trPr>
          <w:trHeight w:val="312"/>
        </w:trPr>
        <w:tc>
          <w:tcPr>
            <w:tcW w:w="416" w:type="dxa"/>
            <w:tcBorders>
              <w:top w:val="nil"/>
              <w:left w:val="nil"/>
              <w:bottom w:val="nil"/>
              <w:right w:val="nil"/>
            </w:tcBorders>
            <w:shd w:val="clear" w:color="auto" w:fill="auto"/>
            <w:noWrap/>
            <w:vAlign w:val="center"/>
            <w:hideMark/>
          </w:tcPr>
          <w:p w14:paraId="376F1E40"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8</w:t>
            </w:r>
          </w:p>
        </w:tc>
        <w:tc>
          <w:tcPr>
            <w:tcW w:w="1569" w:type="dxa"/>
            <w:tcBorders>
              <w:top w:val="nil"/>
              <w:left w:val="nil"/>
              <w:bottom w:val="nil"/>
              <w:right w:val="nil"/>
            </w:tcBorders>
            <w:shd w:val="clear" w:color="auto" w:fill="auto"/>
            <w:noWrap/>
            <w:vAlign w:val="center"/>
            <w:hideMark/>
          </w:tcPr>
          <w:p w14:paraId="3CE857B0" w14:textId="77777777" w:rsidR="000C469C" w:rsidRPr="00F152F2" w:rsidRDefault="000C469C" w:rsidP="000C469C">
            <w:pPr>
              <w:spacing w:after="0" w:line="240" w:lineRule="auto"/>
              <w:rPr>
                <w:rFonts w:ascii="Times New Roman" w:eastAsia="Times New Roman" w:hAnsi="Times New Roman" w:cs="Times New Roman"/>
                <w:color w:val="000000"/>
                <w:sz w:val="20"/>
                <w:szCs w:val="20"/>
                <w:lang w:eastAsia="zh-CN"/>
              </w:rPr>
            </w:pPr>
            <w:proofErr w:type="spellStart"/>
            <w:r w:rsidRPr="00F152F2">
              <w:rPr>
                <w:rFonts w:ascii="Times New Roman" w:eastAsia="Times New Roman" w:hAnsi="Times New Roman" w:cs="Times New Roman"/>
                <w:color w:val="000000"/>
                <w:sz w:val="20"/>
                <w:szCs w:val="20"/>
                <w:lang w:eastAsia="zh-CN"/>
              </w:rPr>
              <w:t>σ</w:t>
            </w:r>
            <w:r w:rsidRPr="00F152F2">
              <w:rPr>
                <w:rFonts w:ascii="Times New Roman" w:eastAsia="Times New Roman" w:hAnsi="Times New Roman" w:cs="Times New Roman"/>
                <w:color w:val="000000"/>
                <w:sz w:val="20"/>
                <w:szCs w:val="20"/>
                <w:vertAlign w:val="subscript"/>
                <w:lang w:eastAsia="zh-CN"/>
              </w:rPr>
              <w:t>ROA</w:t>
            </w:r>
            <w:proofErr w:type="spellEnd"/>
          </w:p>
        </w:tc>
        <w:tc>
          <w:tcPr>
            <w:tcW w:w="674" w:type="dxa"/>
            <w:tcBorders>
              <w:top w:val="nil"/>
              <w:left w:val="nil"/>
              <w:bottom w:val="nil"/>
              <w:right w:val="nil"/>
            </w:tcBorders>
            <w:shd w:val="clear" w:color="auto" w:fill="auto"/>
            <w:noWrap/>
            <w:vAlign w:val="center"/>
          </w:tcPr>
          <w:p w14:paraId="3878DDFE"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0.018</w:t>
            </w:r>
          </w:p>
        </w:tc>
        <w:tc>
          <w:tcPr>
            <w:tcW w:w="827" w:type="dxa"/>
            <w:tcBorders>
              <w:top w:val="nil"/>
              <w:left w:val="nil"/>
              <w:bottom w:val="nil"/>
              <w:right w:val="nil"/>
            </w:tcBorders>
            <w:shd w:val="clear" w:color="auto" w:fill="auto"/>
            <w:noWrap/>
            <w:vAlign w:val="center"/>
          </w:tcPr>
          <w:p w14:paraId="0FE93810"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0.011</w:t>
            </w:r>
          </w:p>
        </w:tc>
        <w:tc>
          <w:tcPr>
            <w:tcW w:w="672" w:type="dxa"/>
            <w:tcBorders>
              <w:top w:val="nil"/>
              <w:left w:val="nil"/>
              <w:bottom w:val="nil"/>
              <w:right w:val="nil"/>
            </w:tcBorders>
            <w:shd w:val="clear" w:color="auto" w:fill="auto"/>
            <w:noWrap/>
            <w:vAlign w:val="center"/>
          </w:tcPr>
          <w:p w14:paraId="011868AD"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0.023</w:t>
            </w:r>
          </w:p>
        </w:tc>
        <w:tc>
          <w:tcPr>
            <w:tcW w:w="794" w:type="dxa"/>
            <w:tcBorders>
              <w:top w:val="nil"/>
              <w:left w:val="nil"/>
              <w:bottom w:val="nil"/>
              <w:right w:val="nil"/>
            </w:tcBorders>
            <w:shd w:val="clear" w:color="auto" w:fill="auto"/>
            <w:noWrap/>
            <w:vAlign w:val="center"/>
            <w:hideMark/>
          </w:tcPr>
          <w:p w14:paraId="2074646E" w14:textId="2D97DA1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-0.052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C3D908D" w14:textId="7702CE3F"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-0.056</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0DF463A" w14:textId="1F6C921E"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-0.172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0960ED4" w14:textId="543C3963"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-0.057</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37C39E74" w14:textId="50CD752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-0.210</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66A28DE6" w14:textId="003988F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-0.098</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52A8E85" w14:textId="2DA0CD56"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-0.016</w:t>
            </w:r>
            <w:r w:rsidR="00A12A53" w:rsidRPr="00F152F2">
              <w:rPr>
                <w:rFonts w:ascii="Times New Roman" w:hAnsi="Times New Roman" w:cs="Times New Roman"/>
                <w:color w:val="000000"/>
                <w:sz w:val="20"/>
                <w:szCs w:val="20"/>
                <w:vertAlign w:val="superscript"/>
              </w:rPr>
              <w:t>b</w:t>
            </w:r>
          </w:p>
        </w:tc>
        <w:tc>
          <w:tcPr>
            <w:tcW w:w="794" w:type="dxa"/>
            <w:tcBorders>
              <w:top w:val="nil"/>
              <w:left w:val="nil"/>
              <w:bottom w:val="nil"/>
              <w:right w:val="nil"/>
            </w:tcBorders>
            <w:shd w:val="clear" w:color="auto" w:fill="auto"/>
            <w:vAlign w:val="center"/>
            <w:hideMark/>
          </w:tcPr>
          <w:p w14:paraId="4CAA2F40"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37E38729"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2EC512BA"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596C3373"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26FEA05D"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115AE49B"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0CEF7267" w14:textId="77777777" w:rsidTr="00A12A53">
        <w:trPr>
          <w:trHeight w:val="312"/>
        </w:trPr>
        <w:tc>
          <w:tcPr>
            <w:tcW w:w="416" w:type="dxa"/>
            <w:tcBorders>
              <w:top w:val="nil"/>
              <w:left w:val="nil"/>
              <w:bottom w:val="nil"/>
              <w:right w:val="nil"/>
            </w:tcBorders>
            <w:shd w:val="clear" w:color="auto" w:fill="auto"/>
            <w:noWrap/>
            <w:vAlign w:val="center"/>
            <w:hideMark/>
          </w:tcPr>
          <w:p w14:paraId="26A364D4"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9</w:t>
            </w:r>
          </w:p>
        </w:tc>
        <w:tc>
          <w:tcPr>
            <w:tcW w:w="1569" w:type="dxa"/>
            <w:tcBorders>
              <w:top w:val="nil"/>
              <w:left w:val="nil"/>
              <w:bottom w:val="nil"/>
              <w:right w:val="nil"/>
            </w:tcBorders>
            <w:shd w:val="clear" w:color="auto" w:fill="auto"/>
            <w:noWrap/>
            <w:vAlign w:val="center"/>
            <w:hideMark/>
          </w:tcPr>
          <w:p w14:paraId="655FCE23" w14:textId="77777777" w:rsidR="000C469C" w:rsidRPr="00F152F2" w:rsidRDefault="000C469C" w:rsidP="000C469C">
            <w:pPr>
              <w:spacing w:after="0" w:line="240" w:lineRule="auto"/>
              <w:rPr>
                <w:rFonts w:ascii="Times New Roman" w:eastAsia="Times New Roman" w:hAnsi="Times New Roman" w:cs="Times New Roman"/>
                <w:color w:val="000000"/>
                <w:sz w:val="20"/>
                <w:szCs w:val="20"/>
                <w:lang w:eastAsia="zh-CN"/>
              </w:rPr>
            </w:pPr>
            <w:proofErr w:type="spellStart"/>
            <w:r w:rsidRPr="00F152F2">
              <w:rPr>
                <w:rFonts w:ascii="Times New Roman" w:eastAsia="Times New Roman" w:hAnsi="Times New Roman" w:cs="Times New Roman"/>
                <w:color w:val="000000"/>
                <w:sz w:val="20"/>
                <w:szCs w:val="20"/>
                <w:lang w:eastAsia="zh-CN"/>
              </w:rPr>
              <w:t>σ</w:t>
            </w:r>
            <w:r w:rsidRPr="00F152F2">
              <w:rPr>
                <w:rFonts w:ascii="Times New Roman" w:eastAsia="Times New Roman" w:hAnsi="Times New Roman" w:cs="Times New Roman"/>
                <w:color w:val="000000"/>
                <w:sz w:val="20"/>
                <w:szCs w:val="20"/>
                <w:vertAlign w:val="subscript"/>
                <w:lang w:eastAsia="zh-CN"/>
              </w:rPr>
              <w:t>OCF</w:t>
            </w:r>
            <w:proofErr w:type="spellEnd"/>
          </w:p>
        </w:tc>
        <w:tc>
          <w:tcPr>
            <w:tcW w:w="674" w:type="dxa"/>
            <w:tcBorders>
              <w:top w:val="nil"/>
              <w:left w:val="nil"/>
              <w:bottom w:val="nil"/>
              <w:right w:val="nil"/>
            </w:tcBorders>
            <w:shd w:val="clear" w:color="auto" w:fill="auto"/>
            <w:noWrap/>
            <w:vAlign w:val="center"/>
          </w:tcPr>
          <w:p w14:paraId="27740C9A"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0.049</w:t>
            </w:r>
          </w:p>
        </w:tc>
        <w:tc>
          <w:tcPr>
            <w:tcW w:w="827" w:type="dxa"/>
            <w:tcBorders>
              <w:top w:val="nil"/>
              <w:left w:val="nil"/>
              <w:bottom w:val="nil"/>
              <w:right w:val="nil"/>
            </w:tcBorders>
            <w:shd w:val="clear" w:color="auto" w:fill="auto"/>
            <w:noWrap/>
            <w:vAlign w:val="center"/>
          </w:tcPr>
          <w:p w14:paraId="2A143B66"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0.044</w:t>
            </w:r>
          </w:p>
        </w:tc>
        <w:tc>
          <w:tcPr>
            <w:tcW w:w="672" w:type="dxa"/>
            <w:tcBorders>
              <w:top w:val="nil"/>
              <w:left w:val="nil"/>
              <w:bottom w:val="nil"/>
              <w:right w:val="nil"/>
            </w:tcBorders>
            <w:shd w:val="clear" w:color="auto" w:fill="auto"/>
            <w:noWrap/>
            <w:vAlign w:val="center"/>
          </w:tcPr>
          <w:p w14:paraId="65378E85"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0.025</w:t>
            </w:r>
          </w:p>
        </w:tc>
        <w:tc>
          <w:tcPr>
            <w:tcW w:w="794" w:type="dxa"/>
            <w:tcBorders>
              <w:top w:val="nil"/>
              <w:left w:val="nil"/>
              <w:bottom w:val="nil"/>
              <w:right w:val="nil"/>
            </w:tcBorders>
            <w:shd w:val="clear" w:color="auto" w:fill="auto"/>
            <w:noWrap/>
            <w:vAlign w:val="center"/>
            <w:hideMark/>
          </w:tcPr>
          <w:p w14:paraId="1F6375AF" w14:textId="586EE984"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-0.004</w:t>
            </w:r>
          </w:p>
        </w:tc>
        <w:tc>
          <w:tcPr>
            <w:tcW w:w="794" w:type="dxa"/>
            <w:tcBorders>
              <w:top w:val="nil"/>
              <w:left w:val="nil"/>
              <w:bottom w:val="nil"/>
              <w:right w:val="nil"/>
            </w:tcBorders>
            <w:shd w:val="clear" w:color="auto" w:fill="auto"/>
            <w:noWrap/>
            <w:vAlign w:val="center"/>
            <w:hideMark/>
          </w:tcPr>
          <w:p w14:paraId="45A68D98" w14:textId="5E68EF50"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-0.035</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192E3F3" w14:textId="0540D0A5"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-0.184</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1B3FB20D" w14:textId="6517DD6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0.039</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759E6F37" w14:textId="5B257FBB"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0.349</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A1D90A8" w14:textId="6B77005F"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0.084</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3B436AA7" w14:textId="46E3C8A8"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-0.203</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vAlign w:val="center"/>
            <w:hideMark/>
          </w:tcPr>
          <w:p w14:paraId="245F588B" w14:textId="13C627E8" w:rsidR="000C469C" w:rsidRPr="00F152F2" w:rsidRDefault="000C469C" w:rsidP="006967B2">
            <w:pPr>
              <w:spacing w:after="0" w:line="240" w:lineRule="auto"/>
              <w:ind w:left="-57" w:right="-57"/>
              <w:jc w:val="center"/>
              <w:rPr>
                <w:rFonts w:ascii="Times New Roman" w:hAnsi="Times New Roman" w:cs="Times New Roman"/>
                <w:color w:val="000000"/>
                <w:sz w:val="20"/>
                <w:szCs w:val="20"/>
                <w:vertAlign w:val="superscript"/>
              </w:rPr>
            </w:pPr>
            <w:r w:rsidRPr="00F152F2">
              <w:rPr>
                <w:rFonts w:ascii="Times New Roman" w:hAnsi="Times New Roman" w:cs="Times New Roman"/>
                <w:color w:val="000000"/>
                <w:sz w:val="20"/>
                <w:szCs w:val="20"/>
              </w:rPr>
              <w:t>0.269</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78D49818"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0EDBDB7D"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23800D2C"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028624C2"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6F3CDCCC"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3AA77436" w14:textId="77777777" w:rsidTr="00A12A53">
        <w:trPr>
          <w:trHeight w:val="312"/>
        </w:trPr>
        <w:tc>
          <w:tcPr>
            <w:tcW w:w="416" w:type="dxa"/>
            <w:tcBorders>
              <w:top w:val="nil"/>
              <w:left w:val="nil"/>
              <w:bottom w:val="nil"/>
              <w:right w:val="nil"/>
            </w:tcBorders>
            <w:shd w:val="clear" w:color="auto" w:fill="auto"/>
            <w:noWrap/>
            <w:vAlign w:val="center"/>
            <w:hideMark/>
          </w:tcPr>
          <w:p w14:paraId="5904A060"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10</w:t>
            </w:r>
          </w:p>
        </w:tc>
        <w:tc>
          <w:tcPr>
            <w:tcW w:w="1569" w:type="dxa"/>
            <w:tcBorders>
              <w:top w:val="nil"/>
              <w:left w:val="nil"/>
              <w:bottom w:val="nil"/>
              <w:right w:val="nil"/>
            </w:tcBorders>
            <w:shd w:val="clear" w:color="auto" w:fill="auto"/>
            <w:noWrap/>
            <w:vAlign w:val="center"/>
            <w:hideMark/>
          </w:tcPr>
          <w:p w14:paraId="21895D3E" w14:textId="77777777" w:rsidR="000C469C" w:rsidRPr="00F152F2" w:rsidRDefault="000C469C" w:rsidP="000C469C">
            <w:pPr>
              <w:spacing w:after="0" w:line="240" w:lineRule="auto"/>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Capex</w:t>
            </w:r>
          </w:p>
        </w:tc>
        <w:tc>
          <w:tcPr>
            <w:tcW w:w="674" w:type="dxa"/>
            <w:tcBorders>
              <w:top w:val="nil"/>
              <w:left w:val="nil"/>
              <w:bottom w:val="nil"/>
              <w:right w:val="nil"/>
            </w:tcBorders>
            <w:shd w:val="clear" w:color="auto" w:fill="auto"/>
            <w:noWrap/>
            <w:vAlign w:val="center"/>
          </w:tcPr>
          <w:p w14:paraId="2DCAC940"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0.052</w:t>
            </w:r>
          </w:p>
        </w:tc>
        <w:tc>
          <w:tcPr>
            <w:tcW w:w="827" w:type="dxa"/>
            <w:tcBorders>
              <w:top w:val="nil"/>
              <w:left w:val="nil"/>
              <w:bottom w:val="nil"/>
              <w:right w:val="nil"/>
            </w:tcBorders>
            <w:shd w:val="clear" w:color="auto" w:fill="auto"/>
            <w:noWrap/>
            <w:vAlign w:val="center"/>
          </w:tcPr>
          <w:p w14:paraId="579758CA"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0.038</w:t>
            </w:r>
          </w:p>
        </w:tc>
        <w:tc>
          <w:tcPr>
            <w:tcW w:w="672" w:type="dxa"/>
            <w:tcBorders>
              <w:top w:val="nil"/>
              <w:left w:val="nil"/>
              <w:bottom w:val="nil"/>
              <w:right w:val="nil"/>
            </w:tcBorders>
            <w:shd w:val="clear" w:color="auto" w:fill="auto"/>
            <w:noWrap/>
            <w:vAlign w:val="center"/>
          </w:tcPr>
          <w:p w14:paraId="64363498"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0.044</w:t>
            </w:r>
          </w:p>
        </w:tc>
        <w:tc>
          <w:tcPr>
            <w:tcW w:w="794" w:type="dxa"/>
            <w:tcBorders>
              <w:top w:val="nil"/>
              <w:left w:val="nil"/>
              <w:bottom w:val="nil"/>
              <w:right w:val="nil"/>
            </w:tcBorders>
            <w:shd w:val="clear" w:color="auto" w:fill="auto"/>
            <w:noWrap/>
            <w:vAlign w:val="center"/>
            <w:hideMark/>
          </w:tcPr>
          <w:p w14:paraId="0E8C84B0" w14:textId="708A3119"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-0.052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3FCB02C5" w14:textId="23A00A10"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-0.047</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6A360732" w14:textId="332FC622"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0.023</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35BEFBE1" w14:textId="0D5B335B"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0.085</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7AD1C418" w14:textId="5F0B73D6"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0.108</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5C5CD95C" w14:textId="3C899782"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0.072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710B7603" w14:textId="4332051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0.046</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vAlign w:val="center"/>
            <w:hideMark/>
          </w:tcPr>
          <w:p w14:paraId="5FBB37E4" w14:textId="24EC2070"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0.044</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C5C07C3" w14:textId="646F02AF"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0.169</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61A286D3"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331B3554"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center"/>
            <w:hideMark/>
          </w:tcPr>
          <w:p w14:paraId="35D9A7D7"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7A08B227"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1BDB8E0B" w14:textId="77777777" w:rsidTr="00A12A53">
        <w:trPr>
          <w:trHeight w:val="312"/>
        </w:trPr>
        <w:tc>
          <w:tcPr>
            <w:tcW w:w="416" w:type="dxa"/>
            <w:tcBorders>
              <w:top w:val="nil"/>
              <w:left w:val="nil"/>
              <w:bottom w:val="nil"/>
              <w:right w:val="nil"/>
            </w:tcBorders>
            <w:shd w:val="clear" w:color="auto" w:fill="auto"/>
            <w:noWrap/>
            <w:vAlign w:val="center"/>
            <w:hideMark/>
          </w:tcPr>
          <w:p w14:paraId="452200C7"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11</w:t>
            </w:r>
          </w:p>
        </w:tc>
        <w:tc>
          <w:tcPr>
            <w:tcW w:w="1569" w:type="dxa"/>
            <w:tcBorders>
              <w:top w:val="nil"/>
              <w:left w:val="nil"/>
              <w:bottom w:val="nil"/>
              <w:right w:val="nil"/>
            </w:tcBorders>
            <w:shd w:val="clear" w:color="auto" w:fill="auto"/>
            <w:noWrap/>
            <w:vAlign w:val="center"/>
            <w:hideMark/>
          </w:tcPr>
          <w:p w14:paraId="44849EDF" w14:textId="77777777" w:rsidR="000C469C" w:rsidRPr="00F152F2" w:rsidRDefault="000C469C" w:rsidP="000C469C">
            <w:pPr>
              <w:spacing w:after="0" w:line="240" w:lineRule="auto"/>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R&amp;D</w:t>
            </w:r>
          </w:p>
        </w:tc>
        <w:tc>
          <w:tcPr>
            <w:tcW w:w="674" w:type="dxa"/>
            <w:tcBorders>
              <w:top w:val="nil"/>
              <w:left w:val="nil"/>
              <w:bottom w:val="nil"/>
              <w:right w:val="nil"/>
            </w:tcBorders>
            <w:shd w:val="clear" w:color="auto" w:fill="auto"/>
            <w:noWrap/>
            <w:vAlign w:val="center"/>
          </w:tcPr>
          <w:p w14:paraId="2ECF9CEA"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0.032</w:t>
            </w:r>
          </w:p>
        </w:tc>
        <w:tc>
          <w:tcPr>
            <w:tcW w:w="827" w:type="dxa"/>
            <w:tcBorders>
              <w:top w:val="nil"/>
              <w:left w:val="nil"/>
              <w:bottom w:val="nil"/>
              <w:right w:val="nil"/>
            </w:tcBorders>
            <w:shd w:val="clear" w:color="auto" w:fill="auto"/>
            <w:noWrap/>
            <w:vAlign w:val="center"/>
          </w:tcPr>
          <w:p w14:paraId="6DC396EB"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0.008</w:t>
            </w:r>
          </w:p>
        </w:tc>
        <w:tc>
          <w:tcPr>
            <w:tcW w:w="672" w:type="dxa"/>
            <w:tcBorders>
              <w:top w:val="nil"/>
              <w:left w:val="nil"/>
              <w:bottom w:val="nil"/>
              <w:right w:val="nil"/>
            </w:tcBorders>
            <w:shd w:val="clear" w:color="auto" w:fill="auto"/>
            <w:noWrap/>
            <w:vAlign w:val="center"/>
          </w:tcPr>
          <w:p w14:paraId="0381B461"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0.048</w:t>
            </w:r>
          </w:p>
        </w:tc>
        <w:tc>
          <w:tcPr>
            <w:tcW w:w="794" w:type="dxa"/>
            <w:tcBorders>
              <w:top w:val="nil"/>
              <w:left w:val="nil"/>
              <w:bottom w:val="nil"/>
              <w:right w:val="nil"/>
            </w:tcBorders>
            <w:shd w:val="clear" w:color="auto" w:fill="auto"/>
            <w:noWrap/>
            <w:vAlign w:val="center"/>
            <w:hideMark/>
          </w:tcPr>
          <w:p w14:paraId="21F19C38" w14:textId="339C37F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0.015</w:t>
            </w:r>
            <w:r w:rsidR="00F152F2">
              <w:rPr>
                <w:rFonts w:ascii="Times New Roman" w:hAnsi="Times New Roman" w:cs="Times New Roman"/>
                <w:color w:val="000000"/>
                <w:sz w:val="20"/>
                <w:szCs w:val="20"/>
                <w:vertAlign w:val="superscript"/>
              </w:rPr>
              <w:t>c</w:t>
            </w:r>
          </w:p>
        </w:tc>
        <w:tc>
          <w:tcPr>
            <w:tcW w:w="794" w:type="dxa"/>
            <w:tcBorders>
              <w:top w:val="nil"/>
              <w:left w:val="nil"/>
              <w:bottom w:val="nil"/>
              <w:right w:val="nil"/>
            </w:tcBorders>
            <w:shd w:val="clear" w:color="auto" w:fill="auto"/>
            <w:noWrap/>
            <w:vAlign w:val="center"/>
            <w:hideMark/>
          </w:tcPr>
          <w:p w14:paraId="4D02E5E9" w14:textId="7F65972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-0.078</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33B061F" w14:textId="44D0DEF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-0.163</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A668B03" w14:textId="17AC51A6"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0.055</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1AEFAAF7" w14:textId="4618CE3E"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-0.112</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777E8B07" w14:textId="33B4C929"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0.029</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4CA87D2C" w14:textId="16179686"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-0.266</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vAlign w:val="center"/>
            <w:hideMark/>
          </w:tcPr>
          <w:p w14:paraId="76D6D952" w14:textId="399E50AE"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0.198</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B5C24EA" w14:textId="56122E8B"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0.109</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900DDE2" w14:textId="138DE369"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-0.135</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14CD569"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c>
          <w:tcPr>
            <w:tcW w:w="794" w:type="dxa"/>
            <w:tcBorders>
              <w:top w:val="nil"/>
              <w:left w:val="nil"/>
              <w:bottom w:val="nil"/>
              <w:right w:val="nil"/>
            </w:tcBorders>
            <w:shd w:val="clear" w:color="auto" w:fill="auto"/>
            <w:noWrap/>
            <w:vAlign w:val="center"/>
            <w:hideMark/>
          </w:tcPr>
          <w:p w14:paraId="7BA3DA5C"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p>
        </w:tc>
        <w:tc>
          <w:tcPr>
            <w:tcW w:w="794" w:type="dxa"/>
            <w:tcBorders>
              <w:top w:val="nil"/>
              <w:left w:val="nil"/>
              <w:bottom w:val="nil"/>
              <w:right w:val="nil"/>
            </w:tcBorders>
            <w:vAlign w:val="center"/>
          </w:tcPr>
          <w:p w14:paraId="57FCE49F"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18D7C22F" w14:textId="77777777" w:rsidTr="00A12A53">
        <w:trPr>
          <w:trHeight w:val="312"/>
        </w:trPr>
        <w:tc>
          <w:tcPr>
            <w:tcW w:w="416" w:type="dxa"/>
            <w:tcBorders>
              <w:top w:val="nil"/>
              <w:left w:val="nil"/>
              <w:bottom w:val="nil"/>
              <w:right w:val="nil"/>
            </w:tcBorders>
            <w:shd w:val="clear" w:color="auto" w:fill="auto"/>
            <w:noWrap/>
            <w:vAlign w:val="center"/>
            <w:hideMark/>
          </w:tcPr>
          <w:p w14:paraId="50E4ED26"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12</w:t>
            </w:r>
          </w:p>
        </w:tc>
        <w:tc>
          <w:tcPr>
            <w:tcW w:w="1569" w:type="dxa"/>
            <w:tcBorders>
              <w:top w:val="nil"/>
              <w:left w:val="nil"/>
              <w:bottom w:val="nil"/>
              <w:right w:val="nil"/>
            </w:tcBorders>
            <w:shd w:val="clear" w:color="auto" w:fill="auto"/>
            <w:noWrap/>
            <w:vAlign w:val="center"/>
            <w:hideMark/>
          </w:tcPr>
          <w:p w14:paraId="796AAAA3" w14:textId="00658C84" w:rsidR="000C469C" w:rsidRPr="00F152F2" w:rsidRDefault="00A2158F" w:rsidP="00A12A53">
            <w:pPr>
              <w:spacing w:after="0" w:line="240" w:lineRule="auto"/>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Disc</w:t>
            </w:r>
            <w:r w:rsidR="00BF1950" w:rsidRPr="00F152F2">
              <w:rPr>
                <w:rFonts w:ascii="Times New Roman" w:eastAsia="Times New Roman" w:hAnsi="Times New Roman" w:cs="Times New Roman"/>
                <w:color w:val="000000"/>
                <w:sz w:val="20"/>
                <w:szCs w:val="20"/>
                <w:lang w:eastAsia="zh-CN"/>
              </w:rPr>
              <w:t>.</w:t>
            </w:r>
            <w:r w:rsidR="00A12A53" w:rsidRPr="00F152F2">
              <w:rPr>
                <w:rFonts w:ascii="Times New Roman" w:eastAsia="Times New Roman" w:hAnsi="Times New Roman" w:cs="Times New Roman"/>
                <w:color w:val="000000"/>
                <w:sz w:val="20"/>
                <w:szCs w:val="20"/>
                <w:lang w:eastAsia="zh-CN"/>
              </w:rPr>
              <w:t xml:space="preserve"> </w:t>
            </w:r>
            <w:r w:rsidR="000C469C" w:rsidRPr="00F152F2">
              <w:rPr>
                <w:rFonts w:ascii="Times New Roman" w:eastAsia="Times New Roman" w:hAnsi="Times New Roman" w:cs="Times New Roman"/>
                <w:color w:val="000000"/>
                <w:sz w:val="20"/>
                <w:szCs w:val="20"/>
                <w:lang w:eastAsia="zh-CN"/>
              </w:rPr>
              <w:t>Accrual</w:t>
            </w:r>
          </w:p>
        </w:tc>
        <w:tc>
          <w:tcPr>
            <w:tcW w:w="674" w:type="dxa"/>
            <w:tcBorders>
              <w:top w:val="nil"/>
              <w:left w:val="nil"/>
              <w:bottom w:val="nil"/>
              <w:right w:val="nil"/>
            </w:tcBorders>
            <w:shd w:val="clear" w:color="auto" w:fill="auto"/>
            <w:noWrap/>
            <w:vAlign w:val="center"/>
          </w:tcPr>
          <w:p w14:paraId="0C211545"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0.397</w:t>
            </w:r>
          </w:p>
        </w:tc>
        <w:tc>
          <w:tcPr>
            <w:tcW w:w="827" w:type="dxa"/>
            <w:tcBorders>
              <w:top w:val="nil"/>
              <w:left w:val="nil"/>
              <w:bottom w:val="nil"/>
              <w:right w:val="nil"/>
            </w:tcBorders>
            <w:shd w:val="clear" w:color="auto" w:fill="auto"/>
            <w:noWrap/>
            <w:vAlign w:val="center"/>
          </w:tcPr>
          <w:p w14:paraId="6C39BAD3"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0.074</w:t>
            </w:r>
          </w:p>
        </w:tc>
        <w:tc>
          <w:tcPr>
            <w:tcW w:w="672" w:type="dxa"/>
            <w:tcBorders>
              <w:top w:val="nil"/>
              <w:left w:val="nil"/>
              <w:bottom w:val="nil"/>
              <w:right w:val="nil"/>
            </w:tcBorders>
            <w:shd w:val="clear" w:color="auto" w:fill="auto"/>
            <w:noWrap/>
            <w:vAlign w:val="center"/>
          </w:tcPr>
          <w:p w14:paraId="7DC12AC8"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0.971</w:t>
            </w:r>
          </w:p>
        </w:tc>
        <w:tc>
          <w:tcPr>
            <w:tcW w:w="794" w:type="dxa"/>
            <w:tcBorders>
              <w:top w:val="nil"/>
              <w:left w:val="nil"/>
              <w:bottom w:val="nil"/>
              <w:right w:val="nil"/>
            </w:tcBorders>
            <w:shd w:val="clear" w:color="auto" w:fill="auto"/>
            <w:noWrap/>
            <w:vAlign w:val="center"/>
            <w:hideMark/>
          </w:tcPr>
          <w:p w14:paraId="76933DDA" w14:textId="701668E8"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0.028</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9B8D680" w14:textId="5D5E6CE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0.013</w:t>
            </w:r>
            <w:r w:rsidR="00F152F2">
              <w:rPr>
                <w:rFonts w:ascii="Times New Roman" w:hAnsi="Times New Roman" w:cs="Times New Roman"/>
                <w:color w:val="000000"/>
                <w:sz w:val="20"/>
                <w:szCs w:val="20"/>
                <w:vertAlign w:val="superscript"/>
              </w:rPr>
              <w:t>c</w:t>
            </w:r>
          </w:p>
        </w:tc>
        <w:tc>
          <w:tcPr>
            <w:tcW w:w="794" w:type="dxa"/>
            <w:tcBorders>
              <w:top w:val="nil"/>
              <w:left w:val="nil"/>
              <w:bottom w:val="nil"/>
              <w:right w:val="nil"/>
            </w:tcBorders>
            <w:shd w:val="clear" w:color="auto" w:fill="auto"/>
            <w:noWrap/>
            <w:vAlign w:val="center"/>
            <w:hideMark/>
          </w:tcPr>
          <w:p w14:paraId="13099B2F" w14:textId="76221844"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0.009</w:t>
            </w:r>
          </w:p>
        </w:tc>
        <w:tc>
          <w:tcPr>
            <w:tcW w:w="794" w:type="dxa"/>
            <w:tcBorders>
              <w:top w:val="nil"/>
              <w:left w:val="nil"/>
              <w:bottom w:val="nil"/>
              <w:right w:val="nil"/>
            </w:tcBorders>
            <w:shd w:val="clear" w:color="auto" w:fill="auto"/>
            <w:noWrap/>
            <w:vAlign w:val="center"/>
            <w:hideMark/>
          </w:tcPr>
          <w:p w14:paraId="729313C4" w14:textId="62DF6244"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0.048</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0F6A412A" w14:textId="6FF96212"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-0.014</w:t>
            </w:r>
            <w:r w:rsidR="00F152F2">
              <w:rPr>
                <w:rFonts w:ascii="Times New Roman" w:hAnsi="Times New Roman" w:cs="Times New Roman"/>
                <w:color w:val="000000"/>
                <w:sz w:val="20"/>
                <w:szCs w:val="20"/>
                <w:vertAlign w:val="superscript"/>
              </w:rPr>
              <w:t>d</w:t>
            </w:r>
          </w:p>
        </w:tc>
        <w:tc>
          <w:tcPr>
            <w:tcW w:w="794" w:type="dxa"/>
            <w:tcBorders>
              <w:top w:val="nil"/>
              <w:left w:val="nil"/>
              <w:bottom w:val="nil"/>
              <w:right w:val="nil"/>
            </w:tcBorders>
            <w:shd w:val="clear" w:color="auto" w:fill="auto"/>
            <w:noWrap/>
            <w:vAlign w:val="center"/>
            <w:hideMark/>
          </w:tcPr>
          <w:p w14:paraId="7A529E94" w14:textId="2C7C98B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0.006</w:t>
            </w:r>
          </w:p>
        </w:tc>
        <w:tc>
          <w:tcPr>
            <w:tcW w:w="794" w:type="dxa"/>
            <w:tcBorders>
              <w:top w:val="nil"/>
              <w:left w:val="nil"/>
              <w:bottom w:val="nil"/>
              <w:right w:val="nil"/>
            </w:tcBorders>
            <w:shd w:val="clear" w:color="auto" w:fill="auto"/>
            <w:noWrap/>
            <w:vAlign w:val="center"/>
            <w:hideMark/>
          </w:tcPr>
          <w:p w14:paraId="4E9A880E" w14:textId="3F2AB99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-0.001</w:t>
            </w:r>
          </w:p>
        </w:tc>
        <w:tc>
          <w:tcPr>
            <w:tcW w:w="794" w:type="dxa"/>
            <w:tcBorders>
              <w:top w:val="nil"/>
              <w:left w:val="nil"/>
              <w:bottom w:val="nil"/>
              <w:right w:val="nil"/>
            </w:tcBorders>
            <w:shd w:val="clear" w:color="auto" w:fill="auto"/>
            <w:vAlign w:val="center"/>
            <w:hideMark/>
          </w:tcPr>
          <w:p w14:paraId="19625755" w14:textId="51529C78"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0.013</w:t>
            </w:r>
          </w:p>
        </w:tc>
        <w:tc>
          <w:tcPr>
            <w:tcW w:w="794" w:type="dxa"/>
            <w:tcBorders>
              <w:top w:val="nil"/>
              <w:left w:val="nil"/>
              <w:bottom w:val="nil"/>
              <w:right w:val="nil"/>
            </w:tcBorders>
            <w:shd w:val="clear" w:color="auto" w:fill="auto"/>
            <w:noWrap/>
            <w:vAlign w:val="center"/>
            <w:hideMark/>
          </w:tcPr>
          <w:p w14:paraId="6CBD0DFA" w14:textId="212511B9"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0.034</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2BCE0F35" w14:textId="0EDC4042"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0.017</w:t>
            </w:r>
            <w:r w:rsidR="00A12A53" w:rsidRPr="00F152F2">
              <w:rPr>
                <w:rFonts w:ascii="Times New Roman" w:hAnsi="Times New Roman" w:cs="Times New Roman"/>
                <w:color w:val="000000"/>
                <w:sz w:val="20"/>
                <w:szCs w:val="20"/>
                <w:vertAlign w:val="superscript"/>
              </w:rPr>
              <w:t>b</w:t>
            </w:r>
          </w:p>
        </w:tc>
        <w:tc>
          <w:tcPr>
            <w:tcW w:w="794" w:type="dxa"/>
            <w:tcBorders>
              <w:top w:val="nil"/>
              <w:left w:val="nil"/>
              <w:bottom w:val="nil"/>
              <w:right w:val="nil"/>
            </w:tcBorders>
            <w:shd w:val="clear" w:color="auto" w:fill="auto"/>
            <w:noWrap/>
            <w:vAlign w:val="center"/>
            <w:hideMark/>
          </w:tcPr>
          <w:p w14:paraId="1B2A2093" w14:textId="33A4EC9E"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0.080</w:t>
            </w:r>
            <w:r w:rsidR="00F152F2">
              <w:rPr>
                <w:rFonts w:ascii="Times New Roman" w:hAnsi="Times New Roman" w:cs="Times New Roman"/>
                <w:color w:val="000000"/>
                <w:sz w:val="20"/>
                <w:szCs w:val="20"/>
                <w:vertAlign w:val="superscript"/>
              </w:rPr>
              <w:t>a</w:t>
            </w:r>
          </w:p>
        </w:tc>
        <w:tc>
          <w:tcPr>
            <w:tcW w:w="794" w:type="dxa"/>
            <w:tcBorders>
              <w:top w:val="nil"/>
              <w:left w:val="nil"/>
              <w:bottom w:val="nil"/>
              <w:right w:val="nil"/>
            </w:tcBorders>
            <w:shd w:val="clear" w:color="auto" w:fill="auto"/>
            <w:noWrap/>
            <w:vAlign w:val="center"/>
            <w:hideMark/>
          </w:tcPr>
          <w:p w14:paraId="3A306358" w14:textId="77777777"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c>
          <w:tcPr>
            <w:tcW w:w="794" w:type="dxa"/>
            <w:tcBorders>
              <w:top w:val="nil"/>
              <w:left w:val="nil"/>
              <w:bottom w:val="nil"/>
              <w:right w:val="nil"/>
            </w:tcBorders>
            <w:vAlign w:val="center"/>
          </w:tcPr>
          <w:p w14:paraId="6D600CCB" w14:textId="77777777" w:rsidR="000C469C" w:rsidRPr="00F152F2" w:rsidRDefault="000C469C" w:rsidP="006967B2">
            <w:pPr>
              <w:spacing w:after="0" w:line="240" w:lineRule="auto"/>
              <w:jc w:val="center"/>
              <w:rPr>
                <w:rFonts w:ascii="Times New Roman" w:hAnsi="Times New Roman" w:cs="Times New Roman"/>
                <w:color w:val="000000"/>
                <w:sz w:val="20"/>
                <w:szCs w:val="20"/>
              </w:rPr>
            </w:pPr>
          </w:p>
        </w:tc>
      </w:tr>
      <w:tr w:rsidR="000C469C" w:rsidRPr="00F152F2" w14:paraId="07ABEB56" w14:textId="77777777" w:rsidTr="00A12A53">
        <w:trPr>
          <w:trHeight w:val="312"/>
        </w:trPr>
        <w:tc>
          <w:tcPr>
            <w:tcW w:w="416" w:type="dxa"/>
            <w:tcBorders>
              <w:top w:val="nil"/>
              <w:left w:val="nil"/>
              <w:bottom w:val="single" w:sz="4" w:space="0" w:color="auto"/>
              <w:right w:val="nil"/>
            </w:tcBorders>
            <w:shd w:val="clear" w:color="auto" w:fill="auto"/>
            <w:noWrap/>
            <w:vAlign w:val="center"/>
          </w:tcPr>
          <w:p w14:paraId="2841310F"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eastAsia="Times New Roman" w:hAnsi="Times New Roman" w:cs="Times New Roman"/>
                <w:color w:val="000000"/>
                <w:sz w:val="20"/>
                <w:szCs w:val="20"/>
                <w:lang w:eastAsia="zh-CN"/>
              </w:rPr>
              <w:t>13</w:t>
            </w:r>
          </w:p>
        </w:tc>
        <w:tc>
          <w:tcPr>
            <w:tcW w:w="1569" w:type="dxa"/>
            <w:tcBorders>
              <w:top w:val="nil"/>
              <w:left w:val="nil"/>
              <w:bottom w:val="single" w:sz="4" w:space="0" w:color="auto"/>
              <w:right w:val="nil"/>
            </w:tcBorders>
            <w:shd w:val="clear" w:color="auto" w:fill="auto"/>
            <w:noWrap/>
            <w:vAlign w:val="center"/>
          </w:tcPr>
          <w:p w14:paraId="6803D7D3" w14:textId="7064A91B" w:rsidR="000C469C" w:rsidRPr="00F152F2" w:rsidRDefault="003E3202" w:rsidP="000C469C">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Entrenched</w:t>
            </w:r>
          </w:p>
        </w:tc>
        <w:tc>
          <w:tcPr>
            <w:tcW w:w="674" w:type="dxa"/>
            <w:tcBorders>
              <w:top w:val="nil"/>
              <w:left w:val="nil"/>
              <w:bottom w:val="single" w:sz="4" w:space="0" w:color="auto"/>
              <w:right w:val="nil"/>
            </w:tcBorders>
            <w:shd w:val="clear" w:color="auto" w:fill="auto"/>
            <w:noWrap/>
            <w:vAlign w:val="center"/>
          </w:tcPr>
          <w:p w14:paraId="767BAF83"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0.123</w:t>
            </w:r>
          </w:p>
        </w:tc>
        <w:tc>
          <w:tcPr>
            <w:tcW w:w="827" w:type="dxa"/>
            <w:tcBorders>
              <w:top w:val="nil"/>
              <w:left w:val="nil"/>
              <w:bottom w:val="single" w:sz="4" w:space="0" w:color="auto"/>
              <w:right w:val="nil"/>
            </w:tcBorders>
            <w:shd w:val="clear" w:color="auto" w:fill="auto"/>
            <w:noWrap/>
            <w:vAlign w:val="center"/>
          </w:tcPr>
          <w:p w14:paraId="02092A15"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0.000</w:t>
            </w:r>
          </w:p>
        </w:tc>
        <w:tc>
          <w:tcPr>
            <w:tcW w:w="672" w:type="dxa"/>
            <w:tcBorders>
              <w:top w:val="nil"/>
              <w:left w:val="nil"/>
              <w:bottom w:val="single" w:sz="4" w:space="0" w:color="auto"/>
              <w:right w:val="nil"/>
            </w:tcBorders>
            <w:shd w:val="clear" w:color="auto" w:fill="auto"/>
            <w:noWrap/>
            <w:vAlign w:val="center"/>
          </w:tcPr>
          <w:p w14:paraId="34A013EA" w14:textId="77777777" w:rsidR="000C469C" w:rsidRPr="00F152F2" w:rsidRDefault="000C469C" w:rsidP="000C469C">
            <w:pPr>
              <w:spacing w:after="0" w:line="240" w:lineRule="auto"/>
              <w:jc w:val="center"/>
              <w:rPr>
                <w:rFonts w:ascii="Times New Roman" w:eastAsia="Times New Roman" w:hAnsi="Times New Roman" w:cs="Times New Roman"/>
                <w:color w:val="000000"/>
                <w:sz w:val="20"/>
                <w:szCs w:val="20"/>
                <w:lang w:eastAsia="zh-CN"/>
              </w:rPr>
            </w:pPr>
            <w:r w:rsidRPr="00F152F2">
              <w:rPr>
                <w:rFonts w:ascii="Times New Roman" w:hAnsi="Times New Roman" w:cs="Times New Roman"/>
                <w:color w:val="000000"/>
                <w:sz w:val="20"/>
                <w:szCs w:val="20"/>
              </w:rPr>
              <w:t>0.328</w:t>
            </w:r>
          </w:p>
        </w:tc>
        <w:tc>
          <w:tcPr>
            <w:tcW w:w="794" w:type="dxa"/>
            <w:tcBorders>
              <w:top w:val="nil"/>
              <w:left w:val="nil"/>
              <w:bottom w:val="single" w:sz="4" w:space="0" w:color="auto"/>
              <w:right w:val="nil"/>
            </w:tcBorders>
            <w:shd w:val="clear" w:color="auto" w:fill="auto"/>
            <w:noWrap/>
            <w:vAlign w:val="center"/>
          </w:tcPr>
          <w:p w14:paraId="7C28B8E5" w14:textId="1C41627C"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0.159</w:t>
            </w:r>
            <w:r w:rsidR="00F152F2">
              <w:rPr>
                <w:rFonts w:ascii="Times New Roman" w:hAnsi="Times New Roman" w:cs="Times New Roman"/>
                <w:color w:val="000000"/>
                <w:sz w:val="20"/>
                <w:szCs w:val="20"/>
                <w:vertAlign w:val="superscript"/>
              </w:rPr>
              <w:t>a</w:t>
            </w:r>
          </w:p>
        </w:tc>
        <w:tc>
          <w:tcPr>
            <w:tcW w:w="794" w:type="dxa"/>
            <w:tcBorders>
              <w:top w:val="nil"/>
              <w:left w:val="nil"/>
              <w:bottom w:val="single" w:sz="4" w:space="0" w:color="auto"/>
              <w:right w:val="nil"/>
            </w:tcBorders>
            <w:shd w:val="clear" w:color="auto" w:fill="auto"/>
            <w:noWrap/>
            <w:vAlign w:val="center"/>
          </w:tcPr>
          <w:p w14:paraId="414A2593" w14:textId="71AFD86A"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0.047</w:t>
            </w:r>
            <w:r w:rsidR="00F152F2">
              <w:rPr>
                <w:rFonts w:ascii="Times New Roman" w:hAnsi="Times New Roman" w:cs="Times New Roman"/>
                <w:color w:val="000000"/>
                <w:sz w:val="20"/>
                <w:szCs w:val="20"/>
                <w:vertAlign w:val="superscript"/>
              </w:rPr>
              <w:t>a</w:t>
            </w:r>
          </w:p>
        </w:tc>
        <w:tc>
          <w:tcPr>
            <w:tcW w:w="794" w:type="dxa"/>
            <w:tcBorders>
              <w:top w:val="nil"/>
              <w:left w:val="nil"/>
              <w:bottom w:val="single" w:sz="4" w:space="0" w:color="auto"/>
              <w:right w:val="nil"/>
            </w:tcBorders>
            <w:shd w:val="clear" w:color="auto" w:fill="auto"/>
            <w:noWrap/>
            <w:vAlign w:val="center"/>
          </w:tcPr>
          <w:p w14:paraId="54903FF5" w14:textId="7050E473"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-0.007</w:t>
            </w:r>
          </w:p>
        </w:tc>
        <w:tc>
          <w:tcPr>
            <w:tcW w:w="794" w:type="dxa"/>
            <w:tcBorders>
              <w:top w:val="nil"/>
              <w:left w:val="nil"/>
              <w:bottom w:val="single" w:sz="4" w:space="0" w:color="auto"/>
              <w:right w:val="nil"/>
            </w:tcBorders>
            <w:shd w:val="clear" w:color="auto" w:fill="auto"/>
            <w:noWrap/>
            <w:vAlign w:val="center"/>
          </w:tcPr>
          <w:p w14:paraId="3CF285C0" w14:textId="438F8522"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-0.030</w:t>
            </w:r>
            <w:r w:rsidR="00F152F2">
              <w:rPr>
                <w:rFonts w:ascii="Times New Roman" w:hAnsi="Times New Roman" w:cs="Times New Roman"/>
                <w:color w:val="000000"/>
                <w:sz w:val="20"/>
                <w:szCs w:val="20"/>
                <w:vertAlign w:val="superscript"/>
              </w:rPr>
              <w:t>a</w:t>
            </w:r>
          </w:p>
        </w:tc>
        <w:tc>
          <w:tcPr>
            <w:tcW w:w="794" w:type="dxa"/>
            <w:tcBorders>
              <w:top w:val="nil"/>
              <w:left w:val="nil"/>
              <w:bottom w:val="single" w:sz="4" w:space="0" w:color="auto"/>
              <w:right w:val="nil"/>
            </w:tcBorders>
            <w:shd w:val="clear" w:color="auto" w:fill="auto"/>
            <w:noWrap/>
            <w:vAlign w:val="center"/>
          </w:tcPr>
          <w:p w14:paraId="3F01F83B" w14:textId="5226339E"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-0.020</w:t>
            </w:r>
            <w:r w:rsidR="00A12A53" w:rsidRPr="00F152F2">
              <w:rPr>
                <w:rFonts w:ascii="Times New Roman" w:hAnsi="Times New Roman" w:cs="Times New Roman"/>
                <w:color w:val="000000"/>
                <w:sz w:val="20"/>
                <w:szCs w:val="20"/>
                <w:vertAlign w:val="superscript"/>
              </w:rPr>
              <w:t>b</w:t>
            </w:r>
          </w:p>
        </w:tc>
        <w:tc>
          <w:tcPr>
            <w:tcW w:w="794" w:type="dxa"/>
            <w:tcBorders>
              <w:top w:val="nil"/>
              <w:left w:val="nil"/>
              <w:bottom w:val="single" w:sz="4" w:space="0" w:color="auto"/>
              <w:right w:val="nil"/>
            </w:tcBorders>
            <w:shd w:val="clear" w:color="auto" w:fill="auto"/>
            <w:noWrap/>
            <w:vAlign w:val="center"/>
          </w:tcPr>
          <w:p w14:paraId="499CD556" w14:textId="213B23AD"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-0.046</w:t>
            </w:r>
            <w:r w:rsidR="00F152F2">
              <w:rPr>
                <w:rFonts w:ascii="Times New Roman" w:hAnsi="Times New Roman" w:cs="Times New Roman"/>
                <w:color w:val="000000"/>
                <w:sz w:val="20"/>
                <w:szCs w:val="20"/>
                <w:vertAlign w:val="superscript"/>
              </w:rPr>
              <w:t>a</w:t>
            </w:r>
          </w:p>
        </w:tc>
        <w:tc>
          <w:tcPr>
            <w:tcW w:w="794" w:type="dxa"/>
            <w:tcBorders>
              <w:top w:val="nil"/>
              <w:left w:val="nil"/>
              <w:bottom w:val="single" w:sz="4" w:space="0" w:color="auto"/>
              <w:right w:val="nil"/>
            </w:tcBorders>
            <w:shd w:val="clear" w:color="auto" w:fill="auto"/>
            <w:noWrap/>
            <w:vAlign w:val="center"/>
          </w:tcPr>
          <w:p w14:paraId="20B11F48" w14:textId="05CD7DF0"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0.002</w:t>
            </w:r>
          </w:p>
        </w:tc>
        <w:tc>
          <w:tcPr>
            <w:tcW w:w="794" w:type="dxa"/>
            <w:tcBorders>
              <w:top w:val="nil"/>
              <w:left w:val="nil"/>
              <w:bottom w:val="single" w:sz="4" w:space="0" w:color="auto"/>
              <w:right w:val="nil"/>
            </w:tcBorders>
            <w:shd w:val="clear" w:color="auto" w:fill="auto"/>
            <w:vAlign w:val="center"/>
          </w:tcPr>
          <w:p w14:paraId="4609DB3B" w14:textId="301C02F9"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-0.017</w:t>
            </w:r>
            <w:r w:rsidR="00A12A53" w:rsidRPr="00F152F2">
              <w:rPr>
                <w:rFonts w:ascii="Times New Roman" w:hAnsi="Times New Roman" w:cs="Times New Roman"/>
                <w:color w:val="000000"/>
                <w:sz w:val="20"/>
                <w:szCs w:val="20"/>
                <w:vertAlign w:val="superscript"/>
              </w:rPr>
              <w:t>b</w:t>
            </w:r>
          </w:p>
        </w:tc>
        <w:tc>
          <w:tcPr>
            <w:tcW w:w="794" w:type="dxa"/>
            <w:tcBorders>
              <w:top w:val="nil"/>
              <w:left w:val="nil"/>
              <w:bottom w:val="single" w:sz="4" w:space="0" w:color="auto"/>
              <w:right w:val="nil"/>
            </w:tcBorders>
            <w:shd w:val="clear" w:color="auto" w:fill="auto"/>
            <w:noWrap/>
            <w:vAlign w:val="center"/>
          </w:tcPr>
          <w:p w14:paraId="032C4A9E" w14:textId="777BEED3"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-0.012</w:t>
            </w:r>
          </w:p>
        </w:tc>
        <w:tc>
          <w:tcPr>
            <w:tcW w:w="794" w:type="dxa"/>
            <w:tcBorders>
              <w:top w:val="nil"/>
              <w:left w:val="nil"/>
              <w:bottom w:val="single" w:sz="4" w:space="0" w:color="auto"/>
              <w:right w:val="nil"/>
            </w:tcBorders>
            <w:shd w:val="clear" w:color="auto" w:fill="auto"/>
            <w:noWrap/>
            <w:vAlign w:val="center"/>
          </w:tcPr>
          <w:p w14:paraId="55373D41" w14:textId="15ECF9B1"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-0.038</w:t>
            </w:r>
            <w:r w:rsidR="00F152F2">
              <w:rPr>
                <w:rFonts w:ascii="Times New Roman" w:hAnsi="Times New Roman" w:cs="Times New Roman"/>
                <w:color w:val="000000"/>
                <w:sz w:val="20"/>
                <w:szCs w:val="20"/>
                <w:vertAlign w:val="superscript"/>
              </w:rPr>
              <w:t>a</w:t>
            </w:r>
          </w:p>
        </w:tc>
        <w:tc>
          <w:tcPr>
            <w:tcW w:w="794" w:type="dxa"/>
            <w:tcBorders>
              <w:top w:val="nil"/>
              <w:left w:val="nil"/>
              <w:bottom w:val="single" w:sz="4" w:space="0" w:color="auto"/>
              <w:right w:val="nil"/>
            </w:tcBorders>
            <w:shd w:val="clear" w:color="auto" w:fill="auto"/>
            <w:noWrap/>
            <w:vAlign w:val="center"/>
          </w:tcPr>
          <w:p w14:paraId="4335C6C0" w14:textId="74A251C4"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-0.038</w:t>
            </w:r>
            <w:r w:rsidR="00F152F2">
              <w:rPr>
                <w:rFonts w:ascii="Times New Roman" w:hAnsi="Times New Roman" w:cs="Times New Roman"/>
                <w:color w:val="000000"/>
                <w:sz w:val="20"/>
                <w:szCs w:val="20"/>
                <w:vertAlign w:val="superscript"/>
              </w:rPr>
              <w:t>a</w:t>
            </w:r>
          </w:p>
        </w:tc>
        <w:tc>
          <w:tcPr>
            <w:tcW w:w="794" w:type="dxa"/>
            <w:tcBorders>
              <w:top w:val="nil"/>
              <w:left w:val="nil"/>
              <w:bottom w:val="single" w:sz="4" w:space="0" w:color="auto"/>
              <w:right w:val="nil"/>
            </w:tcBorders>
            <w:shd w:val="clear" w:color="auto" w:fill="auto"/>
            <w:noWrap/>
            <w:vAlign w:val="center"/>
          </w:tcPr>
          <w:p w14:paraId="01167FF5" w14:textId="7F991E2F" w:rsidR="000C469C" w:rsidRPr="00F152F2" w:rsidRDefault="000C469C" w:rsidP="006967B2">
            <w:pPr>
              <w:spacing w:after="0" w:line="240" w:lineRule="auto"/>
              <w:ind w:left="-57" w:right="-57"/>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0.024</w:t>
            </w:r>
            <w:r w:rsidR="00F152F2">
              <w:rPr>
                <w:rFonts w:ascii="Times New Roman" w:hAnsi="Times New Roman" w:cs="Times New Roman"/>
                <w:color w:val="000000"/>
                <w:sz w:val="20"/>
                <w:szCs w:val="20"/>
                <w:vertAlign w:val="superscript"/>
              </w:rPr>
              <w:t>a</w:t>
            </w:r>
          </w:p>
        </w:tc>
        <w:tc>
          <w:tcPr>
            <w:tcW w:w="794" w:type="dxa"/>
            <w:tcBorders>
              <w:top w:val="nil"/>
              <w:left w:val="nil"/>
              <w:bottom w:val="single" w:sz="4" w:space="0" w:color="auto"/>
              <w:right w:val="nil"/>
            </w:tcBorders>
            <w:vAlign w:val="center"/>
          </w:tcPr>
          <w:p w14:paraId="57378310" w14:textId="77777777" w:rsidR="000C469C" w:rsidRPr="00F152F2" w:rsidRDefault="000C469C" w:rsidP="006967B2">
            <w:pPr>
              <w:spacing w:after="0" w:line="240" w:lineRule="auto"/>
              <w:jc w:val="center"/>
              <w:rPr>
                <w:rFonts w:ascii="Times New Roman" w:hAnsi="Times New Roman" w:cs="Times New Roman"/>
                <w:color w:val="000000"/>
                <w:sz w:val="20"/>
                <w:szCs w:val="20"/>
              </w:rPr>
            </w:pPr>
            <w:r w:rsidRPr="00F152F2">
              <w:rPr>
                <w:rFonts w:ascii="Times New Roman" w:hAnsi="Times New Roman" w:cs="Times New Roman"/>
                <w:color w:val="000000"/>
                <w:sz w:val="20"/>
                <w:szCs w:val="20"/>
              </w:rPr>
              <w:t>1.000</w:t>
            </w:r>
          </w:p>
        </w:tc>
      </w:tr>
    </w:tbl>
    <w:p w14:paraId="08745709" w14:textId="1085DD8E" w:rsidR="000C469C" w:rsidRPr="00F31E0A" w:rsidRDefault="000C469C" w:rsidP="002F6C7C">
      <w:pPr>
        <w:spacing w:after="0" w:line="240" w:lineRule="auto"/>
        <w:jc w:val="both"/>
        <w:rPr>
          <w:rFonts w:ascii="Times New Roman" w:eastAsia="Times New Roman" w:hAnsi="Times New Roman" w:cs="Times New Roman"/>
          <w:sz w:val="20"/>
          <w:szCs w:val="20"/>
        </w:rPr>
      </w:pPr>
      <w:r w:rsidRPr="00F152F2">
        <w:rPr>
          <w:rFonts w:ascii="Times New Roman" w:eastAsia="Times New Roman" w:hAnsi="Times New Roman" w:cs="Times New Roman"/>
          <w:sz w:val="20"/>
          <w:szCs w:val="20"/>
        </w:rPr>
        <w:t xml:space="preserve">This table presents the descriptive statistics and correlation matrix of </w:t>
      </w:r>
      <w:r w:rsidR="00EF103F" w:rsidRPr="00F152F2">
        <w:rPr>
          <w:rFonts w:ascii="Times New Roman" w:eastAsia="Times New Roman" w:hAnsi="Times New Roman" w:cs="Times New Roman"/>
          <w:sz w:val="20"/>
          <w:szCs w:val="20"/>
        </w:rPr>
        <w:t xml:space="preserve">the </w:t>
      </w:r>
      <w:r w:rsidRPr="00F152F2">
        <w:rPr>
          <w:rFonts w:ascii="Times New Roman" w:eastAsia="Times New Roman" w:hAnsi="Times New Roman" w:cs="Times New Roman"/>
          <w:sz w:val="20"/>
          <w:szCs w:val="20"/>
        </w:rPr>
        <w:t>main variable</w:t>
      </w:r>
      <w:r w:rsidR="00EF103F" w:rsidRPr="00F152F2">
        <w:rPr>
          <w:rFonts w:ascii="Times New Roman" w:eastAsia="Times New Roman" w:hAnsi="Times New Roman" w:cs="Times New Roman"/>
          <w:sz w:val="20"/>
          <w:szCs w:val="20"/>
        </w:rPr>
        <w:t>s</w:t>
      </w:r>
      <w:r w:rsidRPr="00F152F2">
        <w:rPr>
          <w:rFonts w:ascii="Times New Roman" w:eastAsia="Times New Roman" w:hAnsi="Times New Roman" w:cs="Times New Roman"/>
          <w:sz w:val="20"/>
          <w:szCs w:val="20"/>
        </w:rPr>
        <w:t xml:space="preserve"> of interest (</w:t>
      </w:r>
      <w:r w:rsidRPr="00F152F2">
        <w:rPr>
          <w:rFonts w:ascii="Times New Roman" w:eastAsia="Times New Roman" w:hAnsi="Times New Roman" w:cs="Times New Roman"/>
          <w:i/>
          <w:sz w:val="20"/>
          <w:szCs w:val="20"/>
        </w:rPr>
        <w:t>CEO Pay Gap</w:t>
      </w:r>
      <w:r w:rsidRPr="00F152F2">
        <w:rPr>
          <w:rFonts w:ascii="Times New Roman" w:eastAsia="Times New Roman" w:hAnsi="Times New Roman" w:cs="Times New Roman"/>
          <w:sz w:val="20"/>
          <w:szCs w:val="20"/>
        </w:rPr>
        <w:t xml:space="preserve"> and </w:t>
      </w:r>
      <w:r w:rsidRPr="00F152F2">
        <w:rPr>
          <w:rFonts w:ascii="Times New Roman" w:eastAsia="Times New Roman" w:hAnsi="Times New Roman" w:cs="Times New Roman"/>
          <w:i/>
          <w:sz w:val="20"/>
          <w:szCs w:val="20"/>
        </w:rPr>
        <w:t>Inst. Holdings</w:t>
      </w:r>
      <w:r w:rsidRPr="00F152F2">
        <w:rPr>
          <w:rFonts w:ascii="Times New Roman" w:eastAsia="Times New Roman" w:hAnsi="Times New Roman" w:cs="Times New Roman"/>
          <w:sz w:val="20"/>
          <w:szCs w:val="20"/>
        </w:rPr>
        <w:t xml:space="preserve">) and control variables. Appendix I provides a detailed description of the variables. </w:t>
      </w:r>
      <w:r w:rsidR="004E7671" w:rsidRPr="00F152F2">
        <w:rPr>
          <w:rFonts w:ascii="Times New Roman" w:eastAsia="Times New Roman" w:hAnsi="Times New Roman" w:cs="Times New Roman"/>
          <w:sz w:val="20"/>
          <w:szCs w:val="20"/>
        </w:rPr>
        <w:t xml:space="preserve">The sample size is </w:t>
      </w:r>
      <w:r w:rsidR="00A2158F" w:rsidRPr="00F152F2">
        <w:rPr>
          <w:rFonts w:ascii="Times New Roman" w:eastAsia="Times New Roman" w:hAnsi="Times New Roman" w:cs="Times New Roman"/>
          <w:sz w:val="20"/>
          <w:szCs w:val="20"/>
        </w:rPr>
        <w:t>15,845</w:t>
      </w:r>
      <w:r w:rsidR="004E7671" w:rsidRPr="00F152F2">
        <w:rPr>
          <w:rFonts w:ascii="Times New Roman" w:eastAsia="Times New Roman" w:hAnsi="Times New Roman" w:cs="Times New Roman"/>
          <w:sz w:val="20"/>
          <w:szCs w:val="20"/>
        </w:rPr>
        <w:t xml:space="preserve">. </w:t>
      </w:r>
      <w:proofErr w:type="gramStart"/>
      <w:r w:rsidR="00A12A53" w:rsidRPr="00F152F2">
        <w:rPr>
          <w:rFonts w:ascii="Times New Roman" w:eastAsia="Times New Roman" w:hAnsi="Times New Roman" w:cs="Times New Roman"/>
          <w:sz w:val="20"/>
          <w:szCs w:val="20"/>
          <w:vertAlign w:val="superscript"/>
        </w:rPr>
        <w:t>a</w:t>
      </w:r>
      <w:proofErr w:type="gramEnd"/>
      <w:r w:rsidR="00A12A53" w:rsidRPr="00F152F2">
        <w:rPr>
          <w:rFonts w:ascii="Times New Roman" w:eastAsia="Times New Roman" w:hAnsi="Times New Roman" w:cs="Times New Roman"/>
          <w:sz w:val="20"/>
          <w:szCs w:val="20"/>
        </w:rPr>
        <w:t xml:space="preserve">, </w:t>
      </w:r>
      <w:r w:rsidR="00A12A53" w:rsidRPr="00F152F2">
        <w:rPr>
          <w:rFonts w:ascii="Times New Roman" w:eastAsia="Times New Roman" w:hAnsi="Times New Roman" w:cs="Times New Roman"/>
          <w:sz w:val="20"/>
          <w:szCs w:val="20"/>
          <w:vertAlign w:val="superscript"/>
        </w:rPr>
        <w:t>b</w:t>
      </w:r>
      <w:r w:rsidR="00A12A53" w:rsidRPr="00F152F2">
        <w:rPr>
          <w:rFonts w:ascii="Times New Roman" w:eastAsia="Times New Roman" w:hAnsi="Times New Roman" w:cs="Times New Roman"/>
          <w:sz w:val="20"/>
          <w:szCs w:val="20"/>
        </w:rPr>
        <w:t xml:space="preserve"> and </w:t>
      </w:r>
      <w:r w:rsidR="002F6C7C" w:rsidRPr="00F152F2">
        <w:rPr>
          <w:rFonts w:ascii="Times New Roman" w:eastAsia="Times New Roman" w:hAnsi="Times New Roman" w:cs="Times New Roman"/>
          <w:sz w:val="20"/>
          <w:szCs w:val="20"/>
          <w:vertAlign w:val="superscript"/>
        </w:rPr>
        <w:t>c</w:t>
      </w:r>
      <w:r w:rsidR="00A12A53" w:rsidRPr="00F152F2">
        <w:rPr>
          <w:rFonts w:ascii="Times New Roman" w:eastAsia="Times New Roman" w:hAnsi="Times New Roman" w:cs="Times New Roman"/>
          <w:sz w:val="20"/>
          <w:szCs w:val="20"/>
        </w:rPr>
        <w:t xml:space="preserve"> denote significance</w:t>
      </w:r>
      <w:r w:rsidR="002F6C7C" w:rsidRPr="00F152F2">
        <w:rPr>
          <w:rFonts w:ascii="Times New Roman" w:eastAsia="Times New Roman" w:hAnsi="Times New Roman" w:cs="Times New Roman"/>
          <w:sz w:val="20"/>
          <w:szCs w:val="20"/>
        </w:rPr>
        <w:t xml:space="preserve"> (correlation)</w:t>
      </w:r>
      <w:r w:rsidR="00A12A53" w:rsidRPr="00F152F2">
        <w:rPr>
          <w:rFonts w:ascii="Times New Roman" w:eastAsia="Times New Roman" w:hAnsi="Times New Roman" w:cs="Times New Roman"/>
          <w:sz w:val="20"/>
          <w:szCs w:val="20"/>
        </w:rPr>
        <w:t xml:space="preserve"> at the 1</w:t>
      </w:r>
      <w:r w:rsidR="002F6C7C" w:rsidRPr="00F152F2">
        <w:rPr>
          <w:rFonts w:ascii="Times New Roman" w:eastAsia="Times New Roman" w:hAnsi="Times New Roman" w:cs="Times New Roman"/>
          <w:sz w:val="20"/>
          <w:szCs w:val="20"/>
        </w:rPr>
        <w:t xml:space="preserve">%, 5% </w:t>
      </w:r>
      <w:r w:rsidR="002F6C7C" w:rsidRPr="0072409C">
        <w:rPr>
          <w:rFonts w:ascii="Times New Roman" w:eastAsia="Times New Roman" w:hAnsi="Times New Roman" w:cs="Times New Roman"/>
          <w:noProof/>
          <w:sz w:val="20"/>
          <w:szCs w:val="20"/>
        </w:rPr>
        <w:t>and</w:t>
      </w:r>
      <w:r w:rsidR="002F6C7C" w:rsidRPr="00F152F2">
        <w:rPr>
          <w:rFonts w:ascii="Times New Roman" w:eastAsia="Times New Roman" w:hAnsi="Times New Roman" w:cs="Times New Roman"/>
          <w:sz w:val="20"/>
          <w:szCs w:val="20"/>
        </w:rPr>
        <w:t xml:space="preserve"> 1</w:t>
      </w:r>
      <w:r w:rsidR="00F152F2">
        <w:rPr>
          <w:rFonts w:ascii="Times New Roman" w:eastAsia="Times New Roman" w:hAnsi="Times New Roman" w:cs="Times New Roman"/>
          <w:sz w:val="20"/>
          <w:szCs w:val="20"/>
        </w:rPr>
        <w:t>0</w:t>
      </w:r>
      <w:r w:rsidR="00A12A53" w:rsidRPr="00F152F2">
        <w:rPr>
          <w:rFonts w:ascii="Times New Roman" w:eastAsia="Times New Roman" w:hAnsi="Times New Roman" w:cs="Times New Roman"/>
          <w:sz w:val="20"/>
          <w:szCs w:val="20"/>
        </w:rPr>
        <w:t>% levels, respectively.</w:t>
      </w:r>
    </w:p>
    <w:p w14:paraId="723BA618" w14:textId="77777777" w:rsidR="000C469C" w:rsidRPr="00664EF4" w:rsidRDefault="000C469C" w:rsidP="000C469C">
      <w:pPr>
        <w:rPr>
          <w:rFonts w:ascii="Times New Roman" w:hAnsi="Times New Roman" w:cs="Times New Roman"/>
          <w:b/>
          <w:sz w:val="20"/>
          <w:szCs w:val="20"/>
        </w:rPr>
      </w:pPr>
    </w:p>
    <w:p w14:paraId="755FDEE7" w14:textId="77777777" w:rsidR="000C469C" w:rsidRPr="00664EF4" w:rsidRDefault="000C469C" w:rsidP="000C469C">
      <w:pPr>
        <w:spacing w:after="0" w:line="240" w:lineRule="auto"/>
        <w:ind w:right="2948"/>
        <w:jc w:val="both"/>
        <w:rPr>
          <w:rFonts w:ascii="Times New Roman" w:hAnsi="Times New Roman" w:cs="Times New Roman"/>
          <w:b/>
          <w:sz w:val="20"/>
          <w:szCs w:val="20"/>
        </w:rPr>
      </w:pPr>
    </w:p>
    <w:p w14:paraId="79F72B3E" w14:textId="77777777" w:rsidR="000C469C" w:rsidRPr="00664EF4" w:rsidRDefault="000C469C" w:rsidP="000C469C">
      <w:pPr>
        <w:spacing w:after="0" w:line="240" w:lineRule="auto"/>
        <w:rPr>
          <w:rFonts w:ascii="Times New Roman" w:hAnsi="Times New Roman" w:cs="Times New Roman"/>
          <w:b/>
          <w:sz w:val="20"/>
          <w:szCs w:val="20"/>
          <w:highlight w:val="cyan"/>
        </w:rPr>
        <w:sectPr w:rsidR="000C469C" w:rsidRPr="00664EF4" w:rsidSect="000C469C">
          <w:pgSz w:w="16840" w:h="11907" w:orient="landscape" w:code="9"/>
          <w:pgMar w:top="1247" w:right="1247" w:bottom="1247" w:left="1247" w:header="720" w:footer="323" w:gutter="0"/>
          <w:cols w:space="720"/>
          <w:docGrid w:linePitch="360"/>
        </w:sectPr>
      </w:pPr>
    </w:p>
    <w:p w14:paraId="1A42D5F3" w14:textId="77777777" w:rsidR="000C469C" w:rsidRPr="00F31E0A" w:rsidRDefault="000C469C" w:rsidP="000C469C">
      <w:pPr>
        <w:spacing w:after="0" w:line="240" w:lineRule="auto"/>
        <w:rPr>
          <w:rFonts w:ascii="Times New Roman" w:eastAsia="Times New Roman" w:hAnsi="Times New Roman" w:cs="Times New Roman"/>
          <w:b/>
          <w:sz w:val="20"/>
          <w:szCs w:val="20"/>
        </w:rPr>
      </w:pPr>
    </w:p>
    <w:p w14:paraId="11167876" w14:textId="0923CF5E" w:rsidR="000C469C" w:rsidRPr="00F31E0A" w:rsidRDefault="000C469C" w:rsidP="000C469C">
      <w:pPr>
        <w:spacing w:after="0" w:line="240" w:lineRule="auto"/>
        <w:rPr>
          <w:rFonts w:ascii="Times New Roman" w:eastAsia="Times New Roman" w:hAnsi="Times New Roman" w:cs="Times New Roman"/>
          <w:b/>
          <w:color w:val="000000" w:themeColor="text1"/>
          <w:sz w:val="20"/>
          <w:szCs w:val="20"/>
        </w:rPr>
      </w:pPr>
      <w:r w:rsidRPr="00F31E0A">
        <w:rPr>
          <w:rFonts w:ascii="Times New Roman" w:eastAsia="Times New Roman" w:hAnsi="Times New Roman" w:cs="Times New Roman"/>
          <w:b/>
          <w:sz w:val="20"/>
          <w:szCs w:val="20"/>
        </w:rPr>
        <w:t xml:space="preserve">Table 2: </w:t>
      </w:r>
      <w:r w:rsidRPr="00F31E0A">
        <w:rPr>
          <w:rFonts w:ascii="Times New Roman" w:eastAsia="Times New Roman" w:hAnsi="Times New Roman" w:cs="Times New Roman"/>
          <w:b/>
          <w:color w:val="000000" w:themeColor="text1"/>
          <w:sz w:val="20"/>
          <w:szCs w:val="20"/>
        </w:rPr>
        <w:t>Inst</w:t>
      </w:r>
      <w:r w:rsidR="00EF103F">
        <w:rPr>
          <w:rFonts w:ascii="Times New Roman" w:eastAsia="Times New Roman" w:hAnsi="Times New Roman" w:cs="Times New Roman"/>
          <w:b/>
          <w:color w:val="000000" w:themeColor="text1"/>
          <w:sz w:val="20"/>
          <w:szCs w:val="20"/>
        </w:rPr>
        <w:t>itutional ownership</w:t>
      </w:r>
      <w:r w:rsidRPr="00F31E0A">
        <w:rPr>
          <w:rFonts w:ascii="Times New Roman" w:eastAsia="Times New Roman" w:hAnsi="Times New Roman" w:cs="Times New Roman"/>
          <w:b/>
          <w:sz w:val="20"/>
          <w:szCs w:val="20"/>
        </w:rPr>
        <w:t xml:space="preserve"> sorted </w:t>
      </w:r>
      <w:r w:rsidR="00EF103F">
        <w:rPr>
          <w:rFonts w:ascii="Times New Roman" w:eastAsia="Times New Roman" w:hAnsi="Times New Roman" w:cs="Times New Roman"/>
          <w:b/>
          <w:sz w:val="20"/>
          <w:szCs w:val="20"/>
        </w:rPr>
        <w:t>by</w:t>
      </w:r>
      <w:r w:rsidRPr="00F31E0A">
        <w:rPr>
          <w:rFonts w:ascii="Times New Roman" w:eastAsia="Times New Roman" w:hAnsi="Times New Roman" w:cs="Times New Roman"/>
          <w:b/>
          <w:sz w:val="20"/>
          <w:szCs w:val="20"/>
        </w:rPr>
        <w:t xml:space="preserve"> </w:t>
      </w:r>
      <w:r w:rsidRPr="00EF103F">
        <w:rPr>
          <w:rFonts w:ascii="Times New Roman" w:eastAsia="Times New Roman" w:hAnsi="Times New Roman" w:cs="Times New Roman"/>
          <w:b/>
          <w:i/>
          <w:sz w:val="20"/>
          <w:szCs w:val="20"/>
        </w:rPr>
        <w:t>CEO Pay Gap</w:t>
      </w:r>
      <w:r w:rsidRPr="00F31E0A">
        <w:rPr>
          <w:rFonts w:ascii="Times New Roman" w:eastAsia="Times New Roman" w:hAnsi="Times New Roman" w:cs="Times New Roman"/>
          <w:b/>
          <w:sz w:val="20"/>
          <w:szCs w:val="20"/>
        </w:rPr>
        <w:t xml:space="preserve"> </w:t>
      </w:r>
      <w:r w:rsidR="00EF103F">
        <w:rPr>
          <w:rFonts w:ascii="Times New Roman" w:eastAsia="Times New Roman" w:hAnsi="Times New Roman" w:cs="Times New Roman"/>
          <w:b/>
          <w:sz w:val="20"/>
          <w:szCs w:val="20"/>
        </w:rPr>
        <w:t>q</w:t>
      </w:r>
      <w:r w:rsidRPr="00F31E0A">
        <w:rPr>
          <w:rFonts w:ascii="Times New Roman" w:eastAsia="Times New Roman" w:hAnsi="Times New Roman" w:cs="Times New Roman"/>
          <w:b/>
          <w:sz w:val="20"/>
          <w:szCs w:val="20"/>
        </w:rPr>
        <w:t>uintiles</w:t>
      </w:r>
    </w:p>
    <w:tbl>
      <w:tblPr>
        <w:tblW w:w="8647" w:type="dxa"/>
        <w:tblLook w:val="04A0" w:firstRow="1" w:lastRow="0" w:firstColumn="1" w:lastColumn="0" w:noHBand="0" w:noVBand="1"/>
      </w:tblPr>
      <w:tblGrid>
        <w:gridCol w:w="1985"/>
        <w:gridCol w:w="1984"/>
        <w:gridCol w:w="1609"/>
        <w:gridCol w:w="1701"/>
        <w:gridCol w:w="1368"/>
      </w:tblGrid>
      <w:tr w:rsidR="000C469C" w:rsidRPr="002A32AF" w14:paraId="2EAD2C57" w14:textId="77777777" w:rsidTr="000C469C">
        <w:trPr>
          <w:trHeight w:val="340"/>
        </w:trPr>
        <w:tc>
          <w:tcPr>
            <w:tcW w:w="3969" w:type="dxa"/>
            <w:gridSpan w:val="2"/>
            <w:tcBorders>
              <w:top w:val="single" w:sz="4" w:space="0" w:color="auto"/>
            </w:tcBorders>
            <w:vAlign w:val="center"/>
          </w:tcPr>
          <w:p w14:paraId="26180EA7"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p>
        </w:tc>
        <w:tc>
          <w:tcPr>
            <w:tcW w:w="4678" w:type="dxa"/>
            <w:gridSpan w:val="3"/>
            <w:tcBorders>
              <w:top w:val="single" w:sz="4" w:space="0" w:color="auto"/>
              <w:bottom w:val="single" w:sz="4" w:space="0" w:color="auto"/>
            </w:tcBorders>
            <w:noWrap/>
            <w:vAlign w:val="center"/>
          </w:tcPr>
          <w:p w14:paraId="03F6D099" w14:textId="77777777" w:rsidR="000C469C" w:rsidRPr="00EF103F" w:rsidRDefault="000C469C" w:rsidP="000C469C">
            <w:pPr>
              <w:tabs>
                <w:tab w:val="center" w:pos="3286"/>
                <w:tab w:val="left" w:pos="5592"/>
              </w:tabs>
              <w:spacing w:after="0" w:line="240" w:lineRule="auto"/>
              <w:jc w:val="center"/>
              <w:rPr>
                <w:rFonts w:ascii="Times New Roman" w:eastAsia="Times New Roman" w:hAnsi="Times New Roman" w:cs="Times New Roman"/>
                <w:i/>
                <w:sz w:val="20"/>
                <w:szCs w:val="20"/>
              </w:rPr>
            </w:pPr>
            <w:r w:rsidRPr="00EF103F">
              <w:rPr>
                <w:rFonts w:ascii="Times New Roman" w:eastAsia="Times New Roman" w:hAnsi="Times New Roman" w:cs="Times New Roman"/>
                <w:i/>
                <w:sz w:val="20"/>
                <w:szCs w:val="20"/>
              </w:rPr>
              <w:t>Inst. Holdings</w:t>
            </w:r>
          </w:p>
        </w:tc>
      </w:tr>
      <w:tr w:rsidR="000C469C" w:rsidRPr="002A32AF" w14:paraId="1948B8FB" w14:textId="77777777" w:rsidTr="000C469C">
        <w:trPr>
          <w:trHeight w:val="340"/>
        </w:trPr>
        <w:tc>
          <w:tcPr>
            <w:tcW w:w="1985" w:type="dxa"/>
            <w:tcBorders>
              <w:bottom w:val="single" w:sz="4" w:space="0" w:color="auto"/>
            </w:tcBorders>
            <w:vAlign w:val="center"/>
          </w:tcPr>
          <w:p w14:paraId="448AC645"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p>
        </w:tc>
        <w:tc>
          <w:tcPr>
            <w:tcW w:w="1984" w:type="dxa"/>
            <w:tcBorders>
              <w:bottom w:val="single" w:sz="4" w:space="0" w:color="auto"/>
            </w:tcBorders>
            <w:noWrap/>
            <w:vAlign w:val="center"/>
          </w:tcPr>
          <w:p w14:paraId="1AE5158B"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p>
        </w:tc>
        <w:tc>
          <w:tcPr>
            <w:tcW w:w="1609" w:type="dxa"/>
            <w:tcBorders>
              <w:top w:val="single" w:sz="4" w:space="0" w:color="auto"/>
            </w:tcBorders>
            <w:noWrap/>
            <w:vAlign w:val="center"/>
          </w:tcPr>
          <w:p w14:paraId="61782C1E"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Mean</w:t>
            </w:r>
          </w:p>
        </w:tc>
        <w:tc>
          <w:tcPr>
            <w:tcW w:w="1701" w:type="dxa"/>
            <w:tcBorders>
              <w:top w:val="single" w:sz="4" w:space="0" w:color="auto"/>
            </w:tcBorders>
            <w:vAlign w:val="center"/>
          </w:tcPr>
          <w:p w14:paraId="5A4164B2"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Median</w:t>
            </w:r>
          </w:p>
        </w:tc>
        <w:tc>
          <w:tcPr>
            <w:tcW w:w="1368" w:type="dxa"/>
            <w:tcBorders>
              <w:top w:val="single" w:sz="4" w:space="0" w:color="auto"/>
            </w:tcBorders>
            <w:vAlign w:val="center"/>
          </w:tcPr>
          <w:p w14:paraId="19C0ECCA"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Obs.</w:t>
            </w:r>
          </w:p>
        </w:tc>
      </w:tr>
      <w:tr w:rsidR="000C469C" w:rsidRPr="002A32AF" w14:paraId="6EA0BA39" w14:textId="77777777" w:rsidTr="000C469C">
        <w:trPr>
          <w:trHeight w:val="340"/>
        </w:trPr>
        <w:tc>
          <w:tcPr>
            <w:tcW w:w="1985" w:type="dxa"/>
            <w:vMerge w:val="restart"/>
            <w:tcBorders>
              <w:top w:val="single" w:sz="4" w:space="0" w:color="auto"/>
            </w:tcBorders>
            <w:vAlign w:val="center"/>
            <w:hideMark/>
          </w:tcPr>
          <w:p w14:paraId="15ED467C" w14:textId="77777777" w:rsidR="000C469C" w:rsidRPr="00EF103F" w:rsidRDefault="000C469C" w:rsidP="000C469C">
            <w:pPr>
              <w:spacing w:after="0" w:line="240" w:lineRule="auto"/>
              <w:jc w:val="center"/>
              <w:rPr>
                <w:rFonts w:ascii="Times New Roman" w:eastAsia="Times New Roman" w:hAnsi="Times New Roman" w:cs="Times New Roman"/>
                <w:i/>
                <w:sz w:val="20"/>
                <w:szCs w:val="20"/>
              </w:rPr>
            </w:pPr>
            <w:r w:rsidRPr="00EF103F">
              <w:rPr>
                <w:rFonts w:ascii="Times New Roman" w:eastAsia="Times New Roman" w:hAnsi="Times New Roman" w:cs="Times New Roman"/>
                <w:i/>
                <w:sz w:val="20"/>
                <w:szCs w:val="20"/>
              </w:rPr>
              <w:t>CEO Pay Gap</w:t>
            </w:r>
          </w:p>
        </w:tc>
        <w:tc>
          <w:tcPr>
            <w:tcW w:w="1984" w:type="dxa"/>
            <w:tcBorders>
              <w:top w:val="single" w:sz="4" w:space="0" w:color="auto"/>
            </w:tcBorders>
            <w:noWrap/>
            <w:vAlign w:val="center"/>
            <w:hideMark/>
          </w:tcPr>
          <w:p w14:paraId="4AB5B998"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1 (low)</w:t>
            </w:r>
          </w:p>
        </w:tc>
        <w:tc>
          <w:tcPr>
            <w:tcW w:w="1609" w:type="dxa"/>
            <w:tcBorders>
              <w:top w:val="single" w:sz="4" w:space="0" w:color="auto"/>
            </w:tcBorders>
            <w:noWrap/>
            <w:vAlign w:val="center"/>
          </w:tcPr>
          <w:p w14:paraId="389DDF0D"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hAnsi="Times New Roman" w:cs="Times New Roman"/>
                <w:sz w:val="20"/>
                <w:szCs w:val="20"/>
              </w:rPr>
              <w:t>0.6782</w:t>
            </w:r>
          </w:p>
        </w:tc>
        <w:tc>
          <w:tcPr>
            <w:tcW w:w="1701" w:type="dxa"/>
            <w:tcBorders>
              <w:top w:val="single" w:sz="4" w:space="0" w:color="auto"/>
            </w:tcBorders>
            <w:vAlign w:val="center"/>
          </w:tcPr>
          <w:p w14:paraId="1B82BF9B" w14:textId="77777777"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0.6926</w:t>
            </w:r>
          </w:p>
        </w:tc>
        <w:tc>
          <w:tcPr>
            <w:tcW w:w="1368" w:type="dxa"/>
            <w:tcBorders>
              <w:top w:val="single" w:sz="4" w:space="0" w:color="auto"/>
            </w:tcBorders>
            <w:vAlign w:val="center"/>
          </w:tcPr>
          <w:p w14:paraId="01FD5489" w14:textId="1F69325A"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3</w:t>
            </w:r>
            <w:r w:rsidR="004E7671">
              <w:rPr>
                <w:rFonts w:ascii="Times New Roman" w:hAnsi="Times New Roman" w:cs="Times New Roman"/>
                <w:sz w:val="20"/>
                <w:szCs w:val="20"/>
              </w:rPr>
              <w:t>,</w:t>
            </w:r>
            <w:r w:rsidRPr="002A32AF">
              <w:rPr>
                <w:rFonts w:ascii="Times New Roman" w:hAnsi="Times New Roman" w:cs="Times New Roman"/>
                <w:sz w:val="20"/>
                <w:szCs w:val="20"/>
              </w:rPr>
              <w:t>169</w:t>
            </w:r>
          </w:p>
        </w:tc>
      </w:tr>
      <w:tr w:rsidR="000C469C" w:rsidRPr="002A32AF" w14:paraId="6117E154" w14:textId="77777777" w:rsidTr="000C469C">
        <w:trPr>
          <w:trHeight w:val="340"/>
        </w:trPr>
        <w:tc>
          <w:tcPr>
            <w:tcW w:w="1985" w:type="dxa"/>
            <w:vMerge/>
            <w:hideMark/>
          </w:tcPr>
          <w:p w14:paraId="27150E3A" w14:textId="77777777" w:rsidR="000C469C" w:rsidRPr="002A32AF" w:rsidRDefault="000C469C" w:rsidP="000C469C">
            <w:pPr>
              <w:jc w:val="center"/>
              <w:rPr>
                <w:rFonts w:ascii="Times New Roman" w:eastAsia="Times New Roman" w:hAnsi="Times New Roman" w:cs="Times New Roman"/>
                <w:sz w:val="20"/>
                <w:szCs w:val="20"/>
              </w:rPr>
            </w:pPr>
          </w:p>
        </w:tc>
        <w:tc>
          <w:tcPr>
            <w:tcW w:w="1984" w:type="dxa"/>
            <w:noWrap/>
            <w:vAlign w:val="center"/>
            <w:hideMark/>
          </w:tcPr>
          <w:p w14:paraId="6DCF98AA"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2</w:t>
            </w:r>
          </w:p>
        </w:tc>
        <w:tc>
          <w:tcPr>
            <w:tcW w:w="1609" w:type="dxa"/>
            <w:noWrap/>
            <w:vAlign w:val="center"/>
          </w:tcPr>
          <w:p w14:paraId="5020AA8B"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hAnsi="Times New Roman" w:cs="Times New Roman"/>
                <w:sz w:val="20"/>
                <w:szCs w:val="20"/>
              </w:rPr>
              <w:t>0.7089</w:t>
            </w:r>
          </w:p>
        </w:tc>
        <w:tc>
          <w:tcPr>
            <w:tcW w:w="1701" w:type="dxa"/>
            <w:vAlign w:val="center"/>
          </w:tcPr>
          <w:p w14:paraId="103B68D8" w14:textId="77777777"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0.7241</w:t>
            </w:r>
          </w:p>
        </w:tc>
        <w:tc>
          <w:tcPr>
            <w:tcW w:w="1368" w:type="dxa"/>
            <w:vAlign w:val="center"/>
          </w:tcPr>
          <w:p w14:paraId="5231F1D9" w14:textId="21BD7A64"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3</w:t>
            </w:r>
            <w:r w:rsidR="004E7671">
              <w:rPr>
                <w:rFonts w:ascii="Times New Roman" w:hAnsi="Times New Roman" w:cs="Times New Roman"/>
                <w:sz w:val="20"/>
                <w:szCs w:val="20"/>
              </w:rPr>
              <w:t>,</w:t>
            </w:r>
            <w:r w:rsidRPr="002A32AF">
              <w:rPr>
                <w:rFonts w:ascii="Times New Roman" w:hAnsi="Times New Roman" w:cs="Times New Roman"/>
                <w:sz w:val="20"/>
                <w:szCs w:val="20"/>
              </w:rPr>
              <w:t>169</w:t>
            </w:r>
          </w:p>
        </w:tc>
      </w:tr>
      <w:tr w:rsidR="000C469C" w:rsidRPr="002A32AF" w14:paraId="2F66D0B1" w14:textId="77777777" w:rsidTr="000C469C">
        <w:trPr>
          <w:trHeight w:val="340"/>
        </w:trPr>
        <w:tc>
          <w:tcPr>
            <w:tcW w:w="1985" w:type="dxa"/>
            <w:vMerge/>
            <w:hideMark/>
          </w:tcPr>
          <w:p w14:paraId="6C2C4900" w14:textId="77777777" w:rsidR="000C469C" w:rsidRPr="002A32AF" w:rsidRDefault="000C469C" w:rsidP="000C469C">
            <w:pPr>
              <w:jc w:val="center"/>
              <w:rPr>
                <w:rFonts w:ascii="Times New Roman" w:eastAsia="Times New Roman" w:hAnsi="Times New Roman" w:cs="Times New Roman"/>
                <w:sz w:val="20"/>
                <w:szCs w:val="20"/>
              </w:rPr>
            </w:pPr>
          </w:p>
        </w:tc>
        <w:tc>
          <w:tcPr>
            <w:tcW w:w="1984" w:type="dxa"/>
            <w:noWrap/>
            <w:vAlign w:val="center"/>
            <w:hideMark/>
          </w:tcPr>
          <w:p w14:paraId="79F97E02"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3</w:t>
            </w:r>
          </w:p>
        </w:tc>
        <w:tc>
          <w:tcPr>
            <w:tcW w:w="1609" w:type="dxa"/>
            <w:noWrap/>
            <w:vAlign w:val="center"/>
          </w:tcPr>
          <w:p w14:paraId="7363FA0D"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hAnsi="Times New Roman" w:cs="Times New Roman"/>
                <w:sz w:val="20"/>
                <w:szCs w:val="20"/>
              </w:rPr>
              <w:t>0.7292</w:t>
            </w:r>
          </w:p>
        </w:tc>
        <w:tc>
          <w:tcPr>
            <w:tcW w:w="1701" w:type="dxa"/>
            <w:vAlign w:val="center"/>
          </w:tcPr>
          <w:p w14:paraId="5D7CB124" w14:textId="77777777"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0.7450</w:t>
            </w:r>
          </w:p>
        </w:tc>
        <w:tc>
          <w:tcPr>
            <w:tcW w:w="1368" w:type="dxa"/>
            <w:vAlign w:val="center"/>
          </w:tcPr>
          <w:p w14:paraId="13A4ABFD" w14:textId="7D0D240B"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3</w:t>
            </w:r>
            <w:r w:rsidR="004E7671">
              <w:rPr>
                <w:rFonts w:ascii="Times New Roman" w:hAnsi="Times New Roman" w:cs="Times New Roman"/>
                <w:sz w:val="20"/>
                <w:szCs w:val="20"/>
              </w:rPr>
              <w:t>,</w:t>
            </w:r>
            <w:r w:rsidRPr="002A32AF">
              <w:rPr>
                <w:rFonts w:ascii="Times New Roman" w:hAnsi="Times New Roman" w:cs="Times New Roman"/>
                <w:sz w:val="20"/>
                <w:szCs w:val="20"/>
              </w:rPr>
              <w:t>169</w:t>
            </w:r>
          </w:p>
        </w:tc>
      </w:tr>
      <w:tr w:rsidR="000C469C" w:rsidRPr="002A32AF" w14:paraId="54580783" w14:textId="77777777" w:rsidTr="000C469C">
        <w:trPr>
          <w:trHeight w:val="340"/>
        </w:trPr>
        <w:tc>
          <w:tcPr>
            <w:tcW w:w="1985" w:type="dxa"/>
            <w:vMerge/>
            <w:hideMark/>
          </w:tcPr>
          <w:p w14:paraId="1660F098" w14:textId="77777777" w:rsidR="000C469C" w:rsidRPr="002A32AF" w:rsidRDefault="000C469C" w:rsidP="000C469C">
            <w:pPr>
              <w:jc w:val="center"/>
              <w:rPr>
                <w:rFonts w:ascii="Times New Roman" w:eastAsia="Times New Roman" w:hAnsi="Times New Roman" w:cs="Times New Roman"/>
                <w:sz w:val="20"/>
                <w:szCs w:val="20"/>
              </w:rPr>
            </w:pPr>
          </w:p>
        </w:tc>
        <w:tc>
          <w:tcPr>
            <w:tcW w:w="1984" w:type="dxa"/>
            <w:noWrap/>
            <w:vAlign w:val="center"/>
            <w:hideMark/>
          </w:tcPr>
          <w:p w14:paraId="1FFAA5FA"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4</w:t>
            </w:r>
          </w:p>
        </w:tc>
        <w:tc>
          <w:tcPr>
            <w:tcW w:w="1609" w:type="dxa"/>
            <w:noWrap/>
            <w:vAlign w:val="center"/>
          </w:tcPr>
          <w:p w14:paraId="6DBE287B"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hAnsi="Times New Roman" w:cs="Times New Roman"/>
                <w:sz w:val="20"/>
                <w:szCs w:val="20"/>
              </w:rPr>
              <w:t>0.7349</w:t>
            </w:r>
          </w:p>
        </w:tc>
        <w:tc>
          <w:tcPr>
            <w:tcW w:w="1701" w:type="dxa"/>
            <w:vAlign w:val="center"/>
          </w:tcPr>
          <w:p w14:paraId="3323ED85" w14:textId="77777777"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0.7459</w:t>
            </w:r>
          </w:p>
        </w:tc>
        <w:tc>
          <w:tcPr>
            <w:tcW w:w="1368" w:type="dxa"/>
            <w:vAlign w:val="center"/>
          </w:tcPr>
          <w:p w14:paraId="045BE475" w14:textId="7C2CB267"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3</w:t>
            </w:r>
            <w:r w:rsidR="004E7671">
              <w:rPr>
                <w:rFonts w:ascii="Times New Roman" w:hAnsi="Times New Roman" w:cs="Times New Roman"/>
                <w:sz w:val="20"/>
                <w:szCs w:val="20"/>
              </w:rPr>
              <w:t>,</w:t>
            </w:r>
            <w:r w:rsidRPr="002A32AF">
              <w:rPr>
                <w:rFonts w:ascii="Times New Roman" w:hAnsi="Times New Roman" w:cs="Times New Roman"/>
                <w:sz w:val="20"/>
                <w:szCs w:val="20"/>
              </w:rPr>
              <w:t>169</w:t>
            </w:r>
          </w:p>
        </w:tc>
      </w:tr>
      <w:tr w:rsidR="000C469C" w:rsidRPr="002A32AF" w14:paraId="72A6B64E" w14:textId="77777777" w:rsidTr="000C469C">
        <w:trPr>
          <w:trHeight w:val="340"/>
        </w:trPr>
        <w:tc>
          <w:tcPr>
            <w:tcW w:w="1985" w:type="dxa"/>
            <w:vMerge/>
            <w:tcBorders>
              <w:bottom w:val="single" w:sz="4" w:space="0" w:color="auto"/>
            </w:tcBorders>
            <w:hideMark/>
          </w:tcPr>
          <w:p w14:paraId="50251078" w14:textId="77777777" w:rsidR="000C469C" w:rsidRPr="002A32AF" w:rsidRDefault="000C469C" w:rsidP="000C469C">
            <w:pPr>
              <w:jc w:val="center"/>
              <w:rPr>
                <w:rFonts w:ascii="Times New Roman" w:eastAsia="Times New Roman" w:hAnsi="Times New Roman" w:cs="Times New Roman"/>
                <w:sz w:val="20"/>
                <w:szCs w:val="20"/>
              </w:rPr>
            </w:pPr>
          </w:p>
        </w:tc>
        <w:tc>
          <w:tcPr>
            <w:tcW w:w="1984" w:type="dxa"/>
            <w:tcBorders>
              <w:bottom w:val="single" w:sz="4" w:space="0" w:color="auto"/>
            </w:tcBorders>
            <w:noWrap/>
            <w:vAlign w:val="center"/>
            <w:hideMark/>
          </w:tcPr>
          <w:p w14:paraId="38F5AA4E"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5 (high)</w:t>
            </w:r>
          </w:p>
        </w:tc>
        <w:tc>
          <w:tcPr>
            <w:tcW w:w="1609" w:type="dxa"/>
            <w:tcBorders>
              <w:bottom w:val="single" w:sz="4" w:space="0" w:color="auto"/>
            </w:tcBorders>
            <w:noWrap/>
            <w:vAlign w:val="center"/>
          </w:tcPr>
          <w:p w14:paraId="43933C97"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hAnsi="Times New Roman" w:cs="Times New Roman"/>
                <w:sz w:val="20"/>
                <w:szCs w:val="20"/>
              </w:rPr>
              <w:t>0.7392</w:t>
            </w:r>
          </w:p>
        </w:tc>
        <w:tc>
          <w:tcPr>
            <w:tcW w:w="1701" w:type="dxa"/>
            <w:tcBorders>
              <w:bottom w:val="single" w:sz="4" w:space="0" w:color="auto"/>
            </w:tcBorders>
            <w:vAlign w:val="center"/>
          </w:tcPr>
          <w:p w14:paraId="028846EC" w14:textId="77777777"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0.7614</w:t>
            </w:r>
          </w:p>
        </w:tc>
        <w:tc>
          <w:tcPr>
            <w:tcW w:w="1368" w:type="dxa"/>
            <w:tcBorders>
              <w:bottom w:val="single" w:sz="4" w:space="0" w:color="auto"/>
            </w:tcBorders>
            <w:vAlign w:val="center"/>
          </w:tcPr>
          <w:p w14:paraId="41158BF3" w14:textId="59C515B9" w:rsidR="000C469C" w:rsidRPr="002A32AF" w:rsidRDefault="000C469C" w:rsidP="000C469C">
            <w:pPr>
              <w:spacing w:after="0" w:line="240" w:lineRule="auto"/>
              <w:jc w:val="center"/>
              <w:rPr>
                <w:rFonts w:ascii="Times New Roman" w:hAnsi="Times New Roman" w:cs="Times New Roman"/>
                <w:sz w:val="20"/>
                <w:szCs w:val="20"/>
              </w:rPr>
            </w:pPr>
            <w:r w:rsidRPr="002A32AF">
              <w:rPr>
                <w:rFonts w:ascii="Times New Roman" w:hAnsi="Times New Roman" w:cs="Times New Roman"/>
                <w:sz w:val="20"/>
                <w:szCs w:val="20"/>
              </w:rPr>
              <w:t>3</w:t>
            </w:r>
            <w:r w:rsidR="004E7671">
              <w:rPr>
                <w:rFonts w:ascii="Times New Roman" w:hAnsi="Times New Roman" w:cs="Times New Roman"/>
                <w:sz w:val="20"/>
                <w:szCs w:val="20"/>
              </w:rPr>
              <w:t>,</w:t>
            </w:r>
            <w:r w:rsidRPr="002A32AF">
              <w:rPr>
                <w:rFonts w:ascii="Times New Roman" w:hAnsi="Times New Roman" w:cs="Times New Roman"/>
                <w:sz w:val="20"/>
                <w:szCs w:val="20"/>
              </w:rPr>
              <w:t>169</w:t>
            </w:r>
          </w:p>
        </w:tc>
      </w:tr>
      <w:tr w:rsidR="000C469C" w:rsidRPr="002A32AF" w14:paraId="229DBA18" w14:textId="77777777" w:rsidTr="000C469C">
        <w:trPr>
          <w:trHeight w:val="340"/>
        </w:trPr>
        <w:tc>
          <w:tcPr>
            <w:tcW w:w="1985" w:type="dxa"/>
            <w:tcBorders>
              <w:top w:val="single" w:sz="4" w:space="0" w:color="auto"/>
            </w:tcBorders>
            <w:vAlign w:val="center"/>
          </w:tcPr>
          <w:p w14:paraId="00ACB4B1" w14:textId="77777777" w:rsidR="000C469C" w:rsidRPr="002A32AF" w:rsidRDefault="000C469C" w:rsidP="000C469C">
            <w:pPr>
              <w:spacing w:after="0" w:line="240" w:lineRule="auto"/>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Mean</w:t>
            </w:r>
            <w:r>
              <w:rPr>
                <w:rFonts w:ascii="Times New Roman" w:eastAsia="Times New Roman" w:hAnsi="Times New Roman" w:cs="Times New Roman"/>
                <w:sz w:val="20"/>
                <w:szCs w:val="20"/>
              </w:rPr>
              <w:t xml:space="preserve"> / Median</w:t>
            </w:r>
            <w:r w:rsidRPr="002A32AF">
              <w:rPr>
                <w:rFonts w:ascii="Times New Roman" w:eastAsia="Times New Roman" w:hAnsi="Times New Roman" w:cs="Times New Roman"/>
                <w:sz w:val="20"/>
                <w:szCs w:val="20"/>
              </w:rPr>
              <w:t xml:space="preserve"> difference</w:t>
            </w:r>
          </w:p>
        </w:tc>
        <w:tc>
          <w:tcPr>
            <w:tcW w:w="1984" w:type="dxa"/>
            <w:tcBorders>
              <w:top w:val="single" w:sz="4" w:space="0" w:color="auto"/>
            </w:tcBorders>
            <w:noWrap/>
            <w:vAlign w:val="center"/>
          </w:tcPr>
          <w:p w14:paraId="7C9CA292"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1 (low) -5 (high)</w:t>
            </w:r>
          </w:p>
        </w:tc>
        <w:tc>
          <w:tcPr>
            <w:tcW w:w="1609" w:type="dxa"/>
            <w:tcBorders>
              <w:top w:val="single" w:sz="4" w:space="0" w:color="auto"/>
            </w:tcBorders>
            <w:noWrap/>
            <w:vAlign w:val="center"/>
          </w:tcPr>
          <w:p w14:paraId="2015A4B1"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hAnsi="Times New Roman" w:cs="Times New Roman"/>
                <w:color w:val="000000"/>
                <w:sz w:val="20"/>
              </w:rPr>
              <w:t>-0.0611</w:t>
            </w:r>
          </w:p>
        </w:tc>
        <w:tc>
          <w:tcPr>
            <w:tcW w:w="1701" w:type="dxa"/>
            <w:tcBorders>
              <w:top w:val="single" w:sz="4" w:space="0" w:color="auto"/>
            </w:tcBorders>
            <w:vAlign w:val="center"/>
          </w:tcPr>
          <w:p w14:paraId="795BDDA8"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hAnsi="Times New Roman" w:cs="Times New Roman"/>
                <w:color w:val="000000"/>
                <w:sz w:val="20"/>
              </w:rPr>
              <w:t>-0.0688</w:t>
            </w:r>
          </w:p>
        </w:tc>
        <w:tc>
          <w:tcPr>
            <w:tcW w:w="1368" w:type="dxa"/>
            <w:tcBorders>
              <w:top w:val="single" w:sz="4" w:space="0" w:color="auto"/>
            </w:tcBorders>
            <w:vAlign w:val="center"/>
          </w:tcPr>
          <w:p w14:paraId="5453818C"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p>
        </w:tc>
      </w:tr>
      <w:tr w:rsidR="000C469C" w:rsidRPr="002A32AF" w14:paraId="7CADFB06" w14:textId="77777777" w:rsidTr="000C469C">
        <w:trPr>
          <w:trHeight w:val="340"/>
        </w:trPr>
        <w:tc>
          <w:tcPr>
            <w:tcW w:w="1985" w:type="dxa"/>
            <w:vAlign w:val="center"/>
          </w:tcPr>
          <w:p w14:paraId="17F8E338" w14:textId="77777777" w:rsidR="000C469C" w:rsidRPr="002A32AF" w:rsidRDefault="000C469C" w:rsidP="000C469C">
            <w:pPr>
              <w:spacing w:after="0" w:line="240" w:lineRule="auto"/>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 xml:space="preserve">T-test </w:t>
            </w:r>
          </w:p>
        </w:tc>
        <w:tc>
          <w:tcPr>
            <w:tcW w:w="1984" w:type="dxa"/>
            <w:noWrap/>
            <w:vAlign w:val="center"/>
          </w:tcPr>
          <w:p w14:paraId="42318D2C"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1 (low) -5 (high)</w:t>
            </w:r>
          </w:p>
        </w:tc>
        <w:tc>
          <w:tcPr>
            <w:tcW w:w="1609" w:type="dxa"/>
            <w:noWrap/>
            <w:vAlign w:val="center"/>
          </w:tcPr>
          <w:p w14:paraId="0201A2CF"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-12.58***</w:t>
            </w:r>
          </w:p>
        </w:tc>
        <w:tc>
          <w:tcPr>
            <w:tcW w:w="1701" w:type="dxa"/>
            <w:vAlign w:val="center"/>
          </w:tcPr>
          <w:p w14:paraId="13CFA02A"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p>
        </w:tc>
        <w:tc>
          <w:tcPr>
            <w:tcW w:w="1368" w:type="dxa"/>
            <w:vAlign w:val="center"/>
          </w:tcPr>
          <w:p w14:paraId="1F40313F"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p>
        </w:tc>
      </w:tr>
      <w:tr w:rsidR="000C469C" w:rsidRPr="002A32AF" w14:paraId="3A51D59F" w14:textId="77777777" w:rsidTr="000C469C">
        <w:trPr>
          <w:trHeight w:val="340"/>
        </w:trPr>
        <w:tc>
          <w:tcPr>
            <w:tcW w:w="1985" w:type="dxa"/>
            <w:tcBorders>
              <w:bottom w:val="single" w:sz="4" w:space="0" w:color="auto"/>
            </w:tcBorders>
            <w:vAlign w:val="center"/>
          </w:tcPr>
          <w:p w14:paraId="39841DC6" w14:textId="77777777" w:rsidR="000C469C" w:rsidRPr="002A32AF" w:rsidRDefault="000C469C" w:rsidP="000C469C">
            <w:pPr>
              <w:spacing w:after="0" w:line="240" w:lineRule="auto"/>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Mann-Whitney-test</w:t>
            </w:r>
          </w:p>
        </w:tc>
        <w:tc>
          <w:tcPr>
            <w:tcW w:w="1984" w:type="dxa"/>
            <w:tcBorders>
              <w:bottom w:val="single" w:sz="4" w:space="0" w:color="auto"/>
            </w:tcBorders>
            <w:noWrap/>
            <w:vAlign w:val="center"/>
          </w:tcPr>
          <w:p w14:paraId="1C7713DE"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sidRPr="002A32AF">
              <w:rPr>
                <w:rFonts w:ascii="Times New Roman" w:eastAsia="Times New Roman" w:hAnsi="Times New Roman" w:cs="Times New Roman"/>
                <w:sz w:val="20"/>
                <w:szCs w:val="20"/>
              </w:rPr>
              <w:t>1 (low) -5 (high)</w:t>
            </w:r>
          </w:p>
        </w:tc>
        <w:tc>
          <w:tcPr>
            <w:tcW w:w="1609" w:type="dxa"/>
            <w:tcBorders>
              <w:bottom w:val="single" w:sz="4" w:space="0" w:color="auto"/>
            </w:tcBorders>
            <w:noWrap/>
            <w:vAlign w:val="center"/>
          </w:tcPr>
          <w:p w14:paraId="1F41E472"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p>
        </w:tc>
        <w:tc>
          <w:tcPr>
            <w:tcW w:w="1701" w:type="dxa"/>
            <w:tcBorders>
              <w:bottom w:val="single" w:sz="4" w:space="0" w:color="auto"/>
            </w:tcBorders>
            <w:vAlign w:val="center"/>
          </w:tcPr>
          <w:p w14:paraId="3DE5B71D"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12.66***</w:t>
            </w:r>
          </w:p>
        </w:tc>
        <w:tc>
          <w:tcPr>
            <w:tcW w:w="1368" w:type="dxa"/>
            <w:tcBorders>
              <w:bottom w:val="single" w:sz="4" w:space="0" w:color="auto"/>
            </w:tcBorders>
            <w:vAlign w:val="center"/>
          </w:tcPr>
          <w:p w14:paraId="30AEBB3D" w14:textId="77777777" w:rsidR="000C469C" w:rsidRPr="002A32AF" w:rsidRDefault="000C469C" w:rsidP="000C469C">
            <w:pPr>
              <w:spacing w:after="0" w:line="240" w:lineRule="auto"/>
              <w:jc w:val="center"/>
              <w:rPr>
                <w:rFonts w:ascii="Times New Roman" w:eastAsia="Times New Roman" w:hAnsi="Times New Roman" w:cs="Times New Roman"/>
                <w:sz w:val="20"/>
                <w:szCs w:val="20"/>
              </w:rPr>
            </w:pPr>
          </w:p>
        </w:tc>
      </w:tr>
    </w:tbl>
    <w:p w14:paraId="707D1305" w14:textId="30B05B95" w:rsidR="000C469C" w:rsidRDefault="000C469C" w:rsidP="000C469C">
      <w:pPr>
        <w:spacing w:after="0" w:line="240" w:lineRule="auto"/>
        <w:ind w:right="779"/>
        <w:jc w:val="both"/>
        <w:rPr>
          <w:rFonts w:ascii="Times New Roman" w:eastAsia="Times New Roman" w:hAnsi="Times New Roman" w:cs="Times New Roman"/>
          <w:sz w:val="20"/>
          <w:szCs w:val="20"/>
        </w:rPr>
      </w:pPr>
      <w:r w:rsidRPr="00F31E0A">
        <w:rPr>
          <w:rFonts w:ascii="Times New Roman" w:eastAsia="Times New Roman" w:hAnsi="Times New Roman" w:cs="Times New Roman"/>
          <w:sz w:val="20"/>
          <w:szCs w:val="20"/>
        </w:rPr>
        <w:t xml:space="preserve">This table reports the average </w:t>
      </w:r>
      <w:r>
        <w:rPr>
          <w:rFonts w:ascii="Times New Roman" w:eastAsia="Times New Roman" w:hAnsi="Times New Roman" w:cs="Times New Roman"/>
          <w:sz w:val="20"/>
          <w:szCs w:val="20"/>
        </w:rPr>
        <w:t xml:space="preserve">and median </w:t>
      </w:r>
      <w:r w:rsidRPr="00EF103F">
        <w:rPr>
          <w:rFonts w:ascii="Times New Roman" w:eastAsia="Times New Roman" w:hAnsi="Times New Roman" w:cs="Times New Roman"/>
          <w:i/>
          <w:color w:val="000000" w:themeColor="text1"/>
          <w:sz w:val="20"/>
          <w:szCs w:val="20"/>
        </w:rPr>
        <w:t>Inst. Holdings</w:t>
      </w:r>
      <w:r w:rsidRPr="00F31E0A">
        <w:rPr>
          <w:rFonts w:ascii="Times New Roman" w:eastAsia="Times New Roman" w:hAnsi="Times New Roman" w:cs="Times New Roman"/>
          <w:sz w:val="20"/>
          <w:szCs w:val="20"/>
        </w:rPr>
        <w:t xml:space="preserve"> sorted </w:t>
      </w:r>
      <w:r w:rsidR="00EF103F">
        <w:rPr>
          <w:rFonts w:ascii="Times New Roman" w:eastAsia="Times New Roman" w:hAnsi="Times New Roman" w:cs="Times New Roman"/>
          <w:sz w:val="20"/>
          <w:szCs w:val="20"/>
        </w:rPr>
        <w:t xml:space="preserve">by the size of the firm’s </w:t>
      </w:r>
      <w:r w:rsidRPr="00EF103F">
        <w:rPr>
          <w:rFonts w:ascii="Times New Roman" w:eastAsia="Times New Roman" w:hAnsi="Times New Roman" w:cs="Times New Roman"/>
          <w:i/>
          <w:sz w:val="20"/>
          <w:szCs w:val="20"/>
        </w:rPr>
        <w:t>CEO Pay Gap</w:t>
      </w:r>
      <w:r>
        <w:rPr>
          <w:rFonts w:ascii="Times New Roman" w:eastAsia="Times New Roman" w:hAnsi="Times New Roman" w:cs="Times New Roman"/>
          <w:sz w:val="20"/>
          <w:szCs w:val="20"/>
        </w:rPr>
        <w:t xml:space="preserve">. The number in the </w:t>
      </w:r>
      <w:r w:rsidRPr="00F31E0A">
        <w:rPr>
          <w:rFonts w:ascii="Times New Roman" w:eastAsia="Times New Roman" w:hAnsi="Times New Roman" w:cs="Times New Roman"/>
          <w:sz w:val="20"/>
          <w:szCs w:val="20"/>
        </w:rPr>
        <w:t xml:space="preserve">T-test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Mann_Whitney</w:t>
      </w:r>
      <w:proofErr w:type="spellEnd"/>
      <w:r>
        <w:rPr>
          <w:rFonts w:ascii="Times New Roman" w:eastAsia="Times New Roman" w:hAnsi="Times New Roman" w:cs="Times New Roman"/>
          <w:sz w:val="20"/>
          <w:szCs w:val="20"/>
        </w:rPr>
        <w:t xml:space="preserve">-test) </w:t>
      </w:r>
      <w:r w:rsidRPr="00F31E0A">
        <w:rPr>
          <w:rFonts w:ascii="Times New Roman" w:eastAsia="Times New Roman" w:hAnsi="Times New Roman" w:cs="Times New Roman"/>
          <w:sz w:val="20"/>
          <w:szCs w:val="20"/>
        </w:rPr>
        <w:t>rows are the differences of mean</w:t>
      </w:r>
      <w:r>
        <w:rPr>
          <w:rFonts w:ascii="Times New Roman" w:eastAsia="Times New Roman" w:hAnsi="Times New Roman" w:cs="Times New Roman"/>
          <w:sz w:val="20"/>
          <w:szCs w:val="20"/>
        </w:rPr>
        <w:t xml:space="preserve"> (median)</w:t>
      </w:r>
      <w:r w:rsidRPr="00F31E0A">
        <w:rPr>
          <w:rFonts w:ascii="Times New Roman" w:eastAsia="Times New Roman" w:hAnsi="Times New Roman" w:cs="Times New Roman"/>
          <w:sz w:val="20"/>
          <w:szCs w:val="20"/>
        </w:rPr>
        <w:t xml:space="preserve"> </w:t>
      </w:r>
      <w:r w:rsidRPr="00EF103F">
        <w:rPr>
          <w:rFonts w:ascii="Times New Roman" w:eastAsia="Times New Roman" w:hAnsi="Times New Roman" w:cs="Times New Roman"/>
          <w:i/>
          <w:sz w:val="20"/>
          <w:szCs w:val="20"/>
        </w:rPr>
        <w:t>Inst. Holdings</w:t>
      </w:r>
      <w:r>
        <w:rPr>
          <w:rFonts w:ascii="Times New Roman" w:eastAsia="Times New Roman" w:hAnsi="Times New Roman" w:cs="Times New Roman"/>
          <w:sz w:val="20"/>
          <w:szCs w:val="20"/>
        </w:rPr>
        <w:t xml:space="preserve"> between </w:t>
      </w:r>
      <w:r w:rsidR="00EF103F">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lowest </w:t>
      </w:r>
      <w:r w:rsidRPr="00EF103F">
        <w:rPr>
          <w:rFonts w:ascii="Times New Roman" w:eastAsia="Times New Roman" w:hAnsi="Times New Roman" w:cs="Times New Roman"/>
          <w:i/>
          <w:sz w:val="20"/>
          <w:szCs w:val="20"/>
        </w:rPr>
        <w:t>CEO Pay Gap</w:t>
      </w:r>
      <w:r w:rsidRPr="00F31E0A">
        <w:rPr>
          <w:rFonts w:ascii="Times New Roman" w:eastAsia="Times New Roman" w:hAnsi="Times New Roman" w:cs="Times New Roman"/>
          <w:sz w:val="20"/>
          <w:szCs w:val="20"/>
        </w:rPr>
        <w:t xml:space="preserve"> quintile and highest </w:t>
      </w:r>
      <w:r w:rsidRPr="00EF103F">
        <w:rPr>
          <w:rFonts w:ascii="Times New Roman" w:eastAsia="Times New Roman" w:hAnsi="Times New Roman" w:cs="Times New Roman"/>
          <w:i/>
          <w:sz w:val="20"/>
          <w:szCs w:val="20"/>
        </w:rPr>
        <w:t>CEO Pay Gap</w:t>
      </w:r>
      <w:r w:rsidRPr="00F31E0A">
        <w:rPr>
          <w:rFonts w:ascii="Times New Roman" w:eastAsia="Times New Roman" w:hAnsi="Times New Roman" w:cs="Times New Roman"/>
          <w:sz w:val="20"/>
          <w:szCs w:val="20"/>
        </w:rPr>
        <w:t xml:space="preserve"> quintile, with the symbols representing </w:t>
      </w:r>
      <w:r w:rsidRPr="00F31E0A">
        <w:rPr>
          <w:rFonts w:ascii="Times New Roman" w:eastAsia="Times New Roman" w:hAnsi="Times New Roman" w:cs="Times New Roman"/>
          <w:i/>
          <w:sz w:val="20"/>
          <w:szCs w:val="20"/>
        </w:rPr>
        <w:t>t</w:t>
      </w:r>
      <w:r w:rsidRPr="00F31E0A">
        <w:rPr>
          <w:rFonts w:ascii="Times New Roman" w:eastAsia="Times New Roman" w:hAnsi="Times New Roman" w:cs="Times New Roman"/>
          <w:sz w:val="20"/>
          <w:szCs w:val="20"/>
        </w:rPr>
        <w:t>-test significance. ***, ** and * denote significance at the 1%, 5% and 10% levels, respectively.</w:t>
      </w:r>
    </w:p>
    <w:p w14:paraId="094F93FE" w14:textId="77777777" w:rsidR="000C469C" w:rsidRDefault="000C469C" w:rsidP="000C469C">
      <w:pPr>
        <w:spacing w:after="0" w:line="240" w:lineRule="auto"/>
        <w:ind w:right="1629"/>
        <w:jc w:val="both"/>
        <w:rPr>
          <w:rFonts w:ascii="Times New Roman" w:eastAsia="Times New Roman" w:hAnsi="Times New Roman" w:cs="Times New Roman"/>
          <w:sz w:val="20"/>
          <w:szCs w:val="20"/>
        </w:rPr>
      </w:pPr>
    </w:p>
    <w:p w14:paraId="4CED1D69" w14:textId="77777777" w:rsidR="000C469C" w:rsidRPr="00F31E0A" w:rsidRDefault="000C469C" w:rsidP="000C469C">
      <w:pPr>
        <w:spacing w:after="0" w:line="240" w:lineRule="auto"/>
        <w:ind w:right="2948"/>
        <w:jc w:val="both"/>
        <w:rPr>
          <w:rFonts w:ascii="Times New Roman" w:hAnsi="Times New Roman" w:cs="Times New Roman"/>
          <w:b/>
          <w:sz w:val="20"/>
          <w:szCs w:val="20"/>
        </w:rPr>
      </w:pPr>
    </w:p>
    <w:p w14:paraId="3F8E3071" w14:textId="77777777" w:rsidR="000C469C" w:rsidRPr="00F31E0A" w:rsidRDefault="000C469C" w:rsidP="000C469C">
      <w:pPr>
        <w:spacing w:after="0" w:line="480" w:lineRule="auto"/>
        <w:ind w:right="142" w:firstLine="720"/>
        <w:jc w:val="both"/>
        <w:rPr>
          <w:rFonts w:ascii="Times New Roman" w:eastAsia="Times New Roman" w:hAnsi="Times New Roman" w:cs="Times New Roman"/>
          <w:sz w:val="20"/>
          <w:szCs w:val="20"/>
        </w:rPr>
      </w:pPr>
    </w:p>
    <w:p w14:paraId="4CE53D16" w14:textId="77777777" w:rsidR="000C469C" w:rsidRPr="00F31E0A" w:rsidRDefault="000C469C" w:rsidP="000C469C">
      <w:pPr>
        <w:rPr>
          <w:rFonts w:ascii="Times New Roman" w:hAnsi="Times New Roman" w:cs="Times New Roman"/>
          <w:b/>
          <w:sz w:val="20"/>
          <w:szCs w:val="20"/>
        </w:rPr>
      </w:pPr>
    </w:p>
    <w:p w14:paraId="11654D43" w14:textId="77777777" w:rsidR="000C469C" w:rsidRDefault="000C469C" w:rsidP="000C469C">
      <w:pPr>
        <w:spacing w:after="0" w:line="240" w:lineRule="auto"/>
        <w:ind w:right="2948"/>
        <w:jc w:val="both"/>
        <w:rPr>
          <w:rFonts w:ascii="Times New Roman" w:eastAsia="Times New Roman" w:hAnsi="Times New Roman" w:cs="Times New Roman"/>
          <w:b/>
          <w:sz w:val="20"/>
          <w:szCs w:val="20"/>
        </w:rPr>
        <w:sectPr w:rsidR="000C469C" w:rsidSect="00B60E83">
          <w:footnotePr>
            <w:numRestart w:val="eachSect"/>
          </w:footnotePr>
          <w:pgSz w:w="11920" w:h="16840"/>
          <w:pgMar w:top="1247" w:right="1247" w:bottom="1247" w:left="1247" w:header="0" w:footer="805" w:gutter="0"/>
          <w:cols w:space="720"/>
        </w:sectPr>
      </w:pPr>
    </w:p>
    <w:p w14:paraId="7651B5C3" w14:textId="77777777" w:rsidR="000C469C" w:rsidRDefault="000C469C" w:rsidP="000C469C">
      <w:pPr>
        <w:spacing w:after="0" w:line="240" w:lineRule="auto"/>
        <w:ind w:right="2948"/>
        <w:jc w:val="both"/>
        <w:rPr>
          <w:rFonts w:ascii="Times New Roman" w:eastAsia="Times New Roman" w:hAnsi="Times New Roman" w:cs="Times New Roman"/>
          <w:b/>
          <w:sz w:val="20"/>
          <w:szCs w:val="20"/>
        </w:rPr>
      </w:pPr>
    </w:p>
    <w:p w14:paraId="37B70369" w14:textId="4EA45109" w:rsidR="000C469C" w:rsidRPr="00B60E83" w:rsidRDefault="000C469C" w:rsidP="000C469C">
      <w:pPr>
        <w:spacing w:after="0" w:line="240" w:lineRule="auto"/>
        <w:ind w:right="2948"/>
        <w:jc w:val="both"/>
        <w:rPr>
          <w:rFonts w:ascii="Times New Roman" w:eastAsia="Times New Roman" w:hAnsi="Times New Roman" w:cs="Times New Roman"/>
          <w:b/>
          <w:sz w:val="20"/>
          <w:szCs w:val="20"/>
        </w:rPr>
      </w:pPr>
      <w:r w:rsidRPr="00F31E0A">
        <w:rPr>
          <w:rFonts w:ascii="Times New Roman" w:eastAsia="Times New Roman" w:hAnsi="Times New Roman" w:cs="Times New Roman"/>
          <w:b/>
          <w:sz w:val="20"/>
          <w:szCs w:val="20"/>
        </w:rPr>
        <w:t>Table 3</w:t>
      </w:r>
      <w:r w:rsidRPr="00B60E83">
        <w:rPr>
          <w:rFonts w:ascii="Times New Roman" w:eastAsia="Times New Roman" w:hAnsi="Times New Roman" w:cs="Times New Roman"/>
          <w:b/>
          <w:sz w:val="20"/>
          <w:szCs w:val="20"/>
        </w:rPr>
        <w:t xml:space="preserve">: Baseline </w:t>
      </w:r>
      <w:r w:rsidR="004F6005">
        <w:rPr>
          <w:rFonts w:ascii="Times New Roman" w:eastAsia="Times New Roman" w:hAnsi="Times New Roman" w:cs="Times New Roman"/>
          <w:b/>
          <w:sz w:val="20"/>
          <w:szCs w:val="20"/>
        </w:rPr>
        <w:t>r</w:t>
      </w:r>
      <w:r w:rsidRPr="00B60E83">
        <w:rPr>
          <w:rFonts w:ascii="Times New Roman" w:eastAsia="Times New Roman" w:hAnsi="Times New Roman" w:cs="Times New Roman"/>
          <w:b/>
          <w:sz w:val="20"/>
          <w:szCs w:val="20"/>
        </w:rPr>
        <w:t>egression</w:t>
      </w:r>
      <w:r w:rsidR="004F6005">
        <w:rPr>
          <w:rFonts w:ascii="Times New Roman" w:eastAsia="Times New Roman" w:hAnsi="Times New Roman" w:cs="Times New Roman"/>
          <w:b/>
          <w:sz w:val="20"/>
          <w:szCs w:val="20"/>
        </w:rPr>
        <w:t>s</w:t>
      </w:r>
      <w:r w:rsidRPr="00B60E83">
        <w:rPr>
          <w:rFonts w:ascii="Times New Roman" w:eastAsia="Times New Roman" w:hAnsi="Times New Roman" w:cs="Times New Roman"/>
          <w:b/>
          <w:sz w:val="20"/>
          <w:szCs w:val="20"/>
        </w:rPr>
        <w:t xml:space="preserve"> </w:t>
      </w:r>
    </w:p>
    <w:tbl>
      <w:tblPr>
        <w:tblW w:w="9639" w:type="dxa"/>
        <w:tblInd w:w="113" w:type="dxa"/>
        <w:tblLook w:val="04A0" w:firstRow="1" w:lastRow="0" w:firstColumn="1" w:lastColumn="0" w:noHBand="0" w:noVBand="1"/>
      </w:tblPr>
      <w:tblGrid>
        <w:gridCol w:w="2155"/>
        <w:gridCol w:w="1871"/>
        <w:gridCol w:w="1871"/>
        <w:gridCol w:w="1871"/>
        <w:gridCol w:w="1871"/>
      </w:tblGrid>
      <w:tr w:rsidR="000C469C" w:rsidRPr="001E5803" w14:paraId="4B24330F" w14:textId="77777777" w:rsidTr="000C469C">
        <w:trPr>
          <w:trHeight w:val="312"/>
        </w:trPr>
        <w:tc>
          <w:tcPr>
            <w:tcW w:w="2155" w:type="dxa"/>
            <w:tcBorders>
              <w:top w:val="single" w:sz="4" w:space="0" w:color="auto"/>
              <w:bottom w:val="single" w:sz="4" w:space="0" w:color="auto"/>
            </w:tcBorders>
            <w:shd w:val="clear" w:color="auto" w:fill="auto"/>
            <w:noWrap/>
            <w:vAlign w:val="center"/>
            <w:hideMark/>
          </w:tcPr>
          <w:p w14:paraId="030A9982" w14:textId="77777777" w:rsidR="000C469C" w:rsidRPr="001E5803" w:rsidRDefault="000C469C" w:rsidP="000C469C">
            <w:pPr>
              <w:spacing w:after="0" w:line="240" w:lineRule="auto"/>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Regression:</w:t>
            </w:r>
          </w:p>
        </w:tc>
        <w:tc>
          <w:tcPr>
            <w:tcW w:w="1871" w:type="dxa"/>
            <w:tcBorders>
              <w:top w:val="single" w:sz="4" w:space="0" w:color="auto"/>
              <w:bottom w:val="single" w:sz="4" w:space="0" w:color="auto"/>
            </w:tcBorders>
            <w:shd w:val="clear" w:color="auto" w:fill="auto"/>
            <w:noWrap/>
            <w:vAlign w:val="center"/>
            <w:hideMark/>
          </w:tcPr>
          <w:p w14:paraId="48AFB2D8"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(3.1)</w:t>
            </w:r>
          </w:p>
        </w:tc>
        <w:tc>
          <w:tcPr>
            <w:tcW w:w="1871" w:type="dxa"/>
            <w:tcBorders>
              <w:top w:val="single" w:sz="4" w:space="0" w:color="auto"/>
              <w:bottom w:val="single" w:sz="4" w:space="0" w:color="auto"/>
            </w:tcBorders>
            <w:shd w:val="clear" w:color="auto" w:fill="auto"/>
            <w:noWrap/>
            <w:vAlign w:val="center"/>
            <w:hideMark/>
          </w:tcPr>
          <w:p w14:paraId="176CDF2A"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(3.2)</w:t>
            </w:r>
          </w:p>
        </w:tc>
        <w:tc>
          <w:tcPr>
            <w:tcW w:w="1871" w:type="dxa"/>
            <w:tcBorders>
              <w:top w:val="single" w:sz="4" w:space="0" w:color="auto"/>
              <w:bottom w:val="single" w:sz="4" w:space="0" w:color="auto"/>
            </w:tcBorders>
            <w:shd w:val="clear" w:color="auto" w:fill="auto"/>
            <w:noWrap/>
            <w:vAlign w:val="center"/>
            <w:hideMark/>
          </w:tcPr>
          <w:p w14:paraId="46BA1ECE"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(3.3)</w:t>
            </w:r>
          </w:p>
        </w:tc>
        <w:tc>
          <w:tcPr>
            <w:tcW w:w="1871" w:type="dxa"/>
            <w:tcBorders>
              <w:top w:val="single" w:sz="4" w:space="0" w:color="auto"/>
              <w:bottom w:val="single" w:sz="4" w:space="0" w:color="auto"/>
            </w:tcBorders>
            <w:shd w:val="clear" w:color="auto" w:fill="auto"/>
            <w:noWrap/>
            <w:vAlign w:val="center"/>
            <w:hideMark/>
          </w:tcPr>
          <w:p w14:paraId="6D3CA8CA"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(3.4)</w:t>
            </w:r>
          </w:p>
        </w:tc>
      </w:tr>
      <w:tr w:rsidR="000C469C" w:rsidRPr="001E5803" w14:paraId="5C517229" w14:textId="77777777" w:rsidTr="000C469C">
        <w:trPr>
          <w:trHeight w:val="312"/>
        </w:trPr>
        <w:tc>
          <w:tcPr>
            <w:tcW w:w="2155" w:type="dxa"/>
            <w:tcBorders>
              <w:top w:val="single" w:sz="4" w:space="0" w:color="auto"/>
              <w:bottom w:val="single" w:sz="4" w:space="0" w:color="auto"/>
            </w:tcBorders>
            <w:shd w:val="clear" w:color="auto" w:fill="auto"/>
            <w:noWrap/>
            <w:vAlign w:val="center"/>
            <w:hideMark/>
          </w:tcPr>
          <w:p w14:paraId="46C7B305" w14:textId="77777777" w:rsidR="000C469C" w:rsidRPr="001E5803" w:rsidRDefault="000C469C" w:rsidP="000C469C">
            <w:pPr>
              <w:spacing w:after="0" w:line="240" w:lineRule="auto"/>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i/>
                <w:color w:val="000000"/>
                <w:sz w:val="20"/>
                <w:szCs w:val="20"/>
                <w:lang w:eastAsia="zh-CN"/>
              </w:rPr>
              <w:t>Dependent variable:</w:t>
            </w:r>
          </w:p>
        </w:tc>
        <w:tc>
          <w:tcPr>
            <w:tcW w:w="1871" w:type="dxa"/>
            <w:tcBorders>
              <w:top w:val="single" w:sz="4" w:space="0" w:color="auto"/>
              <w:bottom w:val="single" w:sz="4" w:space="0" w:color="auto"/>
            </w:tcBorders>
            <w:shd w:val="clear" w:color="auto" w:fill="auto"/>
            <w:noWrap/>
            <w:vAlign w:val="center"/>
            <w:hideMark/>
          </w:tcPr>
          <w:p w14:paraId="762BA838"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Inst. Holdings</w:t>
            </w:r>
          </w:p>
        </w:tc>
        <w:tc>
          <w:tcPr>
            <w:tcW w:w="1871" w:type="dxa"/>
            <w:tcBorders>
              <w:top w:val="single" w:sz="4" w:space="0" w:color="auto"/>
              <w:bottom w:val="single" w:sz="4" w:space="0" w:color="auto"/>
            </w:tcBorders>
            <w:shd w:val="clear" w:color="auto" w:fill="auto"/>
            <w:noWrap/>
            <w:vAlign w:val="center"/>
            <w:hideMark/>
          </w:tcPr>
          <w:p w14:paraId="03E171A5"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Inst. Holdings</w:t>
            </w:r>
          </w:p>
        </w:tc>
        <w:tc>
          <w:tcPr>
            <w:tcW w:w="1871" w:type="dxa"/>
            <w:tcBorders>
              <w:top w:val="single" w:sz="4" w:space="0" w:color="auto"/>
              <w:bottom w:val="single" w:sz="4" w:space="0" w:color="auto"/>
            </w:tcBorders>
            <w:shd w:val="clear" w:color="auto" w:fill="auto"/>
            <w:noWrap/>
            <w:vAlign w:val="center"/>
            <w:hideMark/>
          </w:tcPr>
          <w:p w14:paraId="7AD17FCF"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Inst. Holdings</w:t>
            </w:r>
          </w:p>
        </w:tc>
        <w:tc>
          <w:tcPr>
            <w:tcW w:w="1871" w:type="dxa"/>
            <w:tcBorders>
              <w:top w:val="single" w:sz="4" w:space="0" w:color="auto"/>
              <w:bottom w:val="single" w:sz="4" w:space="0" w:color="auto"/>
            </w:tcBorders>
            <w:shd w:val="clear" w:color="auto" w:fill="auto"/>
            <w:noWrap/>
            <w:vAlign w:val="center"/>
            <w:hideMark/>
          </w:tcPr>
          <w:p w14:paraId="5221233B"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Inst. Holdings</w:t>
            </w:r>
          </w:p>
        </w:tc>
      </w:tr>
      <w:tr w:rsidR="000C469C" w:rsidRPr="001E5803" w14:paraId="3F902B78" w14:textId="77777777" w:rsidTr="000C469C">
        <w:trPr>
          <w:trHeight w:val="312"/>
        </w:trPr>
        <w:tc>
          <w:tcPr>
            <w:tcW w:w="2155" w:type="dxa"/>
            <w:tcBorders>
              <w:top w:val="single" w:sz="4" w:space="0" w:color="auto"/>
              <w:bottom w:val="single" w:sz="4" w:space="0" w:color="auto"/>
            </w:tcBorders>
            <w:shd w:val="clear" w:color="auto" w:fill="auto"/>
            <w:noWrap/>
            <w:vAlign w:val="center"/>
          </w:tcPr>
          <w:p w14:paraId="3B958608" w14:textId="12BDA2BD" w:rsidR="000C469C" w:rsidRPr="001E5803" w:rsidRDefault="000C469C" w:rsidP="000C469C">
            <w:pPr>
              <w:spacing w:after="0" w:line="240" w:lineRule="auto"/>
              <w:rPr>
                <w:rFonts w:ascii="Times New Roman" w:eastAsia="Times New Roman" w:hAnsi="Times New Roman" w:cs="Times New Roman"/>
                <w:i/>
                <w:color w:val="000000"/>
                <w:sz w:val="20"/>
                <w:szCs w:val="20"/>
                <w:lang w:eastAsia="zh-CN"/>
              </w:rPr>
            </w:pPr>
            <w:r w:rsidRPr="001E5803">
              <w:rPr>
                <w:rFonts w:ascii="Times New Roman" w:eastAsia="Times New Roman" w:hAnsi="Times New Roman" w:cs="Times New Roman"/>
                <w:i/>
                <w:color w:val="000000"/>
                <w:sz w:val="20"/>
                <w:szCs w:val="20"/>
                <w:lang w:eastAsia="zh-CN"/>
              </w:rPr>
              <w:t>Independent variable</w:t>
            </w:r>
            <w:r w:rsidR="00EF103F">
              <w:rPr>
                <w:rFonts w:ascii="Times New Roman" w:eastAsia="Times New Roman" w:hAnsi="Times New Roman" w:cs="Times New Roman"/>
                <w:i/>
                <w:color w:val="000000"/>
                <w:sz w:val="20"/>
                <w:szCs w:val="20"/>
                <w:lang w:eastAsia="zh-CN"/>
              </w:rPr>
              <w:t>s</w:t>
            </w:r>
            <w:r w:rsidRPr="001E5803">
              <w:rPr>
                <w:rFonts w:ascii="Times New Roman" w:eastAsia="Times New Roman" w:hAnsi="Times New Roman" w:cs="Times New Roman"/>
                <w:i/>
                <w:color w:val="000000"/>
                <w:sz w:val="20"/>
                <w:szCs w:val="20"/>
                <w:lang w:eastAsia="zh-CN"/>
              </w:rPr>
              <w:t>:</w:t>
            </w:r>
          </w:p>
        </w:tc>
        <w:tc>
          <w:tcPr>
            <w:tcW w:w="1871" w:type="dxa"/>
            <w:tcBorders>
              <w:top w:val="single" w:sz="4" w:space="0" w:color="auto"/>
              <w:bottom w:val="single" w:sz="4" w:space="0" w:color="auto"/>
            </w:tcBorders>
            <w:shd w:val="clear" w:color="auto" w:fill="auto"/>
            <w:noWrap/>
            <w:vAlign w:val="center"/>
          </w:tcPr>
          <w:p w14:paraId="7243B366"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Contemporaneous</w:t>
            </w:r>
          </w:p>
        </w:tc>
        <w:tc>
          <w:tcPr>
            <w:tcW w:w="1871" w:type="dxa"/>
            <w:tcBorders>
              <w:top w:val="single" w:sz="4" w:space="0" w:color="auto"/>
              <w:bottom w:val="single" w:sz="4" w:space="0" w:color="auto"/>
            </w:tcBorders>
            <w:shd w:val="clear" w:color="auto" w:fill="auto"/>
            <w:noWrap/>
            <w:vAlign w:val="center"/>
          </w:tcPr>
          <w:p w14:paraId="2A464FBC"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Contemporaneous</w:t>
            </w:r>
          </w:p>
        </w:tc>
        <w:tc>
          <w:tcPr>
            <w:tcW w:w="1871" w:type="dxa"/>
            <w:tcBorders>
              <w:top w:val="single" w:sz="4" w:space="0" w:color="auto"/>
              <w:bottom w:val="single" w:sz="4" w:space="0" w:color="auto"/>
            </w:tcBorders>
            <w:shd w:val="clear" w:color="auto" w:fill="auto"/>
            <w:noWrap/>
            <w:vAlign w:val="center"/>
          </w:tcPr>
          <w:p w14:paraId="666DA68D" w14:textId="3EDF538F" w:rsidR="000C469C" w:rsidRPr="001E5803" w:rsidRDefault="00EF103F" w:rsidP="000C469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One year l</w:t>
            </w:r>
            <w:r w:rsidR="000C469C" w:rsidRPr="001E5803">
              <w:rPr>
                <w:rFonts w:ascii="Times New Roman" w:eastAsia="Times New Roman" w:hAnsi="Times New Roman" w:cs="Times New Roman"/>
                <w:color w:val="000000" w:themeColor="text1"/>
                <w:sz w:val="20"/>
                <w:szCs w:val="20"/>
              </w:rPr>
              <w:t>ag</w:t>
            </w:r>
            <w:r>
              <w:rPr>
                <w:rFonts w:ascii="Times New Roman" w:eastAsia="Times New Roman" w:hAnsi="Times New Roman" w:cs="Times New Roman"/>
                <w:color w:val="000000" w:themeColor="text1"/>
                <w:sz w:val="20"/>
                <w:szCs w:val="20"/>
              </w:rPr>
              <w:t>ged</w:t>
            </w:r>
          </w:p>
        </w:tc>
        <w:tc>
          <w:tcPr>
            <w:tcW w:w="1871" w:type="dxa"/>
            <w:tcBorders>
              <w:top w:val="single" w:sz="4" w:space="0" w:color="auto"/>
              <w:bottom w:val="single" w:sz="4" w:space="0" w:color="auto"/>
            </w:tcBorders>
            <w:shd w:val="clear" w:color="auto" w:fill="auto"/>
            <w:noWrap/>
            <w:vAlign w:val="center"/>
          </w:tcPr>
          <w:p w14:paraId="179B6576" w14:textId="7E9A1EAF" w:rsidR="000C469C" w:rsidRPr="001E5803" w:rsidRDefault="00EF103F" w:rsidP="000C469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One year l</w:t>
            </w:r>
            <w:r w:rsidR="000C469C" w:rsidRPr="001E5803">
              <w:rPr>
                <w:rFonts w:ascii="Times New Roman" w:eastAsia="Times New Roman" w:hAnsi="Times New Roman" w:cs="Times New Roman"/>
                <w:color w:val="000000" w:themeColor="text1"/>
                <w:sz w:val="20"/>
                <w:szCs w:val="20"/>
              </w:rPr>
              <w:t>ag</w:t>
            </w:r>
            <w:r>
              <w:rPr>
                <w:rFonts w:ascii="Times New Roman" w:eastAsia="Times New Roman" w:hAnsi="Times New Roman" w:cs="Times New Roman"/>
                <w:color w:val="000000" w:themeColor="text1"/>
                <w:sz w:val="20"/>
                <w:szCs w:val="20"/>
              </w:rPr>
              <w:t>ged</w:t>
            </w:r>
          </w:p>
        </w:tc>
      </w:tr>
      <w:tr w:rsidR="000C469C" w:rsidRPr="001E5803" w14:paraId="49FAF15B" w14:textId="77777777" w:rsidTr="0011769C">
        <w:trPr>
          <w:trHeight w:val="312"/>
        </w:trPr>
        <w:tc>
          <w:tcPr>
            <w:tcW w:w="2155" w:type="dxa"/>
            <w:shd w:val="clear" w:color="auto" w:fill="auto"/>
            <w:noWrap/>
            <w:vAlign w:val="bottom"/>
            <w:hideMark/>
          </w:tcPr>
          <w:p w14:paraId="18E07F00"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themeColor="text1"/>
                <w:sz w:val="20"/>
                <w:szCs w:val="20"/>
              </w:rPr>
              <w:t>CEO Pay Gap</w:t>
            </w:r>
          </w:p>
        </w:tc>
        <w:tc>
          <w:tcPr>
            <w:tcW w:w="1871" w:type="dxa"/>
            <w:shd w:val="clear" w:color="auto" w:fill="auto"/>
            <w:noWrap/>
            <w:vAlign w:val="bottom"/>
            <w:hideMark/>
          </w:tcPr>
          <w:p w14:paraId="7774E5C2"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0.1405</w:t>
            </w:r>
          </w:p>
        </w:tc>
        <w:tc>
          <w:tcPr>
            <w:tcW w:w="1871" w:type="dxa"/>
            <w:shd w:val="clear" w:color="auto" w:fill="auto"/>
            <w:noWrap/>
            <w:vAlign w:val="bottom"/>
            <w:hideMark/>
          </w:tcPr>
          <w:p w14:paraId="5A9F3D9C"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0.1320</w:t>
            </w:r>
          </w:p>
        </w:tc>
        <w:tc>
          <w:tcPr>
            <w:tcW w:w="1871" w:type="dxa"/>
            <w:shd w:val="clear" w:color="auto" w:fill="auto"/>
            <w:noWrap/>
            <w:vAlign w:val="bottom"/>
            <w:hideMark/>
          </w:tcPr>
          <w:p w14:paraId="2A0B6682"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0.1347</w:t>
            </w:r>
          </w:p>
        </w:tc>
        <w:tc>
          <w:tcPr>
            <w:tcW w:w="1871" w:type="dxa"/>
            <w:shd w:val="clear" w:color="auto" w:fill="auto"/>
            <w:noWrap/>
            <w:vAlign w:val="bottom"/>
            <w:hideMark/>
          </w:tcPr>
          <w:p w14:paraId="12686517"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0.1308</w:t>
            </w:r>
          </w:p>
        </w:tc>
      </w:tr>
      <w:tr w:rsidR="000C469C" w:rsidRPr="001E5803" w14:paraId="3F39C9B9" w14:textId="77777777" w:rsidTr="0011769C">
        <w:trPr>
          <w:trHeight w:val="312"/>
        </w:trPr>
        <w:tc>
          <w:tcPr>
            <w:tcW w:w="2155" w:type="dxa"/>
            <w:shd w:val="clear" w:color="auto" w:fill="auto"/>
            <w:noWrap/>
            <w:hideMark/>
          </w:tcPr>
          <w:p w14:paraId="3B0A0D45"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hideMark/>
          </w:tcPr>
          <w:p w14:paraId="0BABE869"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(11.9113)***</w:t>
            </w:r>
          </w:p>
        </w:tc>
        <w:tc>
          <w:tcPr>
            <w:tcW w:w="1871" w:type="dxa"/>
            <w:shd w:val="clear" w:color="auto" w:fill="auto"/>
            <w:noWrap/>
            <w:hideMark/>
          </w:tcPr>
          <w:p w14:paraId="5CFFBD8A"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(11.0511)***</w:t>
            </w:r>
          </w:p>
        </w:tc>
        <w:tc>
          <w:tcPr>
            <w:tcW w:w="1871" w:type="dxa"/>
            <w:shd w:val="clear" w:color="auto" w:fill="auto"/>
            <w:noWrap/>
            <w:hideMark/>
          </w:tcPr>
          <w:p w14:paraId="5A173637"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(11.4557)***</w:t>
            </w:r>
          </w:p>
        </w:tc>
        <w:tc>
          <w:tcPr>
            <w:tcW w:w="1871" w:type="dxa"/>
            <w:shd w:val="clear" w:color="auto" w:fill="auto"/>
            <w:noWrap/>
            <w:hideMark/>
          </w:tcPr>
          <w:p w14:paraId="4787C913"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(10.7792)***</w:t>
            </w:r>
          </w:p>
        </w:tc>
      </w:tr>
      <w:tr w:rsidR="000C469C" w:rsidRPr="001E5803" w14:paraId="7EEA7EDE" w14:textId="77777777" w:rsidTr="000C469C">
        <w:trPr>
          <w:trHeight w:val="312"/>
        </w:trPr>
        <w:tc>
          <w:tcPr>
            <w:tcW w:w="2155" w:type="dxa"/>
            <w:shd w:val="clear" w:color="auto" w:fill="auto"/>
            <w:noWrap/>
            <w:vAlign w:val="center"/>
          </w:tcPr>
          <w:p w14:paraId="26FCA6A9" w14:textId="77777777" w:rsidR="000C469C" w:rsidRPr="001E5803" w:rsidRDefault="000C469C" w:rsidP="000C4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center"/>
          </w:tcPr>
          <w:p w14:paraId="45925CD0" w14:textId="77777777" w:rsidR="000C469C" w:rsidRPr="001E5803" w:rsidRDefault="000C469C" w:rsidP="000C4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center"/>
          </w:tcPr>
          <w:p w14:paraId="1AFF72FA" w14:textId="77777777" w:rsidR="000C469C" w:rsidRPr="001E5803" w:rsidRDefault="000C469C" w:rsidP="000C4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center"/>
          </w:tcPr>
          <w:p w14:paraId="54EAAB5F" w14:textId="77777777" w:rsidR="000C469C" w:rsidRPr="001E5803" w:rsidRDefault="000C469C" w:rsidP="000C469C">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center"/>
          </w:tcPr>
          <w:p w14:paraId="49BD5173" w14:textId="77777777" w:rsidR="000C469C" w:rsidRPr="001E5803" w:rsidRDefault="000C469C" w:rsidP="000C469C">
            <w:pPr>
              <w:tabs>
                <w:tab w:val="decimal" w:pos="570"/>
              </w:tabs>
              <w:spacing w:after="0" w:line="240" w:lineRule="auto"/>
              <w:rPr>
                <w:rFonts w:ascii="Times New Roman" w:eastAsia="Times New Roman" w:hAnsi="Times New Roman" w:cs="Times New Roman"/>
                <w:color w:val="000000"/>
                <w:sz w:val="20"/>
                <w:szCs w:val="20"/>
                <w:lang w:eastAsia="en-AU"/>
              </w:rPr>
            </w:pPr>
          </w:p>
        </w:tc>
      </w:tr>
      <w:tr w:rsidR="000C469C" w:rsidRPr="001E5803" w14:paraId="54E581D2" w14:textId="77777777" w:rsidTr="0011769C">
        <w:trPr>
          <w:trHeight w:val="312"/>
        </w:trPr>
        <w:tc>
          <w:tcPr>
            <w:tcW w:w="2155" w:type="dxa"/>
            <w:shd w:val="clear" w:color="auto" w:fill="auto"/>
            <w:noWrap/>
            <w:vAlign w:val="bottom"/>
            <w:hideMark/>
          </w:tcPr>
          <w:p w14:paraId="0511FF8A"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r w:rsidRPr="001E5803">
              <w:rPr>
                <w:rFonts w:ascii="Times New Roman" w:eastAsia="Times New Roman" w:hAnsi="Times New Roman" w:cs="Times New Roman"/>
                <w:color w:val="000000"/>
                <w:sz w:val="20"/>
                <w:szCs w:val="20"/>
                <w:lang w:eastAsia="zh-CN"/>
              </w:rPr>
              <w:t>Ln (Total Assets)</w:t>
            </w:r>
          </w:p>
        </w:tc>
        <w:tc>
          <w:tcPr>
            <w:tcW w:w="1871" w:type="dxa"/>
            <w:shd w:val="clear" w:color="auto" w:fill="auto"/>
            <w:noWrap/>
            <w:vAlign w:val="bottom"/>
            <w:hideMark/>
          </w:tcPr>
          <w:p w14:paraId="1E851266"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hideMark/>
          </w:tcPr>
          <w:p w14:paraId="721F8E8C"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-0.0031</w:t>
            </w:r>
          </w:p>
        </w:tc>
        <w:tc>
          <w:tcPr>
            <w:tcW w:w="1871" w:type="dxa"/>
            <w:shd w:val="clear" w:color="auto" w:fill="auto"/>
            <w:noWrap/>
            <w:vAlign w:val="bottom"/>
            <w:hideMark/>
          </w:tcPr>
          <w:p w14:paraId="3FAC733E"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hideMark/>
          </w:tcPr>
          <w:p w14:paraId="55CDD808"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-0.0049</w:t>
            </w:r>
          </w:p>
        </w:tc>
      </w:tr>
      <w:tr w:rsidR="000C469C" w:rsidRPr="001E5803" w14:paraId="5D29E8DF" w14:textId="77777777" w:rsidTr="0011769C">
        <w:trPr>
          <w:trHeight w:val="312"/>
        </w:trPr>
        <w:tc>
          <w:tcPr>
            <w:tcW w:w="2155" w:type="dxa"/>
            <w:shd w:val="clear" w:color="auto" w:fill="auto"/>
            <w:noWrap/>
            <w:hideMark/>
          </w:tcPr>
          <w:p w14:paraId="03B24A1B"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hideMark/>
          </w:tcPr>
          <w:p w14:paraId="69D1A81A"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2B2AD36D"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(-1.1370)</w:t>
            </w:r>
          </w:p>
        </w:tc>
        <w:tc>
          <w:tcPr>
            <w:tcW w:w="1871" w:type="dxa"/>
            <w:shd w:val="clear" w:color="auto" w:fill="auto"/>
            <w:noWrap/>
            <w:hideMark/>
          </w:tcPr>
          <w:p w14:paraId="24FDB83E"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3491EC7B"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(-1.9236)*</w:t>
            </w:r>
          </w:p>
        </w:tc>
      </w:tr>
      <w:tr w:rsidR="000C469C" w:rsidRPr="001E5803" w14:paraId="214F606A" w14:textId="77777777" w:rsidTr="0011769C">
        <w:trPr>
          <w:trHeight w:val="312"/>
        </w:trPr>
        <w:tc>
          <w:tcPr>
            <w:tcW w:w="2155" w:type="dxa"/>
            <w:shd w:val="clear" w:color="auto" w:fill="auto"/>
            <w:noWrap/>
            <w:vAlign w:val="bottom"/>
          </w:tcPr>
          <w:p w14:paraId="2BD7AA13"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r w:rsidRPr="001E5803">
              <w:rPr>
                <w:rFonts w:ascii="Times New Roman" w:eastAsia="Times New Roman" w:hAnsi="Times New Roman" w:cs="Times New Roman"/>
                <w:color w:val="000000"/>
                <w:sz w:val="20"/>
                <w:szCs w:val="20"/>
                <w:lang w:eastAsia="zh-CN"/>
              </w:rPr>
              <w:t>Sales Growth</w:t>
            </w:r>
          </w:p>
        </w:tc>
        <w:tc>
          <w:tcPr>
            <w:tcW w:w="1871" w:type="dxa"/>
            <w:shd w:val="clear" w:color="auto" w:fill="auto"/>
            <w:noWrap/>
            <w:vAlign w:val="bottom"/>
          </w:tcPr>
          <w:p w14:paraId="0BA4666F"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3CFA6766"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0.0285</w:t>
            </w:r>
          </w:p>
        </w:tc>
        <w:tc>
          <w:tcPr>
            <w:tcW w:w="1871" w:type="dxa"/>
            <w:shd w:val="clear" w:color="auto" w:fill="auto"/>
            <w:noWrap/>
            <w:vAlign w:val="bottom"/>
          </w:tcPr>
          <w:p w14:paraId="6D5D7AEF"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36421C95"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0.0138</w:t>
            </w:r>
          </w:p>
        </w:tc>
      </w:tr>
      <w:tr w:rsidR="000C469C" w:rsidRPr="001E5803" w14:paraId="1FC92F07" w14:textId="77777777" w:rsidTr="0011769C">
        <w:trPr>
          <w:trHeight w:val="312"/>
        </w:trPr>
        <w:tc>
          <w:tcPr>
            <w:tcW w:w="2155" w:type="dxa"/>
            <w:shd w:val="clear" w:color="auto" w:fill="auto"/>
            <w:noWrap/>
          </w:tcPr>
          <w:p w14:paraId="7D3285A4"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tcPr>
          <w:p w14:paraId="163DDB31"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5E0EAEF5"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(3.2190)***</w:t>
            </w:r>
          </w:p>
        </w:tc>
        <w:tc>
          <w:tcPr>
            <w:tcW w:w="1871" w:type="dxa"/>
            <w:shd w:val="clear" w:color="auto" w:fill="auto"/>
            <w:noWrap/>
          </w:tcPr>
          <w:p w14:paraId="745AC3C5"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59154371"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(1.5862)</w:t>
            </w:r>
          </w:p>
        </w:tc>
      </w:tr>
      <w:tr w:rsidR="000C469C" w:rsidRPr="001E5803" w14:paraId="103404B7" w14:textId="77777777" w:rsidTr="0011769C">
        <w:trPr>
          <w:trHeight w:val="312"/>
        </w:trPr>
        <w:tc>
          <w:tcPr>
            <w:tcW w:w="2155" w:type="dxa"/>
            <w:shd w:val="clear" w:color="auto" w:fill="auto"/>
            <w:noWrap/>
            <w:vAlign w:val="bottom"/>
            <w:hideMark/>
          </w:tcPr>
          <w:p w14:paraId="041DE561"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ROA</w:t>
            </w:r>
          </w:p>
        </w:tc>
        <w:tc>
          <w:tcPr>
            <w:tcW w:w="1871" w:type="dxa"/>
            <w:shd w:val="clear" w:color="auto" w:fill="auto"/>
            <w:noWrap/>
            <w:vAlign w:val="bottom"/>
            <w:hideMark/>
          </w:tcPr>
          <w:p w14:paraId="09F578CF"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hideMark/>
          </w:tcPr>
          <w:p w14:paraId="29284404"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0.1801</w:t>
            </w:r>
          </w:p>
        </w:tc>
        <w:tc>
          <w:tcPr>
            <w:tcW w:w="1871" w:type="dxa"/>
            <w:shd w:val="clear" w:color="auto" w:fill="auto"/>
            <w:noWrap/>
            <w:vAlign w:val="bottom"/>
            <w:hideMark/>
          </w:tcPr>
          <w:p w14:paraId="08C60461"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hideMark/>
          </w:tcPr>
          <w:p w14:paraId="2FA2B62F"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0.1926</w:t>
            </w:r>
          </w:p>
        </w:tc>
      </w:tr>
      <w:tr w:rsidR="000C469C" w:rsidRPr="001E5803" w14:paraId="08CC54AE" w14:textId="77777777" w:rsidTr="0011769C">
        <w:trPr>
          <w:trHeight w:val="312"/>
        </w:trPr>
        <w:tc>
          <w:tcPr>
            <w:tcW w:w="2155" w:type="dxa"/>
            <w:shd w:val="clear" w:color="auto" w:fill="auto"/>
            <w:noWrap/>
            <w:hideMark/>
          </w:tcPr>
          <w:p w14:paraId="36A59994"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hideMark/>
          </w:tcPr>
          <w:p w14:paraId="0A0185FB"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777D9F09"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(4.8087)***</w:t>
            </w:r>
          </w:p>
        </w:tc>
        <w:tc>
          <w:tcPr>
            <w:tcW w:w="1871" w:type="dxa"/>
            <w:shd w:val="clear" w:color="auto" w:fill="auto"/>
            <w:noWrap/>
            <w:hideMark/>
          </w:tcPr>
          <w:p w14:paraId="294B0698"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3E48C578"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(5.2722)***</w:t>
            </w:r>
          </w:p>
        </w:tc>
      </w:tr>
      <w:tr w:rsidR="000C469C" w:rsidRPr="001E5803" w14:paraId="5478547A" w14:textId="77777777" w:rsidTr="0011769C">
        <w:trPr>
          <w:trHeight w:val="312"/>
        </w:trPr>
        <w:tc>
          <w:tcPr>
            <w:tcW w:w="2155" w:type="dxa"/>
            <w:shd w:val="clear" w:color="auto" w:fill="auto"/>
            <w:noWrap/>
            <w:vAlign w:val="bottom"/>
          </w:tcPr>
          <w:p w14:paraId="21D940A6" w14:textId="4215C343"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r w:rsidRPr="001E5803">
              <w:rPr>
                <w:rFonts w:ascii="Times New Roman" w:eastAsia="Times New Roman" w:hAnsi="Times New Roman" w:cs="Times New Roman"/>
                <w:color w:val="000000"/>
                <w:sz w:val="20"/>
                <w:szCs w:val="20"/>
                <w:lang w:eastAsia="zh-CN"/>
              </w:rPr>
              <w:t>Return</w:t>
            </w:r>
            <w:r w:rsidR="0011769C">
              <w:rPr>
                <w:rFonts w:ascii="Times New Roman" w:eastAsia="Times New Roman" w:hAnsi="Times New Roman" w:cs="Times New Roman"/>
                <w:color w:val="000000"/>
                <w:sz w:val="20"/>
                <w:szCs w:val="20"/>
                <w:lang w:eastAsia="zh-CN"/>
              </w:rPr>
              <w:t>s</w:t>
            </w:r>
          </w:p>
        </w:tc>
        <w:tc>
          <w:tcPr>
            <w:tcW w:w="1871" w:type="dxa"/>
            <w:shd w:val="clear" w:color="auto" w:fill="auto"/>
            <w:noWrap/>
            <w:vAlign w:val="bottom"/>
          </w:tcPr>
          <w:p w14:paraId="2691E4F1"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4608B3B6"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0.0113</w:t>
            </w:r>
          </w:p>
        </w:tc>
        <w:tc>
          <w:tcPr>
            <w:tcW w:w="1871" w:type="dxa"/>
            <w:shd w:val="clear" w:color="auto" w:fill="auto"/>
            <w:noWrap/>
            <w:vAlign w:val="bottom"/>
          </w:tcPr>
          <w:p w14:paraId="56E335DE"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65965CF0"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0.0108</w:t>
            </w:r>
          </w:p>
        </w:tc>
      </w:tr>
      <w:tr w:rsidR="000C469C" w:rsidRPr="001E5803" w14:paraId="506F082A" w14:textId="77777777" w:rsidTr="0011769C">
        <w:trPr>
          <w:trHeight w:val="312"/>
        </w:trPr>
        <w:tc>
          <w:tcPr>
            <w:tcW w:w="2155" w:type="dxa"/>
            <w:shd w:val="clear" w:color="auto" w:fill="auto"/>
            <w:noWrap/>
          </w:tcPr>
          <w:p w14:paraId="274DBEBD"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tcPr>
          <w:p w14:paraId="6C9B1A25"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1546F435"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(3.4985)***</w:t>
            </w:r>
          </w:p>
        </w:tc>
        <w:tc>
          <w:tcPr>
            <w:tcW w:w="1871" w:type="dxa"/>
            <w:shd w:val="clear" w:color="auto" w:fill="auto"/>
            <w:noWrap/>
          </w:tcPr>
          <w:p w14:paraId="5E1344FB"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244A4613"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(3.0840)***</w:t>
            </w:r>
          </w:p>
        </w:tc>
      </w:tr>
      <w:tr w:rsidR="000C469C" w:rsidRPr="001E5803" w14:paraId="09676824" w14:textId="77777777" w:rsidTr="0011769C">
        <w:trPr>
          <w:trHeight w:val="312"/>
        </w:trPr>
        <w:tc>
          <w:tcPr>
            <w:tcW w:w="2155" w:type="dxa"/>
            <w:shd w:val="clear" w:color="auto" w:fill="auto"/>
            <w:noWrap/>
            <w:vAlign w:val="bottom"/>
            <w:hideMark/>
          </w:tcPr>
          <w:p w14:paraId="4E99151D"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r w:rsidRPr="001E5803">
              <w:rPr>
                <w:rFonts w:ascii="Times New Roman" w:eastAsia="Times New Roman" w:hAnsi="Times New Roman" w:cs="Times New Roman"/>
                <w:color w:val="000000"/>
                <w:sz w:val="20"/>
                <w:szCs w:val="20"/>
                <w:lang w:eastAsia="zh-CN"/>
              </w:rPr>
              <w:t>Leverage</w:t>
            </w:r>
          </w:p>
        </w:tc>
        <w:tc>
          <w:tcPr>
            <w:tcW w:w="1871" w:type="dxa"/>
            <w:shd w:val="clear" w:color="auto" w:fill="auto"/>
            <w:noWrap/>
            <w:vAlign w:val="bottom"/>
            <w:hideMark/>
          </w:tcPr>
          <w:p w14:paraId="61CBDBEA"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hideMark/>
          </w:tcPr>
          <w:p w14:paraId="64C08CCD"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0.0466</w:t>
            </w:r>
          </w:p>
        </w:tc>
        <w:tc>
          <w:tcPr>
            <w:tcW w:w="1871" w:type="dxa"/>
            <w:shd w:val="clear" w:color="auto" w:fill="auto"/>
            <w:noWrap/>
            <w:vAlign w:val="bottom"/>
            <w:hideMark/>
          </w:tcPr>
          <w:p w14:paraId="49E68AC9"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hideMark/>
          </w:tcPr>
          <w:p w14:paraId="2C671398"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0.0555</w:t>
            </w:r>
          </w:p>
        </w:tc>
      </w:tr>
      <w:tr w:rsidR="000C469C" w:rsidRPr="001E5803" w14:paraId="654B93B1" w14:textId="77777777" w:rsidTr="0011769C">
        <w:trPr>
          <w:trHeight w:val="312"/>
        </w:trPr>
        <w:tc>
          <w:tcPr>
            <w:tcW w:w="2155" w:type="dxa"/>
            <w:shd w:val="clear" w:color="auto" w:fill="auto"/>
            <w:noWrap/>
            <w:hideMark/>
          </w:tcPr>
          <w:p w14:paraId="5F12F036"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hideMark/>
          </w:tcPr>
          <w:p w14:paraId="74963E3A"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42DE2584"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(4.7027)***</w:t>
            </w:r>
          </w:p>
        </w:tc>
        <w:tc>
          <w:tcPr>
            <w:tcW w:w="1871" w:type="dxa"/>
            <w:shd w:val="clear" w:color="auto" w:fill="auto"/>
            <w:noWrap/>
            <w:hideMark/>
          </w:tcPr>
          <w:p w14:paraId="5F5208E6"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692C587D"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(5.0214)***</w:t>
            </w:r>
          </w:p>
        </w:tc>
      </w:tr>
      <w:tr w:rsidR="000C469C" w:rsidRPr="001E5803" w14:paraId="2E3060C8" w14:textId="77777777" w:rsidTr="0011769C">
        <w:trPr>
          <w:trHeight w:val="312"/>
        </w:trPr>
        <w:tc>
          <w:tcPr>
            <w:tcW w:w="2155" w:type="dxa"/>
            <w:shd w:val="clear" w:color="auto" w:fill="auto"/>
            <w:noWrap/>
            <w:vAlign w:val="bottom"/>
            <w:hideMark/>
          </w:tcPr>
          <w:p w14:paraId="1F6DD6CD"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proofErr w:type="spellStart"/>
            <w:r w:rsidRPr="001E5803">
              <w:rPr>
                <w:rFonts w:ascii="Times New Roman" w:eastAsia="Times New Roman" w:hAnsi="Times New Roman" w:cs="Times New Roman"/>
                <w:color w:val="000000"/>
                <w:sz w:val="20"/>
                <w:szCs w:val="20"/>
                <w:lang w:eastAsia="zh-CN"/>
              </w:rPr>
              <w:t>σ</w:t>
            </w:r>
            <w:r w:rsidRPr="001E5803">
              <w:rPr>
                <w:rFonts w:ascii="Times New Roman" w:eastAsia="Times New Roman" w:hAnsi="Times New Roman" w:cs="Times New Roman"/>
                <w:color w:val="000000"/>
                <w:sz w:val="20"/>
                <w:szCs w:val="20"/>
                <w:vertAlign w:val="subscript"/>
                <w:lang w:eastAsia="zh-CN"/>
              </w:rPr>
              <w:t>ROA</w:t>
            </w:r>
            <w:proofErr w:type="spellEnd"/>
          </w:p>
        </w:tc>
        <w:tc>
          <w:tcPr>
            <w:tcW w:w="1871" w:type="dxa"/>
            <w:shd w:val="clear" w:color="auto" w:fill="auto"/>
            <w:noWrap/>
            <w:vAlign w:val="bottom"/>
            <w:hideMark/>
          </w:tcPr>
          <w:p w14:paraId="53D646B8"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hideMark/>
          </w:tcPr>
          <w:p w14:paraId="5E63EF49"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-0.2347</w:t>
            </w:r>
          </w:p>
        </w:tc>
        <w:tc>
          <w:tcPr>
            <w:tcW w:w="1871" w:type="dxa"/>
            <w:shd w:val="clear" w:color="auto" w:fill="auto"/>
            <w:noWrap/>
            <w:vAlign w:val="bottom"/>
            <w:hideMark/>
          </w:tcPr>
          <w:p w14:paraId="3ADFB9AF"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hideMark/>
          </w:tcPr>
          <w:p w14:paraId="33E33336"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-0.1165</w:t>
            </w:r>
          </w:p>
        </w:tc>
      </w:tr>
      <w:tr w:rsidR="000C469C" w:rsidRPr="001E5803" w14:paraId="7399AADC" w14:textId="77777777" w:rsidTr="0011769C">
        <w:trPr>
          <w:trHeight w:val="312"/>
        </w:trPr>
        <w:tc>
          <w:tcPr>
            <w:tcW w:w="2155" w:type="dxa"/>
            <w:shd w:val="clear" w:color="auto" w:fill="auto"/>
            <w:noWrap/>
          </w:tcPr>
          <w:p w14:paraId="10FD9B0C"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p>
        </w:tc>
        <w:tc>
          <w:tcPr>
            <w:tcW w:w="1871" w:type="dxa"/>
            <w:shd w:val="clear" w:color="auto" w:fill="auto"/>
            <w:noWrap/>
            <w:hideMark/>
          </w:tcPr>
          <w:p w14:paraId="6C31CC49"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4D76FDD0"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(-1.9943)**</w:t>
            </w:r>
          </w:p>
        </w:tc>
        <w:tc>
          <w:tcPr>
            <w:tcW w:w="1871" w:type="dxa"/>
            <w:shd w:val="clear" w:color="auto" w:fill="auto"/>
            <w:noWrap/>
            <w:hideMark/>
          </w:tcPr>
          <w:p w14:paraId="68F3E09D"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6EFCCEE2"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(-1.0098)</w:t>
            </w:r>
          </w:p>
        </w:tc>
      </w:tr>
      <w:tr w:rsidR="000C469C" w:rsidRPr="001E5803" w14:paraId="67AB8AAD" w14:textId="77777777" w:rsidTr="0011769C">
        <w:trPr>
          <w:trHeight w:val="312"/>
        </w:trPr>
        <w:tc>
          <w:tcPr>
            <w:tcW w:w="2155" w:type="dxa"/>
            <w:shd w:val="clear" w:color="auto" w:fill="auto"/>
            <w:noWrap/>
            <w:vAlign w:val="bottom"/>
          </w:tcPr>
          <w:p w14:paraId="693CB660"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proofErr w:type="spellStart"/>
            <w:r w:rsidRPr="001E5803">
              <w:rPr>
                <w:rFonts w:ascii="Times New Roman" w:eastAsia="Times New Roman" w:hAnsi="Times New Roman" w:cs="Times New Roman"/>
                <w:color w:val="000000"/>
                <w:sz w:val="20"/>
                <w:szCs w:val="20"/>
                <w:lang w:eastAsia="zh-CN"/>
              </w:rPr>
              <w:t>σ</w:t>
            </w:r>
            <w:r w:rsidRPr="001E5803">
              <w:rPr>
                <w:rFonts w:ascii="Times New Roman" w:eastAsia="Times New Roman" w:hAnsi="Times New Roman" w:cs="Times New Roman"/>
                <w:color w:val="000000"/>
                <w:sz w:val="20"/>
                <w:szCs w:val="20"/>
                <w:vertAlign w:val="subscript"/>
                <w:lang w:eastAsia="zh-CN"/>
              </w:rPr>
              <w:t>OCF</w:t>
            </w:r>
            <w:proofErr w:type="spellEnd"/>
          </w:p>
        </w:tc>
        <w:tc>
          <w:tcPr>
            <w:tcW w:w="1871" w:type="dxa"/>
            <w:shd w:val="clear" w:color="auto" w:fill="auto"/>
            <w:noWrap/>
            <w:vAlign w:val="bottom"/>
          </w:tcPr>
          <w:p w14:paraId="592D75D6"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400E8156"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-0.2693</w:t>
            </w:r>
          </w:p>
        </w:tc>
        <w:tc>
          <w:tcPr>
            <w:tcW w:w="1871" w:type="dxa"/>
            <w:shd w:val="clear" w:color="auto" w:fill="auto"/>
            <w:noWrap/>
            <w:vAlign w:val="bottom"/>
          </w:tcPr>
          <w:p w14:paraId="07849DFB"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05AD6294"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-0.2845</w:t>
            </w:r>
          </w:p>
        </w:tc>
      </w:tr>
      <w:tr w:rsidR="000C469C" w:rsidRPr="001E5803" w14:paraId="199FF111" w14:textId="77777777" w:rsidTr="0011769C">
        <w:trPr>
          <w:trHeight w:val="312"/>
        </w:trPr>
        <w:tc>
          <w:tcPr>
            <w:tcW w:w="2155" w:type="dxa"/>
            <w:shd w:val="clear" w:color="auto" w:fill="auto"/>
            <w:noWrap/>
          </w:tcPr>
          <w:p w14:paraId="3AF3F08E"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tcPr>
          <w:p w14:paraId="3B604C08"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78519D94"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(-3.7377)***</w:t>
            </w:r>
          </w:p>
        </w:tc>
        <w:tc>
          <w:tcPr>
            <w:tcW w:w="1871" w:type="dxa"/>
            <w:shd w:val="clear" w:color="auto" w:fill="auto"/>
            <w:noWrap/>
          </w:tcPr>
          <w:p w14:paraId="6E172C53"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0A0C6C35"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(-3.5405)***</w:t>
            </w:r>
          </w:p>
        </w:tc>
      </w:tr>
      <w:tr w:rsidR="000C469C" w:rsidRPr="001E5803" w14:paraId="27DA8C2F" w14:textId="77777777" w:rsidTr="0011769C">
        <w:trPr>
          <w:trHeight w:val="312"/>
        </w:trPr>
        <w:tc>
          <w:tcPr>
            <w:tcW w:w="2155" w:type="dxa"/>
            <w:shd w:val="clear" w:color="auto" w:fill="auto"/>
            <w:noWrap/>
            <w:vAlign w:val="bottom"/>
          </w:tcPr>
          <w:p w14:paraId="27EFDB6A"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r w:rsidRPr="001E5803">
              <w:rPr>
                <w:rFonts w:ascii="Times New Roman" w:eastAsia="Times New Roman" w:hAnsi="Times New Roman" w:cs="Times New Roman"/>
                <w:color w:val="000000"/>
                <w:sz w:val="20"/>
                <w:szCs w:val="20"/>
                <w:lang w:eastAsia="zh-CN"/>
              </w:rPr>
              <w:t>Capex</w:t>
            </w:r>
          </w:p>
        </w:tc>
        <w:tc>
          <w:tcPr>
            <w:tcW w:w="1871" w:type="dxa"/>
            <w:shd w:val="clear" w:color="auto" w:fill="auto"/>
            <w:noWrap/>
            <w:vAlign w:val="bottom"/>
          </w:tcPr>
          <w:p w14:paraId="37C13ADD"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0AFC0376"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0.0376</w:t>
            </w:r>
          </w:p>
        </w:tc>
        <w:tc>
          <w:tcPr>
            <w:tcW w:w="1871" w:type="dxa"/>
            <w:shd w:val="clear" w:color="auto" w:fill="auto"/>
            <w:noWrap/>
            <w:vAlign w:val="bottom"/>
          </w:tcPr>
          <w:p w14:paraId="011D6AD0"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60974FBA"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0.0427</w:t>
            </w:r>
          </w:p>
        </w:tc>
      </w:tr>
      <w:tr w:rsidR="000C469C" w:rsidRPr="001E5803" w14:paraId="148C9691" w14:textId="77777777" w:rsidTr="0011769C">
        <w:trPr>
          <w:trHeight w:val="312"/>
        </w:trPr>
        <w:tc>
          <w:tcPr>
            <w:tcW w:w="2155" w:type="dxa"/>
            <w:shd w:val="clear" w:color="auto" w:fill="auto"/>
            <w:noWrap/>
          </w:tcPr>
          <w:p w14:paraId="06409E73"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p>
        </w:tc>
        <w:tc>
          <w:tcPr>
            <w:tcW w:w="1871" w:type="dxa"/>
            <w:shd w:val="clear" w:color="auto" w:fill="auto"/>
            <w:noWrap/>
          </w:tcPr>
          <w:p w14:paraId="780B5E2B"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672880E5"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(1.1615)</w:t>
            </w:r>
          </w:p>
        </w:tc>
        <w:tc>
          <w:tcPr>
            <w:tcW w:w="1871" w:type="dxa"/>
            <w:shd w:val="clear" w:color="auto" w:fill="auto"/>
            <w:noWrap/>
          </w:tcPr>
          <w:p w14:paraId="17E5B2FA"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620FD5DE"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(1.4101)</w:t>
            </w:r>
          </w:p>
        </w:tc>
      </w:tr>
      <w:tr w:rsidR="000C469C" w:rsidRPr="001E5803" w14:paraId="339BF51F" w14:textId="77777777" w:rsidTr="0011769C">
        <w:trPr>
          <w:trHeight w:val="312"/>
        </w:trPr>
        <w:tc>
          <w:tcPr>
            <w:tcW w:w="2155" w:type="dxa"/>
            <w:shd w:val="clear" w:color="auto" w:fill="auto"/>
            <w:noWrap/>
            <w:vAlign w:val="bottom"/>
          </w:tcPr>
          <w:p w14:paraId="7079083F"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zh-CN"/>
              </w:rPr>
            </w:pPr>
            <w:r w:rsidRPr="001E5803">
              <w:rPr>
                <w:rFonts w:ascii="Times New Roman" w:eastAsia="Times New Roman" w:hAnsi="Times New Roman" w:cs="Times New Roman"/>
                <w:color w:val="000000"/>
                <w:sz w:val="20"/>
                <w:szCs w:val="20"/>
                <w:lang w:eastAsia="zh-CN"/>
              </w:rPr>
              <w:t>R&amp;D</w:t>
            </w:r>
          </w:p>
        </w:tc>
        <w:tc>
          <w:tcPr>
            <w:tcW w:w="1871" w:type="dxa"/>
            <w:shd w:val="clear" w:color="auto" w:fill="auto"/>
            <w:noWrap/>
            <w:vAlign w:val="bottom"/>
          </w:tcPr>
          <w:p w14:paraId="6E3E5557"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685CDF91"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0.2672</w:t>
            </w:r>
          </w:p>
        </w:tc>
        <w:tc>
          <w:tcPr>
            <w:tcW w:w="1871" w:type="dxa"/>
            <w:shd w:val="clear" w:color="auto" w:fill="auto"/>
            <w:noWrap/>
            <w:vAlign w:val="bottom"/>
          </w:tcPr>
          <w:p w14:paraId="4DF9AC58"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7E5590AB"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0.3244</w:t>
            </w:r>
          </w:p>
        </w:tc>
      </w:tr>
      <w:tr w:rsidR="000C469C" w:rsidRPr="001E5803" w14:paraId="3AA85A32" w14:textId="77777777" w:rsidTr="0011769C">
        <w:trPr>
          <w:trHeight w:val="312"/>
        </w:trPr>
        <w:tc>
          <w:tcPr>
            <w:tcW w:w="2155" w:type="dxa"/>
            <w:shd w:val="clear" w:color="auto" w:fill="auto"/>
            <w:noWrap/>
          </w:tcPr>
          <w:p w14:paraId="011769A0"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tcPr>
          <w:p w14:paraId="7A3BDDE9"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65BD3C17"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(6.5381)***</w:t>
            </w:r>
          </w:p>
        </w:tc>
        <w:tc>
          <w:tcPr>
            <w:tcW w:w="1871" w:type="dxa"/>
            <w:shd w:val="clear" w:color="auto" w:fill="auto"/>
            <w:noWrap/>
          </w:tcPr>
          <w:p w14:paraId="27B71AE5"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368F832E"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(7.5814)***</w:t>
            </w:r>
          </w:p>
        </w:tc>
      </w:tr>
      <w:tr w:rsidR="000C469C" w:rsidRPr="001E5803" w14:paraId="259A5060" w14:textId="77777777" w:rsidTr="0011769C">
        <w:trPr>
          <w:trHeight w:val="312"/>
        </w:trPr>
        <w:tc>
          <w:tcPr>
            <w:tcW w:w="2155" w:type="dxa"/>
            <w:shd w:val="clear" w:color="auto" w:fill="auto"/>
            <w:noWrap/>
            <w:vAlign w:val="bottom"/>
          </w:tcPr>
          <w:p w14:paraId="67990BE0" w14:textId="647E2344" w:rsidR="000C469C" w:rsidRPr="001E5803" w:rsidRDefault="0011769C" w:rsidP="0011769C">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Disc.</w:t>
            </w:r>
            <w:r w:rsidR="000C469C" w:rsidRPr="001E5803">
              <w:rPr>
                <w:rFonts w:ascii="Times New Roman" w:eastAsia="Times New Roman" w:hAnsi="Times New Roman" w:cs="Times New Roman"/>
                <w:color w:val="000000"/>
                <w:sz w:val="20"/>
                <w:szCs w:val="20"/>
                <w:lang w:eastAsia="zh-CN"/>
              </w:rPr>
              <w:t xml:space="preserve"> Accrual</w:t>
            </w:r>
          </w:p>
        </w:tc>
        <w:tc>
          <w:tcPr>
            <w:tcW w:w="1871" w:type="dxa"/>
            <w:shd w:val="clear" w:color="auto" w:fill="auto"/>
            <w:noWrap/>
            <w:vAlign w:val="bottom"/>
          </w:tcPr>
          <w:p w14:paraId="756976CD"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69FF7BEC"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-0.0060</w:t>
            </w:r>
          </w:p>
        </w:tc>
        <w:tc>
          <w:tcPr>
            <w:tcW w:w="1871" w:type="dxa"/>
            <w:shd w:val="clear" w:color="auto" w:fill="auto"/>
            <w:noWrap/>
            <w:vAlign w:val="bottom"/>
          </w:tcPr>
          <w:p w14:paraId="09420AD8"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45A6A87B"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-0.0052</w:t>
            </w:r>
          </w:p>
        </w:tc>
      </w:tr>
      <w:tr w:rsidR="000C469C" w:rsidRPr="001E5803" w14:paraId="60C64505" w14:textId="77777777" w:rsidTr="0011769C">
        <w:trPr>
          <w:trHeight w:val="312"/>
        </w:trPr>
        <w:tc>
          <w:tcPr>
            <w:tcW w:w="2155" w:type="dxa"/>
            <w:shd w:val="clear" w:color="auto" w:fill="auto"/>
            <w:noWrap/>
          </w:tcPr>
          <w:p w14:paraId="2C0A369D"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tcPr>
          <w:p w14:paraId="1EDDE04E"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40F2DDD0"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(-4.9437)***</w:t>
            </w:r>
          </w:p>
        </w:tc>
        <w:tc>
          <w:tcPr>
            <w:tcW w:w="1871" w:type="dxa"/>
            <w:shd w:val="clear" w:color="auto" w:fill="auto"/>
            <w:noWrap/>
          </w:tcPr>
          <w:p w14:paraId="4034475C"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30A2633F"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(-3.6684)***</w:t>
            </w:r>
          </w:p>
        </w:tc>
      </w:tr>
      <w:tr w:rsidR="000C469C" w:rsidRPr="001E5803" w14:paraId="39C99A35" w14:textId="77777777" w:rsidTr="0011769C">
        <w:trPr>
          <w:trHeight w:val="312"/>
        </w:trPr>
        <w:tc>
          <w:tcPr>
            <w:tcW w:w="2155" w:type="dxa"/>
            <w:shd w:val="clear" w:color="auto" w:fill="auto"/>
            <w:noWrap/>
            <w:vAlign w:val="bottom"/>
          </w:tcPr>
          <w:p w14:paraId="3152C88E" w14:textId="30280879" w:rsidR="000C469C" w:rsidRPr="001E5803" w:rsidRDefault="003E3202" w:rsidP="0011769C">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Entrenched</w:t>
            </w:r>
          </w:p>
        </w:tc>
        <w:tc>
          <w:tcPr>
            <w:tcW w:w="1871" w:type="dxa"/>
            <w:shd w:val="clear" w:color="auto" w:fill="auto"/>
            <w:noWrap/>
            <w:vAlign w:val="bottom"/>
          </w:tcPr>
          <w:p w14:paraId="4FE4AD1A"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12D19D28"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0.0200</w:t>
            </w:r>
          </w:p>
        </w:tc>
        <w:tc>
          <w:tcPr>
            <w:tcW w:w="1871" w:type="dxa"/>
            <w:shd w:val="clear" w:color="auto" w:fill="auto"/>
            <w:noWrap/>
            <w:vAlign w:val="bottom"/>
          </w:tcPr>
          <w:p w14:paraId="0E86D1CA"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652AE615"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0.0209</w:t>
            </w:r>
          </w:p>
        </w:tc>
      </w:tr>
      <w:tr w:rsidR="000C469C" w:rsidRPr="001E5803" w14:paraId="6E92F338" w14:textId="77777777" w:rsidTr="0011769C">
        <w:trPr>
          <w:trHeight w:val="312"/>
        </w:trPr>
        <w:tc>
          <w:tcPr>
            <w:tcW w:w="2155" w:type="dxa"/>
            <w:shd w:val="clear" w:color="auto" w:fill="auto"/>
            <w:noWrap/>
          </w:tcPr>
          <w:p w14:paraId="062DB049"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21D08982"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5838016A"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(4.9554)***</w:t>
            </w:r>
          </w:p>
        </w:tc>
        <w:tc>
          <w:tcPr>
            <w:tcW w:w="1871" w:type="dxa"/>
            <w:shd w:val="clear" w:color="auto" w:fill="auto"/>
            <w:noWrap/>
          </w:tcPr>
          <w:p w14:paraId="779B1A65"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14507B32"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(5.6019)***</w:t>
            </w:r>
          </w:p>
        </w:tc>
      </w:tr>
      <w:tr w:rsidR="000C469C" w:rsidRPr="001E5803" w14:paraId="7D400D4D" w14:textId="77777777" w:rsidTr="0011769C">
        <w:trPr>
          <w:trHeight w:val="312"/>
        </w:trPr>
        <w:tc>
          <w:tcPr>
            <w:tcW w:w="2155" w:type="dxa"/>
            <w:shd w:val="clear" w:color="auto" w:fill="auto"/>
            <w:noWrap/>
            <w:vAlign w:val="bottom"/>
          </w:tcPr>
          <w:p w14:paraId="1689A52E"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Constant</w:t>
            </w:r>
          </w:p>
        </w:tc>
        <w:tc>
          <w:tcPr>
            <w:tcW w:w="1871" w:type="dxa"/>
            <w:shd w:val="clear" w:color="auto" w:fill="auto"/>
            <w:noWrap/>
            <w:vAlign w:val="bottom"/>
          </w:tcPr>
          <w:p w14:paraId="399296AD"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0.6659</w:t>
            </w:r>
          </w:p>
        </w:tc>
        <w:tc>
          <w:tcPr>
            <w:tcW w:w="1871" w:type="dxa"/>
            <w:shd w:val="clear" w:color="auto" w:fill="auto"/>
            <w:noWrap/>
            <w:vAlign w:val="bottom"/>
          </w:tcPr>
          <w:p w14:paraId="47AB30D5"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0.6710</w:t>
            </w:r>
          </w:p>
        </w:tc>
        <w:tc>
          <w:tcPr>
            <w:tcW w:w="1871" w:type="dxa"/>
            <w:shd w:val="clear" w:color="auto" w:fill="auto"/>
            <w:noWrap/>
            <w:vAlign w:val="bottom"/>
          </w:tcPr>
          <w:p w14:paraId="0D7D27E2"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0.6821</w:t>
            </w:r>
          </w:p>
        </w:tc>
        <w:tc>
          <w:tcPr>
            <w:tcW w:w="1871" w:type="dxa"/>
            <w:shd w:val="clear" w:color="auto" w:fill="auto"/>
            <w:noWrap/>
            <w:vAlign w:val="bottom"/>
          </w:tcPr>
          <w:p w14:paraId="156FCE0A" w14:textId="77777777" w:rsidR="000C469C" w:rsidRPr="001E5803" w:rsidRDefault="000C469C" w:rsidP="0011769C">
            <w:pPr>
              <w:tabs>
                <w:tab w:val="decimal" w:pos="570"/>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0.6948</w:t>
            </w:r>
          </w:p>
        </w:tc>
      </w:tr>
      <w:tr w:rsidR="000C469C" w:rsidRPr="001E5803" w14:paraId="505F3726" w14:textId="77777777" w:rsidTr="0011769C">
        <w:trPr>
          <w:trHeight w:val="312"/>
        </w:trPr>
        <w:tc>
          <w:tcPr>
            <w:tcW w:w="2155" w:type="dxa"/>
            <w:shd w:val="clear" w:color="auto" w:fill="auto"/>
            <w:noWrap/>
          </w:tcPr>
          <w:p w14:paraId="1D4B419B" w14:textId="77777777" w:rsidR="000C469C" w:rsidRPr="001E5803" w:rsidRDefault="000C469C" w:rsidP="0011769C">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 </w:t>
            </w:r>
          </w:p>
        </w:tc>
        <w:tc>
          <w:tcPr>
            <w:tcW w:w="1871" w:type="dxa"/>
            <w:shd w:val="clear" w:color="auto" w:fill="auto"/>
            <w:noWrap/>
          </w:tcPr>
          <w:p w14:paraId="6B2089E2"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(71.8409)***</w:t>
            </w:r>
          </w:p>
        </w:tc>
        <w:tc>
          <w:tcPr>
            <w:tcW w:w="1871" w:type="dxa"/>
            <w:shd w:val="clear" w:color="auto" w:fill="auto"/>
            <w:noWrap/>
          </w:tcPr>
          <w:p w14:paraId="5A56943E"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(23.8808)***</w:t>
            </w:r>
          </w:p>
        </w:tc>
        <w:tc>
          <w:tcPr>
            <w:tcW w:w="1871" w:type="dxa"/>
            <w:shd w:val="clear" w:color="auto" w:fill="auto"/>
            <w:noWrap/>
          </w:tcPr>
          <w:p w14:paraId="4681F327"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(87.2051)***</w:t>
            </w:r>
          </w:p>
        </w:tc>
        <w:tc>
          <w:tcPr>
            <w:tcW w:w="1871" w:type="dxa"/>
            <w:shd w:val="clear" w:color="auto" w:fill="auto"/>
            <w:noWrap/>
          </w:tcPr>
          <w:p w14:paraId="0259F6D7" w14:textId="77777777" w:rsidR="000C469C" w:rsidRPr="001E5803" w:rsidRDefault="000C469C" w:rsidP="0011769C">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(27.1411)***</w:t>
            </w:r>
          </w:p>
        </w:tc>
      </w:tr>
      <w:tr w:rsidR="000C469C" w:rsidRPr="001E5803" w14:paraId="1ADD887D" w14:textId="77777777" w:rsidTr="000C469C">
        <w:trPr>
          <w:trHeight w:val="312"/>
        </w:trPr>
        <w:tc>
          <w:tcPr>
            <w:tcW w:w="2155" w:type="dxa"/>
            <w:shd w:val="clear" w:color="auto" w:fill="auto"/>
            <w:noWrap/>
            <w:vAlign w:val="center"/>
          </w:tcPr>
          <w:p w14:paraId="6FD38A9D" w14:textId="77777777" w:rsidR="000C469C" w:rsidRPr="001E5803" w:rsidRDefault="000C469C" w:rsidP="000C469C">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center"/>
          </w:tcPr>
          <w:p w14:paraId="2179A9C4" w14:textId="77777777" w:rsidR="000C469C" w:rsidRPr="001E5803" w:rsidRDefault="000C469C" w:rsidP="000C469C">
            <w:pPr>
              <w:tabs>
                <w:tab w:val="decimal" w:pos="682"/>
              </w:tabs>
              <w:spacing w:after="0" w:line="240" w:lineRule="auto"/>
              <w:rPr>
                <w:rFonts w:ascii="Times New Roman" w:hAnsi="Times New Roman" w:cs="Times New Roman"/>
                <w:color w:val="000000"/>
                <w:sz w:val="20"/>
                <w:szCs w:val="20"/>
              </w:rPr>
            </w:pPr>
          </w:p>
        </w:tc>
        <w:tc>
          <w:tcPr>
            <w:tcW w:w="1871" w:type="dxa"/>
            <w:shd w:val="clear" w:color="auto" w:fill="auto"/>
            <w:noWrap/>
            <w:vAlign w:val="center"/>
          </w:tcPr>
          <w:p w14:paraId="53727A13" w14:textId="77777777" w:rsidR="000C469C" w:rsidRPr="001E5803" w:rsidRDefault="000C469C" w:rsidP="000C469C">
            <w:pPr>
              <w:tabs>
                <w:tab w:val="decimal" w:pos="682"/>
              </w:tabs>
              <w:spacing w:after="0" w:line="240" w:lineRule="auto"/>
              <w:rPr>
                <w:rFonts w:ascii="Times New Roman" w:hAnsi="Times New Roman" w:cs="Times New Roman"/>
                <w:color w:val="000000"/>
                <w:sz w:val="20"/>
                <w:szCs w:val="20"/>
              </w:rPr>
            </w:pPr>
          </w:p>
        </w:tc>
        <w:tc>
          <w:tcPr>
            <w:tcW w:w="1871" w:type="dxa"/>
            <w:shd w:val="clear" w:color="auto" w:fill="auto"/>
            <w:noWrap/>
            <w:vAlign w:val="center"/>
          </w:tcPr>
          <w:p w14:paraId="69C21BBE" w14:textId="77777777" w:rsidR="000C469C" w:rsidRPr="001E5803" w:rsidRDefault="000C469C" w:rsidP="000C469C">
            <w:pPr>
              <w:tabs>
                <w:tab w:val="decimal" w:pos="682"/>
              </w:tabs>
              <w:spacing w:after="0" w:line="240" w:lineRule="auto"/>
              <w:rPr>
                <w:rFonts w:ascii="Times New Roman" w:hAnsi="Times New Roman" w:cs="Times New Roman"/>
                <w:color w:val="000000"/>
                <w:sz w:val="20"/>
                <w:szCs w:val="20"/>
              </w:rPr>
            </w:pPr>
          </w:p>
        </w:tc>
        <w:tc>
          <w:tcPr>
            <w:tcW w:w="1871" w:type="dxa"/>
            <w:shd w:val="clear" w:color="auto" w:fill="auto"/>
            <w:noWrap/>
            <w:vAlign w:val="center"/>
          </w:tcPr>
          <w:p w14:paraId="56AF36FE" w14:textId="77777777" w:rsidR="000C469C" w:rsidRPr="001E5803" w:rsidRDefault="000C469C" w:rsidP="000C469C">
            <w:pPr>
              <w:tabs>
                <w:tab w:val="decimal" w:pos="682"/>
              </w:tabs>
              <w:spacing w:after="0" w:line="240" w:lineRule="auto"/>
              <w:rPr>
                <w:rFonts w:ascii="Times New Roman" w:hAnsi="Times New Roman" w:cs="Times New Roman"/>
                <w:color w:val="000000"/>
                <w:sz w:val="20"/>
                <w:szCs w:val="20"/>
              </w:rPr>
            </w:pPr>
          </w:p>
        </w:tc>
      </w:tr>
      <w:tr w:rsidR="000C469C" w:rsidRPr="001E5803" w14:paraId="0485A3DB" w14:textId="77777777" w:rsidTr="000C469C">
        <w:trPr>
          <w:trHeight w:val="312"/>
        </w:trPr>
        <w:tc>
          <w:tcPr>
            <w:tcW w:w="2155" w:type="dxa"/>
            <w:shd w:val="clear" w:color="auto" w:fill="auto"/>
            <w:noWrap/>
            <w:vAlign w:val="center"/>
            <w:hideMark/>
          </w:tcPr>
          <w:p w14:paraId="3FC9F190" w14:textId="77777777" w:rsidR="000C469C" w:rsidRPr="001E5803" w:rsidRDefault="000C469C" w:rsidP="000C469C">
            <w:pPr>
              <w:spacing w:after="0" w:line="240" w:lineRule="auto"/>
              <w:rPr>
                <w:rFonts w:ascii="Times New Roman" w:eastAsia="Times New Roman" w:hAnsi="Times New Roman" w:cs="Times New Roman"/>
                <w:color w:val="000000"/>
                <w:sz w:val="20"/>
                <w:szCs w:val="20"/>
              </w:rPr>
            </w:pPr>
            <w:r w:rsidRPr="001E5803">
              <w:rPr>
                <w:rFonts w:ascii="Times New Roman" w:eastAsia="Times New Roman" w:hAnsi="Times New Roman" w:cs="Times New Roman"/>
                <w:color w:val="000000" w:themeColor="text1"/>
                <w:sz w:val="20"/>
                <w:szCs w:val="20"/>
              </w:rPr>
              <w:t>Observations:</w:t>
            </w:r>
          </w:p>
        </w:tc>
        <w:tc>
          <w:tcPr>
            <w:tcW w:w="1871" w:type="dxa"/>
            <w:shd w:val="clear" w:color="auto" w:fill="auto"/>
            <w:noWrap/>
            <w:vAlign w:val="center"/>
            <w:hideMark/>
          </w:tcPr>
          <w:p w14:paraId="4144E619" w14:textId="78DF413B" w:rsidR="000C469C" w:rsidRPr="001E5803" w:rsidRDefault="000C469C" w:rsidP="000C469C">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15</w:t>
            </w:r>
            <w:r w:rsidR="004E7671">
              <w:rPr>
                <w:rFonts w:ascii="Times New Roman" w:hAnsi="Times New Roman" w:cs="Times New Roman"/>
                <w:color w:val="000000"/>
                <w:sz w:val="20"/>
                <w:szCs w:val="20"/>
              </w:rPr>
              <w:t>,</w:t>
            </w:r>
            <w:r w:rsidRPr="001E5803">
              <w:rPr>
                <w:rFonts w:ascii="Times New Roman" w:hAnsi="Times New Roman" w:cs="Times New Roman"/>
                <w:color w:val="000000"/>
                <w:sz w:val="20"/>
                <w:szCs w:val="20"/>
              </w:rPr>
              <w:t>845</w:t>
            </w:r>
          </w:p>
        </w:tc>
        <w:tc>
          <w:tcPr>
            <w:tcW w:w="1871" w:type="dxa"/>
            <w:shd w:val="clear" w:color="auto" w:fill="auto"/>
            <w:noWrap/>
            <w:vAlign w:val="center"/>
            <w:hideMark/>
          </w:tcPr>
          <w:p w14:paraId="0B3C1D2F" w14:textId="27D66B46" w:rsidR="000C469C" w:rsidRPr="001E5803" w:rsidRDefault="000C469C" w:rsidP="000C469C">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15</w:t>
            </w:r>
            <w:r w:rsidR="004E7671">
              <w:rPr>
                <w:rFonts w:ascii="Times New Roman" w:hAnsi="Times New Roman" w:cs="Times New Roman"/>
                <w:color w:val="000000"/>
                <w:sz w:val="20"/>
                <w:szCs w:val="20"/>
              </w:rPr>
              <w:t>,</w:t>
            </w:r>
            <w:r w:rsidRPr="001E5803">
              <w:rPr>
                <w:rFonts w:ascii="Times New Roman" w:hAnsi="Times New Roman" w:cs="Times New Roman"/>
                <w:color w:val="000000"/>
                <w:sz w:val="20"/>
                <w:szCs w:val="20"/>
              </w:rPr>
              <w:t>845</w:t>
            </w:r>
          </w:p>
        </w:tc>
        <w:tc>
          <w:tcPr>
            <w:tcW w:w="1871" w:type="dxa"/>
            <w:shd w:val="clear" w:color="auto" w:fill="auto"/>
            <w:noWrap/>
            <w:vAlign w:val="center"/>
            <w:hideMark/>
          </w:tcPr>
          <w:p w14:paraId="1C384E39" w14:textId="67DE1333" w:rsidR="000C469C" w:rsidRPr="001E5803" w:rsidRDefault="000C469C" w:rsidP="000C469C">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12</w:t>
            </w:r>
            <w:r w:rsidR="004E7671">
              <w:rPr>
                <w:rFonts w:ascii="Times New Roman" w:hAnsi="Times New Roman" w:cs="Times New Roman"/>
                <w:color w:val="000000"/>
                <w:sz w:val="20"/>
                <w:szCs w:val="20"/>
              </w:rPr>
              <w:t>,</w:t>
            </w:r>
            <w:r w:rsidRPr="001E5803">
              <w:rPr>
                <w:rFonts w:ascii="Times New Roman" w:hAnsi="Times New Roman" w:cs="Times New Roman"/>
                <w:color w:val="000000"/>
                <w:sz w:val="20"/>
                <w:szCs w:val="20"/>
              </w:rPr>
              <w:t>773</w:t>
            </w:r>
          </w:p>
        </w:tc>
        <w:tc>
          <w:tcPr>
            <w:tcW w:w="1871" w:type="dxa"/>
            <w:shd w:val="clear" w:color="auto" w:fill="auto"/>
            <w:noWrap/>
            <w:vAlign w:val="center"/>
            <w:hideMark/>
          </w:tcPr>
          <w:p w14:paraId="371D9263" w14:textId="4D938343" w:rsidR="000C469C" w:rsidRPr="001E5803" w:rsidRDefault="000C469C" w:rsidP="000C469C">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12</w:t>
            </w:r>
            <w:r w:rsidR="004E7671">
              <w:rPr>
                <w:rFonts w:ascii="Times New Roman" w:hAnsi="Times New Roman" w:cs="Times New Roman"/>
                <w:color w:val="000000"/>
                <w:sz w:val="20"/>
                <w:szCs w:val="20"/>
              </w:rPr>
              <w:t>,</w:t>
            </w:r>
            <w:r w:rsidRPr="001E5803">
              <w:rPr>
                <w:rFonts w:ascii="Times New Roman" w:hAnsi="Times New Roman" w:cs="Times New Roman"/>
                <w:color w:val="000000"/>
                <w:sz w:val="20"/>
                <w:szCs w:val="20"/>
              </w:rPr>
              <w:t>773</w:t>
            </w:r>
          </w:p>
        </w:tc>
      </w:tr>
      <w:tr w:rsidR="000C469C" w:rsidRPr="001E5803" w14:paraId="15255FED" w14:textId="77777777" w:rsidTr="000C469C">
        <w:trPr>
          <w:trHeight w:val="312"/>
        </w:trPr>
        <w:tc>
          <w:tcPr>
            <w:tcW w:w="2155" w:type="dxa"/>
            <w:shd w:val="clear" w:color="auto" w:fill="auto"/>
            <w:noWrap/>
            <w:vAlign w:val="center"/>
            <w:hideMark/>
          </w:tcPr>
          <w:p w14:paraId="15EBAB67" w14:textId="77777777" w:rsidR="000C469C" w:rsidRPr="001E5803" w:rsidRDefault="000C469C" w:rsidP="000C469C">
            <w:pPr>
              <w:spacing w:after="0" w:line="240" w:lineRule="auto"/>
              <w:rPr>
                <w:rFonts w:ascii="Times New Roman" w:eastAsia="Times New Roman" w:hAnsi="Times New Roman" w:cs="Times New Roman"/>
                <w:color w:val="000000" w:themeColor="text1"/>
                <w:sz w:val="20"/>
                <w:szCs w:val="20"/>
              </w:rPr>
            </w:pPr>
            <w:proofErr w:type="spellStart"/>
            <w:r w:rsidRPr="001E5803">
              <w:rPr>
                <w:rFonts w:ascii="Times New Roman" w:eastAsia="Times New Roman" w:hAnsi="Times New Roman" w:cs="Times New Roman"/>
                <w:color w:val="000000" w:themeColor="text1"/>
                <w:sz w:val="20"/>
                <w:szCs w:val="20"/>
              </w:rPr>
              <w:t>Adj</w:t>
            </w:r>
            <w:proofErr w:type="spellEnd"/>
            <w:r w:rsidRPr="001E5803">
              <w:rPr>
                <w:rFonts w:ascii="Times New Roman" w:eastAsia="Times New Roman" w:hAnsi="Times New Roman" w:cs="Times New Roman"/>
                <w:color w:val="000000" w:themeColor="text1"/>
                <w:sz w:val="20"/>
                <w:szCs w:val="20"/>
              </w:rPr>
              <w:t xml:space="preserve"> R-squared:</w:t>
            </w:r>
          </w:p>
        </w:tc>
        <w:tc>
          <w:tcPr>
            <w:tcW w:w="1871" w:type="dxa"/>
            <w:shd w:val="clear" w:color="auto" w:fill="auto"/>
            <w:noWrap/>
            <w:vAlign w:val="center"/>
            <w:hideMark/>
          </w:tcPr>
          <w:p w14:paraId="0D1B53A8" w14:textId="77777777" w:rsidR="000C469C" w:rsidRPr="001E5803" w:rsidRDefault="000C469C" w:rsidP="000C469C">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0.2693</w:t>
            </w:r>
          </w:p>
        </w:tc>
        <w:tc>
          <w:tcPr>
            <w:tcW w:w="1871" w:type="dxa"/>
            <w:shd w:val="clear" w:color="auto" w:fill="auto"/>
            <w:noWrap/>
            <w:vAlign w:val="center"/>
            <w:hideMark/>
          </w:tcPr>
          <w:p w14:paraId="6C650136" w14:textId="77777777" w:rsidR="000C469C" w:rsidRPr="001E5803" w:rsidRDefault="000C469C" w:rsidP="000C469C">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0.2838</w:t>
            </w:r>
          </w:p>
        </w:tc>
        <w:tc>
          <w:tcPr>
            <w:tcW w:w="1871" w:type="dxa"/>
            <w:shd w:val="clear" w:color="auto" w:fill="auto"/>
            <w:noWrap/>
            <w:vAlign w:val="center"/>
            <w:hideMark/>
          </w:tcPr>
          <w:p w14:paraId="79EC62C2" w14:textId="77777777" w:rsidR="000C469C" w:rsidRPr="001E5803" w:rsidRDefault="000C469C" w:rsidP="000C469C">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0.2617</w:t>
            </w:r>
          </w:p>
        </w:tc>
        <w:tc>
          <w:tcPr>
            <w:tcW w:w="1871" w:type="dxa"/>
            <w:shd w:val="clear" w:color="auto" w:fill="auto"/>
            <w:noWrap/>
            <w:vAlign w:val="center"/>
            <w:hideMark/>
          </w:tcPr>
          <w:p w14:paraId="7C95AD46" w14:textId="77777777" w:rsidR="000C469C" w:rsidRPr="001E5803" w:rsidRDefault="000C469C" w:rsidP="000C469C">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0.2760</w:t>
            </w:r>
          </w:p>
        </w:tc>
      </w:tr>
      <w:tr w:rsidR="000C469C" w:rsidRPr="001E5803" w14:paraId="13797434" w14:textId="77777777" w:rsidTr="004F6005">
        <w:trPr>
          <w:trHeight w:val="312"/>
        </w:trPr>
        <w:tc>
          <w:tcPr>
            <w:tcW w:w="2155" w:type="dxa"/>
            <w:shd w:val="clear" w:color="auto" w:fill="auto"/>
            <w:noWrap/>
            <w:vAlign w:val="center"/>
            <w:hideMark/>
          </w:tcPr>
          <w:p w14:paraId="55DDC690" w14:textId="2DAAB76B" w:rsidR="000C469C" w:rsidRPr="001E5803" w:rsidRDefault="004E7671" w:rsidP="000C469C">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Year</w:t>
            </w:r>
            <w:r w:rsidR="000C469C" w:rsidRPr="001E5803">
              <w:rPr>
                <w:rFonts w:ascii="Times New Roman" w:eastAsia="Times New Roman" w:hAnsi="Times New Roman" w:cs="Times New Roman"/>
                <w:color w:val="000000" w:themeColor="text1"/>
                <w:sz w:val="20"/>
                <w:szCs w:val="20"/>
              </w:rPr>
              <w:t xml:space="preserve"> Fixed Effects:</w:t>
            </w:r>
          </w:p>
        </w:tc>
        <w:tc>
          <w:tcPr>
            <w:tcW w:w="1871" w:type="dxa"/>
            <w:shd w:val="clear" w:color="auto" w:fill="auto"/>
            <w:noWrap/>
            <w:vAlign w:val="center"/>
            <w:hideMark/>
          </w:tcPr>
          <w:p w14:paraId="38175662"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Yes</w:t>
            </w:r>
          </w:p>
        </w:tc>
        <w:tc>
          <w:tcPr>
            <w:tcW w:w="1871" w:type="dxa"/>
            <w:shd w:val="clear" w:color="auto" w:fill="auto"/>
            <w:noWrap/>
            <w:vAlign w:val="center"/>
            <w:hideMark/>
          </w:tcPr>
          <w:p w14:paraId="7259BFCC"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Yes</w:t>
            </w:r>
          </w:p>
        </w:tc>
        <w:tc>
          <w:tcPr>
            <w:tcW w:w="1871" w:type="dxa"/>
            <w:shd w:val="clear" w:color="auto" w:fill="auto"/>
            <w:noWrap/>
            <w:vAlign w:val="center"/>
            <w:hideMark/>
          </w:tcPr>
          <w:p w14:paraId="781FD8E9"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Yes</w:t>
            </w:r>
          </w:p>
        </w:tc>
        <w:tc>
          <w:tcPr>
            <w:tcW w:w="1871" w:type="dxa"/>
            <w:shd w:val="clear" w:color="auto" w:fill="auto"/>
            <w:noWrap/>
            <w:vAlign w:val="center"/>
            <w:hideMark/>
          </w:tcPr>
          <w:p w14:paraId="78D160BF"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Yes</w:t>
            </w:r>
          </w:p>
        </w:tc>
      </w:tr>
      <w:tr w:rsidR="000C469C" w:rsidRPr="001E5803" w14:paraId="0A28C351" w14:textId="77777777" w:rsidTr="004F6005">
        <w:trPr>
          <w:trHeight w:val="312"/>
        </w:trPr>
        <w:tc>
          <w:tcPr>
            <w:tcW w:w="2155" w:type="dxa"/>
            <w:tcBorders>
              <w:bottom w:val="single" w:sz="4" w:space="0" w:color="auto"/>
            </w:tcBorders>
            <w:shd w:val="clear" w:color="auto" w:fill="auto"/>
            <w:noWrap/>
            <w:vAlign w:val="center"/>
            <w:hideMark/>
          </w:tcPr>
          <w:p w14:paraId="356BA943" w14:textId="77777777" w:rsidR="000C469C" w:rsidRPr="001E5803" w:rsidRDefault="000C469C" w:rsidP="000C469C">
            <w:pPr>
              <w:spacing w:after="0" w:line="240" w:lineRule="auto"/>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Industry Fixed Effects:</w:t>
            </w:r>
          </w:p>
        </w:tc>
        <w:tc>
          <w:tcPr>
            <w:tcW w:w="1871" w:type="dxa"/>
            <w:tcBorders>
              <w:bottom w:val="single" w:sz="4" w:space="0" w:color="auto"/>
            </w:tcBorders>
            <w:shd w:val="clear" w:color="auto" w:fill="auto"/>
            <w:noWrap/>
            <w:vAlign w:val="center"/>
            <w:hideMark/>
          </w:tcPr>
          <w:p w14:paraId="7E4935EB"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Yes</w:t>
            </w:r>
          </w:p>
        </w:tc>
        <w:tc>
          <w:tcPr>
            <w:tcW w:w="1871" w:type="dxa"/>
            <w:tcBorders>
              <w:bottom w:val="single" w:sz="4" w:space="0" w:color="auto"/>
            </w:tcBorders>
            <w:shd w:val="clear" w:color="auto" w:fill="auto"/>
            <w:noWrap/>
            <w:vAlign w:val="center"/>
            <w:hideMark/>
          </w:tcPr>
          <w:p w14:paraId="59A67C9E"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Yes</w:t>
            </w:r>
          </w:p>
        </w:tc>
        <w:tc>
          <w:tcPr>
            <w:tcW w:w="1871" w:type="dxa"/>
            <w:tcBorders>
              <w:bottom w:val="single" w:sz="4" w:space="0" w:color="auto"/>
            </w:tcBorders>
            <w:shd w:val="clear" w:color="auto" w:fill="auto"/>
            <w:noWrap/>
            <w:vAlign w:val="center"/>
            <w:hideMark/>
          </w:tcPr>
          <w:p w14:paraId="6307AA2A"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Yes</w:t>
            </w:r>
          </w:p>
        </w:tc>
        <w:tc>
          <w:tcPr>
            <w:tcW w:w="1871" w:type="dxa"/>
            <w:tcBorders>
              <w:bottom w:val="single" w:sz="4" w:space="0" w:color="auto"/>
            </w:tcBorders>
            <w:shd w:val="clear" w:color="auto" w:fill="auto"/>
            <w:noWrap/>
            <w:vAlign w:val="center"/>
            <w:hideMark/>
          </w:tcPr>
          <w:p w14:paraId="3817F542" w14:textId="77777777" w:rsidR="000C469C" w:rsidRPr="001E5803" w:rsidRDefault="000C469C" w:rsidP="000C469C">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Yes</w:t>
            </w:r>
          </w:p>
        </w:tc>
      </w:tr>
    </w:tbl>
    <w:p w14:paraId="3B56DB03" w14:textId="0C94CA40" w:rsidR="000C469C" w:rsidRDefault="000C469C" w:rsidP="000C469C">
      <w:pPr>
        <w:spacing w:after="0" w:line="240" w:lineRule="auto"/>
        <w:ind w:left="142" w:right="283"/>
        <w:jc w:val="both"/>
        <w:rPr>
          <w:rFonts w:ascii="Times New Roman" w:eastAsia="Times New Roman" w:hAnsi="Times New Roman" w:cs="Times New Roman"/>
          <w:sz w:val="20"/>
          <w:szCs w:val="20"/>
        </w:rPr>
      </w:pPr>
      <w:r w:rsidRPr="00B60E83">
        <w:rPr>
          <w:rFonts w:ascii="Times New Roman" w:eastAsia="Times New Roman" w:hAnsi="Times New Roman" w:cs="Times New Roman"/>
          <w:sz w:val="20"/>
          <w:szCs w:val="20"/>
        </w:rPr>
        <w:t xml:space="preserve">This table reports </w:t>
      </w:r>
      <w:r w:rsidR="004F6005">
        <w:rPr>
          <w:rFonts w:ascii="Times New Roman" w:eastAsia="Times New Roman" w:hAnsi="Times New Roman" w:cs="Times New Roman"/>
          <w:sz w:val="20"/>
          <w:szCs w:val="20"/>
        </w:rPr>
        <w:t>p</w:t>
      </w:r>
      <w:r w:rsidRPr="00B60E83">
        <w:rPr>
          <w:rFonts w:ascii="Times New Roman" w:eastAsia="Times New Roman" w:hAnsi="Times New Roman" w:cs="Times New Roman"/>
          <w:sz w:val="20"/>
          <w:szCs w:val="20"/>
        </w:rPr>
        <w:t xml:space="preserve">anel </w:t>
      </w:r>
      <w:r w:rsidR="004F6005">
        <w:rPr>
          <w:rFonts w:ascii="Times New Roman" w:eastAsia="Times New Roman" w:hAnsi="Times New Roman" w:cs="Times New Roman"/>
          <w:sz w:val="20"/>
          <w:szCs w:val="20"/>
        </w:rPr>
        <w:t>l</w:t>
      </w:r>
      <w:r w:rsidRPr="00B60E83">
        <w:rPr>
          <w:rFonts w:ascii="Times New Roman" w:eastAsia="Times New Roman" w:hAnsi="Times New Roman" w:cs="Times New Roman"/>
          <w:sz w:val="20"/>
          <w:szCs w:val="20"/>
        </w:rPr>
        <w:t xml:space="preserve">east </w:t>
      </w:r>
      <w:r w:rsidR="004F6005">
        <w:rPr>
          <w:rFonts w:ascii="Times New Roman" w:eastAsia="Times New Roman" w:hAnsi="Times New Roman" w:cs="Times New Roman"/>
          <w:sz w:val="20"/>
          <w:szCs w:val="20"/>
        </w:rPr>
        <w:t>s</w:t>
      </w:r>
      <w:r w:rsidRPr="00B60E83">
        <w:rPr>
          <w:rFonts w:ascii="Times New Roman" w:eastAsia="Times New Roman" w:hAnsi="Times New Roman" w:cs="Times New Roman"/>
          <w:sz w:val="20"/>
          <w:szCs w:val="20"/>
        </w:rPr>
        <w:t xml:space="preserve">quares regressions of </w:t>
      </w:r>
      <w:r w:rsidR="004E7671" w:rsidRPr="004E7671">
        <w:rPr>
          <w:rFonts w:ascii="Times New Roman" w:eastAsia="Times New Roman" w:hAnsi="Times New Roman" w:cs="Times New Roman"/>
          <w:i/>
          <w:sz w:val="20"/>
          <w:szCs w:val="20"/>
        </w:rPr>
        <w:t>In</w:t>
      </w:r>
      <w:r w:rsidRPr="004E7671">
        <w:rPr>
          <w:rFonts w:ascii="Times New Roman" w:eastAsia="Times New Roman" w:hAnsi="Times New Roman" w:cs="Times New Roman"/>
          <w:i/>
          <w:sz w:val="20"/>
          <w:szCs w:val="20"/>
        </w:rPr>
        <w:t>st</w:t>
      </w:r>
      <w:r w:rsidR="004E7671">
        <w:rPr>
          <w:rFonts w:ascii="Times New Roman" w:eastAsia="Times New Roman" w:hAnsi="Times New Roman" w:cs="Times New Roman"/>
          <w:i/>
          <w:sz w:val="20"/>
          <w:szCs w:val="20"/>
        </w:rPr>
        <w:t>. H</w:t>
      </w:r>
      <w:r w:rsidRPr="004E7671">
        <w:rPr>
          <w:rFonts w:ascii="Times New Roman" w:eastAsia="Times New Roman" w:hAnsi="Times New Roman" w:cs="Times New Roman"/>
          <w:i/>
          <w:sz w:val="20"/>
          <w:szCs w:val="20"/>
        </w:rPr>
        <w:t>oldings</w:t>
      </w:r>
      <w:r w:rsidRPr="00B60E83">
        <w:rPr>
          <w:rFonts w:ascii="Times New Roman" w:eastAsia="Times New Roman" w:hAnsi="Times New Roman" w:cs="Times New Roman"/>
          <w:sz w:val="20"/>
          <w:szCs w:val="20"/>
        </w:rPr>
        <w:t xml:space="preserve"> on </w:t>
      </w:r>
      <w:r w:rsidRPr="004E7671">
        <w:rPr>
          <w:rFonts w:ascii="Times New Roman" w:eastAsia="Times New Roman" w:hAnsi="Times New Roman" w:cs="Times New Roman"/>
          <w:i/>
          <w:sz w:val="20"/>
          <w:szCs w:val="20"/>
        </w:rPr>
        <w:t>CEO Pay Gap</w:t>
      </w:r>
      <w:r w:rsidRPr="00B60E83">
        <w:rPr>
          <w:rFonts w:ascii="Times New Roman" w:eastAsia="Times New Roman" w:hAnsi="Times New Roman" w:cs="Times New Roman"/>
          <w:sz w:val="20"/>
          <w:szCs w:val="20"/>
        </w:rPr>
        <w:t xml:space="preserve"> </w:t>
      </w:r>
      <w:r w:rsidR="004E7671">
        <w:rPr>
          <w:rFonts w:ascii="Times New Roman" w:eastAsia="Times New Roman" w:hAnsi="Times New Roman" w:cs="Times New Roman"/>
          <w:sz w:val="20"/>
          <w:szCs w:val="20"/>
        </w:rPr>
        <w:t xml:space="preserve">and one-year lagged </w:t>
      </w:r>
      <w:r w:rsidRPr="004E7671">
        <w:rPr>
          <w:rFonts w:ascii="Times New Roman" w:eastAsia="Times New Roman" w:hAnsi="Times New Roman" w:cs="Times New Roman"/>
          <w:i/>
          <w:sz w:val="20"/>
          <w:szCs w:val="20"/>
        </w:rPr>
        <w:t>CEO Pay Gap</w:t>
      </w:r>
      <w:r w:rsidRPr="00B60E83">
        <w:rPr>
          <w:rFonts w:ascii="Times New Roman" w:eastAsia="Times New Roman" w:hAnsi="Times New Roman" w:cs="Times New Roman"/>
          <w:sz w:val="20"/>
          <w:szCs w:val="20"/>
        </w:rPr>
        <w:t xml:space="preserve">. Appendix I provides a detailed description of the variables. </w:t>
      </w:r>
      <w:r w:rsidR="004F6005" w:rsidRPr="00B60E83">
        <w:rPr>
          <w:rFonts w:ascii="Times New Roman" w:eastAsia="Times New Roman" w:hAnsi="Times New Roman" w:cs="Times New Roman"/>
          <w:sz w:val="20"/>
          <w:szCs w:val="20"/>
        </w:rPr>
        <w:t xml:space="preserve">T-statistics </w:t>
      </w:r>
      <w:proofErr w:type="gramStart"/>
      <w:r w:rsidR="004F6005" w:rsidRPr="00B60E83">
        <w:rPr>
          <w:rFonts w:ascii="Times New Roman" w:eastAsia="Times New Roman" w:hAnsi="Times New Roman" w:cs="Times New Roman"/>
          <w:sz w:val="20"/>
          <w:szCs w:val="20"/>
        </w:rPr>
        <w:t>are presented</w:t>
      </w:r>
      <w:proofErr w:type="gramEnd"/>
      <w:r w:rsidR="004F6005" w:rsidRPr="00B60E83">
        <w:rPr>
          <w:rFonts w:ascii="Times New Roman" w:eastAsia="Times New Roman" w:hAnsi="Times New Roman" w:cs="Times New Roman"/>
          <w:sz w:val="20"/>
          <w:szCs w:val="20"/>
        </w:rPr>
        <w:t xml:space="preserve"> in brackets.</w:t>
      </w:r>
      <w:r w:rsidR="004F6005">
        <w:rPr>
          <w:rFonts w:ascii="Times New Roman" w:eastAsia="Times New Roman" w:hAnsi="Times New Roman" w:cs="Times New Roman"/>
          <w:sz w:val="20"/>
          <w:szCs w:val="20"/>
        </w:rPr>
        <w:t xml:space="preserve"> Robust standard errors </w:t>
      </w:r>
      <w:proofErr w:type="gramStart"/>
      <w:r w:rsidR="004F6005">
        <w:rPr>
          <w:rFonts w:ascii="Times New Roman" w:eastAsia="Times New Roman" w:hAnsi="Times New Roman" w:cs="Times New Roman"/>
          <w:sz w:val="20"/>
          <w:szCs w:val="20"/>
        </w:rPr>
        <w:t>are used</w:t>
      </w:r>
      <w:proofErr w:type="gramEnd"/>
      <w:r w:rsidR="004F6005">
        <w:rPr>
          <w:rFonts w:ascii="Times New Roman" w:eastAsia="Times New Roman" w:hAnsi="Times New Roman" w:cs="Times New Roman"/>
          <w:sz w:val="20"/>
          <w:szCs w:val="20"/>
        </w:rPr>
        <w:t xml:space="preserve"> throughout.</w:t>
      </w:r>
      <w:r w:rsidR="004F6005" w:rsidRPr="00B60E83">
        <w:rPr>
          <w:rFonts w:ascii="Times New Roman" w:eastAsia="Times New Roman" w:hAnsi="Times New Roman" w:cs="Times New Roman"/>
          <w:sz w:val="20"/>
          <w:szCs w:val="20"/>
        </w:rPr>
        <w:t xml:space="preserve"> </w:t>
      </w:r>
      <w:r w:rsidRPr="00B60E83">
        <w:rPr>
          <w:rFonts w:ascii="Times New Roman" w:eastAsia="Times New Roman" w:hAnsi="Times New Roman" w:cs="Times New Roman"/>
          <w:sz w:val="20"/>
          <w:szCs w:val="20"/>
        </w:rPr>
        <w:t>***, ** and * denote significance at the 1%, 5% and 10% levels, respectively.</w:t>
      </w:r>
    </w:p>
    <w:p w14:paraId="0E1CD99C" w14:textId="77777777" w:rsidR="000C469C" w:rsidRDefault="000C469C" w:rsidP="000C469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03D4EF25" w14:textId="77777777" w:rsidR="000C469C" w:rsidRDefault="000C469C" w:rsidP="000C469C">
      <w:pPr>
        <w:spacing w:after="0" w:line="240" w:lineRule="auto"/>
        <w:ind w:right="2948"/>
        <w:jc w:val="both"/>
        <w:rPr>
          <w:rFonts w:ascii="Times New Roman" w:eastAsia="Times New Roman" w:hAnsi="Times New Roman" w:cs="Times New Roman"/>
          <w:b/>
          <w:sz w:val="20"/>
          <w:szCs w:val="20"/>
        </w:rPr>
      </w:pPr>
    </w:p>
    <w:p w14:paraId="4759A754" w14:textId="77777777" w:rsidR="009B5C0D" w:rsidRDefault="009B5C0D" w:rsidP="009B5C0D">
      <w:pPr>
        <w:spacing w:after="0" w:line="240" w:lineRule="auto"/>
        <w:ind w:right="294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4</w:t>
      </w:r>
      <w:r w:rsidRPr="00B60E83">
        <w:rPr>
          <w:rFonts w:ascii="Times New Roman" w:eastAsia="Times New Roman" w:hAnsi="Times New Roman" w:cs="Times New Roman"/>
          <w:b/>
          <w:sz w:val="20"/>
          <w:szCs w:val="20"/>
        </w:rPr>
        <w:t xml:space="preserve">: </w:t>
      </w:r>
      <w:r w:rsidRPr="00426638">
        <w:rPr>
          <w:rFonts w:ascii="Times New Roman" w:eastAsia="Times New Roman" w:hAnsi="Times New Roman" w:cs="Times New Roman"/>
          <w:b/>
          <w:sz w:val="20"/>
          <w:szCs w:val="20"/>
        </w:rPr>
        <w:t>Two-</w:t>
      </w:r>
      <w:r>
        <w:rPr>
          <w:rFonts w:ascii="Times New Roman" w:eastAsia="Times New Roman" w:hAnsi="Times New Roman" w:cs="Times New Roman"/>
          <w:b/>
          <w:sz w:val="20"/>
          <w:szCs w:val="20"/>
        </w:rPr>
        <w:t>s</w:t>
      </w:r>
      <w:r w:rsidRPr="00426638">
        <w:rPr>
          <w:rFonts w:ascii="Times New Roman" w:eastAsia="Times New Roman" w:hAnsi="Times New Roman" w:cs="Times New Roman"/>
          <w:b/>
          <w:sz w:val="20"/>
          <w:szCs w:val="20"/>
        </w:rPr>
        <w:t xml:space="preserve">tage </w:t>
      </w:r>
      <w:r>
        <w:rPr>
          <w:rFonts w:ascii="Times New Roman" w:eastAsia="Times New Roman" w:hAnsi="Times New Roman" w:cs="Times New Roman"/>
          <w:b/>
          <w:sz w:val="20"/>
          <w:szCs w:val="20"/>
        </w:rPr>
        <w:t>l</w:t>
      </w:r>
      <w:r w:rsidRPr="00426638">
        <w:rPr>
          <w:rFonts w:ascii="Times New Roman" w:eastAsia="Times New Roman" w:hAnsi="Times New Roman" w:cs="Times New Roman"/>
          <w:b/>
          <w:sz w:val="20"/>
          <w:szCs w:val="20"/>
        </w:rPr>
        <w:t xml:space="preserve">east </w:t>
      </w:r>
      <w:r>
        <w:rPr>
          <w:rFonts w:ascii="Times New Roman" w:eastAsia="Times New Roman" w:hAnsi="Times New Roman" w:cs="Times New Roman"/>
          <w:b/>
          <w:sz w:val="20"/>
          <w:szCs w:val="20"/>
        </w:rPr>
        <w:t>s</w:t>
      </w:r>
      <w:r w:rsidRPr="00426638">
        <w:rPr>
          <w:rFonts w:ascii="Times New Roman" w:eastAsia="Times New Roman" w:hAnsi="Times New Roman" w:cs="Times New Roman"/>
          <w:b/>
          <w:sz w:val="20"/>
          <w:szCs w:val="20"/>
        </w:rPr>
        <w:t xml:space="preserve">quares </w:t>
      </w:r>
      <w:r>
        <w:rPr>
          <w:rFonts w:ascii="Times New Roman" w:eastAsia="Times New Roman" w:hAnsi="Times New Roman" w:cs="Times New Roman"/>
          <w:b/>
          <w:sz w:val="20"/>
          <w:szCs w:val="20"/>
        </w:rPr>
        <w:t>regressions</w:t>
      </w:r>
    </w:p>
    <w:tbl>
      <w:tblPr>
        <w:tblW w:w="9781" w:type="dxa"/>
        <w:tblInd w:w="113" w:type="dxa"/>
        <w:tblLook w:val="04A0" w:firstRow="1" w:lastRow="0" w:firstColumn="1" w:lastColumn="0" w:noHBand="0" w:noVBand="1"/>
      </w:tblPr>
      <w:tblGrid>
        <w:gridCol w:w="2297"/>
        <w:gridCol w:w="1871"/>
        <w:gridCol w:w="1871"/>
        <w:gridCol w:w="1871"/>
        <w:gridCol w:w="1871"/>
      </w:tblGrid>
      <w:tr w:rsidR="009B5C0D" w:rsidRPr="009456D8" w14:paraId="06A222BA" w14:textId="77777777" w:rsidTr="00213B08">
        <w:trPr>
          <w:trHeight w:val="312"/>
        </w:trPr>
        <w:tc>
          <w:tcPr>
            <w:tcW w:w="2297" w:type="dxa"/>
            <w:tcBorders>
              <w:top w:val="single" w:sz="4" w:space="0" w:color="auto"/>
              <w:bottom w:val="single" w:sz="4" w:space="0" w:color="auto"/>
            </w:tcBorders>
            <w:shd w:val="clear" w:color="auto" w:fill="auto"/>
            <w:noWrap/>
            <w:vAlign w:val="center"/>
            <w:hideMark/>
          </w:tcPr>
          <w:p w14:paraId="55750B05" w14:textId="77777777" w:rsidR="009B5C0D" w:rsidRPr="009456D8" w:rsidRDefault="009B5C0D" w:rsidP="00213B08">
            <w:pPr>
              <w:spacing w:after="0" w:line="240" w:lineRule="auto"/>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Regression:</w:t>
            </w:r>
          </w:p>
        </w:tc>
        <w:tc>
          <w:tcPr>
            <w:tcW w:w="1871" w:type="dxa"/>
            <w:tcBorders>
              <w:top w:val="single" w:sz="4" w:space="0" w:color="auto"/>
              <w:bottom w:val="single" w:sz="4" w:space="0" w:color="auto"/>
            </w:tcBorders>
            <w:shd w:val="clear" w:color="auto" w:fill="auto"/>
            <w:noWrap/>
            <w:hideMark/>
          </w:tcPr>
          <w:p w14:paraId="06349FED" w14:textId="77777777" w:rsidR="009B5C0D" w:rsidRPr="009456D8" w:rsidRDefault="009B5C0D" w:rsidP="00213B08">
            <w:pPr>
              <w:spacing w:after="0" w:line="240" w:lineRule="auto"/>
              <w:jc w:val="center"/>
              <w:rPr>
                <w:rFonts w:ascii="Times New Roman" w:hAnsi="Times New Roman" w:cs="Times New Roman"/>
                <w:sz w:val="20"/>
                <w:szCs w:val="20"/>
              </w:rPr>
            </w:pPr>
            <w:r w:rsidRPr="009456D8">
              <w:rPr>
                <w:rFonts w:ascii="Times New Roman" w:eastAsia="Times New Roman" w:hAnsi="Times New Roman" w:cs="Times New Roman"/>
                <w:color w:val="000000" w:themeColor="text1"/>
                <w:sz w:val="20"/>
                <w:szCs w:val="20"/>
              </w:rPr>
              <w:t>(4.1)</w:t>
            </w:r>
          </w:p>
        </w:tc>
        <w:tc>
          <w:tcPr>
            <w:tcW w:w="1871" w:type="dxa"/>
            <w:tcBorders>
              <w:top w:val="single" w:sz="4" w:space="0" w:color="auto"/>
              <w:bottom w:val="single" w:sz="4" w:space="0" w:color="auto"/>
            </w:tcBorders>
            <w:shd w:val="clear" w:color="auto" w:fill="auto"/>
            <w:noWrap/>
            <w:hideMark/>
          </w:tcPr>
          <w:p w14:paraId="2BE80A29" w14:textId="77777777" w:rsidR="009B5C0D" w:rsidRPr="009456D8" w:rsidRDefault="009B5C0D" w:rsidP="00213B08">
            <w:pPr>
              <w:spacing w:after="0" w:line="240" w:lineRule="auto"/>
              <w:jc w:val="center"/>
              <w:rPr>
                <w:rFonts w:ascii="Times New Roman" w:hAnsi="Times New Roman" w:cs="Times New Roman"/>
                <w:sz w:val="20"/>
                <w:szCs w:val="20"/>
              </w:rPr>
            </w:pPr>
            <w:r w:rsidRPr="009456D8">
              <w:rPr>
                <w:rFonts w:ascii="Times New Roman" w:eastAsia="Times New Roman" w:hAnsi="Times New Roman" w:cs="Times New Roman"/>
                <w:color w:val="000000" w:themeColor="text1"/>
                <w:sz w:val="20"/>
                <w:szCs w:val="20"/>
              </w:rPr>
              <w:t>(4.2)</w:t>
            </w:r>
          </w:p>
        </w:tc>
        <w:tc>
          <w:tcPr>
            <w:tcW w:w="1871" w:type="dxa"/>
            <w:tcBorders>
              <w:top w:val="single" w:sz="4" w:space="0" w:color="auto"/>
              <w:bottom w:val="single" w:sz="4" w:space="0" w:color="auto"/>
            </w:tcBorders>
          </w:tcPr>
          <w:p w14:paraId="7FDA902C"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(4.3)</w:t>
            </w:r>
          </w:p>
        </w:tc>
        <w:tc>
          <w:tcPr>
            <w:tcW w:w="1871" w:type="dxa"/>
            <w:tcBorders>
              <w:top w:val="single" w:sz="4" w:space="0" w:color="auto"/>
              <w:bottom w:val="single" w:sz="4" w:space="0" w:color="auto"/>
            </w:tcBorders>
          </w:tcPr>
          <w:p w14:paraId="7ED9DA8C"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(4.4)</w:t>
            </w:r>
          </w:p>
        </w:tc>
      </w:tr>
      <w:tr w:rsidR="009B5C0D" w:rsidRPr="009456D8" w14:paraId="2ECD1C67" w14:textId="77777777" w:rsidTr="00213B08">
        <w:trPr>
          <w:trHeight w:val="312"/>
        </w:trPr>
        <w:tc>
          <w:tcPr>
            <w:tcW w:w="2297" w:type="dxa"/>
            <w:tcBorders>
              <w:top w:val="single" w:sz="4" w:space="0" w:color="auto"/>
              <w:bottom w:val="single" w:sz="4" w:space="0" w:color="auto"/>
            </w:tcBorders>
            <w:shd w:val="clear" w:color="auto" w:fill="auto"/>
            <w:noWrap/>
            <w:vAlign w:val="center"/>
          </w:tcPr>
          <w:p w14:paraId="151AE269" w14:textId="77777777" w:rsidR="009B5C0D" w:rsidRPr="009456D8" w:rsidRDefault="009B5C0D" w:rsidP="00213B08">
            <w:pPr>
              <w:spacing w:after="0" w:line="240" w:lineRule="auto"/>
              <w:rPr>
                <w:rFonts w:ascii="Times New Roman" w:eastAsia="Times New Roman" w:hAnsi="Times New Roman" w:cs="Times New Roman"/>
                <w:i/>
                <w:color w:val="000000"/>
                <w:sz w:val="20"/>
                <w:szCs w:val="20"/>
                <w:lang w:eastAsia="zh-CN"/>
              </w:rPr>
            </w:pPr>
            <w:r w:rsidRPr="009456D8">
              <w:rPr>
                <w:rFonts w:ascii="Times New Roman" w:eastAsia="Times New Roman" w:hAnsi="Times New Roman" w:cs="Times New Roman"/>
                <w:color w:val="000000" w:themeColor="text1"/>
                <w:sz w:val="20"/>
                <w:szCs w:val="20"/>
              </w:rPr>
              <w:t>Two-Stage Least Squares</w:t>
            </w:r>
          </w:p>
        </w:tc>
        <w:tc>
          <w:tcPr>
            <w:tcW w:w="1871" w:type="dxa"/>
            <w:tcBorders>
              <w:top w:val="single" w:sz="4" w:space="0" w:color="auto"/>
              <w:bottom w:val="single" w:sz="4" w:space="0" w:color="auto"/>
            </w:tcBorders>
            <w:shd w:val="clear" w:color="auto" w:fill="auto"/>
            <w:noWrap/>
            <w:vAlign w:val="center"/>
          </w:tcPr>
          <w:p w14:paraId="436C8965"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1</w:t>
            </w:r>
            <w:r w:rsidRPr="009456D8">
              <w:rPr>
                <w:rFonts w:ascii="Times New Roman" w:eastAsia="Times New Roman" w:hAnsi="Times New Roman" w:cs="Times New Roman"/>
                <w:color w:val="000000" w:themeColor="text1"/>
                <w:sz w:val="20"/>
                <w:szCs w:val="20"/>
                <w:vertAlign w:val="superscript"/>
              </w:rPr>
              <w:t>st</w:t>
            </w:r>
            <w:r w:rsidRPr="009456D8">
              <w:rPr>
                <w:rFonts w:ascii="Times New Roman" w:eastAsia="Times New Roman" w:hAnsi="Times New Roman" w:cs="Times New Roman"/>
                <w:color w:val="000000" w:themeColor="text1"/>
                <w:sz w:val="20"/>
                <w:szCs w:val="20"/>
              </w:rPr>
              <w:t xml:space="preserve"> Stage</w:t>
            </w:r>
          </w:p>
        </w:tc>
        <w:tc>
          <w:tcPr>
            <w:tcW w:w="1871" w:type="dxa"/>
            <w:tcBorders>
              <w:top w:val="single" w:sz="4" w:space="0" w:color="auto"/>
              <w:bottom w:val="single" w:sz="4" w:space="0" w:color="auto"/>
            </w:tcBorders>
            <w:shd w:val="clear" w:color="auto" w:fill="auto"/>
            <w:noWrap/>
            <w:vAlign w:val="center"/>
          </w:tcPr>
          <w:p w14:paraId="35DFCAD3"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2</w:t>
            </w:r>
            <w:r w:rsidRPr="009456D8">
              <w:rPr>
                <w:rFonts w:ascii="Times New Roman" w:eastAsia="Times New Roman" w:hAnsi="Times New Roman" w:cs="Times New Roman"/>
                <w:color w:val="000000" w:themeColor="text1"/>
                <w:sz w:val="20"/>
                <w:szCs w:val="20"/>
                <w:vertAlign w:val="superscript"/>
              </w:rPr>
              <w:t>nd</w:t>
            </w:r>
            <w:r w:rsidRPr="009456D8">
              <w:rPr>
                <w:rFonts w:ascii="Times New Roman" w:eastAsia="Times New Roman" w:hAnsi="Times New Roman" w:cs="Times New Roman"/>
                <w:color w:val="000000" w:themeColor="text1"/>
                <w:sz w:val="20"/>
                <w:szCs w:val="20"/>
              </w:rPr>
              <w:t xml:space="preserve"> Stage</w:t>
            </w:r>
          </w:p>
        </w:tc>
        <w:tc>
          <w:tcPr>
            <w:tcW w:w="1871" w:type="dxa"/>
            <w:tcBorders>
              <w:top w:val="single" w:sz="4" w:space="0" w:color="auto"/>
              <w:bottom w:val="single" w:sz="4" w:space="0" w:color="auto"/>
            </w:tcBorders>
            <w:vAlign w:val="center"/>
          </w:tcPr>
          <w:p w14:paraId="6574C00A"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1</w:t>
            </w:r>
            <w:r w:rsidRPr="009456D8">
              <w:rPr>
                <w:rFonts w:ascii="Times New Roman" w:eastAsia="Times New Roman" w:hAnsi="Times New Roman" w:cs="Times New Roman"/>
                <w:color w:val="000000" w:themeColor="text1"/>
                <w:sz w:val="20"/>
                <w:szCs w:val="20"/>
                <w:vertAlign w:val="superscript"/>
              </w:rPr>
              <w:t>st</w:t>
            </w:r>
            <w:r w:rsidRPr="009456D8">
              <w:rPr>
                <w:rFonts w:ascii="Times New Roman" w:eastAsia="Times New Roman" w:hAnsi="Times New Roman" w:cs="Times New Roman"/>
                <w:color w:val="000000" w:themeColor="text1"/>
                <w:sz w:val="20"/>
                <w:szCs w:val="20"/>
              </w:rPr>
              <w:t xml:space="preserve"> Stage</w:t>
            </w:r>
          </w:p>
        </w:tc>
        <w:tc>
          <w:tcPr>
            <w:tcW w:w="1871" w:type="dxa"/>
            <w:tcBorders>
              <w:top w:val="single" w:sz="4" w:space="0" w:color="auto"/>
              <w:bottom w:val="single" w:sz="4" w:space="0" w:color="auto"/>
            </w:tcBorders>
            <w:vAlign w:val="center"/>
          </w:tcPr>
          <w:p w14:paraId="4AF83319"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2</w:t>
            </w:r>
            <w:r w:rsidRPr="009456D8">
              <w:rPr>
                <w:rFonts w:ascii="Times New Roman" w:eastAsia="Times New Roman" w:hAnsi="Times New Roman" w:cs="Times New Roman"/>
                <w:color w:val="000000" w:themeColor="text1"/>
                <w:sz w:val="20"/>
                <w:szCs w:val="20"/>
                <w:vertAlign w:val="superscript"/>
              </w:rPr>
              <w:t>nd</w:t>
            </w:r>
            <w:r w:rsidRPr="009456D8">
              <w:rPr>
                <w:rFonts w:ascii="Times New Roman" w:eastAsia="Times New Roman" w:hAnsi="Times New Roman" w:cs="Times New Roman"/>
                <w:color w:val="000000" w:themeColor="text1"/>
                <w:sz w:val="20"/>
                <w:szCs w:val="20"/>
              </w:rPr>
              <w:t xml:space="preserve"> Stage</w:t>
            </w:r>
          </w:p>
        </w:tc>
      </w:tr>
      <w:tr w:rsidR="009B5C0D" w:rsidRPr="009456D8" w14:paraId="74979F08" w14:textId="77777777" w:rsidTr="00213B08">
        <w:trPr>
          <w:trHeight w:val="312"/>
        </w:trPr>
        <w:tc>
          <w:tcPr>
            <w:tcW w:w="2297" w:type="dxa"/>
            <w:tcBorders>
              <w:top w:val="single" w:sz="4" w:space="0" w:color="auto"/>
            </w:tcBorders>
            <w:shd w:val="clear" w:color="auto" w:fill="auto"/>
            <w:noWrap/>
            <w:vAlign w:val="center"/>
            <w:hideMark/>
          </w:tcPr>
          <w:p w14:paraId="0DC7587D" w14:textId="77777777" w:rsidR="009B5C0D" w:rsidRPr="009456D8" w:rsidRDefault="009B5C0D" w:rsidP="00213B08">
            <w:pPr>
              <w:spacing w:after="0" w:line="240" w:lineRule="auto"/>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i/>
                <w:color w:val="000000"/>
                <w:sz w:val="20"/>
                <w:szCs w:val="20"/>
                <w:lang w:eastAsia="zh-CN"/>
              </w:rPr>
              <w:t>Dependent variable:</w:t>
            </w:r>
          </w:p>
        </w:tc>
        <w:tc>
          <w:tcPr>
            <w:tcW w:w="1871" w:type="dxa"/>
            <w:tcBorders>
              <w:top w:val="single" w:sz="4" w:space="0" w:color="auto"/>
            </w:tcBorders>
            <w:shd w:val="clear" w:color="auto" w:fill="auto"/>
            <w:noWrap/>
            <w:vAlign w:val="center"/>
            <w:hideMark/>
          </w:tcPr>
          <w:p w14:paraId="339A6850" w14:textId="77777777" w:rsidR="009B5C0D" w:rsidRPr="009456D8"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themeColor="text1"/>
                <w:sz w:val="20"/>
                <w:szCs w:val="20"/>
              </w:rPr>
              <w:t>CEO Pay Gap</w:t>
            </w:r>
          </w:p>
        </w:tc>
        <w:tc>
          <w:tcPr>
            <w:tcW w:w="1871" w:type="dxa"/>
            <w:tcBorders>
              <w:top w:val="single" w:sz="4" w:space="0" w:color="auto"/>
            </w:tcBorders>
            <w:shd w:val="clear" w:color="auto" w:fill="auto"/>
            <w:noWrap/>
            <w:vAlign w:val="center"/>
            <w:hideMark/>
          </w:tcPr>
          <w:p w14:paraId="45A081AE"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Inst. Holdings</w:t>
            </w:r>
          </w:p>
        </w:tc>
        <w:tc>
          <w:tcPr>
            <w:tcW w:w="1871" w:type="dxa"/>
            <w:tcBorders>
              <w:top w:val="single" w:sz="4" w:space="0" w:color="auto"/>
            </w:tcBorders>
            <w:vAlign w:val="center"/>
          </w:tcPr>
          <w:p w14:paraId="399BC807"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CEO Pay Gap</w:t>
            </w:r>
          </w:p>
        </w:tc>
        <w:tc>
          <w:tcPr>
            <w:tcW w:w="1871" w:type="dxa"/>
            <w:tcBorders>
              <w:top w:val="single" w:sz="4" w:space="0" w:color="auto"/>
            </w:tcBorders>
            <w:vAlign w:val="center"/>
          </w:tcPr>
          <w:p w14:paraId="285589E3"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Inst. Holdings</w:t>
            </w:r>
          </w:p>
        </w:tc>
      </w:tr>
      <w:tr w:rsidR="009B5C0D" w:rsidRPr="001E5803" w14:paraId="6525B9A1" w14:textId="77777777" w:rsidTr="00213B08">
        <w:trPr>
          <w:trHeight w:val="312"/>
        </w:trPr>
        <w:tc>
          <w:tcPr>
            <w:tcW w:w="2297" w:type="dxa"/>
            <w:tcBorders>
              <w:bottom w:val="single" w:sz="4" w:space="0" w:color="auto"/>
            </w:tcBorders>
            <w:shd w:val="clear" w:color="auto" w:fill="auto"/>
            <w:noWrap/>
            <w:vAlign w:val="center"/>
            <w:hideMark/>
          </w:tcPr>
          <w:p w14:paraId="77BCE060" w14:textId="77777777" w:rsidR="009B5C0D" w:rsidRPr="001E5803" w:rsidRDefault="009B5C0D" w:rsidP="00213B08">
            <w:pPr>
              <w:spacing w:after="0" w:line="240" w:lineRule="auto"/>
              <w:rPr>
                <w:rFonts w:ascii="Times New Roman" w:eastAsia="Times New Roman" w:hAnsi="Times New Roman" w:cs="Times New Roman"/>
                <w:i/>
                <w:color w:val="000000"/>
                <w:sz w:val="20"/>
                <w:szCs w:val="20"/>
                <w:lang w:eastAsia="zh-CN"/>
              </w:rPr>
            </w:pPr>
            <w:r w:rsidRPr="001E5803">
              <w:rPr>
                <w:rFonts w:ascii="Times New Roman" w:eastAsia="Times New Roman" w:hAnsi="Times New Roman" w:cs="Times New Roman"/>
                <w:i/>
                <w:color w:val="000000"/>
                <w:sz w:val="20"/>
                <w:szCs w:val="20"/>
                <w:lang w:eastAsia="zh-CN"/>
              </w:rPr>
              <w:t>Independent variable</w:t>
            </w:r>
            <w:r>
              <w:rPr>
                <w:rFonts w:ascii="Times New Roman" w:eastAsia="Times New Roman" w:hAnsi="Times New Roman" w:cs="Times New Roman"/>
                <w:i/>
                <w:color w:val="000000"/>
                <w:sz w:val="20"/>
                <w:szCs w:val="20"/>
                <w:lang w:eastAsia="zh-CN"/>
              </w:rPr>
              <w:t>s</w:t>
            </w:r>
            <w:r w:rsidRPr="001E5803">
              <w:rPr>
                <w:rFonts w:ascii="Times New Roman" w:eastAsia="Times New Roman" w:hAnsi="Times New Roman" w:cs="Times New Roman"/>
                <w:i/>
                <w:color w:val="000000"/>
                <w:sz w:val="20"/>
                <w:szCs w:val="20"/>
                <w:lang w:eastAsia="zh-CN"/>
              </w:rPr>
              <w:t>:</w:t>
            </w:r>
          </w:p>
        </w:tc>
        <w:tc>
          <w:tcPr>
            <w:tcW w:w="1871" w:type="dxa"/>
            <w:tcBorders>
              <w:bottom w:val="single" w:sz="4" w:space="0" w:color="auto"/>
            </w:tcBorders>
            <w:shd w:val="clear" w:color="auto" w:fill="auto"/>
            <w:noWrap/>
            <w:vAlign w:val="center"/>
            <w:hideMark/>
          </w:tcPr>
          <w:p w14:paraId="23F8C76D"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One year l</w:t>
            </w:r>
            <w:r w:rsidRPr="001E5803">
              <w:rPr>
                <w:rFonts w:ascii="Times New Roman" w:eastAsia="Times New Roman" w:hAnsi="Times New Roman" w:cs="Times New Roman"/>
                <w:color w:val="000000" w:themeColor="text1"/>
                <w:sz w:val="20"/>
                <w:szCs w:val="20"/>
              </w:rPr>
              <w:t>ag</w:t>
            </w:r>
            <w:r>
              <w:rPr>
                <w:rFonts w:ascii="Times New Roman" w:eastAsia="Times New Roman" w:hAnsi="Times New Roman" w:cs="Times New Roman"/>
                <w:color w:val="000000" w:themeColor="text1"/>
                <w:sz w:val="20"/>
                <w:szCs w:val="20"/>
              </w:rPr>
              <w:t>ged</w:t>
            </w:r>
          </w:p>
        </w:tc>
        <w:tc>
          <w:tcPr>
            <w:tcW w:w="1871" w:type="dxa"/>
            <w:tcBorders>
              <w:bottom w:val="single" w:sz="4" w:space="0" w:color="auto"/>
            </w:tcBorders>
            <w:shd w:val="clear" w:color="auto" w:fill="auto"/>
            <w:noWrap/>
            <w:vAlign w:val="center"/>
            <w:hideMark/>
          </w:tcPr>
          <w:p w14:paraId="1A076084"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One year l</w:t>
            </w:r>
            <w:r w:rsidRPr="001E5803">
              <w:rPr>
                <w:rFonts w:ascii="Times New Roman" w:eastAsia="Times New Roman" w:hAnsi="Times New Roman" w:cs="Times New Roman"/>
                <w:color w:val="000000" w:themeColor="text1"/>
                <w:sz w:val="20"/>
                <w:szCs w:val="20"/>
              </w:rPr>
              <w:t>ag</w:t>
            </w:r>
            <w:r>
              <w:rPr>
                <w:rFonts w:ascii="Times New Roman" w:eastAsia="Times New Roman" w:hAnsi="Times New Roman" w:cs="Times New Roman"/>
                <w:color w:val="000000" w:themeColor="text1"/>
                <w:sz w:val="20"/>
                <w:szCs w:val="20"/>
              </w:rPr>
              <w:t>ged</w:t>
            </w:r>
          </w:p>
        </w:tc>
        <w:tc>
          <w:tcPr>
            <w:tcW w:w="1871" w:type="dxa"/>
            <w:tcBorders>
              <w:bottom w:val="single" w:sz="4" w:space="0" w:color="auto"/>
            </w:tcBorders>
            <w:shd w:val="clear" w:color="auto" w:fill="auto"/>
            <w:vAlign w:val="center"/>
          </w:tcPr>
          <w:p w14:paraId="280E591C"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One year l</w:t>
            </w:r>
            <w:r w:rsidRPr="001E5803">
              <w:rPr>
                <w:rFonts w:ascii="Times New Roman" w:eastAsia="Times New Roman" w:hAnsi="Times New Roman" w:cs="Times New Roman"/>
                <w:color w:val="000000" w:themeColor="text1"/>
                <w:sz w:val="20"/>
                <w:szCs w:val="20"/>
              </w:rPr>
              <w:t>ag</w:t>
            </w:r>
            <w:r>
              <w:rPr>
                <w:rFonts w:ascii="Times New Roman" w:eastAsia="Times New Roman" w:hAnsi="Times New Roman" w:cs="Times New Roman"/>
                <w:color w:val="000000" w:themeColor="text1"/>
                <w:sz w:val="20"/>
                <w:szCs w:val="20"/>
              </w:rPr>
              <w:t>ged</w:t>
            </w:r>
          </w:p>
        </w:tc>
        <w:tc>
          <w:tcPr>
            <w:tcW w:w="1871" w:type="dxa"/>
            <w:tcBorders>
              <w:bottom w:val="single" w:sz="4" w:space="0" w:color="auto"/>
            </w:tcBorders>
            <w:shd w:val="clear" w:color="auto" w:fill="auto"/>
            <w:vAlign w:val="center"/>
          </w:tcPr>
          <w:p w14:paraId="497D40A4"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One year l</w:t>
            </w:r>
            <w:r w:rsidRPr="001E5803">
              <w:rPr>
                <w:rFonts w:ascii="Times New Roman" w:eastAsia="Times New Roman" w:hAnsi="Times New Roman" w:cs="Times New Roman"/>
                <w:color w:val="000000" w:themeColor="text1"/>
                <w:sz w:val="20"/>
                <w:szCs w:val="20"/>
              </w:rPr>
              <w:t>ag</w:t>
            </w:r>
            <w:r>
              <w:rPr>
                <w:rFonts w:ascii="Times New Roman" w:eastAsia="Times New Roman" w:hAnsi="Times New Roman" w:cs="Times New Roman"/>
                <w:color w:val="000000" w:themeColor="text1"/>
                <w:sz w:val="20"/>
                <w:szCs w:val="20"/>
              </w:rPr>
              <w:t>ged</w:t>
            </w:r>
          </w:p>
        </w:tc>
      </w:tr>
      <w:tr w:rsidR="009B5C0D" w:rsidRPr="009456D8" w14:paraId="643540DF" w14:textId="77777777" w:rsidTr="00213B08">
        <w:trPr>
          <w:trHeight w:val="312"/>
        </w:trPr>
        <w:tc>
          <w:tcPr>
            <w:tcW w:w="2297" w:type="dxa"/>
            <w:shd w:val="clear" w:color="auto" w:fill="auto"/>
            <w:noWrap/>
            <w:vAlign w:val="bottom"/>
            <w:hideMark/>
          </w:tcPr>
          <w:p w14:paraId="734F3E76"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themeColor="text1"/>
                <w:sz w:val="20"/>
                <w:szCs w:val="20"/>
              </w:rPr>
              <w:t>Industry IV</w:t>
            </w:r>
          </w:p>
        </w:tc>
        <w:tc>
          <w:tcPr>
            <w:tcW w:w="1871" w:type="dxa"/>
            <w:shd w:val="clear" w:color="auto" w:fill="auto"/>
            <w:noWrap/>
            <w:vAlign w:val="bottom"/>
            <w:hideMark/>
          </w:tcPr>
          <w:p w14:paraId="421C2110"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0.7929</w:t>
            </w:r>
          </w:p>
        </w:tc>
        <w:tc>
          <w:tcPr>
            <w:tcW w:w="1871" w:type="dxa"/>
            <w:shd w:val="clear" w:color="auto" w:fill="auto"/>
            <w:noWrap/>
            <w:vAlign w:val="bottom"/>
            <w:hideMark/>
          </w:tcPr>
          <w:p w14:paraId="4C2D47BE"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vAlign w:val="bottom"/>
          </w:tcPr>
          <w:p w14:paraId="00261134"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vAlign w:val="bottom"/>
          </w:tcPr>
          <w:p w14:paraId="4F6EAED0"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9456D8" w14:paraId="0B697E9F" w14:textId="77777777" w:rsidTr="00213B08">
        <w:trPr>
          <w:trHeight w:val="312"/>
        </w:trPr>
        <w:tc>
          <w:tcPr>
            <w:tcW w:w="2297" w:type="dxa"/>
            <w:shd w:val="clear" w:color="auto" w:fill="auto"/>
            <w:noWrap/>
            <w:vAlign w:val="bottom"/>
            <w:hideMark/>
          </w:tcPr>
          <w:p w14:paraId="6A069508"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hideMark/>
          </w:tcPr>
          <w:p w14:paraId="199054EF"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(38.2493)***</w:t>
            </w:r>
          </w:p>
        </w:tc>
        <w:tc>
          <w:tcPr>
            <w:tcW w:w="1871" w:type="dxa"/>
            <w:shd w:val="clear" w:color="auto" w:fill="auto"/>
            <w:noWrap/>
            <w:vAlign w:val="bottom"/>
            <w:hideMark/>
          </w:tcPr>
          <w:p w14:paraId="5117266C"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vAlign w:val="bottom"/>
          </w:tcPr>
          <w:p w14:paraId="0029CFA9"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vAlign w:val="bottom"/>
          </w:tcPr>
          <w:p w14:paraId="5F103260"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9456D8" w14:paraId="49391F3E" w14:textId="77777777" w:rsidTr="00213B08">
        <w:trPr>
          <w:trHeight w:val="312"/>
        </w:trPr>
        <w:tc>
          <w:tcPr>
            <w:tcW w:w="2297" w:type="dxa"/>
            <w:shd w:val="clear" w:color="auto" w:fill="auto"/>
            <w:noWrap/>
            <w:vAlign w:val="bottom"/>
          </w:tcPr>
          <w:p w14:paraId="692B5148"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themeColor="text1"/>
                <w:sz w:val="20"/>
                <w:szCs w:val="20"/>
              </w:rPr>
              <w:t>Geographical IV</w:t>
            </w:r>
          </w:p>
        </w:tc>
        <w:tc>
          <w:tcPr>
            <w:tcW w:w="1871" w:type="dxa"/>
            <w:shd w:val="clear" w:color="auto" w:fill="auto"/>
            <w:noWrap/>
            <w:vAlign w:val="bottom"/>
          </w:tcPr>
          <w:p w14:paraId="3DDA27D9"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753790DC"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vAlign w:val="bottom"/>
          </w:tcPr>
          <w:p w14:paraId="6FBD50B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0.0951</w:t>
            </w:r>
          </w:p>
        </w:tc>
        <w:tc>
          <w:tcPr>
            <w:tcW w:w="1871" w:type="dxa"/>
            <w:vAlign w:val="bottom"/>
          </w:tcPr>
          <w:p w14:paraId="4CCF5693"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9456D8" w14:paraId="5EFF754C" w14:textId="77777777" w:rsidTr="00213B08">
        <w:trPr>
          <w:trHeight w:val="312"/>
        </w:trPr>
        <w:tc>
          <w:tcPr>
            <w:tcW w:w="2297" w:type="dxa"/>
            <w:shd w:val="clear" w:color="auto" w:fill="auto"/>
            <w:noWrap/>
            <w:vAlign w:val="bottom"/>
          </w:tcPr>
          <w:p w14:paraId="2F705F32"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0500DA8F"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0CCD47D1"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tcPr>
          <w:p w14:paraId="3A48C251"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(3.8973)***</w:t>
            </w:r>
          </w:p>
        </w:tc>
        <w:tc>
          <w:tcPr>
            <w:tcW w:w="1871" w:type="dxa"/>
            <w:vAlign w:val="bottom"/>
          </w:tcPr>
          <w:p w14:paraId="14536968"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9456D8" w14:paraId="0E45DB29" w14:textId="77777777" w:rsidTr="00213B08">
        <w:trPr>
          <w:trHeight w:val="312"/>
        </w:trPr>
        <w:tc>
          <w:tcPr>
            <w:tcW w:w="2297" w:type="dxa"/>
            <w:vMerge w:val="restart"/>
            <w:shd w:val="clear" w:color="auto" w:fill="auto"/>
            <w:noWrap/>
            <w:vAlign w:val="bottom"/>
          </w:tcPr>
          <w:p w14:paraId="0943DF7F" w14:textId="77777777" w:rsidR="009B5C0D" w:rsidRPr="009456D8" w:rsidRDefault="009B5C0D" w:rsidP="00213B08">
            <w:pPr>
              <w:spacing w:after="0" w:line="240" w:lineRule="auto"/>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sz w:val="20"/>
                <w:szCs w:val="20"/>
              </w:rPr>
              <w:t>Instrumented CEO Pay Gap</w:t>
            </w:r>
          </w:p>
        </w:tc>
        <w:tc>
          <w:tcPr>
            <w:tcW w:w="1871" w:type="dxa"/>
            <w:shd w:val="clear" w:color="auto" w:fill="auto"/>
            <w:noWrap/>
            <w:vAlign w:val="bottom"/>
          </w:tcPr>
          <w:p w14:paraId="0BE1BA6C"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6DB965F2"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0.7343</w:t>
            </w:r>
          </w:p>
        </w:tc>
        <w:tc>
          <w:tcPr>
            <w:tcW w:w="1871" w:type="dxa"/>
            <w:vAlign w:val="bottom"/>
          </w:tcPr>
          <w:p w14:paraId="7C88F543"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vAlign w:val="bottom"/>
          </w:tcPr>
          <w:p w14:paraId="2D361163"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1.5202</w:t>
            </w:r>
          </w:p>
        </w:tc>
      </w:tr>
      <w:tr w:rsidR="009B5C0D" w:rsidRPr="009456D8" w14:paraId="1F4A74F8" w14:textId="77777777" w:rsidTr="00213B08">
        <w:trPr>
          <w:trHeight w:val="312"/>
        </w:trPr>
        <w:tc>
          <w:tcPr>
            <w:tcW w:w="2297" w:type="dxa"/>
            <w:vMerge/>
            <w:shd w:val="clear" w:color="auto" w:fill="auto"/>
            <w:noWrap/>
            <w:vAlign w:val="bottom"/>
          </w:tcPr>
          <w:p w14:paraId="28F55F5B"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6857E705"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0F46972A"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(6.2586)***</w:t>
            </w:r>
          </w:p>
        </w:tc>
        <w:tc>
          <w:tcPr>
            <w:tcW w:w="1871" w:type="dxa"/>
          </w:tcPr>
          <w:p w14:paraId="2221F2C3"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tcPr>
          <w:p w14:paraId="0B6AE7C7"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(2.9220)***</w:t>
            </w:r>
          </w:p>
        </w:tc>
      </w:tr>
      <w:tr w:rsidR="009B5C0D" w:rsidRPr="009456D8" w14:paraId="349B3B21" w14:textId="77777777" w:rsidTr="00213B08">
        <w:trPr>
          <w:trHeight w:val="312"/>
        </w:trPr>
        <w:tc>
          <w:tcPr>
            <w:tcW w:w="2297" w:type="dxa"/>
            <w:shd w:val="clear" w:color="auto" w:fill="auto"/>
            <w:noWrap/>
            <w:vAlign w:val="bottom"/>
          </w:tcPr>
          <w:p w14:paraId="06760000"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p>
        </w:tc>
        <w:tc>
          <w:tcPr>
            <w:tcW w:w="1871" w:type="dxa"/>
            <w:shd w:val="clear" w:color="auto" w:fill="auto"/>
            <w:noWrap/>
            <w:vAlign w:val="bottom"/>
          </w:tcPr>
          <w:p w14:paraId="77EAB26C"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bottom"/>
          </w:tcPr>
          <w:p w14:paraId="01CBE2CF"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vAlign w:val="bottom"/>
          </w:tcPr>
          <w:p w14:paraId="05C8BF33"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p>
        </w:tc>
        <w:tc>
          <w:tcPr>
            <w:tcW w:w="1871" w:type="dxa"/>
            <w:vAlign w:val="bottom"/>
          </w:tcPr>
          <w:p w14:paraId="015BAA27"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p>
        </w:tc>
      </w:tr>
      <w:tr w:rsidR="009B5C0D" w:rsidRPr="009456D8" w14:paraId="5C52F54C" w14:textId="77777777" w:rsidTr="00213B08">
        <w:trPr>
          <w:trHeight w:val="312"/>
        </w:trPr>
        <w:tc>
          <w:tcPr>
            <w:tcW w:w="2297" w:type="dxa"/>
            <w:shd w:val="clear" w:color="auto" w:fill="auto"/>
            <w:noWrap/>
            <w:vAlign w:val="bottom"/>
          </w:tcPr>
          <w:p w14:paraId="42382893"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r w:rsidRPr="009456D8">
              <w:rPr>
                <w:rFonts w:ascii="Times New Roman" w:eastAsia="Times New Roman" w:hAnsi="Times New Roman" w:cs="Times New Roman"/>
                <w:color w:val="000000"/>
                <w:sz w:val="20"/>
                <w:szCs w:val="20"/>
                <w:lang w:eastAsia="zh-CN"/>
              </w:rPr>
              <w:t>Ln (Total Assets)</w:t>
            </w:r>
          </w:p>
        </w:tc>
        <w:tc>
          <w:tcPr>
            <w:tcW w:w="1871" w:type="dxa"/>
            <w:shd w:val="clear" w:color="auto" w:fill="auto"/>
            <w:noWrap/>
            <w:vAlign w:val="bottom"/>
          </w:tcPr>
          <w:p w14:paraId="7F7967B4"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-0.0017</w:t>
            </w:r>
          </w:p>
        </w:tc>
        <w:tc>
          <w:tcPr>
            <w:tcW w:w="1871" w:type="dxa"/>
            <w:shd w:val="clear" w:color="auto" w:fill="auto"/>
            <w:noWrap/>
            <w:vAlign w:val="bottom"/>
          </w:tcPr>
          <w:p w14:paraId="6F8C53E2" w14:textId="77777777" w:rsidR="009B5C0D" w:rsidRPr="009456D8" w:rsidRDefault="009B5C0D" w:rsidP="00213B08">
            <w:pPr>
              <w:tabs>
                <w:tab w:val="decimal" w:pos="570"/>
              </w:tabs>
              <w:spacing w:after="0" w:line="240" w:lineRule="auto"/>
              <w:rPr>
                <w:rFonts w:ascii="Times New Roman" w:hAnsi="Times New Roman" w:cs="Times New Roman"/>
                <w:color w:val="000000"/>
                <w:sz w:val="20"/>
                <w:szCs w:val="20"/>
              </w:rPr>
            </w:pPr>
            <w:r w:rsidRPr="009456D8">
              <w:rPr>
                <w:rFonts w:ascii="Times New Roman" w:hAnsi="Times New Roman" w:cs="Times New Roman"/>
                <w:color w:val="000000"/>
                <w:sz w:val="20"/>
                <w:szCs w:val="20"/>
              </w:rPr>
              <w:t>-0.0066</w:t>
            </w:r>
          </w:p>
        </w:tc>
        <w:tc>
          <w:tcPr>
            <w:tcW w:w="1871" w:type="dxa"/>
            <w:vAlign w:val="bottom"/>
          </w:tcPr>
          <w:p w14:paraId="757AE9BA"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0.0049</w:t>
            </w:r>
          </w:p>
        </w:tc>
        <w:tc>
          <w:tcPr>
            <w:tcW w:w="1871" w:type="dxa"/>
            <w:vAlign w:val="bottom"/>
          </w:tcPr>
          <w:p w14:paraId="076582AE" w14:textId="77777777" w:rsidR="009B5C0D" w:rsidRPr="009456D8" w:rsidRDefault="009B5C0D" w:rsidP="00213B08">
            <w:pPr>
              <w:tabs>
                <w:tab w:val="decimal" w:pos="570"/>
              </w:tabs>
              <w:spacing w:after="0" w:line="240" w:lineRule="auto"/>
              <w:rPr>
                <w:rFonts w:ascii="Times New Roman" w:hAnsi="Times New Roman" w:cs="Times New Roman"/>
                <w:color w:val="000000"/>
                <w:sz w:val="20"/>
                <w:szCs w:val="20"/>
              </w:rPr>
            </w:pPr>
            <w:r w:rsidRPr="009456D8">
              <w:rPr>
                <w:rFonts w:ascii="Times New Roman" w:hAnsi="Times New Roman" w:cs="Times New Roman"/>
                <w:color w:val="000000"/>
                <w:sz w:val="20"/>
                <w:szCs w:val="20"/>
              </w:rPr>
              <w:t>-0.0117</w:t>
            </w:r>
          </w:p>
        </w:tc>
      </w:tr>
      <w:tr w:rsidR="009B5C0D" w:rsidRPr="009456D8" w14:paraId="2AE75229" w14:textId="77777777" w:rsidTr="00213B08">
        <w:trPr>
          <w:trHeight w:val="312"/>
        </w:trPr>
        <w:tc>
          <w:tcPr>
            <w:tcW w:w="2297" w:type="dxa"/>
            <w:shd w:val="clear" w:color="auto" w:fill="auto"/>
            <w:noWrap/>
            <w:hideMark/>
          </w:tcPr>
          <w:p w14:paraId="75994544"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hideMark/>
          </w:tcPr>
          <w:p w14:paraId="140327AF"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(-2.5107)**</w:t>
            </w:r>
          </w:p>
        </w:tc>
        <w:tc>
          <w:tcPr>
            <w:tcW w:w="1871" w:type="dxa"/>
            <w:shd w:val="clear" w:color="auto" w:fill="auto"/>
            <w:noWrap/>
            <w:hideMark/>
          </w:tcPr>
          <w:p w14:paraId="5816204A"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(-2.1499)**</w:t>
            </w:r>
          </w:p>
        </w:tc>
        <w:tc>
          <w:tcPr>
            <w:tcW w:w="1871" w:type="dxa"/>
          </w:tcPr>
          <w:p w14:paraId="63E1AE2B"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(4.6552)***</w:t>
            </w:r>
          </w:p>
        </w:tc>
        <w:tc>
          <w:tcPr>
            <w:tcW w:w="1871" w:type="dxa"/>
          </w:tcPr>
          <w:p w14:paraId="63E3880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(-2.4046)**</w:t>
            </w:r>
          </w:p>
        </w:tc>
      </w:tr>
      <w:tr w:rsidR="009B5C0D" w:rsidRPr="009456D8" w14:paraId="2EF66710" w14:textId="77777777" w:rsidTr="00213B08">
        <w:trPr>
          <w:trHeight w:val="312"/>
        </w:trPr>
        <w:tc>
          <w:tcPr>
            <w:tcW w:w="2297" w:type="dxa"/>
            <w:shd w:val="clear" w:color="auto" w:fill="auto"/>
            <w:noWrap/>
            <w:vAlign w:val="bottom"/>
          </w:tcPr>
          <w:p w14:paraId="0747B6E8"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r w:rsidRPr="009456D8">
              <w:rPr>
                <w:rFonts w:ascii="Times New Roman" w:eastAsia="Times New Roman" w:hAnsi="Times New Roman" w:cs="Times New Roman"/>
                <w:color w:val="000000"/>
                <w:sz w:val="20"/>
                <w:szCs w:val="20"/>
                <w:lang w:eastAsia="zh-CN"/>
              </w:rPr>
              <w:t>Sales Growth</w:t>
            </w:r>
          </w:p>
        </w:tc>
        <w:tc>
          <w:tcPr>
            <w:tcW w:w="1871" w:type="dxa"/>
            <w:shd w:val="clear" w:color="auto" w:fill="auto"/>
            <w:noWrap/>
            <w:vAlign w:val="bottom"/>
          </w:tcPr>
          <w:p w14:paraId="654084BF"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-0.0080</w:t>
            </w:r>
          </w:p>
        </w:tc>
        <w:tc>
          <w:tcPr>
            <w:tcW w:w="1871" w:type="dxa"/>
            <w:shd w:val="clear" w:color="auto" w:fill="auto"/>
            <w:noWrap/>
            <w:vAlign w:val="bottom"/>
          </w:tcPr>
          <w:p w14:paraId="77318281"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0.0327</w:t>
            </w:r>
          </w:p>
        </w:tc>
        <w:tc>
          <w:tcPr>
            <w:tcW w:w="1871" w:type="dxa"/>
            <w:vAlign w:val="bottom"/>
          </w:tcPr>
          <w:p w14:paraId="41687704"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-0.0081</w:t>
            </w:r>
          </w:p>
        </w:tc>
        <w:tc>
          <w:tcPr>
            <w:tcW w:w="1871" w:type="dxa"/>
            <w:vAlign w:val="bottom"/>
          </w:tcPr>
          <w:p w14:paraId="5FAA9A82"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0.0426</w:t>
            </w:r>
          </w:p>
        </w:tc>
      </w:tr>
      <w:tr w:rsidR="009B5C0D" w:rsidRPr="009456D8" w14:paraId="1F0F4ADC" w14:textId="77777777" w:rsidTr="00213B08">
        <w:trPr>
          <w:trHeight w:val="312"/>
        </w:trPr>
        <w:tc>
          <w:tcPr>
            <w:tcW w:w="2297" w:type="dxa"/>
            <w:shd w:val="clear" w:color="auto" w:fill="auto"/>
            <w:noWrap/>
          </w:tcPr>
          <w:p w14:paraId="3DDC91A0"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tcPr>
          <w:p w14:paraId="51CB8589"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(-1.6043)</w:t>
            </w:r>
          </w:p>
        </w:tc>
        <w:tc>
          <w:tcPr>
            <w:tcW w:w="1871" w:type="dxa"/>
            <w:shd w:val="clear" w:color="auto" w:fill="auto"/>
            <w:noWrap/>
          </w:tcPr>
          <w:p w14:paraId="07CEAD84"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(3.1386)***</w:t>
            </w:r>
          </w:p>
        </w:tc>
        <w:tc>
          <w:tcPr>
            <w:tcW w:w="1871" w:type="dxa"/>
          </w:tcPr>
          <w:p w14:paraId="1EE36524"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(-1.6996)*</w:t>
            </w:r>
          </w:p>
        </w:tc>
        <w:tc>
          <w:tcPr>
            <w:tcW w:w="1871" w:type="dxa"/>
          </w:tcPr>
          <w:p w14:paraId="14ABD4CC"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(3.0163)***</w:t>
            </w:r>
          </w:p>
        </w:tc>
      </w:tr>
      <w:tr w:rsidR="009B5C0D" w:rsidRPr="009456D8" w14:paraId="0F69DA86" w14:textId="77777777" w:rsidTr="00213B08">
        <w:trPr>
          <w:trHeight w:val="312"/>
        </w:trPr>
        <w:tc>
          <w:tcPr>
            <w:tcW w:w="2297" w:type="dxa"/>
            <w:shd w:val="clear" w:color="auto" w:fill="auto"/>
            <w:noWrap/>
            <w:vAlign w:val="bottom"/>
            <w:hideMark/>
          </w:tcPr>
          <w:p w14:paraId="28B7AEF8"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ROA</w:t>
            </w:r>
          </w:p>
        </w:tc>
        <w:tc>
          <w:tcPr>
            <w:tcW w:w="1871" w:type="dxa"/>
            <w:shd w:val="clear" w:color="auto" w:fill="auto"/>
            <w:noWrap/>
            <w:vAlign w:val="bottom"/>
            <w:hideMark/>
          </w:tcPr>
          <w:p w14:paraId="29C019CA"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 xml:space="preserve"> 0.0665</w:t>
            </w:r>
          </w:p>
        </w:tc>
        <w:tc>
          <w:tcPr>
            <w:tcW w:w="1871" w:type="dxa"/>
            <w:shd w:val="clear" w:color="auto" w:fill="auto"/>
            <w:noWrap/>
            <w:vAlign w:val="bottom"/>
            <w:hideMark/>
          </w:tcPr>
          <w:p w14:paraId="49AA2EFA"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0.1335</w:t>
            </w:r>
          </w:p>
        </w:tc>
        <w:tc>
          <w:tcPr>
            <w:tcW w:w="1871" w:type="dxa"/>
            <w:vAlign w:val="bottom"/>
          </w:tcPr>
          <w:p w14:paraId="20D9096F"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0.0813</w:t>
            </w:r>
          </w:p>
        </w:tc>
        <w:tc>
          <w:tcPr>
            <w:tcW w:w="1871" w:type="dxa"/>
            <w:vAlign w:val="bottom"/>
          </w:tcPr>
          <w:p w14:paraId="414BAE48"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0.0668</w:t>
            </w:r>
          </w:p>
        </w:tc>
      </w:tr>
      <w:tr w:rsidR="009B5C0D" w:rsidRPr="009456D8" w14:paraId="0154C33C" w14:textId="77777777" w:rsidTr="00213B08">
        <w:trPr>
          <w:trHeight w:val="312"/>
        </w:trPr>
        <w:tc>
          <w:tcPr>
            <w:tcW w:w="2297" w:type="dxa"/>
            <w:shd w:val="clear" w:color="auto" w:fill="auto"/>
            <w:noWrap/>
            <w:hideMark/>
          </w:tcPr>
          <w:p w14:paraId="6AF0FC67"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hideMark/>
          </w:tcPr>
          <w:p w14:paraId="3A0FDE53"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(6.3619)***</w:t>
            </w:r>
          </w:p>
        </w:tc>
        <w:tc>
          <w:tcPr>
            <w:tcW w:w="1871" w:type="dxa"/>
            <w:shd w:val="clear" w:color="auto" w:fill="auto"/>
            <w:noWrap/>
            <w:hideMark/>
          </w:tcPr>
          <w:p w14:paraId="0DD0E701"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(3.2557)***</w:t>
            </w:r>
          </w:p>
        </w:tc>
        <w:tc>
          <w:tcPr>
            <w:tcW w:w="1871" w:type="dxa"/>
          </w:tcPr>
          <w:p w14:paraId="223AC477"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(7.5812)***</w:t>
            </w:r>
          </w:p>
        </w:tc>
        <w:tc>
          <w:tcPr>
            <w:tcW w:w="1871" w:type="dxa"/>
          </w:tcPr>
          <w:p w14:paraId="438FDE6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(1.1990)</w:t>
            </w:r>
          </w:p>
        </w:tc>
      </w:tr>
      <w:tr w:rsidR="009B5C0D" w:rsidRPr="009456D8" w14:paraId="7A69C6CB" w14:textId="77777777" w:rsidTr="00213B08">
        <w:trPr>
          <w:trHeight w:val="312"/>
        </w:trPr>
        <w:tc>
          <w:tcPr>
            <w:tcW w:w="2297" w:type="dxa"/>
            <w:shd w:val="clear" w:color="auto" w:fill="auto"/>
            <w:noWrap/>
            <w:vAlign w:val="bottom"/>
          </w:tcPr>
          <w:p w14:paraId="2BD27AC9"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r w:rsidRPr="009456D8">
              <w:rPr>
                <w:rFonts w:ascii="Times New Roman" w:eastAsia="Times New Roman" w:hAnsi="Times New Roman" w:cs="Times New Roman"/>
                <w:color w:val="000000"/>
                <w:sz w:val="20"/>
                <w:szCs w:val="20"/>
                <w:lang w:eastAsia="zh-CN"/>
              </w:rPr>
              <w:t>Shareholder Return</w:t>
            </w:r>
          </w:p>
        </w:tc>
        <w:tc>
          <w:tcPr>
            <w:tcW w:w="1871" w:type="dxa"/>
            <w:shd w:val="clear" w:color="auto" w:fill="auto"/>
            <w:noWrap/>
            <w:vAlign w:val="bottom"/>
          </w:tcPr>
          <w:p w14:paraId="44BD4E62"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 xml:space="preserve"> 0.0093</w:t>
            </w:r>
          </w:p>
        </w:tc>
        <w:tc>
          <w:tcPr>
            <w:tcW w:w="1871" w:type="dxa"/>
            <w:shd w:val="clear" w:color="auto" w:fill="auto"/>
            <w:noWrap/>
            <w:vAlign w:val="bottom"/>
          </w:tcPr>
          <w:p w14:paraId="2D74D105"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0.0054</w:t>
            </w:r>
          </w:p>
        </w:tc>
        <w:tc>
          <w:tcPr>
            <w:tcW w:w="1871" w:type="dxa"/>
            <w:vAlign w:val="bottom"/>
          </w:tcPr>
          <w:p w14:paraId="75836CA7"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0.0104</w:t>
            </w:r>
          </w:p>
        </w:tc>
        <w:tc>
          <w:tcPr>
            <w:tcW w:w="1871" w:type="dxa"/>
            <w:vAlign w:val="bottom"/>
          </w:tcPr>
          <w:p w14:paraId="4DEC3994"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-0.0031</w:t>
            </w:r>
          </w:p>
        </w:tc>
      </w:tr>
      <w:tr w:rsidR="009B5C0D" w:rsidRPr="009456D8" w14:paraId="7A332720" w14:textId="77777777" w:rsidTr="00213B08">
        <w:trPr>
          <w:trHeight w:val="312"/>
        </w:trPr>
        <w:tc>
          <w:tcPr>
            <w:tcW w:w="2297" w:type="dxa"/>
            <w:shd w:val="clear" w:color="auto" w:fill="auto"/>
            <w:noWrap/>
          </w:tcPr>
          <w:p w14:paraId="46FC4664"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tcPr>
          <w:p w14:paraId="572552DA"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(4.3361)***</w:t>
            </w:r>
          </w:p>
        </w:tc>
        <w:tc>
          <w:tcPr>
            <w:tcW w:w="1871" w:type="dxa"/>
            <w:shd w:val="clear" w:color="auto" w:fill="auto"/>
            <w:noWrap/>
          </w:tcPr>
          <w:p w14:paraId="4DE85DF2"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(1.2475)</w:t>
            </w:r>
          </w:p>
        </w:tc>
        <w:tc>
          <w:tcPr>
            <w:tcW w:w="1871" w:type="dxa"/>
          </w:tcPr>
          <w:p w14:paraId="6668E434"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(4.4876)***</w:t>
            </w:r>
          </w:p>
        </w:tc>
        <w:tc>
          <w:tcPr>
            <w:tcW w:w="1871" w:type="dxa"/>
          </w:tcPr>
          <w:p w14:paraId="6107902E"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(-0.4365)</w:t>
            </w:r>
          </w:p>
        </w:tc>
      </w:tr>
      <w:tr w:rsidR="009B5C0D" w:rsidRPr="009456D8" w14:paraId="41BDC549" w14:textId="77777777" w:rsidTr="00213B08">
        <w:trPr>
          <w:trHeight w:val="312"/>
        </w:trPr>
        <w:tc>
          <w:tcPr>
            <w:tcW w:w="2297" w:type="dxa"/>
            <w:shd w:val="clear" w:color="auto" w:fill="auto"/>
            <w:noWrap/>
            <w:vAlign w:val="bottom"/>
            <w:hideMark/>
          </w:tcPr>
          <w:p w14:paraId="1770DE7A"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r w:rsidRPr="009456D8">
              <w:rPr>
                <w:rFonts w:ascii="Times New Roman" w:eastAsia="Times New Roman" w:hAnsi="Times New Roman" w:cs="Times New Roman"/>
                <w:color w:val="000000"/>
                <w:sz w:val="20"/>
                <w:szCs w:val="20"/>
                <w:lang w:eastAsia="zh-CN"/>
              </w:rPr>
              <w:t>Leverage</w:t>
            </w:r>
          </w:p>
        </w:tc>
        <w:tc>
          <w:tcPr>
            <w:tcW w:w="1871" w:type="dxa"/>
            <w:shd w:val="clear" w:color="auto" w:fill="auto"/>
            <w:noWrap/>
            <w:vAlign w:val="bottom"/>
            <w:hideMark/>
          </w:tcPr>
          <w:p w14:paraId="6013BEDE"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 xml:space="preserve"> 0.0321</w:t>
            </w:r>
          </w:p>
        </w:tc>
        <w:tc>
          <w:tcPr>
            <w:tcW w:w="1871" w:type="dxa"/>
            <w:shd w:val="clear" w:color="auto" w:fill="auto"/>
            <w:noWrap/>
            <w:vAlign w:val="bottom"/>
            <w:hideMark/>
          </w:tcPr>
          <w:p w14:paraId="708E2E9A"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0.0231</w:t>
            </w:r>
          </w:p>
        </w:tc>
        <w:tc>
          <w:tcPr>
            <w:tcW w:w="1871" w:type="dxa"/>
            <w:vAlign w:val="bottom"/>
          </w:tcPr>
          <w:p w14:paraId="199EAFA0"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0.0385</w:t>
            </w:r>
          </w:p>
        </w:tc>
        <w:tc>
          <w:tcPr>
            <w:tcW w:w="1871" w:type="dxa"/>
            <w:vAlign w:val="bottom"/>
          </w:tcPr>
          <w:p w14:paraId="77C45354"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-0.0055</w:t>
            </w:r>
          </w:p>
        </w:tc>
      </w:tr>
      <w:tr w:rsidR="009B5C0D" w:rsidRPr="009456D8" w14:paraId="0147DED2" w14:textId="77777777" w:rsidTr="00213B08">
        <w:trPr>
          <w:trHeight w:val="312"/>
        </w:trPr>
        <w:tc>
          <w:tcPr>
            <w:tcW w:w="2297" w:type="dxa"/>
            <w:shd w:val="clear" w:color="auto" w:fill="auto"/>
            <w:noWrap/>
            <w:hideMark/>
          </w:tcPr>
          <w:p w14:paraId="28466075"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hideMark/>
          </w:tcPr>
          <w:p w14:paraId="2EEF214D"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(5.3364)***</w:t>
            </w:r>
          </w:p>
        </w:tc>
        <w:tc>
          <w:tcPr>
            <w:tcW w:w="1871" w:type="dxa"/>
            <w:shd w:val="clear" w:color="auto" w:fill="auto"/>
            <w:noWrap/>
            <w:hideMark/>
          </w:tcPr>
          <w:p w14:paraId="26DD54A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(2.1892)**</w:t>
            </w:r>
          </w:p>
        </w:tc>
        <w:tc>
          <w:tcPr>
            <w:tcW w:w="1871" w:type="dxa"/>
          </w:tcPr>
          <w:p w14:paraId="14063230"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(6.0435)***</w:t>
            </w:r>
          </w:p>
        </w:tc>
        <w:tc>
          <w:tcPr>
            <w:tcW w:w="1871" w:type="dxa"/>
          </w:tcPr>
          <w:p w14:paraId="4CC01DE6"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(-0.2821)</w:t>
            </w:r>
          </w:p>
        </w:tc>
      </w:tr>
      <w:tr w:rsidR="009B5C0D" w:rsidRPr="009456D8" w14:paraId="7629841D" w14:textId="77777777" w:rsidTr="00213B08">
        <w:trPr>
          <w:trHeight w:val="312"/>
        </w:trPr>
        <w:tc>
          <w:tcPr>
            <w:tcW w:w="2297" w:type="dxa"/>
            <w:shd w:val="clear" w:color="auto" w:fill="auto"/>
            <w:noWrap/>
            <w:vAlign w:val="bottom"/>
            <w:hideMark/>
          </w:tcPr>
          <w:p w14:paraId="3D3BBEBC"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proofErr w:type="spellStart"/>
            <w:r w:rsidRPr="009456D8">
              <w:rPr>
                <w:rFonts w:ascii="Times New Roman" w:eastAsia="Times New Roman" w:hAnsi="Times New Roman" w:cs="Times New Roman"/>
                <w:color w:val="000000"/>
                <w:sz w:val="20"/>
                <w:szCs w:val="20"/>
                <w:lang w:eastAsia="zh-CN"/>
              </w:rPr>
              <w:t>σ</w:t>
            </w:r>
            <w:r w:rsidRPr="009456D8">
              <w:rPr>
                <w:rFonts w:ascii="Times New Roman" w:eastAsia="Times New Roman" w:hAnsi="Times New Roman" w:cs="Times New Roman"/>
                <w:color w:val="000000"/>
                <w:sz w:val="20"/>
                <w:szCs w:val="20"/>
                <w:vertAlign w:val="subscript"/>
                <w:lang w:eastAsia="zh-CN"/>
              </w:rPr>
              <w:t>ROA</w:t>
            </w:r>
            <w:proofErr w:type="spellEnd"/>
          </w:p>
        </w:tc>
        <w:tc>
          <w:tcPr>
            <w:tcW w:w="1871" w:type="dxa"/>
            <w:shd w:val="clear" w:color="auto" w:fill="auto"/>
            <w:noWrap/>
            <w:vAlign w:val="bottom"/>
            <w:hideMark/>
          </w:tcPr>
          <w:p w14:paraId="3810FEBA"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-0.0378</w:t>
            </w:r>
          </w:p>
        </w:tc>
        <w:tc>
          <w:tcPr>
            <w:tcW w:w="1871" w:type="dxa"/>
            <w:shd w:val="clear" w:color="auto" w:fill="auto"/>
            <w:noWrap/>
            <w:vAlign w:val="bottom"/>
            <w:hideMark/>
          </w:tcPr>
          <w:p w14:paraId="7F08EEFF"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-0.2130</w:t>
            </w:r>
          </w:p>
        </w:tc>
        <w:tc>
          <w:tcPr>
            <w:tcW w:w="1871" w:type="dxa"/>
            <w:vAlign w:val="bottom"/>
          </w:tcPr>
          <w:p w14:paraId="14C5AD24"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-0.0411</w:t>
            </w:r>
          </w:p>
        </w:tc>
        <w:tc>
          <w:tcPr>
            <w:tcW w:w="1871" w:type="dxa"/>
            <w:vAlign w:val="bottom"/>
          </w:tcPr>
          <w:p w14:paraId="7E900555"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-0.1761</w:t>
            </w:r>
          </w:p>
        </w:tc>
      </w:tr>
      <w:tr w:rsidR="009B5C0D" w:rsidRPr="009456D8" w14:paraId="2BE180F0" w14:textId="77777777" w:rsidTr="00213B08">
        <w:trPr>
          <w:trHeight w:val="312"/>
        </w:trPr>
        <w:tc>
          <w:tcPr>
            <w:tcW w:w="2297" w:type="dxa"/>
            <w:shd w:val="clear" w:color="auto" w:fill="auto"/>
            <w:noWrap/>
          </w:tcPr>
          <w:p w14:paraId="31BE3EA7"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p>
        </w:tc>
        <w:tc>
          <w:tcPr>
            <w:tcW w:w="1871" w:type="dxa"/>
            <w:shd w:val="clear" w:color="auto" w:fill="auto"/>
            <w:noWrap/>
            <w:hideMark/>
          </w:tcPr>
          <w:p w14:paraId="6A7658B8"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(-0.8677)</w:t>
            </w:r>
          </w:p>
        </w:tc>
        <w:tc>
          <w:tcPr>
            <w:tcW w:w="1871" w:type="dxa"/>
            <w:shd w:val="clear" w:color="auto" w:fill="auto"/>
            <w:noWrap/>
            <w:hideMark/>
          </w:tcPr>
          <w:p w14:paraId="593672B1"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(-1.6972)*</w:t>
            </w:r>
          </w:p>
        </w:tc>
        <w:tc>
          <w:tcPr>
            <w:tcW w:w="1871" w:type="dxa"/>
          </w:tcPr>
          <w:p w14:paraId="18DAE711"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(-0.9557)</w:t>
            </w:r>
          </w:p>
        </w:tc>
        <w:tc>
          <w:tcPr>
            <w:tcW w:w="1871" w:type="dxa"/>
          </w:tcPr>
          <w:p w14:paraId="20DF26D5"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(-1.1472)</w:t>
            </w:r>
          </w:p>
        </w:tc>
      </w:tr>
      <w:tr w:rsidR="009B5C0D" w:rsidRPr="009456D8" w14:paraId="08C8C308" w14:textId="77777777" w:rsidTr="00213B08">
        <w:trPr>
          <w:trHeight w:val="312"/>
        </w:trPr>
        <w:tc>
          <w:tcPr>
            <w:tcW w:w="2297" w:type="dxa"/>
            <w:shd w:val="clear" w:color="auto" w:fill="auto"/>
            <w:noWrap/>
            <w:vAlign w:val="bottom"/>
          </w:tcPr>
          <w:p w14:paraId="051C3C93"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proofErr w:type="spellStart"/>
            <w:r w:rsidRPr="009456D8">
              <w:rPr>
                <w:rFonts w:ascii="Times New Roman" w:eastAsia="Times New Roman" w:hAnsi="Times New Roman" w:cs="Times New Roman"/>
                <w:color w:val="000000"/>
                <w:sz w:val="20"/>
                <w:szCs w:val="20"/>
                <w:lang w:eastAsia="zh-CN"/>
              </w:rPr>
              <w:t>σ</w:t>
            </w:r>
            <w:r w:rsidRPr="009456D8">
              <w:rPr>
                <w:rFonts w:ascii="Times New Roman" w:eastAsia="Times New Roman" w:hAnsi="Times New Roman" w:cs="Times New Roman"/>
                <w:color w:val="000000"/>
                <w:sz w:val="20"/>
                <w:szCs w:val="20"/>
                <w:vertAlign w:val="subscript"/>
                <w:lang w:eastAsia="zh-CN"/>
              </w:rPr>
              <w:t>OCF</w:t>
            </w:r>
            <w:proofErr w:type="spellEnd"/>
          </w:p>
        </w:tc>
        <w:tc>
          <w:tcPr>
            <w:tcW w:w="1871" w:type="dxa"/>
            <w:shd w:val="clear" w:color="auto" w:fill="auto"/>
            <w:noWrap/>
            <w:vAlign w:val="bottom"/>
          </w:tcPr>
          <w:p w14:paraId="274C8E86"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-0.0458</w:t>
            </w:r>
          </w:p>
        </w:tc>
        <w:tc>
          <w:tcPr>
            <w:tcW w:w="1871" w:type="dxa"/>
            <w:shd w:val="clear" w:color="auto" w:fill="auto"/>
            <w:noWrap/>
            <w:vAlign w:val="bottom"/>
          </w:tcPr>
          <w:p w14:paraId="3F046A38"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-0.2460</w:t>
            </w:r>
          </w:p>
        </w:tc>
        <w:tc>
          <w:tcPr>
            <w:tcW w:w="1871" w:type="dxa"/>
            <w:vAlign w:val="bottom"/>
          </w:tcPr>
          <w:p w14:paraId="276BC162"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-0.0629</w:t>
            </w:r>
          </w:p>
        </w:tc>
        <w:tc>
          <w:tcPr>
            <w:tcW w:w="1871" w:type="dxa"/>
            <w:vAlign w:val="bottom"/>
          </w:tcPr>
          <w:p w14:paraId="6BE69AA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-0.1906</w:t>
            </w:r>
          </w:p>
        </w:tc>
      </w:tr>
      <w:tr w:rsidR="009B5C0D" w:rsidRPr="009456D8" w14:paraId="7281F527" w14:textId="77777777" w:rsidTr="00213B08">
        <w:trPr>
          <w:trHeight w:val="312"/>
        </w:trPr>
        <w:tc>
          <w:tcPr>
            <w:tcW w:w="2297" w:type="dxa"/>
            <w:shd w:val="clear" w:color="auto" w:fill="auto"/>
            <w:noWrap/>
          </w:tcPr>
          <w:p w14:paraId="18EEB7D7"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tcPr>
          <w:p w14:paraId="190F73D9"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(-1.1549)</w:t>
            </w:r>
          </w:p>
        </w:tc>
        <w:tc>
          <w:tcPr>
            <w:tcW w:w="1871" w:type="dxa"/>
            <w:shd w:val="clear" w:color="auto" w:fill="auto"/>
            <w:noWrap/>
          </w:tcPr>
          <w:p w14:paraId="00DBFCEA"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(-2.8632)***</w:t>
            </w:r>
          </w:p>
        </w:tc>
        <w:tc>
          <w:tcPr>
            <w:tcW w:w="1871" w:type="dxa"/>
          </w:tcPr>
          <w:p w14:paraId="12824F83"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(-1.5589)</w:t>
            </w:r>
          </w:p>
        </w:tc>
        <w:tc>
          <w:tcPr>
            <w:tcW w:w="1871" w:type="dxa"/>
          </w:tcPr>
          <w:p w14:paraId="2C311867"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(-1.7455)*</w:t>
            </w:r>
          </w:p>
        </w:tc>
      </w:tr>
      <w:tr w:rsidR="009B5C0D" w:rsidRPr="009456D8" w14:paraId="227B2201" w14:textId="77777777" w:rsidTr="00213B08">
        <w:trPr>
          <w:trHeight w:val="312"/>
        </w:trPr>
        <w:tc>
          <w:tcPr>
            <w:tcW w:w="2297" w:type="dxa"/>
            <w:shd w:val="clear" w:color="auto" w:fill="auto"/>
            <w:noWrap/>
            <w:vAlign w:val="bottom"/>
          </w:tcPr>
          <w:p w14:paraId="7EA6D788"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r w:rsidRPr="009456D8">
              <w:rPr>
                <w:rFonts w:ascii="Times New Roman" w:eastAsia="Times New Roman" w:hAnsi="Times New Roman" w:cs="Times New Roman"/>
                <w:color w:val="000000"/>
                <w:sz w:val="20"/>
                <w:szCs w:val="20"/>
                <w:lang w:eastAsia="zh-CN"/>
              </w:rPr>
              <w:t>Capex</w:t>
            </w:r>
          </w:p>
        </w:tc>
        <w:tc>
          <w:tcPr>
            <w:tcW w:w="1871" w:type="dxa"/>
            <w:shd w:val="clear" w:color="auto" w:fill="auto"/>
            <w:noWrap/>
            <w:vAlign w:val="bottom"/>
          </w:tcPr>
          <w:p w14:paraId="61A77676"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-0.0919</w:t>
            </w:r>
          </w:p>
        </w:tc>
        <w:tc>
          <w:tcPr>
            <w:tcW w:w="1871" w:type="dxa"/>
            <w:shd w:val="clear" w:color="auto" w:fill="auto"/>
            <w:noWrap/>
            <w:vAlign w:val="bottom"/>
          </w:tcPr>
          <w:p w14:paraId="70788905"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0.1000</w:t>
            </w:r>
          </w:p>
        </w:tc>
        <w:tc>
          <w:tcPr>
            <w:tcW w:w="1871" w:type="dxa"/>
            <w:vAlign w:val="bottom"/>
          </w:tcPr>
          <w:p w14:paraId="5B2D8431"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-0.0922</w:t>
            </w:r>
          </w:p>
        </w:tc>
        <w:tc>
          <w:tcPr>
            <w:tcW w:w="1871" w:type="dxa"/>
            <w:vAlign w:val="bottom"/>
          </w:tcPr>
          <w:p w14:paraId="7C3543E8"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0.2011</w:t>
            </w:r>
          </w:p>
        </w:tc>
      </w:tr>
      <w:tr w:rsidR="009B5C0D" w:rsidRPr="009456D8" w14:paraId="0C734A9C" w14:textId="77777777" w:rsidTr="00213B08">
        <w:trPr>
          <w:trHeight w:val="312"/>
        </w:trPr>
        <w:tc>
          <w:tcPr>
            <w:tcW w:w="2297" w:type="dxa"/>
            <w:shd w:val="clear" w:color="auto" w:fill="auto"/>
            <w:noWrap/>
          </w:tcPr>
          <w:p w14:paraId="68D44A9D"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p>
        </w:tc>
        <w:tc>
          <w:tcPr>
            <w:tcW w:w="1871" w:type="dxa"/>
            <w:shd w:val="clear" w:color="auto" w:fill="auto"/>
            <w:noWrap/>
          </w:tcPr>
          <w:p w14:paraId="333F6977"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(-3.1823)***</w:t>
            </w:r>
          </w:p>
        </w:tc>
        <w:tc>
          <w:tcPr>
            <w:tcW w:w="1871" w:type="dxa"/>
            <w:shd w:val="clear" w:color="auto" w:fill="auto"/>
            <w:noWrap/>
          </w:tcPr>
          <w:p w14:paraId="22BDBA72"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(2.0769)**</w:t>
            </w:r>
          </w:p>
        </w:tc>
        <w:tc>
          <w:tcPr>
            <w:tcW w:w="1871" w:type="dxa"/>
          </w:tcPr>
          <w:p w14:paraId="63A67470"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(-3.2323)***</w:t>
            </w:r>
          </w:p>
        </w:tc>
        <w:tc>
          <w:tcPr>
            <w:tcW w:w="1871" w:type="dxa"/>
          </w:tcPr>
          <w:p w14:paraId="03CDE267"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(2.5333)**</w:t>
            </w:r>
          </w:p>
        </w:tc>
      </w:tr>
      <w:tr w:rsidR="009B5C0D" w:rsidRPr="009456D8" w14:paraId="0DA2D0EB" w14:textId="77777777" w:rsidTr="00213B08">
        <w:trPr>
          <w:trHeight w:val="312"/>
        </w:trPr>
        <w:tc>
          <w:tcPr>
            <w:tcW w:w="2297" w:type="dxa"/>
            <w:shd w:val="clear" w:color="auto" w:fill="auto"/>
            <w:noWrap/>
            <w:vAlign w:val="bottom"/>
          </w:tcPr>
          <w:p w14:paraId="3E01F732"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r w:rsidRPr="009456D8">
              <w:rPr>
                <w:rFonts w:ascii="Times New Roman" w:eastAsia="Times New Roman" w:hAnsi="Times New Roman" w:cs="Times New Roman"/>
                <w:color w:val="000000"/>
                <w:sz w:val="20"/>
                <w:szCs w:val="20"/>
                <w:lang w:eastAsia="zh-CN"/>
              </w:rPr>
              <w:t>R&amp;D</w:t>
            </w:r>
          </w:p>
        </w:tc>
        <w:tc>
          <w:tcPr>
            <w:tcW w:w="1871" w:type="dxa"/>
            <w:shd w:val="clear" w:color="auto" w:fill="auto"/>
            <w:noWrap/>
            <w:vAlign w:val="bottom"/>
          </w:tcPr>
          <w:p w14:paraId="6C751FAA"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-0.1105</w:t>
            </w:r>
          </w:p>
        </w:tc>
        <w:tc>
          <w:tcPr>
            <w:tcW w:w="1871" w:type="dxa"/>
            <w:shd w:val="clear" w:color="auto" w:fill="auto"/>
            <w:noWrap/>
            <w:vAlign w:val="bottom"/>
          </w:tcPr>
          <w:p w14:paraId="644CA92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0.3436</w:t>
            </w:r>
          </w:p>
        </w:tc>
        <w:tc>
          <w:tcPr>
            <w:tcW w:w="1871" w:type="dxa"/>
            <w:vAlign w:val="bottom"/>
          </w:tcPr>
          <w:p w14:paraId="6C031D41"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-0.1177</w:t>
            </w:r>
          </w:p>
        </w:tc>
        <w:tc>
          <w:tcPr>
            <w:tcW w:w="1871" w:type="dxa"/>
            <w:vAlign w:val="bottom"/>
          </w:tcPr>
          <w:p w14:paraId="4E8634C2"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0.4170</w:t>
            </w:r>
          </w:p>
        </w:tc>
      </w:tr>
      <w:tr w:rsidR="009B5C0D" w:rsidRPr="009456D8" w14:paraId="68B63164" w14:textId="77777777" w:rsidTr="00213B08">
        <w:trPr>
          <w:trHeight w:val="312"/>
        </w:trPr>
        <w:tc>
          <w:tcPr>
            <w:tcW w:w="2297" w:type="dxa"/>
            <w:shd w:val="clear" w:color="auto" w:fill="auto"/>
            <w:noWrap/>
          </w:tcPr>
          <w:p w14:paraId="3A358410"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tcPr>
          <w:p w14:paraId="32183899"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(-5.5209)***</w:t>
            </w:r>
          </w:p>
        </w:tc>
        <w:tc>
          <w:tcPr>
            <w:tcW w:w="1871" w:type="dxa"/>
            <w:shd w:val="clear" w:color="auto" w:fill="auto"/>
            <w:noWrap/>
          </w:tcPr>
          <w:p w14:paraId="664016C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(8.9666)***</w:t>
            </w:r>
          </w:p>
        </w:tc>
        <w:tc>
          <w:tcPr>
            <w:tcW w:w="1871" w:type="dxa"/>
          </w:tcPr>
          <w:p w14:paraId="43B7B2C7"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(-5.9072)***</w:t>
            </w:r>
          </w:p>
        </w:tc>
        <w:tc>
          <w:tcPr>
            <w:tcW w:w="1871" w:type="dxa"/>
          </w:tcPr>
          <w:p w14:paraId="7952633E"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(5.4602)***</w:t>
            </w:r>
          </w:p>
        </w:tc>
      </w:tr>
      <w:tr w:rsidR="009B5C0D" w:rsidRPr="009456D8" w14:paraId="516334A5" w14:textId="77777777" w:rsidTr="00213B08">
        <w:trPr>
          <w:trHeight w:val="312"/>
        </w:trPr>
        <w:tc>
          <w:tcPr>
            <w:tcW w:w="2297" w:type="dxa"/>
            <w:shd w:val="clear" w:color="auto" w:fill="auto"/>
            <w:noWrap/>
            <w:vAlign w:val="bottom"/>
          </w:tcPr>
          <w:p w14:paraId="3091AA83"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zh-CN"/>
              </w:rPr>
            </w:pPr>
            <w:r w:rsidRPr="009456D8">
              <w:rPr>
                <w:rFonts w:ascii="Times New Roman" w:eastAsia="Times New Roman" w:hAnsi="Times New Roman" w:cs="Times New Roman"/>
                <w:color w:val="000000"/>
                <w:sz w:val="20"/>
                <w:szCs w:val="20"/>
                <w:lang w:eastAsia="zh-CN"/>
              </w:rPr>
              <w:t>Discretionary Accrual</w:t>
            </w:r>
          </w:p>
        </w:tc>
        <w:tc>
          <w:tcPr>
            <w:tcW w:w="1871" w:type="dxa"/>
            <w:shd w:val="clear" w:color="auto" w:fill="auto"/>
            <w:noWrap/>
            <w:vAlign w:val="bottom"/>
          </w:tcPr>
          <w:p w14:paraId="5F472D9E"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 xml:space="preserve"> 0.0007</w:t>
            </w:r>
          </w:p>
        </w:tc>
        <w:tc>
          <w:tcPr>
            <w:tcW w:w="1871" w:type="dxa"/>
            <w:shd w:val="clear" w:color="auto" w:fill="auto"/>
            <w:noWrap/>
            <w:vAlign w:val="bottom"/>
          </w:tcPr>
          <w:p w14:paraId="48ADF1EC"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-0.0061</w:t>
            </w:r>
          </w:p>
        </w:tc>
        <w:tc>
          <w:tcPr>
            <w:tcW w:w="1871" w:type="dxa"/>
            <w:vAlign w:val="bottom"/>
          </w:tcPr>
          <w:p w14:paraId="5426B74F"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-0.0001</w:t>
            </w:r>
          </w:p>
        </w:tc>
        <w:tc>
          <w:tcPr>
            <w:tcW w:w="1871" w:type="dxa"/>
            <w:vAlign w:val="bottom"/>
          </w:tcPr>
          <w:p w14:paraId="6C5343F6"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-0.0068</w:t>
            </w:r>
          </w:p>
        </w:tc>
      </w:tr>
      <w:tr w:rsidR="009B5C0D" w:rsidRPr="009456D8" w14:paraId="4A6EF48C" w14:textId="77777777" w:rsidTr="00213B08">
        <w:trPr>
          <w:trHeight w:val="312"/>
        </w:trPr>
        <w:tc>
          <w:tcPr>
            <w:tcW w:w="2297" w:type="dxa"/>
            <w:shd w:val="clear" w:color="auto" w:fill="auto"/>
            <w:noWrap/>
          </w:tcPr>
          <w:p w14:paraId="65E77694"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tcPr>
          <w:p w14:paraId="7BBD0765"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(1.1557)</w:t>
            </w:r>
          </w:p>
        </w:tc>
        <w:tc>
          <w:tcPr>
            <w:tcW w:w="1871" w:type="dxa"/>
            <w:shd w:val="clear" w:color="auto" w:fill="auto"/>
            <w:noWrap/>
          </w:tcPr>
          <w:p w14:paraId="1DD1A2A8"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(-4.5382)***</w:t>
            </w:r>
          </w:p>
        </w:tc>
        <w:tc>
          <w:tcPr>
            <w:tcW w:w="1871" w:type="dxa"/>
          </w:tcPr>
          <w:p w14:paraId="0E59CF57"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(-0.1549)</w:t>
            </w:r>
          </w:p>
        </w:tc>
        <w:tc>
          <w:tcPr>
            <w:tcW w:w="1871" w:type="dxa"/>
          </w:tcPr>
          <w:p w14:paraId="2673FAF3"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(-3.6718)***</w:t>
            </w:r>
          </w:p>
        </w:tc>
      </w:tr>
      <w:tr w:rsidR="009B5C0D" w:rsidRPr="009456D8" w14:paraId="33ED2BDA" w14:textId="77777777" w:rsidTr="00213B08">
        <w:trPr>
          <w:trHeight w:val="312"/>
        </w:trPr>
        <w:tc>
          <w:tcPr>
            <w:tcW w:w="2297" w:type="dxa"/>
            <w:shd w:val="clear" w:color="auto" w:fill="auto"/>
            <w:noWrap/>
            <w:vAlign w:val="bottom"/>
          </w:tcPr>
          <w:p w14:paraId="1DA88883"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E-Index</w:t>
            </w:r>
          </w:p>
        </w:tc>
        <w:tc>
          <w:tcPr>
            <w:tcW w:w="1871" w:type="dxa"/>
            <w:shd w:val="clear" w:color="auto" w:fill="auto"/>
            <w:noWrap/>
            <w:vAlign w:val="bottom"/>
          </w:tcPr>
          <w:p w14:paraId="6589C169"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 xml:space="preserve"> 0.0087</w:t>
            </w:r>
          </w:p>
        </w:tc>
        <w:tc>
          <w:tcPr>
            <w:tcW w:w="1871" w:type="dxa"/>
            <w:shd w:val="clear" w:color="auto" w:fill="auto"/>
            <w:noWrap/>
            <w:vAlign w:val="bottom"/>
          </w:tcPr>
          <w:p w14:paraId="70CDBF58"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0.0133</w:t>
            </w:r>
          </w:p>
        </w:tc>
        <w:tc>
          <w:tcPr>
            <w:tcW w:w="1871" w:type="dxa"/>
            <w:vAlign w:val="bottom"/>
          </w:tcPr>
          <w:p w14:paraId="203289E2"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0.0114</w:t>
            </w:r>
          </w:p>
        </w:tc>
        <w:tc>
          <w:tcPr>
            <w:tcW w:w="1871" w:type="dxa"/>
            <w:vAlign w:val="bottom"/>
          </w:tcPr>
          <w:p w14:paraId="4DE060C4"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0.0025</w:t>
            </w:r>
          </w:p>
        </w:tc>
      </w:tr>
      <w:tr w:rsidR="009B5C0D" w:rsidRPr="009456D8" w14:paraId="566890D4" w14:textId="77777777" w:rsidTr="00213B08">
        <w:trPr>
          <w:trHeight w:val="312"/>
        </w:trPr>
        <w:tc>
          <w:tcPr>
            <w:tcW w:w="2297" w:type="dxa"/>
            <w:shd w:val="clear" w:color="auto" w:fill="auto"/>
            <w:noWrap/>
          </w:tcPr>
          <w:p w14:paraId="2CB80C35"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tcPr>
          <w:p w14:paraId="2BB92812"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(4.5341)***</w:t>
            </w:r>
          </w:p>
        </w:tc>
        <w:tc>
          <w:tcPr>
            <w:tcW w:w="1871" w:type="dxa"/>
            <w:shd w:val="clear" w:color="auto" w:fill="auto"/>
            <w:noWrap/>
          </w:tcPr>
          <w:p w14:paraId="7942F3B5"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(2.8874)***</w:t>
            </w:r>
          </w:p>
        </w:tc>
        <w:tc>
          <w:tcPr>
            <w:tcW w:w="1871" w:type="dxa"/>
          </w:tcPr>
          <w:p w14:paraId="188C574D" w14:textId="77777777" w:rsidR="009B5C0D" w:rsidRPr="009456D8"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(5.7979)***</w:t>
            </w:r>
          </w:p>
        </w:tc>
        <w:tc>
          <w:tcPr>
            <w:tcW w:w="1871" w:type="dxa"/>
          </w:tcPr>
          <w:p w14:paraId="5AFDD1DA"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(0.2632)</w:t>
            </w:r>
          </w:p>
        </w:tc>
      </w:tr>
      <w:tr w:rsidR="009B5C0D" w:rsidRPr="009456D8" w14:paraId="7DAAFAAE" w14:textId="77777777" w:rsidTr="00213B08">
        <w:trPr>
          <w:trHeight w:val="312"/>
        </w:trPr>
        <w:tc>
          <w:tcPr>
            <w:tcW w:w="2297" w:type="dxa"/>
            <w:shd w:val="clear" w:color="auto" w:fill="auto"/>
            <w:noWrap/>
            <w:vAlign w:val="bottom"/>
            <w:hideMark/>
          </w:tcPr>
          <w:p w14:paraId="0488FFCB"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Constant</w:t>
            </w:r>
          </w:p>
        </w:tc>
        <w:tc>
          <w:tcPr>
            <w:tcW w:w="1871" w:type="dxa"/>
            <w:shd w:val="clear" w:color="auto" w:fill="auto"/>
            <w:noWrap/>
            <w:vAlign w:val="bottom"/>
            <w:hideMark/>
          </w:tcPr>
          <w:p w14:paraId="16C9BC01"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 xml:space="preserve"> 0.0691</w:t>
            </w:r>
          </w:p>
        </w:tc>
        <w:tc>
          <w:tcPr>
            <w:tcW w:w="1871" w:type="dxa"/>
            <w:shd w:val="clear" w:color="auto" w:fill="auto"/>
            <w:noWrap/>
            <w:vAlign w:val="bottom"/>
            <w:hideMark/>
          </w:tcPr>
          <w:p w14:paraId="543E411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0.4815</w:t>
            </w:r>
          </w:p>
        </w:tc>
        <w:tc>
          <w:tcPr>
            <w:tcW w:w="1871" w:type="dxa"/>
            <w:vAlign w:val="bottom"/>
          </w:tcPr>
          <w:p w14:paraId="7354CBB3"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0.2811</w:t>
            </w:r>
          </w:p>
        </w:tc>
        <w:tc>
          <w:tcPr>
            <w:tcW w:w="1871" w:type="dxa"/>
            <w:vAlign w:val="bottom"/>
          </w:tcPr>
          <w:p w14:paraId="17178DE3"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 xml:space="preserve"> 0.2470</w:t>
            </w:r>
          </w:p>
        </w:tc>
      </w:tr>
      <w:tr w:rsidR="009B5C0D" w:rsidRPr="009456D8" w14:paraId="0F06F3DD" w14:textId="77777777" w:rsidTr="00213B08">
        <w:trPr>
          <w:trHeight w:val="312"/>
        </w:trPr>
        <w:tc>
          <w:tcPr>
            <w:tcW w:w="2297" w:type="dxa"/>
            <w:shd w:val="clear" w:color="auto" w:fill="auto"/>
            <w:noWrap/>
            <w:hideMark/>
          </w:tcPr>
          <w:p w14:paraId="235FCE6A"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r w:rsidRPr="009456D8">
              <w:rPr>
                <w:rFonts w:ascii="Times New Roman" w:eastAsia="Times New Roman" w:hAnsi="Times New Roman" w:cs="Times New Roman"/>
                <w:color w:val="000000"/>
                <w:sz w:val="20"/>
                <w:szCs w:val="20"/>
                <w:lang w:eastAsia="en-AU"/>
              </w:rPr>
              <w:t> </w:t>
            </w:r>
          </w:p>
        </w:tc>
        <w:tc>
          <w:tcPr>
            <w:tcW w:w="1871" w:type="dxa"/>
            <w:shd w:val="clear" w:color="auto" w:fill="auto"/>
            <w:noWrap/>
            <w:hideMark/>
          </w:tcPr>
          <w:p w14:paraId="2D7E6CE2"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sz w:val="20"/>
                <w:szCs w:val="20"/>
              </w:rPr>
              <w:t>(7.0659)***</w:t>
            </w:r>
          </w:p>
        </w:tc>
        <w:tc>
          <w:tcPr>
            <w:tcW w:w="1871" w:type="dxa"/>
            <w:shd w:val="clear" w:color="auto" w:fill="auto"/>
            <w:noWrap/>
            <w:hideMark/>
          </w:tcPr>
          <w:p w14:paraId="6623F2AA"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(10.6106)***</w:t>
            </w:r>
          </w:p>
        </w:tc>
        <w:tc>
          <w:tcPr>
            <w:tcW w:w="1871" w:type="dxa"/>
          </w:tcPr>
          <w:p w14:paraId="0C21586D"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(21.2170)***</w:t>
            </w:r>
          </w:p>
        </w:tc>
        <w:tc>
          <w:tcPr>
            <w:tcW w:w="1871" w:type="dxa"/>
          </w:tcPr>
          <w:p w14:paraId="7649F9F4" w14:textId="77777777" w:rsidR="009B5C0D" w:rsidRPr="009456D8" w:rsidRDefault="009B5C0D" w:rsidP="00213B08">
            <w:pPr>
              <w:tabs>
                <w:tab w:val="decimal" w:pos="570"/>
              </w:tabs>
              <w:spacing w:after="0" w:line="240" w:lineRule="auto"/>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(1.5532)</w:t>
            </w:r>
          </w:p>
        </w:tc>
      </w:tr>
      <w:tr w:rsidR="009B5C0D" w:rsidRPr="009456D8" w14:paraId="666C3840" w14:textId="77777777" w:rsidTr="00213B08">
        <w:trPr>
          <w:trHeight w:val="312"/>
        </w:trPr>
        <w:tc>
          <w:tcPr>
            <w:tcW w:w="2297" w:type="dxa"/>
            <w:shd w:val="clear" w:color="auto" w:fill="auto"/>
            <w:noWrap/>
            <w:vAlign w:val="center"/>
          </w:tcPr>
          <w:p w14:paraId="18C62042" w14:textId="77777777" w:rsidR="009B5C0D" w:rsidRPr="009456D8"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1871" w:type="dxa"/>
            <w:shd w:val="clear" w:color="auto" w:fill="auto"/>
            <w:noWrap/>
            <w:vAlign w:val="center"/>
          </w:tcPr>
          <w:p w14:paraId="03D03595" w14:textId="77777777" w:rsidR="009B5C0D" w:rsidRPr="009456D8" w:rsidRDefault="009B5C0D" w:rsidP="00213B08">
            <w:pPr>
              <w:tabs>
                <w:tab w:val="decimal" w:pos="570"/>
              </w:tabs>
              <w:spacing w:after="0" w:line="240" w:lineRule="auto"/>
              <w:rPr>
                <w:rFonts w:ascii="Times New Roman" w:hAnsi="Times New Roman" w:cs="Times New Roman"/>
                <w:color w:val="000000"/>
                <w:sz w:val="20"/>
                <w:szCs w:val="20"/>
              </w:rPr>
            </w:pPr>
          </w:p>
        </w:tc>
        <w:tc>
          <w:tcPr>
            <w:tcW w:w="1871" w:type="dxa"/>
            <w:shd w:val="clear" w:color="auto" w:fill="auto"/>
            <w:noWrap/>
            <w:vAlign w:val="center"/>
          </w:tcPr>
          <w:p w14:paraId="65A4520B" w14:textId="77777777" w:rsidR="009B5C0D" w:rsidRPr="009456D8" w:rsidRDefault="009B5C0D" w:rsidP="00213B08">
            <w:pPr>
              <w:tabs>
                <w:tab w:val="decimal" w:pos="570"/>
              </w:tabs>
              <w:spacing w:after="0" w:line="240" w:lineRule="auto"/>
              <w:rPr>
                <w:rFonts w:ascii="Times New Roman" w:hAnsi="Times New Roman" w:cs="Times New Roman"/>
                <w:color w:val="000000"/>
                <w:sz w:val="20"/>
                <w:szCs w:val="20"/>
              </w:rPr>
            </w:pPr>
          </w:p>
        </w:tc>
        <w:tc>
          <w:tcPr>
            <w:tcW w:w="1871" w:type="dxa"/>
            <w:vAlign w:val="center"/>
          </w:tcPr>
          <w:p w14:paraId="6BEC63AF" w14:textId="77777777" w:rsidR="009B5C0D" w:rsidRPr="009456D8" w:rsidRDefault="009B5C0D" w:rsidP="00213B08">
            <w:pPr>
              <w:tabs>
                <w:tab w:val="decimal" w:pos="570"/>
              </w:tabs>
              <w:spacing w:after="0" w:line="240" w:lineRule="auto"/>
              <w:rPr>
                <w:rFonts w:ascii="Times New Roman" w:hAnsi="Times New Roman" w:cs="Times New Roman"/>
                <w:color w:val="000000"/>
                <w:sz w:val="20"/>
                <w:szCs w:val="20"/>
              </w:rPr>
            </w:pPr>
          </w:p>
        </w:tc>
        <w:tc>
          <w:tcPr>
            <w:tcW w:w="1871" w:type="dxa"/>
            <w:vAlign w:val="center"/>
          </w:tcPr>
          <w:p w14:paraId="66B91BCB" w14:textId="77777777" w:rsidR="009B5C0D" w:rsidRPr="009456D8" w:rsidRDefault="009B5C0D" w:rsidP="00213B08">
            <w:pPr>
              <w:tabs>
                <w:tab w:val="decimal" w:pos="570"/>
              </w:tabs>
              <w:spacing w:after="0" w:line="240" w:lineRule="auto"/>
              <w:rPr>
                <w:rFonts w:ascii="Times New Roman" w:hAnsi="Times New Roman" w:cs="Times New Roman"/>
                <w:color w:val="000000"/>
                <w:sz w:val="20"/>
                <w:szCs w:val="20"/>
              </w:rPr>
            </w:pPr>
          </w:p>
        </w:tc>
      </w:tr>
      <w:tr w:rsidR="009B5C0D" w:rsidRPr="009456D8" w14:paraId="119E3492" w14:textId="77777777" w:rsidTr="00213B08">
        <w:trPr>
          <w:trHeight w:val="312"/>
        </w:trPr>
        <w:tc>
          <w:tcPr>
            <w:tcW w:w="2297" w:type="dxa"/>
            <w:shd w:val="clear" w:color="auto" w:fill="auto"/>
            <w:noWrap/>
            <w:vAlign w:val="center"/>
            <w:hideMark/>
          </w:tcPr>
          <w:p w14:paraId="60B6D29A" w14:textId="77777777" w:rsidR="009B5C0D" w:rsidRPr="009456D8" w:rsidRDefault="009B5C0D" w:rsidP="00213B08">
            <w:pPr>
              <w:spacing w:after="0" w:line="240" w:lineRule="auto"/>
              <w:rPr>
                <w:rFonts w:ascii="Times New Roman" w:eastAsia="Times New Roman" w:hAnsi="Times New Roman" w:cs="Times New Roman"/>
                <w:color w:val="000000"/>
                <w:sz w:val="20"/>
                <w:szCs w:val="20"/>
              </w:rPr>
            </w:pPr>
            <w:r w:rsidRPr="009456D8">
              <w:rPr>
                <w:rFonts w:ascii="Times New Roman" w:eastAsia="Times New Roman" w:hAnsi="Times New Roman" w:cs="Times New Roman"/>
                <w:color w:val="000000" w:themeColor="text1"/>
                <w:sz w:val="20"/>
                <w:szCs w:val="20"/>
              </w:rPr>
              <w:t>Observations:</w:t>
            </w:r>
          </w:p>
        </w:tc>
        <w:tc>
          <w:tcPr>
            <w:tcW w:w="1871" w:type="dxa"/>
            <w:shd w:val="clear" w:color="auto" w:fill="auto"/>
            <w:noWrap/>
            <w:vAlign w:val="center"/>
            <w:hideMark/>
          </w:tcPr>
          <w:p w14:paraId="60BA589A" w14:textId="77777777" w:rsidR="009B5C0D" w:rsidRPr="009456D8"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15845</w:t>
            </w:r>
          </w:p>
        </w:tc>
        <w:tc>
          <w:tcPr>
            <w:tcW w:w="1871" w:type="dxa"/>
            <w:shd w:val="clear" w:color="auto" w:fill="auto"/>
            <w:noWrap/>
            <w:vAlign w:val="center"/>
            <w:hideMark/>
          </w:tcPr>
          <w:p w14:paraId="67E5F30B" w14:textId="77777777" w:rsidR="009B5C0D" w:rsidRPr="009456D8"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15845</w:t>
            </w:r>
          </w:p>
        </w:tc>
        <w:tc>
          <w:tcPr>
            <w:tcW w:w="1871" w:type="dxa"/>
            <w:vAlign w:val="center"/>
          </w:tcPr>
          <w:p w14:paraId="7BA9EACC" w14:textId="77777777" w:rsidR="009B5C0D" w:rsidRPr="009456D8"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14678</w:t>
            </w:r>
          </w:p>
        </w:tc>
        <w:tc>
          <w:tcPr>
            <w:tcW w:w="1871" w:type="dxa"/>
            <w:vAlign w:val="center"/>
          </w:tcPr>
          <w:p w14:paraId="40A19357" w14:textId="77777777" w:rsidR="009B5C0D" w:rsidRPr="009456D8"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9456D8">
              <w:rPr>
                <w:rFonts w:ascii="Times New Roman" w:hAnsi="Times New Roman" w:cs="Times New Roman"/>
                <w:color w:val="000000"/>
                <w:sz w:val="20"/>
                <w:szCs w:val="20"/>
              </w:rPr>
              <w:t>14678</w:t>
            </w:r>
          </w:p>
        </w:tc>
      </w:tr>
      <w:tr w:rsidR="009B5C0D" w:rsidRPr="009456D8" w14:paraId="25A0107B" w14:textId="77777777" w:rsidTr="00213B08">
        <w:trPr>
          <w:trHeight w:val="312"/>
        </w:trPr>
        <w:tc>
          <w:tcPr>
            <w:tcW w:w="2297" w:type="dxa"/>
            <w:shd w:val="clear" w:color="auto" w:fill="auto"/>
            <w:noWrap/>
            <w:vAlign w:val="center"/>
            <w:hideMark/>
          </w:tcPr>
          <w:p w14:paraId="7D536ED8" w14:textId="77777777" w:rsidR="009B5C0D" w:rsidRPr="009456D8" w:rsidRDefault="009B5C0D" w:rsidP="00213B08">
            <w:pPr>
              <w:spacing w:after="0" w:line="240" w:lineRule="auto"/>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Period Fixed Effects:</w:t>
            </w:r>
          </w:p>
        </w:tc>
        <w:tc>
          <w:tcPr>
            <w:tcW w:w="1871" w:type="dxa"/>
            <w:shd w:val="clear" w:color="auto" w:fill="auto"/>
            <w:noWrap/>
            <w:vAlign w:val="center"/>
            <w:hideMark/>
          </w:tcPr>
          <w:p w14:paraId="04D06250"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Yes</w:t>
            </w:r>
          </w:p>
        </w:tc>
        <w:tc>
          <w:tcPr>
            <w:tcW w:w="1871" w:type="dxa"/>
            <w:shd w:val="clear" w:color="auto" w:fill="auto"/>
            <w:noWrap/>
            <w:vAlign w:val="center"/>
            <w:hideMark/>
          </w:tcPr>
          <w:p w14:paraId="495844B2"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Yes</w:t>
            </w:r>
          </w:p>
        </w:tc>
        <w:tc>
          <w:tcPr>
            <w:tcW w:w="1871" w:type="dxa"/>
            <w:vAlign w:val="center"/>
          </w:tcPr>
          <w:p w14:paraId="5A502BE4"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Yes</w:t>
            </w:r>
          </w:p>
        </w:tc>
        <w:tc>
          <w:tcPr>
            <w:tcW w:w="1871" w:type="dxa"/>
            <w:vAlign w:val="center"/>
          </w:tcPr>
          <w:p w14:paraId="50B0B1C1"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Yes</w:t>
            </w:r>
          </w:p>
        </w:tc>
      </w:tr>
      <w:tr w:rsidR="009B5C0D" w:rsidRPr="009456D8" w14:paraId="52F25CFA" w14:textId="77777777" w:rsidTr="00213B08">
        <w:trPr>
          <w:trHeight w:val="312"/>
        </w:trPr>
        <w:tc>
          <w:tcPr>
            <w:tcW w:w="2297" w:type="dxa"/>
            <w:tcBorders>
              <w:bottom w:val="single" w:sz="4" w:space="0" w:color="auto"/>
            </w:tcBorders>
            <w:shd w:val="clear" w:color="auto" w:fill="auto"/>
            <w:noWrap/>
            <w:vAlign w:val="center"/>
            <w:hideMark/>
          </w:tcPr>
          <w:p w14:paraId="08A51095" w14:textId="77777777" w:rsidR="009B5C0D" w:rsidRPr="009456D8" w:rsidRDefault="009B5C0D" w:rsidP="00213B08">
            <w:pPr>
              <w:spacing w:after="0" w:line="240" w:lineRule="auto"/>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Industry Fixed Effects:</w:t>
            </w:r>
          </w:p>
        </w:tc>
        <w:tc>
          <w:tcPr>
            <w:tcW w:w="1871" w:type="dxa"/>
            <w:tcBorders>
              <w:bottom w:val="single" w:sz="4" w:space="0" w:color="auto"/>
            </w:tcBorders>
            <w:shd w:val="clear" w:color="auto" w:fill="auto"/>
            <w:noWrap/>
            <w:vAlign w:val="center"/>
            <w:hideMark/>
          </w:tcPr>
          <w:p w14:paraId="3F79EC0F"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Yes</w:t>
            </w:r>
          </w:p>
        </w:tc>
        <w:tc>
          <w:tcPr>
            <w:tcW w:w="1871" w:type="dxa"/>
            <w:tcBorders>
              <w:bottom w:val="single" w:sz="4" w:space="0" w:color="auto"/>
            </w:tcBorders>
            <w:shd w:val="clear" w:color="auto" w:fill="auto"/>
            <w:noWrap/>
            <w:vAlign w:val="center"/>
            <w:hideMark/>
          </w:tcPr>
          <w:p w14:paraId="4361E3AD"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Yes</w:t>
            </w:r>
          </w:p>
        </w:tc>
        <w:tc>
          <w:tcPr>
            <w:tcW w:w="1871" w:type="dxa"/>
            <w:tcBorders>
              <w:bottom w:val="single" w:sz="4" w:space="0" w:color="auto"/>
            </w:tcBorders>
            <w:vAlign w:val="center"/>
          </w:tcPr>
          <w:p w14:paraId="1D6830BA"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Yes</w:t>
            </w:r>
          </w:p>
        </w:tc>
        <w:tc>
          <w:tcPr>
            <w:tcW w:w="1871" w:type="dxa"/>
            <w:tcBorders>
              <w:bottom w:val="single" w:sz="4" w:space="0" w:color="auto"/>
            </w:tcBorders>
            <w:vAlign w:val="center"/>
          </w:tcPr>
          <w:p w14:paraId="412210FC" w14:textId="77777777" w:rsidR="009B5C0D" w:rsidRPr="009456D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456D8">
              <w:rPr>
                <w:rFonts w:ascii="Times New Roman" w:eastAsia="Times New Roman" w:hAnsi="Times New Roman" w:cs="Times New Roman"/>
                <w:color w:val="000000" w:themeColor="text1"/>
                <w:sz w:val="20"/>
                <w:szCs w:val="20"/>
              </w:rPr>
              <w:t>Yes</w:t>
            </w:r>
          </w:p>
        </w:tc>
      </w:tr>
    </w:tbl>
    <w:p w14:paraId="36E5BCF6" w14:textId="77777777" w:rsidR="009B5C0D" w:rsidRDefault="009B5C0D" w:rsidP="009B5C0D">
      <w:pPr>
        <w:spacing w:after="0" w:line="240" w:lineRule="auto"/>
        <w:ind w:left="142" w:right="-1"/>
        <w:jc w:val="both"/>
        <w:rPr>
          <w:rFonts w:ascii="Times New Roman" w:eastAsia="Times New Roman" w:hAnsi="Times New Roman" w:cs="Times New Roman"/>
          <w:sz w:val="20"/>
          <w:szCs w:val="20"/>
        </w:rPr>
        <w:sectPr w:rsidR="009B5C0D" w:rsidSect="00EE4D4E">
          <w:footnotePr>
            <w:numRestart w:val="eachSect"/>
          </w:footnotePr>
          <w:pgSz w:w="11907" w:h="16840" w:code="9"/>
          <w:pgMar w:top="1134" w:right="851" w:bottom="1134" w:left="1134" w:header="0" w:footer="465" w:gutter="0"/>
          <w:cols w:space="720"/>
        </w:sectPr>
      </w:pPr>
      <w:r w:rsidRPr="00B60E83">
        <w:rPr>
          <w:rFonts w:ascii="Times New Roman" w:eastAsia="Times New Roman" w:hAnsi="Times New Roman" w:cs="Times New Roman"/>
          <w:sz w:val="20"/>
          <w:szCs w:val="20"/>
        </w:rPr>
        <w:t xml:space="preserve">This table reports the </w:t>
      </w:r>
      <w:r>
        <w:rPr>
          <w:rFonts w:ascii="Times New Roman" w:eastAsia="Times New Roman" w:hAnsi="Times New Roman" w:cs="Times New Roman"/>
          <w:sz w:val="20"/>
          <w:szCs w:val="20"/>
        </w:rPr>
        <w:t>two-stage</w:t>
      </w:r>
      <w:r w:rsidRPr="00B60E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w:t>
      </w:r>
      <w:r w:rsidRPr="00B60E83">
        <w:rPr>
          <w:rFonts w:ascii="Times New Roman" w:eastAsia="Times New Roman" w:hAnsi="Times New Roman" w:cs="Times New Roman"/>
          <w:sz w:val="20"/>
          <w:szCs w:val="20"/>
        </w:rPr>
        <w:t xml:space="preserve">east </w:t>
      </w:r>
      <w:r>
        <w:rPr>
          <w:rFonts w:ascii="Times New Roman" w:eastAsia="Times New Roman" w:hAnsi="Times New Roman" w:cs="Times New Roman"/>
          <w:sz w:val="20"/>
          <w:szCs w:val="20"/>
        </w:rPr>
        <w:t>s</w:t>
      </w:r>
      <w:r w:rsidRPr="00B60E83">
        <w:rPr>
          <w:rFonts w:ascii="Times New Roman" w:eastAsia="Times New Roman" w:hAnsi="Times New Roman" w:cs="Times New Roman"/>
          <w:sz w:val="20"/>
          <w:szCs w:val="20"/>
        </w:rPr>
        <w:t xml:space="preserve">quares regressions of </w:t>
      </w:r>
      <w:r w:rsidRPr="004E7671">
        <w:rPr>
          <w:rFonts w:ascii="Times New Roman" w:eastAsia="Times New Roman" w:hAnsi="Times New Roman" w:cs="Times New Roman"/>
          <w:i/>
          <w:sz w:val="20"/>
          <w:szCs w:val="20"/>
        </w:rPr>
        <w:t>Inst. Holdings</w:t>
      </w:r>
      <w:r w:rsidRPr="00B60E83">
        <w:rPr>
          <w:rFonts w:ascii="Times New Roman" w:eastAsia="Times New Roman" w:hAnsi="Times New Roman" w:cs="Times New Roman"/>
          <w:sz w:val="20"/>
          <w:szCs w:val="20"/>
        </w:rPr>
        <w:t xml:space="preserve"> on </w:t>
      </w:r>
      <w:r w:rsidRPr="004E7671">
        <w:rPr>
          <w:rFonts w:ascii="Times New Roman" w:eastAsia="Times New Roman" w:hAnsi="Times New Roman" w:cs="Times New Roman"/>
          <w:i/>
          <w:sz w:val="20"/>
          <w:szCs w:val="20"/>
        </w:rPr>
        <w:t>CEO Pay Gap</w:t>
      </w:r>
      <w:r w:rsidRPr="00B60E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 </w:t>
      </w:r>
      <w:r w:rsidRPr="0072409C">
        <w:rPr>
          <w:rFonts w:ascii="Times New Roman" w:eastAsia="Times New Roman" w:hAnsi="Times New Roman" w:cs="Times New Roman"/>
          <w:i/>
          <w:noProof/>
          <w:sz w:val="20"/>
          <w:szCs w:val="20"/>
        </w:rPr>
        <w:t>Industry</w:t>
      </w:r>
      <w:r w:rsidRPr="0072409C">
        <w:rPr>
          <w:rFonts w:ascii="Times New Roman" w:eastAsia="Times New Roman" w:hAnsi="Times New Roman" w:cs="Times New Roman"/>
          <w:noProof/>
          <w:sz w:val="20"/>
          <w:szCs w:val="20"/>
        </w:rPr>
        <w:t xml:space="preserve"> based</w:t>
      </w:r>
      <w:r>
        <w:rPr>
          <w:rFonts w:ascii="Times New Roman" w:eastAsia="Times New Roman" w:hAnsi="Times New Roman" w:cs="Times New Roman"/>
          <w:sz w:val="20"/>
          <w:szCs w:val="20"/>
        </w:rPr>
        <w:t xml:space="preserve"> </w:t>
      </w:r>
      <w:r w:rsidRPr="004E7671">
        <w:rPr>
          <w:rFonts w:ascii="Times New Roman" w:eastAsia="Times New Roman" w:hAnsi="Times New Roman" w:cs="Times New Roman"/>
          <w:sz w:val="20"/>
          <w:szCs w:val="20"/>
        </w:rPr>
        <w:t xml:space="preserve">CEO </w:t>
      </w:r>
      <w:r>
        <w:rPr>
          <w:rFonts w:ascii="Times New Roman" w:eastAsia="Times New Roman" w:hAnsi="Times New Roman" w:cs="Times New Roman"/>
          <w:sz w:val="20"/>
          <w:szCs w:val="20"/>
        </w:rPr>
        <w:t>P</w:t>
      </w:r>
      <w:r w:rsidRPr="004E7671">
        <w:rPr>
          <w:rFonts w:ascii="Times New Roman" w:eastAsia="Times New Roman" w:hAnsi="Times New Roman" w:cs="Times New Roman"/>
          <w:sz w:val="20"/>
          <w:szCs w:val="20"/>
        </w:rPr>
        <w:t xml:space="preserve">ay </w:t>
      </w:r>
      <w:r>
        <w:rPr>
          <w:rFonts w:ascii="Times New Roman" w:eastAsia="Times New Roman" w:hAnsi="Times New Roman" w:cs="Times New Roman"/>
          <w:sz w:val="20"/>
          <w:szCs w:val="20"/>
        </w:rPr>
        <w:t>G</w:t>
      </w:r>
      <w:r w:rsidRPr="004E7671">
        <w:rPr>
          <w:rFonts w:ascii="Times New Roman" w:eastAsia="Times New Roman" w:hAnsi="Times New Roman" w:cs="Times New Roman"/>
          <w:sz w:val="20"/>
          <w:szCs w:val="20"/>
        </w:rPr>
        <w:t>ap</w:t>
      </w:r>
      <w:r>
        <w:rPr>
          <w:rFonts w:ascii="Times New Roman" w:eastAsia="Times New Roman" w:hAnsi="Times New Roman" w:cs="Times New Roman"/>
          <w:sz w:val="20"/>
          <w:szCs w:val="20"/>
        </w:rPr>
        <w:t xml:space="preserve"> measure</w:t>
      </w:r>
      <w:r w:rsidRPr="004E7671">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is utilised as </w:t>
      </w:r>
      <w:r w:rsidRPr="00EE4D4E">
        <w:rPr>
          <w:rFonts w:ascii="Times New Roman" w:eastAsia="Times New Roman" w:hAnsi="Times New Roman" w:cs="Times New Roman"/>
          <w:sz w:val="20"/>
          <w:szCs w:val="20"/>
        </w:rPr>
        <w:t>an instrumental variable</w:t>
      </w:r>
      <w:r>
        <w:rPr>
          <w:rFonts w:ascii="Times New Roman" w:eastAsia="Times New Roman" w:hAnsi="Times New Roman" w:cs="Times New Roman"/>
          <w:sz w:val="20"/>
          <w:szCs w:val="20"/>
        </w:rPr>
        <w:t xml:space="preserve"> in the first column</w:t>
      </w:r>
      <w:r w:rsidRPr="00EE4D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i/>
          <w:sz w:val="20"/>
          <w:szCs w:val="20"/>
        </w:rPr>
        <w:t>Geographic</w:t>
      </w:r>
      <w:r>
        <w:rPr>
          <w:rFonts w:ascii="Times New Roman" w:eastAsia="Times New Roman" w:hAnsi="Times New Roman" w:cs="Times New Roman"/>
          <w:sz w:val="20"/>
          <w:szCs w:val="20"/>
        </w:rPr>
        <w:t xml:space="preserve"> based</w:t>
      </w:r>
      <w:r w:rsidRPr="00EE4D4E">
        <w:rPr>
          <w:rFonts w:ascii="Times New Roman" w:eastAsia="Times New Roman" w:hAnsi="Times New Roman" w:cs="Times New Roman"/>
          <w:sz w:val="20"/>
          <w:szCs w:val="20"/>
        </w:rPr>
        <w:t xml:space="preserve"> CEO pay gap </w:t>
      </w:r>
      <w:r>
        <w:rPr>
          <w:rFonts w:ascii="Times New Roman" w:eastAsia="Times New Roman" w:hAnsi="Times New Roman" w:cs="Times New Roman"/>
          <w:sz w:val="20"/>
          <w:szCs w:val="20"/>
        </w:rPr>
        <w:t xml:space="preserve">measure is utilized </w:t>
      </w:r>
      <w:r w:rsidRPr="00EE4D4E">
        <w:rPr>
          <w:rFonts w:ascii="Times New Roman" w:eastAsia="Times New Roman" w:hAnsi="Times New Roman" w:cs="Times New Roman"/>
          <w:sz w:val="20"/>
          <w:szCs w:val="20"/>
        </w:rPr>
        <w:t>as an instrumental variable</w:t>
      </w:r>
      <w:r>
        <w:rPr>
          <w:rFonts w:ascii="Times New Roman" w:eastAsia="Times New Roman" w:hAnsi="Times New Roman" w:cs="Times New Roman"/>
          <w:sz w:val="20"/>
          <w:szCs w:val="20"/>
        </w:rPr>
        <w:t xml:space="preserve"> in the third column</w:t>
      </w:r>
      <w:r w:rsidRPr="00EE4D4E">
        <w:rPr>
          <w:rFonts w:ascii="Times New Roman" w:eastAsia="Times New Roman" w:hAnsi="Times New Roman" w:cs="Times New Roman"/>
          <w:sz w:val="20"/>
          <w:szCs w:val="20"/>
        </w:rPr>
        <w:t xml:space="preserve">. </w:t>
      </w:r>
      <w:r w:rsidRPr="00B60E83">
        <w:rPr>
          <w:rFonts w:ascii="Times New Roman" w:eastAsia="Times New Roman" w:hAnsi="Times New Roman" w:cs="Times New Roman"/>
          <w:sz w:val="20"/>
          <w:szCs w:val="20"/>
        </w:rPr>
        <w:t>Appendix I provides a detailed description of the variables.</w:t>
      </w:r>
      <w:r w:rsidRPr="004F60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Robust standard errors </w:t>
      </w:r>
      <w:proofErr w:type="gramStart"/>
      <w:r>
        <w:rPr>
          <w:rFonts w:ascii="Times New Roman" w:eastAsia="Times New Roman" w:hAnsi="Times New Roman" w:cs="Times New Roman"/>
          <w:sz w:val="20"/>
          <w:szCs w:val="20"/>
        </w:rPr>
        <w:t>are used</w:t>
      </w:r>
      <w:proofErr w:type="gramEnd"/>
      <w:r>
        <w:rPr>
          <w:rFonts w:ascii="Times New Roman" w:eastAsia="Times New Roman" w:hAnsi="Times New Roman" w:cs="Times New Roman"/>
          <w:sz w:val="20"/>
          <w:szCs w:val="20"/>
        </w:rPr>
        <w:t xml:space="preserve"> throughout.</w:t>
      </w:r>
      <w:r w:rsidRPr="00B60E83">
        <w:rPr>
          <w:rFonts w:ascii="Times New Roman" w:eastAsia="Times New Roman" w:hAnsi="Times New Roman" w:cs="Times New Roman"/>
          <w:sz w:val="20"/>
          <w:szCs w:val="20"/>
        </w:rPr>
        <w:t xml:space="preserve"> T-statistics </w:t>
      </w:r>
      <w:proofErr w:type="gramStart"/>
      <w:r w:rsidRPr="00B60E83">
        <w:rPr>
          <w:rFonts w:ascii="Times New Roman" w:eastAsia="Times New Roman" w:hAnsi="Times New Roman" w:cs="Times New Roman"/>
          <w:sz w:val="20"/>
          <w:szCs w:val="20"/>
        </w:rPr>
        <w:t>are presented</w:t>
      </w:r>
      <w:proofErr w:type="gramEnd"/>
      <w:r w:rsidRPr="00B60E83">
        <w:rPr>
          <w:rFonts w:ascii="Times New Roman" w:eastAsia="Times New Roman" w:hAnsi="Times New Roman" w:cs="Times New Roman"/>
          <w:sz w:val="20"/>
          <w:szCs w:val="20"/>
        </w:rPr>
        <w:t xml:space="preserve"> in brackets. ***, ** and * denote significance at the 1%, 5% and 10% levels, respectively.</w:t>
      </w:r>
    </w:p>
    <w:p w14:paraId="268EF08D" w14:textId="77777777" w:rsidR="009B5C0D" w:rsidRDefault="009B5C0D" w:rsidP="009B5C0D">
      <w:pPr>
        <w:spacing w:after="0" w:line="240" w:lineRule="auto"/>
        <w:rPr>
          <w:rFonts w:ascii="Times New Roman" w:eastAsia="Times New Roman" w:hAnsi="Times New Roman" w:cs="Times New Roman"/>
          <w:b/>
          <w:sz w:val="20"/>
          <w:szCs w:val="20"/>
        </w:rPr>
      </w:pPr>
    </w:p>
    <w:p w14:paraId="54AF1A20" w14:textId="77777777" w:rsidR="009B5C0D" w:rsidRDefault="009B5C0D" w:rsidP="009B5C0D">
      <w:pPr>
        <w:spacing w:after="0" w:line="240" w:lineRule="auto"/>
        <w:rPr>
          <w:rFonts w:ascii="Times New Roman" w:eastAsia="Times New Roman" w:hAnsi="Times New Roman" w:cs="Times New Roman"/>
          <w:b/>
          <w:sz w:val="20"/>
          <w:szCs w:val="20"/>
        </w:rPr>
      </w:pPr>
      <w:r w:rsidRPr="00664EF4">
        <w:rPr>
          <w:rFonts w:ascii="Times New Roman" w:eastAsia="Times New Roman" w:hAnsi="Times New Roman" w:cs="Times New Roman"/>
          <w:b/>
          <w:sz w:val="20"/>
          <w:szCs w:val="20"/>
        </w:rPr>
        <w:t xml:space="preserve">Table </w:t>
      </w:r>
      <w:r>
        <w:rPr>
          <w:rFonts w:ascii="Times New Roman" w:eastAsia="Times New Roman" w:hAnsi="Times New Roman" w:cs="Times New Roman"/>
          <w:b/>
          <w:sz w:val="20"/>
          <w:szCs w:val="20"/>
        </w:rPr>
        <w:t>5</w:t>
      </w:r>
      <w:r w:rsidRPr="00664EF4">
        <w:rPr>
          <w:rFonts w:ascii="Times New Roman" w:eastAsia="Times New Roman" w:hAnsi="Times New Roman" w:cs="Times New Roman"/>
          <w:b/>
          <w:sz w:val="20"/>
          <w:szCs w:val="20"/>
        </w:rPr>
        <w:t xml:space="preserve">: Alternative </w:t>
      </w:r>
      <w:r>
        <w:rPr>
          <w:rFonts w:ascii="Times New Roman" w:eastAsia="Times New Roman" w:hAnsi="Times New Roman" w:cs="Times New Roman"/>
          <w:b/>
          <w:sz w:val="20"/>
          <w:szCs w:val="20"/>
        </w:rPr>
        <w:t>m</w:t>
      </w:r>
      <w:r w:rsidRPr="00664EF4">
        <w:rPr>
          <w:rFonts w:ascii="Times New Roman" w:eastAsia="Times New Roman" w:hAnsi="Times New Roman" w:cs="Times New Roman"/>
          <w:b/>
          <w:sz w:val="20"/>
          <w:szCs w:val="20"/>
        </w:rPr>
        <w:t xml:space="preserve">easure </w:t>
      </w:r>
      <w:r>
        <w:rPr>
          <w:rFonts w:ascii="Times New Roman" w:eastAsia="Times New Roman" w:hAnsi="Times New Roman" w:cs="Times New Roman"/>
          <w:b/>
          <w:sz w:val="20"/>
          <w:szCs w:val="20"/>
        </w:rPr>
        <w:t>for</w:t>
      </w:r>
      <w:r w:rsidRPr="00664EF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Pr="00664EF4">
        <w:rPr>
          <w:rFonts w:ascii="Times New Roman" w:eastAsia="Times New Roman" w:hAnsi="Times New Roman" w:cs="Times New Roman"/>
          <w:b/>
          <w:sz w:val="20"/>
          <w:szCs w:val="20"/>
        </w:rPr>
        <w:t xml:space="preserve">orporate </w:t>
      </w:r>
      <w:r>
        <w:rPr>
          <w:rFonts w:ascii="Times New Roman" w:eastAsia="Times New Roman" w:hAnsi="Times New Roman" w:cs="Times New Roman"/>
          <w:b/>
          <w:sz w:val="20"/>
          <w:szCs w:val="20"/>
        </w:rPr>
        <w:t>t</w:t>
      </w:r>
      <w:r w:rsidRPr="00664EF4">
        <w:rPr>
          <w:rFonts w:ascii="Times New Roman" w:eastAsia="Times New Roman" w:hAnsi="Times New Roman" w:cs="Times New Roman"/>
          <w:b/>
          <w:sz w:val="20"/>
          <w:szCs w:val="20"/>
        </w:rPr>
        <w:t>ournament</w:t>
      </w:r>
      <w:r>
        <w:rPr>
          <w:rFonts w:ascii="Times New Roman" w:eastAsia="Times New Roman" w:hAnsi="Times New Roman" w:cs="Times New Roman"/>
          <w:b/>
          <w:sz w:val="20"/>
          <w:szCs w:val="20"/>
        </w:rPr>
        <w:t xml:space="preserve">s </w:t>
      </w:r>
    </w:p>
    <w:tbl>
      <w:tblPr>
        <w:tblW w:w="14398" w:type="dxa"/>
        <w:tblLook w:val="04A0" w:firstRow="1" w:lastRow="0" w:firstColumn="1" w:lastColumn="0" w:noHBand="0" w:noVBand="1"/>
      </w:tblPr>
      <w:tblGrid>
        <w:gridCol w:w="2494"/>
        <w:gridCol w:w="1984"/>
        <w:gridCol w:w="1984"/>
        <w:gridCol w:w="1984"/>
        <w:gridCol w:w="1984"/>
        <w:gridCol w:w="1984"/>
        <w:gridCol w:w="1984"/>
      </w:tblGrid>
      <w:tr w:rsidR="009B5C0D" w:rsidRPr="001E5803" w14:paraId="63177B2D" w14:textId="77777777" w:rsidTr="00213B08">
        <w:trPr>
          <w:trHeight w:val="312"/>
        </w:trPr>
        <w:tc>
          <w:tcPr>
            <w:tcW w:w="2494" w:type="dxa"/>
            <w:tcBorders>
              <w:top w:val="single" w:sz="4" w:space="0" w:color="auto"/>
              <w:left w:val="nil"/>
              <w:bottom w:val="nil"/>
              <w:right w:val="nil"/>
            </w:tcBorders>
            <w:shd w:val="clear" w:color="auto" w:fill="auto"/>
            <w:noWrap/>
            <w:vAlign w:val="center"/>
            <w:hideMark/>
          </w:tcPr>
          <w:p w14:paraId="5C8A33B6"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themeColor="text1"/>
                <w:sz w:val="20"/>
                <w:szCs w:val="20"/>
              </w:rPr>
              <w:t>Regression:</w:t>
            </w:r>
          </w:p>
        </w:tc>
        <w:tc>
          <w:tcPr>
            <w:tcW w:w="1984" w:type="dxa"/>
            <w:tcBorders>
              <w:top w:val="single" w:sz="4" w:space="0" w:color="auto"/>
              <w:left w:val="nil"/>
              <w:bottom w:val="nil"/>
              <w:right w:val="nil"/>
            </w:tcBorders>
            <w:shd w:val="clear" w:color="auto" w:fill="auto"/>
            <w:noWrap/>
            <w:vAlign w:val="center"/>
            <w:hideMark/>
          </w:tcPr>
          <w:p w14:paraId="3CEEB126"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themeColor="text1"/>
                <w:sz w:val="20"/>
                <w:szCs w:val="20"/>
              </w:rPr>
              <w:t>(5.1)</w:t>
            </w:r>
          </w:p>
        </w:tc>
        <w:tc>
          <w:tcPr>
            <w:tcW w:w="1984" w:type="dxa"/>
            <w:tcBorders>
              <w:top w:val="single" w:sz="4" w:space="0" w:color="auto"/>
              <w:left w:val="nil"/>
              <w:bottom w:val="nil"/>
              <w:right w:val="nil"/>
            </w:tcBorders>
            <w:shd w:val="clear" w:color="auto" w:fill="auto"/>
            <w:noWrap/>
            <w:vAlign w:val="center"/>
            <w:hideMark/>
          </w:tcPr>
          <w:p w14:paraId="2C0EC517"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themeColor="text1"/>
                <w:sz w:val="20"/>
                <w:szCs w:val="20"/>
              </w:rPr>
              <w:t>(5.2)</w:t>
            </w:r>
          </w:p>
        </w:tc>
        <w:tc>
          <w:tcPr>
            <w:tcW w:w="1984" w:type="dxa"/>
            <w:tcBorders>
              <w:top w:val="single" w:sz="4" w:space="0" w:color="auto"/>
              <w:left w:val="nil"/>
              <w:bottom w:val="nil"/>
              <w:right w:val="nil"/>
            </w:tcBorders>
            <w:shd w:val="clear" w:color="auto" w:fill="auto"/>
            <w:noWrap/>
            <w:vAlign w:val="center"/>
            <w:hideMark/>
          </w:tcPr>
          <w:p w14:paraId="4DABC55E"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themeColor="text1"/>
                <w:sz w:val="20"/>
                <w:szCs w:val="20"/>
              </w:rPr>
              <w:t>(5.3)</w:t>
            </w:r>
          </w:p>
        </w:tc>
        <w:tc>
          <w:tcPr>
            <w:tcW w:w="1984" w:type="dxa"/>
            <w:tcBorders>
              <w:top w:val="single" w:sz="4" w:space="0" w:color="auto"/>
              <w:left w:val="nil"/>
              <w:bottom w:val="nil"/>
              <w:right w:val="nil"/>
            </w:tcBorders>
            <w:shd w:val="clear" w:color="auto" w:fill="auto"/>
            <w:noWrap/>
            <w:vAlign w:val="center"/>
            <w:hideMark/>
          </w:tcPr>
          <w:p w14:paraId="51BF81F6"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themeColor="text1"/>
                <w:sz w:val="20"/>
                <w:szCs w:val="20"/>
              </w:rPr>
              <w:t>(5.4)</w:t>
            </w:r>
          </w:p>
        </w:tc>
        <w:tc>
          <w:tcPr>
            <w:tcW w:w="1984" w:type="dxa"/>
            <w:tcBorders>
              <w:top w:val="single" w:sz="4" w:space="0" w:color="auto"/>
              <w:left w:val="nil"/>
              <w:bottom w:val="nil"/>
              <w:right w:val="nil"/>
            </w:tcBorders>
            <w:vAlign w:val="center"/>
          </w:tcPr>
          <w:p w14:paraId="3AE999E7"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(5.5)</w:t>
            </w:r>
          </w:p>
        </w:tc>
        <w:tc>
          <w:tcPr>
            <w:tcW w:w="1984" w:type="dxa"/>
            <w:tcBorders>
              <w:top w:val="single" w:sz="4" w:space="0" w:color="auto"/>
              <w:left w:val="nil"/>
              <w:bottom w:val="nil"/>
              <w:right w:val="nil"/>
            </w:tcBorders>
            <w:vAlign w:val="center"/>
          </w:tcPr>
          <w:p w14:paraId="2EC1FD19"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(5.6)</w:t>
            </w:r>
          </w:p>
        </w:tc>
      </w:tr>
      <w:tr w:rsidR="009B5C0D" w:rsidRPr="001E5803" w14:paraId="43D5D00B" w14:textId="77777777" w:rsidTr="00213B08">
        <w:trPr>
          <w:trHeight w:val="312"/>
        </w:trPr>
        <w:tc>
          <w:tcPr>
            <w:tcW w:w="2494" w:type="dxa"/>
            <w:tcBorders>
              <w:top w:val="single" w:sz="4" w:space="0" w:color="auto"/>
              <w:left w:val="nil"/>
              <w:bottom w:val="nil"/>
              <w:right w:val="nil"/>
            </w:tcBorders>
            <w:shd w:val="clear" w:color="auto" w:fill="auto"/>
            <w:noWrap/>
            <w:vAlign w:val="center"/>
          </w:tcPr>
          <w:p w14:paraId="16DD580C" w14:textId="77777777" w:rsidR="009B5C0D" w:rsidRPr="001E5803" w:rsidRDefault="009B5C0D" w:rsidP="00213B08">
            <w:pPr>
              <w:spacing w:after="0" w:line="240" w:lineRule="auto"/>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Two-Stage Least Squares</w:t>
            </w:r>
          </w:p>
        </w:tc>
        <w:tc>
          <w:tcPr>
            <w:tcW w:w="1984" w:type="dxa"/>
            <w:tcBorders>
              <w:top w:val="single" w:sz="4" w:space="0" w:color="auto"/>
              <w:left w:val="nil"/>
              <w:bottom w:val="nil"/>
              <w:right w:val="nil"/>
            </w:tcBorders>
            <w:shd w:val="clear" w:color="auto" w:fill="auto"/>
            <w:noWrap/>
            <w:vAlign w:val="center"/>
          </w:tcPr>
          <w:p w14:paraId="44879103"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p>
        </w:tc>
        <w:tc>
          <w:tcPr>
            <w:tcW w:w="1984" w:type="dxa"/>
            <w:tcBorders>
              <w:top w:val="single" w:sz="4" w:space="0" w:color="auto"/>
              <w:left w:val="nil"/>
              <w:bottom w:val="nil"/>
              <w:right w:val="nil"/>
            </w:tcBorders>
            <w:shd w:val="clear" w:color="auto" w:fill="auto"/>
            <w:noWrap/>
            <w:vAlign w:val="center"/>
          </w:tcPr>
          <w:p w14:paraId="1FD2F2F6"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p>
        </w:tc>
        <w:tc>
          <w:tcPr>
            <w:tcW w:w="1984" w:type="dxa"/>
            <w:tcBorders>
              <w:top w:val="single" w:sz="4" w:space="0" w:color="auto"/>
              <w:left w:val="nil"/>
              <w:bottom w:val="nil"/>
              <w:right w:val="nil"/>
            </w:tcBorders>
            <w:shd w:val="clear" w:color="auto" w:fill="auto"/>
            <w:noWrap/>
            <w:vAlign w:val="center"/>
          </w:tcPr>
          <w:p w14:paraId="7ABF9D28"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1</w:t>
            </w:r>
            <w:r w:rsidRPr="001E5803">
              <w:rPr>
                <w:rFonts w:ascii="Times New Roman" w:eastAsia="Times New Roman" w:hAnsi="Times New Roman" w:cs="Times New Roman"/>
                <w:color w:val="000000" w:themeColor="text1"/>
                <w:sz w:val="20"/>
                <w:szCs w:val="20"/>
                <w:vertAlign w:val="superscript"/>
              </w:rPr>
              <w:t>st</w:t>
            </w:r>
            <w:r w:rsidRPr="001E5803">
              <w:rPr>
                <w:rFonts w:ascii="Times New Roman" w:eastAsia="Times New Roman" w:hAnsi="Times New Roman" w:cs="Times New Roman"/>
                <w:color w:val="000000" w:themeColor="text1"/>
                <w:sz w:val="20"/>
                <w:szCs w:val="20"/>
              </w:rPr>
              <w:t xml:space="preserve"> Stage</w:t>
            </w:r>
          </w:p>
        </w:tc>
        <w:tc>
          <w:tcPr>
            <w:tcW w:w="1984" w:type="dxa"/>
            <w:tcBorders>
              <w:top w:val="single" w:sz="4" w:space="0" w:color="auto"/>
              <w:left w:val="nil"/>
              <w:bottom w:val="nil"/>
              <w:right w:val="nil"/>
            </w:tcBorders>
            <w:shd w:val="clear" w:color="auto" w:fill="auto"/>
            <w:noWrap/>
            <w:vAlign w:val="center"/>
          </w:tcPr>
          <w:p w14:paraId="23FD06E9"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2</w:t>
            </w:r>
            <w:r w:rsidRPr="001E5803">
              <w:rPr>
                <w:rFonts w:ascii="Times New Roman" w:eastAsia="Times New Roman" w:hAnsi="Times New Roman" w:cs="Times New Roman"/>
                <w:color w:val="000000" w:themeColor="text1"/>
                <w:sz w:val="20"/>
                <w:szCs w:val="20"/>
                <w:vertAlign w:val="superscript"/>
              </w:rPr>
              <w:t>nd</w:t>
            </w:r>
            <w:r w:rsidRPr="001E5803">
              <w:rPr>
                <w:rFonts w:ascii="Times New Roman" w:eastAsia="Times New Roman" w:hAnsi="Times New Roman" w:cs="Times New Roman"/>
                <w:color w:val="000000" w:themeColor="text1"/>
                <w:sz w:val="20"/>
                <w:szCs w:val="20"/>
              </w:rPr>
              <w:t xml:space="preserve"> Stage</w:t>
            </w:r>
          </w:p>
        </w:tc>
        <w:tc>
          <w:tcPr>
            <w:tcW w:w="1984" w:type="dxa"/>
            <w:tcBorders>
              <w:top w:val="single" w:sz="4" w:space="0" w:color="auto"/>
              <w:left w:val="nil"/>
              <w:bottom w:val="nil"/>
              <w:right w:val="nil"/>
            </w:tcBorders>
            <w:vAlign w:val="center"/>
          </w:tcPr>
          <w:p w14:paraId="3CFEEA64"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1</w:t>
            </w:r>
            <w:r w:rsidRPr="001E5803">
              <w:rPr>
                <w:rFonts w:ascii="Times New Roman" w:eastAsia="Times New Roman" w:hAnsi="Times New Roman" w:cs="Times New Roman"/>
                <w:color w:val="000000" w:themeColor="text1"/>
                <w:sz w:val="20"/>
                <w:szCs w:val="20"/>
                <w:vertAlign w:val="superscript"/>
              </w:rPr>
              <w:t>st</w:t>
            </w:r>
            <w:r w:rsidRPr="001E5803">
              <w:rPr>
                <w:rFonts w:ascii="Times New Roman" w:eastAsia="Times New Roman" w:hAnsi="Times New Roman" w:cs="Times New Roman"/>
                <w:color w:val="000000" w:themeColor="text1"/>
                <w:sz w:val="20"/>
                <w:szCs w:val="20"/>
              </w:rPr>
              <w:t xml:space="preserve"> Stage</w:t>
            </w:r>
          </w:p>
        </w:tc>
        <w:tc>
          <w:tcPr>
            <w:tcW w:w="1984" w:type="dxa"/>
            <w:tcBorders>
              <w:top w:val="single" w:sz="4" w:space="0" w:color="auto"/>
              <w:left w:val="nil"/>
              <w:bottom w:val="nil"/>
              <w:right w:val="nil"/>
            </w:tcBorders>
            <w:vAlign w:val="center"/>
          </w:tcPr>
          <w:p w14:paraId="1A72DEB0" w14:textId="77777777" w:rsidR="009B5C0D" w:rsidRPr="001E5803"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1E5803">
              <w:rPr>
                <w:rFonts w:ascii="Times New Roman" w:eastAsia="Times New Roman" w:hAnsi="Times New Roman" w:cs="Times New Roman"/>
                <w:color w:val="000000" w:themeColor="text1"/>
                <w:sz w:val="20"/>
                <w:szCs w:val="20"/>
              </w:rPr>
              <w:t>2</w:t>
            </w:r>
            <w:r w:rsidRPr="001E5803">
              <w:rPr>
                <w:rFonts w:ascii="Times New Roman" w:eastAsia="Times New Roman" w:hAnsi="Times New Roman" w:cs="Times New Roman"/>
                <w:color w:val="000000" w:themeColor="text1"/>
                <w:sz w:val="20"/>
                <w:szCs w:val="20"/>
                <w:vertAlign w:val="superscript"/>
              </w:rPr>
              <w:t>nd</w:t>
            </w:r>
            <w:r w:rsidRPr="001E5803">
              <w:rPr>
                <w:rFonts w:ascii="Times New Roman" w:eastAsia="Times New Roman" w:hAnsi="Times New Roman" w:cs="Times New Roman"/>
                <w:color w:val="000000" w:themeColor="text1"/>
                <w:sz w:val="20"/>
                <w:szCs w:val="20"/>
              </w:rPr>
              <w:t xml:space="preserve"> Stage</w:t>
            </w:r>
          </w:p>
        </w:tc>
      </w:tr>
      <w:tr w:rsidR="009B5C0D" w:rsidRPr="001E5803" w14:paraId="3DBD2A04" w14:textId="77777777" w:rsidTr="00213B08">
        <w:trPr>
          <w:trHeight w:val="312"/>
        </w:trPr>
        <w:tc>
          <w:tcPr>
            <w:tcW w:w="2494" w:type="dxa"/>
            <w:tcBorders>
              <w:top w:val="single" w:sz="4" w:space="0" w:color="auto"/>
              <w:left w:val="nil"/>
              <w:bottom w:val="single" w:sz="4" w:space="0" w:color="auto"/>
              <w:right w:val="nil"/>
            </w:tcBorders>
            <w:shd w:val="clear" w:color="auto" w:fill="auto"/>
            <w:noWrap/>
            <w:vAlign w:val="center"/>
            <w:hideMark/>
          </w:tcPr>
          <w:p w14:paraId="7C9B021F"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i/>
                <w:color w:val="000000"/>
                <w:sz w:val="20"/>
                <w:szCs w:val="20"/>
                <w:lang w:eastAsia="zh-CN"/>
              </w:rPr>
              <w:t>Dependent variable:</w:t>
            </w:r>
          </w:p>
        </w:tc>
        <w:tc>
          <w:tcPr>
            <w:tcW w:w="1984" w:type="dxa"/>
            <w:tcBorders>
              <w:top w:val="single" w:sz="4" w:space="0" w:color="auto"/>
              <w:left w:val="nil"/>
              <w:bottom w:val="single" w:sz="4" w:space="0" w:color="auto"/>
              <w:right w:val="nil"/>
            </w:tcBorders>
            <w:shd w:val="clear" w:color="auto" w:fill="auto"/>
            <w:noWrap/>
            <w:vAlign w:val="center"/>
            <w:hideMark/>
          </w:tcPr>
          <w:p w14:paraId="61AD4E14"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Inst. Holdings</w:t>
            </w:r>
          </w:p>
        </w:tc>
        <w:tc>
          <w:tcPr>
            <w:tcW w:w="1984" w:type="dxa"/>
            <w:tcBorders>
              <w:top w:val="single" w:sz="4" w:space="0" w:color="auto"/>
              <w:left w:val="nil"/>
              <w:bottom w:val="single" w:sz="4" w:space="0" w:color="auto"/>
              <w:right w:val="nil"/>
            </w:tcBorders>
            <w:shd w:val="clear" w:color="auto" w:fill="auto"/>
            <w:noWrap/>
            <w:vAlign w:val="center"/>
            <w:hideMark/>
          </w:tcPr>
          <w:p w14:paraId="509947FB"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Inst. Holdings</w:t>
            </w:r>
          </w:p>
        </w:tc>
        <w:tc>
          <w:tcPr>
            <w:tcW w:w="1984" w:type="dxa"/>
            <w:tcBorders>
              <w:top w:val="single" w:sz="4" w:space="0" w:color="auto"/>
              <w:left w:val="nil"/>
              <w:bottom w:val="single" w:sz="4" w:space="0" w:color="auto"/>
              <w:right w:val="nil"/>
            </w:tcBorders>
            <w:shd w:val="clear" w:color="auto" w:fill="auto"/>
            <w:noWrap/>
            <w:vAlign w:val="center"/>
            <w:hideMark/>
          </w:tcPr>
          <w:p w14:paraId="236B458C"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VP</w:t>
            </w:r>
          </w:p>
        </w:tc>
        <w:tc>
          <w:tcPr>
            <w:tcW w:w="1984" w:type="dxa"/>
            <w:tcBorders>
              <w:top w:val="single" w:sz="4" w:space="0" w:color="auto"/>
              <w:left w:val="nil"/>
              <w:bottom w:val="single" w:sz="4" w:space="0" w:color="auto"/>
              <w:right w:val="nil"/>
            </w:tcBorders>
            <w:shd w:val="clear" w:color="auto" w:fill="auto"/>
            <w:noWrap/>
            <w:vAlign w:val="center"/>
            <w:hideMark/>
          </w:tcPr>
          <w:p w14:paraId="6557CBC5"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Inst. Holdings</w:t>
            </w:r>
          </w:p>
        </w:tc>
        <w:tc>
          <w:tcPr>
            <w:tcW w:w="1984" w:type="dxa"/>
            <w:tcBorders>
              <w:top w:val="single" w:sz="4" w:space="0" w:color="auto"/>
              <w:left w:val="nil"/>
              <w:bottom w:val="single" w:sz="4" w:space="0" w:color="auto"/>
              <w:right w:val="nil"/>
            </w:tcBorders>
            <w:vAlign w:val="center"/>
          </w:tcPr>
          <w:p w14:paraId="74314271"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VP</w:t>
            </w:r>
          </w:p>
        </w:tc>
        <w:tc>
          <w:tcPr>
            <w:tcW w:w="1984" w:type="dxa"/>
            <w:tcBorders>
              <w:top w:val="single" w:sz="4" w:space="0" w:color="auto"/>
              <w:left w:val="nil"/>
              <w:bottom w:val="single" w:sz="4" w:space="0" w:color="auto"/>
              <w:right w:val="nil"/>
            </w:tcBorders>
            <w:vAlign w:val="center"/>
          </w:tcPr>
          <w:p w14:paraId="20CEEF40"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Inst. Holdings</w:t>
            </w:r>
          </w:p>
        </w:tc>
      </w:tr>
      <w:tr w:rsidR="009B5C0D" w:rsidRPr="001E5803" w14:paraId="4A3C9D3F" w14:textId="77777777" w:rsidTr="00213B08">
        <w:trPr>
          <w:trHeight w:val="312"/>
        </w:trPr>
        <w:tc>
          <w:tcPr>
            <w:tcW w:w="2494" w:type="dxa"/>
            <w:tcBorders>
              <w:top w:val="single" w:sz="4" w:space="0" w:color="auto"/>
              <w:left w:val="nil"/>
              <w:right w:val="nil"/>
            </w:tcBorders>
            <w:shd w:val="clear" w:color="auto" w:fill="auto"/>
            <w:noWrap/>
            <w:vAlign w:val="bottom"/>
          </w:tcPr>
          <w:p w14:paraId="1D01A509" w14:textId="77777777" w:rsidR="009B5C0D" w:rsidRPr="001E5803" w:rsidRDefault="009B5C0D" w:rsidP="00213B08">
            <w:pPr>
              <w:spacing w:after="0" w:line="240" w:lineRule="auto"/>
              <w:rPr>
                <w:rFonts w:ascii="Times New Roman" w:eastAsia="Times New Roman" w:hAnsi="Times New Roman" w:cs="Times New Roman"/>
                <w:i/>
                <w:color w:val="000000"/>
                <w:sz w:val="20"/>
                <w:szCs w:val="20"/>
                <w:lang w:eastAsia="zh-CN"/>
              </w:rPr>
            </w:pPr>
          </w:p>
        </w:tc>
        <w:tc>
          <w:tcPr>
            <w:tcW w:w="1984" w:type="dxa"/>
            <w:tcBorders>
              <w:top w:val="single" w:sz="4" w:space="0" w:color="auto"/>
              <w:left w:val="nil"/>
              <w:right w:val="nil"/>
            </w:tcBorders>
            <w:shd w:val="clear" w:color="auto" w:fill="auto"/>
            <w:noWrap/>
            <w:vAlign w:val="center"/>
          </w:tcPr>
          <w:p w14:paraId="63250BFB"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single" w:sz="4" w:space="0" w:color="auto"/>
              <w:left w:val="nil"/>
              <w:right w:val="nil"/>
            </w:tcBorders>
            <w:shd w:val="clear" w:color="auto" w:fill="auto"/>
            <w:noWrap/>
            <w:vAlign w:val="center"/>
          </w:tcPr>
          <w:p w14:paraId="1F49817D"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single" w:sz="4" w:space="0" w:color="auto"/>
              <w:left w:val="nil"/>
              <w:right w:val="nil"/>
            </w:tcBorders>
            <w:shd w:val="clear" w:color="auto" w:fill="auto"/>
            <w:noWrap/>
            <w:vAlign w:val="center"/>
          </w:tcPr>
          <w:p w14:paraId="61F96210"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single" w:sz="4" w:space="0" w:color="auto"/>
              <w:left w:val="nil"/>
              <w:right w:val="nil"/>
            </w:tcBorders>
            <w:shd w:val="clear" w:color="auto" w:fill="auto"/>
            <w:noWrap/>
            <w:vAlign w:val="center"/>
          </w:tcPr>
          <w:p w14:paraId="3733EEDB"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single" w:sz="4" w:space="0" w:color="auto"/>
              <w:left w:val="nil"/>
              <w:right w:val="nil"/>
            </w:tcBorders>
            <w:vAlign w:val="center"/>
          </w:tcPr>
          <w:p w14:paraId="5E5F28BD"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single" w:sz="4" w:space="0" w:color="auto"/>
              <w:left w:val="nil"/>
              <w:right w:val="nil"/>
            </w:tcBorders>
            <w:vAlign w:val="center"/>
          </w:tcPr>
          <w:p w14:paraId="03AACB0E"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r>
      <w:tr w:rsidR="009B5C0D" w:rsidRPr="001E5803" w14:paraId="7B20B60D" w14:textId="77777777" w:rsidTr="00213B08">
        <w:trPr>
          <w:trHeight w:val="312"/>
        </w:trPr>
        <w:tc>
          <w:tcPr>
            <w:tcW w:w="2494" w:type="dxa"/>
            <w:tcBorders>
              <w:left w:val="nil"/>
              <w:bottom w:val="nil"/>
              <w:right w:val="nil"/>
            </w:tcBorders>
            <w:shd w:val="clear" w:color="auto" w:fill="auto"/>
            <w:noWrap/>
            <w:vAlign w:val="center"/>
            <w:hideMark/>
          </w:tcPr>
          <w:p w14:paraId="12694677"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VP</w:t>
            </w:r>
          </w:p>
        </w:tc>
        <w:tc>
          <w:tcPr>
            <w:tcW w:w="1984" w:type="dxa"/>
            <w:tcBorders>
              <w:left w:val="nil"/>
              <w:bottom w:val="nil"/>
              <w:right w:val="nil"/>
            </w:tcBorders>
            <w:shd w:val="clear" w:color="auto" w:fill="auto"/>
            <w:noWrap/>
            <w:vAlign w:val="center"/>
            <w:hideMark/>
          </w:tcPr>
          <w:p w14:paraId="6BC10F21"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0.0031</w:t>
            </w:r>
          </w:p>
        </w:tc>
        <w:tc>
          <w:tcPr>
            <w:tcW w:w="1984" w:type="dxa"/>
            <w:tcBorders>
              <w:left w:val="nil"/>
              <w:bottom w:val="nil"/>
              <w:right w:val="nil"/>
            </w:tcBorders>
            <w:shd w:val="clear" w:color="auto" w:fill="auto"/>
            <w:noWrap/>
            <w:vAlign w:val="center"/>
            <w:hideMark/>
          </w:tcPr>
          <w:p w14:paraId="686E6543"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left w:val="nil"/>
              <w:bottom w:val="nil"/>
              <w:right w:val="nil"/>
            </w:tcBorders>
            <w:shd w:val="clear" w:color="auto" w:fill="auto"/>
            <w:noWrap/>
            <w:vAlign w:val="center"/>
            <w:hideMark/>
          </w:tcPr>
          <w:p w14:paraId="6E2FBA57"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left w:val="nil"/>
              <w:bottom w:val="nil"/>
              <w:right w:val="nil"/>
            </w:tcBorders>
            <w:shd w:val="clear" w:color="auto" w:fill="auto"/>
            <w:noWrap/>
            <w:vAlign w:val="center"/>
            <w:hideMark/>
          </w:tcPr>
          <w:p w14:paraId="380C973D"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left w:val="nil"/>
              <w:bottom w:val="nil"/>
              <w:right w:val="nil"/>
            </w:tcBorders>
            <w:vAlign w:val="center"/>
          </w:tcPr>
          <w:p w14:paraId="5612CDE9"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left w:val="nil"/>
              <w:bottom w:val="nil"/>
              <w:right w:val="nil"/>
            </w:tcBorders>
            <w:vAlign w:val="center"/>
          </w:tcPr>
          <w:p w14:paraId="2A7239D0"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1E5803" w14:paraId="3CA9D6EE" w14:textId="77777777" w:rsidTr="00213B08">
        <w:trPr>
          <w:trHeight w:val="312"/>
        </w:trPr>
        <w:tc>
          <w:tcPr>
            <w:tcW w:w="2494" w:type="dxa"/>
            <w:tcBorders>
              <w:top w:val="nil"/>
              <w:left w:val="nil"/>
              <w:right w:val="nil"/>
            </w:tcBorders>
            <w:shd w:val="clear" w:color="auto" w:fill="auto"/>
            <w:noWrap/>
            <w:vAlign w:val="center"/>
            <w:hideMark/>
          </w:tcPr>
          <w:p w14:paraId="30F51A98" w14:textId="77777777" w:rsidR="009B5C0D" w:rsidRPr="001E5803" w:rsidRDefault="009B5C0D" w:rsidP="00213B08">
            <w:pPr>
              <w:spacing w:after="0" w:line="240" w:lineRule="auto"/>
              <w:rPr>
                <w:rFonts w:ascii="Times New Roman" w:eastAsia="Times New Roman" w:hAnsi="Times New Roman" w:cs="Times New Roman"/>
                <w:sz w:val="20"/>
                <w:szCs w:val="20"/>
                <w:lang w:eastAsia="en-AU"/>
              </w:rPr>
            </w:pPr>
          </w:p>
        </w:tc>
        <w:tc>
          <w:tcPr>
            <w:tcW w:w="1984" w:type="dxa"/>
            <w:tcBorders>
              <w:top w:val="nil"/>
              <w:left w:val="nil"/>
              <w:right w:val="nil"/>
            </w:tcBorders>
            <w:shd w:val="clear" w:color="auto" w:fill="auto"/>
            <w:noWrap/>
            <w:vAlign w:val="center"/>
            <w:hideMark/>
          </w:tcPr>
          <w:p w14:paraId="4609F516"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(2.8670)***</w:t>
            </w:r>
          </w:p>
        </w:tc>
        <w:tc>
          <w:tcPr>
            <w:tcW w:w="1984" w:type="dxa"/>
            <w:tcBorders>
              <w:top w:val="nil"/>
              <w:left w:val="nil"/>
              <w:bottom w:val="nil"/>
              <w:right w:val="nil"/>
            </w:tcBorders>
            <w:shd w:val="clear" w:color="auto" w:fill="auto"/>
            <w:noWrap/>
            <w:vAlign w:val="center"/>
            <w:hideMark/>
          </w:tcPr>
          <w:p w14:paraId="070C2BDB"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78FB2262"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556301C9"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52486358"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3E181351"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1E5803" w14:paraId="1488EB2E" w14:textId="77777777" w:rsidTr="00213B08">
        <w:trPr>
          <w:trHeight w:val="312"/>
        </w:trPr>
        <w:tc>
          <w:tcPr>
            <w:tcW w:w="2494" w:type="dxa"/>
            <w:shd w:val="clear" w:color="auto" w:fill="auto"/>
            <w:noWrap/>
            <w:vAlign w:val="center"/>
            <w:hideMark/>
          </w:tcPr>
          <w:p w14:paraId="5AA72D65"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VP (t-1)</w:t>
            </w:r>
          </w:p>
        </w:tc>
        <w:tc>
          <w:tcPr>
            <w:tcW w:w="1984" w:type="dxa"/>
            <w:shd w:val="clear" w:color="auto" w:fill="auto"/>
            <w:noWrap/>
            <w:vAlign w:val="center"/>
            <w:hideMark/>
          </w:tcPr>
          <w:p w14:paraId="5A8559BA"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48D00CD6"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0.0008</w:t>
            </w:r>
          </w:p>
        </w:tc>
        <w:tc>
          <w:tcPr>
            <w:tcW w:w="1984" w:type="dxa"/>
            <w:tcBorders>
              <w:top w:val="nil"/>
              <w:left w:val="nil"/>
              <w:bottom w:val="nil"/>
              <w:right w:val="nil"/>
            </w:tcBorders>
            <w:shd w:val="clear" w:color="auto" w:fill="auto"/>
            <w:noWrap/>
            <w:vAlign w:val="center"/>
            <w:hideMark/>
          </w:tcPr>
          <w:p w14:paraId="70894688"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5D63B29C"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54C7F764"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166AA6AD"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1E5803" w14:paraId="4D284B51" w14:textId="77777777" w:rsidTr="00213B08">
        <w:trPr>
          <w:trHeight w:val="312"/>
        </w:trPr>
        <w:tc>
          <w:tcPr>
            <w:tcW w:w="2494" w:type="dxa"/>
            <w:shd w:val="clear" w:color="auto" w:fill="auto"/>
            <w:noWrap/>
            <w:vAlign w:val="center"/>
            <w:hideMark/>
          </w:tcPr>
          <w:p w14:paraId="63B2FD41" w14:textId="77777777" w:rsidR="009B5C0D" w:rsidRPr="001E5803" w:rsidRDefault="009B5C0D" w:rsidP="00213B08">
            <w:pPr>
              <w:spacing w:after="0" w:line="240" w:lineRule="auto"/>
              <w:rPr>
                <w:rFonts w:ascii="Times New Roman" w:eastAsia="Times New Roman" w:hAnsi="Times New Roman" w:cs="Times New Roman"/>
                <w:sz w:val="20"/>
                <w:szCs w:val="20"/>
                <w:lang w:eastAsia="en-AU"/>
              </w:rPr>
            </w:pPr>
          </w:p>
        </w:tc>
        <w:tc>
          <w:tcPr>
            <w:tcW w:w="1984" w:type="dxa"/>
            <w:shd w:val="clear" w:color="auto" w:fill="auto"/>
            <w:noWrap/>
            <w:vAlign w:val="center"/>
            <w:hideMark/>
          </w:tcPr>
          <w:p w14:paraId="64AA93A2"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7EEE92B4"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(0.5452)</w:t>
            </w:r>
          </w:p>
        </w:tc>
        <w:tc>
          <w:tcPr>
            <w:tcW w:w="1984" w:type="dxa"/>
            <w:tcBorders>
              <w:top w:val="nil"/>
              <w:left w:val="nil"/>
              <w:bottom w:val="nil"/>
              <w:right w:val="nil"/>
            </w:tcBorders>
            <w:shd w:val="clear" w:color="auto" w:fill="auto"/>
            <w:noWrap/>
            <w:vAlign w:val="center"/>
            <w:hideMark/>
          </w:tcPr>
          <w:p w14:paraId="217EEFF7"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1DC891DA"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329017BC"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5CEB6255"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1E5803" w14:paraId="64D829BD" w14:textId="77777777" w:rsidTr="00213B08">
        <w:trPr>
          <w:trHeight w:val="312"/>
        </w:trPr>
        <w:tc>
          <w:tcPr>
            <w:tcW w:w="2494" w:type="dxa"/>
            <w:shd w:val="clear" w:color="auto" w:fill="auto"/>
            <w:noWrap/>
            <w:vAlign w:val="center"/>
            <w:hideMark/>
          </w:tcPr>
          <w:p w14:paraId="1DDE469B"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A268B4">
              <w:rPr>
                <w:rFonts w:ascii="Times New Roman" w:eastAsia="Times New Roman" w:hAnsi="Times New Roman" w:cs="Times New Roman"/>
                <w:i/>
                <w:color w:val="000000" w:themeColor="text1"/>
                <w:sz w:val="20"/>
                <w:szCs w:val="20"/>
              </w:rPr>
              <w:t>Industry-VP</w:t>
            </w:r>
            <w:r w:rsidRPr="001E5803">
              <w:rPr>
                <w:rFonts w:ascii="Times New Roman" w:eastAsia="Times New Roman" w:hAnsi="Times New Roman" w:cs="Times New Roman"/>
                <w:color w:val="000000" w:themeColor="text1"/>
                <w:sz w:val="20"/>
                <w:szCs w:val="20"/>
              </w:rPr>
              <w:t xml:space="preserve"> IV</w:t>
            </w:r>
          </w:p>
        </w:tc>
        <w:tc>
          <w:tcPr>
            <w:tcW w:w="1984" w:type="dxa"/>
            <w:shd w:val="clear" w:color="auto" w:fill="auto"/>
            <w:noWrap/>
            <w:vAlign w:val="center"/>
            <w:hideMark/>
          </w:tcPr>
          <w:p w14:paraId="73477C86"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1881272E"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2DC8C4FD"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0.4400</w:t>
            </w:r>
          </w:p>
        </w:tc>
        <w:tc>
          <w:tcPr>
            <w:tcW w:w="1984" w:type="dxa"/>
            <w:tcBorders>
              <w:top w:val="nil"/>
              <w:left w:val="nil"/>
              <w:bottom w:val="nil"/>
              <w:right w:val="nil"/>
            </w:tcBorders>
            <w:shd w:val="clear" w:color="auto" w:fill="auto"/>
            <w:noWrap/>
            <w:vAlign w:val="center"/>
            <w:hideMark/>
          </w:tcPr>
          <w:p w14:paraId="0A39D702"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67FA2AEF"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034E1068"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1E5803" w14:paraId="058D193F" w14:textId="77777777" w:rsidTr="00213B08">
        <w:trPr>
          <w:trHeight w:val="312"/>
        </w:trPr>
        <w:tc>
          <w:tcPr>
            <w:tcW w:w="2494" w:type="dxa"/>
            <w:shd w:val="clear" w:color="auto" w:fill="auto"/>
            <w:noWrap/>
            <w:vAlign w:val="center"/>
            <w:hideMark/>
          </w:tcPr>
          <w:p w14:paraId="53C62E33" w14:textId="77777777" w:rsidR="009B5C0D" w:rsidRPr="001E5803" w:rsidRDefault="009B5C0D" w:rsidP="00213B08">
            <w:pPr>
              <w:spacing w:after="0" w:line="240" w:lineRule="auto"/>
              <w:rPr>
                <w:rFonts w:ascii="Times New Roman" w:eastAsia="Times New Roman" w:hAnsi="Times New Roman" w:cs="Times New Roman"/>
                <w:sz w:val="20"/>
                <w:szCs w:val="20"/>
                <w:lang w:eastAsia="en-AU"/>
              </w:rPr>
            </w:pPr>
          </w:p>
        </w:tc>
        <w:tc>
          <w:tcPr>
            <w:tcW w:w="1984" w:type="dxa"/>
            <w:shd w:val="clear" w:color="auto" w:fill="auto"/>
            <w:noWrap/>
            <w:vAlign w:val="center"/>
            <w:hideMark/>
          </w:tcPr>
          <w:p w14:paraId="74E732A4"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648EAECB"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50D48D44"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(9.3472)***</w:t>
            </w:r>
          </w:p>
        </w:tc>
        <w:tc>
          <w:tcPr>
            <w:tcW w:w="1984" w:type="dxa"/>
            <w:tcBorders>
              <w:top w:val="nil"/>
              <w:left w:val="nil"/>
              <w:bottom w:val="nil"/>
              <w:right w:val="nil"/>
            </w:tcBorders>
            <w:shd w:val="clear" w:color="auto" w:fill="auto"/>
            <w:noWrap/>
            <w:vAlign w:val="center"/>
            <w:hideMark/>
          </w:tcPr>
          <w:p w14:paraId="053C5CA6"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77BAF1D7"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59DCC562"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1E5803" w14:paraId="549260B9" w14:textId="77777777" w:rsidTr="00213B08">
        <w:trPr>
          <w:trHeight w:val="312"/>
        </w:trPr>
        <w:tc>
          <w:tcPr>
            <w:tcW w:w="2494" w:type="dxa"/>
            <w:shd w:val="clear" w:color="auto" w:fill="auto"/>
            <w:noWrap/>
            <w:vAlign w:val="center"/>
          </w:tcPr>
          <w:p w14:paraId="110E34CC" w14:textId="77777777" w:rsidR="009B5C0D" w:rsidRPr="001E5803" w:rsidRDefault="009B5C0D" w:rsidP="00213B08">
            <w:pPr>
              <w:spacing w:after="0" w:line="240" w:lineRule="auto"/>
              <w:rPr>
                <w:rFonts w:ascii="Times New Roman" w:eastAsia="Times New Roman" w:hAnsi="Times New Roman" w:cs="Times New Roman"/>
                <w:sz w:val="20"/>
                <w:szCs w:val="20"/>
                <w:lang w:eastAsia="en-AU"/>
              </w:rPr>
            </w:pPr>
            <w:r w:rsidRPr="00A268B4">
              <w:rPr>
                <w:rFonts w:ascii="Times New Roman" w:eastAsia="Times New Roman" w:hAnsi="Times New Roman" w:cs="Times New Roman"/>
                <w:i/>
                <w:color w:val="000000" w:themeColor="text1"/>
                <w:sz w:val="20"/>
                <w:szCs w:val="20"/>
              </w:rPr>
              <w:t>Geographic-VP</w:t>
            </w:r>
            <w:r w:rsidRPr="001E5803">
              <w:rPr>
                <w:rFonts w:ascii="Times New Roman" w:eastAsia="Times New Roman" w:hAnsi="Times New Roman" w:cs="Times New Roman"/>
                <w:color w:val="000000" w:themeColor="text1"/>
                <w:sz w:val="20"/>
                <w:szCs w:val="20"/>
              </w:rPr>
              <w:t xml:space="preserve"> IV</w:t>
            </w:r>
          </w:p>
        </w:tc>
        <w:tc>
          <w:tcPr>
            <w:tcW w:w="1984" w:type="dxa"/>
            <w:shd w:val="clear" w:color="auto" w:fill="auto"/>
            <w:noWrap/>
            <w:vAlign w:val="center"/>
          </w:tcPr>
          <w:p w14:paraId="690C1E58"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10F50491"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22BCE60D"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43D23D1D"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737F6ACE"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0.1529</w:t>
            </w:r>
          </w:p>
        </w:tc>
        <w:tc>
          <w:tcPr>
            <w:tcW w:w="1984" w:type="dxa"/>
            <w:tcBorders>
              <w:top w:val="nil"/>
              <w:left w:val="nil"/>
              <w:bottom w:val="nil"/>
              <w:right w:val="nil"/>
            </w:tcBorders>
            <w:vAlign w:val="center"/>
          </w:tcPr>
          <w:p w14:paraId="7A3168E7"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1E5803" w14:paraId="45439B4A" w14:textId="77777777" w:rsidTr="00213B08">
        <w:trPr>
          <w:trHeight w:val="312"/>
        </w:trPr>
        <w:tc>
          <w:tcPr>
            <w:tcW w:w="2494" w:type="dxa"/>
            <w:shd w:val="clear" w:color="auto" w:fill="auto"/>
            <w:noWrap/>
            <w:vAlign w:val="center"/>
          </w:tcPr>
          <w:p w14:paraId="0E958E53" w14:textId="77777777" w:rsidR="009B5C0D" w:rsidRPr="001E5803" w:rsidRDefault="009B5C0D" w:rsidP="00213B08">
            <w:pPr>
              <w:spacing w:after="0" w:line="240" w:lineRule="auto"/>
              <w:rPr>
                <w:rFonts w:ascii="Times New Roman" w:eastAsia="Times New Roman" w:hAnsi="Times New Roman" w:cs="Times New Roman"/>
                <w:sz w:val="20"/>
                <w:szCs w:val="20"/>
                <w:lang w:eastAsia="en-AU"/>
              </w:rPr>
            </w:pPr>
          </w:p>
        </w:tc>
        <w:tc>
          <w:tcPr>
            <w:tcW w:w="1984" w:type="dxa"/>
            <w:shd w:val="clear" w:color="auto" w:fill="auto"/>
            <w:noWrap/>
            <w:vAlign w:val="center"/>
          </w:tcPr>
          <w:p w14:paraId="1A81B5F6"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7D2E4D7E"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745FE4A3"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1DD349D0"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4DC36922"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(4.9831)***</w:t>
            </w:r>
          </w:p>
        </w:tc>
        <w:tc>
          <w:tcPr>
            <w:tcW w:w="1984" w:type="dxa"/>
            <w:tcBorders>
              <w:top w:val="nil"/>
              <w:left w:val="nil"/>
              <w:bottom w:val="nil"/>
              <w:right w:val="nil"/>
            </w:tcBorders>
            <w:vAlign w:val="center"/>
          </w:tcPr>
          <w:p w14:paraId="5CA51C82"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r>
      <w:tr w:rsidR="009B5C0D" w:rsidRPr="001E5803" w14:paraId="3C922418" w14:textId="77777777" w:rsidTr="00213B08">
        <w:trPr>
          <w:trHeight w:val="312"/>
        </w:trPr>
        <w:tc>
          <w:tcPr>
            <w:tcW w:w="2494" w:type="dxa"/>
            <w:shd w:val="clear" w:color="auto" w:fill="auto"/>
            <w:noWrap/>
            <w:vAlign w:val="center"/>
            <w:hideMark/>
          </w:tcPr>
          <w:p w14:paraId="4DA94D95"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sz w:val="20"/>
                <w:szCs w:val="20"/>
              </w:rPr>
              <w:t>Instrumented VP</w:t>
            </w:r>
          </w:p>
        </w:tc>
        <w:tc>
          <w:tcPr>
            <w:tcW w:w="1984" w:type="dxa"/>
            <w:shd w:val="clear" w:color="auto" w:fill="auto"/>
            <w:noWrap/>
            <w:vAlign w:val="center"/>
            <w:hideMark/>
          </w:tcPr>
          <w:p w14:paraId="731235F3"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1CACAFE7"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27E4F7E0"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160626BE"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0.1392</w:t>
            </w:r>
          </w:p>
        </w:tc>
        <w:tc>
          <w:tcPr>
            <w:tcW w:w="1984" w:type="dxa"/>
            <w:tcBorders>
              <w:top w:val="nil"/>
              <w:left w:val="nil"/>
              <w:bottom w:val="nil"/>
              <w:right w:val="nil"/>
            </w:tcBorders>
            <w:vAlign w:val="center"/>
          </w:tcPr>
          <w:p w14:paraId="0508FCC0"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44D50E4B"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 xml:space="preserve"> 0.0749</w:t>
            </w:r>
          </w:p>
        </w:tc>
      </w:tr>
      <w:tr w:rsidR="009B5C0D" w:rsidRPr="001E5803" w14:paraId="471DF785" w14:textId="77777777" w:rsidTr="00213B08">
        <w:trPr>
          <w:trHeight w:val="312"/>
        </w:trPr>
        <w:tc>
          <w:tcPr>
            <w:tcW w:w="2494" w:type="dxa"/>
            <w:shd w:val="clear" w:color="auto" w:fill="auto"/>
            <w:noWrap/>
            <w:vAlign w:val="bottom"/>
            <w:hideMark/>
          </w:tcPr>
          <w:p w14:paraId="4D7F862F"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shd w:val="clear" w:color="auto" w:fill="auto"/>
            <w:noWrap/>
            <w:vAlign w:val="center"/>
            <w:hideMark/>
          </w:tcPr>
          <w:p w14:paraId="304B8E45"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5D9DB4B2"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062A0362"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hideMark/>
          </w:tcPr>
          <w:p w14:paraId="14D07D9A"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(9.4194)***</w:t>
            </w:r>
          </w:p>
        </w:tc>
        <w:tc>
          <w:tcPr>
            <w:tcW w:w="1984" w:type="dxa"/>
            <w:tcBorders>
              <w:top w:val="nil"/>
              <w:left w:val="nil"/>
              <w:bottom w:val="nil"/>
              <w:right w:val="nil"/>
            </w:tcBorders>
            <w:vAlign w:val="center"/>
          </w:tcPr>
          <w:p w14:paraId="1D6F3CDD"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4F7E9B70" w14:textId="77777777" w:rsidR="009B5C0D" w:rsidRPr="001E5803" w:rsidRDefault="009B5C0D" w:rsidP="00213B08">
            <w:pPr>
              <w:tabs>
                <w:tab w:val="decimal" w:pos="682"/>
              </w:tabs>
              <w:spacing w:after="0" w:line="240" w:lineRule="auto"/>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(2.0418)**</w:t>
            </w:r>
          </w:p>
        </w:tc>
      </w:tr>
      <w:tr w:rsidR="009B5C0D" w:rsidRPr="001E5803" w14:paraId="59A06227" w14:textId="77777777" w:rsidTr="00213B08">
        <w:trPr>
          <w:trHeight w:val="312"/>
        </w:trPr>
        <w:tc>
          <w:tcPr>
            <w:tcW w:w="2494" w:type="dxa"/>
            <w:shd w:val="clear" w:color="auto" w:fill="auto"/>
            <w:noWrap/>
            <w:vAlign w:val="center"/>
          </w:tcPr>
          <w:p w14:paraId="63AD8F5E"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1984" w:type="dxa"/>
            <w:shd w:val="clear" w:color="auto" w:fill="auto"/>
            <w:noWrap/>
            <w:vAlign w:val="center"/>
          </w:tcPr>
          <w:p w14:paraId="1461F220"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0C927B76"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6A971C6E"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shd w:val="clear" w:color="auto" w:fill="auto"/>
            <w:noWrap/>
            <w:vAlign w:val="center"/>
          </w:tcPr>
          <w:p w14:paraId="422A9B80"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779C5AC8"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1984" w:type="dxa"/>
            <w:tcBorders>
              <w:top w:val="nil"/>
              <w:left w:val="nil"/>
              <w:bottom w:val="nil"/>
              <w:right w:val="nil"/>
            </w:tcBorders>
            <w:vAlign w:val="center"/>
          </w:tcPr>
          <w:p w14:paraId="4453B054"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r>
      <w:tr w:rsidR="009B5C0D" w:rsidRPr="001E5803" w14:paraId="32F8B374" w14:textId="77777777" w:rsidTr="00213B08">
        <w:trPr>
          <w:trHeight w:val="312"/>
        </w:trPr>
        <w:tc>
          <w:tcPr>
            <w:tcW w:w="2494" w:type="dxa"/>
            <w:shd w:val="clear" w:color="auto" w:fill="auto"/>
            <w:noWrap/>
            <w:vAlign w:val="center"/>
          </w:tcPr>
          <w:p w14:paraId="78E251A0"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Observations:</w:t>
            </w:r>
          </w:p>
        </w:tc>
        <w:tc>
          <w:tcPr>
            <w:tcW w:w="1984" w:type="dxa"/>
            <w:shd w:val="clear" w:color="auto" w:fill="auto"/>
            <w:noWrap/>
            <w:vAlign w:val="center"/>
          </w:tcPr>
          <w:p w14:paraId="1D6250B4"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1E5803">
              <w:rPr>
                <w:rFonts w:ascii="Times New Roman" w:hAnsi="Times New Roman" w:cs="Times New Roman"/>
                <w:color w:val="000000"/>
                <w:sz w:val="20"/>
                <w:szCs w:val="20"/>
              </w:rPr>
              <w:t>845</w:t>
            </w:r>
          </w:p>
        </w:tc>
        <w:tc>
          <w:tcPr>
            <w:tcW w:w="1984" w:type="dxa"/>
            <w:tcBorders>
              <w:top w:val="nil"/>
              <w:left w:val="nil"/>
              <w:bottom w:val="nil"/>
              <w:right w:val="nil"/>
            </w:tcBorders>
            <w:shd w:val="clear" w:color="auto" w:fill="auto"/>
            <w:noWrap/>
            <w:vAlign w:val="center"/>
          </w:tcPr>
          <w:p w14:paraId="5FBEBA51"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12</w:t>
            </w:r>
            <w:r>
              <w:rPr>
                <w:rFonts w:ascii="Times New Roman" w:hAnsi="Times New Roman" w:cs="Times New Roman"/>
                <w:color w:val="000000"/>
                <w:sz w:val="20"/>
                <w:szCs w:val="20"/>
              </w:rPr>
              <w:t>,</w:t>
            </w:r>
            <w:r w:rsidRPr="001E5803">
              <w:rPr>
                <w:rFonts w:ascii="Times New Roman" w:hAnsi="Times New Roman" w:cs="Times New Roman"/>
                <w:color w:val="000000"/>
                <w:sz w:val="20"/>
                <w:szCs w:val="20"/>
              </w:rPr>
              <w:t>773</w:t>
            </w:r>
          </w:p>
        </w:tc>
        <w:tc>
          <w:tcPr>
            <w:tcW w:w="1984" w:type="dxa"/>
            <w:tcBorders>
              <w:top w:val="nil"/>
              <w:left w:val="nil"/>
              <w:bottom w:val="nil"/>
              <w:right w:val="nil"/>
            </w:tcBorders>
            <w:shd w:val="clear" w:color="auto" w:fill="auto"/>
            <w:noWrap/>
            <w:vAlign w:val="center"/>
          </w:tcPr>
          <w:p w14:paraId="32FEA6B8"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1E5803">
              <w:rPr>
                <w:rFonts w:ascii="Times New Roman" w:hAnsi="Times New Roman" w:cs="Times New Roman"/>
                <w:color w:val="000000"/>
                <w:sz w:val="20"/>
                <w:szCs w:val="20"/>
              </w:rPr>
              <w:t>845</w:t>
            </w:r>
          </w:p>
        </w:tc>
        <w:tc>
          <w:tcPr>
            <w:tcW w:w="1984" w:type="dxa"/>
            <w:tcBorders>
              <w:top w:val="nil"/>
              <w:left w:val="nil"/>
              <w:bottom w:val="nil"/>
              <w:right w:val="nil"/>
            </w:tcBorders>
            <w:shd w:val="clear" w:color="auto" w:fill="auto"/>
            <w:noWrap/>
            <w:vAlign w:val="center"/>
          </w:tcPr>
          <w:p w14:paraId="6E4EACE5"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1E5803">
              <w:rPr>
                <w:rFonts w:ascii="Times New Roman" w:hAnsi="Times New Roman" w:cs="Times New Roman"/>
                <w:color w:val="000000"/>
                <w:sz w:val="20"/>
                <w:szCs w:val="20"/>
              </w:rPr>
              <w:t>764</w:t>
            </w:r>
          </w:p>
        </w:tc>
        <w:tc>
          <w:tcPr>
            <w:tcW w:w="1984" w:type="dxa"/>
            <w:tcBorders>
              <w:top w:val="nil"/>
              <w:left w:val="nil"/>
              <w:bottom w:val="nil"/>
              <w:right w:val="nil"/>
            </w:tcBorders>
            <w:vAlign w:val="center"/>
          </w:tcPr>
          <w:p w14:paraId="5B4BB50A"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1E5803">
              <w:rPr>
                <w:rFonts w:ascii="Times New Roman" w:hAnsi="Times New Roman" w:cs="Times New Roman"/>
                <w:color w:val="000000"/>
                <w:sz w:val="20"/>
                <w:szCs w:val="20"/>
              </w:rPr>
              <w:t>678</w:t>
            </w:r>
          </w:p>
        </w:tc>
        <w:tc>
          <w:tcPr>
            <w:tcW w:w="1984" w:type="dxa"/>
            <w:tcBorders>
              <w:top w:val="nil"/>
              <w:left w:val="nil"/>
              <w:bottom w:val="nil"/>
              <w:right w:val="nil"/>
            </w:tcBorders>
            <w:vAlign w:val="center"/>
          </w:tcPr>
          <w:p w14:paraId="026D378C"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10</w:t>
            </w:r>
            <w:r>
              <w:rPr>
                <w:rFonts w:ascii="Times New Roman" w:hAnsi="Times New Roman" w:cs="Times New Roman"/>
                <w:color w:val="000000"/>
                <w:sz w:val="20"/>
                <w:szCs w:val="20"/>
              </w:rPr>
              <w:t>,</w:t>
            </w:r>
            <w:r w:rsidRPr="001E5803">
              <w:rPr>
                <w:rFonts w:ascii="Times New Roman" w:hAnsi="Times New Roman" w:cs="Times New Roman"/>
                <w:color w:val="000000"/>
                <w:sz w:val="20"/>
                <w:szCs w:val="20"/>
              </w:rPr>
              <w:t>882</w:t>
            </w:r>
          </w:p>
        </w:tc>
      </w:tr>
      <w:tr w:rsidR="009B5C0D" w:rsidRPr="001E5803" w14:paraId="78A62BBA" w14:textId="77777777" w:rsidTr="00213B08">
        <w:trPr>
          <w:trHeight w:val="312"/>
        </w:trPr>
        <w:tc>
          <w:tcPr>
            <w:tcW w:w="2494" w:type="dxa"/>
            <w:shd w:val="clear" w:color="auto" w:fill="auto"/>
            <w:noWrap/>
            <w:vAlign w:val="center"/>
            <w:hideMark/>
          </w:tcPr>
          <w:p w14:paraId="0A092876"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proofErr w:type="spellStart"/>
            <w:r w:rsidRPr="001E5803">
              <w:rPr>
                <w:rFonts w:ascii="Times New Roman" w:eastAsia="Times New Roman" w:hAnsi="Times New Roman" w:cs="Times New Roman"/>
                <w:color w:val="000000"/>
                <w:sz w:val="20"/>
                <w:szCs w:val="20"/>
                <w:lang w:eastAsia="en-AU"/>
              </w:rPr>
              <w:t>Adj</w:t>
            </w:r>
            <w:proofErr w:type="spellEnd"/>
            <w:r w:rsidRPr="001E5803">
              <w:rPr>
                <w:rFonts w:ascii="Times New Roman" w:eastAsia="Times New Roman" w:hAnsi="Times New Roman" w:cs="Times New Roman"/>
                <w:color w:val="000000"/>
                <w:sz w:val="20"/>
                <w:szCs w:val="20"/>
                <w:lang w:eastAsia="en-AU"/>
              </w:rPr>
              <w:t xml:space="preserve"> R-squared:</w:t>
            </w:r>
          </w:p>
        </w:tc>
        <w:tc>
          <w:tcPr>
            <w:tcW w:w="1984" w:type="dxa"/>
            <w:shd w:val="clear" w:color="auto" w:fill="auto"/>
            <w:noWrap/>
            <w:vAlign w:val="center"/>
            <w:hideMark/>
          </w:tcPr>
          <w:p w14:paraId="1C61EDA4"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0.2784</w:t>
            </w:r>
          </w:p>
        </w:tc>
        <w:tc>
          <w:tcPr>
            <w:tcW w:w="1984" w:type="dxa"/>
            <w:tcBorders>
              <w:top w:val="nil"/>
              <w:left w:val="nil"/>
              <w:bottom w:val="nil"/>
              <w:right w:val="nil"/>
            </w:tcBorders>
            <w:shd w:val="clear" w:color="auto" w:fill="auto"/>
            <w:noWrap/>
            <w:vAlign w:val="center"/>
            <w:hideMark/>
          </w:tcPr>
          <w:p w14:paraId="73E67DF3"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0.2702</w:t>
            </w:r>
          </w:p>
        </w:tc>
        <w:tc>
          <w:tcPr>
            <w:tcW w:w="1984" w:type="dxa"/>
            <w:tcBorders>
              <w:top w:val="nil"/>
              <w:left w:val="nil"/>
              <w:bottom w:val="nil"/>
              <w:right w:val="nil"/>
            </w:tcBorders>
            <w:shd w:val="clear" w:color="auto" w:fill="auto"/>
            <w:noWrap/>
            <w:vAlign w:val="center"/>
            <w:hideMark/>
          </w:tcPr>
          <w:p w14:paraId="6C7AB728"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0.1988</w:t>
            </w:r>
          </w:p>
        </w:tc>
        <w:tc>
          <w:tcPr>
            <w:tcW w:w="1984" w:type="dxa"/>
            <w:tcBorders>
              <w:top w:val="nil"/>
              <w:left w:val="nil"/>
              <w:bottom w:val="nil"/>
              <w:right w:val="nil"/>
            </w:tcBorders>
            <w:shd w:val="clear" w:color="auto" w:fill="auto"/>
            <w:noWrap/>
            <w:vAlign w:val="center"/>
          </w:tcPr>
          <w:p w14:paraId="3AD15851"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NA</w:t>
            </w:r>
          </w:p>
        </w:tc>
        <w:tc>
          <w:tcPr>
            <w:tcW w:w="1984" w:type="dxa"/>
            <w:tcBorders>
              <w:top w:val="nil"/>
              <w:left w:val="nil"/>
              <w:bottom w:val="nil"/>
              <w:right w:val="nil"/>
            </w:tcBorders>
            <w:vAlign w:val="center"/>
          </w:tcPr>
          <w:p w14:paraId="0C35ECBA"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0.1804</w:t>
            </w:r>
          </w:p>
        </w:tc>
        <w:tc>
          <w:tcPr>
            <w:tcW w:w="1984" w:type="dxa"/>
            <w:tcBorders>
              <w:top w:val="nil"/>
              <w:left w:val="nil"/>
              <w:bottom w:val="nil"/>
              <w:right w:val="nil"/>
            </w:tcBorders>
            <w:vAlign w:val="center"/>
          </w:tcPr>
          <w:p w14:paraId="0BC7521F"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hAnsi="Times New Roman" w:cs="Times New Roman"/>
                <w:color w:val="000000"/>
                <w:sz w:val="20"/>
                <w:szCs w:val="20"/>
              </w:rPr>
              <w:t>NA</w:t>
            </w:r>
          </w:p>
        </w:tc>
      </w:tr>
      <w:tr w:rsidR="009B5C0D" w:rsidRPr="001E5803" w14:paraId="54404D56" w14:textId="77777777" w:rsidTr="00213B08">
        <w:trPr>
          <w:trHeight w:val="312"/>
        </w:trPr>
        <w:tc>
          <w:tcPr>
            <w:tcW w:w="2494" w:type="dxa"/>
            <w:tcBorders>
              <w:left w:val="nil"/>
              <w:bottom w:val="nil"/>
              <w:right w:val="nil"/>
            </w:tcBorders>
            <w:shd w:val="clear" w:color="auto" w:fill="auto"/>
            <w:noWrap/>
            <w:vAlign w:val="center"/>
          </w:tcPr>
          <w:p w14:paraId="19E86ED1"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Control variables</w:t>
            </w:r>
          </w:p>
        </w:tc>
        <w:tc>
          <w:tcPr>
            <w:tcW w:w="1984" w:type="dxa"/>
            <w:tcBorders>
              <w:left w:val="nil"/>
              <w:bottom w:val="nil"/>
              <w:right w:val="nil"/>
            </w:tcBorders>
            <w:shd w:val="clear" w:color="auto" w:fill="auto"/>
            <w:noWrap/>
            <w:vAlign w:val="center"/>
          </w:tcPr>
          <w:p w14:paraId="04EFFF4D"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bottom w:val="nil"/>
              <w:right w:val="nil"/>
            </w:tcBorders>
            <w:shd w:val="clear" w:color="auto" w:fill="auto"/>
            <w:noWrap/>
            <w:vAlign w:val="center"/>
          </w:tcPr>
          <w:p w14:paraId="0621E95E"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bottom w:val="nil"/>
              <w:right w:val="nil"/>
            </w:tcBorders>
            <w:shd w:val="clear" w:color="auto" w:fill="auto"/>
            <w:noWrap/>
            <w:vAlign w:val="center"/>
          </w:tcPr>
          <w:p w14:paraId="5E027E0F"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Yes</w:t>
            </w:r>
          </w:p>
        </w:tc>
        <w:tc>
          <w:tcPr>
            <w:tcW w:w="1984" w:type="dxa"/>
            <w:tcBorders>
              <w:top w:val="nil"/>
              <w:left w:val="nil"/>
              <w:bottom w:val="nil"/>
              <w:right w:val="nil"/>
            </w:tcBorders>
            <w:shd w:val="clear" w:color="auto" w:fill="auto"/>
            <w:noWrap/>
            <w:vAlign w:val="center"/>
          </w:tcPr>
          <w:p w14:paraId="20AAE728"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bottom w:val="nil"/>
              <w:right w:val="nil"/>
            </w:tcBorders>
            <w:vAlign w:val="center"/>
          </w:tcPr>
          <w:p w14:paraId="5772BDF9"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Yes</w:t>
            </w:r>
          </w:p>
        </w:tc>
        <w:tc>
          <w:tcPr>
            <w:tcW w:w="1984" w:type="dxa"/>
            <w:tcBorders>
              <w:top w:val="nil"/>
              <w:left w:val="nil"/>
              <w:bottom w:val="nil"/>
              <w:right w:val="nil"/>
            </w:tcBorders>
            <w:vAlign w:val="center"/>
          </w:tcPr>
          <w:p w14:paraId="67EEEE7E"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r>
      <w:tr w:rsidR="009B5C0D" w:rsidRPr="001E5803" w14:paraId="0D1F915D" w14:textId="77777777" w:rsidTr="00213B08">
        <w:trPr>
          <w:trHeight w:val="312"/>
        </w:trPr>
        <w:tc>
          <w:tcPr>
            <w:tcW w:w="2494" w:type="dxa"/>
            <w:tcBorders>
              <w:top w:val="nil"/>
              <w:left w:val="nil"/>
              <w:right w:val="nil"/>
            </w:tcBorders>
            <w:shd w:val="clear" w:color="auto" w:fill="auto"/>
            <w:noWrap/>
            <w:vAlign w:val="center"/>
            <w:hideMark/>
          </w:tcPr>
          <w:p w14:paraId="41E3B5DB"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Year</w:t>
            </w:r>
            <w:r w:rsidRPr="001E5803">
              <w:rPr>
                <w:rFonts w:ascii="Times New Roman" w:eastAsia="Times New Roman" w:hAnsi="Times New Roman" w:cs="Times New Roman"/>
                <w:color w:val="000000"/>
                <w:sz w:val="20"/>
                <w:szCs w:val="20"/>
                <w:lang w:eastAsia="en-AU"/>
              </w:rPr>
              <w:t xml:space="preserve"> Fixed Effects:</w:t>
            </w:r>
          </w:p>
        </w:tc>
        <w:tc>
          <w:tcPr>
            <w:tcW w:w="1984" w:type="dxa"/>
            <w:tcBorders>
              <w:top w:val="nil"/>
              <w:left w:val="nil"/>
              <w:right w:val="nil"/>
            </w:tcBorders>
            <w:shd w:val="clear" w:color="auto" w:fill="auto"/>
            <w:noWrap/>
            <w:vAlign w:val="center"/>
            <w:hideMark/>
          </w:tcPr>
          <w:p w14:paraId="57C475B0"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right w:val="nil"/>
            </w:tcBorders>
            <w:shd w:val="clear" w:color="auto" w:fill="auto"/>
            <w:noWrap/>
            <w:vAlign w:val="center"/>
            <w:hideMark/>
          </w:tcPr>
          <w:p w14:paraId="26E3C6B1"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right w:val="nil"/>
            </w:tcBorders>
            <w:shd w:val="clear" w:color="auto" w:fill="auto"/>
            <w:noWrap/>
            <w:vAlign w:val="center"/>
            <w:hideMark/>
          </w:tcPr>
          <w:p w14:paraId="0B4A4168"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right w:val="nil"/>
            </w:tcBorders>
            <w:shd w:val="clear" w:color="auto" w:fill="auto"/>
            <w:noWrap/>
            <w:vAlign w:val="center"/>
            <w:hideMark/>
          </w:tcPr>
          <w:p w14:paraId="3ABBE2BC"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right w:val="nil"/>
            </w:tcBorders>
            <w:vAlign w:val="center"/>
          </w:tcPr>
          <w:p w14:paraId="54F629BA"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right w:val="nil"/>
            </w:tcBorders>
            <w:vAlign w:val="center"/>
          </w:tcPr>
          <w:p w14:paraId="02AB9FD6"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r>
      <w:tr w:rsidR="009B5C0D" w:rsidRPr="001E5803" w14:paraId="3EBEFAD8" w14:textId="77777777" w:rsidTr="00213B08">
        <w:trPr>
          <w:trHeight w:val="312"/>
        </w:trPr>
        <w:tc>
          <w:tcPr>
            <w:tcW w:w="2494" w:type="dxa"/>
            <w:tcBorders>
              <w:top w:val="nil"/>
              <w:left w:val="nil"/>
              <w:bottom w:val="single" w:sz="4" w:space="0" w:color="auto"/>
              <w:right w:val="nil"/>
            </w:tcBorders>
            <w:shd w:val="clear" w:color="auto" w:fill="auto"/>
            <w:noWrap/>
            <w:vAlign w:val="center"/>
            <w:hideMark/>
          </w:tcPr>
          <w:p w14:paraId="0F184E3E" w14:textId="77777777" w:rsidR="009B5C0D" w:rsidRPr="001E5803" w:rsidRDefault="009B5C0D" w:rsidP="00213B08">
            <w:pPr>
              <w:spacing w:after="0" w:line="240" w:lineRule="auto"/>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Industry Fixed Effects:</w:t>
            </w:r>
          </w:p>
        </w:tc>
        <w:tc>
          <w:tcPr>
            <w:tcW w:w="1984" w:type="dxa"/>
            <w:tcBorders>
              <w:top w:val="nil"/>
              <w:left w:val="nil"/>
              <w:bottom w:val="single" w:sz="4" w:space="0" w:color="auto"/>
              <w:right w:val="nil"/>
            </w:tcBorders>
            <w:shd w:val="clear" w:color="auto" w:fill="auto"/>
            <w:noWrap/>
            <w:vAlign w:val="center"/>
            <w:hideMark/>
          </w:tcPr>
          <w:p w14:paraId="327E6680"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bottom w:val="single" w:sz="4" w:space="0" w:color="auto"/>
              <w:right w:val="nil"/>
            </w:tcBorders>
            <w:shd w:val="clear" w:color="auto" w:fill="auto"/>
            <w:noWrap/>
            <w:vAlign w:val="center"/>
            <w:hideMark/>
          </w:tcPr>
          <w:p w14:paraId="362EF9C1"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bottom w:val="single" w:sz="4" w:space="0" w:color="auto"/>
              <w:right w:val="nil"/>
            </w:tcBorders>
            <w:shd w:val="clear" w:color="auto" w:fill="auto"/>
            <w:noWrap/>
            <w:vAlign w:val="center"/>
            <w:hideMark/>
          </w:tcPr>
          <w:p w14:paraId="43303A9E"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bottom w:val="single" w:sz="4" w:space="0" w:color="auto"/>
              <w:right w:val="nil"/>
            </w:tcBorders>
            <w:shd w:val="clear" w:color="auto" w:fill="auto"/>
            <w:noWrap/>
            <w:vAlign w:val="center"/>
            <w:hideMark/>
          </w:tcPr>
          <w:p w14:paraId="2C4584EF"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bottom w:val="single" w:sz="4" w:space="0" w:color="auto"/>
              <w:right w:val="nil"/>
            </w:tcBorders>
            <w:vAlign w:val="center"/>
          </w:tcPr>
          <w:p w14:paraId="02098DE2"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c>
          <w:tcPr>
            <w:tcW w:w="1984" w:type="dxa"/>
            <w:tcBorders>
              <w:top w:val="nil"/>
              <w:left w:val="nil"/>
              <w:bottom w:val="single" w:sz="4" w:space="0" w:color="auto"/>
              <w:right w:val="nil"/>
            </w:tcBorders>
            <w:vAlign w:val="center"/>
          </w:tcPr>
          <w:p w14:paraId="4394CE66" w14:textId="77777777" w:rsidR="009B5C0D" w:rsidRPr="001E5803"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1E5803">
              <w:rPr>
                <w:rFonts w:ascii="Times New Roman" w:eastAsia="Times New Roman" w:hAnsi="Times New Roman" w:cs="Times New Roman"/>
                <w:color w:val="000000"/>
                <w:sz w:val="20"/>
                <w:szCs w:val="20"/>
                <w:lang w:eastAsia="en-AU"/>
              </w:rPr>
              <w:t>Yes</w:t>
            </w:r>
          </w:p>
        </w:tc>
      </w:tr>
    </w:tbl>
    <w:p w14:paraId="3FAA0E81" w14:textId="77777777" w:rsidR="009B5C0D" w:rsidRPr="00B60E83" w:rsidRDefault="009B5C0D" w:rsidP="009B5C0D">
      <w:pPr>
        <w:spacing w:after="0" w:line="240" w:lineRule="auto"/>
        <w:ind w:right="255"/>
        <w:jc w:val="both"/>
        <w:rPr>
          <w:rFonts w:ascii="Times New Roman" w:eastAsia="Times New Roman" w:hAnsi="Times New Roman" w:cs="Times New Roman"/>
          <w:sz w:val="20"/>
          <w:szCs w:val="20"/>
        </w:rPr>
      </w:pPr>
      <w:r w:rsidRPr="00B60E83">
        <w:rPr>
          <w:rFonts w:ascii="Times New Roman" w:eastAsia="Times New Roman" w:hAnsi="Times New Roman" w:cs="Times New Roman"/>
          <w:sz w:val="20"/>
          <w:szCs w:val="20"/>
        </w:rPr>
        <w:t xml:space="preserve">This table reports the </w:t>
      </w:r>
      <w:r>
        <w:rPr>
          <w:rFonts w:ascii="Times New Roman" w:eastAsia="Times New Roman" w:hAnsi="Times New Roman" w:cs="Times New Roman"/>
          <w:sz w:val="20"/>
          <w:szCs w:val="20"/>
        </w:rPr>
        <w:t>p</w:t>
      </w:r>
      <w:r w:rsidRPr="00B60E83">
        <w:rPr>
          <w:rFonts w:ascii="Times New Roman" w:eastAsia="Times New Roman" w:hAnsi="Times New Roman" w:cs="Times New Roman"/>
          <w:sz w:val="20"/>
          <w:szCs w:val="20"/>
        </w:rPr>
        <w:t xml:space="preserve">anel </w:t>
      </w:r>
      <w:r>
        <w:rPr>
          <w:rFonts w:ascii="Times New Roman" w:eastAsia="Times New Roman" w:hAnsi="Times New Roman" w:cs="Times New Roman"/>
          <w:sz w:val="20"/>
          <w:szCs w:val="20"/>
        </w:rPr>
        <w:t>l</w:t>
      </w:r>
      <w:r w:rsidRPr="00B60E83">
        <w:rPr>
          <w:rFonts w:ascii="Times New Roman" w:eastAsia="Times New Roman" w:hAnsi="Times New Roman" w:cs="Times New Roman"/>
          <w:sz w:val="20"/>
          <w:szCs w:val="20"/>
        </w:rPr>
        <w:t xml:space="preserve">east </w:t>
      </w:r>
      <w:r>
        <w:rPr>
          <w:rFonts w:ascii="Times New Roman" w:eastAsia="Times New Roman" w:hAnsi="Times New Roman" w:cs="Times New Roman"/>
          <w:sz w:val="20"/>
          <w:szCs w:val="20"/>
        </w:rPr>
        <w:t>s</w:t>
      </w:r>
      <w:r w:rsidRPr="00B60E83">
        <w:rPr>
          <w:rFonts w:ascii="Times New Roman" w:eastAsia="Times New Roman" w:hAnsi="Times New Roman" w:cs="Times New Roman"/>
          <w:sz w:val="20"/>
          <w:szCs w:val="20"/>
        </w:rPr>
        <w:t xml:space="preserve">quares regressions of </w:t>
      </w:r>
      <w:r w:rsidRPr="00492461">
        <w:rPr>
          <w:rFonts w:ascii="Times New Roman" w:eastAsia="Times New Roman" w:hAnsi="Times New Roman" w:cs="Times New Roman"/>
          <w:i/>
          <w:sz w:val="20"/>
          <w:szCs w:val="20"/>
        </w:rPr>
        <w:t>Inst. Holdings</w:t>
      </w:r>
      <w:r w:rsidRPr="00B60E83">
        <w:rPr>
          <w:rFonts w:ascii="Times New Roman" w:eastAsia="Times New Roman" w:hAnsi="Times New Roman" w:cs="Times New Roman"/>
          <w:sz w:val="20"/>
          <w:szCs w:val="20"/>
        </w:rPr>
        <w:t xml:space="preserve"> on </w:t>
      </w:r>
      <w:r w:rsidRPr="00A268B4">
        <w:rPr>
          <w:rFonts w:ascii="Times New Roman" w:eastAsia="Times New Roman" w:hAnsi="Times New Roman" w:cs="Times New Roman"/>
          <w:i/>
          <w:sz w:val="20"/>
          <w:szCs w:val="20"/>
        </w:rPr>
        <w:t>VP</w:t>
      </w:r>
      <w:r w:rsidRPr="00A268B4">
        <w:rPr>
          <w:rFonts w:ascii="Times New Roman" w:eastAsia="Times New Roman" w:hAnsi="Times New Roman" w:cs="Times New Roman"/>
          <w:sz w:val="20"/>
          <w:szCs w:val="20"/>
        </w:rPr>
        <w:t xml:space="preserve"> and lagged </w:t>
      </w:r>
      <w:r w:rsidRPr="00A268B4">
        <w:rPr>
          <w:rFonts w:ascii="Times New Roman" w:eastAsia="Times New Roman" w:hAnsi="Times New Roman" w:cs="Times New Roman"/>
          <w:i/>
          <w:sz w:val="20"/>
          <w:szCs w:val="20"/>
        </w:rPr>
        <w:t>VP</w:t>
      </w:r>
      <w:r w:rsidRPr="00A268B4">
        <w:rPr>
          <w:rFonts w:ascii="Times New Roman" w:eastAsia="Times New Roman" w:hAnsi="Times New Roman" w:cs="Times New Roman"/>
          <w:sz w:val="20"/>
          <w:szCs w:val="20"/>
        </w:rPr>
        <w:t xml:space="preserve">. </w:t>
      </w:r>
      <w:r w:rsidRPr="00A268B4">
        <w:rPr>
          <w:rFonts w:ascii="Times New Roman" w:eastAsia="Times New Roman" w:hAnsi="Times New Roman" w:cs="Times New Roman"/>
          <w:i/>
          <w:sz w:val="20"/>
          <w:szCs w:val="20"/>
        </w:rPr>
        <w:t>Industry-VP</w:t>
      </w:r>
      <w:r w:rsidRPr="00A268B4">
        <w:rPr>
          <w:rFonts w:ascii="Times New Roman" w:eastAsia="Times New Roman" w:hAnsi="Times New Roman" w:cs="Times New Roman"/>
          <w:sz w:val="20"/>
          <w:szCs w:val="20"/>
        </w:rPr>
        <w:t xml:space="preserve"> </w:t>
      </w:r>
      <w:proofErr w:type="gramStart"/>
      <w:r w:rsidRPr="00A268B4">
        <w:rPr>
          <w:rFonts w:ascii="Times New Roman" w:eastAsia="Times New Roman" w:hAnsi="Times New Roman" w:cs="Times New Roman"/>
          <w:sz w:val="20"/>
          <w:szCs w:val="20"/>
        </w:rPr>
        <w:t>is utilized</w:t>
      </w:r>
      <w:proofErr w:type="gramEnd"/>
      <w:r w:rsidRPr="00A268B4">
        <w:rPr>
          <w:rFonts w:ascii="Times New Roman" w:eastAsia="Times New Roman" w:hAnsi="Times New Roman" w:cs="Times New Roman"/>
          <w:sz w:val="20"/>
          <w:szCs w:val="20"/>
        </w:rPr>
        <w:t xml:space="preserve"> as an instrumental variable in columns (3) and (4). For columns (5) and (6), </w:t>
      </w:r>
      <w:r w:rsidRPr="00A268B4">
        <w:rPr>
          <w:rFonts w:ascii="Times New Roman" w:eastAsia="Times New Roman" w:hAnsi="Times New Roman" w:cs="Times New Roman"/>
          <w:i/>
          <w:sz w:val="20"/>
          <w:szCs w:val="20"/>
        </w:rPr>
        <w:t>Geographic-VP</w:t>
      </w:r>
      <w:r w:rsidRPr="00A268B4">
        <w:rPr>
          <w:rFonts w:ascii="Times New Roman" w:eastAsia="Times New Roman" w:hAnsi="Times New Roman" w:cs="Times New Roman"/>
          <w:sz w:val="20"/>
          <w:szCs w:val="20"/>
        </w:rPr>
        <w:t xml:space="preserve"> </w:t>
      </w:r>
      <w:proofErr w:type="gramStart"/>
      <w:r w:rsidRPr="00A268B4">
        <w:rPr>
          <w:rFonts w:ascii="Times New Roman" w:eastAsia="Times New Roman" w:hAnsi="Times New Roman" w:cs="Times New Roman"/>
          <w:sz w:val="20"/>
          <w:szCs w:val="20"/>
        </w:rPr>
        <w:t>is utilized</w:t>
      </w:r>
      <w:proofErr w:type="gramEnd"/>
      <w:r w:rsidRPr="00A268B4">
        <w:rPr>
          <w:rFonts w:ascii="Times New Roman" w:eastAsia="Times New Roman" w:hAnsi="Times New Roman" w:cs="Times New Roman"/>
          <w:sz w:val="20"/>
          <w:szCs w:val="20"/>
        </w:rPr>
        <w:t xml:space="preserve"> as an instrumental variable. Appendix I provides a detailed description of the variables. T-statistics </w:t>
      </w:r>
      <w:proofErr w:type="gramStart"/>
      <w:r w:rsidRPr="00A268B4">
        <w:rPr>
          <w:rFonts w:ascii="Times New Roman" w:eastAsia="Times New Roman" w:hAnsi="Times New Roman" w:cs="Times New Roman"/>
          <w:sz w:val="20"/>
          <w:szCs w:val="20"/>
        </w:rPr>
        <w:t>are presented</w:t>
      </w:r>
      <w:proofErr w:type="gramEnd"/>
      <w:r w:rsidRPr="00A268B4">
        <w:rPr>
          <w:rFonts w:ascii="Times New Roman" w:eastAsia="Times New Roman" w:hAnsi="Times New Roman" w:cs="Times New Roman"/>
          <w:sz w:val="20"/>
          <w:szCs w:val="20"/>
        </w:rPr>
        <w:t xml:space="preserve"> in brackets. Robust standard errors </w:t>
      </w:r>
      <w:proofErr w:type="gramStart"/>
      <w:r w:rsidRPr="00A268B4">
        <w:rPr>
          <w:rFonts w:ascii="Times New Roman" w:eastAsia="Times New Roman" w:hAnsi="Times New Roman" w:cs="Times New Roman"/>
          <w:sz w:val="20"/>
          <w:szCs w:val="20"/>
        </w:rPr>
        <w:t>are used</w:t>
      </w:r>
      <w:proofErr w:type="gramEnd"/>
      <w:r w:rsidRPr="00A268B4">
        <w:rPr>
          <w:rFonts w:ascii="Times New Roman" w:eastAsia="Times New Roman" w:hAnsi="Times New Roman" w:cs="Times New Roman"/>
          <w:sz w:val="20"/>
          <w:szCs w:val="20"/>
        </w:rPr>
        <w:t xml:space="preserve"> throughout. ***, ** and * denote significance at the 1%, 5% and 10% levels, respectively.</w:t>
      </w:r>
    </w:p>
    <w:p w14:paraId="79FB4320" w14:textId="77777777" w:rsidR="009B5C0D" w:rsidRDefault="009B5C0D" w:rsidP="009B5C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74B21C7" w14:textId="77777777" w:rsidR="009B5C0D" w:rsidRDefault="009B5C0D" w:rsidP="009B5C0D">
      <w:pPr>
        <w:spacing w:after="0" w:line="240" w:lineRule="auto"/>
        <w:rPr>
          <w:rFonts w:ascii="Times New Roman" w:eastAsia="Times New Roman" w:hAnsi="Times New Roman" w:cs="Times New Roman"/>
          <w:b/>
          <w:sz w:val="20"/>
          <w:szCs w:val="20"/>
        </w:rPr>
        <w:sectPr w:rsidR="009B5C0D" w:rsidSect="004D18B6">
          <w:footnotePr>
            <w:numRestart w:val="eachSect"/>
          </w:footnotePr>
          <w:pgSz w:w="16840" w:h="11920" w:orient="landscape"/>
          <w:pgMar w:top="1134" w:right="1134" w:bottom="851" w:left="1134" w:header="0" w:footer="465" w:gutter="0"/>
          <w:cols w:space="720"/>
        </w:sectPr>
      </w:pPr>
    </w:p>
    <w:p w14:paraId="585BB292" w14:textId="77777777" w:rsidR="009B5C0D" w:rsidRDefault="009B5C0D" w:rsidP="009B5C0D">
      <w:pPr>
        <w:spacing w:after="0" w:line="240" w:lineRule="auto"/>
        <w:rPr>
          <w:rFonts w:ascii="Times New Roman" w:eastAsia="Times New Roman" w:hAnsi="Times New Roman" w:cs="Times New Roman"/>
          <w:b/>
          <w:sz w:val="20"/>
          <w:szCs w:val="20"/>
        </w:rPr>
      </w:pPr>
      <w:r w:rsidRPr="00664EF4">
        <w:rPr>
          <w:rFonts w:ascii="Times New Roman" w:eastAsia="Times New Roman" w:hAnsi="Times New Roman" w:cs="Times New Roman"/>
          <w:b/>
          <w:sz w:val="20"/>
          <w:szCs w:val="20"/>
        </w:rPr>
        <w:lastRenderedPageBreak/>
        <w:t xml:space="preserve">Table </w:t>
      </w:r>
      <w:r>
        <w:rPr>
          <w:rFonts w:ascii="Times New Roman" w:eastAsia="Times New Roman" w:hAnsi="Times New Roman" w:cs="Times New Roman"/>
          <w:b/>
          <w:sz w:val="20"/>
          <w:szCs w:val="20"/>
        </w:rPr>
        <w:t>6: Pre- and post-CEO turnover</w:t>
      </w:r>
    </w:p>
    <w:p w14:paraId="50DE7EBA" w14:textId="77777777" w:rsidR="009B5C0D" w:rsidRPr="00664EF4" w:rsidRDefault="009B5C0D" w:rsidP="009B5C0D">
      <w:pPr>
        <w:spacing w:after="0" w:line="240" w:lineRule="auto"/>
        <w:rPr>
          <w:rFonts w:ascii="Times New Roman" w:eastAsia="Times New Roman" w:hAnsi="Times New Roman" w:cs="Times New Roman"/>
          <w:b/>
          <w:sz w:val="20"/>
          <w:szCs w:val="20"/>
        </w:rPr>
      </w:pPr>
    </w:p>
    <w:p w14:paraId="02B090CC" w14:textId="77777777" w:rsidR="009B5C0D" w:rsidRPr="00664EF4" w:rsidRDefault="009B5C0D" w:rsidP="009B5C0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Panel A: 3</w:t>
      </w:r>
      <w:r w:rsidRPr="00664EF4">
        <w:rPr>
          <w:rFonts w:ascii="Times New Roman" w:eastAsia="Times New Roman" w:hAnsi="Times New Roman" w:cs="Times New Roman"/>
          <w:b/>
          <w:sz w:val="20"/>
          <w:szCs w:val="20"/>
        </w:rPr>
        <w:t>-year</w:t>
      </w:r>
      <w:r>
        <w:rPr>
          <w:rFonts w:ascii="Times New Roman" w:eastAsia="Times New Roman" w:hAnsi="Times New Roman" w:cs="Times New Roman"/>
          <w:b/>
          <w:sz w:val="20"/>
          <w:szCs w:val="20"/>
        </w:rPr>
        <w:t>s before and 3-years after CEO turnover</w:t>
      </w:r>
      <w:r w:rsidRPr="00664EF4">
        <w:rPr>
          <w:rFonts w:ascii="Times New Roman" w:eastAsia="Times New Roman" w:hAnsi="Times New Roman" w:cs="Times New Roman"/>
          <w:b/>
          <w:sz w:val="20"/>
          <w:szCs w:val="20"/>
        </w:rPr>
        <w:t xml:space="preserve"> </w:t>
      </w:r>
    </w:p>
    <w:tbl>
      <w:tblPr>
        <w:tblW w:w="8675" w:type="dxa"/>
        <w:tblLook w:val="04A0" w:firstRow="1" w:lastRow="0" w:firstColumn="1" w:lastColumn="0" w:noHBand="0" w:noVBand="1"/>
      </w:tblPr>
      <w:tblGrid>
        <w:gridCol w:w="3119"/>
        <w:gridCol w:w="2778"/>
        <w:gridCol w:w="2778"/>
      </w:tblGrid>
      <w:tr w:rsidR="009B5C0D" w:rsidRPr="00485B3F" w14:paraId="54853853" w14:textId="77777777" w:rsidTr="00213B08">
        <w:trPr>
          <w:trHeight w:val="312"/>
        </w:trPr>
        <w:tc>
          <w:tcPr>
            <w:tcW w:w="3119" w:type="dxa"/>
            <w:tcBorders>
              <w:top w:val="single" w:sz="4" w:space="0" w:color="auto"/>
              <w:left w:val="nil"/>
              <w:bottom w:val="nil"/>
              <w:right w:val="nil"/>
            </w:tcBorders>
            <w:shd w:val="clear" w:color="auto" w:fill="auto"/>
            <w:noWrap/>
            <w:vAlign w:val="center"/>
          </w:tcPr>
          <w:p w14:paraId="4AAF92D0"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Regression:</w:t>
            </w:r>
          </w:p>
        </w:tc>
        <w:tc>
          <w:tcPr>
            <w:tcW w:w="2778" w:type="dxa"/>
            <w:tcBorders>
              <w:top w:val="single" w:sz="4" w:space="0" w:color="auto"/>
              <w:left w:val="nil"/>
              <w:bottom w:val="nil"/>
              <w:right w:val="nil"/>
            </w:tcBorders>
            <w:shd w:val="clear" w:color="auto" w:fill="auto"/>
            <w:noWrap/>
            <w:vAlign w:val="center"/>
          </w:tcPr>
          <w:p w14:paraId="4CA011F3"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(6.1)</w:t>
            </w:r>
          </w:p>
        </w:tc>
        <w:tc>
          <w:tcPr>
            <w:tcW w:w="2778" w:type="dxa"/>
            <w:tcBorders>
              <w:top w:val="single" w:sz="4" w:space="0" w:color="auto"/>
              <w:left w:val="nil"/>
              <w:bottom w:val="nil"/>
              <w:right w:val="nil"/>
            </w:tcBorders>
            <w:shd w:val="clear" w:color="auto" w:fill="auto"/>
            <w:noWrap/>
            <w:vAlign w:val="center"/>
          </w:tcPr>
          <w:p w14:paraId="33DD86B2"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(6.2)</w:t>
            </w:r>
          </w:p>
        </w:tc>
      </w:tr>
      <w:tr w:rsidR="009B5C0D" w:rsidRPr="00485B3F" w14:paraId="73DEFAD5" w14:textId="77777777" w:rsidTr="00213B08">
        <w:trPr>
          <w:trHeight w:val="312"/>
        </w:trPr>
        <w:tc>
          <w:tcPr>
            <w:tcW w:w="3119" w:type="dxa"/>
            <w:tcBorders>
              <w:top w:val="single" w:sz="4" w:space="0" w:color="auto"/>
              <w:left w:val="nil"/>
              <w:bottom w:val="nil"/>
              <w:right w:val="nil"/>
            </w:tcBorders>
            <w:shd w:val="clear" w:color="auto" w:fill="auto"/>
            <w:noWrap/>
            <w:vAlign w:val="center"/>
            <w:hideMark/>
          </w:tcPr>
          <w:p w14:paraId="15CEA3F1"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33741B95"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3yrs Pre-CEO Turnover</w:t>
            </w:r>
          </w:p>
        </w:tc>
        <w:tc>
          <w:tcPr>
            <w:tcW w:w="2778" w:type="dxa"/>
            <w:tcBorders>
              <w:top w:val="single" w:sz="4" w:space="0" w:color="auto"/>
              <w:left w:val="nil"/>
              <w:bottom w:val="nil"/>
              <w:right w:val="nil"/>
            </w:tcBorders>
            <w:shd w:val="clear" w:color="auto" w:fill="auto"/>
            <w:noWrap/>
            <w:vAlign w:val="center"/>
            <w:hideMark/>
          </w:tcPr>
          <w:p w14:paraId="08530477"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3yrs Post-CEO Turnover</w:t>
            </w:r>
          </w:p>
        </w:tc>
      </w:tr>
      <w:tr w:rsidR="009B5C0D" w:rsidRPr="00485B3F" w14:paraId="22BED323" w14:textId="77777777" w:rsidTr="00213B08">
        <w:trPr>
          <w:trHeight w:val="312"/>
        </w:trPr>
        <w:tc>
          <w:tcPr>
            <w:tcW w:w="3119" w:type="dxa"/>
            <w:tcBorders>
              <w:top w:val="nil"/>
              <w:left w:val="nil"/>
              <w:bottom w:val="single" w:sz="4" w:space="0" w:color="auto"/>
              <w:right w:val="nil"/>
            </w:tcBorders>
            <w:shd w:val="clear" w:color="auto" w:fill="auto"/>
            <w:noWrap/>
            <w:vAlign w:val="center"/>
            <w:hideMark/>
          </w:tcPr>
          <w:p w14:paraId="4C49A0A9"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i/>
                <w:color w:val="000000"/>
                <w:sz w:val="20"/>
                <w:szCs w:val="20"/>
                <w:lang w:eastAsia="zh-CN"/>
              </w:rPr>
              <w:t>Dependent variable:</w:t>
            </w:r>
          </w:p>
        </w:tc>
        <w:tc>
          <w:tcPr>
            <w:tcW w:w="2778" w:type="dxa"/>
            <w:tcBorders>
              <w:top w:val="nil"/>
              <w:left w:val="nil"/>
              <w:bottom w:val="single" w:sz="4" w:space="0" w:color="auto"/>
              <w:right w:val="nil"/>
            </w:tcBorders>
            <w:shd w:val="clear" w:color="auto" w:fill="auto"/>
            <w:noWrap/>
            <w:vAlign w:val="center"/>
            <w:hideMark/>
          </w:tcPr>
          <w:p w14:paraId="3FA540CC"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Inst. Holdings</w:t>
            </w:r>
          </w:p>
        </w:tc>
        <w:tc>
          <w:tcPr>
            <w:tcW w:w="2778" w:type="dxa"/>
            <w:tcBorders>
              <w:top w:val="nil"/>
              <w:left w:val="nil"/>
              <w:bottom w:val="single" w:sz="4" w:space="0" w:color="auto"/>
              <w:right w:val="nil"/>
            </w:tcBorders>
            <w:shd w:val="clear" w:color="auto" w:fill="auto"/>
            <w:noWrap/>
            <w:vAlign w:val="center"/>
            <w:hideMark/>
          </w:tcPr>
          <w:p w14:paraId="41B39DF0"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Inst. Holdings</w:t>
            </w:r>
          </w:p>
        </w:tc>
      </w:tr>
      <w:tr w:rsidR="009B5C0D" w:rsidRPr="00485B3F" w14:paraId="526FB977" w14:textId="77777777" w:rsidTr="00213B08">
        <w:trPr>
          <w:trHeight w:val="312"/>
        </w:trPr>
        <w:tc>
          <w:tcPr>
            <w:tcW w:w="3119" w:type="dxa"/>
            <w:tcBorders>
              <w:top w:val="single" w:sz="4" w:space="0" w:color="auto"/>
              <w:left w:val="nil"/>
              <w:bottom w:val="nil"/>
              <w:right w:val="nil"/>
            </w:tcBorders>
            <w:shd w:val="clear" w:color="auto" w:fill="auto"/>
            <w:noWrap/>
            <w:vAlign w:val="center"/>
            <w:hideMark/>
          </w:tcPr>
          <w:p w14:paraId="0DB69C1E"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318FD96E"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76952314"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r>
      <w:tr w:rsidR="009B5C0D" w:rsidRPr="00485B3F" w14:paraId="376085A1" w14:textId="77777777" w:rsidTr="00213B08">
        <w:trPr>
          <w:trHeight w:val="312"/>
        </w:trPr>
        <w:tc>
          <w:tcPr>
            <w:tcW w:w="3119" w:type="dxa"/>
            <w:tcBorders>
              <w:top w:val="nil"/>
              <w:left w:val="nil"/>
              <w:bottom w:val="nil"/>
              <w:right w:val="nil"/>
            </w:tcBorders>
            <w:shd w:val="clear" w:color="auto" w:fill="auto"/>
            <w:noWrap/>
            <w:vAlign w:val="center"/>
            <w:hideMark/>
          </w:tcPr>
          <w:p w14:paraId="232AE62B"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CEO Pay Gap</w:t>
            </w:r>
          </w:p>
        </w:tc>
        <w:tc>
          <w:tcPr>
            <w:tcW w:w="2778" w:type="dxa"/>
            <w:tcBorders>
              <w:top w:val="nil"/>
              <w:left w:val="nil"/>
              <w:bottom w:val="nil"/>
              <w:right w:val="nil"/>
            </w:tcBorders>
            <w:shd w:val="clear" w:color="auto" w:fill="auto"/>
            <w:noWrap/>
            <w:vAlign w:val="center"/>
            <w:hideMark/>
          </w:tcPr>
          <w:p w14:paraId="3FCCD497"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 xml:space="preserve"> 0.1795</w:t>
            </w:r>
          </w:p>
        </w:tc>
        <w:tc>
          <w:tcPr>
            <w:tcW w:w="2778" w:type="dxa"/>
            <w:tcBorders>
              <w:top w:val="nil"/>
              <w:left w:val="nil"/>
              <w:bottom w:val="nil"/>
              <w:right w:val="nil"/>
            </w:tcBorders>
            <w:shd w:val="clear" w:color="auto" w:fill="auto"/>
            <w:noWrap/>
            <w:vAlign w:val="center"/>
            <w:hideMark/>
          </w:tcPr>
          <w:p w14:paraId="30047DF2"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 xml:space="preserve"> 0.1202</w:t>
            </w:r>
          </w:p>
        </w:tc>
      </w:tr>
      <w:tr w:rsidR="009B5C0D" w:rsidRPr="00485B3F" w14:paraId="198D5ACF" w14:textId="77777777" w:rsidTr="00213B08">
        <w:trPr>
          <w:trHeight w:val="312"/>
        </w:trPr>
        <w:tc>
          <w:tcPr>
            <w:tcW w:w="3119" w:type="dxa"/>
            <w:tcBorders>
              <w:top w:val="nil"/>
              <w:left w:val="nil"/>
              <w:bottom w:val="nil"/>
              <w:right w:val="nil"/>
            </w:tcBorders>
            <w:shd w:val="clear" w:color="auto" w:fill="auto"/>
            <w:noWrap/>
            <w:vAlign w:val="center"/>
            <w:hideMark/>
          </w:tcPr>
          <w:p w14:paraId="0CF34DBA"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nil"/>
              <w:left w:val="nil"/>
              <w:bottom w:val="nil"/>
              <w:right w:val="nil"/>
            </w:tcBorders>
            <w:shd w:val="clear" w:color="auto" w:fill="auto"/>
            <w:noWrap/>
            <w:vAlign w:val="center"/>
            <w:hideMark/>
          </w:tcPr>
          <w:p w14:paraId="6CF9A30C"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(4.7588)***</w:t>
            </w:r>
          </w:p>
        </w:tc>
        <w:tc>
          <w:tcPr>
            <w:tcW w:w="2778" w:type="dxa"/>
            <w:tcBorders>
              <w:top w:val="nil"/>
              <w:left w:val="nil"/>
              <w:bottom w:val="nil"/>
              <w:right w:val="nil"/>
            </w:tcBorders>
            <w:shd w:val="clear" w:color="auto" w:fill="auto"/>
            <w:noWrap/>
            <w:vAlign w:val="center"/>
            <w:hideMark/>
          </w:tcPr>
          <w:p w14:paraId="3FF0F254"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(3.2593)***</w:t>
            </w:r>
          </w:p>
        </w:tc>
      </w:tr>
      <w:tr w:rsidR="009B5C0D" w:rsidRPr="00485B3F" w14:paraId="04BABC35" w14:textId="77777777" w:rsidTr="00213B08">
        <w:trPr>
          <w:trHeight w:val="312"/>
        </w:trPr>
        <w:tc>
          <w:tcPr>
            <w:tcW w:w="3119" w:type="dxa"/>
            <w:tcBorders>
              <w:top w:val="nil"/>
              <w:left w:val="nil"/>
              <w:right w:val="nil"/>
            </w:tcBorders>
            <w:shd w:val="clear" w:color="auto" w:fill="auto"/>
            <w:noWrap/>
            <w:vAlign w:val="center"/>
            <w:hideMark/>
          </w:tcPr>
          <w:p w14:paraId="5EE165F4"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nil"/>
              <w:left w:val="nil"/>
              <w:right w:val="nil"/>
            </w:tcBorders>
            <w:shd w:val="clear" w:color="auto" w:fill="auto"/>
            <w:noWrap/>
            <w:vAlign w:val="center"/>
            <w:hideMark/>
          </w:tcPr>
          <w:p w14:paraId="081128AC"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c>
          <w:tcPr>
            <w:tcW w:w="2778" w:type="dxa"/>
            <w:tcBorders>
              <w:top w:val="nil"/>
              <w:left w:val="nil"/>
              <w:right w:val="nil"/>
            </w:tcBorders>
            <w:shd w:val="clear" w:color="auto" w:fill="auto"/>
            <w:noWrap/>
            <w:vAlign w:val="center"/>
            <w:hideMark/>
          </w:tcPr>
          <w:p w14:paraId="1551F899"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r>
      <w:tr w:rsidR="009B5C0D" w:rsidRPr="00485B3F" w14:paraId="44FDC271" w14:textId="77777777" w:rsidTr="00213B08">
        <w:trPr>
          <w:trHeight w:val="312"/>
        </w:trPr>
        <w:tc>
          <w:tcPr>
            <w:tcW w:w="3119" w:type="dxa"/>
            <w:tcBorders>
              <w:top w:val="nil"/>
              <w:left w:val="nil"/>
              <w:bottom w:val="nil"/>
              <w:right w:val="nil"/>
            </w:tcBorders>
            <w:shd w:val="clear" w:color="auto" w:fill="auto"/>
            <w:noWrap/>
            <w:vAlign w:val="center"/>
            <w:hideMark/>
          </w:tcPr>
          <w:p w14:paraId="0AD300B1"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Observations:</w:t>
            </w:r>
          </w:p>
        </w:tc>
        <w:tc>
          <w:tcPr>
            <w:tcW w:w="2778" w:type="dxa"/>
            <w:tcBorders>
              <w:top w:val="nil"/>
              <w:left w:val="nil"/>
              <w:bottom w:val="nil"/>
              <w:right w:val="nil"/>
            </w:tcBorders>
            <w:shd w:val="clear" w:color="auto" w:fill="auto"/>
            <w:noWrap/>
            <w:vAlign w:val="center"/>
            <w:hideMark/>
          </w:tcPr>
          <w:p w14:paraId="5BCE4C0F"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485B3F">
              <w:rPr>
                <w:rFonts w:ascii="Times New Roman" w:hAnsi="Times New Roman" w:cs="Times New Roman"/>
                <w:color w:val="000000"/>
                <w:sz w:val="20"/>
                <w:szCs w:val="20"/>
              </w:rPr>
              <w:t>053</w:t>
            </w:r>
          </w:p>
        </w:tc>
        <w:tc>
          <w:tcPr>
            <w:tcW w:w="2778" w:type="dxa"/>
            <w:tcBorders>
              <w:top w:val="nil"/>
              <w:left w:val="nil"/>
              <w:bottom w:val="nil"/>
              <w:right w:val="nil"/>
            </w:tcBorders>
            <w:shd w:val="clear" w:color="auto" w:fill="auto"/>
            <w:noWrap/>
            <w:vAlign w:val="center"/>
            <w:hideMark/>
          </w:tcPr>
          <w:p w14:paraId="1448B96A"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485B3F">
              <w:rPr>
                <w:rFonts w:ascii="Times New Roman" w:hAnsi="Times New Roman" w:cs="Times New Roman"/>
                <w:color w:val="000000"/>
                <w:sz w:val="20"/>
                <w:szCs w:val="20"/>
              </w:rPr>
              <w:t>918</w:t>
            </w:r>
          </w:p>
        </w:tc>
      </w:tr>
      <w:tr w:rsidR="009B5C0D" w:rsidRPr="00485B3F" w14:paraId="1A12825F" w14:textId="77777777" w:rsidTr="00213B08">
        <w:trPr>
          <w:trHeight w:val="312"/>
        </w:trPr>
        <w:tc>
          <w:tcPr>
            <w:tcW w:w="3119" w:type="dxa"/>
            <w:tcBorders>
              <w:top w:val="nil"/>
              <w:left w:val="nil"/>
              <w:bottom w:val="nil"/>
              <w:right w:val="nil"/>
            </w:tcBorders>
            <w:shd w:val="clear" w:color="auto" w:fill="auto"/>
            <w:noWrap/>
            <w:vAlign w:val="center"/>
            <w:hideMark/>
          </w:tcPr>
          <w:p w14:paraId="561945F6"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roofErr w:type="spellStart"/>
            <w:r w:rsidRPr="00485B3F">
              <w:rPr>
                <w:rFonts w:ascii="Times New Roman" w:eastAsia="Times New Roman" w:hAnsi="Times New Roman" w:cs="Times New Roman"/>
                <w:color w:val="000000" w:themeColor="text1"/>
                <w:sz w:val="20"/>
                <w:szCs w:val="20"/>
              </w:rPr>
              <w:t>Adj</w:t>
            </w:r>
            <w:proofErr w:type="spellEnd"/>
            <w:r w:rsidRPr="00485B3F">
              <w:rPr>
                <w:rFonts w:ascii="Times New Roman" w:eastAsia="Times New Roman" w:hAnsi="Times New Roman" w:cs="Times New Roman"/>
                <w:color w:val="000000" w:themeColor="text1"/>
                <w:sz w:val="20"/>
                <w:szCs w:val="20"/>
              </w:rPr>
              <w:t xml:space="preserve"> </w:t>
            </w:r>
            <w:r w:rsidRPr="00485B3F">
              <w:rPr>
                <w:rFonts w:ascii="Times New Roman" w:eastAsia="Times New Roman" w:hAnsi="Times New Roman" w:cs="Times New Roman"/>
                <w:color w:val="000000"/>
                <w:sz w:val="20"/>
                <w:szCs w:val="20"/>
                <w:lang w:eastAsia="zh-CN"/>
              </w:rPr>
              <w:t>R-squared:</w:t>
            </w:r>
          </w:p>
        </w:tc>
        <w:tc>
          <w:tcPr>
            <w:tcW w:w="2778" w:type="dxa"/>
            <w:tcBorders>
              <w:top w:val="nil"/>
              <w:left w:val="nil"/>
              <w:bottom w:val="nil"/>
              <w:right w:val="nil"/>
            </w:tcBorders>
            <w:shd w:val="clear" w:color="auto" w:fill="auto"/>
            <w:noWrap/>
            <w:vAlign w:val="center"/>
            <w:hideMark/>
          </w:tcPr>
          <w:p w14:paraId="229DD133"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0.0738</w:t>
            </w:r>
          </w:p>
        </w:tc>
        <w:tc>
          <w:tcPr>
            <w:tcW w:w="2778" w:type="dxa"/>
            <w:tcBorders>
              <w:top w:val="nil"/>
              <w:left w:val="nil"/>
              <w:bottom w:val="nil"/>
              <w:right w:val="nil"/>
            </w:tcBorders>
            <w:shd w:val="clear" w:color="auto" w:fill="auto"/>
            <w:noWrap/>
            <w:vAlign w:val="center"/>
            <w:hideMark/>
          </w:tcPr>
          <w:p w14:paraId="1B6F5B69"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0.0756</w:t>
            </w:r>
          </w:p>
        </w:tc>
      </w:tr>
      <w:tr w:rsidR="009B5C0D" w:rsidRPr="00485B3F" w14:paraId="3129B7F5" w14:textId="77777777" w:rsidTr="00213B08">
        <w:trPr>
          <w:trHeight w:val="312"/>
        </w:trPr>
        <w:tc>
          <w:tcPr>
            <w:tcW w:w="3119" w:type="dxa"/>
            <w:tcBorders>
              <w:top w:val="nil"/>
              <w:left w:val="nil"/>
              <w:bottom w:val="nil"/>
              <w:right w:val="nil"/>
            </w:tcBorders>
            <w:shd w:val="clear" w:color="auto" w:fill="auto"/>
            <w:noWrap/>
            <w:vAlign w:val="center"/>
            <w:hideMark/>
          </w:tcPr>
          <w:p w14:paraId="532024F7"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Control variables:</w:t>
            </w:r>
          </w:p>
        </w:tc>
        <w:tc>
          <w:tcPr>
            <w:tcW w:w="2778" w:type="dxa"/>
            <w:tcBorders>
              <w:top w:val="nil"/>
              <w:left w:val="nil"/>
              <w:bottom w:val="nil"/>
              <w:right w:val="nil"/>
            </w:tcBorders>
            <w:shd w:val="clear" w:color="auto" w:fill="auto"/>
            <w:noWrap/>
            <w:vAlign w:val="center"/>
            <w:hideMark/>
          </w:tcPr>
          <w:p w14:paraId="13370940"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hideMark/>
          </w:tcPr>
          <w:p w14:paraId="416A96D8"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Yes</w:t>
            </w:r>
          </w:p>
        </w:tc>
      </w:tr>
      <w:tr w:rsidR="009B5C0D" w:rsidRPr="00485B3F" w14:paraId="76EE704F" w14:textId="77777777" w:rsidTr="00213B08">
        <w:trPr>
          <w:trHeight w:val="312"/>
        </w:trPr>
        <w:tc>
          <w:tcPr>
            <w:tcW w:w="3119" w:type="dxa"/>
            <w:tcBorders>
              <w:top w:val="nil"/>
              <w:left w:val="nil"/>
              <w:bottom w:val="nil"/>
              <w:right w:val="nil"/>
            </w:tcBorders>
            <w:shd w:val="clear" w:color="auto" w:fill="auto"/>
            <w:noWrap/>
            <w:vAlign w:val="center"/>
          </w:tcPr>
          <w:p w14:paraId="28830387"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Industry Fixed Effects:</w:t>
            </w:r>
          </w:p>
        </w:tc>
        <w:tc>
          <w:tcPr>
            <w:tcW w:w="2778" w:type="dxa"/>
            <w:tcBorders>
              <w:top w:val="nil"/>
              <w:left w:val="nil"/>
              <w:bottom w:val="nil"/>
              <w:right w:val="nil"/>
            </w:tcBorders>
            <w:shd w:val="clear" w:color="auto" w:fill="auto"/>
            <w:noWrap/>
            <w:vAlign w:val="center"/>
          </w:tcPr>
          <w:p w14:paraId="452B1D7F"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tcPr>
          <w:p w14:paraId="2217679B"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Yes</w:t>
            </w:r>
          </w:p>
        </w:tc>
      </w:tr>
      <w:tr w:rsidR="009B5C0D" w:rsidRPr="00485B3F" w14:paraId="158BD3AA" w14:textId="77777777" w:rsidTr="00213B08">
        <w:trPr>
          <w:trHeight w:val="312"/>
        </w:trPr>
        <w:tc>
          <w:tcPr>
            <w:tcW w:w="3119" w:type="dxa"/>
            <w:tcBorders>
              <w:top w:val="nil"/>
              <w:left w:val="nil"/>
              <w:right w:val="nil"/>
            </w:tcBorders>
            <w:shd w:val="clear" w:color="auto" w:fill="auto"/>
            <w:noWrap/>
            <w:vAlign w:val="center"/>
          </w:tcPr>
          <w:p w14:paraId="34578016"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p>
        </w:tc>
        <w:tc>
          <w:tcPr>
            <w:tcW w:w="2778" w:type="dxa"/>
            <w:tcBorders>
              <w:top w:val="nil"/>
              <w:left w:val="nil"/>
              <w:right w:val="nil"/>
            </w:tcBorders>
            <w:shd w:val="clear" w:color="auto" w:fill="auto"/>
            <w:noWrap/>
            <w:vAlign w:val="center"/>
          </w:tcPr>
          <w:p w14:paraId="1BD9895C"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highlight w:val="cyan"/>
              </w:rPr>
            </w:pPr>
          </w:p>
        </w:tc>
        <w:tc>
          <w:tcPr>
            <w:tcW w:w="2778" w:type="dxa"/>
            <w:tcBorders>
              <w:top w:val="nil"/>
              <w:left w:val="nil"/>
              <w:right w:val="nil"/>
            </w:tcBorders>
            <w:shd w:val="clear" w:color="auto" w:fill="auto"/>
            <w:noWrap/>
            <w:vAlign w:val="center"/>
          </w:tcPr>
          <w:p w14:paraId="03775F33"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highlight w:val="cyan"/>
              </w:rPr>
            </w:pPr>
          </w:p>
        </w:tc>
      </w:tr>
      <w:tr w:rsidR="009B5C0D" w:rsidRPr="00485B3F" w14:paraId="6BAD0F5A" w14:textId="77777777" w:rsidTr="00213B08">
        <w:trPr>
          <w:trHeight w:val="312"/>
        </w:trPr>
        <w:tc>
          <w:tcPr>
            <w:tcW w:w="3119" w:type="dxa"/>
            <w:tcBorders>
              <w:top w:val="nil"/>
              <w:left w:val="nil"/>
              <w:bottom w:val="single" w:sz="4" w:space="0" w:color="auto"/>
              <w:right w:val="nil"/>
            </w:tcBorders>
            <w:shd w:val="clear" w:color="auto" w:fill="auto"/>
            <w:noWrap/>
            <w:vAlign w:val="center"/>
          </w:tcPr>
          <w:p w14:paraId="3043D3B6"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 xml:space="preserve">(6.1) – (6.2) </w:t>
            </w:r>
          </w:p>
          <w:p w14:paraId="351DB460"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 xml:space="preserve">Difference in </w:t>
            </w:r>
            <w:r w:rsidRPr="00A268B4">
              <w:rPr>
                <w:rFonts w:ascii="Times New Roman" w:eastAsia="Times New Roman" w:hAnsi="Times New Roman" w:cs="Times New Roman"/>
                <w:i/>
                <w:color w:val="000000" w:themeColor="text1"/>
                <w:sz w:val="20"/>
                <w:szCs w:val="20"/>
              </w:rPr>
              <w:t>CEO Pay Gap</w:t>
            </w:r>
            <w:r w:rsidRPr="00485B3F">
              <w:rPr>
                <w:rFonts w:ascii="Times New Roman" w:eastAsia="Times New Roman" w:hAnsi="Times New Roman" w:cs="Times New Roman"/>
                <w:color w:val="000000" w:themeColor="text1"/>
                <w:sz w:val="20"/>
                <w:szCs w:val="20"/>
              </w:rPr>
              <w:t xml:space="preserve"> coefficients </w:t>
            </w:r>
          </w:p>
        </w:tc>
        <w:tc>
          <w:tcPr>
            <w:tcW w:w="5556" w:type="dxa"/>
            <w:gridSpan w:val="2"/>
            <w:tcBorders>
              <w:top w:val="nil"/>
              <w:left w:val="nil"/>
              <w:bottom w:val="single" w:sz="4" w:space="0" w:color="auto"/>
              <w:right w:val="nil"/>
            </w:tcBorders>
            <w:shd w:val="clear" w:color="auto" w:fill="auto"/>
            <w:noWrap/>
            <w:vAlign w:val="center"/>
          </w:tcPr>
          <w:p w14:paraId="4F9D96BF" w14:textId="77777777" w:rsidR="009B5C0D" w:rsidRPr="005A39FD"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5A39FD">
              <w:rPr>
                <w:rFonts w:ascii="Times New Roman" w:eastAsia="Times New Roman" w:hAnsi="Times New Roman" w:cs="Times New Roman"/>
                <w:color w:val="000000" w:themeColor="text1"/>
                <w:sz w:val="20"/>
                <w:szCs w:val="20"/>
              </w:rPr>
              <w:t>χ</w:t>
            </w:r>
            <w:r w:rsidRPr="00492461">
              <w:rPr>
                <w:rFonts w:ascii="Times New Roman" w:eastAsia="Times New Roman" w:hAnsi="Times New Roman" w:cs="Times New Roman"/>
                <w:color w:val="000000" w:themeColor="text1"/>
                <w:sz w:val="20"/>
                <w:szCs w:val="20"/>
                <w:vertAlign w:val="superscript"/>
              </w:rPr>
              <w:t>2</w:t>
            </w:r>
            <w:r w:rsidRPr="005A39FD">
              <w:rPr>
                <w:rFonts w:ascii="Times New Roman" w:eastAsia="Times New Roman" w:hAnsi="Times New Roman" w:cs="Times New Roman"/>
                <w:color w:val="000000" w:themeColor="text1"/>
                <w:sz w:val="20"/>
                <w:szCs w:val="20"/>
              </w:rPr>
              <w:t xml:space="preserve"> test = 15.31***</w:t>
            </w:r>
          </w:p>
        </w:tc>
      </w:tr>
    </w:tbl>
    <w:p w14:paraId="6932D419" w14:textId="77777777" w:rsidR="009B5C0D" w:rsidRPr="00485B3F" w:rsidRDefault="009B5C0D" w:rsidP="009B5C0D">
      <w:pPr>
        <w:spacing w:after="0" w:line="240" w:lineRule="auto"/>
        <w:rPr>
          <w:rFonts w:ascii="Times New Roman" w:eastAsia="Times New Roman" w:hAnsi="Times New Roman" w:cs="Times New Roman"/>
          <w:b/>
          <w:sz w:val="20"/>
          <w:szCs w:val="20"/>
        </w:rPr>
      </w:pPr>
    </w:p>
    <w:p w14:paraId="5DFFAC34" w14:textId="77777777" w:rsidR="009B5C0D" w:rsidRPr="00485B3F" w:rsidRDefault="009B5C0D" w:rsidP="009B5C0D">
      <w:pPr>
        <w:spacing w:after="0" w:line="240" w:lineRule="auto"/>
        <w:rPr>
          <w:rFonts w:ascii="Times New Roman" w:eastAsia="Times New Roman" w:hAnsi="Times New Roman" w:cs="Times New Roman"/>
          <w:b/>
          <w:sz w:val="20"/>
          <w:szCs w:val="20"/>
        </w:rPr>
      </w:pPr>
    </w:p>
    <w:p w14:paraId="347E4106" w14:textId="77777777" w:rsidR="009B5C0D" w:rsidRPr="00485B3F" w:rsidRDefault="009B5C0D" w:rsidP="009B5C0D">
      <w:pPr>
        <w:spacing w:after="0" w:line="240" w:lineRule="auto"/>
        <w:rPr>
          <w:rFonts w:ascii="Times New Roman" w:eastAsia="Times New Roman" w:hAnsi="Times New Roman" w:cs="Times New Roman"/>
          <w:b/>
          <w:sz w:val="20"/>
          <w:szCs w:val="20"/>
        </w:rPr>
      </w:pPr>
      <w:r w:rsidRPr="00485B3F">
        <w:rPr>
          <w:rFonts w:ascii="Times New Roman" w:eastAsia="Times New Roman" w:hAnsi="Times New Roman" w:cs="Times New Roman"/>
          <w:b/>
          <w:sz w:val="20"/>
          <w:szCs w:val="20"/>
        </w:rPr>
        <w:t xml:space="preserve">Panel B: </w:t>
      </w:r>
      <w:r>
        <w:rPr>
          <w:rFonts w:ascii="Times New Roman" w:eastAsia="Times New Roman" w:hAnsi="Times New Roman" w:cs="Times New Roman"/>
          <w:b/>
          <w:sz w:val="20"/>
          <w:szCs w:val="20"/>
        </w:rPr>
        <w:t>2</w:t>
      </w:r>
      <w:r w:rsidRPr="00485B3F">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before and one year after CEO turnover</w:t>
      </w:r>
    </w:p>
    <w:tbl>
      <w:tblPr>
        <w:tblW w:w="8675" w:type="dxa"/>
        <w:tblLook w:val="04A0" w:firstRow="1" w:lastRow="0" w:firstColumn="1" w:lastColumn="0" w:noHBand="0" w:noVBand="1"/>
      </w:tblPr>
      <w:tblGrid>
        <w:gridCol w:w="3119"/>
        <w:gridCol w:w="2778"/>
        <w:gridCol w:w="2778"/>
      </w:tblGrid>
      <w:tr w:rsidR="009B5C0D" w:rsidRPr="00485B3F" w14:paraId="6022DC67" w14:textId="77777777" w:rsidTr="00213B08">
        <w:trPr>
          <w:trHeight w:val="312"/>
        </w:trPr>
        <w:tc>
          <w:tcPr>
            <w:tcW w:w="3119" w:type="dxa"/>
            <w:tcBorders>
              <w:top w:val="single" w:sz="4" w:space="0" w:color="auto"/>
              <w:left w:val="nil"/>
              <w:bottom w:val="nil"/>
              <w:right w:val="nil"/>
            </w:tcBorders>
            <w:shd w:val="clear" w:color="auto" w:fill="auto"/>
            <w:noWrap/>
            <w:vAlign w:val="center"/>
          </w:tcPr>
          <w:p w14:paraId="6A915FDD"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Regression:</w:t>
            </w:r>
          </w:p>
        </w:tc>
        <w:tc>
          <w:tcPr>
            <w:tcW w:w="2778" w:type="dxa"/>
            <w:tcBorders>
              <w:top w:val="single" w:sz="4" w:space="0" w:color="auto"/>
              <w:left w:val="nil"/>
              <w:bottom w:val="nil"/>
              <w:right w:val="nil"/>
            </w:tcBorders>
            <w:shd w:val="clear" w:color="auto" w:fill="auto"/>
            <w:noWrap/>
            <w:vAlign w:val="center"/>
          </w:tcPr>
          <w:p w14:paraId="66179592"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(6.3)</w:t>
            </w:r>
          </w:p>
        </w:tc>
        <w:tc>
          <w:tcPr>
            <w:tcW w:w="2778" w:type="dxa"/>
            <w:tcBorders>
              <w:top w:val="single" w:sz="4" w:space="0" w:color="auto"/>
              <w:left w:val="nil"/>
              <w:bottom w:val="nil"/>
              <w:right w:val="nil"/>
            </w:tcBorders>
            <w:shd w:val="clear" w:color="auto" w:fill="auto"/>
            <w:noWrap/>
            <w:vAlign w:val="center"/>
          </w:tcPr>
          <w:p w14:paraId="31D1FEA5"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(6.4)</w:t>
            </w:r>
          </w:p>
        </w:tc>
      </w:tr>
      <w:tr w:rsidR="009B5C0D" w:rsidRPr="00485B3F" w14:paraId="676504E4" w14:textId="77777777" w:rsidTr="00213B08">
        <w:trPr>
          <w:trHeight w:val="312"/>
        </w:trPr>
        <w:tc>
          <w:tcPr>
            <w:tcW w:w="3119" w:type="dxa"/>
            <w:tcBorders>
              <w:top w:val="single" w:sz="4" w:space="0" w:color="auto"/>
              <w:left w:val="nil"/>
              <w:bottom w:val="nil"/>
              <w:right w:val="nil"/>
            </w:tcBorders>
            <w:shd w:val="clear" w:color="auto" w:fill="auto"/>
            <w:noWrap/>
            <w:vAlign w:val="center"/>
            <w:hideMark/>
          </w:tcPr>
          <w:p w14:paraId="346E3ACD"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03D2AD15"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2</w:t>
            </w:r>
            <w:r w:rsidRPr="00485B3F">
              <w:rPr>
                <w:rFonts w:ascii="Times New Roman" w:eastAsia="Times New Roman" w:hAnsi="Times New Roman" w:cs="Times New Roman"/>
                <w:color w:val="000000"/>
                <w:sz w:val="20"/>
                <w:szCs w:val="20"/>
                <w:lang w:eastAsia="en-AU"/>
              </w:rPr>
              <w:t>yr Pre-CEO Turnover</w:t>
            </w:r>
          </w:p>
        </w:tc>
        <w:tc>
          <w:tcPr>
            <w:tcW w:w="2778" w:type="dxa"/>
            <w:tcBorders>
              <w:top w:val="single" w:sz="4" w:space="0" w:color="auto"/>
              <w:left w:val="nil"/>
              <w:bottom w:val="nil"/>
              <w:right w:val="nil"/>
            </w:tcBorders>
            <w:shd w:val="clear" w:color="auto" w:fill="auto"/>
            <w:noWrap/>
            <w:vAlign w:val="center"/>
            <w:hideMark/>
          </w:tcPr>
          <w:p w14:paraId="4446B39A"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2</w:t>
            </w:r>
            <w:r w:rsidRPr="00485B3F">
              <w:rPr>
                <w:rFonts w:ascii="Times New Roman" w:eastAsia="Times New Roman" w:hAnsi="Times New Roman" w:cs="Times New Roman"/>
                <w:color w:val="000000"/>
                <w:sz w:val="20"/>
                <w:szCs w:val="20"/>
                <w:lang w:eastAsia="en-AU"/>
              </w:rPr>
              <w:t>yr Post-CEO Turnover</w:t>
            </w:r>
          </w:p>
        </w:tc>
      </w:tr>
      <w:tr w:rsidR="009B5C0D" w:rsidRPr="00485B3F" w14:paraId="0EF1E622" w14:textId="77777777" w:rsidTr="00213B08">
        <w:trPr>
          <w:trHeight w:val="312"/>
        </w:trPr>
        <w:tc>
          <w:tcPr>
            <w:tcW w:w="3119" w:type="dxa"/>
            <w:tcBorders>
              <w:top w:val="nil"/>
              <w:left w:val="nil"/>
              <w:bottom w:val="single" w:sz="4" w:space="0" w:color="auto"/>
              <w:right w:val="nil"/>
            </w:tcBorders>
            <w:shd w:val="clear" w:color="auto" w:fill="auto"/>
            <w:noWrap/>
            <w:vAlign w:val="center"/>
            <w:hideMark/>
          </w:tcPr>
          <w:p w14:paraId="297998E3"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i/>
                <w:color w:val="000000"/>
                <w:sz w:val="20"/>
                <w:szCs w:val="20"/>
                <w:lang w:eastAsia="zh-CN"/>
              </w:rPr>
              <w:t>Dependent variable:</w:t>
            </w:r>
          </w:p>
        </w:tc>
        <w:tc>
          <w:tcPr>
            <w:tcW w:w="2778" w:type="dxa"/>
            <w:tcBorders>
              <w:top w:val="nil"/>
              <w:left w:val="nil"/>
              <w:bottom w:val="single" w:sz="4" w:space="0" w:color="auto"/>
              <w:right w:val="nil"/>
            </w:tcBorders>
            <w:shd w:val="clear" w:color="auto" w:fill="auto"/>
            <w:noWrap/>
            <w:vAlign w:val="center"/>
            <w:hideMark/>
          </w:tcPr>
          <w:p w14:paraId="38EB122F"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Inst. Holdings</w:t>
            </w:r>
          </w:p>
        </w:tc>
        <w:tc>
          <w:tcPr>
            <w:tcW w:w="2778" w:type="dxa"/>
            <w:tcBorders>
              <w:top w:val="nil"/>
              <w:left w:val="nil"/>
              <w:bottom w:val="single" w:sz="4" w:space="0" w:color="auto"/>
              <w:right w:val="nil"/>
            </w:tcBorders>
            <w:shd w:val="clear" w:color="auto" w:fill="auto"/>
            <w:noWrap/>
            <w:vAlign w:val="center"/>
            <w:hideMark/>
          </w:tcPr>
          <w:p w14:paraId="2D25671F"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Inst. Holdings</w:t>
            </w:r>
          </w:p>
        </w:tc>
      </w:tr>
      <w:tr w:rsidR="009B5C0D" w:rsidRPr="00485B3F" w14:paraId="09F84D60" w14:textId="77777777" w:rsidTr="00213B08">
        <w:trPr>
          <w:trHeight w:val="312"/>
        </w:trPr>
        <w:tc>
          <w:tcPr>
            <w:tcW w:w="3119" w:type="dxa"/>
            <w:tcBorders>
              <w:top w:val="single" w:sz="4" w:space="0" w:color="auto"/>
              <w:left w:val="nil"/>
              <w:bottom w:val="nil"/>
              <w:right w:val="nil"/>
            </w:tcBorders>
            <w:shd w:val="clear" w:color="auto" w:fill="auto"/>
            <w:noWrap/>
            <w:vAlign w:val="center"/>
            <w:hideMark/>
          </w:tcPr>
          <w:p w14:paraId="71165FF8"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026CA116"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1C6C835D"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r>
      <w:tr w:rsidR="009B5C0D" w:rsidRPr="00485B3F" w14:paraId="640789BD" w14:textId="77777777" w:rsidTr="00213B08">
        <w:trPr>
          <w:trHeight w:val="312"/>
        </w:trPr>
        <w:tc>
          <w:tcPr>
            <w:tcW w:w="3119" w:type="dxa"/>
            <w:tcBorders>
              <w:top w:val="nil"/>
              <w:left w:val="nil"/>
              <w:bottom w:val="nil"/>
              <w:right w:val="nil"/>
            </w:tcBorders>
            <w:shd w:val="clear" w:color="auto" w:fill="auto"/>
            <w:noWrap/>
            <w:vAlign w:val="center"/>
            <w:hideMark/>
          </w:tcPr>
          <w:p w14:paraId="15BD040A"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CEO Pay Gap</w:t>
            </w:r>
          </w:p>
        </w:tc>
        <w:tc>
          <w:tcPr>
            <w:tcW w:w="2778" w:type="dxa"/>
            <w:tcBorders>
              <w:top w:val="nil"/>
              <w:left w:val="nil"/>
              <w:bottom w:val="nil"/>
              <w:right w:val="nil"/>
            </w:tcBorders>
            <w:shd w:val="clear" w:color="auto" w:fill="auto"/>
            <w:noWrap/>
            <w:vAlign w:val="center"/>
            <w:hideMark/>
          </w:tcPr>
          <w:p w14:paraId="0F50B4E6"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 xml:space="preserve"> 0.1403</w:t>
            </w:r>
          </w:p>
        </w:tc>
        <w:tc>
          <w:tcPr>
            <w:tcW w:w="2778" w:type="dxa"/>
            <w:tcBorders>
              <w:top w:val="nil"/>
              <w:left w:val="nil"/>
              <w:bottom w:val="nil"/>
              <w:right w:val="nil"/>
            </w:tcBorders>
            <w:shd w:val="clear" w:color="auto" w:fill="auto"/>
            <w:noWrap/>
            <w:vAlign w:val="center"/>
            <w:hideMark/>
          </w:tcPr>
          <w:p w14:paraId="2638970D"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 xml:space="preserve"> 0.1079</w:t>
            </w:r>
          </w:p>
        </w:tc>
      </w:tr>
      <w:tr w:rsidR="009B5C0D" w:rsidRPr="00485B3F" w14:paraId="4AF03666" w14:textId="77777777" w:rsidTr="00213B08">
        <w:trPr>
          <w:trHeight w:val="312"/>
        </w:trPr>
        <w:tc>
          <w:tcPr>
            <w:tcW w:w="3119" w:type="dxa"/>
            <w:tcBorders>
              <w:top w:val="nil"/>
              <w:left w:val="nil"/>
              <w:bottom w:val="nil"/>
              <w:right w:val="nil"/>
            </w:tcBorders>
            <w:shd w:val="clear" w:color="auto" w:fill="auto"/>
            <w:noWrap/>
            <w:vAlign w:val="center"/>
            <w:hideMark/>
          </w:tcPr>
          <w:p w14:paraId="103C0476"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nil"/>
              <w:left w:val="nil"/>
              <w:bottom w:val="nil"/>
              <w:right w:val="nil"/>
            </w:tcBorders>
            <w:shd w:val="clear" w:color="auto" w:fill="auto"/>
            <w:noWrap/>
            <w:vAlign w:val="center"/>
            <w:hideMark/>
          </w:tcPr>
          <w:p w14:paraId="6983CC73"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w:t>
            </w:r>
            <w:r>
              <w:rPr>
                <w:rFonts w:ascii="Times New Roman" w:hAnsi="Times New Roman" w:cs="Times New Roman"/>
                <w:color w:val="000000"/>
                <w:sz w:val="20"/>
                <w:szCs w:val="20"/>
              </w:rPr>
              <w:t>2.8862</w:t>
            </w:r>
            <w:r w:rsidRPr="00485B3F">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2778" w:type="dxa"/>
            <w:tcBorders>
              <w:top w:val="nil"/>
              <w:left w:val="nil"/>
              <w:bottom w:val="nil"/>
              <w:right w:val="nil"/>
            </w:tcBorders>
            <w:shd w:val="clear" w:color="auto" w:fill="auto"/>
            <w:noWrap/>
            <w:vAlign w:val="center"/>
            <w:hideMark/>
          </w:tcPr>
          <w:p w14:paraId="004750B7"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w:t>
            </w:r>
            <w:r>
              <w:rPr>
                <w:rFonts w:ascii="Times New Roman" w:hAnsi="Times New Roman" w:cs="Times New Roman"/>
                <w:color w:val="000000"/>
                <w:sz w:val="20"/>
                <w:szCs w:val="20"/>
              </w:rPr>
              <w:t>2.8037</w:t>
            </w:r>
            <w:r w:rsidRPr="00485B3F">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9B5C0D" w:rsidRPr="00485B3F" w14:paraId="51B1AD54" w14:textId="77777777" w:rsidTr="00213B08">
        <w:trPr>
          <w:trHeight w:val="312"/>
        </w:trPr>
        <w:tc>
          <w:tcPr>
            <w:tcW w:w="3119" w:type="dxa"/>
            <w:tcBorders>
              <w:top w:val="nil"/>
              <w:left w:val="nil"/>
              <w:right w:val="nil"/>
            </w:tcBorders>
            <w:shd w:val="clear" w:color="auto" w:fill="auto"/>
            <w:noWrap/>
            <w:vAlign w:val="center"/>
            <w:hideMark/>
          </w:tcPr>
          <w:p w14:paraId="7C63D08D"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nil"/>
              <w:left w:val="nil"/>
              <w:right w:val="nil"/>
            </w:tcBorders>
            <w:shd w:val="clear" w:color="auto" w:fill="auto"/>
            <w:noWrap/>
            <w:vAlign w:val="center"/>
            <w:hideMark/>
          </w:tcPr>
          <w:p w14:paraId="1C44B639"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c>
          <w:tcPr>
            <w:tcW w:w="2778" w:type="dxa"/>
            <w:tcBorders>
              <w:top w:val="nil"/>
              <w:left w:val="nil"/>
              <w:right w:val="nil"/>
            </w:tcBorders>
            <w:shd w:val="clear" w:color="auto" w:fill="auto"/>
            <w:noWrap/>
            <w:vAlign w:val="center"/>
            <w:hideMark/>
          </w:tcPr>
          <w:p w14:paraId="130F6C12"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r>
      <w:tr w:rsidR="009B5C0D" w:rsidRPr="00485B3F" w14:paraId="55E838AE" w14:textId="77777777" w:rsidTr="00213B08">
        <w:trPr>
          <w:trHeight w:val="312"/>
        </w:trPr>
        <w:tc>
          <w:tcPr>
            <w:tcW w:w="3119" w:type="dxa"/>
            <w:tcBorders>
              <w:top w:val="nil"/>
              <w:left w:val="nil"/>
              <w:bottom w:val="nil"/>
              <w:right w:val="nil"/>
            </w:tcBorders>
            <w:shd w:val="clear" w:color="auto" w:fill="auto"/>
            <w:noWrap/>
            <w:vAlign w:val="center"/>
            <w:hideMark/>
          </w:tcPr>
          <w:p w14:paraId="28535199"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Observations:</w:t>
            </w:r>
          </w:p>
        </w:tc>
        <w:tc>
          <w:tcPr>
            <w:tcW w:w="2778" w:type="dxa"/>
            <w:tcBorders>
              <w:top w:val="nil"/>
              <w:left w:val="nil"/>
              <w:bottom w:val="nil"/>
              <w:right w:val="nil"/>
            </w:tcBorders>
            <w:shd w:val="clear" w:color="auto" w:fill="auto"/>
            <w:noWrap/>
            <w:vAlign w:val="center"/>
            <w:hideMark/>
          </w:tcPr>
          <w:p w14:paraId="1F6E2B82"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2,195</w:t>
            </w:r>
          </w:p>
        </w:tc>
        <w:tc>
          <w:tcPr>
            <w:tcW w:w="2778" w:type="dxa"/>
            <w:tcBorders>
              <w:top w:val="nil"/>
              <w:left w:val="nil"/>
              <w:bottom w:val="nil"/>
              <w:right w:val="nil"/>
            </w:tcBorders>
            <w:shd w:val="clear" w:color="auto" w:fill="auto"/>
            <w:noWrap/>
            <w:vAlign w:val="center"/>
            <w:hideMark/>
          </w:tcPr>
          <w:p w14:paraId="6087D44B"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2,229</w:t>
            </w:r>
          </w:p>
        </w:tc>
      </w:tr>
      <w:tr w:rsidR="009B5C0D" w:rsidRPr="00485B3F" w14:paraId="5DA4947C" w14:textId="77777777" w:rsidTr="00213B08">
        <w:trPr>
          <w:trHeight w:val="312"/>
        </w:trPr>
        <w:tc>
          <w:tcPr>
            <w:tcW w:w="3119" w:type="dxa"/>
            <w:tcBorders>
              <w:top w:val="nil"/>
              <w:left w:val="nil"/>
              <w:bottom w:val="nil"/>
              <w:right w:val="nil"/>
            </w:tcBorders>
            <w:shd w:val="clear" w:color="auto" w:fill="auto"/>
            <w:noWrap/>
            <w:vAlign w:val="center"/>
            <w:hideMark/>
          </w:tcPr>
          <w:p w14:paraId="48D35995"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roofErr w:type="spellStart"/>
            <w:r w:rsidRPr="00485B3F">
              <w:rPr>
                <w:rFonts w:ascii="Times New Roman" w:eastAsia="Times New Roman" w:hAnsi="Times New Roman" w:cs="Times New Roman"/>
                <w:color w:val="000000" w:themeColor="text1"/>
                <w:sz w:val="20"/>
                <w:szCs w:val="20"/>
              </w:rPr>
              <w:t>Adj</w:t>
            </w:r>
            <w:proofErr w:type="spellEnd"/>
            <w:r w:rsidRPr="00485B3F">
              <w:rPr>
                <w:rFonts w:ascii="Times New Roman" w:eastAsia="Times New Roman" w:hAnsi="Times New Roman" w:cs="Times New Roman"/>
                <w:color w:val="000000" w:themeColor="text1"/>
                <w:sz w:val="20"/>
                <w:szCs w:val="20"/>
              </w:rPr>
              <w:t xml:space="preserve"> </w:t>
            </w:r>
            <w:r w:rsidRPr="00485B3F">
              <w:rPr>
                <w:rFonts w:ascii="Times New Roman" w:eastAsia="Times New Roman" w:hAnsi="Times New Roman" w:cs="Times New Roman"/>
                <w:color w:val="000000"/>
                <w:sz w:val="20"/>
                <w:szCs w:val="20"/>
                <w:lang w:eastAsia="zh-CN"/>
              </w:rPr>
              <w:t>R-squared:</w:t>
            </w:r>
          </w:p>
        </w:tc>
        <w:tc>
          <w:tcPr>
            <w:tcW w:w="2778" w:type="dxa"/>
            <w:tcBorders>
              <w:top w:val="nil"/>
              <w:left w:val="nil"/>
              <w:bottom w:val="nil"/>
              <w:right w:val="nil"/>
            </w:tcBorders>
            <w:shd w:val="clear" w:color="auto" w:fill="auto"/>
            <w:noWrap/>
            <w:vAlign w:val="center"/>
            <w:hideMark/>
          </w:tcPr>
          <w:p w14:paraId="6F2071F5"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0.0</w:t>
            </w:r>
            <w:r>
              <w:rPr>
                <w:rFonts w:ascii="Times New Roman" w:hAnsi="Times New Roman" w:cs="Times New Roman"/>
                <w:color w:val="000000"/>
                <w:sz w:val="20"/>
                <w:szCs w:val="20"/>
              </w:rPr>
              <w:t>681</w:t>
            </w:r>
          </w:p>
        </w:tc>
        <w:tc>
          <w:tcPr>
            <w:tcW w:w="2778" w:type="dxa"/>
            <w:tcBorders>
              <w:top w:val="nil"/>
              <w:left w:val="nil"/>
              <w:bottom w:val="nil"/>
              <w:right w:val="nil"/>
            </w:tcBorders>
            <w:shd w:val="clear" w:color="auto" w:fill="auto"/>
            <w:noWrap/>
            <w:vAlign w:val="center"/>
            <w:hideMark/>
          </w:tcPr>
          <w:p w14:paraId="4AC0B31F"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szCs w:val="20"/>
              </w:rPr>
              <w:t>0.0</w:t>
            </w:r>
            <w:r>
              <w:rPr>
                <w:rFonts w:ascii="Times New Roman" w:hAnsi="Times New Roman" w:cs="Times New Roman"/>
                <w:color w:val="000000"/>
                <w:sz w:val="20"/>
                <w:szCs w:val="20"/>
              </w:rPr>
              <w:t>720</w:t>
            </w:r>
          </w:p>
        </w:tc>
      </w:tr>
      <w:tr w:rsidR="009B5C0D" w:rsidRPr="00485B3F" w14:paraId="7E7BC6C5" w14:textId="77777777" w:rsidTr="00213B08">
        <w:trPr>
          <w:trHeight w:val="312"/>
        </w:trPr>
        <w:tc>
          <w:tcPr>
            <w:tcW w:w="3119" w:type="dxa"/>
            <w:tcBorders>
              <w:top w:val="nil"/>
              <w:left w:val="nil"/>
              <w:bottom w:val="nil"/>
              <w:right w:val="nil"/>
            </w:tcBorders>
            <w:shd w:val="clear" w:color="auto" w:fill="auto"/>
            <w:noWrap/>
            <w:vAlign w:val="center"/>
            <w:hideMark/>
          </w:tcPr>
          <w:p w14:paraId="0DE14C4A"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Control variables:</w:t>
            </w:r>
          </w:p>
        </w:tc>
        <w:tc>
          <w:tcPr>
            <w:tcW w:w="2778" w:type="dxa"/>
            <w:tcBorders>
              <w:top w:val="nil"/>
              <w:left w:val="nil"/>
              <w:bottom w:val="nil"/>
              <w:right w:val="nil"/>
            </w:tcBorders>
            <w:shd w:val="clear" w:color="auto" w:fill="auto"/>
            <w:noWrap/>
            <w:vAlign w:val="center"/>
            <w:hideMark/>
          </w:tcPr>
          <w:p w14:paraId="1738744C"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hideMark/>
          </w:tcPr>
          <w:p w14:paraId="6BD25109"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Yes</w:t>
            </w:r>
          </w:p>
        </w:tc>
      </w:tr>
      <w:tr w:rsidR="009B5C0D" w:rsidRPr="00485B3F" w14:paraId="1FF4FDED" w14:textId="77777777" w:rsidTr="00213B08">
        <w:trPr>
          <w:trHeight w:val="312"/>
        </w:trPr>
        <w:tc>
          <w:tcPr>
            <w:tcW w:w="3119" w:type="dxa"/>
            <w:tcBorders>
              <w:top w:val="nil"/>
              <w:left w:val="nil"/>
              <w:bottom w:val="nil"/>
              <w:right w:val="nil"/>
            </w:tcBorders>
            <w:shd w:val="clear" w:color="auto" w:fill="auto"/>
            <w:noWrap/>
            <w:vAlign w:val="center"/>
            <w:hideMark/>
          </w:tcPr>
          <w:p w14:paraId="6D85612F"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Industry Fixed Effects:</w:t>
            </w:r>
          </w:p>
        </w:tc>
        <w:tc>
          <w:tcPr>
            <w:tcW w:w="2778" w:type="dxa"/>
            <w:tcBorders>
              <w:top w:val="nil"/>
              <w:left w:val="nil"/>
              <w:bottom w:val="nil"/>
              <w:right w:val="nil"/>
            </w:tcBorders>
            <w:shd w:val="clear" w:color="auto" w:fill="auto"/>
            <w:noWrap/>
            <w:vAlign w:val="center"/>
            <w:hideMark/>
          </w:tcPr>
          <w:p w14:paraId="30EE3E63" w14:textId="77777777" w:rsidR="009B5C0D" w:rsidRPr="00485B3F" w:rsidRDefault="009B5C0D" w:rsidP="00213B08">
            <w:pPr>
              <w:spacing w:after="0" w:line="240" w:lineRule="auto"/>
              <w:jc w:val="center"/>
              <w:rPr>
                <w:rFonts w:ascii="Times New Roman" w:eastAsia="Times New Roman" w:hAnsi="Times New Roman" w:cs="Times New Roman"/>
                <w:sz w:val="20"/>
                <w:szCs w:val="20"/>
                <w:highlight w:val="yellow"/>
                <w:lang w:eastAsia="en-AU"/>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hideMark/>
          </w:tcPr>
          <w:p w14:paraId="3EDC2E9C" w14:textId="77777777" w:rsidR="009B5C0D" w:rsidRPr="00485B3F" w:rsidRDefault="009B5C0D" w:rsidP="00213B08">
            <w:pPr>
              <w:spacing w:after="0" w:line="240" w:lineRule="auto"/>
              <w:jc w:val="center"/>
              <w:rPr>
                <w:rFonts w:ascii="Times New Roman" w:eastAsia="Times New Roman" w:hAnsi="Times New Roman" w:cs="Times New Roman"/>
                <w:sz w:val="20"/>
                <w:szCs w:val="20"/>
                <w:highlight w:val="yellow"/>
                <w:lang w:eastAsia="en-AU"/>
              </w:rPr>
            </w:pPr>
            <w:r w:rsidRPr="00485B3F">
              <w:rPr>
                <w:rFonts w:ascii="Times New Roman" w:eastAsia="Times New Roman" w:hAnsi="Times New Roman" w:cs="Times New Roman"/>
                <w:color w:val="000000" w:themeColor="text1"/>
                <w:sz w:val="20"/>
                <w:szCs w:val="20"/>
              </w:rPr>
              <w:t>Yes</w:t>
            </w:r>
          </w:p>
        </w:tc>
      </w:tr>
      <w:tr w:rsidR="009B5C0D" w:rsidRPr="00485B3F" w14:paraId="0067F5B4" w14:textId="77777777" w:rsidTr="00213B08">
        <w:trPr>
          <w:trHeight w:val="312"/>
        </w:trPr>
        <w:tc>
          <w:tcPr>
            <w:tcW w:w="3119" w:type="dxa"/>
            <w:tcBorders>
              <w:top w:val="nil"/>
              <w:left w:val="nil"/>
              <w:right w:val="nil"/>
            </w:tcBorders>
            <w:shd w:val="clear" w:color="auto" w:fill="auto"/>
            <w:noWrap/>
            <w:vAlign w:val="center"/>
          </w:tcPr>
          <w:p w14:paraId="14BE2C1E"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p>
        </w:tc>
        <w:tc>
          <w:tcPr>
            <w:tcW w:w="2778" w:type="dxa"/>
            <w:tcBorders>
              <w:top w:val="nil"/>
              <w:left w:val="nil"/>
              <w:right w:val="nil"/>
            </w:tcBorders>
            <w:shd w:val="clear" w:color="auto" w:fill="auto"/>
            <w:noWrap/>
            <w:vAlign w:val="center"/>
          </w:tcPr>
          <w:p w14:paraId="5EAF2528"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p>
        </w:tc>
        <w:tc>
          <w:tcPr>
            <w:tcW w:w="2778" w:type="dxa"/>
            <w:tcBorders>
              <w:top w:val="nil"/>
              <w:left w:val="nil"/>
              <w:right w:val="nil"/>
            </w:tcBorders>
            <w:shd w:val="clear" w:color="auto" w:fill="auto"/>
            <w:noWrap/>
            <w:vAlign w:val="center"/>
          </w:tcPr>
          <w:p w14:paraId="00315A75"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p>
        </w:tc>
      </w:tr>
      <w:tr w:rsidR="009B5C0D" w:rsidRPr="00664EF4" w14:paraId="583B6800" w14:textId="77777777" w:rsidTr="00213B08">
        <w:trPr>
          <w:trHeight w:val="312"/>
        </w:trPr>
        <w:tc>
          <w:tcPr>
            <w:tcW w:w="3119" w:type="dxa"/>
            <w:tcBorders>
              <w:top w:val="nil"/>
              <w:left w:val="nil"/>
              <w:bottom w:val="single" w:sz="4" w:space="0" w:color="auto"/>
              <w:right w:val="nil"/>
            </w:tcBorders>
            <w:shd w:val="clear" w:color="auto" w:fill="auto"/>
            <w:noWrap/>
            <w:vAlign w:val="center"/>
          </w:tcPr>
          <w:p w14:paraId="2F499A8A" w14:textId="77777777" w:rsidR="009B5C0D" w:rsidRDefault="009B5C0D" w:rsidP="00213B08">
            <w:pPr>
              <w:spacing w:after="0" w:line="240" w:lineRule="auto"/>
              <w:rPr>
                <w:rFonts w:ascii="Times New Roman" w:eastAsia="Times New Roman" w:hAnsi="Times New Roman" w:cs="Times New Roman"/>
                <w:color w:val="000000" w:themeColor="text1"/>
                <w:sz w:val="20"/>
                <w:szCs w:val="20"/>
              </w:rPr>
            </w:pPr>
            <w:r w:rsidRPr="006F6FDA">
              <w:rPr>
                <w:rFonts w:ascii="Times New Roman" w:eastAsia="Times New Roman" w:hAnsi="Times New Roman" w:cs="Times New Roman"/>
                <w:color w:val="000000" w:themeColor="text1"/>
                <w:sz w:val="20"/>
                <w:szCs w:val="20"/>
              </w:rPr>
              <w:t>(6.</w:t>
            </w:r>
            <w:r>
              <w:rPr>
                <w:rFonts w:ascii="Times New Roman" w:eastAsia="Times New Roman" w:hAnsi="Times New Roman" w:cs="Times New Roman"/>
                <w:color w:val="000000" w:themeColor="text1"/>
                <w:sz w:val="20"/>
                <w:szCs w:val="20"/>
              </w:rPr>
              <w:t>3</w:t>
            </w:r>
            <w:r w:rsidRPr="006F6FDA">
              <w:rPr>
                <w:rFonts w:ascii="Times New Roman" w:eastAsia="Times New Roman" w:hAnsi="Times New Roman" w:cs="Times New Roman"/>
                <w:color w:val="000000" w:themeColor="text1"/>
                <w:sz w:val="20"/>
                <w:szCs w:val="20"/>
              </w:rPr>
              <w:t>) – (6.</w:t>
            </w:r>
            <w:r>
              <w:rPr>
                <w:rFonts w:ascii="Times New Roman" w:eastAsia="Times New Roman" w:hAnsi="Times New Roman" w:cs="Times New Roman"/>
                <w:color w:val="000000" w:themeColor="text1"/>
                <w:sz w:val="20"/>
                <w:szCs w:val="20"/>
              </w:rPr>
              <w:t>4</w:t>
            </w:r>
            <w:r w:rsidRPr="006F6FDA">
              <w:rPr>
                <w:rFonts w:ascii="Times New Roman" w:eastAsia="Times New Roman" w:hAnsi="Times New Roman" w:cs="Times New Roman"/>
                <w:color w:val="000000" w:themeColor="text1"/>
                <w:sz w:val="20"/>
                <w:szCs w:val="20"/>
              </w:rPr>
              <w:t xml:space="preserve">) </w:t>
            </w:r>
          </w:p>
          <w:p w14:paraId="35BA5F10" w14:textId="77777777" w:rsidR="009B5C0D" w:rsidRPr="000531DC" w:rsidRDefault="009B5C0D" w:rsidP="00213B08">
            <w:pPr>
              <w:spacing w:after="0" w:line="240" w:lineRule="auto"/>
              <w:rPr>
                <w:rFonts w:ascii="Times New Roman" w:eastAsia="Times New Roman" w:hAnsi="Times New Roman" w:cs="Times New Roman"/>
                <w:color w:val="000000" w:themeColor="text1"/>
                <w:sz w:val="20"/>
                <w:szCs w:val="20"/>
                <w:highlight w:val="cyan"/>
              </w:rPr>
            </w:pPr>
            <w:r w:rsidRPr="006F6FDA">
              <w:rPr>
                <w:rFonts w:ascii="Times New Roman" w:eastAsia="Times New Roman" w:hAnsi="Times New Roman" w:cs="Times New Roman"/>
                <w:color w:val="000000" w:themeColor="text1"/>
                <w:sz w:val="20"/>
                <w:szCs w:val="20"/>
              </w:rPr>
              <w:t xml:space="preserve">Difference in </w:t>
            </w:r>
            <w:r w:rsidRPr="00A268B4">
              <w:rPr>
                <w:rFonts w:ascii="Times New Roman" w:eastAsia="Times New Roman" w:hAnsi="Times New Roman" w:cs="Times New Roman"/>
                <w:i/>
                <w:color w:val="000000" w:themeColor="text1"/>
                <w:sz w:val="20"/>
                <w:szCs w:val="20"/>
              </w:rPr>
              <w:t>CEO Pay Gap</w:t>
            </w:r>
            <w:r w:rsidRPr="006F6FDA">
              <w:rPr>
                <w:rFonts w:ascii="Times New Roman" w:eastAsia="Times New Roman" w:hAnsi="Times New Roman" w:cs="Times New Roman"/>
                <w:color w:val="000000" w:themeColor="text1"/>
                <w:sz w:val="20"/>
                <w:szCs w:val="20"/>
              </w:rPr>
              <w:t xml:space="preserve"> coefficients </w:t>
            </w:r>
          </w:p>
        </w:tc>
        <w:tc>
          <w:tcPr>
            <w:tcW w:w="5556" w:type="dxa"/>
            <w:gridSpan w:val="2"/>
            <w:tcBorders>
              <w:top w:val="nil"/>
              <w:left w:val="nil"/>
              <w:bottom w:val="single" w:sz="4" w:space="0" w:color="auto"/>
              <w:right w:val="nil"/>
            </w:tcBorders>
            <w:shd w:val="clear" w:color="auto" w:fill="auto"/>
            <w:noWrap/>
            <w:vAlign w:val="center"/>
          </w:tcPr>
          <w:p w14:paraId="49DDACCF" w14:textId="77777777" w:rsidR="009B5C0D" w:rsidRPr="00650038"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650038">
              <w:rPr>
                <w:rFonts w:eastAsia="Times New Roman"/>
                <w:color w:val="000000" w:themeColor="text1"/>
                <w:sz w:val="20"/>
                <w:szCs w:val="20"/>
              </w:rPr>
              <w:t>χ</w:t>
            </w:r>
            <w:r w:rsidRPr="00492461">
              <w:rPr>
                <w:rFonts w:eastAsia="Times New Roman"/>
                <w:color w:val="000000" w:themeColor="text1"/>
                <w:sz w:val="20"/>
                <w:szCs w:val="20"/>
                <w:vertAlign w:val="superscript"/>
              </w:rPr>
              <w:t>2</w:t>
            </w:r>
            <w:r w:rsidRPr="00650038">
              <w:rPr>
                <w:rFonts w:ascii="Times New Roman" w:eastAsia="Times New Roman" w:hAnsi="Times New Roman" w:cs="Times New Roman"/>
                <w:color w:val="000000" w:themeColor="text1"/>
                <w:sz w:val="20"/>
                <w:szCs w:val="20"/>
              </w:rPr>
              <w:t xml:space="preserve"> test = 3.82*</w:t>
            </w:r>
          </w:p>
        </w:tc>
      </w:tr>
    </w:tbl>
    <w:p w14:paraId="7A11A9EE" w14:textId="77777777" w:rsidR="009B5C0D" w:rsidRPr="006D0E0B" w:rsidRDefault="009B5C0D" w:rsidP="009B5C0D">
      <w:pPr>
        <w:spacing w:after="0" w:line="240" w:lineRule="auto"/>
        <w:ind w:right="77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Panel A</w:t>
      </w:r>
      <w:r w:rsidRPr="00B60E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(Panel B) </w:t>
      </w:r>
      <w:r w:rsidRPr="00B60E83">
        <w:rPr>
          <w:rFonts w:ascii="Times New Roman" w:eastAsia="Times New Roman" w:hAnsi="Times New Roman" w:cs="Times New Roman"/>
          <w:sz w:val="20"/>
          <w:szCs w:val="20"/>
        </w:rPr>
        <w:t xml:space="preserve">reports the </w:t>
      </w:r>
      <w:r>
        <w:rPr>
          <w:rFonts w:ascii="Times New Roman" w:eastAsia="Times New Roman" w:hAnsi="Times New Roman" w:cs="Times New Roman"/>
          <w:sz w:val="20"/>
          <w:szCs w:val="20"/>
        </w:rPr>
        <w:t>p</w:t>
      </w:r>
      <w:r w:rsidRPr="00B60E83">
        <w:rPr>
          <w:rFonts w:ascii="Times New Roman" w:eastAsia="Times New Roman" w:hAnsi="Times New Roman" w:cs="Times New Roman"/>
          <w:sz w:val="20"/>
          <w:szCs w:val="20"/>
        </w:rPr>
        <w:t xml:space="preserve">anel </w:t>
      </w:r>
      <w:r>
        <w:rPr>
          <w:rFonts w:ascii="Times New Roman" w:eastAsia="Times New Roman" w:hAnsi="Times New Roman" w:cs="Times New Roman"/>
          <w:sz w:val="20"/>
          <w:szCs w:val="20"/>
        </w:rPr>
        <w:t>l</w:t>
      </w:r>
      <w:r w:rsidRPr="00B60E83">
        <w:rPr>
          <w:rFonts w:ascii="Times New Roman" w:eastAsia="Times New Roman" w:hAnsi="Times New Roman" w:cs="Times New Roman"/>
          <w:sz w:val="20"/>
          <w:szCs w:val="20"/>
        </w:rPr>
        <w:t xml:space="preserve">east </w:t>
      </w:r>
      <w:r>
        <w:rPr>
          <w:rFonts w:ascii="Times New Roman" w:eastAsia="Times New Roman" w:hAnsi="Times New Roman" w:cs="Times New Roman"/>
          <w:sz w:val="20"/>
          <w:szCs w:val="20"/>
        </w:rPr>
        <w:t>s</w:t>
      </w:r>
      <w:r w:rsidRPr="00B60E83">
        <w:rPr>
          <w:rFonts w:ascii="Times New Roman" w:eastAsia="Times New Roman" w:hAnsi="Times New Roman" w:cs="Times New Roman"/>
          <w:sz w:val="20"/>
          <w:szCs w:val="20"/>
        </w:rPr>
        <w:t xml:space="preserve">quares regressions of </w:t>
      </w:r>
      <w:r w:rsidRPr="00492461">
        <w:rPr>
          <w:rFonts w:ascii="Times New Roman" w:eastAsia="Times New Roman" w:hAnsi="Times New Roman" w:cs="Times New Roman"/>
          <w:i/>
          <w:sz w:val="20"/>
          <w:szCs w:val="20"/>
        </w:rPr>
        <w:t>Inst. Holdings</w:t>
      </w:r>
      <w:r>
        <w:rPr>
          <w:rFonts w:ascii="Times New Roman" w:eastAsia="Times New Roman" w:hAnsi="Times New Roman" w:cs="Times New Roman"/>
          <w:sz w:val="20"/>
          <w:szCs w:val="20"/>
        </w:rPr>
        <w:t xml:space="preserve"> on </w:t>
      </w:r>
      <w:r w:rsidRPr="00492461">
        <w:rPr>
          <w:rFonts w:ascii="Times New Roman" w:eastAsia="Times New Roman" w:hAnsi="Times New Roman" w:cs="Times New Roman"/>
          <w:i/>
          <w:sz w:val="20"/>
          <w:szCs w:val="20"/>
        </w:rPr>
        <w:t>CEO Pay Gap</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three</w:t>
      </w:r>
      <w:proofErr w:type="gramEnd"/>
      <w:r>
        <w:rPr>
          <w:rFonts w:ascii="Times New Roman" w:eastAsia="Times New Roman" w:hAnsi="Times New Roman" w:cs="Times New Roman"/>
          <w:sz w:val="20"/>
          <w:szCs w:val="20"/>
        </w:rPr>
        <w:t xml:space="preserve"> (one) years before and after CEO turnover</w:t>
      </w:r>
      <w:r w:rsidRPr="00B60E83">
        <w:rPr>
          <w:rFonts w:ascii="Times New Roman" w:eastAsia="Times New Roman" w:hAnsi="Times New Roman" w:cs="Times New Roman"/>
          <w:sz w:val="20"/>
          <w:szCs w:val="20"/>
        </w:rPr>
        <w:t xml:space="preserve">. Appendix I provides a detailed description of the variables. T-statistics </w:t>
      </w:r>
      <w:proofErr w:type="gramStart"/>
      <w:r w:rsidRPr="00B60E83">
        <w:rPr>
          <w:rFonts w:ascii="Times New Roman" w:eastAsia="Times New Roman" w:hAnsi="Times New Roman" w:cs="Times New Roman"/>
          <w:sz w:val="20"/>
          <w:szCs w:val="20"/>
        </w:rPr>
        <w:t>are presented</w:t>
      </w:r>
      <w:proofErr w:type="gramEnd"/>
      <w:r w:rsidRPr="00B60E83">
        <w:rPr>
          <w:rFonts w:ascii="Times New Roman" w:eastAsia="Times New Roman" w:hAnsi="Times New Roman" w:cs="Times New Roman"/>
          <w:sz w:val="20"/>
          <w:szCs w:val="20"/>
        </w:rPr>
        <w:t xml:space="preserve"> in brackets. </w:t>
      </w:r>
      <w:r>
        <w:rPr>
          <w:rFonts w:ascii="Times New Roman" w:eastAsia="Times New Roman" w:hAnsi="Times New Roman" w:cs="Times New Roman"/>
          <w:sz w:val="20"/>
          <w:szCs w:val="20"/>
        </w:rPr>
        <w:t xml:space="preserve">Robust standard errors </w:t>
      </w:r>
      <w:proofErr w:type="gramStart"/>
      <w:r>
        <w:rPr>
          <w:rFonts w:ascii="Times New Roman" w:eastAsia="Times New Roman" w:hAnsi="Times New Roman" w:cs="Times New Roman"/>
          <w:sz w:val="20"/>
          <w:szCs w:val="20"/>
        </w:rPr>
        <w:t>are used</w:t>
      </w:r>
      <w:proofErr w:type="gramEnd"/>
      <w:r>
        <w:rPr>
          <w:rFonts w:ascii="Times New Roman" w:eastAsia="Times New Roman" w:hAnsi="Times New Roman" w:cs="Times New Roman"/>
          <w:sz w:val="20"/>
          <w:szCs w:val="20"/>
        </w:rPr>
        <w:t xml:space="preserve"> throughout.</w:t>
      </w:r>
      <w:r w:rsidRPr="00B60E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 use seemingly unrelated regression analysis to generate</w:t>
      </w:r>
      <w:r w:rsidRPr="006D0E0B">
        <w:rPr>
          <w:rFonts w:ascii="Times New Roman" w:eastAsia="Times New Roman" w:hAnsi="Times New Roman" w:cs="Times New Roman"/>
          <w:color w:val="000000" w:themeColor="text1"/>
          <w:sz w:val="20"/>
          <w:szCs w:val="20"/>
        </w:rPr>
        <w:t xml:space="preserve"> </w:t>
      </w:r>
      <w:r w:rsidRPr="005A39FD">
        <w:rPr>
          <w:rFonts w:ascii="Times New Roman" w:eastAsia="Times New Roman" w:hAnsi="Times New Roman" w:cs="Times New Roman"/>
          <w:color w:val="000000" w:themeColor="text1"/>
          <w:sz w:val="20"/>
          <w:szCs w:val="20"/>
        </w:rPr>
        <w:t>χ</w:t>
      </w:r>
      <w:r w:rsidRPr="00492461">
        <w:rPr>
          <w:rFonts w:ascii="Times New Roman" w:eastAsia="Times New Roman" w:hAnsi="Times New Roman" w:cs="Times New Roman"/>
          <w:color w:val="000000" w:themeColor="text1"/>
          <w:sz w:val="20"/>
          <w:szCs w:val="20"/>
          <w:vertAlign w:val="superscript"/>
        </w:rPr>
        <w:t>2</w:t>
      </w:r>
      <w:r>
        <w:rPr>
          <w:rFonts w:ascii="Times New Roman" w:eastAsia="Times New Roman" w:hAnsi="Times New Roman" w:cs="Times New Roman"/>
          <w:color w:val="000000" w:themeColor="text1"/>
          <w:sz w:val="20"/>
          <w:szCs w:val="20"/>
          <w:vertAlign w:val="superscript"/>
        </w:rPr>
        <w:t xml:space="preserve"> </w:t>
      </w:r>
      <w:r>
        <w:rPr>
          <w:rFonts w:ascii="Times New Roman" w:eastAsia="Times New Roman" w:hAnsi="Times New Roman" w:cs="Times New Roman"/>
          <w:color w:val="000000" w:themeColor="text1"/>
          <w:sz w:val="20"/>
          <w:szCs w:val="20"/>
        </w:rPr>
        <w:t xml:space="preserve">test statistics of the differences in coefficients between subsamples.  </w:t>
      </w:r>
      <w:r w:rsidRPr="00B60E83">
        <w:rPr>
          <w:rFonts w:ascii="Times New Roman" w:eastAsia="Times New Roman" w:hAnsi="Times New Roman" w:cs="Times New Roman"/>
          <w:sz w:val="20"/>
          <w:szCs w:val="20"/>
        </w:rPr>
        <w:t>***, ** and * denote significance at the 1%, 5% and 10% levels, respectively.</w:t>
      </w:r>
      <w:r>
        <w:rPr>
          <w:rFonts w:ascii="Times New Roman" w:eastAsia="Times New Roman" w:hAnsi="Times New Roman" w:cs="Times New Roman"/>
          <w:sz w:val="20"/>
          <w:szCs w:val="20"/>
        </w:rPr>
        <w:t xml:space="preserve"> </w:t>
      </w:r>
    </w:p>
    <w:p w14:paraId="12B0F8D0" w14:textId="77777777" w:rsidR="009B5C0D" w:rsidRDefault="009B5C0D" w:rsidP="009B5C0D">
      <w:pPr>
        <w:spacing w:after="0" w:line="240" w:lineRule="auto"/>
        <w:rPr>
          <w:rFonts w:ascii="Times New Roman" w:eastAsia="Times New Roman" w:hAnsi="Times New Roman" w:cs="Times New Roman"/>
          <w:b/>
          <w:sz w:val="20"/>
          <w:szCs w:val="20"/>
        </w:rPr>
      </w:pPr>
    </w:p>
    <w:p w14:paraId="2A460607" w14:textId="77777777" w:rsidR="009B5C0D" w:rsidRDefault="009B5C0D" w:rsidP="009B5C0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B61F270" w14:textId="77777777" w:rsidR="009B5C0D" w:rsidRDefault="009B5C0D" w:rsidP="009B5C0D">
      <w:pPr>
        <w:spacing w:after="0" w:line="240" w:lineRule="auto"/>
        <w:rPr>
          <w:rFonts w:ascii="Times New Roman" w:eastAsia="Times New Roman" w:hAnsi="Times New Roman" w:cs="Times New Roman"/>
          <w:b/>
          <w:sz w:val="20"/>
          <w:szCs w:val="20"/>
        </w:rPr>
        <w:sectPr w:rsidR="009B5C0D" w:rsidSect="00B60E83">
          <w:footnotePr>
            <w:numRestart w:val="eachSect"/>
          </w:footnotePr>
          <w:pgSz w:w="11920" w:h="16840"/>
          <w:pgMar w:top="1247" w:right="1247" w:bottom="1247" w:left="1247" w:header="0" w:footer="806" w:gutter="0"/>
          <w:cols w:space="720"/>
        </w:sectPr>
      </w:pPr>
    </w:p>
    <w:p w14:paraId="579E9FDB" w14:textId="77777777" w:rsidR="009B5C0D" w:rsidRDefault="009B5C0D" w:rsidP="009B5C0D">
      <w:pPr>
        <w:spacing w:after="0" w:line="240" w:lineRule="auto"/>
        <w:rPr>
          <w:rFonts w:ascii="Times New Roman" w:eastAsia="Times New Roman" w:hAnsi="Times New Roman" w:cs="Times New Roman"/>
          <w:b/>
          <w:sz w:val="20"/>
          <w:szCs w:val="20"/>
        </w:rPr>
      </w:pPr>
      <w:r w:rsidRPr="00664EF4">
        <w:rPr>
          <w:rFonts w:ascii="Times New Roman" w:eastAsia="Times New Roman" w:hAnsi="Times New Roman" w:cs="Times New Roman"/>
          <w:b/>
          <w:sz w:val="20"/>
          <w:szCs w:val="20"/>
        </w:rPr>
        <w:lastRenderedPageBreak/>
        <w:t xml:space="preserve">Table </w:t>
      </w:r>
      <w:r>
        <w:rPr>
          <w:rFonts w:ascii="Times New Roman" w:eastAsia="Times New Roman" w:hAnsi="Times New Roman" w:cs="Times New Roman"/>
          <w:b/>
          <w:sz w:val="20"/>
          <w:szCs w:val="20"/>
        </w:rPr>
        <w:t>7: The impact of CEO age and capital intensity.</w:t>
      </w:r>
    </w:p>
    <w:p w14:paraId="7B678758" w14:textId="77777777" w:rsidR="009B5C0D" w:rsidRPr="00664EF4" w:rsidRDefault="009B5C0D" w:rsidP="009B5C0D">
      <w:pPr>
        <w:spacing w:after="0" w:line="240" w:lineRule="auto"/>
        <w:rPr>
          <w:rFonts w:ascii="Times New Roman" w:eastAsia="Times New Roman" w:hAnsi="Times New Roman" w:cs="Times New Roman"/>
          <w:b/>
          <w:sz w:val="20"/>
          <w:szCs w:val="20"/>
        </w:rPr>
      </w:pPr>
    </w:p>
    <w:p w14:paraId="4DC045A9" w14:textId="77777777" w:rsidR="009B5C0D" w:rsidRPr="00664EF4" w:rsidRDefault="009B5C0D" w:rsidP="009B5C0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Panel A: Firms with and without retirement-age CEOs </w:t>
      </w:r>
    </w:p>
    <w:tbl>
      <w:tblPr>
        <w:tblW w:w="8675" w:type="dxa"/>
        <w:tblLook w:val="04A0" w:firstRow="1" w:lastRow="0" w:firstColumn="1" w:lastColumn="0" w:noHBand="0" w:noVBand="1"/>
      </w:tblPr>
      <w:tblGrid>
        <w:gridCol w:w="3119"/>
        <w:gridCol w:w="2778"/>
        <w:gridCol w:w="2778"/>
      </w:tblGrid>
      <w:tr w:rsidR="009B5C0D" w:rsidRPr="00485B3F" w14:paraId="30D5697C" w14:textId="77777777" w:rsidTr="00213B08">
        <w:trPr>
          <w:trHeight w:val="312"/>
        </w:trPr>
        <w:tc>
          <w:tcPr>
            <w:tcW w:w="3119" w:type="dxa"/>
            <w:tcBorders>
              <w:top w:val="single" w:sz="4" w:space="0" w:color="auto"/>
              <w:left w:val="nil"/>
              <w:bottom w:val="nil"/>
              <w:right w:val="nil"/>
            </w:tcBorders>
            <w:shd w:val="clear" w:color="auto" w:fill="auto"/>
            <w:noWrap/>
            <w:vAlign w:val="center"/>
          </w:tcPr>
          <w:p w14:paraId="643D46A0"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Regression:</w:t>
            </w:r>
          </w:p>
        </w:tc>
        <w:tc>
          <w:tcPr>
            <w:tcW w:w="2778" w:type="dxa"/>
            <w:tcBorders>
              <w:top w:val="single" w:sz="4" w:space="0" w:color="auto"/>
              <w:left w:val="nil"/>
              <w:bottom w:val="nil"/>
              <w:right w:val="nil"/>
            </w:tcBorders>
            <w:shd w:val="clear" w:color="auto" w:fill="auto"/>
            <w:noWrap/>
            <w:vAlign w:val="center"/>
          </w:tcPr>
          <w:p w14:paraId="1DCB46FD"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7</w:t>
            </w:r>
            <w:r w:rsidRPr="00485B3F">
              <w:rPr>
                <w:rFonts w:ascii="Times New Roman" w:eastAsia="Times New Roman" w:hAnsi="Times New Roman" w:cs="Times New Roman"/>
                <w:color w:val="000000" w:themeColor="text1"/>
                <w:sz w:val="20"/>
                <w:szCs w:val="20"/>
              </w:rPr>
              <w:t>.1)</w:t>
            </w:r>
          </w:p>
        </w:tc>
        <w:tc>
          <w:tcPr>
            <w:tcW w:w="2778" w:type="dxa"/>
            <w:tcBorders>
              <w:top w:val="single" w:sz="4" w:space="0" w:color="auto"/>
              <w:left w:val="nil"/>
              <w:bottom w:val="nil"/>
              <w:right w:val="nil"/>
            </w:tcBorders>
            <w:shd w:val="clear" w:color="auto" w:fill="auto"/>
            <w:noWrap/>
            <w:vAlign w:val="center"/>
          </w:tcPr>
          <w:p w14:paraId="1A6F09BD"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7</w:t>
            </w:r>
            <w:r w:rsidRPr="00485B3F">
              <w:rPr>
                <w:rFonts w:ascii="Times New Roman" w:eastAsia="Times New Roman" w:hAnsi="Times New Roman" w:cs="Times New Roman"/>
                <w:color w:val="000000" w:themeColor="text1"/>
                <w:sz w:val="20"/>
                <w:szCs w:val="20"/>
              </w:rPr>
              <w:t>.2)</w:t>
            </w:r>
          </w:p>
        </w:tc>
      </w:tr>
      <w:tr w:rsidR="009B5C0D" w:rsidRPr="00485B3F" w14:paraId="19EBB623" w14:textId="77777777" w:rsidTr="00213B08">
        <w:trPr>
          <w:trHeight w:val="312"/>
        </w:trPr>
        <w:tc>
          <w:tcPr>
            <w:tcW w:w="3119" w:type="dxa"/>
            <w:tcBorders>
              <w:top w:val="single" w:sz="4" w:space="0" w:color="auto"/>
              <w:left w:val="nil"/>
              <w:bottom w:val="nil"/>
              <w:right w:val="nil"/>
            </w:tcBorders>
            <w:shd w:val="clear" w:color="auto" w:fill="auto"/>
            <w:noWrap/>
            <w:vAlign w:val="center"/>
            <w:hideMark/>
          </w:tcPr>
          <w:p w14:paraId="063C7B03"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5947E812" w14:textId="77777777" w:rsidR="009B5C0D" w:rsidRDefault="009B5C0D" w:rsidP="00213B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Near-Retirement-</w:t>
            </w:r>
            <w:r w:rsidRPr="00664EF4">
              <w:rPr>
                <w:rFonts w:ascii="Times New Roman" w:hAnsi="Times New Roman" w:cs="Times New Roman"/>
                <w:sz w:val="20"/>
                <w:szCs w:val="20"/>
              </w:rPr>
              <w:t>CEO</w:t>
            </w:r>
          </w:p>
          <w:p w14:paraId="369EED68" w14:textId="77777777" w:rsidR="009B5C0D" w:rsidRDefault="009B5C0D" w:rsidP="00213B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with Young-VPs</w:t>
            </w:r>
          </w:p>
          <w:p w14:paraId="0A0673B8"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34921184" w14:textId="77777777" w:rsidR="009B5C0D" w:rsidRDefault="009B5C0D" w:rsidP="00213B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Non-Retirement-CEO</w:t>
            </w:r>
          </w:p>
          <w:p w14:paraId="62B6CD38"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p>
        </w:tc>
      </w:tr>
      <w:tr w:rsidR="009B5C0D" w:rsidRPr="00485B3F" w14:paraId="290D14E8" w14:textId="77777777" w:rsidTr="00213B08">
        <w:trPr>
          <w:trHeight w:val="312"/>
        </w:trPr>
        <w:tc>
          <w:tcPr>
            <w:tcW w:w="3119" w:type="dxa"/>
            <w:tcBorders>
              <w:top w:val="nil"/>
              <w:left w:val="nil"/>
              <w:bottom w:val="single" w:sz="4" w:space="0" w:color="auto"/>
              <w:right w:val="nil"/>
            </w:tcBorders>
            <w:shd w:val="clear" w:color="auto" w:fill="auto"/>
            <w:noWrap/>
            <w:vAlign w:val="center"/>
            <w:hideMark/>
          </w:tcPr>
          <w:p w14:paraId="02B71990"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i/>
                <w:color w:val="000000"/>
                <w:sz w:val="20"/>
                <w:szCs w:val="20"/>
                <w:lang w:eastAsia="zh-CN"/>
              </w:rPr>
              <w:t>Dependent variable:</w:t>
            </w:r>
          </w:p>
        </w:tc>
        <w:tc>
          <w:tcPr>
            <w:tcW w:w="2778" w:type="dxa"/>
            <w:tcBorders>
              <w:top w:val="nil"/>
              <w:left w:val="nil"/>
              <w:bottom w:val="single" w:sz="4" w:space="0" w:color="auto"/>
              <w:right w:val="nil"/>
            </w:tcBorders>
            <w:shd w:val="clear" w:color="auto" w:fill="auto"/>
            <w:noWrap/>
            <w:vAlign w:val="center"/>
            <w:hideMark/>
          </w:tcPr>
          <w:p w14:paraId="455C494F"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Inst. Holdings</w:t>
            </w:r>
          </w:p>
        </w:tc>
        <w:tc>
          <w:tcPr>
            <w:tcW w:w="2778" w:type="dxa"/>
            <w:tcBorders>
              <w:top w:val="nil"/>
              <w:left w:val="nil"/>
              <w:bottom w:val="single" w:sz="4" w:space="0" w:color="auto"/>
              <w:right w:val="nil"/>
            </w:tcBorders>
            <w:shd w:val="clear" w:color="auto" w:fill="auto"/>
            <w:noWrap/>
            <w:vAlign w:val="center"/>
            <w:hideMark/>
          </w:tcPr>
          <w:p w14:paraId="007524B0"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Inst. Holdings</w:t>
            </w:r>
          </w:p>
        </w:tc>
      </w:tr>
      <w:tr w:rsidR="009B5C0D" w:rsidRPr="00485B3F" w14:paraId="3B37443F" w14:textId="77777777" w:rsidTr="00213B08">
        <w:trPr>
          <w:trHeight w:val="312"/>
        </w:trPr>
        <w:tc>
          <w:tcPr>
            <w:tcW w:w="3119" w:type="dxa"/>
            <w:tcBorders>
              <w:top w:val="single" w:sz="4" w:space="0" w:color="auto"/>
              <w:left w:val="nil"/>
              <w:bottom w:val="nil"/>
              <w:right w:val="nil"/>
            </w:tcBorders>
            <w:shd w:val="clear" w:color="auto" w:fill="auto"/>
            <w:noWrap/>
            <w:vAlign w:val="center"/>
            <w:hideMark/>
          </w:tcPr>
          <w:p w14:paraId="75E7DF1F"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5B67A19B"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31AFAAC6"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r>
      <w:tr w:rsidR="009B5C0D" w:rsidRPr="00485B3F" w14:paraId="51EE9F30" w14:textId="77777777" w:rsidTr="00213B08">
        <w:trPr>
          <w:trHeight w:val="312"/>
        </w:trPr>
        <w:tc>
          <w:tcPr>
            <w:tcW w:w="3119" w:type="dxa"/>
            <w:tcBorders>
              <w:top w:val="nil"/>
              <w:left w:val="nil"/>
              <w:bottom w:val="nil"/>
              <w:right w:val="nil"/>
            </w:tcBorders>
            <w:shd w:val="clear" w:color="auto" w:fill="auto"/>
            <w:noWrap/>
            <w:vAlign w:val="center"/>
            <w:hideMark/>
          </w:tcPr>
          <w:p w14:paraId="52420851" w14:textId="5D31F442"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CEO Pay Gap</w:t>
            </w:r>
            <w:r w:rsidR="00CD72EB">
              <w:rPr>
                <w:rFonts w:ascii="Times New Roman" w:eastAsia="Times New Roman" w:hAnsi="Times New Roman" w:cs="Times New Roman"/>
                <w:color w:val="000000" w:themeColor="text1"/>
                <w:sz w:val="20"/>
                <w:szCs w:val="20"/>
              </w:rPr>
              <w:t xml:space="preserve"> (t-1)</w:t>
            </w:r>
          </w:p>
        </w:tc>
        <w:tc>
          <w:tcPr>
            <w:tcW w:w="2778" w:type="dxa"/>
            <w:tcBorders>
              <w:top w:val="nil"/>
              <w:left w:val="nil"/>
              <w:bottom w:val="nil"/>
              <w:right w:val="nil"/>
            </w:tcBorders>
            <w:shd w:val="clear" w:color="auto" w:fill="auto"/>
            <w:noWrap/>
            <w:vAlign w:val="center"/>
            <w:hideMark/>
          </w:tcPr>
          <w:p w14:paraId="4A45E6B0"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627809">
              <w:rPr>
                <w:rFonts w:ascii="Times New Roman" w:hAnsi="Times New Roman" w:cs="Times New Roman"/>
                <w:color w:val="000000"/>
                <w:sz w:val="20"/>
              </w:rPr>
              <w:t xml:space="preserve"> 0.1764</w:t>
            </w:r>
          </w:p>
        </w:tc>
        <w:tc>
          <w:tcPr>
            <w:tcW w:w="2778" w:type="dxa"/>
            <w:tcBorders>
              <w:top w:val="nil"/>
              <w:left w:val="nil"/>
              <w:bottom w:val="nil"/>
              <w:right w:val="nil"/>
            </w:tcBorders>
            <w:shd w:val="clear" w:color="auto" w:fill="auto"/>
            <w:noWrap/>
            <w:vAlign w:val="center"/>
            <w:hideMark/>
          </w:tcPr>
          <w:p w14:paraId="76AFD0EA"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627809">
              <w:rPr>
                <w:rFonts w:ascii="Times New Roman" w:hAnsi="Times New Roman" w:cs="Times New Roman"/>
                <w:color w:val="000000"/>
                <w:sz w:val="20"/>
              </w:rPr>
              <w:t xml:space="preserve"> 0.1247</w:t>
            </w:r>
          </w:p>
        </w:tc>
      </w:tr>
      <w:tr w:rsidR="009B5C0D" w:rsidRPr="00485B3F" w14:paraId="25CBEED3" w14:textId="77777777" w:rsidTr="00213B08">
        <w:trPr>
          <w:trHeight w:val="312"/>
        </w:trPr>
        <w:tc>
          <w:tcPr>
            <w:tcW w:w="3119" w:type="dxa"/>
            <w:tcBorders>
              <w:top w:val="nil"/>
              <w:left w:val="nil"/>
              <w:bottom w:val="nil"/>
              <w:right w:val="nil"/>
            </w:tcBorders>
            <w:shd w:val="clear" w:color="auto" w:fill="auto"/>
            <w:noWrap/>
            <w:vAlign w:val="center"/>
            <w:hideMark/>
          </w:tcPr>
          <w:p w14:paraId="4A5DC9C8"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nil"/>
              <w:left w:val="nil"/>
              <w:bottom w:val="nil"/>
              <w:right w:val="nil"/>
            </w:tcBorders>
            <w:shd w:val="clear" w:color="auto" w:fill="auto"/>
            <w:noWrap/>
            <w:vAlign w:val="center"/>
            <w:hideMark/>
          </w:tcPr>
          <w:p w14:paraId="0B12D33A"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627809">
              <w:rPr>
                <w:rFonts w:ascii="Times New Roman" w:hAnsi="Times New Roman" w:cs="Times New Roman"/>
                <w:color w:val="000000"/>
                <w:sz w:val="20"/>
              </w:rPr>
              <w:t>(7.5249)***</w:t>
            </w:r>
          </w:p>
        </w:tc>
        <w:tc>
          <w:tcPr>
            <w:tcW w:w="2778" w:type="dxa"/>
            <w:tcBorders>
              <w:top w:val="nil"/>
              <w:left w:val="nil"/>
              <w:bottom w:val="nil"/>
              <w:right w:val="nil"/>
            </w:tcBorders>
            <w:shd w:val="clear" w:color="auto" w:fill="auto"/>
            <w:noWrap/>
            <w:vAlign w:val="center"/>
            <w:hideMark/>
          </w:tcPr>
          <w:p w14:paraId="6C3E1C2E"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627809">
              <w:rPr>
                <w:rFonts w:ascii="Times New Roman" w:hAnsi="Times New Roman" w:cs="Times New Roman"/>
                <w:color w:val="000000"/>
                <w:sz w:val="20"/>
              </w:rPr>
              <w:t>(7.9584)***</w:t>
            </w:r>
          </w:p>
        </w:tc>
      </w:tr>
      <w:tr w:rsidR="009B5C0D" w:rsidRPr="00485B3F" w14:paraId="511D7AD8" w14:textId="77777777" w:rsidTr="00213B08">
        <w:trPr>
          <w:trHeight w:val="312"/>
        </w:trPr>
        <w:tc>
          <w:tcPr>
            <w:tcW w:w="3119" w:type="dxa"/>
            <w:tcBorders>
              <w:top w:val="nil"/>
              <w:left w:val="nil"/>
              <w:right w:val="nil"/>
            </w:tcBorders>
            <w:shd w:val="clear" w:color="auto" w:fill="auto"/>
            <w:noWrap/>
            <w:vAlign w:val="center"/>
            <w:hideMark/>
          </w:tcPr>
          <w:p w14:paraId="1B95CD87"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nil"/>
              <w:left w:val="nil"/>
              <w:right w:val="nil"/>
            </w:tcBorders>
            <w:shd w:val="clear" w:color="auto" w:fill="auto"/>
            <w:noWrap/>
            <w:vAlign w:val="center"/>
            <w:hideMark/>
          </w:tcPr>
          <w:p w14:paraId="5CFA6259"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c>
          <w:tcPr>
            <w:tcW w:w="2778" w:type="dxa"/>
            <w:tcBorders>
              <w:top w:val="nil"/>
              <w:left w:val="nil"/>
              <w:right w:val="nil"/>
            </w:tcBorders>
            <w:shd w:val="clear" w:color="auto" w:fill="auto"/>
            <w:noWrap/>
            <w:vAlign w:val="center"/>
            <w:hideMark/>
          </w:tcPr>
          <w:p w14:paraId="0C9BD3EA"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r>
      <w:tr w:rsidR="009B5C0D" w:rsidRPr="00485B3F" w14:paraId="4BEA2951" w14:textId="77777777" w:rsidTr="00213B08">
        <w:trPr>
          <w:trHeight w:val="312"/>
        </w:trPr>
        <w:tc>
          <w:tcPr>
            <w:tcW w:w="3119" w:type="dxa"/>
            <w:tcBorders>
              <w:top w:val="nil"/>
              <w:left w:val="nil"/>
              <w:bottom w:val="nil"/>
              <w:right w:val="nil"/>
            </w:tcBorders>
            <w:shd w:val="clear" w:color="auto" w:fill="auto"/>
            <w:noWrap/>
            <w:vAlign w:val="center"/>
            <w:hideMark/>
          </w:tcPr>
          <w:p w14:paraId="72FE8B34"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Observations:</w:t>
            </w:r>
          </w:p>
        </w:tc>
        <w:tc>
          <w:tcPr>
            <w:tcW w:w="2778" w:type="dxa"/>
            <w:tcBorders>
              <w:top w:val="nil"/>
              <w:left w:val="nil"/>
              <w:bottom w:val="nil"/>
              <w:right w:val="nil"/>
            </w:tcBorders>
            <w:shd w:val="clear" w:color="auto" w:fill="auto"/>
            <w:noWrap/>
            <w:vAlign w:val="center"/>
            <w:hideMark/>
          </w:tcPr>
          <w:p w14:paraId="2A2F48D2"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rPr>
              <w:t>1,872</w:t>
            </w:r>
          </w:p>
        </w:tc>
        <w:tc>
          <w:tcPr>
            <w:tcW w:w="2778" w:type="dxa"/>
            <w:tcBorders>
              <w:top w:val="nil"/>
              <w:left w:val="nil"/>
              <w:bottom w:val="nil"/>
              <w:right w:val="nil"/>
            </w:tcBorders>
            <w:shd w:val="clear" w:color="auto" w:fill="auto"/>
            <w:noWrap/>
            <w:vAlign w:val="center"/>
            <w:hideMark/>
          </w:tcPr>
          <w:p w14:paraId="73096EBC"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rPr>
              <w:t>9,490</w:t>
            </w:r>
          </w:p>
        </w:tc>
      </w:tr>
      <w:tr w:rsidR="009B5C0D" w:rsidRPr="00485B3F" w14:paraId="4026E7EC" w14:textId="77777777" w:rsidTr="00213B08">
        <w:trPr>
          <w:trHeight w:val="312"/>
        </w:trPr>
        <w:tc>
          <w:tcPr>
            <w:tcW w:w="3119" w:type="dxa"/>
            <w:tcBorders>
              <w:top w:val="nil"/>
              <w:left w:val="nil"/>
              <w:bottom w:val="nil"/>
              <w:right w:val="nil"/>
            </w:tcBorders>
            <w:shd w:val="clear" w:color="auto" w:fill="auto"/>
            <w:noWrap/>
            <w:vAlign w:val="center"/>
            <w:hideMark/>
          </w:tcPr>
          <w:p w14:paraId="713FEE8D"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roofErr w:type="spellStart"/>
            <w:r w:rsidRPr="00485B3F">
              <w:rPr>
                <w:rFonts w:ascii="Times New Roman" w:eastAsia="Times New Roman" w:hAnsi="Times New Roman" w:cs="Times New Roman"/>
                <w:color w:val="000000" w:themeColor="text1"/>
                <w:sz w:val="20"/>
                <w:szCs w:val="20"/>
              </w:rPr>
              <w:t>Adj</w:t>
            </w:r>
            <w:proofErr w:type="spellEnd"/>
            <w:r w:rsidRPr="00485B3F">
              <w:rPr>
                <w:rFonts w:ascii="Times New Roman" w:eastAsia="Times New Roman" w:hAnsi="Times New Roman" w:cs="Times New Roman"/>
                <w:color w:val="000000" w:themeColor="text1"/>
                <w:sz w:val="20"/>
                <w:szCs w:val="20"/>
              </w:rPr>
              <w:t xml:space="preserve"> </w:t>
            </w:r>
            <w:r w:rsidRPr="00485B3F">
              <w:rPr>
                <w:rFonts w:ascii="Times New Roman" w:eastAsia="Times New Roman" w:hAnsi="Times New Roman" w:cs="Times New Roman"/>
                <w:color w:val="000000"/>
                <w:sz w:val="20"/>
                <w:szCs w:val="20"/>
                <w:lang w:eastAsia="zh-CN"/>
              </w:rPr>
              <w:t>R-squared:</w:t>
            </w:r>
          </w:p>
        </w:tc>
        <w:tc>
          <w:tcPr>
            <w:tcW w:w="2778" w:type="dxa"/>
            <w:tcBorders>
              <w:top w:val="nil"/>
              <w:left w:val="nil"/>
              <w:bottom w:val="nil"/>
              <w:right w:val="nil"/>
            </w:tcBorders>
            <w:shd w:val="clear" w:color="auto" w:fill="auto"/>
            <w:noWrap/>
            <w:vAlign w:val="center"/>
            <w:hideMark/>
          </w:tcPr>
          <w:p w14:paraId="3CAF872B"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rPr>
              <w:t>0.2502</w:t>
            </w:r>
          </w:p>
        </w:tc>
        <w:tc>
          <w:tcPr>
            <w:tcW w:w="2778" w:type="dxa"/>
            <w:tcBorders>
              <w:top w:val="nil"/>
              <w:left w:val="nil"/>
              <w:bottom w:val="nil"/>
              <w:right w:val="nil"/>
            </w:tcBorders>
            <w:shd w:val="clear" w:color="auto" w:fill="auto"/>
            <w:noWrap/>
            <w:vAlign w:val="center"/>
            <w:hideMark/>
          </w:tcPr>
          <w:p w14:paraId="34E13E7C"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rPr>
              <w:t>0.2676</w:t>
            </w:r>
          </w:p>
        </w:tc>
      </w:tr>
      <w:tr w:rsidR="009B5C0D" w:rsidRPr="00485B3F" w14:paraId="07D80631" w14:textId="77777777" w:rsidTr="00213B08">
        <w:trPr>
          <w:trHeight w:val="312"/>
        </w:trPr>
        <w:tc>
          <w:tcPr>
            <w:tcW w:w="3119" w:type="dxa"/>
            <w:tcBorders>
              <w:top w:val="nil"/>
              <w:left w:val="nil"/>
              <w:bottom w:val="nil"/>
              <w:right w:val="nil"/>
            </w:tcBorders>
            <w:shd w:val="clear" w:color="auto" w:fill="auto"/>
            <w:noWrap/>
            <w:vAlign w:val="center"/>
            <w:hideMark/>
          </w:tcPr>
          <w:p w14:paraId="2F9C3083"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Control variables:</w:t>
            </w:r>
          </w:p>
        </w:tc>
        <w:tc>
          <w:tcPr>
            <w:tcW w:w="2778" w:type="dxa"/>
            <w:tcBorders>
              <w:top w:val="nil"/>
              <w:left w:val="nil"/>
              <w:bottom w:val="nil"/>
              <w:right w:val="nil"/>
            </w:tcBorders>
            <w:shd w:val="clear" w:color="auto" w:fill="auto"/>
            <w:noWrap/>
            <w:vAlign w:val="center"/>
            <w:hideMark/>
          </w:tcPr>
          <w:p w14:paraId="15FDDB06"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hideMark/>
          </w:tcPr>
          <w:p w14:paraId="46C828F4"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Yes</w:t>
            </w:r>
          </w:p>
        </w:tc>
      </w:tr>
      <w:tr w:rsidR="009B5C0D" w:rsidRPr="00485B3F" w14:paraId="4E4E0429" w14:textId="77777777" w:rsidTr="00213B08">
        <w:trPr>
          <w:trHeight w:val="312"/>
        </w:trPr>
        <w:tc>
          <w:tcPr>
            <w:tcW w:w="3119" w:type="dxa"/>
            <w:tcBorders>
              <w:top w:val="nil"/>
              <w:left w:val="nil"/>
              <w:bottom w:val="nil"/>
              <w:right w:val="nil"/>
            </w:tcBorders>
            <w:shd w:val="clear" w:color="auto" w:fill="auto"/>
            <w:noWrap/>
            <w:vAlign w:val="center"/>
          </w:tcPr>
          <w:p w14:paraId="05722859"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sz w:val="20"/>
                <w:szCs w:val="20"/>
                <w:lang w:eastAsia="en-AU"/>
              </w:rPr>
              <w:t>Year</w:t>
            </w:r>
            <w:r w:rsidRPr="001E5803">
              <w:rPr>
                <w:rFonts w:ascii="Times New Roman" w:eastAsia="Times New Roman" w:hAnsi="Times New Roman" w:cs="Times New Roman"/>
                <w:color w:val="000000"/>
                <w:sz w:val="20"/>
                <w:szCs w:val="20"/>
                <w:lang w:eastAsia="en-AU"/>
              </w:rPr>
              <w:t xml:space="preserve"> Fixed Effects:</w:t>
            </w:r>
          </w:p>
        </w:tc>
        <w:tc>
          <w:tcPr>
            <w:tcW w:w="2778" w:type="dxa"/>
            <w:tcBorders>
              <w:top w:val="nil"/>
              <w:left w:val="nil"/>
              <w:bottom w:val="nil"/>
              <w:right w:val="nil"/>
            </w:tcBorders>
            <w:shd w:val="clear" w:color="auto" w:fill="auto"/>
            <w:noWrap/>
            <w:vAlign w:val="center"/>
          </w:tcPr>
          <w:p w14:paraId="078287B2"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tcPr>
          <w:p w14:paraId="359C7555"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Yes</w:t>
            </w:r>
          </w:p>
        </w:tc>
      </w:tr>
      <w:tr w:rsidR="009B5C0D" w:rsidRPr="00485B3F" w14:paraId="4AA5209C" w14:textId="77777777" w:rsidTr="00213B08">
        <w:trPr>
          <w:trHeight w:val="312"/>
        </w:trPr>
        <w:tc>
          <w:tcPr>
            <w:tcW w:w="3119" w:type="dxa"/>
            <w:tcBorders>
              <w:top w:val="nil"/>
              <w:left w:val="nil"/>
              <w:bottom w:val="nil"/>
              <w:right w:val="nil"/>
            </w:tcBorders>
            <w:shd w:val="clear" w:color="auto" w:fill="auto"/>
            <w:noWrap/>
            <w:vAlign w:val="center"/>
          </w:tcPr>
          <w:p w14:paraId="22028146"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Industry Fixed Effects:</w:t>
            </w:r>
          </w:p>
        </w:tc>
        <w:tc>
          <w:tcPr>
            <w:tcW w:w="2778" w:type="dxa"/>
            <w:tcBorders>
              <w:top w:val="nil"/>
              <w:left w:val="nil"/>
              <w:bottom w:val="nil"/>
              <w:right w:val="nil"/>
            </w:tcBorders>
            <w:shd w:val="clear" w:color="auto" w:fill="auto"/>
            <w:noWrap/>
            <w:vAlign w:val="center"/>
          </w:tcPr>
          <w:p w14:paraId="55260EE1"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tcPr>
          <w:p w14:paraId="3015AD46"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Yes</w:t>
            </w:r>
          </w:p>
        </w:tc>
      </w:tr>
      <w:tr w:rsidR="009B5C0D" w:rsidRPr="00485B3F" w14:paraId="416CA5E9" w14:textId="77777777" w:rsidTr="00213B08">
        <w:trPr>
          <w:trHeight w:val="312"/>
        </w:trPr>
        <w:tc>
          <w:tcPr>
            <w:tcW w:w="3119" w:type="dxa"/>
            <w:tcBorders>
              <w:top w:val="nil"/>
              <w:left w:val="nil"/>
              <w:right w:val="nil"/>
            </w:tcBorders>
            <w:shd w:val="clear" w:color="auto" w:fill="auto"/>
            <w:noWrap/>
            <w:vAlign w:val="center"/>
          </w:tcPr>
          <w:p w14:paraId="3BE0D3C5"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p>
        </w:tc>
        <w:tc>
          <w:tcPr>
            <w:tcW w:w="2778" w:type="dxa"/>
            <w:tcBorders>
              <w:top w:val="nil"/>
              <w:left w:val="nil"/>
              <w:right w:val="nil"/>
            </w:tcBorders>
            <w:shd w:val="clear" w:color="auto" w:fill="auto"/>
            <w:noWrap/>
            <w:vAlign w:val="center"/>
          </w:tcPr>
          <w:p w14:paraId="3B28F0E7"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highlight w:val="cyan"/>
              </w:rPr>
            </w:pPr>
          </w:p>
        </w:tc>
        <w:tc>
          <w:tcPr>
            <w:tcW w:w="2778" w:type="dxa"/>
            <w:tcBorders>
              <w:top w:val="nil"/>
              <w:left w:val="nil"/>
              <w:right w:val="nil"/>
            </w:tcBorders>
            <w:shd w:val="clear" w:color="auto" w:fill="auto"/>
            <w:noWrap/>
            <w:vAlign w:val="center"/>
          </w:tcPr>
          <w:p w14:paraId="2CAE9A92"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highlight w:val="cyan"/>
              </w:rPr>
            </w:pPr>
          </w:p>
        </w:tc>
      </w:tr>
      <w:tr w:rsidR="009B5C0D" w:rsidRPr="00485B3F" w14:paraId="7FCDCA75" w14:textId="77777777" w:rsidTr="00213B08">
        <w:trPr>
          <w:trHeight w:val="312"/>
        </w:trPr>
        <w:tc>
          <w:tcPr>
            <w:tcW w:w="3119" w:type="dxa"/>
            <w:tcBorders>
              <w:top w:val="nil"/>
              <w:left w:val="nil"/>
              <w:bottom w:val="single" w:sz="4" w:space="0" w:color="auto"/>
              <w:right w:val="nil"/>
            </w:tcBorders>
            <w:shd w:val="clear" w:color="auto" w:fill="auto"/>
            <w:noWrap/>
            <w:vAlign w:val="center"/>
          </w:tcPr>
          <w:p w14:paraId="0025B171"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7</w:t>
            </w:r>
            <w:r w:rsidRPr="00485B3F">
              <w:rPr>
                <w:rFonts w:ascii="Times New Roman" w:eastAsia="Times New Roman" w:hAnsi="Times New Roman" w:cs="Times New Roman"/>
                <w:color w:val="000000" w:themeColor="text1"/>
                <w:sz w:val="20"/>
                <w:szCs w:val="20"/>
              </w:rPr>
              <w:t>.1) – (</w:t>
            </w:r>
            <w:r>
              <w:rPr>
                <w:rFonts w:ascii="Times New Roman" w:eastAsia="Times New Roman" w:hAnsi="Times New Roman" w:cs="Times New Roman"/>
                <w:color w:val="000000" w:themeColor="text1"/>
                <w:sz w:val="20"/>
                <w:szCs w:val="20"/>
              </w:rPr>
              <w:t>7</w:t>
            </w:r>
            <w:r w:rsidRPr="00485B3F">
              <w:rPr>
                <w:rFonts w:ascii="Times New Roman" w:eastAsia="Times New Roman" w:hAnsi="Times New Roman" w:cs="Times New Roman"/>
                <w:color w:val="000000" w:themeColor="text1"/>
                <w:sz w:val="20"/>
                <w:szCs w:val="20"/>
              </w:rPr>
              <w:t xml:space="preserve">.2) </w:t>
            </w:r>
          </w:p>
          <w:p w14:paraId="4114EEB4"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 xml:space="preserve">Difference in CEO Pay Gap coefficients </w:t>
            </w:r>
          </w:p>
        </w:tc>
        <w:tc>
          <w:tcPr>
            <w:tcW w:w="5556" w:type="dxa"/>
            <w:gridSpan w:val="2"/>
            <w:tcBorders>
              <w:top w:val="nil"/>
              <w:left w:val="nil"/>
              <w:bottom w:val="single" w:sz="4" w:space="0" w:color="auto"/>
              <w:right w:val="nil"/>
            </w:tcBorders>
            <w:shd w:val="clear" w:color="auto" w:fill="auto"/>
            <w:noWrap/>
            <w:vAlign w:val="center"/>
          </w:tcPr>
          <w:p w14:paraId="5B164123" w14:textId="77777777" w:rsidR="009B5C0D" w:rsidRPr="00C6497A"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627809">
              <w:rPr>
                <w:rFonts w:eastAsia="Times New Roman"/>
                <w:color w:val="000000" w:themeColor="text1"/>
                <w:sz w:val="20"/>
                <w:szCs w:val="20"/>
              </w:rPr>
              <w:t>χ</w:t>
            </w:r>
            <w:r w:rsidRPr="00CA4031">
              <w:rPr>
                <w:rFonts w:eastAsia="Times New Roman"/>
                <w:color w:val="000000" w:themeColor="text1"/>
                <w:sz w:val="20"/>
                <w:szCs w:val="20"/>
                <w:vertAlign w:val="superscript"/>
              </w:rPr>
              <w:t>2</w:t>
            </w:r>
            <w:r w:rsidRPr="00627809">
              <w:rPr>
                <w:rFonts w:ascii="Times New Roman" w:eastAsia="Times New Roman" w:hAnsi="Times New Roman" w:cs="Times New Roman"/>
                <w:color w:val="000000" w:themeColor="text1"/>
                <w:sz w:val="20"/>
                <w:szCs w:val="20"/>
              </w:rPr>
              <w:t xml:space="preserve"> test = 3.46*</w:t>
            </w:r>
          </w:p>
        </w:tc>
      </w:tr>
    </w:tbl>
    <w:p w14:paraId="14DCD62E" w14:textId="77777777" w:rsidR="009B5C0D" w:rsidRPr="00485B3F" w:rsidRDefault="009B5C0D" w:rsidP="009B5C0D">
      <w:pPr>
        <w:spacing w:after="0" w:line="240" w:lineRule="auto"/>
        <w:rPr>
          <w:rFonts w:ascii="Times New Roman" w:eastAsia="Times New Roman" w:hAnsi="Times New Roman" w:cs="Times New Roman"/>
          <w:b/>
          <w:sz w:val="20"/>
          <w:szCs w:val="20"/>
        </w:rPr>
      </w:pPr>
    </w:p>
    <w:p w14:paraId="771156EF" w14:textId="77777777" w:rsidR="009B5C0D" w:rsidRPr="00485B3F" w:rsidRDefault="009B5C0D" w:rsidP="009B5C0D">
      <w:pPr>
        <w:spacing w:after="0" w:line="240" w:lineRule="auto"/>
        <w:rPr>
          <w:rFonts w:ascii="Times New Roman" w:eastAsia="Times New Roman" w:hAnsi="Times New Roman" w:cs="Times New Roman"/>
          <w:b/>
          <w:sz w:val="20"/>
          <w:szCs w:val="20"/>
        </w:rPr>
      </w:pPr>
    </w:p>
    <w:p w14:paraId="6F40FFD0" w14:textId="77777777" w:rsidR="009B5C0D" w:rsidRPr="00485B3F" w:rsidRDefault="009B5C0D" w:rsidP="009B5C0D">
      <w:pPr>
        <w:spacing w:after="0" w:line="240" w:lineRule="auto"/>
        <w:rPr>
          <w:rFonts w:ascii="Times New Roman" w:eastAsia="Times New Roman" w:hAnsi="Times New Roman" w:cs="Times New Roman"/>
          <w:b/>
          <w:sz w:val="20"/>
          <w:szCs w:val="20"/>
        </w:rPr>
      </w:pPr>
      <w:r w:rsidRPr="00485B3F">
        <w:rPr>
          <w:rFonts w:ascii="Times New Roman" w:eastAsia="Times New Roman" w:hAnsi="Times New Roman" w:cs="Times New Roman"/>
          <w:b/>
          <w:sz w:val="20"/>
          <w:szCs w:val="20"/>
        </w:rPr>
        <w:t xml:space="preserve">Panel B: </w:t>
      </w:r>
      <w:r>
        <w:rPr>
          <w:rFonts w:ascii="Times New Roman" w:eastAsia="Times New Roman" w:hAnsi="Times New Roman" w:cs="Times New Roman"/>
          <w:b/>
          <w:sz w:val="20"/>
          <w:szCs w:val="20"/>
        </w:rPr>
        <w:t>High vs low CAPEX firms</w:t>
      </w:r>
    </w:p>
    <w:tbl>
      <w:tblPr>
        <w:tblW w:w="8675" w:type="dxa"/>
        <w:tblLook w:val="04A0" w:firstRow="1" w:lastRow="0" w:firstColumn="1" w:lastColumn="0" w:noHBand="0" w:noVBand="1"/>
      </w:tblPr>
      <w:tblGrid>
        <w:gridCol w:w="3119"/>
        <w:gridCol w:w="2778"/>
        <w:gridCol w:w="2778"/>
      </w:tblGrid>
      <w:tr w:rsidR="009B5C0D" w:rsidRPr="00485B3F" w14:paraId="5A990665" w14:textId="77777777" w:rsidTr="00213B08">
        <w:trPr>
          <w:trHeight w:val="312"/>
        </w:trPr>
        <w:tc>
          <w:tcPr>
            <w:tcW w:w="3119" w:type="dxa"/>
            <w:tcBorders>
              <w:top w:val="single" w:sz="4" w:space="0" w:color="auto"/>
              <w:left w:val="nil"/>
              <w:bottom w:val="nil"/>
              <w:right w:val="nil"/>
            </w:tcBorders>
            <w:shd w:val="clear" w:color="auto" w:fill="auto"/>
            <w:noWrap/>
            <w:vAlign w:val="center"/>
          </w:tcPr>
          <w:p w14:paraId="2BA2CB78"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Regression:</w:t>
            </w:r>
          </w:p>
        </w:tc>
        <w:tc>
          <w:tcPr>
            <w:tcW w:w="2778" w:type="dxa"/>
            <w:tcBorders>
              <w:top w:val="single" w:sz="4" w:space="0" w:color="auto"/>
              <w:left w:val="nil"/>
              <w:bottom w:val="nil"/>
              <w:right w:val="nil"/>
            </w:tcBorders>
            <w:shd w:val="clear" w:color="auto" w:fill="auto"/>
            <w:noWrap/>
            <w:vAlign w:val="center"/>
          </w:tcPr>
          <w:p w14:paraId="1F648CA4"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7</w:t>
            </w:r>
            <w:r w:rsidRPr="00485B3F">
              <w:rPr>
                <w:rFonts w:ascii="Times New Roman" w:eastAsia="Times New Roman" w:hAnsi="Times New Roman" w:cs="Times New Roman"/>
                <w:color w:val="000000" w:themeColor="text1"/>
                <w:sz w:val="20"/>
                <w:szCs w:val="20"/>
              </w:rPr>
              <w:t>.3)</w:t>
            </w:r>
          </w:p>
        </w:tc>
        <w:tc>
          <w:tcPr>
            <w:tcW w:w="2778" w:type="dxa"/>
            <w:tcBorders>
              <w:top w:val="single" w:sz="4" w:space="0" w:color="auto"/>
              <w:left w:val="nil"/>
              <w:bottom w:val="nil"/>
              <w:right w:val="nil"/>
            </w:tcBorders>
            <w:shd w:val="clear" w:color="auto" w:fill="auto"/>
            <w:noWrap/>
            <w:vAlign w:val="center"/>
          </w:tcPr>
          <w:p w14:paraId="6F744572"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themeColor="text1"/>
                <w:sz w:val="20"/>
                <w:szCs w:val="20"/>
              </w:rPr>
              <w:t>(7</w:t>
            </w:r>
            <w:r w:rsidRPr="00485B3F">
              <w:rPr>
                <w:rFonts w:ascii="Times New Roman" w:eastAsia="Times New Roman" w:hAnsi="Times New Roman" w:cs="Times New Roman"/>
                <w:color w:val="000000" w:themeColor="text1"/>
                <w:sz w:val="20"/>
                <w:szCs w:val="20"/>
              </w:rPr>
              <w:t>.4)</w:t>
            </w:r>
          </w:p>
        </w:tc>
      </w:tr>
      <w:tr w:rsidR="009B5C0D" w:rsidRPr="00485B3F" w14:paraId="09C8F73A" w14:textId="77777777" w:rsidTr="00213B08">
        <w:trPr>
          <w:trHeight w:val="312"/>
        </w:trPr>
        <w:tc>
          <w:tcPr>
            <w:tcW w:w="3119" w:type="dxa"/>
            <w:tcBorders>
              <w:top w:val="single" w:sz="4" w:space="0" w:color="auto"/>
              <w:left w:val="nil"/>
              <w:bottom w:val="nil"/>
              <w:right w:val="nil"/>
            </w:tcBorders>
            <w:shd w:val="clear" w:color="auto" w:fill="auto"/>
            <w:noWrap/>
            <w:vAlign w:val="center"/>
            <w:hideMark/>
          </w:tcPr>
          <w:p w14:paraId="3B9744C2"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353587D1"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664EF4">
              <w:rPr>
                <w:rFonts w:ascii="Times New Roman" w:eastAsia="Times New Roman" w:hAnsi="Times New Roman" w:cs="Times New Roman"/>
                <w:color w:val="000000"/>
                <w:sz w:val="20"/>
                <w:szCs w:val="20"/>
                <w:lang w:eastAsia="en-AU"/>
              </w:rPr>
              <w:t>High CAPEX</w:t>
            </w:r>
          </w:p>
        </w:tc>
        <w:tc>
          <w:tcPr>
            <w:tcW w:w="2778" w:type="dxa"/>
            <w:tcBorders>
              <w:top w:val="single" w:sz="4" w:space="0" w:color="auto"/>
              <w:left w:val="nil"/>
              <w:bottom w:val="nil"/>
              <w:right w:val="nil"/>
            </w:tcBorders>
            <w:shd w:val="clear" w:color="auto" w:fill="auto"/>
            <w:noWrap/>
            <w:vAlign w:val="center"/>
            <w:hideMark/>
          </w:tcPr>
          <w:p w14:paraId="61A81F63"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664EF4">
              <w:rPr>
                <w:rFonts w:ascii="Times New Roman" w:eastAsia="Times New Roman" w:hAnsi="Times New Roman" w:cs="Times New Roman"/>
                <w:color w:val="000000"/>
                <w:sz w:val="20"/>
                <w:szCs w:val="20"/>
                <w:lang w:eastAsia="en-AU"/>
              </w:rPr>
              <w:t>Low CAPEX</w:t>
            </w:r>
          </w:p>
        </w:tc>
      </w:tr>
      <w:tr w:rsidR="009B5C0D" w:rsidRPr="00485B3F" w14:paraId="5F42D4F8" w14:textId="77777777" w:rsidTr="00213B08">
        <w:trPr>
          <w:trHeight w:val="312"/>
        </w:trPr>
        <w:tc>
          <w:tcPr>
            <w:tcW w:w="3119" w:type="dxa"/>
            <w:tcBorders>
              <w:top w:val="nil"/>
              <w:left w:val="nil"/>
              <w:bottom w:val="single" w:sz="4" w:space="0" w:color="auto"/>
              <w:right w:val="nil"/>
            </w:tcBorders>
            <w:shd w:val="clear" w:color="auto" w:fill="auto"/>
            <w:noWrap/>
            <w:vAlign w:val="center"/>
            <w:hideMark/>
          </w:tcPr>
          <w:p w14:paraId="7DC132E0" w14:textId="77777777" w:rsidR="009B5C0D" w:rsidRDefault="009B5C0D" w:rsidP="00213B08">
            <w:pPr>
              <w:spacing w:after="0" w:line="240" w:lineRule="auto"/>
              <w:rPr>
                <w:rFonts w:ascii="Times New Roman" w:eastAsia="Times New Roman" w:hAnsi="Times New Roman" w:cs="Times New Roman"/>
                <w:i/>
                <w:color w:val="000000"/>
                <w:sz w:val="20"/>
                <w:szCs w:val="20"/>
                <w:lang w:eastAsia="zh-CN"/>
              </w:rPr>
            </w:pPr>
          </w:p>
          <w:p w14:paraId="77C9AE29"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i/>
                <w:color w:val="000000"/>
                <w:sz w:val="20"/>
                <w:szCs w:val="20"/>
                <w:lang w:eastAsia="zh-CN"/>
              </w:rPr>
              <w:t>Dependent variable:</w:t>
            </w:r>
          </w:p>
        </w:tc>
        <w:tc>
          <w:tcPr>
            <w:tcW w:w="2778" w:type="dxa"/>
            <w:tcBorders>
              <w:top w:val="nil"/>
              <w:left w:val="nil"/>
              <w:bottom w:val="single" w:sz="4" w:space="0" w:color="auto"/>
              <w:right w:val="nil"/>
            </w:tcBorders>
            <w:shd w:val="clear" w:color="auto" w:fill="auto"/>
            <w:noWrap/>
            <w:vAlign w:val="center"/>
            <w:hideMark/>
          </w:tcPr>
          <w:p w14:paraId="0F2B6597" w14:textId="77777777" w:rsidR="009B5C0D" w:rsidRDefault="009B5C0D" w:rsidP="00213B08">
            <w:pPr>
              <w:spacing w:after="0" w:line="240" w:lineRule="auto"/>
              <w:jc w:val="center"/>
              <w:rPr>
                <w:rFonts w:ascii="Times New Roman" w:eastAsia="Times New Roman" w:hAnsi="Times New Roman" w:cs="Times New Roman"/>
                <w:color w:val="000000"/>
                <w:sz w:val="20"/>
                <w:szCs w:val="20"/>
                <w:lang w:eastAsia="en-AU"/>
              </w:rPr>
            </w:pPr>
          </w:p>
          <w:p w14:paraId="0EE50DBA"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Inst. Holdings</w:t>
            </w:r>
          </w:p>
        </w:tc>
        <w:tc>
          <w:tcPr>
            <w:tcW w:w="2778" w:type="dxa"/>
            <w:tcBorders>
              <w:top w:val="nil"/>
              <w:left w:val="nil"/>
              <w:bottom w:val="single" w:sz="4" w:space="0" w:color="auto"/>
              <w:right w:val="nil"/>
            </w:tcBorders>
            <w:shd w:val="clear" w:color="auto" w:fill="auto"/>
            <w:noWrap/>
            <w:vAlign w:val="center"/>
            <w:hideMark/>
          </w:tcPr>
          <w:p w14:paraId="044C5112" w14:textId="77777777" w:rsidR="009B5C0D" w:rsidRDefault="009B5C0D" w:rsidP="00213B08">
            <w:pPr>
              <w:spacing w:after="0" w:line="240" w:lineRule="auto"/>
              <w:jc w:val="center"/>
              <w:rPr>
                <w:rFonts w:ascii="Times New Roman" w:eastAsia="Times New Roman" w:hAnsi="Times New Roman" w:cs="Times New Roman"/>
                <w:color w:val="000000"/>
                <w:sz w:val="20"/>
                <w:szCs w:val="20"/>
                <w:lang w:eastAsia="en-AU"/>
              </w:rPr>
            </w:pPr>
          </w:p>
          <w:p w14:paraId="7ECED15D"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Inst. Holdings</w:t>
            </w:r>
          </w:p>
        </w:tc>
      </w:tr>
      <w:tr w:rsidR="009B5C0D" w:rsidRPr="00485B3F" w14:paraId="5DBA7FC4" w14:textId="77777777" w:rsidTr="00213B08">
        <w:trPr>
          <w:trHeight w:val="312"/>
        </w:trPr>
        <w:tc>
          <w:tcPr>
            <w:tcW w:w="3119" w:type="dxa"/>
            <w:tcBorders>
              <w:top w:val="single" w:sz="4" w:space="0" w:color="auto"/>
              <w:left w:val="nil"/>
              <w:bottom w:val="nil"/>
              <w:right w:val="nil"/>
            </w:tcBorders>
            <w:shd w:val="clear" w:color="auto" w:fill="auto"/>
            <w:noWrap/>
            <w:vAlign w:val="center"/>
            <w:hideMark/>
          </w:tcPr>
          <w:p w14:paraId="21F1156C"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38CF9638"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c>
          <w:tcPr>
            <w:tcW w:w="2778" w:type="dxa"/>
            <w:tcBorders>
              <w:top w:val="single" w:sz="4" w:space="0" w:color="auto"/>
              <w:left w:val="nil"/>
              <w:bottom w:val="nil"/>
              <w:right w:val="nil"/>
            </w:tcBorders>
            <w:shd w:val="clear" w:color="auto" w:fill="auto"/>
            <w:noWrap/>
            <w:vAlign w:val="center"/>
            <w:hideMark/>
          </w:tcPr>
          <w:p w14:paraId="0EC2AED9"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r>
      <w:tr w:rsidR="009B5C0D" w:rsidRPr="00485B3F" w14:paraId="09AE2B2C" w14:textId="77777777" w:rsidTr="00213B08">
        <w:trPr>
          <w:trHeight w:val="312"/>
        </w:trPr>
        <w:tc>
          <w:tcPr>
            <w:tcW w:w="3119" w:type="dxa"/>
            <w:tcBorders>
              <w:top w:val="nil"/>
              <w:left w:val="nil"/>
              <w:bottom w:val="nil"/>
              <w:right w:val="nil"/>
            </w:tcBorders>
            <w:shd w:val="clear" w:color="auto" w:fill="auto"/>
            <w:noWrap/>
            <w:vAlign w:val="center"/>
            <w:hideMark/>
          </w:tcPr>
          <w:p w14:paraId="56C4603D" w14:textId="10963243"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CEO Pay Gap</w:t>
            </w:r>
            <w:r w:rsidR="00CD72EB">
              <w:rPr>
                <w:rFonts w:ascii="Times New Roman" w:eastAsia="Times New Roman" w:hAnsi="Times New Roman" w:cs="Times New Roman"/>
                <w:color w:val="000000" w:themeColor="text1"/>
                <w:sz w:val="20"/>
                <w:szCs w:val="20"/>
              </w:rPr>
              <w:t xml:space="preserve"> (t-1)</w:t>
            </w:r>
          </w:p>
        </w:tc>
        <w:tc>
          <w:tcPr>
            <w:tcW w:w="2778" w:type="dxa"/>
            <w:tcBorders>
              <w:top w:val="nil"/>
              <w:left w:val="nil"/>
              <w:bottom w:val="nil"/>
              <w:right w:val="nil"/>
            </w:tcBorders>
            <w:shd w:val="clear" w:color="auto" w:fill="auto"/>
            <w:noWrap/>
            <w:vAlign w:val="center"/>
            <w:hideMark/>
          </w:tcPr>
          <w:p w14:paraId="46ACDC6D"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rPr>
              <w:t xml:space="preserve"> 0.1514</w:t>
            </w:r>
          </w:p>
        </w:tc>
        <w:tc>
          <w:tcPr>
            <w:tcW w:w="2778" w:type="dxa"/>
            <w:tcBorders>
              <w:top w:val="nil"/>
              <w:left w:val="nil"/>
              <w:bottom w:val="nil"/>
              <w:right w:val="nil"/>
            </w:tcBorders>
            <w:shd w:val="clear" w:color="auto" w:fill="auto"/>
            <w:noWrap/>
            <w:vAlign w:val="center"/>
            <w:hideMark/>
          </w:tcPr>
          <w:p w14:paraId="70911A63"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rPr>
              <w:t xml:space="preserve"> 0.1056</w:t>
            </w:r>
          </w:p>
        </w:tc>
      </w:tr>
      <w:tr w:rsidR="009B5C0D" w:rsidRPr="00485B3F" w14:paraId="4466B2BE" w14:textId="77777777" w:rsidTr="00213B08">
        <w:trPr>
          <w:trHeight w:val="312"/>
        </w:trPr>
        <w:tc>
          <w:tcPr>
            <w:tcW w:w="3119" w:type="dxa"/>
            <w:tcBorders>
              <w:top w:val="nil"/>
              <w:left w:val="nil"/>
              <w:bottom w:val="nil"/>
              <w:right w:val="nil"/>
            </w:tcBorders>
            <w:shd w:val="clear" w:color="auto" w:fill="auto"/>
            <w:noWrap/>
            <w:vAlign w:val="center"/>
            <w:hideMark/>
          </w:tcPr>
          <w:p w14:paraId="79BAFD57"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nil"/>
              <w:left w:val="nil"/>
              <w:bottom w:val="nil"/>
              <w:right w:val="nil"/>
            </w:tcBorders>
            <w:shd w:val="clear" w:color="auto" w:fill="auto"/>
            <w:noWrap/>
            <w:vAlign w:val="center"/>
            <w:hideMark/>
          </w:tcPr>
          <w:p w14:paraId="1595E1F4"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rPr>
              <w:t>(10.5114)***</w:t>
            </w:r>
          </w:p>
        </w:tc>
        <w:tc>
          <w:tcPr>
            <w:tcW w:w="2778" w:type="dxa"/>
            <w:tcBorders>
              <w:top w:val="nil"/>
              <w:left w:val="nil"/>
              <w:bottom w:val="nil"/>
              <w:right w:val="nil"/>
            </w:tcBorders>
            <w:shd w:val="clear" w:color="auto" w:fill="auto"/>
            <w:noWrap/>
            <w:vAlign w:val="center"/>
            <w:hideMark/>
          </w:tcPr>
          <w:p w14:paraId="3209FE1F"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rPr>
              <w:t>(6.1055)***</w:t>
            </w:r>
          </w:p>
        </w:tc>
      </w:tr>
      <w:tr w:rsidR="009B5C0D" w:rsidRPr="00485B3F" w14:paraId="19DA9199" w14:textId="77777777" w:rsidTr="00213B08">
        <w:trPr>
          <w:trHeight w:val="312"/>
        </w:trPr>
        <w:tc>
          <w:tcPr>
            <w:tcW w:w="3119" w:type="dxa"/>
            <w:tcBorders>
              <w:top w:val="nil"/>
              <w:left w:val="nil"/>
              <w:right w:val="nil"/>
            </w:tcBorders>
            <w:shd w:val="clear" w:color="auto" w:fill="auto"/>
            <w:noWrap/>
            <w:vAlign w:val="center"/>
            <w:hideMark/>
          </w:tcPr>
          <w:p w14:paraId="32E407CE"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
        </w:tc>
        <w:tc>
          <w:tcPr>
            <w:tcW w:w="2778" w:type="dxa"/>
            <w:tcBorders>
              <w:top w:val="nil"/>
              <w:left w:val="nil"/>
              <w:right w:val="nil"/>
            </w:tcBorders>
            <w:shd w:val="clear" w:color="auto" w:fill="auto"/>
            <w:noWrap/>
            <w:vAlign w:val="bottom"/>
            <w:hideMark/>
          </w:tcPr>
          <w:p w14:paraId="710C2913"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c>
          <w:tcPr>
            <w:tcW w:w="2778" w:type="dxa"/>
            <w:tcBorders>
              <w:top w:val="nil"/>
              <w:left w:val="nil"/>
              <w:right w:val="nil"/>
            </w:tcBorders>
            <w:shd w:val="clear" w:color="auto" w:fill="auto"/>
            <w:noWrap/>
            <w:vAlign w:val="bottom"/>
            <w:hideMark/>
          </w:tcPr>
          <w:p w14:paraId="7A90A36D"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p>
        </w:tc>
      </w:tr>
      <w:tr w:rsidR="009B5C0D" w:rsidRPr="00485B3F" w14:paraId="0E0FA4A0" w14:textId="77777777" w:rsidTr="00213B08">
        <w:trPr>
          <w:trHeight w:val="312"/>
        </w:trPr>
        <w:tc>
          <w:tcPr>
            <w:tcW w:w="3119" w:type="dxa"/>
            <w:tcBorders>
              <w:top w:val="nil"/>
              <w:left w:val="nil"/>
              <w:bottom w:val="nil"/>
              <w:right w:val="nil"/>
            </w:tcBorders>
            <w:shd w:val="clear" w:color="auto" w:fill="auto"/>
            <w:noWrap/>
            <w:vAlign w:val="center"/>
            <w:hideMark/>
          </w:tcPr>
          <w:p w14:paraId="71105DF1"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sz w:val="20"/>
                <w:szCs w:val="20"/>
                <w:lang w:eastAsia="en-AU"/>
              </w:rPr>
              <w:t>Observations:</w:t>
            </w:r>
          </w:p>
        </w:tc>
        <w:tc>
          <w:tcPr>
            <w:tcW w:w="2778" w:type="dxa"/>
            <w:tcBorders>
              <w:top w:val="nil"/>
              <w:left w:val="nil"/>
              <w:bottom w:val="nil"/>
              <w:right w:val="nil"/>
            </w:tcBorders>
            <w:shd w:val="clear" w:color="auto" w:fill="auto"/>
            <w:noWrap/>
            <w:vAlign w:val="center"/>
            <w:hideMark/>
          </w:tcPr>
          <w:p w14:paraId="1BF0CBB5"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rPr>
              <w:t>6443</w:t>
            </w:r>
          </w:p>
        </w:tc>
        <w:tc>
          <w:tcPr>
            <w:tcW w:w="2778" w:type="dxa"/>
            <w:tcBorders>
              <w:top w:val="nil"/>
              <w:left w:val="nil"/>
              <w:bottom w:val="nil"/>
              <w:right w:val="nil"/>
            </w:tcBorders>
            <w:shd w:val="clear" w:color="auto" w:fill="auto"/>
            <w:noWrap/>
            <w:vAlign w:val="center"/>
            <w:hideMark/>
          </w:tcPr>
          <w:p w14:paraId="7FC39A9E"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rPr>
              <w:t>6330</w:t>
            </w:r>
          </w:p>
        </w:tc>
      </w:tr>
      <w:tr w:rsidR="009B5C0D" w:rsidRPr="00485B3F" w14:paraId="573D8F8D" w14:textId="77777777" w:rsidTr="00213B08">
        <w:trPr>
          <w:trHeight w:val="312"/>
        </w:trPr>
        <w:tc>
          <w:tcPr>
            <w:tcW w:w="3119" w:type="dxa"/>
            <w:tcBorders>
              <w:top w:val="nil"/>
              <w:left w:val="nil"/>
              <w:bottom w:val="nil"/>
              <w:right w:val="nil"/>
            </w:tcBorders>
            <w:shd w:val="clear" w:color="auto" w:fill="auto"/>
            <w:noWrap/>
            <w:vAlign w:val="center"/>
            <w:hideMark/>
          </w:tcPr>
          <w:p w14:paraId="092B401B"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proofErr w:type="spellStart"/>
            <w:r w:rsidRPr="00485B3F">
              <w:rPr>
                <w:rFonts w:ascii="Times New Roman" w:eastAsia="Times New Roman" w:hAnsi="Times New Roman" w:cs="Times New Roman"/>
                <w:color w:val="000000" w:themeColor="text1"/>
                <w:sz w:val="20"/>
                <w:szCs w:val="20"/>
              </w:rPr>
              <w:t>Adj</w:t>
            </w:r>
            <w:proofErr w:type="spellEnd"/>
            <w:r w:rsidRPr="00485B3F">
              <w:rPr>
                <w:rFonts w:ascii="Times New Roman" w:eastAsia="Times New Roman" w:hAnsi="Times New Roman" w:cs="Times New Roman"/>
                <w:color w:val="000000" w:themeColor="text1"/>
                <w:sz w:val="20"/>
                <w:szCs w:val="20"/>
              </w:rPr>
              <w:t xml:space="preserve"> </w:t>
            </w:r>
            <w:r w:rsidRPr="00485B3F">
              <w:rPr>
                <w:rFonts w:ascii="Times New Roman" w:eastAsia="Times New Roman" w:hAnsi="Times New Roman" w:cs="Times New Roman"/>
                <w:color w:val="000000"/>
                <w:sz w:val="20"/>
                <w:szCs w:val="20"/>
                <w:lang w:eastAsia="zh-CN"/>
              </w:rPr>
              <w:t>R-squared:</w:t>
            </w:r>
          </w:p>
        </w:tc>
        <w:tc>
          <w:tcPr>
            <w:tcW w:w="2778" w:type="dxa"/>
            <w:tcBorders>
              <w:top w:val="nil"/>
              <w:left w:val="nil"/>
              <w:bottom w:val="nil"/>
              <w:right w:val="nil"/>
            </w:tcBorders>
            <w:shd w:val="clear" w:color="auto" w:fill="auto"/>
            <w:noWrap/>
            <w:vAlign w:val="center"/>
            <w:hideMark/>
          </w:tcPr>
          <w:p w14:paraId="5B470534"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rPr>
              <w:t>0.2779</w:t>
            </w:r>
          </w:p>
        </w:tc>
        <w:tc>
          <w:tcPr>
            <w:tcW w:w="2778" w:type="dxa"/>
            <w:tcBorders>
              <w:top w:val="nil"/>
              <w:left w:val="nil"/>
              <w:bottom w:val="nil"/>
              <w:right w:val="nil"/>
            </w:tcBorders>
            <w:shd w:val="clear" w:color="auto" w:fill="auto"/>
            <w:noWrap/>
            <w:vAlign w:val="center"/>
            <w:hideMark/>
          </w:tcPr>
          <w:p w14:paraId="4E9F7AF9" w14:textId="77777777" w:rsidR="009B5C0D" w:rsidRPr="00485B3F" w:rsidRDefault="009B5C0D" w:rsidP="00213B08">
            <w:pPr>
              <w:spacing w:after="0" w:line="240" w:lineRule="auto"/>
              <w:jc w:val="center"/>
              <w:rPr>
                <w:rFonts w:ascii="Times New Roman" w:eastAsia="Times New Roman" w:hAnsi="Times New Roman" w:cs="Times New Roman"/>
                <w:color w:val="000000"/>
                <w:sz w:val="20"/>
                <w:szCs w:val="20"/>
                <w:lang w:eastAsia="en-AU"/>
              </w:rPr>
            </w:pPr>
            <w:r w:rsidRPr="00485B3F">
              <w:rPr>
                <w:rFonts w:ascii="Times New Roman" w:hAnsi="Times New Roman" w:cs="Times New Roman"/>
                <w:color w:val="000000"/>
                <w:sz w:val="20"/>
              </w:rPr>
              <w:t>0.2905</w:t>
            </w:r>
          </w:p>
        </w:tc>
      </w:tr>
      <w:tr w:rsidR="009B5C0D" w:rsidRPr="00485B3F" w14:paraId="0D875252" w14:textId="77777777" w:rsidTr="00213B08">
        <w:trPr>
          <w:trHeight w:val="312"/>
        </w:trPr>
        <w:tc>
          <w:tcPr>
            <w:tcW w:w="3119" w:type="dxa"/>
            <w:tcBorders>
              <w:top w:val="nil"/>
              <w:left w:val="nil"/>
              <w:bottom w:val="nil"/>
              <w:right w:val="nil"/>
            </w:tcBorders>
            <w:shd w:val="clear" w:color="auto" w:fill="auto"/>
            <w:noWrap/>
            <w:vAlign w:val="center"/>
            <w:hideMark/>
          </w:tcPr>
          <w:p w14:paraId="6FB9000B" w14:textId="77777777" w:rsidR="009B5C0D" w:rsidRPr="00485B3F" w:rsidRDefault="009B5C0D" w:rsidP="00213B08">
            <w:pPr>
              <w:spacing w:after="0" w:line="240" w:lineRule="auto"/>
              <w:rPr>
                <w:rFonts w:ascii="Times New Roman" w:eastAsia="Times New Roman" w:hAnsi="Times New Roman" w:cs="Times New Roman"/>
                <w:color w:val="000000"/>
                <w:sz w:val="20"/>
                <w:szCs w:val="20"/>
                <w:lang w:eastAsia="en-AU"/>
              </w:rPr>
            </w:pPr>
            <w:r w:rsidRPr="00485B3F">
              <w:rPr>
                <w:rFonts w:ascii="Times New Roman" w:eastAsia="Times New Roman" w:hAnsi="Times New Roman" w:cs="Times New Roman"/>
                <w:color w:val="000000" w:themeColor="text1"/>
                <w:sz w:val="20"/>
                <w:szCs w:val="20"/>
              </w:rPr>
              <w:t>Control variables:</w:t>
            </w:r>
          </w:p>
        </w:tc>
        <w:tc>
          <w:tcPr>
            <w:tcW w:w="2778" w:type="dxa"/>
            <w:tcBorders>
              <w:top w:val="nil"/>
              <w:left w:val="nil"/>
              <w:bottom w:val="nil"/>
              <w:right w:val="nil"/>
            </w:tcBorders>
            <w:shd w:val="clear" w:color="auto" w:fill="auto"/>
            <w:noWrap/>
            <w:vAlign w:val="center"/>
            <w:hideMark/>
          </w:tcPr>
          <w:p w14:paraId="27438E73"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hideMark/>
          </w:tcPr>
          <w:p w14:paraId="65BC8D58" w14:textId="77777777" w:rsidR="009B5C0D" w:rsidRPr="00485B3F" w:rsidRDefault="009B5C0D" w:rsidP="00213B08">
            <w:pPr>
              <w:spacing w:after="0" w:line="240" w:lineRule="auto"/>
              <w:jc w:val="center"/>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Yes</w:t>
            </w:r>
          </w:p>
        </w:tc>
      </w:tr>
      <w:tr w:rsidR="009B5C0D" w:rsidRPr="00485B3F" w14:paraId="1D114814" w14:textId="77777777" w:rsidTr="00213B08">
        <w:trPr>
          <w:trHeight w:val="312"/>
        </w:trPr>
        <w:tc>
          <w:tcPr>
            <w:tcW w:w="3119" w:type="dxa"/>
            <w:tcBorders>
              <w:top w:val="nil"/>
              <w:left w:val="nil"/>
              <w:bottom w:val="nil"/>
              <w:right w:val="nil"/>
            </w:tcBorders>
            <w:shd w:val="clear" w:color="auto" w:fill="auto"/>
            <w:noWrap/>
            <w:vAlign w:val="center"/>
          </w:tcPr>
          <w:p w14:paraId="1B6DD61A"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sz w:val="20"/>
                <w:szCs w:val="20"/>
                <w:lang w:eastAsia="en-AU"/>
              </w:rPr>
              <w:t>Year</w:t>
            </w:r>
            <w:r w:rsidRPr="001E5803">
              <w:rPr>
                <w:rFonts w:ascii="Times New Roman" w:eastAsia="Times New Roman" w:hAnsi="Times New Roman" w:cs="Times New Roman"/>
                <w:color w:val="000000"/>
                <w:sz w:val="20"/>
                <w:szCs w:val="20"/>
                <w:lang w:eastAsia="en-AU"/>
              </w:rPr>
              <w:t xml:space="preserve"> Fixed Effects:</w:t>
            </w:r>
          </w:p>
        </w:tc>
        <w:tc>
          <w:tcPr>
            <w:tcW w:w="2778" w:type="dxa"/>
            <w:tcBorders>
              <w:top w:val="nil"/>
              <w:left w:val="nil"/>
              <w:bottom w:val="nil"/>
              <w:right w:val="nil"/>
            </w:tcBorders>
            <w:shd w:val="clear" w:color="auto" w:fill="auto"/>
            <w:noWrap/>
            <w:vAlign w:val="center"/>
          </w:tcPr>
          <w:p w14:paraId="5FBB73C4"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tcPr>
          <w:p w14:paraId="35551B9E"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485B3F">
              <w:rPr>
                <w:rFonts w:ascii="Times New Roman" w:eastAsia="Times New Roman" w:hAnsi="Times New Roman" w:cs="Times New Roman"/>
                <w:color w:val="000000" w:themeColor="text1"/>
                <w:sz w:val="20"/>
                <w:szCs w:val="20"/>
              </w:rPr>
              <w:t>Yes</w:t>
            </w:r>
          </w:p>
        </w:tc>
      </w:tr>
      <w:tr w:rsidR="009B5C0D" w:rsidRPr="00485B3F" w14:paraId="0E8F40C3" w14:textId="77777777" w:rsidTr="00213B08">
        <w:trPr>
          <w:trHeight w:val="312"/>
        </w:trPr>
        <w:tc>
          <w:tcPr>
            <w:tcW w:w="3119" w:type="dxa"/>
            <w:tcBorders>
              <w:top w:val="nil"/>
              <w:left w:val="nil"/>
              <w:bottom w:val="nil"/>
              <w:right w:val="nil"/>
            </w:tcBorders>
            <w:shd w:val="clear" w:color="auto" w:fill="auto"/>
            <w:noWrap/>
            <w:vAlign w:val="center"/>
            <w:hideMark/>
          </w:tcPr>
          <w:p w14:paraId="3B06EC46" w14:textId="77777777" w:rsidR="009B5C0D" w:rsidRPr="00485B3F" w:rsidRDefault="009B5C0D" w:rsidP="00213B08">
            <w:pPr>
              <w:spacing w:after="0" w:line="240" w:lineRule="auto"/>
              <w:rPr>
                <w:rFonts w:ascii="Times New Roman" w:eastAsia="Times New Roman" w:hAnsi="Times New Roman" w:cs="Times New Roman"/>
                <w:sz w:val="20"/>
                <w:szCs w:val="20"/>
                <w:lang w:eastAsia="en-AU"/>
              </w:rPr>
            </w:pPr>
            <w:r w:rsidRPr="00485B3F">
              <w:rPr>
                <w:rFonts w:ascii="Times New Roman" w:eastAsia="Times New Roman" w:hAnsi="Times New Roman" w:cs="Times New Roman"/>
                <w:color w:val="000000" w:themeColor="text1"/>
                <w:sz w:val="20"/>
                <w:szCs w:val="20"/>
              </w:rPr>
              <w:t>Industry Fixed Effects:</w:t>
            </w:r>
          </w:p>
        </w:tc>
        <w:tc>
          <w:tcPr>
            <w:tcW w:w="2778" w:type="dxa"/>
            <w:tcBorders>
              <w:top w:val="nil"/>
              <w:left w:val="nil"/>
              <w:bottom w:val="nil"/>
              <w:right w:val="nil"/>
            </w:tcBorders>
            <w:shd w:val="clear" w:color="auto" w:fill="auto"/>
            <w:noWrap/>
            <w:vAlign w:val="center"/>
            <w:hideMark/>
          </w:tcPr>
          <w:p w14:paraId="13A31E70" w14:textId="77777777" w:rsidR="009B5C0D" w:rsidRPr="00485B3F" w:rsidRDefault="009B5C0D" w:rsidP="00213B08">
            <w:pPr>
              <w:spacing w:after="0" w:line="240" w:lineRule="auto"/>
              <w:jc w:val="center"/>
              <w:rPr>
                <w:rFonts w:ascii="Times New Roman" w:eastAsia="Times New Roman" w:hAnsi="Times New Roman" w:cs="Times New Roman"/>
                <w:sz w:val="20"/>
                <w:szCs w:val="20"/>
                <w:highlight w:val="yellow"/>
                <w:lang w:eastAsia="en-AU"/>
              </w:rPr>
            </w:pPr>
            <w:r w:rsidRPr="00485B3F">
              <w:rPr>
                <w:rFonts w:ascii="Times New Roman" w:eastAsia="Times New Roman" w:hAnsi="Times New Roman" w:cs="Times New Roman"/>
                <w:color w:val="000000" w:themeColor="text1"/>
                <w:sz w:val="20"/>
                <w:szCs w:val="20"/>
              </w:rPr>
              <w:t>Yes</w:t>
            </w:r>
          </w:p>
        </w:tc>
        <w:tc>
          <w:tcPr>
            <w:tcW w:w="2778" w:type="dxa"/>
            <w:tcBorders>
              <w:top w:val="nil"/>
              <w:left w:val="nil"/>
              <w:bottom w:val="nil"/>
              <w:right w:val="nil"/>
            </w:tcBorders>
            <w:shd w:val="clear" w:color="auto" w:fill="auto"/>
            <w:noWrap/>
            <w:vAlign w:val="center"/>
            <w:hideMark/>
          </w:tcPr>
          <w:p w14:paraId="73D35C77" w14:textId="77777777" w:rsidR="009B5C0D" w:rsidRPr="00485B3F" w:rsidRDefault="009B5C0D" w:rsidP="00213B08">
            <w:pPr>
              <w:spacing w:after="0" w:line="240" w:lineRule="auto"/>
              <w:jc w:val="center"/>
              <w:rPr>
                <w:rFonts w:ascii="Times New Roman" w:eastAsia="Times New Roman" w:hAnsi="Times New Roman" w:cs="Times New Roman"/>
                <w:sz w:val="20"/>
                <w:szCs w:val="20"/>
                <w:highlight w:val="yellow"/>
                <w:lang w:eastAsia="en-AU"/>
              </w:rPr>
            </w:pPr>
            <w:r w:rsidRPr="00485B3F">
              <w:rPr>
                <w:rFonts w:ascii="Times New Roman" w:eastAsia="Times New Roman" w:hAnsi="Times New Roman" w:cs="Times New Roman"/>
                <w:color w:val="000000" w:themeColor="text1"/>
                <w:sz w:val="20"/>
                <w:szCs w:val="20"/>
              </w:rPr>
              <w:t>Yes</w:t>
            </w:r>
          </w:p>
        </w:tc>
      </w:tr>
      <w:tr w:rsidR="009B5C0D" w:rsidRPr="00485B3F" w14:paraId="3EED7167" w14:textId="77777777" w:rsidTr="00213B08">
        <w:trPr>
          <w:trHeight w:val="312"/>
        </w:trPr>
        <w:tc>
          <w:tcPr>
            <w:tcW w:w="3119" w:type="dxa"/>
            <w:tcBorders>
              <w:top w:val="nil"/>
              <w:left w:val="nil"/>
              <w:right w:val="nil"/>
            </w:tcBorders>
            <w:shd w:val="clear" w:color="auto" w:fill="auto"/>
            <w:noWrap/>
            <w:vAlign w:val="center"/>
          </w:tcPr>
          <w:p w14:paraId="28B43250" w14:textId="77777777" w:rsidR="009B5C0D" w:rsidRPr="00485B3F" w:rsidRDefault="009B5C0D" w:rsidP="00213B08">
            <w:pPr>
              <w:spacing w:after="0" w:line="240" w:lineRule="auto"/>
              <w:rPr>
                <w:rFonts w:ascii="Times New Roman" w:eastAsia="Times New Roman" w:hAnsi="Times New Roman" w:cs="Times New Roman"/>
                <w:color w:val="000000" w:themeColor="text1"/>
                <w:sz w:val="20"/>
                <w:szCs w:val="20"/>
              </w:rPr>
            </w:pPr>
          </w:p>
        </w:tc>
        <w:tc>
          <w:tcPr>
            <w:tcW w:w="2778" w:type="dxa"/>
            <w:tcBorders>
              <w:top w:val="nil"/>
              <w:left w:val="nil"/>
              <w:right w:val="nil"/>
            </w:tcBorders>
            <w:shd w:val="clear" w:color="auto" w:fill="auto"/>
            <w:noWrap/>
            <w:vAlign w:val="center"/>
          </w:tcPr>
          <w:p w14:paraId="23FAE6C1"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p>
        </w:tc>
        <w:tc>
          <w:tcPr>
            <w:tcW w:w="2778" w:type="dxa"/>
            <w:tcBorders>
              <w:top w:val="nil"/>
              <w:left w:val="nil"/>
              <w:right w:val="nil"/>
            </w:tcBorders>
            <w:shd w:val="clear" w:color="auto" w:fill="auto"/>
            <w:noWrap/>
            <w:vAlign w:val="center"/>
          </w:tcPr>
          <w:p w14:paraId="6B733CB9" w14:textId="77777777" w:rsidR="009B5C0D" w:rsidRPr="00485B3F" w:rsidRDefault="009B5C0D" w:rsidP="00213B08">
            <w:pPr>
              <w:spacing w:after="0" w:line="240" w:lineRule="auto"/>
              <w:jc w:val="center"/>
              <w:rPr>
                <w:rFonts w:ascii="Times New Roman" w:eastAsia="Times New Roman" w:hAnsi="Times New Roman" w:cs="Times New Roman"/>
                <w:color w:val="000000" w:themeColor="text1"/>
                <w:sz w:val="20"/>
                <w:szCs w:val="20"/>
              </w:rPr>
            </w:pPr>
          </w:p>
        </w:tc>
      </w:tr>
      <w:tr w:rsidR="009B5C0D" w:rsidRPr="00664EF4" w14:paraId="60CAD8E6" w14:textId="77777777" w:rsidTr="00213B08">
        <w:trPr>
          <w:trHeight w:val="312"/>
        </w:trPr>
        <w:tc>
          <w:tcPr>
            <w:tcW w:w="3119" w:type="dxa"/>
            <w:tcBorders>
              <w:top w:val="nil"/>
              <w:left w:val="nil"/>
              <w:bottom w:val="single" w:sz="4" w:space="0" w:color="auto"/>
              <w:right w:val="nil"/>
            </w:tcBorders>
            <w:shd w:val="clear" w:color="auto" w:fill="auto"/>
            <w:noWrap/>
            <w:vAlign w:val="center"/>
          </w:tcPr>
          <w:p w14:paraId="36246159" w14:textId="77777777" w:rsidR="009B5C0D" w:rsidRDefault="009B5C0D" w:rsidP="00213B0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r w:rsidRPr="006F6FDA">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3</w:t>
            </w:r>
            <w:r w:rsidRPr="006F6FDA">
              <w:rPr>
                <w:rFonts w:ascii="Times New Roman" w:eastAsia="Times New Roman" w:hAnsi="Times New Roman" w:cs="Times New Roman"/>
                <w:color w:val="000000" w:themeColor="text1"/>
                <w:sz w:val="20"/>
                <w:szCs w:val="20"/>
              </w:rPr>
              <w:t>) – (</w:t>
            </w:r>
            <w:r>
              <w:rPr>
                <w:rFonts w:ascii="Times New Roman" w:eastAsia="Times New Roman" w:hAnsi="Times New Roman" w:cs="Times New Roman"/>
                <w:color w:val="000000" w:themeColor="text1"/>
                <w:sz w:val="20"/>
                <w:szCs w:val="20"/>
              </w:rPr>
              <w:t>7</w:t>
            </w:r>
            <w:r w:rsidRPr="006F6FDA">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4</w:t>
            </w:r>
            <w:r w:rsidRPr="006F6FDA">
              <w:rPr>
                <w:rFonts w:ascii="Times New Roman" w:eastAsia="Times New Roman" w:hAnsi="Times New Roman" w:cs="Times New Roman"/>
                <w:color w:val="000000" w:themeColor="text1"/>
                <w:sz w:val="20"/>
                <w:szCs w:val="20"/>
              </w:rPr>
              <w:t xml:space="preserve">) </w:t>
            </w:r>
          </w:p>
          <w:p w14:paraId="2CB76082" w14:textId="77777777" w:rsidR="009B5C0D" w:rsidRPr="000531DC" w:rsidRDefault="009B5C0D" w:rsidP="00213B08">
            <w:pPr>
              <w:spacing w:after="0" w:line="240" w:lineRule="auto"/>
              <w:rPr>
                <w:rFonts w:ascii="Times New Roman" w:eastAsia="Times New Roman" w:hAnsi="Times New Roman" w:cs="Times New Roman"/>
                <w:color w:val="000000" w:themeColor="text1"/>
                <w:sz w:val="20"/>
                <w:szCs w:val="20"/>
                <w:highlight w:val="cyan"/>
              </w:rPr>
            </w:pPr>
            <w:r w:rsidRPr="006F6FDA">
              <w:rPr>
                <w:rFonts w:ascii="Times New Roman" w:eastAsia="Times New Roman" w:hAnsi="Times New Roman" w:cs="Times New Roman"/>
                <w:color w:val="000000" w:themeColor="text1"/>
                <w:sz w:val="20"/>
                <w:szCs w:val="20"/>
              </w:rPr>
              <w:t xml:space="preserve">Difference in CEO Pay Gap coefficients </w:t>
            </w:r>
          </w:p>
        </w:tc>
        <w:tc>
          <w:tcPr>
            <w:tcW w:w="5556" w:type="dxa"/>
            <w:gridSpan w:val="2"/>
            <w:tcBorders>
              <w:top w:val="nil"/>
              <w:left w:val="nil"/>
              <w:bottom w:val="single" w:sz="4" w:space="0" w:color="auto"/>
              <w:right w:val="nil"/>
            </w:tcBorders>
            <w:shd w:val="clear" w:color="auto" w:fill="auto"/>
            <w:noWrap/>
            <w:vAlign w:val="center"/>
          </w:tcPr>
          <w:p w14:paraId="11FE3884" w14:textId="77777777" w:rsidR="009B5C0D" w:rsidRPr="00B74FB2" w:rsidRDefault="009B5C0D" w:rsidP="00213B08">
            <w:pPr>
              <w:spacing w:after="0" w:line="240" w:lineRule="auto"/>
              <w:jc w:val="center"/>
              <w:rPr>
                <w:rFonts w:ascii="Times New Roman" w:eastAsia="Times New Roman" w:hAnsi="Times New Roman" w:cs="Times New Roman"/>
                <w:color w:val="000000" w:themeColor="text1"/>
                <w:sz w:val="20"/>
                <w:szCs w:val="20"/>
              </w:rPr>
            </w:pPr>
            <w:r w:rsidRPr="00933E69">
              <w:rPr>
                <w:rFonts w:eastAsia="Times New Roman"/>
                <w:color w:val="000000" w:themeColor="text1"/>
                <w:sz w:val="20"/>
                <w:szCs w:val="20"/>
              </w:rPr>
              <w:t>χ</w:t>
            </w:r>
            <w:r w:rsidRPr="00CA4031">
              <w:rPr>
                <w:rFonts w:eastAsia="Times New Roman"/>
                <w:color w:val="000000" w:themeColor="text1"/>
                <w:sz w:val="20"/>
                <w:szCs w:val="20"/>
                <w:vertAlign w:val="superscript"/>
              </w:rPr>
              <w:t>2</w:t>
            </w:r>
            <w:r w:rsidRPr="00933E69">
              <w:rPr>
                <w:rFonts w:ascii="Times New Roman" w:eastAsia="Times New Roman" w:hAnsi="Times New Roman" w:cs="Times New Roman"/>
                <w:color w:val="000000" w:themeColor="text1"/>
                <w:sz w:val="20"/>
                <w:szCs w:val="20"/>
              </w:rPr>
              <w:t xml:space="preserve"> test = 6.44**</w:t>
            </w:r>
          </w:p>
        </w:tc>
      </w:tr>
    </w:tbl>
    <w:p w14:paraId="60EFCB31" w14:textId="77777777" w:rsidR="009B5C0D" w:rsidRPr="00664EF4" w:rsidRDefault="009B5C0D" w:rsidP="009B5C0D">
      <w:pPr>
        <w:spacing w:after="0" w:line="240" w:lineRule="auto"/>
        <w:ind w:right="779"/>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Panel </w:t>
      </w:r>
      <w:proofErr w:type="gramStart"/>
      <w:r>
        <w:rPr>
          <w:rFonts w:ascii="Times New Roman" w:eastAsia="Times New Roman" w:hAnsi="Times New Roman" w:cs="Times New Roman"/>
          <w:sz w:val="20"/>
          <w:szCs w:val="20"/>
        </w:rPr>
        <w:t>A</w:t>
      </w:r>
      <w:proofErr w:type="gramEnd"/>
      <w:r w:rsidRPr="00664EF4">
        <w:rPr>
          <w:rFonts w:ascii="Times New Roman" w:eastAsia="Times New Roman" w:hAnsi="Times New Roman" w:cs="Times New Roman"/>
          <w:sz w:val="20"/>
          <w:szCs w:val="20"/>
        </w:rPr>
        <w:t xml:space="preserve"> report</w:t>
      </w:r>
      <w:r>
        <w:rPr>
          <w:rFonts w:ascii="Times New Roman" w:eastAsia="Times New Roman" w:hAnsi="Times New Roman" w:cs="Times New Roman"/>
          <w:sz w:val="20"/>
          <w:szCs w:val="20"/>
        </w:rPr>
        <w:t>s</w:t>
      </w:r>
      <w:r w:rsidRPr="00664E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panel regressions</w:t>
      </w:r>
      <w:r w:rsidRPr="004532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w:t>
      </w:r>
      <w:r w:rsidRPr="004532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w:t>
      </w:r>
      <w:r w:rsidRPr="004532EB">
        <w:rPr>
          <w:rFonts w:ascii="Times New Roman" w:hAnsi="Times New Roman" w:cs="Times New Roman"/>
          <w:sz w:val="20"/>
          <w:szCs w:val="20"/>
        </w:rPr>
        <w:t>on-</w:t>
      </w:r>
      <w:r>
        <w:rPr>
          <w:rFonts w:ascii="Times New Roman" w:hAnsi="Times New Roman" w:cs="Times New Roman"/>
          <w:sz w:val="20"/>
          <w:szCs w:val="20"/>
        </w:rPr>
        <w:t>r</w:t>
      </w:r>
      <w:r w:rsidRPr="004532EB">
        <w:rPr>
          <w:rFonts w:ascii="Times New Roman" w:hAnsi="Times New Roman" w:cs="Times New Roman"/>
          <w:sz w:val="20"/>
          <w:szCs w:val="20"/>
        </w:rPr>
        <w:t>etirement</w:t>
      </w:r>
      <w:r w:rsidRPr="004532EB">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r</w:t>
      </w:r>
      <w:r w:rsidRPr="004532EB">
        <w:rPr>
          <w:rFonts w:ascii="Times New Roman" w:hAnsi="Times New Roman" w:cs="Times New Roman"/>
          <w:sz w:val="20"/>
          <w:szCs w:val="20"/>
        </w:rPr>
        <w:t xml:space="preserve">etirement-CEO </w:t>
      </w:r>
      <w:r>
        <w:rPr>
          <w:rFonts w:ascii="Times New Roman" w:eastAsia="Times New Roman" w:hAnsi="Times New Roman" w:cs="Times New Roman"/>
          <w:sz w:val="20"/>
          <w:szCs w:val="20"/>
        </w:rPr>
        <w:t>subsamples</w:t>
      </w:r>
      <w:r w:rsidRPr="004532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Panel B</w:t>
      </w:r>
      <w:r w:rsidRPr="004532EB">
        <w:rPr>
          <w:rFonts w:ascii="Times New Roman" w:eastAsia="Times New Roman" w:hAnsi="Times New Roman" w:cs="Times New Roman"/>
          <w:sz w:val="20"/>
          <w:szCs w:val="20"/>
        </w:rPr>
        <w:t xml:space="preserve"> report</w:t>
      </w:r>
      <w:r>
        <w:rPr>
          <w:rFonts w:ascii="Times New Roman" w:eastAsia="Times New Roman" w:hAnsi="Times New Roman" w:cs="Times New Roman"/>
          <w:sz w:val="20"/>
          <w:szCs w:val="20"/>
        </w:rPr>
        <w:t>s</w:t>
      </w:r>
      <w:r w:rsidRPr="004532EB">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results based on splitting the sample between</w:t>
      </w:r>
      <w:r w:rsidRPr="004532EB">
        <w:rPr>
          <w:rFonts w:ascii="Times New Roman" w:eastAsia="Times New Roman" w:hAnsi="Times New Roman" w:cs="Times New Roman"/>
          <w:sz w:val="20"/>
          <w:szCs w:val="20"/>
        </w:rPr>
        <w:t xml:space="preserve"> high and low CAPEX</w:t>
      </w:r>
      <w:r>
        <w:rPr>
          <w:rFonts w:ascii="Times New Roman" w:eastAsia="Times New Roman" w:hAnsi="Times New Roman" w:cs="Times New Roman"/>
          <w:sz w:val="20"/>
          <w:szCs w:val="20"/>
        </w:rPr>
        <w:t xml:space="preserve"> </w:t>
      </w:r>
      <w:r w:rsidRPr="00CD72EB">
        <w:rPr>
          <w:rFonts w:ascii="Times New Roman" w:eastAsia="Times New Roman" w:hAnsi="Times New Roman" w:cs="Times New Roman"/>
          <w:sz w:val="20"/>
          <w:szCs w:val="20"/>
        </w:rPr>
        <w:t xml:space="preserve">firms. All independent variables </w:t>
      </w:r>
      <w:proofErr w:type="gramStart"/>
      <w:r w:rsidRPr="00CD72EB">
        <w:rPr>
          <w:rFonts w:ascii="Times New Roman" w:eastAsia="Times New Roman" w:hAnsi="Times New Roman" w:cs="Times New Roman"/>
          <w:sz w:val="20"/>
          <w:szCs w:val="20"/>
        </w:rPr>
        <w:t>are lagged</w:t>
      </w:r>
      <w:proofErr w:type="gramEnd"/>
      <w:r w:rsidRPr="00CD72EB">
        <w:rPr>
          <w:rFonts w:ascii="Times New Roman" w:eastAsia="Times New Roman" w:hAnsi="Times New Roman" w:cs="Times New Roman"/>
          <w:sz w:val="20"/>
          <w:szCs w:val="20"/>
        </w:rPr>
        <w:t xml:space="preserve"> by one period. Appendix I provides a detailed description of the vari</w:t>
      </w:r>
      <w:r w:rsidRPr="004532EB">
        <w:rPr>
          <w:rFonts w:ascii="Times New Roman" w:eastAsia="Times New Roman" w:hAnsi="Times New Roman" w:cs="Times New Roman"/>
          <w:sz w:val="20"/>
          <w:szCs w:val="20"/>
        </w:rPr>
        <w:t>ables</w:t>
      </w:r>
      <w:r>
        <w:rPr>
          <w:rFonts w:ascii="Times New Roman" w:eastAsia="Times New Roman" w:hAnsi="Times New Roman" w:cs="Times New Roman"/>
          <w:sz w:val="20"/>
          <w:szCs w:val="20"/>
        </w:rPr>
        <w:t>.</w:t>
      </w:r>
      <w:r w:rsidRPr="004532EB">
        <w:rPr>
          <w:rFonts w:ascii="Times New Roman" w:eastAsia="Times New Roman" w:hAnsi="Times New Roman" w:cs="Times New Roman"/>
          <w:sz w:val="20"/>
          <w:szCs w:val="20"/>
        </w:rPr>
        <w:t xml:space="preserve"> T-statistics </w:t>
      </w:r>
      <w:proofErr w:type="gramStart"/>
      <w:r w:rsidRPr="004532EB">
        <w:rPr>
          <w:rFonts w:ascii="Times New Roman" w:eastAsia="Times New Roman" w:hAnsi="Times New Roman" w:cs="Times New Roman"/>
          <w:sz w:val="20"/>
          <w:szCs w:val="20"/>
        </w:rPr>
        <w:t>are presented</w:t>
      </w:r>
      <w:proofErr w:type="gramEnd"/>
      <w:r w:rsidRPr="004532EB">
        <w:rPr>
          <w:rFonts w:ascii="Times New Roman" w:eastAsia="Times New Roman" w:hAnsi="Times New Roman" w:cs="Times New Roman"/>
          <w:sz w:val="20"/>
          <w:szCs w:val="20"/>
        </w:rPr>
        <w:t xml:space="preserve"> in brackets.</w:t>
      </w:r>
      <w:r w:rsidRPr="006B2B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Robust standard errors </w:t>
      </w:r>
      <w:proofErr w:type="gramStart"/>
      <w:r>
        <w:rPr>
          <w:rFonts w:ascii="Times New Roman" w:eastAsia="Times New Roman" w:hAnsi="Times New Roman" w:cs="Times New Roman"/>
          <w:sz w:val="20"/>
          <w:szCs w:val="20"/>
        </w:rPr>
        <w:t>are used</w:t>
      </w:r>
      <w:proofErr w:type="gramEnd"/>
      <w:r>
        <w:rPr>
          <w:rFonts w:ascii="Times New Roman" w:eastAsia="Times New Roman" w:hAnsi="Times New Roman" w:cs="Times New Roman"/>
          <w:sz w:val="20"/>
          <w:szCs w:val="20"/>
        </w:rPr>
        <w:t xml:space="preserve"> throughout</w:t>
      </w:r>
      <w:r w:rsidRPr="004532EB">
        <w:rPr>
          <w:rFonts w:ascii="Times New Roman" w:eastAsia="Times New Roman" w:hAnsi="Times New Roman" w:cs="Times New Roman"/>
          <w:sz w:val="20"/>
          <w:szCs w:val="20"/>
        </w:rPr>
        <w:t>.</w:t>
      </w:r>
      <w:r w:rsidRPr="006D0E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 use seemingly unrelated regression analysis to generate</w:t>
      </w:r>
      <w:r w:rsidRPr="006D0E0B">
        <w:rPr>
          <w:rFonts w:ascii="Times New Roman" w:eastAsia="Times New Roman" w:hAnsi="Times New Roman" w:cs="Times New Roman"/>
          <w:color w:val="000000" w:themeColor="text1"/>
          <w:sz w:val="20"/>
          <w:szCs w:val="20"/>
        </w:rPr>
        <w:t xml:space="preserve"> </w:t>
      </w:r>
      <w:r w:rsidRPr="005A39FD">
        <w:rPr>
          <w:rFonts w:ascii="Times New Roman" w:eastAsia="Times New Roman" w:hAnsi="Times New Roman" w:cs="Times New Roman"/>
          <w:color w:val="000000" w:themeColor="text1"/>
          <w:sz w:val="20"/>
          <w:szCs w:val="20"/>
        </w:rPr>
        <w:t>χ</w:t>
      </w:r>
      <w:r w:rsidRPr="00492461">
        <w:rPr>
          <w:rFonts w:ascii="Times New Roman" w:eastAsia="Times New Roman" w:hAnsi="Times New Roman" w:cs="Times New Roman"/>
          <w:color w:val="000000" w:themeColor="text1"/>
          <w:sz w:val="20"/>
          <w:szCs w:val="20"/>
          <w:vertAlign w:val="superscript"/>
        </w:rPr>
        <w:t>2</w:t>
      </w:r>
      <w:r>
        <w:rPr>
          <w:rFonts w:ascii="Times New Roman" w:eastAsia="Times New Roman" w:hAnsi="Times New Roman" w:cs="Times New Roman"/>
          <w:color w:val="000000" w:themeColor="text1"/>
          <w:sz w:val="20"/>
          <w:szCs w:val="20"/>
          <w:vertAlign w:val="superscript"/>
        </w:rPr>
        <w:t xml:space="preserve"> </w:t>
      </w:r>
      <w:r>
        <w:rPr>
          <w:rFonts w:ascii="Times New Roman" w:eastAsia="Times New Roman" w:hAnsi="Times New Roman" w:cs="Times New Roman"/>
          <w:color w:val="000000" w:themeColor="text1"/>
          <w:sz w:val="20"/>
          <w:szCs w:val="20"/>
        </w:rPr>
        <w:t xml:space="preserve">test statistics of the differences in coefficients between subsamples.  </w:t>
      </w:r>
      <w:r w:rsidRPr="004532EB">
        <w:rPr>
          <w:rFonts w:ascii="Times New Roman" w:eastAsia="Times New Roman" w:hAnsi="Times New Roman" w:cs="Times New Roman"/>
          <w:sz w:val="20"/>
          <w:szCs w:val="20"/>
        </w:rPr>
        <w:t xml:space="preserve"> ***,</w:t>
      </w:r>
      <w:r w:rsidRPr="00664EF4">
        <w:rPr>
          <w:rFonts w:ascii="Times New Roman" w:eastAsia="Times New Roman" w:hAnsi="Times New Roman" w:cs="Times New Roman"/>
          <w:sz w:val="20"/>
          <w:szCs w:val="20"/>
        </w:rPr>
        <w:t xml:space="preserve"> ** and * denote significance at the 1%, 5% and 10% levels, respectively.</w:t>
      </w:r>
    </w:p>
    <w:p w14:paraId="0281797B" w14:textId="77777777" w:rsidR="00CA4031" w:rsidRDefault="00CA4031" w:rsidP="00CA4031">
      <w:pPr>
        <w:spacing w:after="0" w:line="240" w:lineRule="auto"/>
        <w:rPr>
          <w:rFonts w:ascii="Times New Roman" w:eastAsia="Times New Roman" w:hAnsi="Times New Roman" w:cs="Times New Roman"/>
          <w:b/>
          <w:sz w:val="20"/>
          <w:szCs w:val="20"/>
        </w:rPr>
      </w:pPr>
    </w:p>
    <w:p w14:paraId="274AF842" w14:textId="77777777" w:rsidR="000C469C" w:rsidRDefault="000C469C" w:rsidP="000C469C">
      <w:pPr>
        <w:spacing w:after="0" w:line="240" w:lineRule="auto"/>
        <w:rPr>
          <w:rFonts w:ascii="Times New Roman" w:eastAsia="Times New Roman" w:hAnsi="Times New Roman" w:cs="Times New Roman"/>
          <w:b/>
          <w:sz w:val="20"/>
          <w:szCs w:val="20"/>
        </w:rPr>
      </w:pPr>
    </w:p>
    <w:p w14:paraId="5BFC61B3" w14:textId="77777777" w:rsidR="000C469C" w:rsidRDefault="000C469C" w:rsidP="000C469C">
      <w:pPr>
        <w:rPr>
          <w:rFonts w:ascii="Times New Roman" w:hAnsi="Times New Roman" w:cs="Times New Roman"/>
          <w:b/>
          <w:sz w:val="24"/>
          <w:szCs w:val="24"/>
          <w:lang w:val="en-US"/>
        </w:rPr>
      </w:pPr>
    </w:p>
    <w:p w14:paraId="7C3CFDB8" w14:textId="77777777" w:rsidR="000C469C" w:rsidRDefault="000C469C" w:rsidP="000C469C">
      <w:pPr>
        <w:rPr>
          <w:rFonts w:ascii="Times New Roman" w:hAnsi="Times New Roman" w:cs="Times New Roman"/>
          <w:b/>
          <w:sz w:val="24"/>
          <w:szCs w:val="24"/>
          <w:lang w:val="en-US"/>
        </w:rPr>
        <w:sectPr w:rsidR="000C469C" w:rsidSect="00CA4031">
          <w:footnotePr>
            <w:numRestart w:val="eachSect"/>
          </w:footnotePr>
          <w:pgSz w:w="11920" w:h="16840"/>
          <w:pgMar w:top="1247" w:right="1247" w:bottom="1247" w:left="1247" w:header="0" w:footer="805" w:gutter="0"/>
          <w:cols w:space="720"/>
          <w:docGrid w:linePitch="299"/>
        </w:sectPr>
      </w:pPr>
    </w:p>
    <w:p w14:paraId="4ADE790C" w14:textId="77777777" w:rsidR="000C469C" w:rsidRPr="00617780" w:rsidRDefault="000C469C" w:rsidP="000C469C">
      <w:pPr>
        <w:rPr>
          <w:rFonts w:ascii="Times New Roman" w:hAnsi="Times New Roman" w:cs="Times New Roman"/>
          <w:b/>
          <w:sz w:val="20"/>
          <w:szCs w:val="20"/>
          <w:lang w:val="en-US"/>
        </w:rPr>
      </w:pPr>
    </w:p>
    <w:p w14:paraId="53D6AF47" w14:textId="77777777" w:rsidR="000C469C" w:rsidRPr="00617780" w:rsidRDefault="000C469C" w:rsidP="000C469C">
      <w:pPr>
        <w:spacing w:after="0" w:line="240" w:lineRule="auto"/>
        <w:jc w:val="both"/>
        <w:rPr>
          <w:rFonts w:ascii="Times New Roman" w:eastAsia="Times New Roman" w:hAnsi="Times New Roman" w:cs="Times New Roman"/>
          <w:b/>
          <w:sz w:val="20"/>
          <w:szCs w:val="20"/>
        </w:rPr>
      </w:pPr>
      <w:r w:rsidRPr="00617780">
        <w:rPr>
          <w:rFonts w:ascii="Times New Roman" w:eastAsia="Times New Roman" w:hAnsi="Times New Roman" w:cs="Times New Roman"/>
          <w:b/>
          <w:sz w:val="20"/>
          <w:szCs w:val="20"/>
        </w:rPr>
        <w:t>Appendix I: Variable Definitions</w:t>
      </w:r>
    </w:p>
    <w:p w14:paraId="6E0F228A" w14:textId="77777777" w:rsidR="000C469C" w:rsidRPr="00617780" w:rsidRDefault="000C469C" w:rsidP="000C469C">
      <w:pPr>
        <w:spacing w:after="0" w:line="240" w:lineRule="auto"/>
        <w:ind w:right="-29"/>
        <w:jc w:val="both"/>
        <w:rPr>
          <w:rFonts w:ascii="Times New Roman" w:eastAsia="Times New Roman" w:hAnsi="Times New Roman" w:cs="Times New Roman"/>
          <w:sz w:val="20"/>
          <w:szCs w:val="20"/>
        </w:rPr>
      </w:pPr>
      <w:r w:rsidRPr="00617780">
        <w:rPr>
          <w:rFonts w:ascii="Times New Roman" w:eastAsia="Times New Roman" w:hAnsi="Times New Roman" w:cs="Times New Roman"/>
          <w:sz w:val="20"/>
          <w:szCs w:val="20"/>
        </w:rPr>
        <w:t>This appendix provides a detailed description of the construction of all the variables used in the tables.</w:t>
      </w:r>
    </w:p>
    <w:tbl>
      <w:tblPr>
        <w:tblW w:w="0" w:type="auto"/>
        <w:tblLook w:val="04A0" w:firstRow="1" w:lastRow="0" w:firstColumn="1" w:lastColumn="0" w:noHBand="0" w:noVBand="1"/>
      </w:tblPr>
      <w:tblGrid>
        <w:gridCol w:w="2394"/>
        <w:gridCol w:w="6690"/>
      </w:tblGrid>
      <w:tr w:rsidR="000C469C" w:rsidRPr="00617780" w14:paraId="233EDF19" w14:textId="77777777" w:rsidTr="000C469C">
        <w:tc>
          <w:tcPr>
            <w:tcW w:w="2394" w:type="dxa"/>
            <w:tcBorders>
              <w:top w:val="single" w:sz="4" w:space="0" w:color="auto"/>
              <w:bottom w:val="single" w:sz="4" w:space="0" w:color="auto"/>
            </w:tcBorders>
          </w:tcPr>
          <w:p w14:paraId="55ACE99D"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b/>
                <w:sz w:val="20"/>
                <w:szCs w:val="20"/>
              </w:rPr>
            </w:pPr>
            <w:r w:rsidRPr="00617780">
              <w:rPr>
                <w:rFonts w:ascii="Times New Roman" w:eastAsia="Times New Roman" w:hAnsi="Times New Roman" w:cs="Times New Roman"/>
                <w:b/>
                <w:sz w:val="20"/>
                <w:szCs w:val="20"/>
              </w:rPr>
              <w:t>Variable</w:t>
            </w:r>
          </w:p>
        </w:tc>
        <w:tc>
          <w:tcPr>
            <w:tcW w:w="6690" w:type="dxa"/>
            <w:tcBorders>
              <w:top w:val="single" w:sz="4" w:space="0" w:color="auto"/>
              <w:bottom w:val="single" w:sz="4" w:space="0" w:color="auto"/>
            </w:tcBorders>
          </w:tcPr>
          <w:p w14:paraId="658B1203"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b/>
                <w:sz w:val="20"/>
                <w:szCs w:val="20"/>
              </w:rPr>
            </w:pPr>
            <w:r w:rsidRPr="00617780">
              <w:rPr>
                <w:rFonts w:ascii="Times New Roman" w:eastAsia="Times New Roman" w:hAnsi="Times New Roman" w:cs="Times New Roman"/>
                <w:b/>
                <w:sz w:val="20"/>
                <w:szCs w:val="20"/>
              </w:rPr>
              <w:t>Definition</w:t>
            </w:r>
          </w:p>
        </w:tc>
      </w:tr>
      <w:tr w:rsidR="000C469C" w:rsidRPr="00617780" w14:paraId="53F98459" w14:textId="77777777" w:rsidTr="000C469C">
        <w:tc>
          <w:tcPr>
            <w:tcW w:w="2394" w:type="dxa"/>
          </w:tcPr>
          <w:p w14:paraId="3E018C09" w14:textId="3027E5CA" w:rsidR="000C469C" w:rsidRPr="00617780" w:rsidRDefault="00460317"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CAPEX</w:t>
            </w:r>
          </w:p>
        </w:tc>
        <w:tc>
          <w:tcPr>
            <w:tcW w:w="6690" w:type="dxa"/>
          </w:tcPr>
          <w:p w14:paraId="5C6619D2" w14:textId="2CE04CA6" w:rsidR="000C469C" w:rsidRPr="00617780" w:rsidRDefault="000C469C" w:rsidP="00460317">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 xml:space="preserve">The ratio of capital expenditure </w:t>
            </w:r>
            <w:r w:rsidR="006D0E0B">
              <w:rPr>
                <w:rFonts w:ascii="Times New Roman" w:eastAsia="Times New Roman" w:hAnsi="Times New Roman" w:cs="Times New Roman"/>
                <w:color w:val="000000" w:themeColor="text1"/>
                <w:sz w:val="20"/>
                <w:szCs w:val="20"/>
              </w:rPr>
              <w:t>over</w:t>
            </w:r>
            <w:r w:rsidRPr="00617780">
              <w:rPr>
                <w:rFonts w:ascii="Times New Roman" w:eastAsia="Times New Roman" w:hAnsi="Times New Roman" w:cs="Times New Roman"/>
                <w:color w:val="000000" w:themeColor="text1"/>
                <w:sz w:val="20"/>
                <w:szCs w:val="20"/>
              </w:rPr>
              <w:t xml:space="preserve"> total assets. </w:t>
            </w:r>
            <w:r w:rsidR="00460317">
              <w:rPr>
                <w:rFonts w:ascii="Times New Roman" w:eastAsia="Times New Roman" w:hAnsi="Times New Roman" w:cs="Times New Roman"/>
                <w:color w:val="000000" w:themeColor="text1"/>
                <w:sz w:val="20"/>
                <w:szCs w:val="20"/>
              </w:rPr>
              <w:t>C</w:t>
            </w:r>
            <w:r w:rsidRPr="00617780">
              <w:rPr>
                <w:rFonts w:ascii="Times New Roman" w:eastAsia="Times New Roman" w:hAnsi="Times New Roman" w:cs="Times New Roman"/>
                <w:color w:val="000000" w:themeColor="text1"/>
                <w:sz w:val="20"/>
                <w:szCs w:val="20"/>
              </w:rPr>
              <w:t xml:space="preserve">apital expenditure cover funds used to purchase additional property, </w:t>
            </w:r>
            <w:r w:rsidRPr="00617780">
              <w:rPr>
                <w:rFonts w:ascii="Times New Roman" w:eastAsia="Times New Roman" w:hAnsi="Times New Roman" w:cs="Times New Roman"/>
                <w:noProof/>
                <w:color w:val="000000" w:themeColor="text1"/>
                <w:sz w:val="20"/>
                <w:szCs w:val="20"/>
              </w:rPr>
              <w:t>plant</w:t>
            </w:r>
            <w:r w:rsidRPr="00617780">
              <w:rPr>
                <w:rFonts w:ascii="Times New Roman" w:eastAsia="Times New Roman" w:hAnsi="Times New Roman" w:cs="Times New Roman"/>
                <w:color w:val="000000" w:themeColor="text1"/>
                <w:sz w:val="20"/>
                <w:szCs w:val="20"/>
              </w:rPr>
              <w:t xml:space="preserve"> </w:t>
            </w:r>
            <w:r w:rsidRPr="0072409C">
              <w:rPr>
                <w:rFonts w:ascii="Times New Roman" w:eastAsia="Times New Roman" w:hAnsi="Times New Roman" w:cs="Times New Roman"/>
                <w:noProof/>
                <w:color w:val="000000" w:themeColor="text1"/>
                <w:sz w:val="20"/>
                <w:szCs w:val="20"/>
              </w:rPr>
              <w:t>and</w:t>
            </w:r>
            <w:r w:rsidRPr="00617780">
              <w:rPr>
                <w:rFonts w:ascii="Times New Roman" w:eastAsia="Times New Roman" w:hAnsi="Times New Roman" w:cs="Times New Roman"/>
                <w:color w:val="000000" w:themeColor="text1"/>
                <w:sz w:val="20"/>
                <w:szCs w:val="20"/>
              </w:rPr>
              <w:t xml:space="preserve"> equipment, excluding business acquisition</w:t>
            </w:r>
            <w:r w:rsidR="00460317">
              <w:rPr>
                <w:rFonts w:ascii="Times New Roman" w:eastAsia="Times New Roman" w:hAnsi="Times New Roman" w:cs="Times New Roman"/>
                <w:color w:val="000000" w:themeColor="text1"/>
                <w:sz w:val="20"/>
                <w:szCs w:val="20"/>
              </w:rPr>
              <w:t>s</w:t>
            </w:r>
            <w:r w:rsidRPr="00617780">
              <w:rPr>
                <w:rFonts w:ascii="Times New Roman" w:eastAsia="Times New Roman" w:hAnsi="Times New Roman" w:cs="Times New Roman"/>
                <w:color w:val="000000" w:themeColor="text1"/>
                <w:sz w:val="20"/>
                <w:szCs w:val="20"/>
              </w:rPr>
              <w:t xml:space="preserve"> (merger</w:t>
            </w:r>
            <w:r w:rsidR="00460317">
              <w:rPr>
                <w:rFonts w:ascii="Times New Roman" w:eastAsia="Times New Roman" w:hAnsi="Times New Roman" w:cs="Times New Roman"/>
                <w:color w:val="000000" w:themeColor="text1"/>
                <w:sz w:val="20"/>
                <w:szCs w:val="20"/>
              </w:rPr>
              <w:t>s</w:t>
            </w:r>
            <w:r w:rsidRPr="00617780">
              <w:rPr>
                <w:rFonts w:ascii="Times New Roman" w:eastAsia="Times New Roman" w:hAnsi="Times New Roman" w:cs="Times New Roman"/>
                <w:color w:val="000000" w:themeColor="text1"/>
                <w:sz w:val="20"/>
                <w:szCs w:val="20"/>
              </w:rPr>
              <w:t xml:space="preserve"> and acquisition</w:t>
            </w:r>
            <w:r w:rsidR="00460317">
              <w:rPr>
                <w:rFonts w:ascii="Times New Roman" w:eastAsia="Times New Roman" w:hAnsi="Times New Roman" w:cs="Times New Roman"/>
                <w:color w:val="000000" w:themeColor="text1"/>
                <w:sz w:val="20"/>
                <w:szCs w:val="20"/>
              </w:rPr>
              <w:t>s</w:t>
            </w:r>
            <w:r w:rsidRPr="00617780">
              <w:rPr>
                <w:rFonts w:ascii="Times New Roman" w:eastAsia="Times New Roman" w:hAnsi="Times New Roman" w:cs="Times New Roman"/>
                <w:color w:val="000000" w:themeColor="text1"/>
                <w:sz w:val="20"/>
                <w:szCs w:val="20"/>
              </w:rPr>
              <w:t xml:space="preserve">).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r w:rsidR="000C469C" w:rsidRPr="00617780" w14:paraId="65133652" w14:textId="77777777" w:rsidTr="000C469C">
        <w:tc>
          <w:tcPr>
            <w:tcW w:w="2394" w:type="dxa"/>
          </w:tcPr>
          <w:p w14:paraId="26573C3A"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CEO Pay Gap</w:t>
            </w:r>
          </w:p>
        </w:tc>
        <w:tc>
          <w:tcPr>
            <w:tcW w:w="6690" w:type="dxa"/>
          </w:tcPr>
          <w:p w14:paraId="7BAE3424" w14:textId="06B4FC07" w:rsidR="000C469C" w:rsidRPr="00617780" w:rsidRDefault="000C469C" w:rsidP="00460317">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 xml:space="preserve">The ratio of CEO total compensation </w:t>
            </w:r>
            <w:r w:rsidR="00460317">
              <w:rPr>
                <w:rFonts w:ascii="Times New Roman" w:eastAsia="Times New Roman" w:hAnsi="Times New Roman" w:cs="Times New Roman"/>
                <w:color w:val="000000" w:themeColor="text1"/>
                <w:sz w:val="20"/>
                <w:szCs w:val="20"/>
              </w:rPr>
              <w:t>over</w:t>
            </w:r>
            <w:r w:rsidRPr="00617780">
              <w:rPr>
                <w:rFonts w:ascii="Times New Roman" w:eastAsia="Times New Roman" w:hAnsi="Times New Roman" w:cs="Times New Roman"/>
                <w:color w:val="000000" w:themeColor="text1"/>
                <w:sz w:val="20"/>
                <w:szCs w:val="20"/>
              </w:rPr>
              <w:t xml:space="preserve"> the sum of total compensation of </w:t>
            </w:r>
            <w:r w:rsidR="00460317">
              <w:rPr>
                <w:rFonts w:ascii="Times New Roman" w:eastAsia="Times New Roman" w:hAnsi="Times New Roman" w:cs="Times New Roman"/>
                <w:color w:val="000000" w:themeColor="text1"/>
                <w:sz w:val="20"/>
                <w:szCs w:val="20"/>
              </w:rPr>
              <w:t xml:space="preserve">the </w:t>
            </w:r>
            <w:r w:rsidRPr="00617780">
              <w:rPr>
                <w:rFonts w:ascii="Times New Roman" w:eastAsia="Times New Roman" w:hAnsi="Times New Roman" w:cs="Times New Roman"/>
                <w:color w:val="000000" w:themeColor="text1"/>
                <w:sz w:val="20"/>
                <w:szCs w:val="20"/>
              </w:rPr>
              <w:t xml:space="preserve">CEO </w:t>
            </w:r>
            <w:r w:rsidR="00460317">
              <w:rPr>
                <w:rFonts w:ascii="Times New Roman" w:eastAsia="Times New Roman" w:hAnsi="Times New Roman" w:cs="Times New Roman"/>
                <w:color w:val="000000" w:themeColor="text1"/>
                <w:sz w:val="20"/>
                <w:szCs w:val="20"/>
              </w:rPr>
              <w:t>plus the next four</w:t>
            </w:r>
            <w:r w:rsidRPr="00617780">
              <w:rPr>
                <w:rFonts w:ascii="Times New Roman" w:eastAsia="Times New Roman" w:hAnsi="Times New Roman" w:cs="Times New Roman"/>
                <w:color w:val="000000" w:themeColor="text1"/>
                <w:sz w:val="20"/>
                <w:szCs w:val="20"/>
              </w:rPr>
              <w:t xml:space="preserve"> highest-paid executives.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r w:rsidR="000C469C" w:rsidRPr="00617780" w14:paraId="41477A7D" w14:textId="77777777" w:rsidTr="000C469C">
        <w:tc>
          <w:tcPr>
            <w:tcW w:w="2394" w:type="dxa"/>
          </w:tcPr>
          <w:p w14:paraId="2D17E1B3" w14:textId="451F5ACC"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Disc</w:t>
            </w:r>
            <w:r w:rsidR="0011769C">
              <w:rPr>
                <w:rFonts w:ascii="Times New Roman" w:eastAsia="Times New Roman" w:hAnsi="Times New Roman" w:cs="Times New Roman"/>
                <w:color w:val="000000" w:themeColor="text1"/>
                <w:sz w:val="20"/>
                <w:szCs w:val="20"/>
              </w:rPr>
              <w:t>.</w:t>
            </w:r>
            <w:r w:rsidRPr="00617780">
              <w:rPr>
                <w:rFonts w:ascii="Times New Roman" w:eastAsia="Times New Roman" w:hAnsi="Times New Roman" w:cs="Times New Roman"/>
                <w:color w:val="000000" w:themeColor="text1"/>
                <w:sz w:val="20"/>
                <w:szCs w:val="20"/>
              </w:rPr>
              <w:t xml:space="preserve"> Accrual</w:t>
            </w:r>
          </w:p>
        </w:tc>
        <w:tc>
          <w:tcPr>
            <w:tcW w:w="6690" w:type="dxa"/>
          </w:tcPr>
          <w:p w14:paraId="083A57D0" w14:textId="426A4178" w:rsidR="000C469C" w:rsidRPr="00617780" w:rsidRDefault="000C469C" w:rsidP="00460317">
            <w:pPr>
              <w:adjustRightInd w:val="0"/>
              <w:spacing w:before="60" w:after="60" w:line="240" w:lineRule="auto"/>
              <w:ind w:right="-29"/>
              <w:jc w:val="both"/>
              <w:rPr>
                <w:rFonts w:ascii="Times New Roman" w:eastAsia="Times New Roman" w:hAnsi="Times New Roman" w:cs="Times New Roman"/>
                <w:sz w:val="20"/>
                <w:szCs w:val="20"/>
              </w:rPr>
            </w:pPr>
            <w:r w:rsidRPr="00617780">
              <w:rPr>
                <w:rFonts w:ascii="Times New Roman" w:eastAsia="Times New Roman" w:hAnsi="Times New Roman" w:cs="Times New Roman"/>
                <w:sz w:val="20"/>
                <w:szCs w:val="20"/>
              </w:rPr>
              <w:t>The differen</w:t>
            </w:r>
            <w:r w:rsidR="00460317">
              <w:rPr>
                <w:rFonts w:ascii="Times New Roman" w:eastAsia="Times New Roman" w:hAnsi="Times New Roman" w:cs="Times New Roman"/>
                <w:sz w:val="20"/>
                <w:szCs w:val="20"/>
              </w:rPr>
              <w:t>ce</w:t>
            </w:r>
            <w:r w:rsidRPr="00617780">
              <w:rPr>
                <w:rFonts w:ascii="Times New Roman" w:eastAsia="Times New Roman" w:hAnsi="Times New Roman" w:cs="Times New Roman"/>
                <w:sz w:val="20"/>
                <w:szCs w:val="20"/>
              </w:rPr>
              <w:t xml:space="preserve"> between total accrual and non-discretional accrual. We follow </w:t>
            </w:r>
            <w:r w:rsidR="00460317">
              <w:rPr>
                <w:rFonts w:ascii="Times New Roman" w:eastAsia="Times New Roman" w:hAnsi="Times New Roman" w:cs="Times New Roman"/>
                <w:sz w:val="20"/>
                <w:szCs w:val="20"/>
              </w:rPr>
              <w:t xml:space="preserve">the method of </w:t>
            </w:r>
            <w:proofErr w:type="spellStart"/>
            <w:r w:rsidRPr="00617780">
              <w:rPr>
                <w:rFonts w:ascii="Times New Roman" w:eastAsia="Times New Roman" w:hAnsi="Times New Roman" w:cs="Times New Roman"/>
                <w:sz w:val="20"/>
                <w:szCs w:val="20"/>
              </w:rPr>
              <w:t>Dechow</w:t>
            </w:r>
            <w:proofErr w:type="spellEnd"/>
            <w:r w:rsidRPr="00617780">
              <w:rPr>
                <w:rFonts w:ascii="Times New Roman" w:eastAsia="Times New Roman" w:hAnsi="Times New Roman" w:cs="Times New Roman"/>
                <w:sz w:val="20"/>
                <w:szCs w:val="20"/>
              </w:rPr>
              <w:t xml:space="preserve"> et al. (1995) to compute total accrual</w:t>
            </w:r>
            <w:r w:rsidR="00460317">
              <w:rPr>
                <w:rFonts w:ascii="Times New Roman" w:eastAsia="Times New Roman" w:hAnsi="Times New Roman" w:cs="Times New Roman"/>
                <w:sz w:val="20"/>
                <w:szCs w:val="20"/>
              </w:rPr>
              <w:t>s</w:t>
            </w:r>
            <w:r w:rsidRPr="00617780">
              <w:rPr>
                <w:rFonts w:ascii="Times New Roman" w:eastAsia="Times New Roman" w:hAnsi="Times New Roman" w:cs="Times New Roman"/>
                <w:sz w:val="20"/>
                <w:szCs w:val="20"/>
              </w:rPr>
              <w:t>. To estimate non-discretional accrual</w:t>
            </w:r>
            <w:r w:rsidR="00460317">
              <w:rPr>
                <w:rFonts w:ascii="Times New Roman" w:eastAsia="Times New Roman" w:hAnsi="Times New Roman" w:cs="Times New Roman"/>
                <w:sz w:val="20"/>
                <w:szCs w:val="20"/>
              </w:rPr>
              <w:t>s</w:t>
            </w:r>
            <w:r w:rsidRPr="00617780">
              <w:rPr>
                <w:rFonts w:ascii="Times New Roman" w:eastAsia="Times New Roman" w:hAnsi="Times New Roman" w:cs="Times New Roman"/>
                <w:sz w:val="20"/>
                <w:szCs w:val="20"/>
              </w:rPr>
              <w:t xml:space="preserve">, we use </w:t>
            </w:r>
            <w:r w:rsidRPr="0072409C">
              <w:rPr>
                <w:rFonts w:ascii="Times New Roman" w:eastAsia="Times New Roman" w:hAnsi="Times New Roman" w:cs="Times New Roman"/>
                <w:noProof/>
                <w:sz w:val="20"/>
                <w:szCs w:val="20"/>
              </w:rPr>
              <w:t>Jones</w:t>
            </w:r>
            <w:r w:rsidRPr="00617780">
              <w:rPr>
                <w:rFonts w:ascii="Times New Roman" w:eastAsia="Times New Roman" w:hAnsi="Times New Roman" w:cs="Times New Roman"/>
                <w:sz w:val="20"/>
                <w:szCs w:val="20"/>
              </w:rPr>
              <w:t xml:space="preserve"> (1991) model of accruals.  </w:t>
            </w:r>
          </w:p>
        </w:tc>
      </w:tr>
      <w:tr w:rsidR="000C469C" w:rsidRPr="00617780" w14:paraId="0BD0E2F3" w14:textId="77777777" w:rsidTr="000C469C">
        <w:tc>
          <w:tcPr>
            <w:tcW w:w="2394" w:type="dxa"/>
          </w:tcPr>
          <w:p w14:paraId="6E32E287" w14:textId="3E9BB166" w:rsidR="00460317" w:rsidRPr="00617780" w:rsidRDefault="003E3202" w:rsidP="00460317">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Entrenched</w:t>
            </w:r>
          </w:p>
          <w:p w14:paraId="31293C12" w14:textId="4395F844" w:rsidR="000C469C" w:rsidRPr="00617780" w:rsidRDefault="000C469C" w:rsidP="00460317">
            <w:pPr>
              <w:adjustRightInd w:val="0"/>
              <w:spacing w:before="60" w:after="60" w:line="240" w:lineRule="auto"/>
              <w:ind w:right="-29"/>
              <w:jc w:val="both"/>
              <w:rPr>
                <w:rFonts w:ascii="Times New Roman" w:eastAsia="Times New Roman" w:hAnsi="Times New Roman" w:cs="Times New Roman"/>
                <w:color w:val="000000" w:themeColor="text1"/>
                <w:sz w:val="20"/>
                <w:szCs w:val="20"/>
              </w:rPr>
            </w:pPr>
          </w:p>
        </w:tc>
        <w:tc>
          <w:tcPr>
            <w:tcW w:w="6690" w:type="dxa"/>
          </w:tcPr>
          <w:p w14:paraId="15F24F17" w14:textId="37DBA319" w:rsidR="000C469C" w:rsidRPr="00617780" w:rsidRDefault="000C469C" w:rsidP="003E3202">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sz w:val="20"/>
                <w:szCs w:val="20"/>
              </w:rPr>
              <w:t xml:space="preserve">A dummy variable that </w:t>
            </w:r>
            <w:r w:rsidR="00460317">
              <w:rPr>
                <w:rFonts w:ascii="Times New Roman" w:eastAsia="Times New Roman" w:hAnsi="Times New Roman" w:cs="Times New Roman"/>
                <w:sz w:val="20"/>
                <w:szCs w:val="20"/>
              </w:rPr>
              <w:t xml:space="preserve">is </w:t>
            </w:r>
            <w:r w:rsidRPr="00617780">
              <w:rPr>
                <w:rFonts w:ascii="Times New Roman" w:eastAsia="Times New Roman" w:hAnsi="Times New Roman" w:cs="Times New Roman"/>
                <w:sz w:val="20"/>
                <w:szCs w:val="20"/>
              </w:rPr>
              <w:t>equal</w:t>
            </w:r>
            <w:r w:rsidR="00460317">
              <w:rPr>
                <w:rFonts w:ascii="Times New Roman" w:eastAsia="Times New Roman" w:hAnsi="Times New Roman" w:cs="Times New Roman"/>
                <w:sz w:val="20"/>
                <w:szCs w:val="20"/>
              </w:rPr>
              <w:t xml:space="preserve"> to</w:t>
            </w:r>
            <w:r w:rsidRPr="00617780">
              <w:rPr>
                <w:rFonts w:ascii="Times New Roman" w:eastAsia="Times New Roman" w:hAnsi="Times New Roman" w:cs="Times New Roman"/>
                <w:sz w:val="20"/>
                <w:szCs w:val="20"/>
              </w:rPr>
              <w:t xml:space="preserve"> one if the</w:t>
            </w:r>
            <w:r w:rsidR="00460317">
              <w:rPr>
                <w:rFonts w:ascii="Times New Roman" w:eastAsia="Times New Roman" w:hAnsi="Times New Roman" w:cs="Times New Roman"/>
                <w:sz w:val="20"/>
                <w:szCs w:val="20"/>
              </w:rPr>
              <w:t xml:space="preserve"> firm is highly entrenched (an E-Index score (</w:t>
            </w:r>
            <w:proofErr w:type="spellStart"/>
            <w:r w:rsidR="00460317" w:rsidRPr="00617780">
              <w:rPr>
                <w:rFonts w:ascii="Times New Roman" w:eastAsia="Times New Roman" w:hAnsi="Times New Roman" w:cs="Times New Roman"/>
                <w:sz w:val="20"/>
                <w:szCs w:val="20"/>
              </w:rPr>
              <w:t>Bebchuk</w:t>
            </w:r>
            <w:proofErr w:type="spellEnd"/>
            <w:r w:rsidR="00460317" w:rsidRPr="00617780">
              <w:rPr>
                <w:rFonts w:ascii="Times New Roman" w:eastAsia="Times New Roman" w:hAnsi="Times New Roman" w:cs="Times New Roman"/>
                <w:sz w:val="20"/>
                <w:szCs w:val="20"/>
              </w:rPr>
              <w:t xml:space="preserve">, </w:t>
            </w:r>
            <w:r w:rsidR="00460317" w:rsidRPr="00617780">
              <w:rPr>
                <w:rFonts w:ascii="Times New Roman" w:eastAsia="Times New Roman" w:hAnsi="Times New Roman" w:cs="Times New Roman"/>
                <w:noProof/>
                <w:sz w:val="20"/>
                <w:szCs w:val="20"/>
              </w:rPr>
              <w:t>Cohen</w:t>
            </w:r>
            <w:r w:rsidR="00460317" w:rsidRPr="00617780">
              <w:rPr>
                <w:rFonts w:ascii="Times New Roman" w:eastAsia="Times New Roman" w:hAnsi="Times New Roman" w:cs="Times New Roman"/>
                <w:sz w:val="20"/>
                <w:szCs w:val="20"/>
              </w:rPr>
              <w:t xml:space="preserve"> and Ferrel</w:t>
            </w:r>
            <w:r w:rsidR="00460317">
              <w:rPr>
                <w:rFonts w:ascii="Times New Roman" w:eastAsia="Times New Roman" w:hAnsi="Times New Roman" w:cs="Times New Roman"/>
                <w:sz w:val="20"/>
                <w:szCs w:val="20"/>
              </w:rPr>
              <w:t>,</w:t>
            </w:r>
            <w:r w:rsidR="00460317" w:rsidRPr="00617780">
              <w:rPr>
                <w:rFonts w:ascii="Times New Roman" w:eastAsia="Times New Roman" w:hAnsi="Times New Roman" w:cs="Times New Roman"/>
                <w:sz w:val="20"/>
                <w:szCs w:val="20"/>
              </w:rPr>
              <w:t xml:space="preserve"> 2009)</w:t>
            </w:r>
            <w:r w:rsidR="00460317">
              <w:rPr>
                <w:rFonts w:ascii="Times New Roman" w:eastAsia="Times New Roman" w:hAnsi="Times New Roman" w:cs="Times New Roman"/>
                <w:sz w:val="20"/>
                <w:szCs w:val="20"/>
              </w:rPr>
              <w:t xml:space="preserve"> greater than 4)</w:t>
            </w:r>
            <w:r w:rsidR="003E3202">
              <w:rPr>
                <w:rFonts w:ascii="Times New Roman" w:eastAsia="Times New Roman" w:hAnsi="Times New Roman" w:cs="Times New Roman"/>
                <w:sz w:val="20"/>
                <w:szCs w:val="20"/>
              </w:rPr>
              <w:t>, and otherwise equal to zero</w:t>
            </w:r>
            <w:r w:rsidR="00460317">
              <w:rPr>
                <w:rFonts w:ascii="Times New Roman" w:eastAsia="Times New Roman" w:hAnsi="Times New Roman" w:cs="Times New Roman"/>
                <w:sz w:val="20"/>
                <w:szCs w:val="20"/>
              </w:rPr>
              <w:t>.</w:t>
            </w:r>
            <w:r w:rsidRPr="00617780">
              <w:rPr>
                <w:rFonts w:ascii="Times New Roman" w:eastAsia="Times New Roman" w:hAnsi="Times New Roman" w:cs="Times New Roman"/>
                <w:sz w:val="20"/>
                <w:szCs w:val="20"/>
              </w:rPr>
              <w:t xml:space="preserve"> </w:t>
            </w:r>
          </w:p>
        </w:tc>
      </w:tr>
      <w:tr w:rsidR="009139FC" w:rsidRPr="00617780" w14:paraId="7BE1DDFC" w14:textId="77777777" w:rsidTr="009139FC">
        <w:tc>
          <w:tcPr>
            <w:tcW w:w="2394" w:type="dxa"/>
          </w:tcPr>
          <w:p w14:paraId="0CD8B866" w14:textId="6CFA9AE4" w:rsidR="009139FC" w:rsidRPr="00617780" w:rsidRDefault="009139FC" w:rsidP="003451BF">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Geographic</w:t>
            </w:r>
            <w:r w:rsidRPr="00617780">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IV</w:t>
            </w:r>
          </w:p>
        </w:tc>
        <w:tc>
          <w:tcPr>
            <w:tcW w:w="6690" w:type="dxa"/>
          </w:tcPr>
          <w:p w14:paraId="7126E310" w14:textId="208CCD10" w:rsidR="009139FC" w:rsidRPr="009139FC" w:rsidRDefault="009139FC" w:rsidP="009139FC">
            <w:pPr>
              <w:adjustRightInd w:val="0"/>
              <w:spacing w:before="60" w:after="60" w:line="240" w:lineRule="auto"/>
              <w:ind w:right="-29"/>
              <w:jc w:val="both"/>
              <w:rPr>
                <w:rFonts w:ascii="Times New Roman" w:eastAsia="Times New Roman" w:hAnsi="Times New Roman" w:cs="Times New Roman"/>
                <w:sz w:val="20"/>
                <w:szCs w:val="20"/>
              </w:rPr>
            </w:pPr>
            <w:r w:rsidRPr="009139FC">
              <w:rPr>
                <w:rFonts w:ascii="Times New Roman" w:eastAsia="Times New Roman" w:hAnsi="Times New Roman" w:cs="Times New Roman"/>
                <w:sz w:val="20"/>
                <w:szCs w:val="20"/>
              </w:rPr>
              <w:t>The median CEO Pay Gap of firms with</w:t>
            </w:r>
            <w:r>
              <w:rPr>
                <w:rFonts w:ascii="Times New Roman" w:eastAsia="Times New Roman" w:hAnsi="Times New Roman" w:cs="Times New Roman"/>
                <w:sz w:val="20"/>
                <w:szCs w:val="20"/>
              </w:rPr>
              <w:t xml:space="preserve">in the same state </w:t>
            </w:r>
            <w:r w:rsidRPr="009139FC">
              <w:rPr>
                <w:rFonts w:ascii="Times New Roman" w:eastAsia="Times New Roman" w:hAnsi="Times New Roman" w:cs="Times New Roman"/>
                <w:sz w:val="20"/>
                <w:szCs w:val="20"/>
              </w:rPr>
              <w:t>and being in the same size quartile (measured by total assets)</w:t>
            </w:r>
            <w:r>
              <w:rPr>
                <w:rFonts w:ascii="Times New Roman" w:eastAsia="Times New Roman" w:hAnsi="Times New Roman" w:cs="Times New Roman"/>
                <w:sz w:val="20"/>
                <w:szCs w:val="20"/>
              </w:rPr>
              <w:t xml:space="preserve"> but not in the same 2-digit SIC</w:t>
            </w:r>
            <w:r w:rsidRPr="009139FC">
              <w:rPr>
                <w:rFonts w:ascii="Times New Roman" w:eastAsia="Times New Roman" w:hAnsi="Times New Roman" w:cs="Times New Roman"/>
                <w:sz w:val="20"/>
                <w:szCs w:val="20"/>
              </w:rPr>
              <w:t xml:space="preserve"> as the focus firm.</w:t>
            </w:r>
          </w:p>
        </w:tc>
      </w:tr>
      <w:tr w:rsidR="009139FC" w:rsidRPr="00617780" w14:paraId="3B709F2F" w14:textId="77777777" w:rsidTr="009139FC">
        <w:tc>
          <w:tcPr>
            <w:tcW w:w="2394" w:type="dxa"/>
          </w:tcPr>
          <w:p w14:paraId="230E1272" w14:textId="7208121B" w:rsidR="009139FC" w:rsidRPr="00617780" w:rsidRDefault="009139FC" w:rsidP="003451BF">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Geographic-VP IV</w:t>
            </w:r>
          </w:p>
        </w:tc>
        <w:tc>
          <w:tcPr>
            <w:tcW w:w="6690" w:type="dxa"/>
          </w:tcPr>
          <w:p w14:paraId="6DE669AA" w14:textId="76F3E190" w:rsidR="009139FC" w:rsidRPr="009139FC" w:rsidRDefault="009139FC" w:rsidP="003451BF">
            <w:pPr>
              <w:adjustRightInd w:val="0"/>
              <w:spacing w:before="60" w:after="60" w:line="240" w:lineRule="auto"/>
              <w:ind w:right="-29"/>
              <w:jc w:val="both"/>
              <w:rPr>
                <w:rFonts w:ascii="Times New Roman" w:eastAsia="Times New Roman" w:hAnsi="Times New Roman" w:cs="Times New Roman"/>
                <w:sz w:val="20"/>
                <w:szCs w:val="20"/>
              </w:rPr>
            </w:pPr>
            <w:r w:rsidRPr="009139FC">
              <w:rPr>
                <w:rFonts w:ascii="Times New Roman" w:eastAsia="Times New Roman" w:hAnsi="Times New Roman" w:cs="Times New Roman"/>
                <w:sz w:val="20"/>
                <w:szCs w:val="20"/>
              </w:rPr>
              <w:t>The median CEO Pay Gap of firms with</w:t>
            </w:r>
            <w:r>
              <w:rPr>
                <w:rFonts w:ascii="Times New Roman" w:eastAsia="Times New Roman" w:hAnsi="Times New Roman" w:cs="Times New Roman"/>
                <w:sz w:val="20"/>
                <w:szCs w:val="20"/>
              </w:rPr>
              <w:t xml:space="preserve">in the same state </w:t>
            </w:r>
            <w:r w:rsidRPr="009139FC">
              <w:rPr>
                <w:rFonts w:ascii="Times New Roman" w:eastAsia="Times New Roman" w:hAnsi="Times New Roman" w:cs="Times New Roman"/>
                <w:sz w:val="20"/>
                <w:szCs w:val="20"/>
              </w:rPr>
              <w:t>and being in the same size quartile (measured by total assets)</w:t>
            </w:r>
            <w:r>
              <w:rPr>
                <w:rFonts w:ascii="Times New Roman" w:eastAsia="Times New Roman" w:hAnsi="Times New Roman" w:cs="Times New Roman"/>
                <w:sz w:val="20"/>
                <w:szCs w:val="20"/>
              </w:rPr>
              <w:t xml:space="preserve"> but not in the same 2-digit SIC</w:t>
            </w:r>
            <w:r w:rsidRPr="009139FC">
              <w:rPr>
                <w:rFonts w:ascii="Times New Roman" w:eastAsia="Times New Roman" w:hAnsi="Times New Roman" w:cs="Times New Roman"/>
                <w:sz w:val="20"/>
                <w:szCs w:val="20"/>
              </w:rPr>
              <w:t xml:space="preserve"> as the focus firm.</w:t>
            </w:r>
          </w:p>
        </w:tc>
      </w:tr>
      <w:tr w:rsidR="000C469C" w:rsidRPr="00617780" w14:paraId="2B752B23" w14:textId="77777777" w:rsidTr="000C469C">
        <w:tc>
          <w:tcPr>
            <w:tcW w:w="2394" w:type="dxa"/>
          </w:tcPr>
          <w:p w14:paraId="679F4397"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Inst. Holdings</w:t>
            </w:r>
          </w:p>
        </w:tc>
        <w:tc>
          <w:tcPr>
            <w:tcW w:w="6690" w:type="dxa"/>
          </w:tcPr>
          <w:p w14:paraId="63F0E45A" w14:textId="45001B55" w:rsidR="000C469C" w:rsidRPr="00617780" w:rsidRDefault="00966492" w:rsidP="00966492">
            <w:pPr>
              <w:adjustRightInd w:val="0"/>
              <w:spacing w:before="60" w:after="6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w:t>
            </w:r>
            <w:r w:rsidR="000C469C" w:rsidRPr="00617780">
              <w:rPr>
                <w:rFonts w:ascii="Times New Roman" w:eastAsia="Times New Roman" w:hAnsi="Times New Roman" w:cs="Times New Roman"/>
                <w:color w:val="000000" w:themeColor="text1"/>
                <w:sz w:val="20"/>
                <w:szCs w:val="20"/>
              </w:rPr>
              <w:t xml:space="preserve">otal share ownership held by institutional investors. This variable is </w:t>
            </w:r>
            <w:proofErr w:type="spellStart"/>
            <w:r w:rsidR="000C469C" w:rsidRPr="00617780">
              <w:rPr>
                <w:rFonts w:ascii="Times New Roman" w:eastAsia="Times New Roman" w:hAnsi="Times New Roman" w:cs="Times New Roman"/>
                <w:color w:val="000000" w:themeColor="text1"/>
                <w:sz w:val="20"/>
                <w:szCs w:val="20"/>
              </w:rPr>
              <w:t>winsorized</w:t>
            </w:r>
            <w:proofErr w:type="spellEnd"/>
            <w:r w:rsidR="000C469C" w:rsidRPr="00617780">
              <w:rPr>
                <w:rFonts w:ascii="Times New Roman" w:eastAsia="Times New Roman" w:hAnsi="Times New Roman" w:cs="Times New Roman"/>
                <w:color w:val="000000" w:themeColor="text1"/>
                <w:sz w:val="20"/>
                <w:szCs w:val="20"/>
              </w:rPr>
              <w:t xml:space="preserve"> at the 1</w:t>
            </w:r>
            <w:r w:rsidR="000C469C" w:rsidRPr="00617780">
              <w:rPr>
                <w:rFonts w:ascii="Times New Roman" w:eastAsia="Times New Roman" w:hAnsi="Times New Roman" w:cs="Times New Roman"/>
                <w:color w:val="000000" w:themeColor="text1"/>
                <w:sz w:val="20"/>
                <w:szCs w:val="20"/>
                <w:vertAlign w:val="superscript"/>
              </w:rPr>
              <w:t>st</w:t>
            </w:r>
            <w:r w:rsidR="000C469C" w:rsidRPr="00617780">
              <w:rPr>
                <w:rFonts w:ascii="Times New Roman" w:eastAsia="Times New Roman" w:hAnsi="Times New Roman" w:cs="Times New Roman"/>
                <w:color w:val="000000" w:themeColor="text1"/>
                <w:sz w:val="20"/>
                <w:szCs w:val="20"/>
              </w:rPr>
              <w:t xml:space="preserve"> and 99</w:t>
            </w:r>
            <w:r w:rsidR="000C469C" w:rsidRPr="00617780">
              <w:rPr>
                <w:rFonts w:ascii="Times New Roman" w:eastAsia="Times New Roman" w:hAnsi="Times New Roman" w:cs="Times New Roman"/>
                <w:color w:val="000000" w:themeColor="text1"/>
                <w:sz w:val="20"/>
                <w:szCs w:val="20"/>
                <w:vertAlign w:val="superscript"/>
              </w:rPr>
              <w:t>th</w:t>
            </w:r>
            <w:r w:rsidR="000C469C" w:rsidRPr="00617780">
              <w:rPr>
                <w:rFonts w:ascii="Times New Roman" w:eastAsia="Times New Roman" w:hAnsi="Times New Roman" w:cs="Times New Roman"/>
                <w:color w:val="000000" w:themeColor="text1"/>
                <w:sz w:val="20"/>
                <w:szCs w:val="20"/>
              </w:rPr>
              <w:t xml:space="preserve"> percentiles.</w:t>
            </w:r>
          </w:p>
        </w:tc>
      </w:tr>
      <w:tr w:rsidR="000C469C" w:rsidRPr="00617780" w14:paraId="4DFF99E6" w14:textId="77777777" w:rsidTr="000C469C">
        <w:tc>
          <w:tcPr>
            <w:tcW w:w="2394" w:type="dxa"/>
          </w:tcPr>
          <w:p w14:paraId="49049A68" w14:textId="1E4C289D" w:rsidR="000C469C" w:rsidRPr="00617780" w:rsidRDefault="000C469C" w:rsidP="00966492">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 xml:space="preserve">Industry </w:t>
            </w:r>
            <w:r w:rsidR="00966492">
              <w:rPr>
                <w:rFonts w:ascii="Times New Roman" w:eastAsia="Times New Roman" w:hAnsi="Times New Roman" w:cs="Times New Roman"/>
                <w:color w:val="000000" w:themeColor="text1"/>
                <w:sz w:val="20"/>
                <w:szCs w:val="20"/>
              </w:rPr>
              <w:t>IV</w:t>
            </w:r>
          </w:p>
        </w:tc>
        <w:tc>
          <w:tcPr>
            <w:tcW w:w="6690" w:type="dxa"/>
          </w:tcPr>
          <w:p w14:paraId="50A46691" w14:textId="36943878" w:rsidR="000C469C" w:rsidRPr="00617780" w:rsidRDefault="000C469C" w:rsidP="004648C2">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The median CEO Pay Gap</w:t>
            </w:r>
            <w:r w:rsidR="00966492">
              <w:rPr>
                <w:rFonts w:ascii="Times New Roman" w:eastAsia="Times New Roman" w:hAnsi="Times New Roman" w:cs="Times New Roman"/>
                <w:color w:val="000000" w:themeColor="text1"/>
                <w:sz w:val="20"/>
                <w:szCs w:val="20"/>
              </w:rPr>
              <w:t xml:space="preserve"> of firms with</w:t>
            </w:r>
            <w:r w:rsidRPr="00617780">
              <w:rPr>
                <w:rFonts w:ascii="Times New Roman" w:eastAsia="Times New Roman" w:hAnsi="Times New Roman" w:cs="Times New Roman"/>
                <w:color w:val="000000" w:themeColor="text1"/>
                <w:sz w:val="20"/>
                <w:szCs w:val="20"/>
              </w:rPr>
              <w:t xml:space="preserve"> </w:t>
            </w:r>
            <w:r w:rsidR="00966492">
              <w:rPr>
                <w:rFonts w:ascii="Times New Roman" w:eastAsia="Times New Roman" w:hAnsi="Times New Roman" w:cs="Times New Roman"/>
                <w:color w:val="000000" w:themeColor="text1"/>
                <w:sz w:val="20"/>
                <w:szCs w:val="20"/>
              </w:rPr>
              <w:t>the same SIC</w:t>
            </w:r>
            <w:r w:rsidR="004648C2">
              <w:rPr>
                <w:rFonts w:ascii="Times New Roman" w:eastAsia="Times New Roman" w:hAnsi="Times New Roman" w:cs="Times New Roman"/>
                <w:color w:val="000000" w:themeColor="text1"/>
                <w:sz w:val="20"/>
                <w:szCs w:val="20"/>
              </w:rPr>
              <w:t xml:space="preserve"> division</w:t>
            </w:r>
            <w:r w:rsidR="00966492">
              <w:rPr>
                <w:rFonts w:ascii="Times New Roman" w:eastAsia="Times New Roman" w:hAnsi="Times New Roman" w:cs="Times New Roman"/>
                <w:color w:val="000000" w:themeColor="text1"/>
                <w:sz w:val="20"/>
                <w:szCs w:val="20"/>
              </w:rPr>
              <w:t xml:space="preserve"> and being in the same size quartile (measured by total assets)</w:t>
            </w:r>
            <w:r w:rsidRPr="00617780">
              <w:rPr>
                <w:rFonts w:ascii="Times New Roman" w:eastAsia="Times New Roman" w:hAnsi="Times New Roman" w:cs="Times New Roman"/>
                <w:color w:val="000000" w:themeColor="text1"/>
                <w:sz w:val="20"/>
                <w:szCs w:val="20"/>
              </w:rPr>
              <w:t xml:space="preserve"> </w:t>
            </w:r>
            <w:r w:rsidR="00966492">
              <w:rPr>
                <w:rFonts w:ascii="Times New Roman" w:eastAsia="Times New Roman" w:hAnsi="Times New Roman" w:cs="Times New Roman"/>
                <w:color w:val="000000" w:themeColor="text1"/>
                <w:sz w:val="20"/>
                <w:szCs w:val="20"/>
              </w:rPr>
              <w:t>as the focus firm.</w:t>
            </w:r>
          </w:p>
        </w:tc>
      </w:tr>
      <w:tr w:rsidR="00966492" w:rsidRPr="00617780" w14:paraId="428D7C4D" w14:textId="77777777" w:rsidTr="00966492">
        <w:tc>
          <w:tcPr>
            <w:tcW w:w="2394" w:type="dxa"/>
          </w:tcPr>
          <w:p w14:paraId="47B39FAD" w14:textId="7BBA4312" w:rsidR="00966492" w:rsidRPr="00617780" w:rsidRDefault="00966492" w:rsidP="009139F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Industry</w:t>
            </w:r>
            <w:r w:rsidR="009139FC">
              <w:rPr>
                <w:rFonts w:ascii="Times New Roman" w:eastAsia="Times New Roman" w:hAnsi="Times New Roman" w:cs="Times New Roman"/>
                <w:color w:val="000000" w:themeColor="text1"/>
                <w:sz w:val="20"/>
                <w:szCs w:val="20"/>
              </w:rPr>
              <w:t xml:space="preserve">-VP </w:t>
            </w:r>
            <w:r>
              <w:rPr>
                <w:rFonts w:ascii="Times New Roman" w:eastAsia="Times New Roman" w:hAnsi="Times New Roman" w:cs="Times New Roman"/>
                <w:color w:val="000000" w:themeColor="text1"/>
                <w:sz w:val="20"/>
                <w:szCs w:val="20"/>
              </w:rPr>
              <w:t>IV</w:t>
            </w:r>
          </w:p>
        </w:tc>
        <w:tc>
          <w:tcPr>
            <w:tcW w:w="6690" w:type="dxa"/>
          </w:tcPr>
          <w:p w14:paraId="51018664" w14:textId="18A191F2" w:rsidR="00966492" w:rsidRPr="00617780" w:rsidRDefault="00966492" w:rsidP="004648C2">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 xml:space="preserve">The median </w:t>
            </w:r>
            <w:r w:rsidR="009139FC">
              <w:rPr>
                <w:rFonts w:ascii="Times New Roman" w:eastAsia="Times New Roman" w:hAnsi="Times New Roman" w:cs="Times New Roman"/>
                <w:color w:val="000000" w:themeColor="text1"/>
                <w:sz w:val="20"/>
                <w:szCs w:val="20"/>
              </w:rPr>
              <w:t>number of VPs</w:t>
            </w:r>
            <w:r>
              <w:rPr>
                <w:rFonts w:ascii="Times New Roman" w:eastAsia="Times New Roman" w:hAnsi="Times New Roman" w:cs="Times New Roman"/>
                <w:color w:val="000000" w:themeColor="text1"/>
                <w:sz w:val="20"/>
                <w:szCs w:val="20"/>
              </w:rPr>
              <w:t xml:space="preserve"> </w:t>
            </w:r>
            <w:r w:rsidR="009139FC">
              <w:rPr>
                <w:rFonts w:ascii="Times New Roman" w:eastAsia="Times New Roman" w:hAnsi="Times New Roman" w:cs="Times New Roman"/>
                <w:color w:val="000000" w:themeColor="text1"/>
                <w:sz w:val="20"/>
                <w:szCs w:val="20"/>
              </w:rPr>
              <w:t>of</w:t>
            </w:r>
            <w:r>
              <w:rPr>
                <w:rFonts w:ascii="Times New Roman" w:eastAsia="Times New Roman" w:hAnsi="Times New Roman" w:cs="Times New Roman"/>
                <w:color w:val="000000" w:themeColor="text1"/>
                <w:sz w:val="20"/>
                <w:szCs w:val="20"/>
              </w:rPr>
              <w:t xml:space="preserve"> firms with</w:t>
            </w:r>
            <w:r w:rsidRPr="00617780">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the same SIC</w:t>
            </w:r>
            <w:r w:rsidR="004648C2">
              <w:rPr>
                <w:rFonts w:ascii="Times New Roman" w:eastAsia="Times New Roman" w:hAnsi="Times New Roman" w:cs="Times New Roman"/>
                <w:color w:val="000000" w:themeColor="text1"/>
                <w:sz w:val="20"/>
                <w:szCs w:val="20"/>
              </w:rPr>
              <w:t xml:space="preserve"> division</w:t>
            </w:r>
            <w:r>
              <w:rPr>
                <w:rFonts w:ascii="Times New Roman" w:eastAsia="Times New Roman" w:hAnsi="Times New Roman" w:cs="Times New Roman"/>
                <w:color w:val="000000" w:themeColor="text1"/>
                <w:sz w:val="20"/>
                <w:szCs w:val="20"/>
              </w:rPr>
              <w:t xml:space="preserve"> and being in the same size quartile (measured by total assets)</w:t>
            </w:r>
            <w:r w:rsidRPr="00617780">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as the focus firm.</w:t>
            </w:r>
          </w:p>
        </w:tc>
      </w:tr>
      <w:tr w:rsidR="000C469C" w:rsidRPr="00617780" w14:paraId="3AA680DC" w14:textId="77777777" w:rsidTr="000C469C">
        <w:tc>
          <w:tcPr>
            <w:tcW w:w="2394" w:type="dxa"/>
          </w:tcPr>
          <w:p w14:paraId="61BFE27F"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Leverage</w:t>
            </w:r>
          </w:p>
        </w:tc>
        <w:tc>
          <w:tcPr>
            <w:tcW w:w="6690" w:type="dxa"/>
          </w:tcPr>
          <w:p w14:paraId="19610917" w14:textId="29BE7181" w:rsidR="000C469C" w:rsidRPr="00617780" w:rsidRDefault="009139FC" w:rsidP="009139F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w:t>
            </w:r>
            <w:r w:rsidR="000C469C" w:rsidRPr="00617780">
              <w:rPr>
                <w:rFonts w:ascii="Times New Roman" w:eastAsia="Times New Roman" w:hAnsi="Times New Roman" w:cs="Times New Roman"/>
                <w:color w:val="000000" w:themeColor="text1"/>
                <w:sz w:val="20"/>
                <w:szCs w:val="20"/>
              </w:rPr>
              <w:t xml:space="preserve">ong-term debt divided by total assets. This variable is </w:t>
            </w:r>
            <w:proofErr w:type="spellStart"/>
            <w:r w:rsidR="000C469C" w:rsidRPr="00617780">
              <w:rPr>
                <w:rFonts w:ascii="Times New Roman" w:eastAsia="Times New Roman" w:hAnsi="Times New Roman" w:cs="Times New Roman"/>
                <w:color w:val="000000" w:themeColor="text1"/>
                <w:sz w:val="20"/>
                <w:szCs w:val="20"/>
              </w:rPr>
              <w:t>winsorized</w:t>
            </w:r>
            <w:proofErr w:type="spellEnd"/>
            <w:r w:rsidR="000C469C" w:rsidRPr="00617780">
              <w:rPr>
                <w:rFonts w:ascii="Times New Roman" w:eastAsia="Times New Roman" w:hAnsi="Times New Roman" w:cs="Times New Roman"/>
                <w:color w:val="000000" w:themeColor="text1"/>
                <w:sz w:val="20"/>
                <w:szCs w:val="20"/>
              </w:rPr>
              <w:t xml:space="preserve"> at the 1</w:t>
            </w:r>
            <w:r w:rsidR="000C469C" w:rsidRPr="00617780">
              <w:rPr>
                <w:rFonts w:ascii="Times New Roman" w:eastAsia="Times New Roman" w:hAnsi="Times New Roman" w:cs="Times New Roman"/>
                <w:color w:val="000000" w:themeColor="text1"/>
                <w:sz w:val="20"/>
                <w:szCs w:val="20"/>
                <w:vertAlign w:val="superscript"/>
              </w:rPr>
              <w:t>st</w:t>
            </w:r>
            <w:r w:rsidR="000C469C" w:rsidRPr="00617780">
              <w:rPr>
                <w:rFonts w:ascii="Times New Roman" w:eastAsia="Times New Roman" w:hAnsi="Times New Roman" w:cs="Times New Roman"/>
                <w:color w:val="000000" w:themeColor="text1"/>
                <w:sz w:val="20"/>
                <w:szCs w:val="20"/>
              </w:rPr>
              <w:t xml:space="preserve"> and 99</w:t>
            </w:r>
            <w:r w:rsidR="000C469C" w:rsidRPr="00617780">
              <w:rPr>
                <w:rFonts w:ascii="Times New Roman" w:eastAsia="Times New Roman" w:hAnsi="Times New Roman" w:cs="Times New Roman"/>
                <w:color w:val="000000" w:themeColor="text1"/>
                <w:sz w:val="20"/>
                <w:szCs w:val="20"/>
                <w:vertAlign w:val="superscript"/>
              </w:rPr>
              <w:t>th</w:t>
            </w:r>
            <w:r w:rsidR="000C469C" w:rsidRPr="00617780">
              <w:rPr>
                <w:rFonts w:ascii="Times New Roman" w:eastAsia="Times New Roman" w:hAnsi="Times New Roman" w:cs="Times New Roman"/>
                <w:color w:val="000000" w:themeColor="text1"/>
                <w:sz w:val="20"/>
                <w:szCs w:val="20"/>
              </w:rPr>
              <w:t xml:space="preserve"> percentiles.</w:t>
            </w:r>
          </w:p>
        </w:tc>
      </w:tr>
      <w:tr w:rsidR="000C469C" w:rsidRPr="00617780" w14:paraId="5216D55F" w14:textId="77777777" w:rsidTr="000C469C">
        <w:tc>
          <w:tcPr>
            <w:tcW w:w="2394" w:type="dxa"/>
          </w:tcPr>
          <w:p w14:paraId="20AA5908"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Ln (Total Assets)</w:t>
            </w:r>
          </w:p>
        </w:tc>
        <w:tc>
          <w:tcPr>
            <w:tcW w:w="6690" w:type="dxa"/>
          </w:tcPr>
          <w:p w14:paraId="42264AF8" w14:textId="77777777" w:rsidR="000C469C" w:rsidRPr="00617780" w:rsidRDefault="000C469C" w:rsidP="000C469C">
            <w:pPr>
              <w:adjustRightInd w:val="0"/>
              <w:spacing w:before="60" w:after="60" w:line="240" w:lineRule="auto"/>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 xml:space="preserve">The natural logarithm of total assets.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r w:rsidR="000C469C" w:rsidRPr="00617780" w14:paraId="335E3475" w14:textId="77777777" w:rsidTr="000C469C">
        <w:tc>
          <w:tcPr>
            <w:tcW w:w="2394" w:type="dxa"/>
          </w:tcPr>
          <w:p w14:paraId="51049014"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R&amp;D</w:t>
            </w:r>
          </w:p>
        </w:tc>
        <w:tc>
          <w:tcPr>
            <w:tcW w:w="6690" w:type="dxa"/>
          </w:tcPr>
          <w:p w14:paraId="37181EB1" w14:textId="1DAF5E60" w:rsidR="000C469C" w:rsidRPr="00617780" w:rsidRDefault="009139F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w:t>
            </w:r>
            <w:r w:rsidR="000C469C" w:rsidRPr="00617780">
              <w:rPr>
                <w:rFonts w:ascii="Times New Roman" w:eastAsia="Times New Roman" w:hAnsi="Times New Roman" w:cs="Times New Roman"/>
                <w:color w:val="000000" w:themeColor="text1"/>
                <w:sz w:val="20"/>
                <w:szCs w:val="20"/>
              </w:rPr>
              <w:t xml:space="preserve">esearch and development expense divided by total assets. This variable is </w:t>
            </w:r>
            <w:proofErr w:type="spellStart"/>
            <w:r w:rsidR="000C469C" w:rsidRPr="00617780">
              <w:rPr>
                <w:rFonts w:ascii="Times New Roman" w:eastAsia="Times New Roman" w:hAnsi="Times New Roman" w:cs="Times New Roman"/>
                <w:color w:val="000000" w:themeColor="text1"/>
                <w:sz w:val="20"/>
                <w:szCs w:val="20"/>
              </w:rPr>
              <w:t>winsorized</w:t>
            </w:r>
            <w:proofErr w:type="spellEnd"/>
            <w:r w:rsidR="000C469C" w:rsidRPr="00617780">
              <w:rPr>
                <w:rFonts w:ascii="Times New Roman" w:eastAsia="Times New Roman" w:hAnsi="Times New Roman" w:cs="Times New Roman"/>
                <w:color w:val="000000" w:themeColor="text1"/>
                <w:sz w:val="20"/>
                <w:szCs w:val="20"/>
              </w:rPr>
              <w:t xml:space="preserve"> at the 1</w:t>
            </w:r>
            <w:r w:rsidR="000C469C" w:rsidRPr="00617780">
              <w:rPr>
                <w:rFonts w:ascii="Times New Roman" w:eastAsia="Times New Roman" w:hAnsi="Times New Roman" w:cs="Times New Roman"/>
                <w:color w:val="000000" w:themeColor="text1"/>
                <w:sz w:val="20"/>
                <w:szCs w:val="20"/>
                <w:vertAlign w:val="superscript"/>
              </w:rPr>
              <w:t>st</w:t>
            </w:r>
            <w:r w:rsidR="000C469C" w:rsidRPr="00617780">
              <w:rPr>
                <w:rFonts w:ascii="Times New Roman" w:eastAsia="Times New Roman" w:hAnsi="Times New Roman" w:cs="Times New Roman"/>
                <w:color w:val="000000" w:themeColor="text1"/>
                <w:sz w:val="20"/>
                <w:szCs w:val="20"/>
              </w:rPr>
              <w:t xml:space="preserve"> and 99</w:t>
            </w:r>
            <w:r w:rsidR="000C469C" w:rsidRPr="00617780">
              <w:rPr>
                <w:rFonts w:ascii="Times New Roman" w:eastAsia="Times New Roman" w:hAnsi="Times New Roman" w:cs="Times New Roman"/>
                <w:color w:val="000000" w:themeColor="text1"/>
                <w:sz w:val="20"/>
                <w:szCs w:val="20"/>
                <w:vertAlign w:val="superscript"/>
              </w:rPr>
              <w:t>th</w:t>
            </w:r>
            <w:r w:rsidR="000C469C" w:rsidRPr="00617780">
              <w:rPr>
                <w:rFonts w:ascii="Times New Roman" w:eastAsia="Times New Roman" w:hAnsi="Times New Roman" w:cs="Times New Roman"/>
                <w:color w:val="000000" w:themeColor="text1"/>
                <w:sz w:val="20"/>
                <w:szCs w:val="20"/>
              </w:rPr>
              <w:t xml:space="preserve"> percentiles.</w:t>
            </w:r>
          </w:p>
        </w:tc>
      </w:tr>
      <w:tr w:rsidR="000C469C" w:rsidRPr="00617780" w14:paraId="7322CA73" w14:textId="77777777" w:rsidTr="000C469C">
        <w:tc>
          <w:tcPr>
            <w:tcW w:w="2394" w:type="dxa"/>
          </w:tcPr>
          <w:p w14:paraId="400F4345"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b/>
                <w:sz w:val="20"/>
                <w:szCs w:val="20"/>
              </w:rPr>
            </w:pPr>
            <w:r w:rsidRPr="00617780">
              <w:rPr>
                <w:rFonts w:ascii="Times New Roman" w:eastAsia="Times New Roman" w:hAnsi="Times New Roman" w:cs="Times New Roman"/>
                <w:color w:val="000000" w:themeColor="text1"/>
                <w:sz w:val="20"/>
                <w:szCs w:val="20"/>
              </w:rPr>
              <w:t>ROA</w:t>
            </w:r>
          </w:p>
        </w:tc>
        <w:tc>
          <w:tcPr>
            <w:tcW w:w="6690" w:type="dxa"/>
          </w:tcPr>
          <w:p w14:paraId="249494F2" w14:textId="47F392E3" w:rsidR="000C469C" w:rsidRPr="00617780" w:rsidRDefault="000C469C" w:rsidP="000C469C">
            <w:pPr>
              <w:adjustRightInd w:val="0"/>
              <w:spacing w:before="60" w:after="60" w:line="240" w:lineRule="auto"/>
              <w:ind w:right="-29"/>
              <w:jc w:val="both"/>
              <w:rPr>
                <w:rFonts w:ascii="Times New Roman" w:eastAsia="Times New Roman" w:hAnsi="Times New Roman" w:cs="Times New Roman"/>
                <w:b/>
                <w:sz w:val="20"/>
                <w:szCs w:val="20"/>
              </w:rPr>
            </w:pPr>
            <w:r w:rsidRPr="00617780">
              <w:rPr>
                <w:rFonts w:ascii="Times New Roman" w:eastAsia="Times New Roman" w:hAnsi="Times New Roman" w:cs="Times New Roman"/>
                <w:color w:val="000000" w:themeColor="text1"/>
                <w:sz w:val="20"/>
                <w:szCs w:val="20"/>
              </w:rPr>
              <w:t xml:space="preserve">The pre-tax operating income after depreciation divided by </w:t>
            </w:r>
            <w:r w:rsidR="009139FC">
              <w:rPr>
                <w:rFonts w:ascii="Times New Roman" w:eastAsia="Times New Roman" w:hAnsi="Times New Roman" w:cs="Times New Roman"/>
                <w:color w:val="000000" w:themeColor="text1"/>
                <w:sz w:val="20"/>
                <w:szCs w:val="20"/>
              </w:rPr>
              <w:t xml:space="preserve">the </w:t>
            </w:r>
            <w:r w:rsidRPr="00617780">
              <w:rPr>
                <w:rFonts w:ascii="Times New Roman" w:eastAsia="Times New Roman" w:hAnsi="Times New Roman" w:cs="Times New Roman"/>
                <w:color w:val="000000" w:themeColor="text1"/>
                <w:sz w:val="20"/>
                <w:szCs w:val="20"/>
              </w:rPr>
              <w:t>prior year</w:t>
            </w:r>
            <w:r w:rsidR="009139FC">
              <w:rPr>
                <w:rFonts w:ascii="Times New Roman" w:eastAsia="Times New Roman" w:hAnsi="Times New Roman" w:cs="Times New Roman"/>
                <w:color w:val="000000" w:themeColor="text1"/>
                <w:sz w:val="20"/>
                <w:szCs w:val="20"/>
              </w:rPr>
              <w:t>’s</w:t>
            </w:r>
            <w:r w:rsidRPr="00617780">
              <w:rPr>
                <w:rFonts w:ascii="Times New Roman" w:eastAsia="Times New Roman" w:hAnsi="Times New Roman" w:cs="Times New Roman"/>
                <w:color w:val="000000" w:themeColor="text1"/>
                <w:sz w:val="20"/>
                <w:szCs w:val="20"/>
              </w:rPr>
              <w:t xml:space="preserve"> total assets.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r w:rsidR="000C469C" w:rsidRPr="00617780" w14:paraId="729ADD2D" w14:textId="77777777" w:rsidTr="000C469C">
        <w:tc>
          <w:tcPr>
            <w:tcW w:w="2394" w:type="dxa"/>
          </w:tcPr>
          <w:p w14:paraId="18BD8302"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Sales Growth</w:t>
            </w:r>
          </w:p>
        </w:tc>
        <w:tc>
          <w:tcPr>
            <w:tcW w:w="6690" w:type="dxa"/>
          </w:tcPr>
          <w:p w14:paraId="3957A67D"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 xml:space="preserve">The change in sales over the last financial year.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r w:rsidR="000C469C" w:rsidRPr="00617780" w14:paraId="575B2B4C" w14:textId="77777777" w:rsidTr="000C469C">
        <w:tc>
          <w:tcPr>
            <w:tcW w:w="2394" w:type="dxa"/>
            <w:vAlign w:val="center"/>
          </w:tcPr>
          <w:p w14:paraId="3A240A66" w14:textId="5EEB2451"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Return</w:t>
            </w:r>
          </w:p>
        </w:tc>
        <w:tc>
          <w:tcPr>
            <w:tcW w:w="6690" w:type="dxa"/>
          </w:tcPr>
          <w:p w14:paraId="13AFB90F"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 xml:space="preserve">Shareholders’ prior year stock return.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r w:rsidR="000C469C" w:rsidRPr="00617780" w14:paraId="5AE7445A" w14:textId="77777777" w:rsidTr="000C469C">
        <w:tc>
          <w:tcPr>
            <w:tcW w:w="2394" w:type="dxa"/>
          </w:tcPr>
          <w:p w14:paraId="5F98DAF3"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VP</w:t>
            </w:r>
          </w:p>
        </w:tc>
        <w:tc>
          <w:tcPr>
            <w:tcW w:w="6690" w:type="dxa"/>
          </w:tcPr>
          <w:p w14:paraId="06147C0A" w14:textId="71F8D702" w:rsidR="000C469C" w:rsidRPr="00617780" w:rsidRDefault="000C469C" w:rsidP="009139FC">
            <w:pPr>
              <w:adjustRightInd w:val="0"/>
              <w:spacing w:before="60" w:after="60" w:line="240" w:lineRule="auto"/>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The number of vice president</w:t>
            </w:r>
            <w:r w:rsidR="009139FC">
              <w:rPr>
                <w:rFonts w:ascii="Times New Roman" w:eastAsia="Times New Roman" w:hAnsi="Times New Roman" w:cs="Times New Roman"/>
                <w:color w:val="000000" w:themeColor="text1"/>
                <w:sz w:val="20"/>
                <w:szCs w:val="20"/>
              </w:rPr>
              <w:t>s</w:t>
            </w:r>
            <w:r w:rsidRPr="00617780">
              <w:rPr>
                <w:rFonts w:ascii="Times New Roman" w:eastAsia="Times New Roman" w:hAnsi="Times New Roman" w:cs="Times New Roman"/>
                <w:color w:val="000000" w:themeColor="text1"/>
                <w:sz w:val="20"/>
                <w:szCs w:val="20"/>
              </w:rPr>
              <w:t xml:space="preserve"> </w:t>
            </w:r>
            <w:r w:rsidR="009139FC">
              <w:rPr>
                <w:rFonts w:ascii="Times New Roman" w:eastAsia="Times New Roman" w:hAnsi="Times New Roman" w:cs="Times New Roman"/>
                <w:color w:val="000000" w:themeColor="text1"/>
                <w:sz w:val="20"/>
                <w:szCs w:val="20"/>
              </w:rPr>
              <w:t>in the firm for any given year</w:t>
            </w:r>
            <w:r w:rsidRPr="00617780">
              <w:rPr>
                <w:rFonts w:ascii="Times New Roman" w:eastAsia="Times New Roman" w:hAnsi="Times New Roman" w:cs="Times New Roman"/>
                <w:color w:val="000000" w:themeColor="text1"/>
                <w:sz w:val="20"/>
                <w:szCs w:val="20"/>
              </w:rPr>
              <w:t xml:space="preserve">.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r w:rsidR="000C469C" w:rsidRPr="00617780" w14:paraId="00F1456B" w14:textId="77777777" w:rsidTr="000C469C">
        <w:tc>
          <w:tcPr>
            <w:tcW w:w="2394" w:type="dxa"/>
          </w:tcPr>
          <w:p w14:paraId="75361DCA"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b/>
                <w:sz w:val="20"/>
                <w:szCs w:val="20"/>
              </w:rPr>
            </w:pPr>
            <w:proofErr w:type="spellStart"/>
            <w:r w:rsidRPr="00617780">
              <w:rPr>
                <w:rFonts w:ascii="Times New Roman" w:eastAsia="Times New Roman" w:hAnsi="Times New Roman" w:cs="Times New Roman"/>
                <w:color w:val="000000" w:themeColor="text1"/>
                <w:sz w:val="20"/>
                <w:szCs w:val="20"/>
              </w:rPr>
              <w:t>σ</w:t>
            </w:r>
            <w:r w:rsidRPr="00617780">
              <w:rPr>
                <w:rFonts w:ascii="Times New Roman" w:eastAsia="Times New Roman" w:hAnsi="Times New Roman" w:cs="Times New Roman"/>
                <w:color w:val="000000" w:themeColor="text1"/>
                <w:sz w:val="20"/>
                <w:szCs w:val="20"/>
                <w:vertAlign w:val="subscript"/>
              </w:rPr>
              <w:t>ROA</w:t>
            </w:r>
            <w:proofErr w:type="spellEnd"/>
          </w:p>
        </w:tc>
        <w:tc>
          <w:tcPr>
            <w:tcW w:w="6690" w:type="dxa"/>
          </w:tcPr>
          <w:p w14:paraId="3821BA35" w14:textId="2EBDEF11" w:rsidR="000C469C" w:rsidRPr="00617780" w:rsidRDefault="000C469C" w:rsidP="000C469C">
            <w:pPr>
              <w:adjustRightInd w:val="0"/>
              <w:spacing w:before="60" w:after="60" w:line="240" w:lineRule="auto"/>
              <w:ind w:right="-29"/>
              <w:jc w:val="both"/>
              <w:rPr>
                <w:rFonts w:ascii="Times New Roman" w:eastAsia="Times New Roman" w:hAnsi="Times New Roman" w:cs="Times New Roman"/>
                <w:b/>
                <w:sz w:val="20"/>
                <w:szCs w:val="20"/>
              </w:rPr>
            </w:pPr>
            <w:r w:rsidRPr="00617780">
              <w:rPr>
                <w:rFonts w:ascii="Times New Roman" w:eastAsia="Times New Roman" w:hAnsi="Times New Roman" w:cs="Times New Roman"/>
                <w:color w:val="000000" w:themeColor="text1"/>
                <w:sz w:val="20"/>
                <w:szCs w:val="20"/>
              </w:rPr>
              <w:t xml:space="preserve">The standard deviation of </w:t>
            </w:r>
            <w:r w:rsidR="009139FC">
              <w:rPr>
                <w:rFonts w:ascii="Times New Roman" w:eastAsia="Times New Roman" w:hAnsi="Times New Roman" w:cs="Times New Roman"/>
                <w:color w:val="000000" w:themeColor="text1"/>
                <w:sz w:val="20"/>
                <w:szCs w:val="20"/>
              </w:rPr>
              <w:t xml:space="preserve">the </w:t>
            </w:r>
            <w:r w:rsidRPr="00617780">
              <w:rPr>
                <w:rFonts w:ascii="Times New Roman" w:eastAsia="Times New Roman" w:hAnsi="Times New Roman" w:cs="Times New Roman"/>
                <w:color w:val="000000" w:themeColor="text1"/>
                <w:sz w:val="20"/>
                <w:szCs w:val="20"/>
              </w:rPr>
              <w:t xml:space="preserve">previous eight quarters of Return on Assets (ROA).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r w:rsidR="000C469C" w:rsidRPr="00617780" w14:paraId="3433D876" w14:textId="77777777" w:rsidTr="000C469C">
        <w:tc>
          <w:tcPr>
            <w:tcW w:w="2394" w:type="dxa"/>
            <w:tcBorders>
              <w:bottom w:val="single" w:sz="4" w:space="0" w:color="auto"/>
            </w:tcBorders>
          </w:tcPr>
          <w:p w14:paraId="4300DC42" w14:textId="77777777" w:rsidR="000C469C" w:rsidRPr="00617780" w:rsidRDefault="000C469C" w:rsidP="000C469C">
            <w:pPr>
              <w:adjustRightInd w:val="0"/>
              <w:spacing w:before="60" w:after="60" w:line="240" w:lineRule="auto"/>
              <w:ind w:right="-29"/>
              <w:jc w:val="both"/>
              <w:rPr>
                <w:rFonts w:ascii="Times New Roman" w:eastAsia="Times New Roman" w:hAnsi="Times New Roman" w:cs="Times New Roman"/>
                <w:color w:val="000000" w:themeColor="text1"/>
                <w:sz w:val="20"/>
                <w:szCs w:val="20"/>
              </w:rPr>
            </w:pPr>
            <w:proofErr w:type="spellStart"/>
            <w:r w:rsidRPr="00617780">
              <w:rPr>
                <w:rFonts w:ascii="Times New Roman" w:eastAsia="Times New Roman" w:hAnsi="Times New Roman" w:cs="Times New Roman"/>
                <w:color w:val="000000" w:themeColor="text1"/>
                <w:sz w:val="20"/>
                <w:szCs w:val="20"/>
              </w:rPr>
              <w:t>σ</w:t>
            </w:r>
            <w:r w:rsidRPr="00617780">
              <w:rPr>
                <w:rFonts w:ascii="Times New Roman" w:eastAsia="Times New Roman" w:hAnsi="Times New Roman" w:cs="Times New Roman"/>
                <w:color w:val="000000" w:themeColor="text1"/>
                <w:sz w:val="20"/>
                <w:szCs w:val="20"/>
                <w:vertAlign w:val="subscript"/>
              </w:rPr>
              <w:t>OCF</w:t>
            </w:r>
            <w:proofErr w:type="spellEnd"/>
          </w:p>
        </w:tc>
        <w:tc>
          <w:tcPr>
            <w:tcW w:w="6690" w:type="dxa"/>
            <w:tcBorders>
              <w:bottom w:val="single" w:sz="4" w:space="0" w:color="auto"/>
            </w:tcBorders>
          </w:tcPr>
          <w:p w14:paraId="130EA746" w14:textId="71B2C016" w:rsidR="000C469C" w:rsidRPr="00617780" w:rsidRDefault="000C469C" w:rsidP="009139FC">
            <w:pPr>
              <w:adjustRightInd w:val="0"/>
              <w:spacing w:before="60" w:after="60" w:line="240" w:lineRule="auto"/>
              <w:ind w:right="-29"/>
              <w:jc w:val="both"/>
              <w:rPr>
                <w:rFonts w:ascii="Times New Roman" w:eastAsia="Times New Roman" w:hAnsi="Times New Roman" w:cs="Times New Roman"/>
                <w:color w:val="000000" w:themeColor="text1"/>
                <w:sz w:val="20"/>
                <w:szCs w:val="20"/>
              </w:rPr>
            </w:pPr>
            <w:r w:rsidRPr="00617780">
              <w:rPr>
                <w:rFonts w:ascii="Times New Roman" w:eastAsia="Times New Roman" w:hAnsi="Times New Roman" w:cs="Times New Roman"/>
                <w:color w:val="000000" w:themeColor="text1"/>
                <w:sz w:val="20"/>
                <w:szCs w:val="20"/>
              </w:rPr>
              <w:t xml:space="preserve">The standard deviation of </w:t>
            </w:r>
            <w:r w:rsidR="009139FC">
              <w:rPr>
                <w:rFonts w:ascii="Times New Roman" w:eastAsia="Times New Roman" w:hAnsi="Times New Roman" w:cs="Times New Roman"/>
                <w:color w:val="000000" w:themeColor="text1"/>
                <w:sz w:val="20"/>
                <w:szCs w:val="20"/>
              </w:rPr>
              <w:t xml:space="preserve">the </w:t>
            </w:r>
            <w:r w:rsidRPr="00617780">
              <w:rPr>
                <w:rFonts w:ascii="Times New Roman" w:eastAsia="Times New Roman" w:hAnsi="Times New Roman" w:cs="Times New Roman"/>
                <w:color w:val="000000" w:themeColor="text1"/>
                <w:sz w:val="20"/>
                <w:szCs w:val="20"/>
              </w:rPr>
              <w:t xml:space="preserve">previous eight quarters of the ratio of operating cash flows </w:t>
            </w:r>
            <w:r w:rsidR="009139FC">
              <w:rPr>
                <w:rFonts w:ascii="Times New Roman" w:eastAsia="Times New Roman" w:hAnsi="Times New Roman" w:cs="Times New Roman"/>
                <w:color w:val="000000" w:themeColor="text1"/>
                <w:sz w:val="20"/>
                <w:szCs w:val="20"/>
              </w:rPr>
              <w:t>to</w:t>
            </w:r>
            <w:r w:rsidRPr="00617780">
              <w:rPr>
                <w:rFonts w:ascii="Times New Roman" w:eastAsia="Times New Roman" w:hAnsi="Times New Roman" w:cs="Times New Roman"/>
                <w:color w:val="000000" w:themeColor="text1"/>
                <w:sz w:val="20"/>
                <w:szCs w:val="20"/>
              </w:rPr>
              <w:t xml:space="preserve"> total assets. This variable is </w:t>
            </w:r>
            <w:proofErr w:type="spellStart"/>
            <w:r w:rsidRPr="00617780">
              <w:rPr>
                <w:rFonts w:ascii="Times New Roman" w:eastAsia="Times New Roman" w:hAnsi="Times New Roman" w:cs="Times New Roman"/>
                <w:color w:val="000000" w:themeColor="text1"/>
                <w:sz w:val="20"/>
                <w:szCs w:val="20"/>
              </w:rPr>
              <w:t>winsorized</w:t>
            </w:r>
            <w:proofErr w:type="spellEnd"/>
            <w:r w:rsidRPr="00617780">
              <w:rPr>
                <w:rFonts w:ascii="Times New Roman" w:eastAsia="Times New Roman" w:hAnsi="Times New Roman" w:cs="Times New Roman"/>
                <w:color w:val="000000" w:themeColor="text1"/>
                <w:sz w:val="20"/>
                <w:szCs w:val="20"/>
              </w:rPr>
              <w:t xml:space="preserve"> at the 1</w:t>
            </w:r>
            <w:r w:rsidRPr="00617780">
              <w:rPr>
                <w:rFonts w:ascii="Times New Roman" w:eastAsia="Times New Roman" w:hAnsi="Times New Roman" w:cs="Times New Roman"/>
                <w:color w:val="000000" w:themeColor="text1"/>
                <w:sz w:val="20"/>
                <w:szCs w:val="20"/>
                <w:vertAlign w:val="superscript"/>
              </w:rPr>
              <w:t>st</w:t>
            </w:r>
            <w:r w:rsidRPr="00617780">
              <w:rPr>
                <w:rFonts w:ascii="Times New Roman" w:eastAsia="Times New Roman" w:hAnsi="Times New Roman" w:cs="Times New Roman"/>
                <w:color w:val="000000" w:themeColor="text1"/>
                <w:sz w:val="20"/>
                <w:szCs w:val="20"/>
              </w:rPr>
              <w:t xml:space="preserve"> and 99</w:t>
            </w:r>
            <w:r w:rsidRPr="00617780">
              <w:rPr>
                <w:rFonts w:ascii="Times New Roman" w:eastAsia="Times New Roman" w:hAnsi="Times New Roman" w:cs="Times New Roman"/>
                <w:color w:val="000000" w:themeColor="text1"/>
                <w:sz w:val="20"/>
                <w:szCs w:val="20"/>
                <w:vertAlign w:val="superscript"/>
              </w:rPr>
              <w:t>th</w:t>
            </w:r>
            <w:r w:rsidRPr="00617780">
              <w:rPr>
                <w:rFonts w:ascii="Times New Roman" w:eastAsia="Times New Roman" w:hAnsi="Times New Roman" w:cs="Times New Roman"/>
                <w:color w:val="000000" w:themeColor="text1"/>
                <w:sz w:val="20"/>
                <w:szCs w:val="20"/>
              </w:rPr>
              <w:t xml:space="preserve"> percentiles.</w:t>
            </w:r>
          </w:p>
        </w:tc>
      </w:tr>
    </w:tbl>
    <w:p w14:paraId="677F5DCD" w14:textId="3C6F4E49" w:rsidR="00DA6930" w:rsidRPr="000C469C" w:rsidRDefault="00DA6930" w:rsidP="000C469C">
      <w:pPr>
        <w:rPr>
          <w:rFonts w:ascii="Times New Roman" w:eastAsiaTheme="minorEastAsia" w:hAnsi="Times New Roman" w:cs="Times New Roman"/>
          <w:b/>
          <w:sz w:val="24"/>
          <w:szCs w:val="24"/>
        </w:rPr>
      </w:pPr>
    </w:p>
    <w:sectPr w:rsidR="00DA6930" w:rsidRPr="000C469C" w:rsidSect="000C469C">
      <w:footnotePr>
        <w:numRestart w:val="eachSect"/>
      </w:footnotePr>
      <w:pgSz w:w="11920" w:h="16840"/>
      <w:pgMar w:top="1247" w:right="1247" w:bottom="1247" w:left="1247" w:header="0" w:footer="80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8C1DD" w16cid:durableId="1EFCCFB2"/>
  <w16cid:commentId w16cid:paraId="21481BE1" w16cid:durableId="1EFCD452"/>
  <w16cid:commentId w16cid:paraId="274DDD2F" w16cid:durableId="1EFCD673"/>
  <w16cid:commentId w16cid:paraId="55C87051" w16cid:durableId="1EFE1A72"/>
  <w16cid:commentId w16cid:paraId="58CA85D6" w16cid:durableId="1EFE11F9"/>
  <w16cid:commentId w16cid:paraId="78B632C6" w16cid:durableId="1EFE142B"/>
  <w16cid:commentId w16cid:paraId="2E7CCB01" w16cid:durableId="1EFE1C31"/>
  <w16cid:commentId w16cid:paraId="28E08B04" w16cid:durableId="1EFE1E88"/>
  <w16cid:commentId w16cid:paraId="6EFE97A1" w16cid:durableId="1EFE1C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945F" w14:textId="77777777" w:rsidR="00CF1E13" w:rsidRDefault="00CF1E13" w:rsidP="00527702">
      <w:pPr>
        <w:spacing w:after="0" w:line="240" w:lineRule="auto"/>
      </w:pPr>
      <w:r>
        <w:separator/>
      </w:r>
    </w:p>
  </w:endnote>
  <w:endnote w:type="continuationSeparator" w:id="0">
    <w:p w14:paraId="430D6875" w14:textId="77777777" w:rsidR="00CF1E13" w:rsidRDefault="00CF1E13" w:rsidP="0052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93021"/>
      <w:docPartObj>
        <w:docPartGallery w:val="Page Numbers (Bottom of Page)"/>
        <w:docPartUnique/>
      </w:docPartObj>
    </w:sdtPr>
    <w:sdtEndPr>
      <w:rPr>
        <w:noProof/>
      </w:rPr>
    </w:sdtEndPr>
    <w:sdtContent>
      <w:p w14:paraId="53D6F965" w14:textId="7B92EDA2" w:rsidR="00CF1E13" w:rsidRDefault="00CF1E13">
        <w:pPr>
          <w:pStyle w:val="Footer"/>
          <w:jc w:val="center"/>
        </w:pPr>
        <w:r>
          <w:fldChar w:fldCharType="begin"/>
        </w:r>
        <w:r>
          <w:instrText xml:space="preserve"> PAGE   \* MERGEFORMAT </w:instrText>
        </w:r>
        <w:r>
          <w:fldChar w:fldCharType="separate"/>
        </w:r>
        <w:r w:rsidR="00A9019F">
          <w:rPr>
            <w:noProof/>
          </w:rPr>
          <w:t>4</w:t>
        </w:r>
        <w:r>
          <w:rPr>
            <w:noProof/>
          </w:rPr>
          <w:fldChar w:fldCharType="end"/>
        </w:r>
      </w:p>
    </w:sdtContent>
  </w:sdt>
  <w:p w14:paraId="792A7E57" w14:textId="77777777" w:rsidR="00CF1E13" w:rsidRDefault="00CF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C729A" w14:textId="77777777" w:rsidR="00CF1E13" w:rsidRDefault="00CF1E13" w:rsidP="00527702">
      <w:pPr>
        <w:spacing w:after="0" w:line="240" w:lineRule="auto"/>
      </w:pPr>
      <w:r>
        <w:separator/>
      </w:r>
    </w:p>
  </w:footnote>
  <w:footnote w:type="continuationSeparator" w:id="0">
    <w:p w14:paraId="6902F870" w14:textId="77777777" w:rsidR="00CF1E13" w:rsidRDefault="00CF1E13" w:rsidP="00527702">
      <w:pPr>
        <w:spacing w:after="0" w:line="240" w:lineRule="auto"/>
      </w:pPr>
      <w:r>
        <w:continuationSeparator/>
      </w:r>
    </w:p>
  </w:footnote>
  <w:footnote w:id="1">
    <w:p w14:paraId="69E97E61" w14:textId="77777777" w:rsidR="00CF1E13" w:rsidRPr="00877062" w:rsidRDefault="00CF1E13" w:rsidP="001D1710">
      <w:pPr>
        <w:pStyle w:val="FootnoteText"/>
        <w:jc w:val="both"/>
        <w:rPr>
          <w:rFonts w:ascii="Times New Roman" w:hAnsi="Times New Roman" w:cs="Times New Roman"/>
        </w:rPr>
      </w:pPr>
      <w:r w:rsidRPr="00877062">
        <w:rPr>
          <w:rStyle w:val="FootnoteReference"/>
          <w:rFonts w:ascii="Times New Roman" w:hAnsi="Times New Roman" w:cs="Times New Roman"/>
        </w:rPr>
        <w:footnoteRef/>
      </w:r>
      <w:r w:rsidRPr="00877062">
        <w:rPr>
          <w:rFonts w:ascii="Times New Roman" w:hAnsi="Times New Roman" w:cs="Times New Roman"/>
        </w:rPr>
        <w:t xml:space="preserve"> The intuition behind our results carries over to a setting where players are risk-averse.</w:t>
      </w:r>
    </w:p>
  </w:footnote>
  <w:footnote w:id="2">
    <w:p w14:paraId="3DA24759" w14:textId="77777777" w:rsidR="00CF1E13" w:rsidRPr="00877062" w:rsidRDefault="00CF1E13" w:rsidP="001D1710">
      <w:pPr>
        <w:pStyle w:val="FootnoteText"/>
        <w:jc w:val="both"/>
        <w:rPr>
          <w:rFonts w:ascii="Times New Roman" w:hAnsi="Times New Roman" w:cs="Times New Roman"/>
        </w:rPr>
      </w:pPr>
      <w:r w:rsidRPr="00877062">
        <w:rPr>
          <w:rStyle w:val="FootnoteReference"/>
          <w:rFonts w:ascii="Times New Roman" w:hAnsi="Times New Roman" w:cs="Times New Roman"/>
        </w:rPr>
        <w:footnoteRef/>
      </w:r>
      <w:r w:rsidRPr="00877062">
        <w:rPr>
          <w:rFonts w:ascii="Times New Roman" w:hAnsi="Times New Roman" w:cs="Times New Roman"/>
        </w:rPr>
        <w:t xml:space="preserve"> Because the </w:t>
      </w:r>
      <w:r>
        <w:rPr>
          <w:rFonts w:ascii="Times New Roman" w:hAnsi="Times New Roman" w:cs="Times New Roman"/>
        </w:rPr>
        <w:t>effort</w:t>
      </w:r>
      <w:r w:rsidRPr="00877062">
        <w:rPr>
          <w:rFonts w:ascii="Times New Roman" w:hAnsi="Times New Roman" w:cs="Times New Roman"/>
        </w:rPr>
        <w:t xml:space="preserve"> choices are not observable and verifiable, the rewards </w:t>
      </w:r>
      <w:proofErr w:type="gramStart"/>
      <w:r w:rsidRPr="00877062">
        <w:rPr>
          <w:rFonts w:ascii="Times New Roman" w:hAnsi="Times New Roman" w:cs="Times New Roman"/>
        </w:rPr>
        <w:t>must be based</w:t>
      </w:r>
      <w:proofErr w:type="gramEnd"/>
      <w:r w:rsidRPr="00877062">
        <w:rPr>
          <w:rFonts w:ascii="Times New Roman" w:hAnsi="Times New Roman" w:cs="Times New Roman"/>
        </w:rPr>
        <w:t xml:space="preserve"> on the realized project values. </w:t>
      </w:r>
      <w:proofErr w:type="gramStart"/>
      <w:r w:rsidRPr="00877062">
        <w:rPr>
          <w:rFonts w:ascii="Times New Roman" w:hAnsi="Times New Roman" w:cs="Times New Roman"/>
        </w:rPr>
        <w:t>Also</w:t>
      </w:r>
      <w:proofErr w:type="gramEnd"/>
      <w:r w:rsidRPr="00877062">
        <w:rPr>
          <w:rFonts w:ascii="Times New Roman" w:hAnsi="Times New Roman" w:cs="Times New Roman"/>
        </w:rPr>
        <w:t>, it is possible that the loser of the tournament would leave the firm. If that is the case, the reward</w:t>
      </w:r>
      <w:proofErr w:type="gramStart"/>
      <w:r w:rsidRPr="00877062">
        <w:rPr>
          <w:rFonts w:ascii="Times New Roman" w:hAnsi="Times New Roman" w:cs="Times New Roman"/>
        </w:rPr>
        <w:t xml:space="preserve">, </w:t>
      </w:r>
      <w:proofErr w:type="gramEnd"/>
      <m:oMath>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L</m:t>
            </m:r>
          </m:sub>
        </m:sSub>
      </m:oMath>
      <w:r w:rsidRPr="00877062">
        <w:rPr>
          <w:rFonts w:ascii="Times New Roman" w:hAnsi="Times New Roman" w:cs="Times New Roman"/>
        </w:rPr>
        <w:t xml:space="preserve">, can be considered the loser’s outside option value. </w:t>
      </w:r>
    </w:p>
  </w:footnote>
  <w:footnote w:id="3">
    <w:p w14:paraId="159801B1" w14:textId="77777777" w:rsidR="00CF1E13" w:rsidRDefault="00CF1E13" w:rsidP="001D1710">
      <w:pPr>
        <w:pStyle w:val="FootnoteText"/>
      </w:pPr>
      <w:r>
        <w:rPr>
          <w:rStyle w:val="FootnoteReference"/>
        </w:rPr>
        <w:footnoteRef/>
      </w:r>
      <w:r>
        <w:t xml:space="preserve"> This assumption </w:t>
      </w:r>
      <w:r w:rsidRPr="00DE351A">
        <w:t xml:space="preserve">is consistent with Beyer et </w:t>
      </w:r>
      <w:r>
        <w:t xml:space="preserve">al. (2010), who argue that some </w:t>
      </w:r>
      <w:r w:rsidRPr="00DE351A">
        <w:t>investors may have limited or no knowledge of managers’ incentives and firms’ operating environment</w:t>
      </w:r>
      <w:r>
        <w:t xml:space="preserve">. </w:t>
      </w:r>
      <w:r w:rsidRPr="007F33DB">
        <w:t xml:space="preserve">Our result </w:t>
      </w:r>
      <w:r>
        <w:t>holds more generally</w:t>
      </w:r>
      <w:r w:rsidRPr="007F33DB">
        <w:t xml:space="preserve"> if we impose some l</w:t>
      </w:r>
      <w:r>
        <w:t xml:space="preserve">earning for the retail investor. All is required is that the retail investor has less perfect knowledge about the potential value of tournament incentives than the institutional </w:t>
      </w:r>
      <w:proofErr w:type="gramStart"/>
      <w:r>
        <w:t>investor</w:t>
      </w:r>
      <w:proofErr w:type="gramEnd"/>
      <w:r>
        <w:t xml:space="preserve">. For simplicity, we assume </w:t>
      </w:r>
      <w:r w:rsidRPr="00C67A62">
        <w:t>the naïve trader holds on to the prior belief of the project value distributions</w:t>
      </w:r>
      <w:r>
        <w:t>.</w:t>
      </w:r>
    </w:p>
  </w:footnote>
  <w:footnote w:id="4">
    <w:p w14:paraId="0385AD69" w14:textId="5FE14213" w:rsidR="00CF1E13" w:rsidRDefault="00CF1E13" w:rsidP="001D1710">
      <w:pPr>
        <w:pStyle w:val="FootnoteText"/>
      </w:pPr>
      <w:r>
        <w:rPr>
          <w:rStyle w:val="FootnoteReference"/>
        </w:rPr>
        <w:footnoteRef/>
      </w:r>
      <w:r>
        <w:t xml:space="preserve"> Note that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S</m:t>
            </m:r>
          </m:sub>
        </m:sSub>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V</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V</m:t>
                    </m:r>
                  </m:e>
                </m:acc>
              </m:e>
              <m:sub>
                <m:r>
                  <m:rPr>
                    <m:sty m:val="p"/>
                  </m:rPr>
                  <w:rPr>
                    <w:rFonts w:ascii="Cambria Math" w:hAnsi="Cambria Math"/>
                  </w:rPr>
                  <m:t>2</m:t>
                </m:r>
              </m:sub>
            </m:sSub>
          </m:e>
        </m:d>
        <m:r>
          <w:rPr>
            <w:rFonts w:ascii="Cambria Math" w:hAnsi="Cambria Math"/>
          </w:rPr>
          <m:t>=2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sup>
        </m:sSup>
        <m:r>
          <w:rPr>
            <w:rFonts w:ascii="Cambria Math" w:eastAsiaTheme="minorEastAsia" w:hAnsi="Cambria Math"/>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∆w∙I</m:t>
            </m:r>
          </m:num>
          <m:den>
            <m:r>
              <w:rPr>
                <w:rFonts w:ascii="Cambria Math" w:hAnsi="Cambria Math" w:cs="Times New Roman"/>
                <w:sz w:val="24"/>
                <w:szCs w:val="24"/>
                <w:lang w:val="en-US"/>
              </w:rPr>
              <m:t>k∙</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π</m:t>
                </m:r>
              </m:e>
            </m:rad>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ε</m:t>
                </m:r>
              </m:sub>
            </m:sSub>
          </m:den>
        </m:f>
      </m:oMath>
      <w:r w:rsidRPr="00DC74A5">
        <w:t xml:space="preserve"> because the institutional investor </w:t>
      </w:r>
      <w:r>
        <w:t>observes</w:t>
      </w:r>
      <w:r w:rsidRPr="00DC74A5">
        <w:t xml:space="preserve"> ∆w and </w:t>
      </w:r>
      <w:r>
        <w:t>rationally infers</w:t>
      </w:r>
      <w:r w:rsidRPr="00DC74A5">
        <w:t xml:space="preserve"> its implications for effort choices through Equation (5) and </w:t>
      </w:r>
      <m:oMath>
        <m:r>
          <m:rPr>
            <m:sty m:val="p"/>
          </m:rPr>
          <w:rPr>
            <w:rFonts w:ascii="Cambria Math" w:hAnsi="Cambria Math"/>
          </w:rPr>
          <m:t>E</m:t>
        </m:r>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V</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V</m:t>
                    </m:r>
                  </m:e>
                </m:acc>
              </m:e>
              <m:sub>
                <m:r>
                  <m:rPr>
                    <m:sty m:val="p"/>
                  </m:rPr>
                  <w:rPr>
                    <w:rFonts w:ascii="Cambria Math" w:hAnsi="Cambria Math"/>
                  </w:rPr>
                  <m:t>2</m:t>
                </m:r>
              </m:sub>
            </m:sSub>
          </m:e>
        </m:d>
        <m:r>
          <m:rPr>
            <m:sty m:val="p"/>
          </m:rPr>
          <w:rPr>
            <w:rFonts w:ascii="Cambria Math" w:hAnsi="Cambria Math"/>
          </w:rPr>
          <m:t>=2∙</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oMath>
      <w:r w:rsidRPr="00DC74A5">
        <w:t xml:space="preserve"> because the retail investor holds on to the prior belief of the project value distribution.</w:t>
      </w:r>
    </w:p>
  </w:footnote>
  <w:footnote w:id="5">
    <w:p w14:paraId="0D9A91E6" w14:textId="77777777" w:rsidR="00CF1E13" w:rsidRPr="00877062" w:rsidRDefault="00CF1E13" w:rsidP="00877062">
      <w:pPr>
        <w:spacing w:after="0" w:line="480" w:lineRule="auto"/>
        <w:jc w:val="both"/>
        <w:rPr>
          <w:rFonts w:ascii="Times New Roman" w:eastAsia="Times New Roman" w:hAnsi="Times New Roman" w:cs="Times New Roman"/>
          <w:sz w:val="20"/>
          <w:szCs w:val="20"/>
        </w:rPr>
      </w:pPr>
      <w:r w:rsidRPr="00877062">
        <w:rPr>
          <w:rStyle w:val="FootnoteReference"/>
          <w:rFonts w:ascii="Times New Roman" w:hAnsi="Times New Roman" w:cs="Times New Roman"/>
          <w:sz w:val="20"/>
          <w:szCs w:val="20"/>
        </w:rPr>
        <w:footnoteRef/>
      </w:r>
      <w:r w:rsidRPr="00877062">
        <w:rPr>
          <w:rFonts w:ascii="Times New Roman" w:hAnsi="Times New Roman" w:cs="Times New Roman"/>
          <w:sz w:val="20"/>
          <w:szCs w:val="20"/>
        </w:rPr>
        <w:t xml:space="preserve"> </w:t>
      </w:r>
      <w:r w:rsidRPr="00877062">
        <w:rPr>
          <w:rFonts w:ascii="Times New Roman" w:eastAsia="Times New Roman" w:hAnsi="Times New Roman" w:cs="Times New Roman"/>
          <w:sz w:val="20"/>
          <w:szCs w:val="20"/>
        </w:rPr>
        <w:t xml:space="preserve">To mitigate outlier effects, all continuous variables are </w:t>
      </w:r>
      <w:proofErr w:type="spellStart"/>
      <w:r w:rsidRPr="00877062">
        <w:rPr>
          <w:rFonts w:ascii="Times New Roman" w:eastAsia="Times New Roman" w:hAnsi="Times New Roman" w:cs="Times New Roman"/>
          <w:sz w:val="20"/>
          <w:szCs w:val="20"/>
        </w:rPr>
        <w:t>winsorized</w:t>
      </w:r>
      <w:proofErr w:type="spellEnd"/>
      <w:r w:rsidRPr="00877062">
        <w:rPr>
          <w:rFonts w:ascii="Times New Roman" w:eastAsia="Times New Roman" w:hAnsi="Times New Roman" w:cs="Times New Roman"/>
          <w:sz w:val="20"/>
          <w:szCs w:val="20"/>
        </w:rPr>
        <w:t xml:space="preserve"> at the 1</w:t>
      </w:r>
      <w:r w:rsidRPr="00877062">
        <w:rPr>
          <w:rFonts w:ascii="Times New Roman" w:eastAsia="Times New Roman" w:hAnsi="Times New Roman" w:cs="Times New Roman"/>
          <w:sz w:val="20"/>
          <w:szCs w:val="20"/>
          <w:vertAlign w:val="superscript"/>
        </w:rPr>
        <w:t>st</w:t>
      </w:r>
      <w:r w:rsidRPr="00877062">
        <w:rPr>
          <w:rFonts w:ascii="Times New Roman" w:eastAsia="Times New Roman" w:hAnsi="Times New Roman" w:cs="Times New Roman"/>
          <w:sz w:val="20"/>
          <w:szCs w:val="20"/>
        </w:rPr>
        <w:t xml:space="preserve"> and 99</w:t>
      </w:r>
      <w:r w:rsidRPr="00877062">
        <w:rPr>
          <w:rFonts w:ascii="Times New Roman" w:eastAsia="Times New Roman" w:hAnsi="Times New Roman" w:cs="Times New Roman"/>
          <w:sz w:val="20"/>
          <w:szCs w:val="20"/>
          <w:vertAlign w:val="superscript"/>
        </w:rPr>
        <w:t>th</w:t>
      </w:r>
      <w:r w:rsidRPr="00877062">
        <w:rPr>
          <w:rFonts w:ascii="Times New Roman" w:eastAsia="Times New Roman" w:hAnsi="Times New Roman" w:cs="Times New Roman"/>
          <w:sz w:val="20"/>
          <w:szCs w:val="20"/>
        </w:rPr>
        <w:t xml:space="preserve"> percentiles. </w:t>
      </w:r>
    </w:p>
    <w:p w14:paraId="7DDBD21C" w14:textId="77777777" w:rsidR="00CF1E13" w:rsidRPr="00877062" w:rsidRDefault="00CF1E13" w:rsidP="00877062">
      <w:pPr>
        <w:pStyle w:val="FootnoteText"/>
        <w:jc w:val="both"/>
        <w:rPr>
          <w:rFonts w:ascii="Times New Roman" w:hAnsi="Times New Roman" w:cs="Times New Roman"/>
        </w:rPr>
      </w:pPr>
    </w:p>
  </w:footnote>
  <w:footnote w:id="6">
    <w:p w14:paraId="369196DB" w14:textId="1401E79B" w:rsidR="00CF1E13" w:rsidRPr="00A74C3E" w:rsidRDefault="00CF1E13" w:rsidP="00A74C3E">
      <w:pPr>
        <w:pStyle w:val="FootnoteText"/>
      </w:pPr>
      <w:r w:rsidRPr="00A74C3E">
        <w:rPr>
          <w:rStyle w:val="FootnoteReference"/>
        </w:rPr>
        <w:footnoteRef/>
      </w:r>
      <w:r w:rsidRPr="00A74C3E">
        <w:t xml:space="preserve"> </w:t>
      </w:r>
      <w:r w:rsidRPr="00A74C3E">
        <w:rPr>
          <w:rFonts w:ascii="Times New Roman" w:hAnsi="Times New Roman" w:cs="Times New Roman"/>
          <w:lang w:val="en-US"/>
        </w:rPr>
        <w:t xml:space="preserve">The difference in </w:t>
      </w:r>
      <w:r w:rsidRPr="00A74C3E">
        <w:rPr>
          <w:rFonts w:ascii="Times New Roman" w:hAnsi="Times New Roman" w:cs="Times New Roman"/>
          <w:i/>
          <w:lang w:val="en-US"/>
        </w:rPr>
        <w:t>CEO Pay Gap</w:t>
      </w:r>
      <w:r w:rsidRPr="00A74C3E">
        <w:rPr>
          <w:rFonts w:ascii="Times New Roman" w:hAnsi="Times New Roman" w:cs="Times New Roman"/>
          <w:lang w:val="en-US"/>
        </w:rPr>
        <w:t xml:space="preserve"> between the lowest (0.248) and the </w:t>
      </w:r>
      <w:r w:rsidRPr="00A74C3E">
        <w:rPr>
          <w:rFonts w:ascii="Times New Roman" w:hAnsi="Times New Roman" w:cs="Times New Roman"/>
        </w:rPr>
        <w:t xml:space="preserve">highest quintile (0.553) is 0.305. This is synonymous with a 4.02% increase in institutional holdings (coefficient of </w:t>
      </w:r>
      <w:r w:rsidRPr="00A74C3E">
        <w:rPr>
          <w:rFonts w:ascii="Times New Roman" w:hAnsi="Times New Roman" w:cs="Times New Roman"/>
          <w:i/>
        </w:rPr>
        <w:t>CEO Pay Gap</w:t>
      </w:r>
      <w:r w:rsidRPr="00A74C3E">
        <w:rPr>
          <w:rFonts w:ascii="Times New Roman" w:hAnsi="Times New Roman" w:cs="Times New Roman"/>
        </w:rPr>
        <w:t xml:space="preserve"> (0.1320) x 0.305 = 0.0402), or a 5.6% proportional increase from the average percentage of institutional holdings (0.718 from Table 1) of a firm (0.0402 / 0.718 = 5.6%).</w:t>
      </w:r>
    </w:p>
  </w:footnote>
  <w:footnote w:id="7">
    <w:p w14:paraId="72A3DA03" w14:textId="77777777" w:rsidR="00CF1E13" w:rsidRPr="00AA7585" w:rsidRDefault="00CF1E13" w:rsidP="00A74C3E">
      <w:pPr>
        <w:pStyle w:val="FootnoteText"/>
        <w:rPr>
          <w:rFonts w:ascii="Times New Roman" w:hAnsi="Times New Roman" w:cs="Times New Roman"/>
        </w:rPr>
      </w:pPr>
      <w:r w:rsidRPr="00AA7585">
        <w:rPr>
          <w:rStyle w:val="FootnoteReference"/>
          <w:rFonts w:ascii="Times New Roman" w:hAnsi="Times New Roman" w:cs="Times New Roman"/>
        </w:rPr>
        <w:footnoteRef/>
      </w:r>
      <w:r w:rsidRPr="00AA7585">
        <w:rPr>
          <w:rFonts w:ascii="Times New Roman" w:hAnsi="Times New Roman" w:cs="Times New Roman"/>
        </w:rPr>
        <w:t xml:space="preserve"> We obtain </w:t>
      </w:r>
      <w:r>
        <w:rPr>
          <w:rFonts w:ascii="Times New Roman" w:hAnsi="Times New Roman" w:cs="Times New Roman"/>
        </w:rPr>
        <w:t xml:space="preserve">addresses of </w:t>
      </w:r>
      <w:r w:rsidRPr="00AA7585">
        <w:rPr>
          <w:rFonts w:ascii="Times New Roman" w:hAnsi="Times New Roman" w:cs="Times New Roman"/>
        </w:rPr>
        <w:t xml:space="preserve">firm </w:t>
      </w:r>
      <w:r>
        <w:rPr>
          <w:rFonts w:ascii="Times New Roman" w:hAnsi="Times New Roman" w:cs="Times New Roman"/>
        </w:rPr>
        <w:t>h</w:t>
      </w:r>
      <w:r w:rsidRPr="00AA7585">
        <w:rPr>
          <w:rFonts w:ascii="Times New Roman" w:hAnsi="Times New Roman" w:cs="Times New Roman"/>
        </w:rPr>
        <w:t>eadquarter</w:t>
      </w:r>
      <w:r>
        <w:rPr>
          <w:rFonts w:ascii="Times New Roman" w:hAnsi="Times New Roman" w:cs="Times New Roman"/>
        </w:rPr>
        <w:t>s</w:t>
      </w:r>
      <w:r w:rsidRPr="00AA7585">
        <w:rPr>
          <w:rFonts w:ascii="Times New Roman" w:hAnsi="Times New Roman" w:cs="Times New Roman"/>
        </w:rPr>
        <w:t xml:space="preserve"> from </w:t>
      </w:r>
      <w:r>
        <w:rPr>
          <w:rFonts w:ascii="Times New Roman" w:hAnsi="Times New Roman" w:cs="Times New Roman"/>
        </w:rPr>
        <w:t xml:space="preserve">the </w:t>
      </w:r>
      <w:proofErr w:type="spellStart"/>
      <w:r w:rsidRPr="00AA7585">
        <w:rPr>
          <w:rFonts w:ascii="Times New Roman" w:eastAsia="Times New Roman" w:hAnsi="Times New Roman" w:cs="Times New Roman"/>
          <w:color w:val="000000" w:themeColor="text1"/>
        </w:rPr>
        <w:t>Compustat</w:t>
      </w:r>
      <w:proofErr w:type="spellEnd"/>
      <w:r w:rsidRPr="00AA7585">
        <w:rPr>
          <w:rFonts w:ascii="Times New Roman" w:eastAsia="Times New Roman" w:hAnsi="Times New Roman" w:cs="Times New Roman"/>
          <w:color w:val="000000" w:themeColor="text1"/>
        </w:rPr>
        <w:t xml:space="preserve"> North America database.</w:t>
      </w:r>
      <w:r w:rsidRPr="00AA7585">
        <w:rPr>
          <w:rFonts w:ascii="Times New Roman" w:hAnsi="Times New Roman" w:cs="Times New Roman"/>
        </w:rPr>
        <w:t xml:space="preserve"> </w:t>
      </w:r>
    </w:p>
  </w:footnote>
  <w:footnote w:id="8">
    <w:p w14:paraId="23B05D15" w14:textId="7636D671" w:rsidR="00CF1E13" w:rsidRDefault="00CF1E13">
      <w:pPr>
        <w:pStyle w:val="FootnoteText"/>
      </w:pPr>
      <w:r>
        <w:rPr>
          <w:rStyle w:val="FootnoteReference"/>
        </w:rPr>
        <w:footnoteRef/>
      </w:r>
      <w:r>
        <w:t xml:space="preserve"> </w:t>
      </w:r>
      <w:r w:rsidRPr="00643099">
        <w:rPr>
          <w:rFonts w:ascii="Times New Roman" w:eastAsia="Times New Roman" w:hAnsi="Times New Roman" w:cs="Times New Roman"/>
        </w:rPr>
        <w:t xml:space="preserve">The CEO dollar pay gap </w:t>
      </w:r>
      <w:r>
        <w:rPr>
          <w:rFonts w:ascii="Times New Roman" w:eastAsia="Times New Roman" w:hAnsi="Times New Roman" w:cs="Times New Roman"/>
        </w:rPr>
        <w:t xml:space="preserve">for our sample </w:t>
      </w:r>
      <w:r w:rsidRPr="00643099">
        <w:rPr>
          <w:rFonts w:ascii="Times New Roman" w:eastAsia="Times New Roman" w:hAnsi="Times New Roman" w:cs="Times New Roman"/>
        </w:rPr>
        <w:t xml:space="preserve">is, on average, $1.7 million for firms with </w:t>
      </w:r>
      <w:proofErr w:type="gramStart"/>
      <w:r w:rsidRPr="00643099">
        <w:rPr>
          <w:rFonts w:ascii="Times New Roman" w:eastAsia="Times New Roman" w:hAnsi="Times New Roman" w:cs="Times New Roman"/>
        </w:rPr>
        <w:t>2</w:t>
      </w:r>
      <w:proofErr w:type="gramEnd"/>
      <w:r w:rsidRPr="00643099">
        <w:rPr>
          <w:rFonts w:ascii="Times New Roman" w:eastAsia="Times New Roman" w:hAnsi="Times New Roman" w:cs="Times New Roman"/>
        </w:rPr>
        <w:t xml:space="preserve"> VPs and $2.8 million when firms have 4 VPs.</w:t>
      </w:r>
      <w:r>
        <w:rPr>
          <w:rFonts w:ascii="Times New Roman" w:eastAsia="Times New Roman" w:hAnsi="Times New Roman" w:cs="Times New Roman"/>
          <w:sz w:val="24"/>
          <w:szCs w:val="24"/>
        </w:rPr>
        <w:t xml:space="preserve">  </w:t>
      </w:r>
    </w:p>
  </w:footnote>
  <w:footnote w:id="9">
    <w:p w14:paraId="1769553C" w14:textId="37247290" w:rsidR="00CF1E13" w:rsidRDefault="00CF1E13">
      <w:pPr>
        <w:pStyle w:val="FootnoteText"/>
      </w:pPr>
      <w:r>
        <w:rPr>
          <w:rStyle w:val="FootnoteReference"/>
        </w:rPr>
        <w:footnoteRef/>
      </w:r>
      <w:r>
        <w:t xml:space="preserve"> </w:t>
      </w:r>
      <w:r>
        <w:rPr>
          <w:rFonts w:ascii="Times New Roman" w:eastAsia="Times New Roman" w:hAnsi="Times New Roman" w:cs="Times New Roman"/>
        </w:rPr>
        <w:t>We use seemingly unrelated regression analysis to generate</w:t>
      </w:r>
      <w:r w:rsidRPr="006D0E0B">
        <w:rPr>
          <w:rFonts w:ascii="Times New Roman" w:eastAsia="Times New Roman" w:hAnsi="Times New Roman" w:cs="Times New Roman"/>
          <w:color w:val="000000" w:themeColor="text1"/>
        </w:rPr>
        <w:t xml:space="preserve"> </w:t>
      </w:r>
      <w:r w:rsidRPr="005A39FD">
        <w:rPr>
          <w:rFonts w:ascii="Times New Roman" w:eastAsia="Times New Roman" w:hAnsi="Times New Roman" w:cs="Times New Roman"/>
          <w:color w:val="000000" w:themeColor="text1"/>
        </w:rPr>
        <w:t>χ</w:t>
      </w:r>
      <w:r w:rsidRPr="00492461">
        <w:rPr>
          <w:rFonts w:ascii="Times New Roman" w:eastAsia="Times New Roman" w:hAnsi="Times New Roman" w:cs="Times New Roman"/>
          <w:color w:val="000000" w:themeColor="text1"/>
          <w:vertAlign w:val="superscript"/>
        </w:rPr>
        <w:t>2</w:t>
      </w:r>
      <w:r>
        <w:rPr>
          <w:rFonts w:ascii="Times New Roman" w:eastAsia="Times New Roman" w:hAnsi="Times New Roman" w:cs="Times New Roman"/>
          <w:color w:val="000000" w:themeColor="text1"/>
          <w:vertAlign w:val="superscript"/>
        </w:rPr>
        <w:t xml:space="preserve"> </w:t>
      </w:r>
      <w:r>
        <w:rPr>
          <w:rFonts w:ascii="Times New Roman" w:eastAsia="Times New Roman" w:hAnsi="Times New Roman" w:cs="Times New Roman"/>
          <w:color w:val="000000" w:themeColor="text1"/>
        </w:rPr>
        <w:t xml:space="preserve">test statistics of the differences in coefficients between subsamples.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306"/>
    <w:multiLevelType w:val="hybridMultilevel"/>
    <w:tmpl w:val="F53EFC14"/>
    <w:lvl w:ilvl="0" w:tplc="1D12B898">
      <w:start w:val="1"/>
      <w:numFmt w:val="bullet"/>
      <w:lvlText w:val="–"/>
      <w:lvlJc w:val="left"/>
      <w:pPr>
        <w:tabs>
          <w:tab w:val="num" w:pos="720"/>
        </w:tabs>
        <w:ind w:left="720" w:hanging="360"/>
      </w:pPr>
      <w:rPr>
        <w:rFonts w:ascii="Franklin Gothic Book" w:hAnsi="Franklin Gothic Book" w:hint="default"/>
      </w:rPr>
    </w:lvl>
    <w:lvl w:ilvl="1" w:tplc="11764D12">
      <w:start w:val="1"/>
      <w:numFmt w:val="bullet"/>
      <w:lvlText w:val="–"/>
      <w:lvlJc w:val="left"/>
      <w:pPr>
        <w:tabs>
          <w:tab w:val="num" w:pos="1440"/>
        </w:tabs>
        <w:ind w:left="1440" w:hanging="360"/>
      </w:pPr>
      <w:rPr>
        <w:rFonts w:ascii="Franklin Gothic Book" w:hAnsi="Franklin Gothic Book" w:hint="default"/>
      </w:rPr>
    </w:lvl>
    <w:lvl w:ilvl="2" w:tplc="3D6A995A" w:tentative="1">
      <w:start w:val="1"/>
      <w:numFmt w:val="bullet"/>
      <w:lvlText w:val="–"/>
      <w:lvlJc w:val="left"/>
      <w:pPr>
        <w:tabs>
          <w:tab w:val="num" w:pos="2160"/>
        </w:tabs>
        <w:ind w:left="2160" w:hanging="360"/>
      </w:pPr>
      <w:rPr>
        <w:rFonts w:ascii="Franklin Gothic Book" w:hAnsi="Franklin Gothic Book" w:hint="default"/>
      </w:rPr>
    </w:lvl>
    <w:lvl w:ilvl="3" w:tplc="811A5254" w:tentative="1">
      <w:start w:val="1"/>
      <w:numFmt w:val="bullet"/>
      <w:lvlText w:val="–"/>
      <w:lvlJc w:val="left"/>
      <w:pPr>
        <w:tabs>
          <w:tab w:val="num" w:pos="2880"/>
        </w:tabs>
        <w:ind w:left="2880" w:hanging="360"/>
      </w:pPr>
      <w:rPr>
        <w:rFonts w:ascii="Franklin Gothic Book" w:hAnsi="Franklin Gothic Book" w:hint="default"/>
      </w:rPr>
    </w:lvl>
    <w:lvl w:ilvl="4" w:tplc="C03C3062" w:tentative="1">
      <w:start w:val="1"/>
      <w:numFmt w:val="bullet"/>
      <w:lvlText w:val="–"/>
      <w:lvlJc w:val="left"/>
      <w:pPr>
        <w:tabs>
          <w:tab w:val="num" w:pos="3600"/>
        </w:tabs>
        <w:ind w:left="3600" w:hanging="360"/>
      </w:pPr>
      <w:rPr>
        <w:rFonts w:ascii="Franklin Gothic Book" w:hAnsi="Franklin Gothic Book" w:hint="default"/>
      </w:rPr>
    </w:lvl>
    <w:lvl w:ilvl="5" w:tplc="8F40F32C" w:tentative="1">
      <w:start w:val="1"/>
      <w:numFmt w:val="bullet"/>
      <w:lvlText w:val="–"/>
      <w:lvlJc w:val="left"/>
      <w:pPr>
        <w:tabs>
          <w:tab w:val="num" w:pos="4320"/>
        </w:tabs>
        <w:ind w:left="4320" w:hanging="360"/>
      </w:pPr>
      <w:rPr>
        <w:rFonts w:ascii="Franklin Gothic Book" w:hAnsi="Franklin Gothic Book" w:hint="default"/>
      </w:rPr>
    </w:lvl>
    <w:lvl w:ilvl="6" w:tplc="817C0DC8" w:tentative="1">
      <w:start w:val="1"/>
      <w:numFmt w:val="bullet"/>
      <w:lvlText w:val="–"/>
      <w:lvlJc w:val="left"/>
      <w:pPr>
        <w:tabs>
          <w:tab w:val="num" w:pos="5040"/>
        </w:tabs>
        <w:ind w:left="5040" w:hanging="360"/>
      </w:pPr>
      <w:rPr>
        <w:rFonts w:ascii="Franklin Gothic Book" w:hAnsi="Franklin Gothic Book" w:hint="default"/>
      </w:rPr>
    </w:lvl>
    <w:lvl w:ilvl="7" w:tplc="0F62921C" w:tentative="1">
      <w:start w:val="1"/>
      <w:numFmt w:val="bullet"/>
      <w:lvlText w:val="–"/>
      <w:lvlJc w:val="left"/>
      <w:pPr>
        <w:tabs>
          <w:tab w:val="num" w:pos="5760"/>
        </w:tabs>
        <w:ind w:left="5760" w:hanging="360"/>
      </w:pPr>
      <w:rPr>
        <w:rFonts w:ascii="Franklin Gothic Book" w:hAnsi="Franklin Gothic Book" w:hint="default"/>
      </w:rPr>
    </w:lvl>
    <w:lvl w:ilvl="8" w:tplc="CE30982E"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126A10F2"/>
    <w:multiLevelType w:val="hybridMultilevel"/>
    <w:tmpl w:val="8E8AE012"/>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 w15:restartNumberingAfterBreak="0">
    <w:nsid w:val="1875662D"/>
    <w:multiLevelType w:val="hybridMultilevel"/>
    <w:tmpl w:val="8C201266"/>
    <w:lvl w:ilvl="0" w:tplc="664CF07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91479E"/>
    <w:multiLevelType w:val="hybridMultilevel"/>
    <w:tmpl w:val="D82A3F46"/>
    <w:lvl w:ilvl="0" w:tplc="17741DF0">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1B5169"/>
    <w:multiLevelType w:val="multilevel"/>
    <w:tmpl w:val="F5124214"/>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C9A54BE"/>
    <w:multiLevelType w:val="hybridMultilevel"/>
    <w:tmpl w:val="14D4694C"/>
    <w:lvl w:ilvl="0" w:tplc="F48E9684">
      <w:start w:val="1"/>
      <w:numFmt w:val="decimal"/>
      <w:pStyle w:val="Heading1"/>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C40125"/>
    <w:multiLevelType w:val="hybridMultilevel"/>
    <w:tmpl w:val="609E21C8"/>
    <w:lvl w:ilvl="0" w:tplc="ED08F102">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EC2D06"/>
    <w:multiLevelType w:val="hybridMultilevel"/>
    <w:tmpl w:val="8C201266"/>
    <w:lvl w:ilvl="0" w:tplc="664CF07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39727B"/>
    <w:multiLevelType w:val="hybridMultilevel"/>
    <w:tmpl w:val="E1CAB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44AB15B9"/>
    <w:multiLevelType w:val="hybridMultilevel"/>
    <w:tmpl w:val="229AC78A"/>
    <w:lvl w:ilvl="0" w:tplc="664CF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574E42"/>
    <w:multiLevelType w:val="hybridMultilevel"/>
    <w:tmpl w:val="E0D61454"/>
    <w:lvl w:ilvl="0" w:tplc="440A8F9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E84E15"/>
    <w:multiLevelType w:val="hybridMultilevel"/>
    <w:tmpl w:val="CEE491A8"/>
    <w:lvl w:ilvl="0" w:tplc="440A8F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04081F"/>
    <w:multiLevelType w:val="hybridMultilevel"/>
    <w:tmpl w:val="70FA89E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8"/>
  </w:num>
  <w:num w:numId="2">
    <w:abstractNumId w:val="1"/>
  </w:num>
  <w:num w:numId="3">
    <w:abstractNumId w:val="12"/>
  </w:num>
  <w:num w:numId="4">
    <w:abstractNumId w:val="5"/>
  </w:num>
  <w:num w:numId="5">
    <w:abstractNumId w:val="9"/>
  </w:num>
  <w:num w:numId="6">
    <w:abstractNumId w:val="7"/>
  </w:num>
  <w:num w:numId="7">
    <w:abstractNumId w:val="2"/>
  </w:num>
  <w:num w:numId="8">
    <w:abstractNumId w:val="0"/>
  </w:num>
  <w:num w:numId="9">
    <w:abstractNumId w:val="11"/>
  </w:num>
  <w:num w:numId="10">
    <w:abstractNumId w:val="10"/>
  </w:num>
  <w:num w:numId="11">
    <w:abstractNumId w:val="5"/>
  </w:num>
  <w:num w:numId="12">
    <w:abstractNumId w:val="5"/>
  </w:num>
  <w:num w:numId="13">
    <w:abstractNumId w:val="5"/>
    <w:lvlOverride w:ilvl="0">
      <w:startOverride w:val="1"/>
    </w:lvlOverride>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MjQyMLA0tzA2NDBX0lEKTi0uzszPAykwrAUAbaHg9iwAAAA="/>
    <w:docVar w:name="dgnword-docGUID" w:val="{5968ECA5-B534-4772-A953-E0C10019436B}"/>
    <w:docVar w:name="dgnword-eventsink" w:val="364094112"/>
  </w:docVars>
  <w:rsids>
    <w:rsidRoot w:val="00527702"/>
    <w:rsid w:val="00000BD5"/>
    <w:rsid w:val="00001D4B"/>
    <w:rsid w:val="00003568"/>
    <w:rsid w:val="0000403F"/>
    <w:rsid w:val="0000434B"/>
    <w:rsid w:val="00004D06"/>
    <w:rsid w:val="00006D8F"/>
    <w:rsid w:val="00006E98"/>
    <w:rsid w:val="00013913"/>
    <w:rsid w:val="000213D7"/>
    <w:rsid w:val="00021ED1"/>
    <w:rsid w:val="000241F0"/>
    <w:rsid w:val="00024F42"/>
    <w:rsid w:val="000316B4"/>
    <w:rsid w:val="00032B29"/>
    <w:rsid w:val="000428EC"/>
    <w:rsid w:val="00046A0B"/>
    <w:rsid w:val="000531DC"/>
    <w:rsid w:val="0006399E"/>
    <w:rsid w:val="00064D3E"/>
    <w:rsid w:val="0006520C"/>
    <w:rsid w:val="00065664"/>
    <w:rsid w:val="000724BA"/>
    <w:rsid w:val="0007429F"/>
    <w:rsid w:val="000743D4"/>
    <w:rsid w:val="00074D48"/>
    <w:rsid w:val="0007512C"/>
    <w:rsid w:val="00082DD2"/>
    <w:rsid w:val="00082FB2"/>
    <w:rsid w:val="00083557"/>
    <w:rsid w:val="00091E7D"/>
    <w:rsid w:val="000A1E56"/>
    <w:rsid w:val="000A2361"/>
    <w:rsid w:val="000A6BF5"/>
    <w:rsid w:val="000B30CF"/>
    <w:rsid w:val="000B47ED"/>
    <w:rsid w:val="000B5F41"/>
    <w:rsid w:val="000B699D"/>
    <w:rsid w:val="000B77C3"/>
    <w:rsid w:val="000C07EF"/>
    <w:rsid w:val="000C150B"/>
    <w:rsid w:val="000C469C"/>
    <w:rsid w:val="000D0D93"/>
    <w:rsid w:val="000D5074"/>
    <w:rsid w:val="000D53E5"/>
    <w:rsid w:val="000D5584"/>
    <w:rsid w:val="000D70C7"/>
    <w:rsid w:val="000E2043"/>
    <w:rsid w:val="000E632C"/>
    <w:rsid w:val="000E66E5"/>
    <w:rsid w:val="000E7B40"/>
    <w:rsid w:val="000F0841"/>
    <w:rsid w:val="000F0BC8"/>
    <w:rsid w:val="000F31D5"/>
    <w:rsid w:val="0010080E"/>
    <w:rsid w:val="00102077"/>
    <w:rsid w:val="0010219B"/>
    <w:rsid w:val="00102F4B"/>
    <w:rsid w:val="00103E0F"/>
    <w:rsid w:val="00105DEA"/>
    <w:rsid w:val="001068BF"/>
    <w:rsid w:val="001076D9"/>
    <w:rsid w:val="00107DB8"/>
    <w:rsid w:val="00110F99"/>
    <w:rsid w:val="00112BBF"/>
    <w:rsid w:val="00114011"/>
    <w:rsid w:val="0011769C"/>
    <w:rsid w:val="001273B3"/>
    <w:rsid w:val="0013042B"/>
    <w:rsid w:val="00133FB9"/>
    <w:rsid w:val="00134053"/>
    <w:rsid w:val="00150B70"/>
    <w:rsid w:val="00151407"/>
    <w:rsid w:val="00154065"/>
    <w:rsid w:val="0016037A"/>
    <w:rsid w:val="00162B7A"/>
    <w:rsid w:val="00163FD2"/>
    <w:rsid w:val="001657A9"/>
    <w:rsid w:val="001669E6"/>
    <w:rsid w:val="00173757"/>
    <w:rsid w:val="00175394"/>
    <w:rsid w:val="00180654"/>
    <w:rsid w:val="001817E0"/>
    <w:rsid w:val="00182439"/>
    <w:rsid w:val="001837B2"/>
    <w:rsid w:val="00183807"/>
    <w:rsid w:val="001914D0"/>
    <w:rsid w:val="00192238"/>
    <w:rsid w:val="00194E5A"/>
    <w:rsid w:val="001A0052"/>
    <w:rsid w:val="001A4150"/>
    <w:rsid w:val="001A5620"/>
    <w:rsid w:val="001A5EF5"/>
    <w:rsid w:val="001A74B4"/>
    <w:rsid w:val="001B2990"/>
    <w:rsid w:val="001B31A6"/>
    <w:rsid w:val="001B6CFE"/>
    <w:rsid w:val="001B7A97"/>
    <w:rsid w:val="001C06AC"/>
    <w:rsid w:val="001C3390"/>
    <w:rsid w:val="001C3C88"/>
    <w:rsid w:val="001C743F"/>
    <w:rsid w:val="001D0387"/>
    <w:rsid w:val="001D1476"/>
    <w:rsid w:val="001D1710"/>
    <w:rsid w:val="001D46A1"/>
    <w:rsid w:val="001D54F1"/>
    <w:rsid w:val="001D551E"/>
    <w:rsid w:val="001D647D"/>
    <w:rsid w:val="001D72D3"/>
    <w:rsid w:val="001E4E48"/>
    <w:rsid w:val="001E7851"/>
    <w:rsid w:val="002037A4"/>
    <w:rsid w:val="00204F70"/>
    <w:rsid w:val="0020579D"/>
    <w:rsid w:val="00207064"/>
    <w:rsid w:val="00213A5A"/>
    <w:rsid w:val="00213B08"/>
    <w:rsid w:val="00214028"/>
    <w:rsid w:val="0021729F"/>
    <w:rsid w:val="00221F6D"/>
    <w:rsid w:val="00222181"/>
    <w:rsid w:val="0022285A"/>
    <w:rsid w:val="0022370B"/>
    <w:rsid w:val="00223B70"/>
    <w:rsid w:val="00224A0E"/>
    <w:rsid w:val="0022747E"/>
    <w:rsid w:val="002350E6"/>
    <w:rsid w:val="002444A2"/>
    <w:rsid w:val="00244E8D"/>
    <w:rsid w:val="00246E76"/>
    <w:rsid w:val="002544D7"/>
    <w:rsid w:val="00255399"/>
    <w:rsid w:val="00255F2D"/>
    <w:rsid w:val="00262495"/>
    <w:rsid w:val="00274FF1"/>
    <w:rsid w:val="00275B1A"/>
    <w:rsid w:val="00275E45"/>
    <w:rsid w:val="00276987"/>
    <w:rsid w:val="002833DA"/>
    <w:rsid w:val="002844B0"/>
    <w:rsid w:val="0028475B"/>
    <w:rsid w:val="00294277"/>
    <w:rsid w:val="0029453F"/>
    <w:rsid w:val="002954A2"/>
    <w:rsid w:val="002A30DB"/>
    <w:rsid w:val="002A4363"/>
    <w:rsid w:val="002B0060"/>
    <w:rsid w:val="002B31DE"/>
    <w:rsid w:val="002B580F"/>
    <w:rsid w:val="002B6921"/>
    <w:rsid w:val="002C1811"/>
    <w:rsid w:val="002C39FE"/>
    <w:rsid w:val="002C54DF"/>
    <w:rsid w:val="002C6923"/>
    <w:rsid w:val="002D0F28"/>
    <w:rsid w:val="002D5A9D"/>
    <w:rsid w:val="002D61B2"/>
    <w:rsid w:val="002E1948"/>
    <w:rsid w:val="002E1F2E"/>
    <w:rsid w:val="002F16D6"/>
    <w:rsid w:val="002F25F1"/>
    <w:rsid w:val="002F6C7C"/>
    <w:rsid w:val="00307447"/>
    <w:rsid w:val="00310A19"/>
    <w:rsid w:val="00317EAB"/>
    <w:rsid w:val="00320E52"/>
    <w:rsid w:val="0032209D"/>
    <w:rsid w:val="00323696"/>
    <w:rsid w:val="00325E31"/>
    <w:rsid w:val="00331AFB"/>
    <w:rsid w:val="003322D8"/>
    <w:rsid w:val="00332CDB"/>
    <w:rsid w:val="00332ED7"/>
    <w:rsid w:val="00333FE1"/>
    <w:rsid w:val="00334A09"/>
    <w:rsid w:val="003351B5"/>
    <w:rsid w:val="00336954"/>
    <w:rsid w:val="0033791A"/>
    <w:rsid w:val="00341865"/>
    <w:rsid w:val="003437D6"/>
    <w:rsid w:val="003438B6"/>
    <w:rsid w:val="003438E3"/>
    <w:rsid w:val="003451BF"/>
    <w:rsid w:val="003522C0"/>
    <w:rsid w:val="003528D2"/>
    <w:rsid w:val="0035493A"/>
    <w:rsid w:val="00356D8A"/>
    <w:rsid w:val="00360385"/>
    <w:rsid w:val="00362D53"/>
    <w:rsid w:val="00363EAF"/>
    <w:rsid w:val="00367AE0"/>
    <w:rsid w:val="0037058C"/>
    <w:rsid w:val="003737FB"/>
    <w:rsid w:val="00375887"/>
    <w:rsid w:val="0037666D"/>
    <w:rsid w:val="00382115"/>
    <w:rsid w:val="00384EEF"/>
    <w:rsid w:val="00384FF5"/>
    <w:rsid w:val="003876FD"/>
    <w:rsid w:val="00395545"/>
    <w:rsid w:val="003A3FCC"/>
    <w:rsid w:val="003A7DEC"/>
    <w:rsid w:val="003B0EF2"/>
    <w:rsid w:val="003B5401"/>
    <w:rsid w:val="003B65CE"/>
    <w:rsid w:val="003B6E3D"/>
    <w:rsid w:val="003C2AF0"/>
    <w:rsid w:val="003C4F99"/>
    <w:rsid w:val="003C5A39"/>
    <w:rsid w:val="003D0279"/>
    <w:rsid w:val="003D3D7B"/>
    <w:rsid w:val="003D4773"/>
    <w:rsid w:val="003D64DE"/>
    <w:rsid w:val="003E3202"/>
    <w:rsid w:val="003E4639"/>
    <w:rsid w:val="003E57F5"/>
    <w:rsid w:val="003E59A0"/>
    <w:rsid w:val="003F2BAA"/>
    <w:rsid w:val="003F401F"/>
    <w:rsid w:val="003F7EB0"/>
    <w:rsid w:val="00402895"/>
    <w:rsid w:val="00402DA6"/>
    <w:rsid w:val="00406601"/>
    <w:rsid w:val="00407723"/>
    <w:rsid w:val="00411B3B"/>
    <w:rsid w:val="00412280"/>
    <w:rsid w:val="00412A5A"/>
    <w:rsid w:val="004135F6"/>
    <w:rsid w:val="004152E4"/>
    <w:rsid w:val="00415E59"/>
    <w:rsid w:val="00415F50"/>
    <w:rsid w:val="00416FCB"/>
    <w:rsid w:val="00422CD2"/>
    <w:rsid w:val="00422F39"/>
    <w:rsid w:val="00423CE1"/>
    <w:rsid w:val="00426638"/>
    <w:rsid w:val="0042701A"/>
    <w:rsid w:val="00434550"/>
    <w:rsid w:val="00434F21"/>
    <w:rsid w:val="00436F01"/>
    <w:rsid w:val="00440974"/>
    <w:rsid w:val="00440D8E"/>
    <w:rsid w:val="0044382A"/>
    <w:rsid w:val="0044512F"/>
    <w:rsid w:val="00445742"/>
    <w:rsid w:val="00446433"/>
    <w:rsid w:val="004467DB"/>
    <w:rsid w:val="0044788B"/>
    <w:rsid w:val="00447F4A"/>
    <w:rsid w:val="004517CD"/>
    <w:rsid w:val="00451E57"/>
    <w:rsid w:val="0045281C"/>
    <w:rsid w:val="00453E8A"/>
    <w:rsid w:val="00454056"/>
    <w:rsid w:val="00460317"/>
    <w:rsid w:val="00461FBC"/>
    <w:rsid w:val="004648C2"/>
    <w:rsid w:val="0046551A"/>
    <w:rsid w:val="004669A6"/>
    <w:rsid w:val="0047384F"/>
    <w:rsid w:val="00475BDA"/>
    <w:rsid w:val="0048295A"/>
    <w:rsid w:val="00482CA6"/>
    <w:rsid w:val="00484316"/>
    <w:rsid w:val="00485249"/>
    <w:rsid w:val="0048759E"/>
    <w:rsid w:val="00492461"/>
    <w:rsid w:val="004934D4"/>
    <w:rsid w:val="00495B79"/>
    <w:rsid w:val="004966E5"/>
    <w:rsid w:val="00496852"/>
    <w:rsid w:val="0049738C"/>
    <w:rsid w:val="004975D6"/>
    <w:rsid w:val="004A06F0"/>
    <w:rsid w:val="004A0B1D"/>
    <w:rsid w:val="004A0E96"/>
    <w:rsid w:val="004A289B"/>
    <w:rsid w:val="004A457B"/>
    <w:rsid w:val="004A4E5F"/>
    <w:rsid w:val="004A52B0"/>
    <w:rsid w:val="004A5F54"/>
    <w:rsid w:val="004B5180"/>
    <w:rsid w:val="004B5C75"/>
    <w:rsid w:val="004C0FEF"/>
    <w:rsid w:val="004C27CB"/>
    <w:rsid w:val="004D04BC"/>
    <w:rsid w:val="004D18B6"/>
    <w:rsid w:val="004D2102"/>
    <w:rsid w:val="004D36B6"/>
    <w:rsid w:val="004D4196"/>
    <w:rsid w:val="004D7698"/>
    <w:rsid w:val="004E10BD"/>
    <w:rsid w:val="004E5998"/>
    <w:rsid w:val="004E5C9E"/>
    <w:rsid w:val="004E6F83"/>
    <w:rsid w:val="004E7671"/>
    <w:rsid w:val="004E77F0"/>
    <w:rsid w:val="004F4D70"/>
    <w:rsid w:val="004F6005"/>
    <w:rsid w:val="00500C3F"/>
    <w:rsid w:val="00511349"/>
    <w:rsid w:val="00512359"/>
    <w:rsid w:val="00512715"/>
    <w:rsid w:val="00515B4B"/>
    <w:rsid w:val="0051622D"/>
    <w:rsid w:val="0052138A"/>
    <w:rsid w:val="0052162D"/>
    <w:rsid w:val="005216D1"/>
    <w:rsid w:val="00527702"/>
    <w:rsid w:val="005346F8"/>
    <w:rsid w:val="00534BF4"/>
    <w:rsid w:val="00534F28"/>
    <w:rsid w:val="00534FC5"/>
    <w:rsid w:val="00535B22"/>
    <w:rsid w:val="00546751"/>
    <w:rsid w:val="00547067"/>
    <w:rsid w:val="00550AE1"/>
    <w:rsid w:val="0055283B"/>
    <w:rsid w:val="00555776"/>
    <w:rsid w:val="00555D18"/>
    <w:rsid w:val="00562C52"/>
    <w:rsid w:val="005632F3"/>
    <w:rsid w:val="005636A7"/>
    <w:rsid w:val="00563BA1"/>
    <w:rsid w:val="005657F6"/>
    <w:rsid w:val="00566951"/>
    <w:rsid w:val="005725C1"/>
    <w:rsid w:val="00572F28"/>
    <w:rsid w:val="00580E7A"/>
    <w:rsid w:val="00581F65"/>
    <w:rsid w:val="00586E46"/>
    <w:rsid w:val="005874DF"/>
    <w:rsid w:val="00594DFF"/>
    <w:rsid w:val="00597466"/>
    <w:rsid w:val="005A0E45"/>
    <w:rsid w:val="005A17A3"/>
    <w:rsid w:val="005A1A6C"/>
    <w:rsid w:val="005A26E3"/>
    <w:rsid w:val="005A375D"/>
    <w:rsid w:val="005A39BF"/>
    <w:rsid w:val="005A3F2A"/>
    <w:rsid w:val="005A40C1"/>
    <w:rsid w:val="005A67CF"/>
    <w:rsid w:val="005B3466"/>
    <w:rsid w:val="005B3982"/>
    <w:rsid w:val="005B4008"/>
    <w:rsid w:val="005B5DEF"/>
    <w:rsid w:val="005B6BF6"/>
    <w:rsid w:val="005C0832"/>
    <w:rsid w:val="005C2127"/>
    <w:rsid w:val="005C3433"/>
    <w:rsid w:val="005C4087"/>
    <w:rsid w:val="005C6F41"/>
    <w:rsid w:val="005D1132"/>
    <w:rsid w:val="005D2603"/>
    <w:rsid w:val="005D2BFA"/>
    <w:rsid w:val="005D42E5"/>
    <w:rsid w:val="005D572B"/>
    <w:rsid w:val="005D708D"/>
    <w:rsid w:val="005E1FD0"/>
    <w:rsid w:val="005E28E7"/>
    <w:rsid w:val="005E2918"/>
    <w:rsid w:val="005E30E2"/>
    <w:rsid w:val="005E74FE"/>
    <w:rsid w:val="005F2345"/>
    <w:rsid w:val="005F2B0F"/>
    <w:rsid w:val="006050BA"/>
    <w:rsid w:val="0060695B"/>
    <w:rsid w:val="00607EF1"/>
    <w:rsid w:val="00621B66"/>
    <w:rsid w:val="00623E22"/>
    <w:rsid w:val="00624FA4"/>
    <w:rsid w:val="00625398"/>
    <w:rsid w:val="00625F02"/>
    <w:rsid w:val="00627C92"/>
    <w:rsid w:val="006347AD"/>
    <w:rsid w:val="00643099"/>
    <w:rsid w:val="00644305"/>
    <w:rsid w:val="00646C4E"/>
    <w:rsid w:val="00650323"/>
    <w:rsid w:val="006507C9"/>
    <w:rsid w:val="006523FB"/>
    <w:rsid w:val="00654C91"/>
    <w:rsid w:val="006562FF"/>
    <w:rsid w:val="00660ADD"/>
    <w:rsid w:val="00664EF4"/>
    <w:rsid w:val="0066526A"/>
    <w:rsid w:val="00667419"/>
    <w:rsid w:val="00667667"/>
    <w:rsid w:val="006729F3"/>
    <w:rsid w:val="006732BF"/>
    <w:rsid w:val="006749CD"/>
    <w:rsid w:val="00675B80"/>
    <w:rsid w:val="00676BF2"/>
    <w:rsid w:val="006779A7"/>
    <w:rsid w:val="0068000B"/>
    <w:rsid w:val="00680D87"/>
    <w:rsid w:val="00684C4E"/>
    <w:rsid w:val="00690050"/>
    <w:rsid w:val="006905DE"/>
    <w:rsid w:val="00694535"/>
    <w:rsid w:val="006967B2"/>
    <w:rsid w:val="006A2CDF"/>
    <w:rsid w:val="006A7467"/>
    <w:rsid w:val="006B289E"/>
    <w:rsid w:val="006B2BBB"/>
    <w:rsid w:val="006B4E26"/>
    <w:rsid w:val="006B6039"/>
    <w:rsid w:val="006B6CE6"/>
    <w:rsid w:val="006C2059"/>
    <w:rsid w:val="006C243F"/>
    <w:rsid w:val="006C34B0"/>
    <w:rsid w:val="006D0CAA"/>
    <w:rsid w:val="006D0E0B"/>
    <w:rsid w:val="006D69AD"/>
    <w:rsid w:val="006D757A"/>
    <w:rsid w:val="006E590D"/>
    <w:rsid w:val="006E6171"/>
    <w:rsid w:val="006E7E4B"/>
    <w:rsid w:val="006F0AD4"/>
    <w:rsid w:val="006F18CB"/>
    <w:rsid w:val="006F1A60"/>
    <w:rsid w:val="006F6171"/>
    <w:rsid w:val="007017B8"/>
    <w:rsid w:val="00701F39"/>
    <w:rsid w:val="00707C7E"/>
    <w:rsid w:val="00710F71"/>
    <w:rsid w:val="0071378E"/>
    <w:rsid w:val="007167FC"/>
    <w:rsid w:val="00717971"/>
    <w:rsid w:val="00717E30"/>
    <w:rsid w:val="00720405"/>
    <w:rsid w:val="007232CC"/>
    <w:rsid w:val="0072409C"/>
    <w:rsid w:val="00724385"/>
    <w:rsid w:val="00730112"/>
    <w:rsid w:val="00737C60"/>
    <w:rsid w:val="00742CDB"/>
    <w:rsid w:val="007430CA"/>
    <w:rsid w:val="00744FD0"/>
    <w:rsid w:val="0074708B"/>
    <w:rsid w:val="00765AD1"/>
    <w:rsid w:val="00766289"/>
    <w:rsid w:val="00772499"/>
    <w:rsid w:val="00775C0D"/>
    <w:rsid w:val="00775E8A"/>
    <w:rsid w:val="007836F9"/>
    <w:rsid w:val="00783F52"/>
    <w:rsid w:val="00787311"/>
    <w:rsid w:val="00787F55"/>
    <w:rsid w:val="007904ED"/>
    <w:rsid w:val="00796ACF"/>
    <w:rsid w:val="007A0710"/>
    <w:rsid w:val="007A1EB6"/>
    <w:rsid w:val="007A21DD"/>
    <w:rsid w:val="007A34D3"/>
    <w:rsid w:val="007A50D9"/>
    <w:rsid w:val="007A7767"/>
    <w:rsid w:val="007C58F7"/>
    <w:rsid w:val="007D1C64"/>
    <w:rsid w:val="007D25A9"/>
    <w:rsid w:val="007D2E09"/>
    <w:rsid w:val="007D3EF7"/>
    <w:rsid w:val="007D3FF9"/>
    <w:rsid w:val="007E110E"/>
    <w:rsid w:val="007E2DD4"/>
    <w:rsid w:val="007E2E64"/>
    <w:rsid w:val="007E75AE"/>
    <w:rsid w:val="007F1A8A"/>
    <w:rsid w:val="007F6E2B"/>
    <w:rsid w:val="00801234"/>
    <w:rsid w:val="00806A2F"/>
    <w:rsid w:val="008124A0"/>
    <w:rsid w:val="00814717"/>
    <w:rsid w:val="0081575B"/>
    <w:rsid w:val="00822383"/>
    <w:rsid w:val="00822531"/>
    <w:rsid w:val="008320F3"/>
    <w:rsid w:val="00833BB9"/>
    <w:rsid w:val="00835C99"/>
    <w:rsid w:val="00842BAD"/>
    <w:rsid w:val="00842FC7"/>
    <w:rsid w:val="008437BF"/>
    <w:rsid w:val="00846837"/>
    <w:rsid w:val="008502E0"/>
    <w:rsid w:val="00855344"/>
    <w:rsid w:val="00855DD6"/>
    <w:rsid w:val="00856E35"/>
    <w:rsid w:val="00863EF3"/>
    <w:rsid w:val="00865526"/>
    <w:rsid w:val="00870C43"/>
    <w:rsid w:val="008755AA"/>
    <w:rsid w:val="00877062"/>
    <w:rsid w:val="00885650"/>
    <w:rsid w:val="00887185"/>
    <w:rsid w:val="00897623"/>
    <w:rsid w:val="008A105E"/>
    <w:rsid w:val="008A20C2"/>
    <w:rsid w:val="008A4F2C"/>
    <w:rsid w:val="008A65FA"/>
    <w:rsid w:val="008B0208"/>
    <w:rsid w:val="008B09B1"/>
    <w:rsid w:val="008B238B"/>
    <w:rsid w:val="008B648B"/>
    <w:rsid w:val="008B689C"/>
    <w:rsid w:val="008B741E"/>
    <w:rsid w:val="008C0D6C"/>
    <w:rsid w:val="008C0DD7"/>
    <w:rsid w:val="008C29B1"/>
    <w:rsid w:val="008C5328"/>
    <w:rsid w:val="008D0817"/>
    <w:rsid w:val="008D3341"/>
    <w:rsid w:val="008D4D5C"/>
    <w:rsid w:val="008E265F"/>
    <w:rsid w:val="008E2E93"/>
    <w:rsid w:val="008E5B10"/>
    <w:rsid w:val="008E6CB1"/>
    <w:rsid w:val="008F0DB1"/>
    <w:rsid w:val="008F2408"/>
    <w:rsid w:val="008F4AD5"/>
    <w:rsid w:val="008F4D14"/>
    <w:rsid w:val="008F72E0"/>
    <w:rsid w:val="00902327"/>
    <w:rsid w:val="00903EEB"/>
    <w:rsid w:val="0090501E"/>
    <w:rsid w:val="00906443"/>
    <w:rsid w:val="00906B4B"/>
    <w:rsid w:val="009139FC"/>
    <w:rsid w:val="00913D49"/>
    <w:rsid w:val="009152B9"/>
    <w:rsid w:val="00915725"/>
    <w:rsid w:val="0091584F"/>
    <w:rsid w:val="00916FEE"/>
    <w:rsid w:val="0091705D"/>
    <w:rsid w:val="00921223"/>
    <w:rsid w:val="00921FA5"/>
    <w:rsid w:val="009241C4"/>
    <w:rsid w:val="00926B33"/>
    <w:rsid w:val="009271EE"/>
    <w:rsid w:val="00932156"/>
    <w:rsid w:val="00935DF1"/>
    <w:rsid w:val="00937ACB"/>
    <w:rsid w:val="00942644"/>
    <w:rsid w:val="009439A5"/>
    <w:rsid w:val="00945D9E"/>
    <w:rsid w:val="00946469"/>
    <w:rsid w:val="00947AF7"/>
    <w:rsid w:val="00953857"/>
    <w:rsid w:val="00955D68"/>
    <w:rsid w:val="00957A92"/>
    <w:rsid w:val="00961F64"/>
    <w:rsid w:val="00963F8B"/>
    <w:rsid w:val="00965758"/>
    <w:rsid w:val="00966492"/>
    <w:rsid w:val="009668FB"/>
    <w:rsid w:val="00970DE7"/>
    <w:rsid w:val="0097406E"/>
    <w:rsid w:val="00977E21"/>
    <w:rsid w:val="00983561"/>
    <w:rsid w:val="00986BC0"/>
    <w:rsid w:val="0099150B"/>
    <w:rsid w:val="0099361E"/>
    <w:rsid w:val="009974CC"/>
    <w:rsid w:val="009A250C"/>
    <w:rsid w:val="009A3CAE"/>
    <w:rsid w:val="009A45FC"/>
    <w:rsid w:val="009B059A"/>
    <w:rsid w:val="009B0835"/>
    <w:rsid w:val="009B3450"/>
    <w:rsid w:val="009B3D71"/>
    <w:rsid w:val="009B5C0D"/>
    <w:rsid w:val="009B5C1C"/>
    <w:rsid w:val="009C35F9"/>
    <w:rsid w:val="009D0C9B"/>
    <w:rsid w:val="009D13F1"/>
    <w:rsid w:val="009E1477"/>
    <w:rsid w:val="009E4413"/>
    <w:rsid w:val="009E68AC"/>
    <w:rsid w:val="009E7111"/>
    <w:rsid w:val="009F1697"/>
    <w:rsid w:val="009F4601"/>
    <w:rsid w:val="00A01601"/>
    <w:rsid w:val="00A04E32"/>
    <w:rsid w:val="00A07FAB"/>
    <w:rsid w:val="00A116A4"/>
    <w:rsid w:val="00A12A53"/>
    <w:rsid w:val="00A14948"/>
    <w:rsid w:val="00A17ED1"/>
    <w:rsid w:val="00A2158F"/>
    <w:rsid w:val="00A22E41"/>
    <w:rsid w:val="00A268B4"/>
    <w:rsid w:val="00A31660"/>
    <w:rsid w:val="00A323A4"/>
    <w:rsid w:val="00A40F32"/>
    <w:rsid w:val="00A426AC"/>
    <w:rsid w:val="00A432FD"/>
    <w:rsid w:val="00A438A5"/>
    <w:rsid w:val="00A439A7"/>
    <w:rsid w:val="00A44C24"/>
    <w:rsid w:val="00A46DB9"/>
    <w:rsid w:val="00A478B6"/>
    <w:rsid w:val="00A52755"/>
    <w:rsid w:val="00A5294D"/>
    <w:rsid w:val="00A55D5B"/>
    <w:rsid w:val="00A560CA"/>
    <w:rsid w:val="00A577BF"/>
    <w:rsid w:val="00A57A1C"/>
    <w:rsid w:val="00A61665"/>
    <w:rsid w:val="00A65C32"/>
    <w:rsid w:val="00A66859"/>
    <w:rsid w:val="00A73DDE"/>
    <w:rsid w:val="00A74031"/>
    <w:rsid w:val="00A74C3E"/>
    <w:rsid w:val="00A7616D"/>
    <w:rsid w:val="00A765F8"/>
    <w:rsid w:val="00A77735"/>
    <w:rsid w:val="00A80890"/>
    <w:rsid w:val="00A80C40"/>
    <w:rsid w:val="00A84C6A"/>
    <w:rsid w:val="00A9019F"/>
    <w:rsid w:val="00A9057C"/>
    <w:rsid w:val="00A9060C"/>
    <w:rsid w:val="00A9588A"/>
    <w:rsid w:val="00A96581"/>
    <w:rsid w:val="00AA1091"/>
    <w:rsid w:val="00AA2629"/>
    <w:rsid w:val="00AA36B2"/>
    <w:rsid w:val="00AA49CD"/>
    <w:rsid w:val="00AA56E5"/>
    <w:rsid w:val="00AB356A"/>
    <w:rsid w:val="00AB6AB5"/>
    <w:rsid w:val="00AC1050"/>
    <w:rsid w:val="00AC1497"/>
    <w:rsid w:val="00AE36A4"/>
    <w:rsid w:val="00AE4DF8"/>
    <w:rsid w:val="00AE4F75"/>
    <w:rsid w:val="00AE67A2"/>
    <w:rsid w:val="00AF3398"/>
    <w:rsid w:val="00AF60EB"/>
    <w:rsid w:val="00AF629A"/>
    <w:rsid w:val="00AF684A"/>
    <w:rsid w:val="00B009EF"/>
    <w:rsid w:val="00B04BC3"/>
    <w:rsid w:val="00B04CB0"/>
    <w:rsid w:val="00B07FEB"/>
    <w:rsid w:val="00B07FF7"/>
    <w:rsid w:val="00B106D5"/>
    <w:rsid w:val="00B10C4C"/>
    <w:rsid w:val="00B13A5C"/>
    <w:rsid w:val="00B13C9E"/>
    <w:rsid w:val="00B16B03"/>
    <w:rsid w:val="00B16FEC"/>
    <w:rsid w:val="00B17041"/>
    <w:rsid w:val="00B2075F"/>
    <w:rsid w:val="00B208B7"/>
    <w:rsid w:val="00B21808"/>
    <w:rsid w:val="00B22890"/>
    <w:rsid w:val="00B22AD0"/>
    <w:rsid w:val="00B250ED"/>
    <w:rsid w:val="00B25D91"/>
    <w:rsid w:val="00B263A5"/>
    <w:rsid w:val="00B264C1"/>
    <w:rsid w:val="00B337EF"/>
    <w:rsid w:val="00B34CD2"/>
    <w:rsid w:val="00B432E7"/>
    <w:rsid w:val="00B44AEB"/>
    <w:rsid w:val="00B4632B"/>
    <w:rsid w:val="00B549F5"/>
    <w:rsid w:val="00B60E83"/>
    <w:rsid w:val="00B61180"/>
    <w:rsid w:val="00B61A85"/>
    <w:rsid w:val="00B642DE"/>
    <w:rsid w:val="00B64704"/>
    <w:rsid w:val="00B64785"/>
    <w:rsid w:val="00B70741"/>
    <w:rsid w:val="00B74482"/>
    <w:rsid w:val="00B74852"/>
    <w:rsid w:val="00B77780"/>
    <w:rsid w:val="00B8197C"/>
    <w:rsid w:val="00B8344A"/>
    <w:rsid w:val="00B83B36"/>
    <w:rsid w:val="00B83FB6"/>
    <w:rsid w:val="00B90386"/>
    <w:rsid w:val="00B91237"/>
    <w:rsid w:val="00B91608"/>
    <w:rsid w:val="00B940F2"/>
    <w:rsid w:val="00BA045D"/>
    <w:rsid w:val="00BA2064"/>
    <w:rsid w:val="00BA4A2E"/>
    <w:rsid w:val="00BA664D"/>
    <w:rsid w:val="00BB39DE"/>
    <w:rsid w:val="00BB6510"/>
    <w:rsid w:val="00BB6712"/>
    <w:rsid w:val="00BB78CA"/>
    <w:rsid w:val="00BB79E1"/>
    <w:rsid w:val="00BC0443"/>
    <w:rsid w:val="00BC206A"/>
    <w:rsid w:val="00BC284B"/>
    <w:rsid w:val="00BC7055"/>
    <w:rsid w:val="00BD0160"/>
    <w:rsid w:val="00BD2FF7"/>
    <w:rsid w:val="00BD3664"/>
    <w:rsid w:val="00BD4E0D"/>
    <w:rsid w:val="00BD71A7"/>
    <w:rsid w:val="00BD71F1"/>
    <w:rsid w:val="00BD7A5C"/>
    <w:rsid w:val="00BE0858"/>
    <w:rsid w:val="00BE78D4"/>
    <w:rsid w:val="00BF1950"/>
    <w:rsid w:val="00BF248D"/>
    <w:rsid w:val="00BF4273"/>
    <w:rsid w:val="00BF4BF0"/>
    <w:rsid w:val="00BF6754"/>
    <w:rsid w:val="00BF70B1"/>
    <w:rsid w:val="00C023FD"/>
    <w:rsid w:val="00C0254A"/>
    <w:rsid w:val="00C04D56"/>
    <w:rsid w:val="00C0594F"/>
    <w:rsid w:val="00C06782"/>
    <w:rsid w:val="00C06E87"/>
    <w:rsid w:val="00C102D4"/>
    <w:rsid w:val="00C10B0F"/>
    <w:rsid w:val="00C13C1E"/>
    <w:rsid w:val="00C14649"/>
    <w:rsid w:val="00C17D24"/>
    <w:rsid w:val="00C20447"/>
    <w:rsid w:val="00C21344"/>
    <w:rsid w:val="00C21B43"/>
    <w:rsid w:val="00C22FA0"/>
    <w:rsid w:val="00C24B5A"/>
    <w:rsid w:val="00C257E6"/>
    <w:rsid w:val="00C25FC6"/>
    <w:rsid w:val="00C30950"/>
    <w:rsid w:val="00C34D1A"/>
    <w:rsid w:val="00C36C4A"/>
    <w:rsid w:val="00C405A6"/>
    <w:rsid w:val="00C41A05"/>
    <w:rsid w:val="00C4362B"/>
    <w:rsid w:val="00C44CD0"/>
    <w:rsid w:val="00C46A15"/>
    <w:rsid w:val="00C46BFE"/>
    <w:rsid w:val="00C50129"/>
    <w:rsid w:val="00C536BB"/>
    <w:rsid w:val="00C567D2"/>
    <w:rsid w:val="00C61AF0"/>
    <w:rsid w:val="00C63DBB"/>
    <w:rsid w:val="00C650F0"/>
    <w:rsid w:val="00C664AF"/>
    <w:rsid w:val="00C665E7"/>
    <w:rsid w:val="00C7118F"/>
    <w:rsid w:val="00C74871"/>
    <w:rsid w:val="00C81867"/>
    <w:rsid w:val="00C821F5"/>
    <w:rsid w:val="00C86B63"/>
    <w:rsid w:val="00C95CB1"/>
    <w:rsid w:val="00CA1687"/>
    <w:rsid w:val="00CA2FC5"/>
    <w:rsid w:val="00CA3132"/>
    <w:rsid w:val="00CA4031"/>
    <w:rsid w:val="00CA6D51"/>
    <w:rsid w:val="00CB18DA"/>
    <w:rsid w:val="00CB4CB2"/>
    <w:rsid w:val="00CC0309"/>
    <w:rsid w:val="00CC42F1"/>
    <w:rsid w:val="00CC58C8"/>
    <w:rsid w:val="00CC6522"/>
    <w:rsid w:val="00CD3D2A"/>
    <w:rsid w:val="00CD72EB"/>
    <w:rsid w:val="00CD761D"/>
    <w:rsid w:val="00CE1257"/>
    <w:rsid w:val="00CE189F"/>
    <w:rsid w:val="00CF1610"/>
    <w:rsid w:val="00CF1E13"/>
    <w:rsid w:val="00CF3281"/>
    <w:rsid w:val="00D00D37"/>
    <w:rsid w:val="00D0195C"/>
    <w:rsid w:val="00D04D59"/>
    <w:rsid w:val="00D0504A"/>
    <w:rsid w:val="00D07154"/>
    <w:rsid w:val="00D07863"/>
    <w:rsid w:val="00D103EC"/>
    <w:rsid w:val="00D10C3E"/>
    <w:rsid w:val="00D10F08"/>
    <w:rsid w:val="00D11D5D"/>
    <w:rsid w:val="00D12423"/>
    <w:rsid w:val="00D13A81"/>
    <w:rsid w:val="00D13AB6"/>
    <w:rsid w:val="00D23585"/>
    <w:rsid w:val="00D25931"/>
    <w:rsid w:val="00D32682"/>
    <w:rsid w:val="00D34C07"/>
    <w:rsid w:val="00D34E34"/>
    <w:rsid w:val="00D42593"/>
    <w:rsid w:val="00D425FB"/>
    <w:rsid w:val="00D43135"/>
    <w:rsid w:val="00D500B8"/>
    <w:rsid w:val="00D50516"/>
    <w:rsid w:val="00D505CF"/>
    <w:rsid w:val="00D52676"/>
    <w:rsid w:val="00D55B63"/>
    <w:rsid w:val="00D62714"/>
    <w:rsid w:val="00D646F3"/>
    <w:rsid w:val="00D64C63"/>
    <w:rsid w:val="00D653DE"/>
    <w:rsid w:val="00D7294D"/>
    <w:rsid w:val="00D72EAB"/>
    <w:rsid w:val="00D7494D"/>
    <w:rsid w:val="00D80A62"/>
    <w:rsid w:val="00D818D7"/>
    <w:rsid w:val="00D9009A"/>
    <w:rsid w:val="00D91A7F"/>
    <w:rsid w:val="00D92685"/>
    <w:rsid w:val="00D94EB8"/>
    <w:rsid w:val="00D97263"/>
    <w:rsid w:val="00DA6930"/>
    <w:rsid w:val="00DB6549"/>
    <w:rsid w:val="00DB660C"/>
    <w:rsid w:val="00DB6F73"/>
    <w:rsid w:val="00DB717E"/>
    <w:rsid w:val="00DC0864"/>
    <w:rsid w:val="00DC2244"/>
    <w:rsid w:val="00DD060F"/>
    <w:rsid w:val="00DD6CFA"/>
    <w:rsid w:val="00DE053F"/>
    <w:rsid w:val="00DE0C56"/>
    <w:rsid w:val="00DE1596"/>
    <w:rsid w:val="00DE19F5"/>
    <w:rsid w:val="00DE2CA9"/>
    <w:rsid w:val="00DE2E06"/>
    <w:rsid w:val="00DE3580"/>
    <w:rsid w:val="00DE61B1"/>
    <w:rsid w:val="00DF23CC"/>
    <w:rsid w:val="00DF31F4"/>
    <w:rsid w:val="00DF408F"/>
    <w:rsid w:val="00DF53C6"/>
    <w:rsid w:val="00DF675B"/>
    <w:rsid w:val="00E011F6"/>
    <w:rsid w:val="00E01954"/>
    <w:rsid w:val="00E02FE0"/>
    <w:rsid w:val="00E04CA0"/>
    <w:rsid w:val="00E07CF1"/>
    <w:rsid w:val="00E165F7"/>
    <w:rsid w:val="00E221EE"/>
    <w:rsid w:val="00E2386C"/>
    <w:rsid w:val="00E24CED"/>
    <w:rsid w:val="00E30C56"/>
    <w:rsid w:val="00E34C92"/>
    <w:rsid w:val="00E414D5"/>
    <w:rsid w:val="00E43768"/>
    <w:rsid w:val="00E45DD4"/>
    <w:rsid w:val="00E4614F"/>
    <w:rsid w:val="00E47973"/>
    <w:rsid w:val="00E50DF0"/>
    <w:rsid w:val="00E51E1D"/>
    <w:rsid w:val="00E52E1E"/>
    <w:rsid w:val="00E55406"/>
    <w:rsid w:val="00E624A4"/>
    <w:rsid w:val="00E64F53"/>
    <w:rsid w:val="00E66966"/>
    <w:rsid w:val="00E67529"/>
    <w:rsid w:val="00E7385F"/>
    <w:rsid w:val="00E749AA"/>
    <w:rsid w:val="00E75A14"/>
    <w:rsid w:val="00E82042"/>
    <w:rsid w:val="00E832D6"/>
    <w:rsid w:val="00E9337D"/>
    <w:rsid w:val="00EA086D"/>
    <w:rsid w:val="00EA17BC"/>
    <w:rsid w:val="00EB211F"/>
    <w:rsid w:val="00EB49E0"/>
    <w:rsid w:val="00EB4BAC"/>
    <w:rsid w:val="00EB5AC5"/>
    <w:rsid w:val="00EC1071"/>
    <w:rsid w:val="00EC282E"/>
    <w:rsid w:val="00EC4475"/>
    <w:rsid w:val="00EC4EDD"/>
    <w:rsid w:val="00EC5DF0"/>
    <w:rsid w:val="00EC74BA"/>
    <w:rsid w:val="00EC7E60"/>
    <w:rsid w:val="00ED145E"/>
    <w:rsid w:val="00ED2471"/>
    <w:rsid w:val="00ED41AA"/>
    <w:rsid w:val="00ED6D9A"/>
    <w:rsid w:val="00EE2256"/>
    <w:rsid w:val="00EE3EE4"/>
    <w:rsid w:val="00EE4D4E"/>
    <w:rsid w:val="00EE556E"/>
    <w:rsid w:val="00EE5CB5"/>
    <w:rsid w:val="00EE7728"/>
    <w:rsid w:val="00EF103F"/>
    <w:rsid w:val="00EF1859"/>
    <w:rsid w:val="00EF2ABB"/>
    <w:rsid w:val="00EF657E"/>
    <w:rsid w:val="00EF68CC"/>
    <w:rsid w:val="00EF7CE6"/>
    <w:rsid w:val="00F0376E"/>
    <w:rsid w:val="00F04AC6"/>
    <w:rsid w:val="00F04FEF"/>
    <w:rsid w:val="00F05E07"/>
    <w:rsid w:val="00F11847"/>
    <w:rsid w:val="00F13345"/>
    <w:rsid w:val="00F152F2"/>
    <w:rsid w:val="00F15711"/>
    <w:rsid w:val="00F164CB"/>
    <w:rsid w:val="00F16929"/>
    <w:rsid w:val="00F178A2"/>
    <w:rsid w:val="00F22689"/>
    <w:rsid w:val="00F2318D"/>
    <w:rsid w:val="00F25CFB"/>
    <w:rsid w:val="00F268F7"/>
    <w:rsid w:val="00F27A3A"/>
    <w:rsid w:val="00F30A6A"/>
    <w:rsid w:val="00F31E0A"/>
    <w:rsid w:val="00F3389F"/>
    <w:rsid w:val="00F33AC4"/>
    <w:rsid w:val="00F349DA"/>
    <w:rsid w:val="00F437CA"/>
    <w:rsid w:val="00F4488D"/>
    <w:rsid w:val="00F45835"/>
    <w:rsid w:val="00F47329"/>
    <w:rsid w:val="00F51815"/>
    <w:rsid w:val="00F53ACA"/>
    <w:rsid w:val="00F53C56"/>
    <w:rsid w:val="00F54B8E"/>
    <w:rsid w:val="00F56F18"/>
    <w:rsid w:val="00F57DFD"/>
    <w:rsid w:val="00F624C6"/>
    <w:rsid w:val="00F70DBD"/>
    <w:rsid w:val="00F71557"/>
    <w:rsid w:val="00F751D6"/>
    <w:rsid w:val="00F76030"/>
    <w:rsid w:val="00F76343"/>
    <w:rsid w:val="00F77B2E"/>
    <w:rsid w:val="00F80F99"/>
    <w:rsid w:val="00F877E7"/>
    <w:rsid w:val="00F907DB"/>
    <w:rsid w:val="00F92714"/>
    <w:rsid w:val="00F92DD5"/>
    <w:rsid w:val="00F941AF"/>
    <w:rsid w:val="00F95381"/>
    <w:rsid w:val="00F9594C"/>
    <w:rsid w:val="00F95C02"/>
    <w:rsid w:val="00F97DEE"/>
    <w:rsid w:val="00FA116D"/>
    <w:rsid w:val="00FA5234"/>
    <w:rsid w:val="00FB06A7"/>
    <w:rsid w:val="00FB4CF4"/>
    <w:rsid w:val="00FB5491"/>
    <w:rsid w:val="00FC0E1B"/>
    <w:rsid w:val="00FC2E73"/>
    <w:rsid w:val="00FC41B1"/>
    <w:rsid w:val="00FC4D7B"/>
    <w:rsid w:val="00FD176E"/>
    <w:rsid w:val="00FD40B9"/>
    <w:rsid w:val="00FD67AC"/>
    <w:rsid w:val="00FE1169"/>
    <w:rsid w:val="00FE4D24"/>
    <w:rsid w:val="00FE540A"/>
    <w:rsid w:val="00FE6C50"/>
    <w:rsid w:val="00FF39A4"/>
    <w:rsid w:val="00FF3F64"/>
    <w:rsid w:val="00FF42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9F6AFC"/>
  <w15:docId w15:val="{85687B48-5663-4A85-BB4D-B2D817D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C469C"/>
    <w:pPr>
      <w:numPr>
        <w:numId w:val="4"/>
      </w:numPr>
      <w:spacing w:after="0" w:line="480" w:lineRule="auto"/>
      <w:outlineLvl w:val="0"/>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B9"/>
    <w:pPr>
      <w:ind w:left="720"/>
      <w:contextualSpacing/>
    </w:pPr>
  </w:style>
  <w:style w:type="character" w:customStyle="1" w:styleId="Heading1Char">
    <w:name w:val="Heading 1 Char"/>
    <w:basedOn w:val="DefaultParagraphFont"/>
    <w:link w:val="Heading1"/>
    <w:uiPriority w:val="9"/>
    <w:rsid w:val="000C469C"/>
    <w:rPr>
      <w:rFonts w:ascii="Times New Roman" w:hAnsi="Times New Roman" w:cs="Times New Roman"/>
      <w:b/>
      <w:bCs/>
      <w:sz w:val="24"/>
      <w:szCs w:val="24"/>
      <w:lang w:val="en-US"/>
    </w:rPr>
  </w:style>
  <w:style w:type="character" w:styleId="Hyperlink">
    <w:name w:val="Hyperlink"/>
    <w:basedOn w:val="DefaultParagraphFont"/>
    <w:uiPriority w:val="99"/>
    <w:unhideWhenUsed/>
    <w:rsid w:val="00527702"/>
    <w:rPr>
      <w:color w:val="0563C1" w:themeColor="hyperlink"/>
      <w:u w:val="single"/>
    </w:rPr>
  </w:style>
  <w:style w:type="paragraph" w:styleId="FootnoteText">
    <w:name w:val="footnote text"/>
    <w:basedOn w:val="Normal"/>
    <w:link w:val="FootnoteTextChar"/>
    <w:uiPriority w:val="99"/>
    <w:unhideWhenUsed/>
    <w:rsid w:val="00527702"/>
    <w:pPr>
      <w:spacing w:after="0" w:line="240" w:lineRule="auto"/>
    </w:pPr>
    <w:rPr>
      <w:sz w:val="20"/>
      <w:szCs w:val="20"/>
    </w:rPr>
  </w:style>
  <w:style w:type="character" w:customStyle="1" w:styleId="FootnoteTextChar">
    <w:name w:val="Footnote Text Char"/>
    <w:basedOn w:val="DefaultParagraphFont"/>
    <w:link w:val="FootnoteText"/>
    <w:uiPriority w:val="99"/>
    <w:rsid w:val="00527702"/>
    <w:rPr>
      <w:sz w:val="20"/>
      <w:szCs w:val="20"/>
    </w:rPr>
  </w:style>
  <w:style w:type="character" w:styleId="FootnoteReference">
    <w:name w:val="footnote reference"/>
    <w:basedOn w:val="DefaultParagraphFont"/>
    <w:uiPriority w:val="99"/>
    <w:semiHidden/>
    <w:unhideWhenUsed/>
    <w:rsid w:val="00527702"/>
    <w:rPr>
      <w:vertAlign w:val="superscript"/>
    </w:rPr>
  </w:style>
  <w:style w:type="paragraph" w:styleId="Header">
    <w:name w:val="header"/>
    <w:basedOn w:val="Normal"/>
    <w:link w:val="HeaderChar"/>
    <w:uiPriority w:val="99"/>
    <w:unhideWhenUsed/>
    <w:rsid w:val="00527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702"/>
  </w:style>
  <w:style w:type="paragraph" w:styleId="Footer">
    <w:name w:val="footer"/>
    <w:basedOn w:val="Normal"/>
    <w:link w:val="FooterChar"/>
    <w:uiPriority w:val="99"/>
    <w:unhideWhenUsed/>
    <w:rsid w:val="00527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702"/>
  </w:style>
  <w:style w:type="character" w:styleId="PlaceholderText">
    <w:name w:val="Placeholder Text"/>
    <w:basedOn w:val="DefaultParagraphFont"/>
    <w:uiPriority w:val="99"/>
    <w:semiHidden/>
    <w:rsid w:val="007232CC"/>
    <w:rPr>
      <w:color w:val="808080"/>
    </w:rPr>
  </w:style>
  <w:style w:type="table" w:styleId="TableGrid">
    <w:name w:val="Table Grid"/>
    <w:basedOn w:val="TableNormal"/>
    <w:uiPriority w:val="59"/>
    <w:rsid w:val="0083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F9"/>
    <w:rPr>
      <w:rFonts w:ascii="Segoe UI" w:hAnsi="Segoe UI" w:cs="Segoe UI"/>
      <w:sz w:val="18"/>
      <w:szCs w:val="18"/>
    </w:rPr>
  </w:style>
  <w:style w:type="character" w:styleId="CommentReference">
    <w:name w:val="annotation reference"/>
    <w:basedOn w:val="DefaultParagraphFont"/>
    <w:uiPriority w:val="99"/>
    <w:semiHidden/>
    <w:unhideWhenUsed/>
    <w:rsid w:val="006B6039"/>
    <w:rPr>
      <w:sz w:val="16"/>
      <w:szCs w:val="16"/>
    </w:rPr>
  </w:style>
  <w:style w:type="character" w:customStyle="1" w:styleId="CommentTextChar">
    <w:name w:val="Comment Text Char"/>
    <w:basedOn w:val="DefaultParagraphFont"/>
    <w:link w:val="CommentText"/>
    <w:uiPriority w:val="99"/>
    <w:semiHidden/>
    <w:rsid w:val="006B6039"/>
    <w:rPr>
      <w:rFonts w:eastAsiaTheme="minorEastAsia"/>
      <w:sz w:val="20"/>
      <w:szCs w:val="20"/>
      <w:lang w:val="en-US" w:eastAsia="zh-CN"/>
    </w:rPr>
  </w:style>
  <w:style w:type="paragraph" w:styleId="CommentText">
    <w:name w:val="annotation text"/>
    <w:basedOn w:val="Normal"/>
    <w:link w:val="CommentTextChar"/>
    <w:uiPriority w:val="99"/>
    <w:semiHidden/>
    <w:unhideWhenUsed/>
    <w:rsid w:val="006B6039"/>
    <w:pPr>
      <w:spacing w:after="200" w:line="240" w:lineRule="auto"/>
    </w:pPr>
    <w:rPr>
      <w:rFonts w:eastAsiaTheme="minorEastAsia"/>
      <w:sz w:val="20"/>
      <w:szCs w:val="20"/>
      <w:lang w:val="en-US" w:eastAsia="zh-CN"/>
    </w:rPr>
  </w:style>
  <w:style w:type="character" w:customStyle="1" w:styleId="CommentSubjectChar">
    <w:name w:val="Comment Subject Char"/>
    <w:basedOn w:val="CommentTextChar"/>
    <w:link w:val="CommentSubject"/>
    <w:uiPriority w:val="99"/>
    <w:semiHidden/>
    <w:rsid w:val="006B6039"/>
    <w:rPr>
      <w:rFonts w:eastAsiaTheme="minorEastAsia"/>
      <w:b/>
      <w:bCs/>
      <w:sz w:val="20"/>
      <w:szCs w:val="20"/>
      <w:lang w:val="en-US" w:eastAsia="zh-CN"/>
    </w:rPr>
  </w:style>
  <w:style w:type="paragraph" w:styleId="CommentSubject">
    <w:name w:val="annotation subject"/>
    <w:basedOn w:val="CommentText"/>
    <w:next w:val="CommentText"/>
    <w:link w:val="CommentSubjectChar"/>
    <w:uiPriority w:val="99"/>
    <w:semiHidden/>
    <w:unhideWhenUsed/>
    <w:rsid w:val="006B6039"/>
    <w:rPr>
      <w:b/>
      <w:bCs/>
    </w:rPr>
  </w:style>
  <w:style w:type="character" w:customStyle="1" w:styleId="syllable">
    <w:name w:val="syllable"/>
    <w:basedOn w:val="DefaultParagraphFont"/>
    <w:rsid w:val="006B6039"/>
  </w:style>
  <w:style w:type="character" w:customStyle="1" w:styleId="last-syllable">
    <w:name w:val="last-syllable"/>
    <w:basedOn w:val="DefaultParagraphFont"/>
    <w:rsid w:val="006B6039"/>
  </w:style>
  <w:style w:type="character" w:customStyle="1" w:styleId="DateChar">
    <w:name w:val="Date Char"/>
    <w:basedOn w:val="DefaultParagraphFont"/>
    <w:link w:val="Date"/>
    <w:uiPriority w:val="99"/>
    <w:semiHidden/>
    <w:rsid w:val="006B6039"/>
    <w:rPr>
      <w:rFonts w:eastAsiaTheme="minorEastAsia"/>
      <w:lang w:val="en-US" w:eastAsia="zh-CN"/>
    </w:rPr>
  </w:style>
  <w:style w:type="paragraph" w:styleId="Date">
    <w:name w:val="Date"/>
    <w:basedOn w:val="Normal"/>
    <w:next w:val="Normal"/>
    <w:link w:val="DateChar"/>
    <w:uiPriority w:val="99"/>
    <w:semiHidden/>
    <w:unhideWhenUsed/>
    <w:rsid w:val="006B6039"/>
    <w:pPr>
      <w:spacing w:after="200" w:line="276" w:lineRule="auto"/>
    </w:pPr>
    <w:rPr>
      <w:rFonts w:eastAsiaTheme="minorEastAsia"/>
      <w:lang w:val="en-US" w:eastAsia="zh-CN"/>
    </w:rPr>
  </w:style>
  <w:style w:type="table" w:customStyle="1" w:styleId="TableGridLight1">
    <w:name w:val="Table Grid Light1"/>
    <w:basedOn w:val="TableNormal"/>
    <w:uiPriority w:val="40"/>
    <w:rsid w:val="006B6039"/>
    <w:pPr>
      <w:spacing w:after="0" w:line="240" w:lineRule="auto"/>
    </w:pPr>
    <w:rPr>
      <w:rFonts w:eastAsiaTheme="minorEastAsia"/>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6B6039"/>
    <w:rPr>
      <w:i/>
      <w:iCs/>
    </w:rPr>
  </w:style>
  <w:style w:type="paragraph" w:customStyle="1" w:styleId="Default">
    <w:name w:val="Default"/>
    <w:rsid w:val="006B6039"/>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st1">
    <w:name w:val="st1"/>
    <w:basedOn w:val="DefaultParagraphFont"/>
    <w:rsid w:val="00F25CFB"/>
  </w:style>
  <w:style w:type="paragraph" w:styleId="Revision">
    <w:name w:val="Revision"/>
    <w:hidden/>
    <w:uiPriority w:val="99"/>
    <w:semiHidden/>
    <w:rsid w:val="00BE0858"/>
    <w:pPr>
      <w:spacing w:after="0" w:line="240" w:lineRule="auto"/>
    </w:pPr>
  </w:style>
  <w:style w:type="paragraph" w:styleId="Caption">
    <w:name w:val="caption"/>
    <w:basedOn w:val="Normal"/>
    <w:next w:val="Normal"/>
    <w:uiPriority w:val="35"/>
    <w:unhideWhenUsed/>
    <w:qFormat/>
    <w:rsid w:val="00BD7A5C"/>
    <w:pPr>
      <w:spacing w:after="0" w:line="240" w:lineRule="auto"/>
      <w:jc w:val="both"/>
    </w:pPr>
    <w:rPr>
      <w:rFonts w:ascii="Times New Roman" w:eastAsiaTheme="minorEastAsia" w:hAnsi="Times New Roman" w:cs="Times New Roman"/>
      <w:b/>
      <w:bCs/>
      <w:sz w:val="20"/>
      <w:szCs w:val="18"/>
      <w:lang w:val="en-US" w:eastAsia="zh-CN"/>
    </w:rPr>
  </w:style>
  <w:style w:type="character" w:customStyle="1" w:styleId="texhtml">
    <w:name w:val="texhtml"/>
    <w:basedOn w:val="DefaultParagraphFont"/>
    <w:rsid w:val="000C469C"/>
    <w:rPr>
      <w:rFonts w:ascii="Times New Roman" w:hAnsi="Times New Roman" w:cs="Times New Roman" w:hint="default"/>
      <w:sz w:val="28"/>
      <w:szCs w:val="28"/>
    </w:rPr>
  </w:style>
  <w:style w:type="paragraph" w:styleId="NormalWeb">
    <w:name w:val="Normal (Web)"/>
    <w:basedOn w:val="Normal"/>
    <w:uiPriority w:val="99"/>
    <w:semiHidden/>
    <w:unhideWhenUsed/>
    <w:rsid w:val="004E77F0"/>
    <w:pPr>
      <w:spacing w:after="0" w:line="240" w:lineRule="auto"/>
    </w:pPr>
    <w:rPr>
      <w:rFonts w:ascii="Times New Roman" w:hAnsi="Times New Roman" w:cs="Times New Roman"/>
      <w:sz w:val="24"/>
      <w:szCs w:val="24"/>
      <w:lang w:eastAsia="en-AU"/>
    </w:rPr>
  </w:style>
  <w:style w:type="character" w:customStyle="1" w:styleId="a-size-large">
    <w:name w:val="a-size-large"/>
    <w:basedOn w:val="DefaultParagraphFont"/>
    <w:rsid w:val="004E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4202">
      <w:bodyDiv w:val="1"/>
      <w:marLeft w:val="0"/>
      <w:marRight w:val="0"/>
      <w:marTop w:val="0"/>
      <w:marBottom w:val="0"/>
      <w:divBdr>
        <w:top w:val="none" w:sz="0" w:space="0" w:color="auto"/>
        <w:left w:val="none" w:sz="0" w:space="0" w:color="auto"/>
        <w:bottom w:val="none" w:sz="0" w:space="0" w:color="auto"/>
        <w:right w:val="none" w:sz="0" w:space="0" w:color="auto"/>
      </w:divBdr>
    </w:div>
    <w:div w:id="105274962">
      <w:bodyDiv w:val="1"/>
      <w:marLeft w:val="0"/>
      <w:marRight w:val="0"/>
      <w:marTop w:val="0"/>
      <w:marBottom w:val="0"/>
      <w:divBdr>
        <w:top w:val="none" w:sz="0" w:space="0" w:color="auto"/>
        <w:left w:val="none" w:sz="0" w:space="0" w:color="auto"/>
        <w:bottom w:val="none" w:sz="0" w:space="0" w:color="auto"/>
        <w:right w:val="none" w:sz="0" w:space="0" w:color="auto"/>
      </w:divBdr>
    </w:div>
    <w:div w:id="400179444">
      <w:bodyDiv w:val="1"/>
      <w:marLeft w:val="0"/>
      <w:marRight w:val="0"/>
      <w:marTop w:val="0"/>
      <w:marBottom w:val="0"/>
      <w:divBdr>
        <w:top w:val="none" w:sz="0" w:space="0" w:color="auto"/>
        <w:left w:val="none" w:sz="0" w:space="0" w:color="auto"/>
        <w:bottom w:val="none" w:sz="0" w:space="0" w:color="auto"/>
        <w:right w:val="none" w:sz="0" w:space="0" w:color="auto"/>
      </w:divBdr>
    </w:div>
    <w:div w:id="413892286">
      <w:bodyDiv w:val="1"/>
      <w:marLeft w:val="0"/>
      <w:marRight w:val="0"/>
      <w:marTop w:val="0"/>
      <w:marBottom w:val="0"/>
      <w:divBdr>
        <w:top w:val="none" w:sz="0" w:space="0" w:color="auto"/>
        <w:left w:val="none" w:sz="0" w:space="0" w:color="auto"/>
        <w:bottom w:val="none" w:sz="0" w:space="0" w:color="auto"/>
        <w:right w:val="none" w:sz="0" w:space="0" w:color="auto"/>
      </w:divBdr>
    </w:div>
    <w:div w:id="475993509">
      <w:bodyDiv w:val="1"/>
      <w:marLeft w:val="0"/>
      <w:marRight w:val="0"/>
      <w:marTop w:val="0"/>
      <w:marBottom w:val="0"/>
      <w:divBdr>
        <w:top w:val="none" w:sz="0" w:space="0" w:color="auto"/>
        <w:left w:val="none" w:sz="0" w:space="0" w:color="auto"/>
        <w:bottom w:val="none" w:sz="0" w:space="0" w:color="auto"/>
        <w:right w:val="none" w:sz="0" w:space="0" w:color="auto"/>
      </w:divBdr>
    </w:div>
    <w:div w:id="544410694">
      <w:bodyDiv w:val="1"/>
      <w:marLeft w:val="0"/>
      <w:marRight w:val="0"/>
      <w:marTop w:val="0"/>
      <w:marBottom w:val="0"/>
      <w:divBdr>
        <w:top w:val="none" w:sz="0" w:space="0" w:color="auto"/>
        <w:left w:val="none" w:sz="0" w:space="0" w:color="auto"/>
        <w:bottom w:val="none" w:sz="0" w:space="0" w:color="auto"/>
        <w:right w:val="none" w:sz="0" w:space="0" w:color="auto"/>
      </w:divBdr>
    </w:div>
    <w:div w:id="545414189">
      <w:bodyDiv w:val="1"/>
      <w:marLeft w:val="0"/>
      <w:marRight w:val="0"/>
      <w:marTop w:val="0"/>
      <w:marBottom w:val="0"/>
      <w:divBdr>
        <w:top w:val="none" w:sz="0" w:space="0" w:color="auto"/>
        <w:left w:val="none" w:sz="0" w:space="0" w:color="auto"/>
        <w:bottom w:val="none" w:sz="0" w:space="0" w:color="auto"/>
        <w:right w:val="none" w:sz="0" w:space="0" w:color="auto"/>
      </w:divBdr>
    </w:div>
    <w:div w:id="594440379">
      <w:bodyDiv w:val="1"/>
      <w:marLeft w:val="0"/>
      <w:marRight w:val="0"/>
      <w:marTop w:val="0"/>
      <w:marBottom w:val="0"/>
      <w:divBdr>
        <w:top w:val="none" w:sz="0" w:space="0" w:color="auto"/>
        <w:left w:val="none" w:sz="0" w:space="0" w:color="auto"/>
        <w:bottom w:val="none" w:sz="0" w:space="0" w:color="auto"/>
        <w:right w:val="none" w:sz="0" w:space="0" w:color="auto"/>
      </w:divBdr>
    </w:div>
    <w:div w:id="625550479">
      <w:bodyDiv w:val="1"/>
      <w:marLeft w:val="0"/>
      <w:marRight w:val="0"/>
      <w:marTop w:val="0"/>
      <w:marBottom w:val="0"/>
      <w:divBdr>
        <w:top w:val="none" w:sz="0" w:space="0" w:color="auto"/>
        <w:left w:val="none" w:sz="0" w:space="0" w:color="auto"/>
        <w:bottom w:val="none" w:sz="0" w:space="0" w:color="auto"/>
        <w:right w:val="none" w:sz="0" w:space="0" w:color="auto"/>
      </w:divBdr>
    </w:div>
    <w:div w:id="689062320">
      <w:bodyDiv w:val="1"/>
      <w:marLeft w:val="0"/>
      <w:marRight w:val="0"/>
      <w:marTop w:val="0"/>
      <w:marBottom w:val="0"/>
      <w:divBdr>
        <w:top w:val="none" w:sz="0" w:space="0" w:color="auto"/>
        <w:left w:val="none" w:sz="0" w:space="0" w:color="auto"/>
        <w:bottom w:val="none" w:sz="0" w:space="0" w:color="auto"/>
        <w:right w:val="none" w:sz="0" w:space="0" w:color="auto"/>
      </w:divBdr>
    </w:div>
    <w:div w:id="745689930">
      <w:bodyDiv w:val="1"/>
      <w:marLeft w:val="0"/>
      <w:marRight w:val="0"/>
      <w:marTop w:val="0"/>
      <w:marBottom w:val="0"/>
      <w:divBdr>
        <w:top w:val="none" w:sz="0" w:space="0" w:color="auto"/>
        <w:left w:val="none" w:sz="0" w:space="0" w:color="auto"/>
        <w:bottom w:val="none" w:sz="0" w:space="0" w:color="auto"/>
        <w:right w:val="none" w:sz="0" w:space="0" w:color="auto"/>
      </w:divBdr>
    </w:div>
    <w:div w:id="787817848">
      <w:bodyDiv w:val="1"/>
      <w:marLeft w:val="0"/>
      <w:marRight w:val="0"/>
      <w:marTop w:val="0"/>
      <w:marBottom w:val="0"/>
      <w:divBdr>
        <w:top w:val="none" w:sz="0" w:space="0" w:color="auto"/>
        <w:left w:val="none" w:sz="0" w:space="0" w:color="auto"/>
        <w:bottom w:val="none" w:sz="0" w:space="0" w:color="auto"/>
        <w:right w:val="none" w:sz="0" w:space="0" w:color="auto"/>
      </w:divBdr>
    </w:div>
    <w:div w:id="927424966">
      <w:bodyDiv w:val="1"/>
      <w:marLeft w:val="0"/>
      <w:marRight w:val="0"/>
      <w:marTop w:val="0"/>
      <w:marBottom w:val="0"/>
      <w:divBdr>
        <w:top w:val="none" w:sz="0" w:space="0" w:color="auto"/>
        <w:left w:val="none" w:sz="0" w:space="0" w:color="auto"/>
        <w:bottom w:val="none" w:sz="0" w:space="0" w:color="auto"/>
        <w:right w:val="none" w:sz="0" w:space="0" w:color="auto"/>
      </w:divBdr>
    </w:div>
    <w:div w:id="933781244">
      <w:bodyDiv w:val="1"/>
      <w:marLeft w:val="0"/>
      <w:marRight w:val="0"/>
      <w:marTop w:val="0"/>
      <w:marBottom w:val="0"/>
      <w:divBdr>
        <w:top w:val="none" w:sz="0" w:space="0" w:color="auto"/>
        <w:left w:val="none" w:sz="0" w:space="0" w:color="auto"/>
        <w:bottom w:val="none" w:sz="0" w:space="0" w:color="auto"/>
        <w:right w:val="none" w:sz="0" w:space="0" w:color="auto"/>
      </w:divBdr>
    </w:div>
    <w:div w:id="970594367">
      <w:bodyDiv w:val="1"/>
      <w:marLeft w:val="0"/>
      <w:marRight w:val="0"/>
      <w:marTop w:val="0"/>
      <w:marBottom w:val="0"/>
      <w:divBdr>
        <w:top w:val="none" w:sz="0" w:space="0" w:color="auto"/>
        <w:left w:val="none" w:sz="0" w:space="0" w:color="auto"/>
        <w:bottom w:val="none" w:sz="0" w:space="0" w:color="auto"/>
        <w:right w:val="none" w:sz="0" w:space="0" w:color="auto"/>
      </w:divBdr>
    </w:div>
    <w:div w:id="978530865">
      <w:bodyDiv w:val="1"/>
      <w:marLeft w:val="0"/>
      <w:marRight w:val="0"/>
      <w:marTop w:val="0"/>
      <w:marBottom w:val="0"/>
      <w:divBdr>
        <w:top w:val="none" w:sz="0" w:space="0" w:color="auto"/>
        <w:left w:val="none" w:sz="0" w:space="0" w:color="auto"/>
        <w:bottom w:val="none" w:sz="0" w:space="0" w:color="auto"/>
        <w:right w:val="none" w:sz="0" w:space="0" w:color="auto"/>
      </w:divBdr>
    </w:div>
    <w:div w:id="1031110303">
      <w:bodyDiv w:val="1"/>
      <w:marLeft w:val="0"/>
      <w:marRight w:val="0"/>
      <w:marTop w:val="0"/>
      <w:marBottom w:val="0"/>
      <w:divBdr>
        <w:top w:val="none" w:sz="0" w:space="0" w:color="auto"/>
        <w:left w:val="none" w:sz="0" w:space="0" w:color="auto"/>
        <w:bottom w:val="none" w:sz="0" w:space="0" w:color="auto"/>
        <w:right w:val="none" w:sz="0" w:space="0" w:color="auto"/>
      </w:divBdr>
    </w:div>
    <w:div w:id="1114716773">
      <w:bodyDiv w:val="1"/>
      <w:marLeft w:val="0"/>
      <w:marRight w:val="0"/>
      <w:marTop w:val="0"/>
      <w:marBottom w:val="0"/>
      <w:divBdr>
        <w:top w:val="none" w:sz="0" w:space="0" w:color="auto"/>
        <w:left w:val="none" w:sz="0" w:space="0" w:color="auto"/>
        <w:bottom w:val="none" w:sz="0" w:space="0" w:color="auto"/>
        <w:right w:val="none" w:sz="0" w:space="0" w:color="auto"/>
      </w:divBdr>
    </w:div>
    <w:div w:id="1175921400">
      <w:bodyDiv w:val="1"/>
      <w:marLeft w:val="0"/>
      <w:marRight w:val="0"/>
      <w:marTop w:val="0"/>
      <w:marBottom w:val="0"/>
      <w:divBdr>
        <w:top w:val="none" w:sz="0" w:space="0" w:color="auto"/>
        <w:left w:val="none" w:sz="0" w:space="0" w:color="auto"/>
        <w:bottom w:val="none" w:sz="0" w:space="0" w:color="auto"/>
        <w:right w:val="none" w:sz="0" w:space="0" w:color="auto"/>
      </w:divBdr>
    </w:div>
    <w:div w:id="1209797424">
      <w:bodyDiv w:val="1"/>
      <w:marLeft w:val="0"/>
      <w:marRight w:val="0"/>
      <w:marTop w:val="0"/>
      <w:marBottom w:val="0"/>
      <w:divBdr>
        <w:top w:val="none" w:sz="0" w:space="0" w:color="auto"/>
        <w:left w:val="none" w:sz="0" w:space="0" w:color="auto"/>
        <w:bottom w:val="none" w:sz="0" w:space="0" w:color="auto"/>
        <w:right w:val="none" w:sz="0" w:space="0" w:color="auto"/>
      </w:divBdr>
    </w:div>
    <w:div w:id="1236891193">
      <w:bodyDiv w:val="1"/>
      <w:marLeft w:val="0"/>
      <w:marRight w:val="0"/>
      <w:marTop w:val="0"/>
      <w:marBottom w:val="0"/>
      <w:divBdr>
        <w:top w:val="none" w:sz="0" w:space="0" w:color="auto"/>
        <w:left w:val="none" w:sz="0" w:space="0" w:color="auto"/>
        <w:bottom w:val="none" w:sz="0" w:space="0" w:color="auto"/>
        <w:right w:val="none" w:sz="0" w:space="0" w:color="auto"/>
      </w:divBdr>
    </w:div>
    <w:div w:id="1411660026">
      <w:bodyDiv w:val="1"/>
      <w:marLeft w:val="0"/>
      <w:marRight w:val="0"/>
      <w:marTop w:val="0"/>
      <w:marBottom w:val="0"/>
      <w:divBdr>
        <w:top w:val="none" w:sz="0" w:space="0" w:color="auto"/>
        <w:left w:val="none" w:sz="0" w:space="0" w:color="auto"/>
        <w:bottom w:val="none" w:sz="0" w:space="0" w:color="auto"/>
        <w:right w:val="none" w:sz="0" w:space="0" w:color="auto"/>
      </w:divBdr>
    </w:div>
    <w:div w:id="1517159801">
      <w:bodyDiv w:val="1"/>
      <w:marLeft w:val="0"/>
      <w:marRight w:val="0"/>
      <w:marTop w:val="0"/>
      <w:marBottom w:val="0"/>
      <w:divBdr>
        <w:top w:val="none" w:sz="0" w:space="0" w:color="auto"/>
        <w:left w:val="none" w:sz="0" w:space="0" w:color="auto"/>
        <w:bottom w:val="none" w:sz="0" w:space="0" w:color="auto"/>
        <w:right w:val="none" w:sz="0" w:space="0" w:color="auto"/>
      </w:divBdr>
    </w:div>
    <w:div w:id="1661226389">
      <w:bodyDiv w:val="1"/>
      <w:marLeft w:val="0"/>
      <w:marRight w:val="0"/>
      <w:marTop w:val="0"/>
      <w:marBottom w:val="0"/>
      <w:divBdr>
        <w:top w:val="none" w:sz="0" w:space="0" w:color="auto"/>
        <w:left w:val="none" w:sz="0" w:space="0" w:color="auto"/>
        <w:bottom w:val="none" w:sz="0" w:space="0" w:color="auto"/>
        <w:right w:val="none" w:sz="0" w:space="0" w:color="auto"/>
      </w:divBdr>
    </w:div>
    <w:div w:id="1883441626">
      <w:bodyDiv w:val="1"/>
      <w:marLeft w:val="0"/>
      <w:marRight w:val="0"/>
      <w:marTop w:val="0"/>
      <w:marBottom w:val="0"/>
      <w:divBdr>
        <w:top w:val="none" w:sz="0" w:space="0" w:color="auto"/>
        <w:left w:val="none" w:sz="0" w:space="0" w:color="auto"/>
        <w:bottom w:val="none" w:sz="0" w:space="0" w:color="auto"/>
        <w:right w:val="none" w:sz="0" w:space="0" w:color="auto"/>
      </w:divBdr>
    </w:div>
    <w:div w:id="1963219202">
      <w:bodyDiv w:val="1"/>
      <w:marLeft w:val="0"/>
      <w:marRight w:val="0"/>
      <w:marTop w:val="0"/>
      <w:marBottom w:val="0"/>
      <w:divBdr>
        <w:top w:val="none" w:sz="0" w:space="0" w:color="auto"/>
        <w:left w:val="none" w:sz="0" w:space="0" w:color="auto"/>
        <w:bottom w:val="none" w:sz="0" w:space="0" w:color="auto"/>
        <w:right w:val="none" w:sz="0" w:space="0" w:color="auto"/>
      </w:divBdr>
    </w:div>
    <w:div w:id="2008172249">
      <w:bodyDiv w:val="1"/>
      <w:marLeft w:val="0"/>
      <w:marRight w:val="0"/>
      <w:marTop w:val="0"/>
      <w:marBottom w:val="0"/>
      <w:divBdr>
        <w:top w:val="none" w:sz="0" w:space="0" w:color="auto"/>
        <w:left w:val="none" w:sz="0" w:space="0" w:color="auto"/>
        <w:bottom w:val="none" w:sz="0" w:space="0" w:color="auto"/>
        <w:right w:val="none" w:sz="0" w:space="0" w:color="auto"/>
      </w:divBdr>
    </w:div>
    <w:div w:id="20773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309@lehig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CD73-AED6-4249-BE06-86895E9C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3FF34908</Template>
  <TotalTime>63</TotalTime>
  <Pages>32</Pages>
  <Words>9106</Words>
  <Characters>51908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Long Phan</dc:creator>
  <cp:lastModifiedBy>Jeffrey Yu</cp:lastModifiedBy>
  <cp:revision>4</cp:revision>
  <cp:lastPrinted>2018-07-19T23:43:00Z</cp:lastPrinted>
  <dcterms:created xsi:type="dcterms:W3CDTF">2018-07-24T06:31:00Z</dcterms:created>
  <dcterms:modified xsi:type="dcterms:W3CDTF">2018-07-25T11:59:00Z</dcterms:modified>
</cp:coreProperties>
</file>