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40A9" w14:textId="2E9E2AAB" w:rsidR="004326ED" w:rsidRPr="00F524CF" w:rsidRDefault="004326ED" w:rsidP="004326ED">
      <w:pPr>
        <w:jc w:val="center"/>
        <w:rPr>
          <w:b/>
          <w:sz w:val="32"/>
          <w:szCs w:val="32"/>
        </w:rPr>
      </w:pPr>
      <w:bookmarkStart w:id="0" w:name="_Toc350205503"/>
      <w:r w:rsidRPr="00F524CF">
        <w:rPr>
          <w:b/>
          <w:sz w:val="32"/>
          <w:szCs w:val="32"/>
        </w:rPr>
        <w:t>Investor Sentiment Dynamics</w:t>
      </w:r>
      <w:r w:rsidR="00D75463" w:rsidRPr="00F524CF">
        <w:rPr>
          <w:b/>
          <w:sz w:val="32"/>
          <w:szCs w:val="32"/>
        </w:rPr>
        <w:t>,</w:t>
      </w:r>
      <w:r w:rsidRPr="00F524CF">
        <w:rPr>
          <w:b/>
          <w:sz w:val="32"/>
          <w:szCs w:val="32"/>
        </w:rPr>
        <w:t xml:space="preserve"> the Cross-section of Stock Returns</w:t>
      </w:r>
      <w:r w:rsidR="00D75463" w:rsidRPr="00F524CF">
        <w:rPr>
          <w:b/>
          <w:sz w:val="32"/>
          <w:szCs w:val="32"/>
        </w:rPr>
        <w:t xml:space="preserve"> and the MAX Effect</w:t>
      </w:r>
    </w:p>
    <w:p w14:paraId="0D8F52CA" w14:textId="77777777" w:rsidR="004326ED" w:rsidRPr="00F524CF" w:rsidRDefault="004326ED" w:rsidP="004326ED">
      <w:pPr>
        <w:ind w:firstLine="720"/>
        <w:jc w:val="center"/>
        <w:rPr>
          <w:rFonts w:eastAsia="SimSun"/>
          <w:lang w:eastAsia="en-AU"/>
        </w:rPr>
      </w:pPr>
    </w:p>
    <w:p w14:paraId="4E67B61F" w14:textId="77777777" w:rsidR="004326ED" w:rsidRPr="00F524CF" w:rsidRDefault="004326ED" w:rsidP="004326ED">
      <w:pPr>
        <w:ind w:firstLine="720"/>
        <w:jc w:val="center"/>
        <w:rPr>
          <w:rFonts w:eastAsia="SimSun"/>
          <w:lang w:eastAsia="en-AU"/>
        </w:rPr>
      </w:pPr>
    </w:p>
    <w:p w14:paraId="7BC29993" w14:textId="77777777" w:rsidR="004326ED" w:rsidRPr="00F524CF" w:rsidRDefault="004326ED" w:rsidP="004326ED">
      <w:pPr>
        <w:ind w:firstLine="720"/>
        <w:jc w:val="center"/>
        <w:rPr>
          <w:rFonts w:eastAsia="SimSun"/>
          <w:lang w:eastAsia="en-AU"/>
        </w:rPr>
      </w:pPr>
    </w:p>
    <w:p w14:paraId="738AA631" w14:textId="77777777" w:rsidR="004326ED" w:rsidRPr="00F524CF" w:rsidRDefault="004326ED" w:rsidP="004326ED">
      <w:pPr>
        <w:ind w:firstLine="720"/>
        <w:jc w:val="center"/>
        <w:rPr>
          <w:rFonts w:eastAsia="SimSun"/>
          <w:lang w:eastAsia="en-AU"/>
        </w:rPr>
      </w:pPr>
    </w:p>
    <w:p w14:paraId="2916A781" w14:textId="77777777" w:rsidR="004326ED" w:rsidRPr="00F524CF" w:rsidRDefault="004326ED" w:rsidP="004326ED">
      <w:pPr>
        <w:ind w:firstLine="720"/>
        <w:jc w:val="center"/>
        <w:rPr>
          <w:rFonts w:eastAsia="SimSun"/>
          <w:lang w:eastAsia="en-AU"/>
        </w:rPr>
      </w:pPr>
    </w:p>
    <w:p w14:paraId="6524C386" w14:textId="77777777" w:rsidR="004326ED" w:rsidRPr="00F524CF" w:rsidRDefault="004326ED" w:rsidP="004326ED">
      <w:pPr>
        <w:ind w:firstLine="720"/>
        <w:jc w:val="center"/>
        <w:rPr>
          <w:rFonts w:eastAsia="SimSun"/>
          <w:iCs/>
          <w:sz w:val="28"/>
          <w:szCs w:val="28"/>
          <w:lang w:eastAsia="en-AU"/>
        </w:rPr>
      </w:pPr>
      <w:r w:rsidRPr="00F524CF">
        <w:rPr>
          <w:rFonts w:eastAsia="SimSun"/>
          <w:iCs/>
          <w:sz w:val="28"/>
          <w:szCs w:val="28"/>
          <w:lang w:eastAsia="en-AU"/>
        </w:rPr>
        <w:t xml:space="preserve">Muhammad A. Cheema </w:t>
      </w:r>
    </w:p>
    <w:p w14:paraId="4E6DC658" w14:textId="775D77A9" w:rsidR="004326ED" w:rsidRPr="00F524CF" w:rsidRDefault="0011471C" w:rsidP="004326ED">
      <w:pPr>
        <w:ind w:firstLine="720"/>
        <w:jc w:val="center"/>
        <w:rPr>
          <w:rFonts w:eastAsia="SimSun"/>
          <w:i/>
          <w:iCs/>
          <w:lang w:eastAsia="en-AU"/>
        </w:rPr>
      </w:pPr>
      <w:r w:rsidRPr="00F524CF">
        <w:rPr>
          <w:rFonts w:eastAsia="SimSun"/>
          <w:i/>
          <w:iCs/>
          <w:lang w:eastAsia="en-AU"/>
        </w:rPr>
        <w:t>School of Accounting, Finance and Economics</w:t>
      </w:r>
      <w:r w:rsidR="004326ED" w:rsidRPr="00F524CF">
        <w:rPr>
          <w:rFonts w:eastAsia="SimSun"/>
          <w:i/>
          <w:iCs/>
          <w:lang w:eastAsia="en-AU"/>
        </w:rPr>
        <w:t xml:space="preserve"> </w:t>
      </w:r>
    </w:p>
    <w:p w14:paraId="29196019" w14:textId="77777777" w:rsidR="004326ED" w:rsidRPr="00F524CF" w:rsidRDefault="004326ED" w:rsidP="004326ED">
      <w:pPr>
        <w:ind w:firstLine="720"/>
        <w:jc w:val="center"/>
        <w:rPr>
          <w:rFonts w:eastAsia="SimSun"/>
          <w:i/>
          <w:iCs/>
          <w:lang w:eastAsia="en-AU"/>
        </w:rPr>
      </w:pPr>
      <w:r w:rsidRPr="00F524CF">
        <w:rPr>
          <w:rFonts w:eastAsia="SimSun"/>
          <w:i/>
          <w:iCs/>
          <w:lang w:eastAsia="en-AU"/>
        </w:rPr>
        <w:t xml:space="preserve">University of Waikato </w:t>
      </w:r>
    </w:p>
    <w:p w14:paraId="4D88716D" w14:textId="77777777" w:rsidR="004326ED" w:rsidRPr="00F524CF" w:rsidRDefault="004326ED" w:rsidP="004326ED">
      <w:pPr>
        <w:ind w:firstLine="720"/>
        <w:jc w:val="center"/>
        <w:rPr>
          <w:rFonts w:eastAsia="SimSun"/>
          <w:i/>
          <w:iCs/>
          <w:lang w:eastAsia="en-AU"/>
        </w:rPr>
      </w:pPr>
      <w:r w:rsidRPr="00F524CF">
        <w:rPr>
          <w:rFonts w:eastAsia="SimSun"/>
          <w:i/>
          <w:iCs/>
          <w:lang w:eastAsia="en-AU"/>
        </w:rPr>
        <w:t xml:space="preserve">Hamilton, New Zealand </w:t>
      </w:r>
    </w:p>
    <w:p w14:paraId="6C74B98A" w14:textId="6C11B284" w:rsidR="008E4CC6" w:rsidRPr="00F524CF" w:rsidRDefault="004326ED" w:rsidP="004326ED">
      <w:pPr>
        <w:ind w:firstLine="720"/>
        <w:jc w:val="center"/>
        <w:rPr>
          <w:rFonts w:eastAsia="SimSun"/>
          <w:i/>
          <w:iCs/>
          <w:lang w:eastAsia="en-AU"/>
        </w:rPr>
      </w:pPr>
      <w:r w:rsidRPr="00F524CF">
        <w:rPr>
          <w:rFonts w:eastAsia="SimSun"/>
          <w:i/>
          <w:iCs/>
          <w:lang w:eastAsia="en-AU"/>
        </w:rPr>
        <w:t xml:space="preserve">Email: </w:t>
      </w:r>
      <w:hyperlink r:id="rId8" w:history="1">
        <w:r w:rsidR="00BD3DE8" w:rsidRPr="00655173">
          <w:rPr>
            <w:rStyle w:val="Hyperlink"/>
            <w:rFonts w:eastAsia="SimSun"/>
            <w:lang w:eastAsia="en-AU"/>
          </w:rPr>
          <w:t>muhammad.cheema@waikato.ac.nz</w:t>
        </w:r>
      </w:hyperlink>
    </w:p>
    <w:p w14:paraId="06745458" w14:textId="2FA1C7A4" w:rsidR="004326ED" w:rsidRPr="00F524CF" w:rsidRDefault="004326ED" w:rsidP="004326ED">
      <w:pPr>
        <w:ind w:firstLine="720"/>
        <w:jc w:val="center"/>
        <w:rPr>
          <w:rFonts w:eastAsia="SimSun"/>
          <w:i/>
          <w:iCs/>
          <w:lang w:eastAsia="en-AU"/>
        </w:rPr>
      </w:pPr>
      <w:r w:rsidRPr="00F524CF">
        <w:rPr>
          <w:rFonts w:eastAsia="SimSun"/>
          <w:i/>
          <w:iCs/>
          <w:lang w:eastAsia="en-AU"/>
        </w:rPr>
        <w:t xml:space="preserve"> </w:t>
      </w:r>
    </w:p>
    <w:p w14:paraId="37D45D1B" w14:textId="77777777" w:rsidR="004326ED" w:rsidRPr="00F524CF" w:rsidRDefault="004326ED" w:rsidP="004326ED">
      <w:pPr>
        <w:ind w:firstLine="720"/>
        <w:jc w:val="center"/>
        <w:rPr>
          <w:rFonts w:eastAsia="SimSun"/>
          <w:i/>
          <w:iCs/>
          <w:lang w:eastAsia="en-AU"/>
        </w:rPr>
      </w:pPr>
      <w:r w:rsidRPr="00F524CF">
        <w:rPr>
          <w:rFonts w:eastAsia="SimSun"/>
          <w:i/>
          <w:iCs/>
          <w:lang w:eastAsia="en-AU"/>
        </w:rPr>
        <w:t xml:space="preserve"> </w:t>
      </w:r>
    </w:p>
    <w:p w14:paraId="6904A3EE" w14:textId="77777777" w:rsidR="004326ED" w:rsidRPr="00F524CF" w:rsidRDefault="004326ED" w:rsidP="004326ED">
      <w:pPr>
        <w:ind w:firstLine="720"/>
        <w:jc w:val="center"/>
        <w:rPr>
          <w:rFonts w:eastAsia="SimSun"/>
          <w:i/>
          <w:iCs/>
          <w:lang w:eastAsia="en-AU"/>
        </w:rPr>
      </w:pPr>
    </w:p>
    <w:p w14:paraId="7211DA78" w14:textId="77777777" w:rsidR="004326ED" w:rsidRPr="00F524CF" w:rsidRDefault="004326ED" w:rsidP="004326ED">
      <w:pPr>
        <w:ind w:firstLine="720"/>
        <w:jc w:val="center"/>
        <w:rPr>
          <w:rFonts w:eastAsia="SimSun"/>
          <w:i/>
          <w:iCs/>
          <w:lang w:eastAsia="en-AU"/>
        </w:rPr>
      </w:pPr>
    </w:p>
    <w:p w14:paraId="31F714D9" w14:textId="77777777" w:rsidR="004326ED" w:rsidRPr="00F524CF" w:rsidRDefault="004326ED" w:rsidP="004326ED">
      <w:pPr>
        <w:ind w:firstLine="720"/>
        <w:jc w:val="center"/>
        <w:rPr>
          <w:rFonts w:eastAsia="SimSun"/>
          <w:i/>
          <w:iCs/>
          <w:lang w:eastAsia="en-AU"/>
        </w:rPr>
      </w:pPr>
    </w:p>
    <w:p w14:paraId="6EE787FE" w14:textId="77777777" w:rsidR="004326ED" w:rsidRPr="00F524CF" w:rsidRDefault="004326ED" w:rsidP="004326ED">
      <w:pPr>
        <w:ind w:firstLine="720"/>
        <w:jc w:val="center"/>
        <w:rPr>
          <w:rFonts w:eastAsia="SimSun"/>
          <w:iCs/>
          <w:sz w:val="28"/>
          <w:szCs w:val="28"/>
          <w:lang w:eastAsia="en-AU"/>
        </w:rPr>
      </w:pPr>
      <w:r w:rsidRPr="00F524CF">
        <w:rPr>
          <w:rFonts w:eastAsia="SimSun"/>
          <w:iCs/>
          <w:sz w:val="28"/>
          <w:szCs w:val="28"/>
          <w:lang w:eastAsia="en-AU"/>
        </w:rPr>
        <w:t xml:space="preserve">Gilbert V. Nartea </w:t>
      </w:r>
    </w:p>
    <w:p w14:paraId="6C4A6A8B" w14:textId="77777777" w:rsidR="006C4797" w:rsidRPr="00F524CF" w:rsidRDefault="006C4797" w:rsidP="006C4797">
      <w:pPr>
        <w:ind w:firstLine="720"/>
        <w:jc w:val="center"/>
        <w:rPr>
          <w:rFonts w:eastAsia="SimSun"/>
          <w:i/>
          <w:iCs/>
          <w:lang w:eastAsia="en-AU"/>
        </w:rPr>
      </w:pPr>
      <w:r w:rsidRPr="00F524CF">
        <w:rPr>
          <w:rFonts w:eastAsia="SimSun"/>
          <w:i/>
          <w:iCs/>
          <w:lang w:eastAsia="en-AU"/>
        </w:rPr>
        <w:t>Department of Economics and Finance</w:t>
      </w:r>
    </w:p>
    <w:p w14:paraId="6EF62DB0" w14:textId="2C3E6663" w:rsidR="00B46B4B" w:rsidRPr="00F524CF" w:rsidRDefault="00AD034A" w:rsidP="006C4797">
      <w:pPr>
        <w:ind w:firstLine="720"/>
        <w:jc w:val="center"/>
        <w:rPr>
          <w:rFonts w:eastAsia="SimSun"/>
          <w:i/>
          <w:iCs/>
          <w:lang w:eastAsia="en-AU"/>
        </w:rPr>
      </w:pPr>
      <w:r w:rsidRPr="00F524CF">
        <w:rPr>
          <w:rFonts w:eastAsia="SimSun"/>
          <w:i/>
          <w:iCs/>
          <w:lang w:eastAsia="en-AU"/>
        </w:rPr>
        <w:t>UC Business School</w:t>
      </w:r>
    </w:p>
    <w:p w14:paraId="7DE64623" w14:textId="77777777" w:rsidR="006C4797" w:rsidRPr="00F524CF" w:rsidRDefault="006C4797" w:rsidP="006C4797">
      <w:pPr>
        <w:ind w:firstLine="720"/>
        <w:jc w:val="center"/>
        <w:rPr>
          <w:rFonts w:eastAsia="SimSun"/>
          <w:i/>
          <w:iCs/>
          <w:lang w:eastAsia="en-AU"/>
        </w:rPr>
      </w:pPr>
      <w:r w:rsidRPr="00F524CF">
        <w:rPr>
          <w:rFonts w:eastAsia="SimSun"/>
          <w:i/>
          <w:iCs/>
          <w:lang w:eastAsia="en-AU"/>
        </w:rPr>
        <w:t>University of Canterbury</w:t>
      </w:r>
    </w:p>
    <w:p w14:paraId="061D9F6F" w14:textId="77777777" w:rsidR="006C4797" w:rsidRPr="00F524CF" w:rsidRDefault="006C4797" w:rsidP="006C4797">
      <w:pPr>
        <w:ind w:firstLine="720"/>
        <w:jc w:val="center"/>
        <w:rPr>
          <w:rFonts w:eastAsia="SimSun"/>
          <w:i/>
          <w:iCs/>
          <w:lang w:eastAsia="en-AU"/>
        </w:rPr>
      </w:pPr>
      <w:r w:rsidRPr="00F524CF">
        <w:rPr>
          <w:rFonts w:eastAsia="SimSun"/>
          <w:i/>
          <w:iCs/>
          <w:lang w:eastAsia="en-AU"/>
        </w:rPr>
        <w:t>Christchurch, New Zealand</w:t>
      </w:r>
    </w:p>
    <w:p w14:paraId="397A1C66" w14:textId="68F43C08" w:rsidR="006C4797" w:rsidRDefault="006C4797" w:rsidP="006C4797">
      <w:pPr>
        <w:ind w:firstLine="720"/>
        <w:jc w:val="center"/>
        <w:rPr>
          <w:rStyle w:val="Hyperlink"/>
          <w:rFonts w:eastAsia="SimSun"/>
          <w:i/>
          <w:iCs/>
          <w:lang w:eastAsia="en-AU"/>
        </w:rPr>
      </w:pPr>
      <w:r w:rsidRPr="00F524CF">
        <w:rPr>
          <w:rFonts w:eastAsia="SimSun"/>
          <w:i/>
          <w:iCs/>
          <w:lang w:eastAsia="en-AU"/>
        </w:rPr>
        <w:t xml:space="preserve">Email: </w:t>
      </w:r>
      <w:hyperlink r:id="rId9" w:history="1">
        <w:r w:rsidR="00F90F64" w:rsidRPr="0035121A">
          <w:rPr>
            <w:rStyle w:val="Hyperlink"/>
            <w:rFonts w:eastAsia="SimSun"/>
            <w:lang w:eastAsia="en-AU"/>
          </w:rPr>
          <w:t>gilbert.nartea@canterbury.ac.nz</w:t>
        </w:r>
      </w:hyperlink>
    </w:p>
    <w:p w14:paraId="4A178A77" w14:textId="77777777" w:rsidR="00893F96" w:rsidRDefault="00893F96" w:rsidP="006C4797">
      <w:pPr>
        <w:ind w:firstLine="720"/>
        <w:jc w:val="center"/>
        <w:rPr>
          <w:rStyle w:val="Hyperlink"/>
          <w:rFonts w:eastAsia="SimSun"/>
          <w:i/>
          <w:iCs/>
          <w:lang w:eastAsia="en-AU"/>
        </w:rPr>
      </w:pPr>
    </w:p>
    <w:p w14:paraId="17BA541B" w14:textId="77777777" w:rsidR="00893F96" w:rsidRDefault="00893F96" w:rsidP="006C4797">
      <w:pPr>
        <w:ind w:firstLine="720"/>
        <w:jc w:val="center"/>
        <w:rPr>
          <w:rStyle w:val="Hyperlink"/>
          <w:rFonts w:eastAsia="SimSun"/>
          <w:i/>
          <w:iCs/>
          <w:lang w:eastAsia="en-AU"/>
        </w:rPr>
      </w:pPr>
    </w:p>
    <w:p w14:paraId="35553C23" w14:textId="77777777" w:rsidR="00893F96" w:rsidRDefault="00893F96" w:rsidP="006C4797">
      <w:pPr>
        <w:ind w:firstLine="720"/>
        <w:jc w:val="center"/>
        <w:rPr>
          <w:rStyle w:val="Hyperlink"/>
          <w:rFonts w:eastAsia="SimSun"/>
          <w:i/>
          <w:iCs/>
          <w:color w:val="auto"/>
          <w:lang w:eastAsia="en-AU"/>
        </w:rPr>
      </w:pPr>
    </w:p>
    <w:p w14:paraId="21F0E78E" w14:textId="77777777" w:rsidR="00893F96" w:rsidRDefault="00893F96" w:rsidP="006C4797">
      <w:pPr>
        <w:ind w:firstLine="720"/>
        <w:jc w:val="center"/>
        <w:rPr>
          <w:rStyle w:val="Hyperlink"/>
          <w:rFonts w:eastAsia="SimSun"/>
          <w:i/>
          <w:iCs/>
          <w:color w:val="auto"/>
          <w:lang w:eastAsia="en-AU"/>
        </w:rPr>
      </w:pPr>
    </w:p>
    <w:p w14:paraId="31EFE816" w14:textId="77777777" w:rsidR="00893F96" w:rsidRDefault="00893F96" w:rsidP="006C4797">
      <w:pPr>
        <w:ind w:firstLine="720"/>
        <w:jc w:val="center"/>
        <w:rPr>
          <w:rStyle w:val="Hyperlink"/>
          <w:rFonts w:eastAsia="SimSun"/>
          <w:i/>
          <w:iCs/>
          <w:color w:val="auto"/>
          <w:lang w:eastAsia="en-AU"/>
        </w:rPr>
      </w:pPr>
    </w:p>
    <w:p w14:paraId="5BA761FE" w14:textId="77777777" w:rsidR="00893F96" w:rsidRDefault="00893F96" w:rsidP="006C4797">
      <w:pPr>
        <w:ind w:firstLine="720"/>
        <w:jc w:val="center"/>
        <w:rPr>
          <w:rStyle w:val="Hyperlink"/>
          <w:rFonts w:eastAsia="SimSun"/>
          <w:i/>
          <w:iCs/>
          <w:color w:val="auto"/>
          <w:lang w:eastAsia="en-AU"/>
        </w:rPr>
      </w:pPr>
    </w:p>
    <w:p w14:paraId="3F672A7C" w14:textId="77777777" w:rsidR="00893F96" w:rsidRDefault="00893F96" w:rsidP="006C4797">
      <w:pPr>
        <w:ind w:firstLine="720"/>
        <w:jc w:val="center"/>
        <w:rPr>
          <w:rStyle w:val="Hyperlink"/>
          <w:rFonts w:eastAsia="SimSun"/>
          <w:i/>
          <w:iCs/>
          <w:color w:val="auto"/>
          <w:lang w:eastAsia="en-AU"/>
        </w:rPr>
      </w:pPr>
    </w:p>
    <w:p w14:paraId="73D5AF62" w14:textId="77777777" w:rsidR="00893F96" w:rsidRDefault="00893F96" w:rsidP="006C4797">
      <w:pPr>
        <w:ind w:firstLine="720"/>
        <w:jc w:val="center"/>
        <w:rPr>
          <w:rStyle w:val="Hyperlink"/>
          <w:rFonts w:eastAsia="SimSun"/>
          <w:i/>
          <w:iCs/>
          <w:color w:val="auto"/>
          <w:lang w:eastAsia="en-AU"/>
        </w:rPr>
      </w:pPr>
    </w:p>
    <w:p w14:paraId="67B648B9" w14:textId="77777777" w:rsidR="00893F96" w:rsidRDefault="00893F96" w:rsidP="006C4797">
      <w:pPr>
        <w:ind w:firstLine="720"/>
        <w:jc w:val="center"/>
        <w:rPr>
          <w:rStyle w:val="Hyperlink"/>
          <w:rFonts w:eastAsia="SimSun"/>
          <w:i/>
          <w:iCs/>
          <w:color w:val="auto"/>
          <w:lang w:eastAsia="en-AU"/>
        </w:rPr>
      </w:pPr>
    </w:p>
    <w:p w14:paraId="5710C071" w14:textId="77777777" w:rsidR="00893F96" w:rsidRDefault="00893F96" w:rsidP="006C4797">
      <w:pPr>
        <w:ind w:firstLine="720"/>
        <w:jc w:val="center"/>
        <w:rPr>
          <w:rStyle w:val="Hyperlink"/>
          <w:rFonts w:eastAsia="SimSun"/>
          <w:i/>
          <w:iCs/>
          <w:color w:val="auto"/>
          <w:lang w:eastAsia="en-AU"/>
        </w:rPr>
      </w:pPr>
    </w:p>
    <w:p w14:paraId="62394BE6" w14:textId="444C875B" w:rsidR="00893F96" w:rsidRPr="00893F96" w:rsidRDefault="00893F96" w:rsidP="006C4797">
      <w:pPr>
        <w:ind w:firstLine="720"/>
        <w:jc w:val="center"/>
        <w:rPr>
          <w:rStyle w:val="Hyperlink"/>
          <w:rFonts w:eastAsia="SimSun"/>
          <w:i/>
          <w:iCs/>
          <w:color w:val="auto"/>
          <w:u w:val="none"/>
          <w:lang w:eastAsia="en-AU"/>
        </w:rPr>
      </w:pPr>
      <w:r w:rsidRPr="00893F96">
        <w:rPr>
          <w:rStyle w:val="Hyperlink"/>
          <w:rFonts w:eastAsia="SimSun"/>
          <w:i/>
          <w:iCs/>
          <w:color w:val="auto"/>
          <w:u w:val="none"/>
          <w:lang w:eastAsia="en-AU"/>
        </w:rPr>
        <w:t xml:space="preserve">This version: </w:t>
      </w:r>
      <w:r w:rsidR="00A81BB5">
        <w:rPr>
          <w:rStyle w:val="Hyperlink"/>
          <w:rFonts w:eastAsia="SimSun"/>
          <w:i/>
          <w:iCs/>
          <w:color w:val="auto"/>
          <w:u w:val="none"/>
          <w:lang w:eastAsia="en-AU"/>
        </w:rPr>
        <w:t>May</w:t>
      </w:r>
      <w:r w:rsidRPr="00893F96">
        <w:rPr>
          <w:rStyle w:val="Hyperlink"/>
          <w:rFonts w:eastAsia="SimSun"/>
          <w:i/>
          <w:iCs/>
          <w:color w:val="auto"/>
          <w:u w:val="none"/>
          <w:lang w:eastAsia="en-AU"/>
        </w:rPr>
        <w:t xml:space="preserve"> 201</w:t>
      </w:r>
      <w:r w:rsidR="00A81BB5">
        <w:rPr>
          <w:rStyle w:val="Hyperlink"/>
          <w:rFonts w:eastAsia="SimSun"/>
          <w:i/>
          <w:iCs/>
          <w:color w:val="auto"/>
          <w:u w:val="none"/>
          <w:lang w:eastAsia="en-AU"/>
        </w:rPr>
        <w:t>8</w:t>
      </w:r>
    </w:p>
    <w:p w14:paraId="0FE366D3" w14:textId="21EC5AF6" w:rsidR="00E77428" w:rsidRPr="00F524CF" w:rsidRDefault="004326ED" w:rsidP="004326ED">
      <w:pPr>
        <w:spacing w:after="120"/>
        <w:rPr>
          <w:b/>
          <w:sz w:val="32"/>
          <w:szCs w:val="32"/>
        </w:rPr>
      </w:pPr>
      <w:r w:rsidRPr="00F524CF">
        <w:rPr>
          <w:b/>
          <w:sz w:val="32"/>
          <w:szCs w:val="32"/>
        </w:rPr>
        <w:br w:type="page"/>
      </w:r>
    </w:p>
    <w:p w14:paraId="15BF22E2" w14:textId="33A92FE2" w:rsidR="004326ED" w:rsidRPr="00F524CF" w:rsidRDefault="004326ED" w:rsidP="004326ED">
      <w:pPr>
        <w:jc w:val="center"/>
        <w:rPr>
          <w:b/>
          <w:sz w:val="32"/>
          <w:szCs w:val="32"/>
        </w:rPr>
      </w:pPr>
      <w:r w:rsidRPr="00F524CF">
        <w:rPr>
          <w:b/>
          <w:sz w:val="32"/>
          <w:szCs w:val="32"/>
        </w:rPr>
        <w:lastRenderedPageBreak/>
        <w:t>Investor Sentiment Dynamics</w:t>
      </w:r>
      <w:r w:rsidR="004C2E98" w:rsidRPr="00F524CF">
        <w:rPr>
          <w:b/>
          <w:sz w:val="32"/>
          <w:szCs w:val="32"/>
        </w:rPr>
        <w:t>,</w:t>
      </w:r>
      <w:r w:rsidRPr="00F524CF">
        <w:rPr>
          <w:b/>
          <w:sz w:val="32"/>
          <w:szCs w:val="32"/>
        </w:rPr>
        <w:t xml:space="preserve"> the Cross-section of Stock Returns</w:t>
      </w:r>
      <w:r w:rsidR="004C2E98" w:rsidRPr="00F524CF">
        <w:rPr>
          <w:b/>
          <w:sz w:val="32"/>
          <w:szCs w:val="32"/>
        </w:rPr>
        <w:t xml:space="preserve"> and the MAX Effect</w:t>
      </w:r>
    </w:p>
    <w:p w14:paraId="60A9E355" w14:textId="77777777" w:rsidR="004326ED" w:rsidRPr="008026F8" w:rsidRDefault="004326ED" w:rsidP="004326ED">
      <w:pPr>
        <w:spacing w:line="360" w:lineRule="auto"/>
        <w:jc w:val="center"/>
        <w:rPr>
          <w:rFonts w:asciiTheme="minorHAnsi" w:eastAsia="SimSun" w:hAnsiTheme="minorHAnsi"/>
          <w:lang w:eastAsia="en-AU"/>
        </w:rPr>
      </w:pPr>
    </w:p>
    <w:p w14:paraId="70832CA9" w14:textId="77777777" w:rsidR="004326ED" w:rsidRPr="008026F8" w:rsidRDefault="004326ED" w:rsidP="004326ED">
      <w:pPr>
        <w:ind w:firstLine="720"/>
        <w:jc w:val="center"/>
        <w:rPr>
          <w:rFonts w:asciiTheme="minorHAnsi" w:eastAsia="SimSun" w:hAnsiTheme="minorHAnsi"/>
          <w:lang w:eastAsia="en-AU"/>
        </w:rPr>
      </w:pPr>
    </w:p>
    <w:p w14:paraId="7355481A" w14:textId="27A3694C" w:rsidR="004326ED" w:rsidRPr="002C7B35" w:rsidRDefault="004326ED" w:rsidP="004326ED">
      <w:pPr>
        <w:spacing w:before="240" w:after="120" w:line="480" w:lineRule="auto"/>
        <w:jc w:val="center"/>
        <w:rPr>
          <w:rFonts w:asciiTheme="minorHAnsi" w:hAnsiTheme="minorHAnsi"/>
          <w:b/>
          <w:bCs/>
          <w:sz w:val="28"/>
          <w:szCs w:val="28"/>
        </w:rPr>
      </w:pPr>
      <w:r w:rsidRPr="002C7B35">
        <w:rPr>
          <w:rFonts w:asciiTheme="minorHAnsi" w:hAnsiTheme="minorHAnsi"/>
          <w:b/>
          <w:bCs/>
          <w:sz w:val="28"/>
          <w:szCs w:val="28"/>
        </w:rPr>
        <w:t>A</w:t>
      </w:r>
      <w:r w:rsidR="00385900" w:rsidRPr="002C7B35">
        <w:rPr>
          <w:rFonts w:asciiTheme="minorHAnsi" w:hAnsiTheme="minorHAnsi"/>
          <w:b/>
          <w:bCs/>
          <w:sz w:val="28"/>
          <w:szCs w:val="28"/>
        </w:rPr>
        <w:t>bstract</w:t>
      </w:r>
      <w:r w:rsidRPr="002C7B35">
        <w:rPr>
          <w:rFonts w:asciiTheme="minorHAnsi" w:hAnsiTheme="minorHAnsi"/>
          <w:bCs/>
          <w:sz w:val="28"/>
          <w:szCs w:val="28"/>
        </w:rPr>
        <w:t xml:space="preserve"> </w:t>
      </w:r>
    </w:p>
    <w:p w14:paraId="77D1CB61" w14:textId="2BA17BF9" w:rsidR="00BA42AC" w:rsidRPr="00BA42AC" w:rsidRDefault="004326ED" w:rsidP="00BA42AC">
      <w:pPr>
        <w:snapToGrid w:val="0"/>
        <w:spacing w:line="480" w:lineRule="auto"/>
        <w:rPr>
          <w:bCs/>
        </w:rPr>
      </w:pPr>
      <w:r w:rsidRPr="00E65AA7">
        <w:rPr>
          <w:bCs/>
        </w:rPr>
        <w:tab/>
        <w:t>Recent evidence shows</w:t>
      </w:r>
      <w:r w:rsidR="00540027">
        <w:rPr>
          <w:bCs/>
        </w:rPr>
        <w:t xml:space="preserve"> that investor sentiment is a contrarian predictor of stock returns </w:t>
      </w:r>
      <w:r w:rsidR="003200B1">
        <w:rPr>
          <w:bCs/>
        </w:rPr>
        <w:t xml:space="preserve">with speculative stocks earning lower (higher) future returns than safe stocks </w:t>
      </w:r>
      <w:r w:rsidR="008D5A2B">
        <w:rPr>
          <w:bCs/>
        </w:rPr>
        <w:t xml:space="preserve">following </w:t>
      </w:r>
      <w:r w:rsidR="003200B1">
        <w:rPr>
          <w:bCs/>
        </w:rPr>
        <w:t>high (low)</w:t>
      </w:r>
      <w:r w:rsidR="008D5A2B">
        <w:rPr>
          <w:bCs/>
        </w:rPr>
        <w:t xml:space="preserve"> sentiment states</w:t>
      </w:r>
      <w:r w:rsidR="003200B1">
        <w:rPr>
          <w:bCs/>
        </w:rPr>
        <w:t xml:space="preserve">. </w:t>
      </w:r>
      <w:r w:rsidR="00BA42AC" w:rsidRPr="00BA42AC">
        <w:rPr>
          <w:bCs/>
        </w:rPr>
        <w:t xml:space="preserve">We extend </w:t>
      </w:r>
      <w:r w:rsidR="00CF277B">
        <w:rPr>
          <w:bCs/>
        </w:rPr>
        <w:t xml:space="preserve">this </w:t>
      </w:r>
      <w:r w:rsidR="00540027">
        <w:rPr>
          <w:bCs/>
        </w:rPr>
        <w:t xml:space="preserve">argument </w:t>
      </w:r>
      <w:r w:rsidR="00BA42AC" w:rsidRPr="00BA42AC">
        <w:rPr>
          <w:bCs/>
        </w:rPr>
        <w:t>by conditioning expected stock returns on sentiment dynamics</w:t>
      </w:r>
      <w:r w:rsidR="00CF277B">
        <w:rPr>
          <w:bCs/>
        </w:rPr>
        <w:t xml:space="preserve"> and</w:t>
      </w:r>
      <w:r w:rsidR="00BA42AC" w:rsidRPr="00BA42AC">
        <w:rPr>
          <w:bCs/>
        </w:rPr>
        <w:t xml:space="preserve"> show that the mispricing of </w:t>
      </w:r>
      <w:r w:rsidR="003200B1">
        <w:rPr>
          <w:bCs/>
        </w:rPr>
        <w:t>speculative and safe stocks</w:t>
      </w:r>
      <w:r w:rsidR="00BA42AC" w:rsidRPr="00BA42AC">
        <w:rPr>
          <w:bCs/>
        </w:rPr>
        <w:t xml:space="preserve"> worsens with sentiment continuation</w:t>
      </w:r>
      <w:r w:rsidR="003200B1">
        <w:rPr>
          <w:bCs/>
        </w:rPr>
        <w:t>s</w:t>
      </w:r>
      <w:r w:rsidR="00BA42AC" w:rsidRPr="00BA42AC">
        <w:rPr>
          <w:bCs/>
        </w:rPr>
        <w:t xml:space="preserve"> but is corrected with sentiment transitions, </w:t>
      </w:r>
      <w:r w:rsidR="00A45B8B">
        <w:rPr>
          <w:bCs/>
        </w:rPr>
        <w:t>consistent with</w:t>
      </w:r>
      <w:r w:rsidR="00BA42AC" w:rsidRPr="00BA42AC">
        <w:rPr>
          <w:bCs/>
        </w:rPr>
        <w:t xml:space="preserve"> the view that the mispricing of these stocks is sentiment-driven. </w:t>
      </w:r>
      <w:r w:rsidR="003200B1">
        <w:rPr>
          <w:bCs/>
        </w:rPr>
        <w:t>We show that the</w:t>
      </w:r>
      <w:r w:rsidR="00CF277B">
        <w:rPr>
          <w:bCs/>
        </w:rPr>
        <w:t xml:space="preserve"> </w:t>
      </w:r>
      <w:r w:rsidR="00540027">
        <w:rPr>
          <w:bCs/>
        </w:rPr>
        <w:t>u</w:t>
      </w:r>
      <w:r w:rsidR="00BA42AC" w:rsidRPr="00BA42AC">
        <w:rPr>
          <w:bCs/>
        </w:rPr>
        <w:t>nconditional contrarian return predictability of sentiment</w:t>
      </w:r>
      <w:r w:rsidR="003200B1">
        <w:rPr>
          <w:bCs/>
        </w:rPr>
        <w:t>,</w:t>
      </w:r>
      <w:r w:rsidR="00BA42AC" w:rsidRPr="00BA42AC">
        <w:rPr>
          <w:bCs/>
        </w:rPr>
        <w:t xml:space="preserve"> </w:t>
      </w:r>
      <w:r w:rsidR="00540027">
        <w:rPr>
          <w:bCs/>
        </w:rPr>
        <w:t xml:space="preserve">at least in the short-run, </w:t>
      </w:r>
      <w:r w:rsidR="00BA42AC" w:rsidRPr="00BA42AC">
        <w:rPr>
          <w:bCs/>
        </w:rPr>
        <w:t>is due to the returns of stock</w:t>
      </w:r>
      <w:r w:rsidR="00CF277B">
        <w:rPr>
          <w:bCs/>
        </w:rPr>
        <w:t xml:space="preserve">s in sentiment transitions. </w:t>
      </w:r>
      <w:r w:rsidR="003200B1">
        <w:rPr>
          <w:bCs/>
        </w:rPr>
        <w:t>R</w:t>
      </w:r>
      <w:r w:rsidR="00BA42AC" w:rsidRPr="00BA42AC">
        <w:rPr>
          <w:bCs/>
        </w:rPr>
        <w:t xml:space="preserve">esults </w:t>
      </w:r>
      <w:r w:rsidR="003200B1">
        <w:rPr>
          <w:bCs/>
        </w:rPr>
        <w:t>show</w:t>
      </w:r>
      <w:r w:rsidR="00BA42AC" w:rsidRPr="00BA42AC">
        <w:rPr>
          <w:bCs/>
        </w:rPr>
        <w:t xml:space="preserve"> that </w:t>
      </w:r>
      <w:r w:rsidR="00BA42AC" w:rsidRPr="00E77428">
        <w:rPr>
          <w:bCs/>
          <w:i/>
        </w:rPr>
        <w:t>ex post</w:t>
      </w:r>
      <w:r w:rsidR="00CF277B">
        <w:rPr>
          <w:bCs/>
        </w:rPr>
        <w:t>,</w:t>
      </w:r>
      <w:r w:rsidR="00BA42AC" w:rsidRPr="00BA42AC">
        <w:rPr>
          <w:bCs/>
        </w:rPr>
        <w:t xml:space="preserve"> sentiment is a momentum predictor </w:t>
      </w:r>
      <w:r w:rsidR="00CF277B">
        <w:rPr>
          <w:bCs/>
        </w:rPr>
        <w:t>if</w:t>
      </w:r>
      <w:r w:rsidR="00BA42AC" w:rsidRPr="00BA42AC">
        <w:rPr>
          <w:bCs/>
        </w:rPr>
        <w:t xml:space="preserve"> subsequent sentiment continues</w:t>
      </w:r>
      <w:r w:rsidR="00BC778C">
        <w:rPr>
          <w:bCs/>
        </w:rPr>
        <w:t>;</w:t>
      </w:r>
      <w:r w:rsidR="00BA42AC" w:rsidRPr="00BA42AC">
        <w:rPr>
          <w:bCs/>
        </w:rPr>
        <w:t xml:space="preserve"> and a contrarian predictor </w:t>
      </w:r>
      <w:r w:rsidR="00CF277B">
        <w:rPr>
          <w:bCs/>
        </w:rPr>
        <w:t xml:space="preserve">if subsequent </w:t>
      </w:r>
      <w:r w:rsidR="00BA42AC" w:rsidRPr="00BA42AC">
        <w:rPr>
          <w:bCs/>
        </w:rPr>
        <w:t>sentiment transitions</w:t>
      </w:r>
      <w:r w:rsidR="00BC778C">
        <w:rPr>
          <w:bCs/>
        </w:rPr>
        <w:t xml:space="preserve">. </w:t>
      </w:r>
      <w:r w:rsidR="00540027">
        <w:rPr>
          <w:bCs/>
        </w:rPr>
        <w:t xml:space="preserve">We </w:t>
      </w:r>
      <w:r w:rsidR="00E77428">
        <w:rPr>
          <w:bCs/>
        </w:rPr>
        <w:t xml:space="preserve">also </w:t>
      </w:r>
      <w:r w:rsidR="00540027">
        <w:rPr>
          <w:bCs/>
        </w:rPr>
        <w:t>show that the MAX effect can either be positive or negative contingent on sentiment dynamics</w:t>
      </w:r>
      <w:r w:rsidR="004910E5">
        <w:rPr>
          <w:bCs/>
        </w:rPr>
        <w:t xml:space="preserve"> and that th</w:t>
      </w:r>
      <w:r w:rsidR="00540027">
        <w:rPr>
          <w:bCs/>
        </w:rPr>
        <w:t>e</w:t>
      </w:r>
      <w:r w:rsidR="00BA42AC" w:rsidRPr="00BA42AC">
        <w:rPr>
          <w:bCs/>
        </w:rPr>
        <w:t xml:space="preserve"> absence of a MAX effect following Low sentiment states </w:t>
      </w:r>
      <w:r w:rsidR="00540027">
        <w:rPr>
          <w:bCs/>
        </w:rPr>
        <w:t xml:space="preserve">suggested by prior studies </w:t>
      </w:r>
      <w:r w:rsidR="00BA42AC" w:rsidRPr="00BA42AC">
        <w:rPr>
          <w:bCs/>
        </w:rPr>
        <w:t xml:space="preserve">is due to the completely offsetting negative </w:t>
      </w:r>
      <w:r w:rsidR="00BC778C">
        <w:rPr>
          <w:bCs/>
        </w:rPr>
        <w:t>MAX effect when sentiment continues in a Low state</w:t>
      </w:r>
      <w:r w:rsidR="004910E5">
        <w:rPr>
          <w:bCs/>
        </w:rPr>
        <w:t>,</w:t>
      </w:r>
      <w:r w:rsidR="00BC778C">
        <w:rPr>
          <w:bCs/>
        </w:rPr>
        <w:t xml:space="preserve"> </w:t>
      </w:r>
      <w:r w:rsidR="00BA42AC" w:rsidRPr="00BA42AC">
        <w:rPr>
          <w:bCs/>
        </w:rPr>
        <w:t xml:space="preserve">and </w:t>
      </w:r>
      <w:r w:rsidR="00BC778C">
        <w:rPr>
          <w:bCs/>
        </w:rPr>
        <w:t xml:space="preserve">the </w:t>
      </w:r>
      <w:r w:rsidR="00A45B8B">
        <w:rPr>
          <w:bCs/>
        </w:rPr>
        <w:t>positive MAX effect</w:t>
      </w:r>
      <w:r w:rsidR="00BA42AC" w:rsidRPr="00BA42AC">
        <w:rPr>
          <w:bCs/>
        </w:rPr>
        <w:t xml:space="preserve"> when sentiment transitions from a High to a Low state.</w:t>
      </w:r>
    </w:p>
    <w:p w14:paraId="2C3C83E2" w14:textId="77777777" w:rsidR="004326ED" w:rsidRPr="00E65AA7" w:rsidRDefault="004326ED" w:rsidP="004326ED">
      <w:pPr>
        <w:snapToGrid w:val="0"/>
        <w:spacing w:line="480" w:lineRule="auto"/>
        <w:rPr>
          <w:bCs/>
        </w:rPr>
      </w:pPr>
      <w:r w:rsidRPr="00E65AA7">
        <w:rPr>
          <w:bCs/>
        </w:rPr>
        <w:tab/>
      </w:r>
      <w:r w:rsidRPr="00E65AA7">
        <w:rPr>
          <w:bCs/>
        </w:rPr>
        <w:tab/>
      </w:r>
      <w:r w:rsidRPr="00E65AA7">
        <w:rPr>
          <w:bCs/>
        </w:rPr>
        <w:tab/>
      </w:r>
      <w:r w:rsidRPr="00E65AA7">
        <w:rPr>
          <w:bCs/>
        </w:rPr>
        <w:tab/>
      </w:r>
      <w:r w:rsidRPr="00E65AA7">
        <w:rPr>
          <w:bCs/>
        </w:rPr>
        <w:tab/>
      </w:r>
    </w:p>
    <w:p w14:paraId="289C4713" w14:textId="77777777" w:rsidR="004326ED" w:rsidRPr="00E65AA7" w:rsidRDefault="004326ED" w:rsidP="004326ED">
      <w:pPr>
        <w:snapToGrid w:val="0"/>
        <w:spacing w:line="480" w:lineRule="auto"/>
        <w:rPr>
          <w:bCs/>
          <w:u w:val="single"/>
        </w:rPr>
      </w:pPr>
      <w:r w:rsidRPr="00E65AA7">
        <w:rPr>
          <w:bCs/>
        </w:rPr>
        <w:tab/>
      </w:r>
      <w:r w:rsidRPr="00E65AA7">
        <w:rPr>
          <w:bCs/>
        </w:rPr>
        <w:tab/>
      </w:r>
      <w:r w:rsidRPr="00E65AA7">
        <w:rPr>
          <w:bCs/>
        </w:rPr>
        <w:tab/>
      </w:r>
      <w:r w:rsidRPr="00E65AA7">
        <w:rPr>
          <w:bCs/>
        </w:rPr>
        <w:tab/>
      </w:r>
      <w:r w:rsidRPr="00E65AA7">
        <w:rPr>
          <w:bCs/>
        </w:rPr>
        <w:tab/>
      </w:r>
    </w:p>
    <w:p w14:paraId="0E5F72CE" w14:textId="77777777" w:rsidR="004326ED" w:rsidRPr="00E65AA7" w:rsidRDefault="004326ED" w:rsidP="004326ED">
      <w:pPr>
        <w:spacing w:after="120"/>
        <w:rPr>
          <w:bCs/>
          <w:u w:val="single"/>
        </w:rPr>
      </w:pPr>
      <w:r w:rsidRPr="00E65AA7">
        <w:rPr>
          <w:bCs/>
          <w:u w:val="single"/>
        </w:rPr>
        <w:br w:type="page"/>
      </w:r>
    </w:p>
    <w:p w14:paraId="7EC40693" w14:textId="77777777" w:rsidR="004326ED" w:rsidRPr="008026F8" w:rsidRDefault="004326ED" w:rsidP="00C760BC">
      <w:pPr>
        <w:snapToGrid w:val="0"/>
        <w:spacing w:line="480" w:lineRule="auto"/>
        <w:rPr>
          <w:rFonts w:asciiTheme="minorHAnsi" w:hAnsiTheme="minorHAnsi" w:cs="Arial"/>
          <w:b/>
          <w:sz w:val="28"/>
          <w:szCs w:val="28"/>
        </w:rPr>
      </w:pPr>
      <w:r w:rsidRPr="008026F8">
        <w:rPr>
          <w:rFonts w:asciiTheme="minorHAnsi" w:hAnsiTheme="minorHAnsi" w:cs="Arial"/>
          <w:b/>
          <w:sz w:val="28"/>
          <w:szCs w:val="28"/>
        </w:rPr>
        <w:lastRenderedPageBreak/>
        <w:t>I. Introduction</w:t>
      </w:r>
    </w:p>
    <w:p w14:paraId="413D2904" w14:textId="77777777" w:rsidR="004326ED" w:rsidRPr="00E65AA7" w:rsidRDefault="004326ED" w:rsidP="00C760BC"/>
    <w:p w14:paraId="50B8931F" w14:textId="38672403" w:rsidR="002006EC" w:rsidRPr="00E65AA7" w:rsidRDefault="00C1135B" w:rsidP="002006EC">
      <w:pPr>
        <w:spacing w:line="480" w:lineRule="auto"/>
        <w:ind w:firstLine="720"/>
      </w:pPr>
      <w:r w:rsidRPr="00892D25">
        <w:t xml:space="preserve">Investor sentiment </w:t>
      </w:r>
      <w:r w:rsidR="000D61E4">
        <w:t xml:space="preserve">(sentiment </w:t>
      </w:r>
      <w:r w:rsidR="000D61E4">
        <w:rPr>
          <w:i/>
        </w:rPr>
        <w:t xml:space="preserve">hereafter) </w:t>
      </w:r>
      <w:r>
        <w:t>refer</w:t>
      </w:r>
      <w:r w:rsidR="00952B43">
        <w:t>s</w:t>
      </w:r>
      <w:r>
        <w:t xml:space="preserve"> to the propensity of investors </w:t>
      </w:r>
      <w:r w:rsidRPr="00892D25">
        <w:t>to speculate.</w:t>
      </w:r>
      <w:r w:rsidR="001B35B7">
        <w:t xml:space="preserve"> Several studies have long considered the possibility that sentiment </w:t>
      </w:r>
      <w:r w:rsidR="002006EC">
        <w:t>has an impact on stock market returns</w:t>
      </w:r>
      <w:r w:rsidR="00DB4FC0">
        <w:t xml:space="preserve"> </w:t>
      </w:r>
      <w:r w:rsidR="00367537">
        <w:t>which</w:t>
      </w:r>
      <w:r w:rsidR="00DB4FC0">
        <w:t xml:space="preserve"> causes stock prices to divert from their fundamental values</w:t>
      </w:r>
      <w:r w:rsidR="001B35B7">
        <w:t xml:space="preserve"> </w:t>
      </w:r>
      <w:r w:rsidR="001B35B7">
        <w:fldChar w:fldCharType="begin">
          <w:fldData xml:space="preserve">PEVuZE5vdGU+PENpdGU+PEF1dGhvcj5LZXluZXM8L0F1dGhvcj48WWVhcj4xOTM2PC9ZZWFyPjxS
ZWNOdW0+NDYxPC9SZWNOdW0+PFByZWZpeD5lLmcuIDwvUHJlZml4PjxEaXNwbGF5VGV4dD4oZS5n
LiBLZXluZXMsIDE5MzY7IFNoaWxsZXIsIDE5ODE7IENhbXBiZWxsICZhbXA7IFNoaWxsZXIsIDE5
ODg7IEZhbWEgJmFtcDsgRnJlbmNoLCAxOTg4OyBQb3RlcmJhICZhbXA7IFN1bW1lcnMsIDE5ODg7
IEZhbWEgJmFtcDsgRnJlbmNoLCAxOTg5OyBEZSBMb25nLCBTaGxlaWZlciwgU3VtbWVycywgJmFt
cDsgV2FsZG1hbm4sIDE5OTApPC9EaXNwbGF5VGV4dD48cmVjb3JkPjxyZWMtbnVtYmVyPjQ2MTwv
cmVjLW51bWJlcj48Zm9yZWlnbi1rZXlzPjxrZXkgYXBwPSJFTiIgZGItaWQ9InZhZnpzOTlmcTBl
dzBzZWFzZHZ2dHh6dWZhdnhmd3h0eDJ0ciIgdGltZXN0YW1wPSIxNTAxMzgzNDY1Ij40NjE8L2tl
eT48L2ZvcmVpZ24ta2V5cz48cmVmLXR5cGUgbmFtZT0iQm9vayI+NjwvcmVmLXR5cGU+PGNvbnRy
aWJ1dG9ycz48YXV0aG9ycz48YXV0aG9yPktleW5lcywgSm9obiBNYXluYXJkPC9hdXRob3I+PC9h
dXRob3JzPjwvY29udHJpYnV0b3JzPjx0aXRsZXM+PHRpdGxlPkdlbmVyYWwgdGhlb3J5IG9mIGVt
cGxveW1lbnQsIGludGVyZXN0IGFuZCBtb25leTwvdGl0bGU+PC90aXRsZXM+PGRhdGVzPjx5ZWFy
PjE5MzY8L3llYXI+PC9kYXRlcz48cHVibGlzaGVyPk1hY21pbGxhbiwgTG9uZG9uPC9wdWJsaXNo
ZXI+PGlzYm4+ODEyNjkwNTkxMzwvaXNibj48dXJscz48L3VybHM+PC9yZWNvcmQ+PC9DaXRlPjxD
aXRlPjxBdXRob3I+RGUgTG9uZzwvQXV0aG9yPjxZZWFyPjE5OTA8L1llYXI+PFJlY051bT40NjM8
L1JlY051bT48cmVjb3JkPjxyZWMtbnVtYmVyPjQ2MzwvcmVjLW51bWJlcj48Zm9yZWlnbi1rZXlz
PjxrZXkgYXBwPSJFTiIgZGItaWQ9InZhZnpzOTlmcTBldzBzZWFzZHZ2dHh6dWZhdnhmd3h0eDJ0
ciIgdGltZXN0YW1wPSIxNTAxMzg0NDQxIj40NjM8L2tleT48L2ZvcmVpZ24ta2V5cz48cmVmLXR5
cGUgbmFtZT0iSm91cm5hbCBBcnRpY2xlIj4xNzwvcmVmLXR5cGU+PGNvbnRyaWJ1dG9ycz48YXV0
aG9ycz48YXV0aG9yPkRlIExvbmcsIEogQnJhZGZvcmQ8L2F1dGhvcj48YXV0aG9yPlNobGVpZmVy
LCBBbmRyZWk8L2F1dGhvcj48YXV0aG9yPlN1bW1lcnMsIExhd3JlbmNlIEg8L2F1dGhvcj48YXV0
aG9yPldhbGRtYW5uLCBSb2JlcnQgSjwvYXV0aG9yPjwvYXV0aG9ycz48L2NvbnRyaWJ1dG9ycz48
dGl0bGVzPjx0aXRsZT5Ob2lzZSB0cmFkZXIgcmlzayBpbiBmaW5hbmNpYWwgbWFya2V0czwvdGl0
bGU+PHNlY29uZGFyeS10aXRsZT5Kb3VybmFsIG9mIHBvbGl0aWNhbCBFY29ub215PC9zZWNvbmRh
cnktdGl0bGU+PC90aXRsZXM+PHBlcmlvZGljYWw+PGZ1bGwtdGl0bGU+Sm91cm5hbCBvZiBwb2xp
dGljYWwgRWNvbm9teTwvZnVsbC10aXRsZT48L3BlcmlvZGljYWw+PHBhZ2VzPjcwMy03Mzg8L3Bh
Z2VzPjx2b2x1bWU+OTg8L3ZvbHVtZT48bnVtYmVyPjQ8L251bWJlcj48ZGF0ZXM+PHllYXI+MTk5
MDwveWVhcj48L2RhdGVzPjxpc2JuPjAwMjItMzgwODwvaXNibj48dXJscz48L3VybHM+PC9yZWNv
cmQ+PC9DaXRlPjxDaXRlPjxBdXRob3I+RmFtYTwvQXV0aG9yPjxZZWFyPjE5ODg8L1llYXI+PFJl
Y051bT4zMjU8L1JlY051bT48cmVjb3JkPjxyZWMtbnVtYmVyPjMyNTwvcmVjLW51bWJlcj48Zm9y
ZWlnbi1rZXlzPjxrZXkgYXBwPSJFTiIgZGItaWQ9InZhZnpzOTlmcTBldzBzZWFzZHZ2dHh6dWZh
dnhmd3h0eDJ0ciIgdGltZXN0YW1wPSIxNDQwOTk4ODU3Ij4zMjU8L2tleT48L2ZvcmVpZ24ta2V5
cz48cmVmLXR5cGUgbmFtZT0iSm91cm5hbCBBcnRpY2xlIj4xNzwvcmVmLXR5cGU+PGNvbnRyaWJ1
dG9ycz48YXV0aG9ycz48YXV0aG9yPkZhbWEsIEV1Z2VuZSBGPC9hdXRob3I+PGF1dGhvcj5GcmVu
Y2gsIEtlbm5ldGggUjwvYXV0aG9yPjwvYXV0aG9ycz48L2NvbnRyaWJ1dG9ycz48dGl0bGVzPjx0
aXRsZT5QZXJtYW5lbnQgYW5kIHRlbXBvcmFyeSBjb21wb25lbnRzIG9mIHN0b2NrIHByaWNlczwv
dGl0bGU+PHNlY29uZGFyeS10aXRsZT5UaGUgSm91cm5hbCBvZiBQb2xpdGljYWwgRWNvbm9teTwv
c2Vjb25kYXJ5LXRpdGxlPjwvdGl0bGVzPjxwZXJpb2RpY2FsPjxmdWxsLXRpdGxlPlRoZSBKb3Vy
bmFsIG9mIFBvbGl0aWNhbCBFY29ub215PC9mdWxsLXRpdGxlPjwvcGVyaW9kaWNhbD48cGFnZXM+
MjQ2LTI3MzwvcGFnZXM+PGRhdGVzPjx5ZWFyPjE5ODg8L3llYXI+PC9kYXRlcz48aXNibj4wMDIy
LTM4MDg8L2lzYm4+PHVybHM+PC91cmxzPjwvcmVjb3JkPjwvQ2l0ZT48Q2l0ZT48QXV0aG9yPlNo
aWxsZXI8L0F1dGhvcj48WWVhcj4xOTgxPC9ZZWFyPjxSZWNOdW0+NTA1PC9SZWNOdW0+PHJlY29y
ZD48cmVjLW51bWJlcj41MDU8L3JlYy1udW1iZXI+PGZvcmVpZ24ta2V5cz48a2V5IGFwcD0iRU4i
IGRiLWlkPSJ2YWZ6czk5ZnEwZXcwc2Vhc2R2dnR4enVmYXZ4Znd4dHgydHIiIHRpbWVzdGFtcD0i
MTUwNDc0NjEyNCI+NTA1PC9rZXk+PC9mb3JlaWduLWtleXM+PHJlZi10eXBlIG5hbWU9IkpvdXJu
YWwgQXJ0aWNsZSI+MTc8L3JlZi10eXBlPjxjb250cmlidXRvcnM+PGF1dGhvcnM+PGF1dGhvcj5T
aGlsbGVyLCBSb2JlcnQgSjwvYXV0aG9yPjwvYXV0aG9ycz48L2NvbnRyaWJ1dG9ycz48dGl0bGVz
Pjx0aXRsZT5EbyBTdG9jayBQcmljZXMgTW92ZSBUb28gTXVjaCB0byBiZSBKdXN0aWZpZWQgYnkg
U3Vic2VxdWVudCBDaGFuZ2VzIGluIERpdmlkZW5kcz88L3RpdGxlPjxzZWNvbmRhcnktdGl0bGU+
VGhlIEFtZXJpY2FuIEVjb25vbWljIFJldmlldzwvc2Vjb25kYXJ5LXRpdGxlPjwvdGl0bGVzPjxw
ZXJpb2RpY2FsPjxmdWxsLXRpdGxlPlRoZSBBbWVyaWNhbiBFY29ub21pYyBSZXZpZXc8L2Z1bGwt
dGl0bGU+PC9wZXJpb2RpY2FsPjxwYWdlcz40MjEtNDM2PC9wYWdlcz48dm9sdW1lPjcxPC92b2x1
bWU+PG51bWJlcj4zPC9udW1iZXI+PGRhdGVzPjx5ZWFyPjE5ODE8L3llYXI+PC9kYXRlcz48aXNi
bj4wMDAyLTgyODI8L2lzYm4+PHVybHM+PC91cmxzPjwvcmVjb3JkPjwvQ2l0ZT48Q2l0ZT48QXV0
aG9yPlBvdGVyYmE8L0F1dGhvcj48WWVhcj4xOTg4PC9ZZWFyPjxSZWNOdW0+MzI2PC9SZWNOdW0+
PHJlY29yZD48cmVjLW51bWJlcj4zMjY8L3JlYy1udW1iZXI+PGZvcmVpZ24ta2V5cz48a2V5IGFw
cD0iRU4iIGRiLWlkPSJ2YWZ6czk5ZnEwZXcwc2Vhc2R2dnR4enVmYXZ4Znd4dHgydHIiIHRpbWVz
dGFtcD0iMTQ0MDk5ODk2NyI+MzI2PC9rZXk+PC9mb3JlaWduLWtleXM+PHJlZi10eXBlIG5hbWU9
IkpvdXJuYWwgQXJ0aWNsZSI+MTc8L3JlZi10eXBlPjxjb250cmlidXRvcnM+PGF1dGhvcnM+PGF1
dGhvcj5Qb3RlcmJhLCBKYW1lcyBNPC9hdXRob3I+PGF1dGhvcj5TdW1tZXJzLCBMYXdyZW5jZSBI
PC9hdXRob3I+PC9hdXRob3JzPjwvY29udHJpYnV0b3JzPjx0aXRsZXM+PHRpdGxlPk1lYW4gcmV2
ZXJzaW9uIGluIHN0b2NrIHByaWNlczogRXZpZGVuY2UgYW5kIGltcGxpY2F0aW9uczwvdGl0bGU+
PHNlY29uZGFyeS10aXRsZT5Kb3VybmFsIG9mIGZpbmFuY2lhbCBlY29ub21pY3M8L3NlY29uZGFy
eS10aXRsZT48L3RpdGxlcz48cGVyaW9kaWNhbD48ZnVsbC10aXRsZT5Kb3VybmFsIG9mIEZpbmFu
Y2lhbCBFY29ub21pY3M8L2Z1bGwtdGl0bGU+PC9wZXJpb2RpY2FsPjxwYWdlcz4yNy01OTwvcGFn
ZXM+PHZvbHVtZT4yMjwvdm9sdW1lPjxudW1iZXI+MTwvbnVtYmVyPjxkYXRlcz48eWVhcj4xOTg4
PC95ZWFyPjwvZGF0ZXM+PGlzYm4+MDMwNC00MDVYPC9pc2JuPjx1cmxzPjwvdXJscz48L3JlY29y
ZD48L0NpdGU+PENpdGU+PEF1dGhvcj5DYW1wYmVsbDwvQXV0aG9yPjxZZWFyPjE5ODg8L1llYXI+
PFJlY051bT41MDY8L1JlY051bT48cmVjb3JkPjxyZWMtbnVtYmVyPjUwNjwvcmVjLW51bWJlcj48
Zm9yZWlnbi1rZXlzPjxrZXkgYXBwPSJFTiIgZGItaWQ9InZhZnpzOTlmcTBldzBzZWFzZHZ2dHh6
dWZhdnhmd3h0eDJ0ciIgdGltZXN0YW1wPSIxNTA0NzQ2MzQyIj41MDY8L2tleT48L2ZvcmVpZ24t
a2V5cz48cmVmLXR5cGUgbmFtZT0iSm91cm5hbCBBcnRpY2xlIj4xNzwvcmVmLXR5cGU+PGNvbnRy
aWJ1dG9ycz48YXV0aG9ycz48YXV0aG9yPkNhbXBiZWxsLCBKb2huIFk8L2F1dGhvcj48YXV0aG9y
PlNoaWxsZXIsIFJvYmVydCBKPC9hdXRob3I+PC9hdXRob3JzPjwvY29udHJpYnV0b3JzPjx0aXRs
ZXM+PHRpdGxlPlRoZSBkaXZpZGVuZC1wcmljZSByYXRpbyBhbmQgZXhwZWN0YXRpb25zIG9mIGZ1
dHVyZSBkaXZpZGVuZHMgYW5kIGRpc2NvdW50IGZhY3RvcnM8L3RpdGxlPjxzZWNvbmRhcnktdGl0
bGU+VGhlIFJldmlldyBvZiBGaW5hbmNpYWwgU3R1ZGllczwvc2Vjb25kYXJ5LXRpdGxlPjwvdGl0
bGVzPjxwZXJpb2RpY2FsPjxmdWxsLXRpdGxlPlRoZSBSZXZpZXcgb2YgRmluYW5jaWFsIFN0dWRp
ZXM8L2Z1bGwtdGl0bGU+PC9wZXJpb2RpY2FsPjxwYWdlcz4xOTUtMjI4PC9wYWdlcz48dm9sdW1l
PjE8L3ZvbHVtZT48bnVtYmVyPjM8L251bWJlcj48ZGF0ZXM+PHllYXI+MTk4ODwveWVhcj48L2Rh
dGVzPjxpc2JuPjA4OTMtOTQ1NDwvaXNibj48dXJscz48L3VybHM+PC9yZWNvcmQ+PC9DaXRlPjxD
aXRlPjxBdXRob3I+RmFtYTwvQXV0aG9yPjxZZWFyPjE5ODk8L1llYXI+PFJlY051bT41MDc8L1Jl
Y051bT48cmVjb3JkPjxyZWMtbnVtYmVyPjUwNzwvcmVjLW51bWJlcj48Zm9yZWlnbi1rZXlzPjxr
ZXkgYXBwPSJFTiIgZGItaWQ9InZhZnpzOTlmcTBldzBzZWFzZHZ2dHh6dWZhdnhmd3h0eDJ0ciIg
dGltZXN0YW1wPSIxNTA0NzQ2Njg1Ij41MDc8L2tleT48L2ZvcmVpZ24ta2V5cz48cmVmLXR5cGUg
bmFtZT0iSm91cm5hbCBBcnRpY2xlIj4xNzwvcmVmLXR5cGU+PGNvbnRyaWJ1dG9ycz48YXV0aG9y
cz48YXV0aG9yPkZhbWEsIEV1Z2VuZSBGPC9hdXRob3I+PGF1dGhvcj5GcmVuY2gsIEtlbm5ldGgg
UjwvYXV0aG9yPjwvYXV0aG9ycz48L2NvbnRyaWJ1dG9ycz48dGl0bGVzPjx0aXRsZT5CdXNpbmVz
cyBjb25kaXRpb25zIGFuZCBleHBlY3RlZCByZXR1cm5zIG9uIHN0b2NrcyBhbmQgYm9uZHM8L3Rp
dGxlPjxzZWNvbmRhcnktdGl0bGU+Sm91cm5hbCBvZiBmaW5hbmNpYWwgZWNvbm9taWNzPC9zZWNv
bmRhcnktdGl0bGU+PC90aXRsZXM+PHBlcmlvZGljYWw+PGZ1bGwtdGl0bGU+Sm91cm5hbCBvZiBG
aW5hbmNpYWwgRWNvbm9taWNzPC9mdWxsLXRpdGxlPjwvcGVyaW9kaWNhbD48cGFnZXM+MjMtNDk8
L3BhZ2VzPjx2b2x1bWU+MjU8L3ZvbHVtZT48bnVtYmVyPjE8L251bWJlcj48ZGF0ZXM+PHllYXI+
MTk4OTwveWVhcj48L2RhdGVzPjxpc2JuPjAzMDQtNDA1WDwvaXNibj48dXJscz48L3VybHM+PC9y
ZWNvcmQ+PC9DaXRlPjwvRW5kTm90ZT4A
</w:fldData>
        </w:fldChar>
      </w:r>
      <w:r w:rsidR="001B35B7">
        <w:instrText xml:space="preserve"> ADDIN EN.CITE </w:instrText>
      </w:r>
      <w:r w:rsidR="001B35B7">
        <w:fldChar w:fldCharType="begin">
          <w:fldData xml:space="preserve">PEVuZE5vdGU+PENpdGU+PEF1dGhvcj5LZXluZXM8L0F1dGhvcj48WWVhcj4xOTM2PC9ZZWFyPjxS
ZWNOdW0+NDYxPC9SZWNOdW0+PFByZWZpeD5lLmcuIDwvUHJlZml4PjxEaXNwbGF5VGV4dD4oZS5n
LiBLZXluZXMsIDE5MzY7IFNoaWxsZXIsIDE5ODE7IENhbXBiZWxsICZhbXA7IFNoaWxsZXIsIDE5
ODg7IEZhbWEgJmFtcDsgRnJlbmNoLCAxOTg4OyBQb3RlcmJhICZhbXA7IFN1bW1lcnMsIDE5ODg7
IEZhbWEgJmFtcDsgRnJlbmNoLCAxOTg5OyBEZSBMb25nLCBTaGxlaWZlciwgU3VtbWVycywgJmFt
cDsgV2FsZG1hbm4sIDE5OTApPC9EaXNwbGF5VGV4dD48cmVjb3JkPjxyZWMtbnVtYmVyPjQ2MTwv
cmVjLW51bWJlcj48Zm9yZWlnbi1rZXlzPjxrZXkgYXBwPSJFTiIgZGItaWQ9InZhZnpzOTlmcTBl
dzBzZWFzZHZ2dHh6dWZhdnhmd3h0eDJ0ciIgdGltZXN0YW1wPSIxNTAxMzgzNDY1Ij40NjE8L2tl
eT48L2ZvcmVpZ24ta2V5cz48cmVmLXR5cGUgbmFtZT0iQm9vayI+NjwvcmVmLXR5cGU+PGNvbnRy
aWJ1dG9ycz48YXV0aG9ycz48YXV0aG9yPktleW5lcywgSm9obiBNYXluYXJkPC9hdXRob3I+PC9h
dXRob3JzPjwvY29udHJpYnV0b3JzPjx0aXRsZXM+PHRpdGxlPkdlbmVyYWwgdGhlb3J5IG9mIGVt
cGxveW1lbnQsIGludGVyZXN0IGFuZCBtb25leTwvdGl0bGU+PC90aXRsZXM+PGRhdGVzPjx5ZWFy
PjE5MzY8L3llYXI+PC9kYXRlcz48cHVibGlzaGVyPk1hY21pbGxhbiwgTG9uZG9uPC9wdWJsaXNo
ZXI+PGlzYm4+ODEyNjkwNTkxMzwvaXNibj48dXJscz48L3VybHM+PC9yZWNvcmQ+PC9DaXRlPjxD
aXRlPjxBdXRob3I+RGUgTG9uZzwvQXV0aG9yPjxZZWFyPjE5OTA8L1llYXI+PFJlY051bT40NjM8
L1JlY051bT48cmVjb3JkPjxyZWMtbnVtYmVyPjQ2MzwvcmVjLW51bWJlcj48Zm9yZWlnbi1rZXlz
PjxrZXkgYXBwPSJFTiIgZGItaWQ9InZhZnpzOTlmcTBldzBzZWFzZHZ2dHh6dWZhdnhmd3h0eDJ0
ciIgdGltZXN0YW1wPSIxNTAxMzg0NDQxIj40NjM8L2tleT48L2ZvcmVpZ24ta2V5cz48cmVmLXR5
cGUgbmFtZT0iSm91cm5hbCBBcnRpY2xlIj4xNzwvcmVmLXR5cGU+PGNvbnRyaWJ1dG9ycz48YXV0
aG9ycz48YXV0aG9yPkRlIExvbmcsIEogQnJhZGZvcmQ8L2F1dGhvcj48YXV0aG9yPlNobGVpZmVy
LCBBbmRyZWk8L2F1dGhvcj48YXV0aG9yPlN1bW1lcnMsIExhd3JlbmNlIEg8L2F1dGhvcj48YXV0
aG9yPldhbGRtYW5uLCBSb2JlcnQgSjwvYXV0aG9yPjwvYXV0aG9ycz48L2NvbnRyaWJ1dG9ycz48
dGl0bGVzPjx0aXRsZT5Ob2lzZSB0cmFkZXIgcmlzayBpbiBmaW5hbmNpYWwgbWFya2V0czwvdGl0
bGU+PHNlY29uZGFyeS10aXRsZT5Kb3VybmFsIG9mIHBvbGl0aWNhbCBFY29ub215PC9zZWNvbmRh
cnktdGl0bGU+PC90aXRsZXM+PHBlcmlvZGljYWw+PGZ1bGwtdGl0bGU+Sm91cm5hbCBvZiBwb2xp
dGljYWwgRWNvbm9teTwvZnVsbC10aXRsZT48L3BlcmlvZGljYWw+PHBhZ2VzPjcwMy03Mzg8L3Bh
Z2VzPjx2b2x1bWU+OTg8L3ZvbHVtZT48bnVtYmVyPjQ8L251bWJlcj48ZGF0ZXM+PHllYXI+MTk5
MDwveWVhcj48L2RhdGVzPjxpc2JuPjAwMjItMzgwODwvaXNibj48dXJscz48L3VybHM+PC9yZWNv
cmQ+PC9DaXRlPjxDaXRlPjxBdXRob3I+RmFtYTwvQXV0aG9yPjxZZWFyPjE5ODg8L1llYXI+PFJl
Y051bT4zMjU8L1JlY051bT48cmVjb3JkPjxyZWMtbnVtYmVyPjMyNTwvcmVjLW51bWJlcj48Zm9y
ZWlnbi1rZXlzPjxrZXkgYXBwPSJFTiIgZGItaWQ9InZhZnpzOTlmcTBldzBzZWFzZHZ2dHh6dWZh
dnhmd3h0eDJ0ciIgdGltZXN0YW1wPSIxNDQwOTk4ODU3Ij4zMjU8L2tleT48L2ZvcmVpZ24ta2V5
cz48cmVmLXR5cGUgbmFtZT0iSm91cm5hbCBBcnRpY2xlIj4xNzwvcmVmLXR5cGU+PGNvbnRyaWJ1
dG9ycz48YXV0aG9ycz48YXV0aG9yPkZhbWEsIEV1Z2VuZSBGPC9hdXRob3I+PGF1dGhvcj5GcmVu
Y2gsIEtlbm5ldGggUjwvYXV0aG9yPjwvYXV0aG9ycz48L2NvbnRyaWJ1dG9ycz48dGl0bGVzPjx0
aXRsZT5QZXJtYW5lbnQgYW5kIHRlbXBvcmFyeSBjb21wb25lbnRzIG9mIHN0b2NrIHByaWNlczwv
dGl0bGU+PHNlY29uZGFyeS10aXRsZT5UaGUgSm91cm5hbCBvZiBQb2xpdGljYWwgRWNvbm9teTwv
c2Vjb25kYXJ5LXRpdGxlPjwvdGl0bGVzPjxwZXJpb2RpY2FsPjxmdWxsLXRpdGxlPlRoZSBKb3Vy
bmFsIG9mIFBvbGl0aWNhbCBFY29ub215PC9mdWxsLXRpdGxlPjwvcGVyaW9kaWNhbD48cGFnZXM+
MjQ2LTI3MzwvcGFnZXM+PGRhdGVzPjx5ZWFyPjE5ODg8L3llYXI+PC9kYXRlcz48aXNibj4wMDIy
LTM4MDg8L2lzYm4+PHVybHM+PC91cmxzPjwvcmVjb3JkPjwvQ2l0ZT48Q2l0ZT48QXV0aG9yPlNo
aWxsZXI8L0F1dGhvcj48WWVhcj4xOTgxPC9ZZWFyPjxSZWNOdW0+NTA1PC9SZWNOdW0+PHJlY29y
ZD48cmVjLW51bWJlcj41MDU8L3JlYy1udW1iZXI+PGZvcmVpZ24ta2V5cz48a2V5IGFwcD0iRU4i
IGRiLWlkPSJ2YWZ6czk5ZnEwZXcwc2Vhc2R2dnR4enVmYXZ4Znd4dHgydHIiIHRpbWVzdGFtcD0i
MTUwNDc0NjEyNCI+NTA1PC9rZXk+PC9mb3JlaWduLWtleXM+PHJlZi10eXBlIG5hbWU9IkpvdXJu
YWwgQXJ0aWNsZSI+MTc8L3JlZi10eXBlPjxjb250cmlidXRvcnM+PGF1dGhvcnM+PGF1dGhvcj5T
aGlsbGVyLCBSb2JlcnQgSjwvYXV0aG9yPjwvYXV0aG9ycz48L2NvbnRyaWJ1dG9ycz48dGl0bGVz
Pjx0aXRsZT5EbyBTdG9jayBQcmljZXMgTW92ZSBUb28gTXVjaCB0byBiZSBKdXN0aWZpZWQgYnkg
U3Vic2VxdWVudCBDaGFuZ2VzIGluIERpdmlkZW5kcz88L3RpdGxlPjxzZWNvbmRhcnktdGl0bGU+
VGhlIEFtZXJpY2FuIEVjb25vbWljIFJldmlldzwvc2Vjb25kYXJ5LXRpdGxlPjwvdGl0bGVzPjxw
ZXJpb2RpY2FsPjxmdWxsLXRpdGxlPlRoZSBBbWVyaWNhbiBFY29ub21pYyBSZXZpZXc8L2Z1bGwt
dGl0bGU+PC9wZXJpb2RpY2FsPjxwYWdlcz40MjEtNDM2PC9wYWdlcz48dm9sdW1lPjcxPC92b2x1
bWU+PG51bWJlcj4zPC9udW1iZXI+PGRhdGVzPjx5ZWFyPjE5ODE8L3llYXI+PC9kYXRlcz48aXNi
bj4wMDAyLTgyODI8L2lzYm4+PHVybHM+PC91cmxzPjwvcmVjb3JkPjwvQ2l0ZT48Q2l0ZT48QXV0
aG9yPlBvdGVyYmE8L0F1dGhvcj48WWVhcj4xOTg4PC9ZZWFyPjxSZWNOdW0+MzI2PC9SZWNOdW0+
PHJlY29yZD48cmVjLW51bWJlcj4zMjY8L3JlYy1udW1iZXI+PGZvcmVpZ24ta2V5cz48a2V5IGFw
cD0iRU4iIGRiLWlkPSJ2YWZ6czk5ZnEwZXcwc2Vhc2R2dnR4enVmYXZ4Znd4dHgydHIiIHRpbWVz
dGFtcD0iMTQ0MDk5ODk2NyI+MzI2PC9rZXk+PC9mb3JlaWduLWtleXM+PHJlZi10eXBlIG5hbWU9
IkpvdXJuYWwgQXJ0aWNsZSI+MTc8L3JlZi10eXBlPjxjb250cmlidXRvcnM+PGF1dGhvcnM+PGF1
dGhvcj5Qb3RlcmJhLCBKYW1lcyBNPC9hdXRob3I+PGF1dGhvcj5TdW1tZXJzLCBMYXdyZW5jZSBI
PC9hdXRob3I+PC9hdXRob3JzPjwvY29udHJpYnV0b3JzPjx0aXRsZXM+PHRpdGxlPk1lYW4gcmV2
ZXJzaW9uIGluIHN0b2NrIHByaWNlczogRXZpZGVuY2UgYW5kIGltcGxpY2F0aW9uczwvdGl0bGU+
PHNlY29uZGFyeS10aXRsZT5Kb3VybmFsIG9mIGZpbmFuY2lhbCBlY29ub21pY3M8L3NlY29uZGFy
eS10aXRsZT48L3RpdGxlcz48cGVyaW9kaWNhbD48ZnVsbC10aXRsZT5Kb3VybmFsIG9mIEZpbmFu
Y2lhbCBFY29ub21pY3M8L2Z1bGwtdGl0bGU+PC9wZXJpb2RpY2FsPjxwYWdlcz4yNy01OTwvcGFn
ZXM+PHZvbHVtZT4yMjwvdm9sdW1lPjxudW1iZXI+MTwvbnVtYmVyPjxkYXRlcz48eWVhcj4xOTg4
PC95ZWFyPjwvZGF0ZXM+PGlzYm4+MDMwNC00MDVYPC9pc2JuPjx1cmxzPjwvdXJscz48L3JlY29y
ZD48L0NpdGU+PENpdGU+PEF1dGhvcj5DYW1wYmVsbDwvQXV0aG9yPjxZZWFyPjE5ODg8L1llYXI+
PFJlY051bT41MDY8L1JlY051bT48cmVjb3JkPjxyZWMtbnVtYmVyPjUwNjwvcmVjLW51bWJlcj48
Zm9yZWlnbi1rZXlzPjxrZXkgYXBwPSJFTiIgZGItaWQ9InZhZnpzOTlmcTBldzBzZWFzZHZ2dHh6
dWZhdnhmd3h0eDJ0ciIgdGltZXN0YW1wPSIxNTA0NzQ2MzQyIj41MDY8L2tleT48L2ZvcmVpZ24t
a2V5cz48cmVmLXR5cGUgbmFtZT0iSm91cm5hbCBBcnRpY2xlIj4xNzwvcmVmLXR5cGU+PGNvbnRy
aWJ1dG9ycz48YXV0aG9ycz48YXV0aG9yPkNhbXBiZWxsLCBKb2huIFk8L2F1dGhvcj48YXV0aG9y
PlNoaWxsZXIsIFJvYmVydCBKPC9hdXRob3I+PC9hdXRob3JzPjwvY29udHJpYnV0b3JzPjx0aXRs
ZXM+PHRpdGxlPlRoZSBkaXZpZGVuZC1wcmljZSByYXRpbyBhbmQgZXhwZWN0YXRpb25zIG9mIGZ1
dHVyZSBkaXZpZGVuZHMgYW5kIGRpc2NvdW50IGZhY3RvcnM8L3RpdGxlPjxzZWNvbmRhcnktdGl0
bGU+VGhlIFJldmlldyBvZiBGaW5hbmNpYWwgU3R1ZGllczwvc2Vjb25kYXJ5LXRpdGxlPjwvdGl0
bGVzPjxwZXJpb2RpY2FsPjxmdWxsLXRpdGxlPlRoZSBSZXZpZXcgb2YgRmluYW5jaWFsIFN0dWRp
ZXM8L2Z1bGwtdGl0bGU+PC9wZXJpb2RpY2FsPjxwYWdlcz4xOTUtMjI4PC9wYWdlcz48dm9sdW1l
PjE8L3ZvbHVtZT48bnVtYmVyPjM8L251bWJlcj48ZGF0ZXM+PHllYXI+MTk4ODwveWVhcj48L2Rh
dGVzPjxpc2JuPjA4OTMtOTQ1NDwvaXNibj48dXJscz48L3VybHM+PC9yZWNvcmQ+PC9DaXRlPjxD
aXRlPjxBdXRob3I+RmFtYTwvQXV0aG9yPjxZZWFyPjE5ODk8L1llYXI+PFJlY051bT41MDc8L1Jl
Y051bT48cmVjb3JkPjxyZWMtbnVtYmVyPjUwNzwvcmVjLW51bWJlcj48Zm9yZWlnbi1rZXlzPjxr
ZXkgYXBwPSJFTiIgZGItaWQ9InZhZnpzOTlmcTBldzBzZWFzZHZ2dHh6dWZhdnhmd3h0eDJ0ciIg
dGltZXN0YW1wPSIxNTA0NzQ2Njg1Ij41MDc8L2tleT48L2ZvcmVpZ24ta2V5cz48cmVmLXR5cGUg
bmFtZT0iSm91cm5hbCBBcnRpY2xlIj4xNzwvcmVmLXR5cGU+PGNvbnRyaWJ1dG9ycz48YXV0aG9y
cz48YXV0aG9yPkZhbWEsIEV1Z2VuZSBGPC9hdXRob3I+PGF1dGhvcj5GcmVuY2gsIEtlbm5ldGgg
UjwvYXV0aG9yPjwvYXV0aG9ycz48L2NvbnRyaWJ1dG9ycz48dGl0bGVzPjx0aXRsZT5CdXNpbmVz
cyBjb25kaXRpb25zIGFuZCBleHBlY3RlZCByZXR1cm5zIG9uIHN0b2NrcyBhbmQgYm9uZHM8L3Rp
dGxlPjxzZWNvbmRhcnktdGl0bGU+Sm91cm5hbCBvZiBmaW5hbmNpYWwgZWNvbm9taWNzPC9zZWNv
bmRhcnktdGl0bGU+PC90aXRsZXM+PHBlcmlvZGljYWw+PGZ1bGwtdGl0bGU+Sm91cm5hbCBvZiBG
aW5hbmNpYWwgRWNvbm9taWNzPC9mdWxsLXRpdGxlPjwvcGVyaW9kaWNhbD48cGFnZXM+MjMtNDk8
L3BhZ2VzPjx2b2x1bWU+MjU8L3ZvbHVtZT48bnVtYmVyPjE8L251bWJlcj48ZGF0ZXM+PHllYXI+
MTk4OTwveWVhcj48L2RhdGVzPjxpc2JuPjAzMDQtNDA1WDwvaXNibj48dXJscz48L3VybHM+PC9y
ZWNvcmQ+PC9DaXRlPjwvRW5kTm90ZT4A
</w:fldData>
        </w:fldChar>
      </w:r>
      <w:r w:rsidR="001B35B7">
        <w:instrText xml:space="preserve"> ADDIN EN.CITE.DATA </w:instrText>
      </w:r>
      <w:r w:rsidR="001B35B7">
        <w:fldChar w:fldCharType="end"/>
      </w:r>
      <w:r w:rsidR="001B35B7">
        <w:fldChar w:fldCharType="separate"/>
      </w:r>
      <w:r w:rsidR="001B35B7">
        <w:rPr>
          <w:noProof/>
        </w:rPr>
        <w:t xml:space="preserve">(e.g. </w:t>
      </w:r>
      <w:hyperlink w:anchor="_ENREF_27" w:tooltip="Keynes, 1936 #461" w:history="1">
        <w:r w:rsidR="006913E2">
          <w:rPr>
            <w:noProof/>
          </w:rPr>
          <w:t>Keynes, 1936</w:t>
        </w:r>
      </w:hyperlink>
      <w:r w:rsidR="001B35B7">
        <w:rPr>
          <w:noProof/>
        </w:rPr>
        <w:t xml:space="preserve">; </w:t>
      </w:r>
      <w:hyperlink w:anchor="_ENREF_38" w:tooltip="Shiller, 1981 #505" w:history="1">
        <w:r w:rsidR="006913E2">
          <w:rPr>
            <w:noProof/>
          </w:rPr>
          <w:t>Shiller, 1981</w:t>
        </w:r>
      </w:hyperlink>
      <w:r w:rsidR="001B35B7">
        <w:rPr>
          <w:noProof/>
        </w:rPr>
        <w:t xml:space="preserve">; </w:t>
      </w:r>
      <w:hyperlink w:anchor="_ENREF_11" w:tooltip="Campbell, 1988 #506" w:history="1">
        <w:r w:rsidR="006913E2">
          <w:rPr>
            <w:noProof/>
          </w:rPr>
          <w:t>Campbell &amp; Shiller, 1988</w:t>
        </w:r>
      </w:hyperlink>
      <w:r w:rsidR="001B35B7">
        <w:rPr>
          <w:noProof/>
        </w:rPr>
        <w:t xml:space="preserve">; </w:t>
      </w:r>
      <w:hyperlink w:anchor="_ENREF_19" w:tooltip="Fama, 1988 #325" w:history="1">
        <w:r w:rsidR="006913E2">
          <w:rPr>
            <w:noProof/>
          </w:rPr>
          <w:t>Fama &amp; French, 1988</w:t>
        </w:r>
      </w:hyperlink>
      <w:r w:rsidR="001B35B7">
        <w:rPr>
          <w:noProof/>
        </w:rPr>
        <w:t xml:space="preserve">; </w:t>
      </w:r>
      <w:hyperlink w:anchor="_ENREF_35" w:tooltip="Poterba, 1988 #326" w:history="1">
        <w:r w:rsidR="006913E2">
          <w:rPr>
            <w:noProof/>
          </w:rPr>
          <w:t>Poterba &amp; Summers, 1988</w:t>
        </w:r>
      </w:hyperlink>
      <w:r w:rsidR="001B35B7">
        <w:rPr>
          <w:noProof/>
        </w:rPr>
        <w:t xml:space="preserve">; </w:t>
      </w:r>
      <w:hyperlink w:anchor="_ENREF_20" w:tooltip="Fama, 1989 #507" w:history="1">
        <w:r w:rsidR="006913E2">
          <w:rPr>
            <w:noProof/>
          </w:rPr>
          <w:t>Fama &amp; French, 1989</w:t>
        </w:r>
      </w:hyperlink>
      <w:r w:rsidR="001B35B7">
        <w:rPr>
          <w:noProof/>
        </w:rPr>
        <w:t xml:space="preserve">; </w:t>
      </w:r>
      <w:hyperlink w:anchor="_ENREF_15" w:tooltip="De Long, 1990 #463" w:history="1">
        <w:r w:rsidR="006913E2">
          <w:rPr>
            <w:noProof/>
          </w:rPr>
          <w:t>De Long, Shleifer, Summers, &amp; Waldmann, 1990</w:t>
        </w:r>
      </w:hyperlink>
      <w:r w:rsidR="001B35B7">
        <w:rPr>
          <w:noProof/>
        </w:rPr>
        <w:t>)</w:t>
      </w:r>
      <w:r w:rsidR="001B35B7">
        <w:fldChar w:fldCharType="end"/>
      </w:r>
      <w:r w:rsidR="007334FC">
        <w:t>. Furthermore</w:t>
      </w:r>
      <w:r w:rsidR="002006EC">
        <w:t xml:space="preserve">, </w:t>
      </w:r>
      <w:hyperlink w:anchor="_ENREF_3" w:tooltip="Baker, 2006 #345" w:history="1">
        <w:r w:rsidR="006913E2" w:rsidRPr="00E65AA7">
          <w:fldChar w:fldCharType="begin"/>
        </w:r>
        <w:r w:rsidR="006913E2" w:rsidRPr="00E65AA7">
          <w:instrText xml:space="preserve"> ADDIN EN.CITE &lt;EndNote&gt;&lt;Cite AuthorYear="1"&gt;&lt;Author&gt;Baker&lt;/Author&gt;&lt;Year&gt;2006&lt;/Year&gt;&lt;RecNum&gt;345&lt;/RecNum&gt;&lt;DisplayText&gt;Baker and Wurgler (2006)&lt;/DisplayText&gt;&lt;record&gt;&lt;rec-number&gt;345&lt;/rec-number&gt;&lt;foreign-keys&gt;&lt;key app="EN" db-id="vafzs99fq0ew0seasdvvtxzufavxfwxtx2tr" timestamp="1449722518"&gt;345&lt;/key&gt;&lt;/foreign-keys&gt;&lt;ref-type name="Journal Article"&gt;17&lt;/ref-type&gt;&lt;contributors&gt;&lt;authors&gt;&lt;author&gt;Baker, Malcolm&lt;/author&gt;&lt;author&gt;Wurgler, Jeffrey&lt;/author&gt;&lt;/authors&gt;&lt;/contributors&gt;&lt;titles&gt;&lt;title&gt;Investor sentiment and the</w:instrText>
        </w:r>
        <w:r w:rsidR="006913E2" w:rsidRPr="00E65AA7">
          <w:rPr>
            <w:rFonts w:hint="eastAsia"/>
          </w:rPr>
          <w:instrText xml:space="preserve"> cross</w:instrText>
        </w:r>
        <w:r w:rsidR="006913E2" w:rsidRPr="00E65AA7">
          <w:rPr>
            <w:rFonts w:hint="eastAsia"/>
          </w:rPr>
          <w:instrText>‐</w:instrText>
        </w:r>
        <w:r w:rsidR="006913E2" w:rsidRPr="00E65AA7">
          <w:rPr>
            <w:rFonts w:hint="eastAsia"/>
          </w:rPr>
          <w:instrText>section of stock returns&lt;/title&gt;&lt;secondary-title&gt;The Journal of Finance&lt;/secondary-title&gt;&lt;/titles&gt;&lt;periodical&gt;&lt;full-title&gt;The Journal of Finance&lt;/full-title&gt;&lt;/periodical&gt;&lt;pages&gt;1645-1680&lt;/pages&gt;&lt;volume&gt;61&lt;/volume&gt;&lt;number&gt;4&lt;/number&gt;&lt;dates&gt;&lt;year&gt;2006</w:instrText>
        </w:r>
        <w:r w:rsidR="006913E2" w:rsidRPr="00E65AA7">
          <w:instrText>&lt;/year&gt;&lt;/dates&gt;&lt;isbn&gt;1540-6261&lt;/isbn&gt;&lt;urls&gt;&lt;/urls&gt;&lt;/record&gt;&lt;/Cite&gt;&lt;/EndNote&gt;</w:instrText>
        </w:r>
        <w:r w:rsidR="006913E2" w:rsidRPr="00E65AA7">
          <w:fldChar w:fldCharType="separate"/>
        </w:r>
        <w:r w:rsidR="006913E2" w:rsidRPr="00E65AA7">
          <w:rPr>
            <w:noProof/>
          </w:rPr>
          <w:t>Baker and Wurgler (2006)</w:t>
        </w:r>
        <w:r w:rsidR="006913E2" w:rsidRPr="00E65AA7">
          <w:fldChar w:fldCharType="end"/>
        </w:r>
      </w:hyperlink>
      <w:r w:rsidR="002006EC" w:rsidRPr="00E65AA7">
        <w:t xml:space="preserve"> </w:t>
      </w:r>
      <w:r w:rsidR="002006EC">
        <w:t xml:space="preserve">show that </w:t>
      </w:r>
      <w:r w:rsidR="0084131B">
        <w:t>the</w:t>
      </w:r>
      <w:r w:rsidR="002006EC">
        <w:t xml:space="preserve"> </w:t>
      </w:r>
      <w:r w:rsidR="0084131B">
        <w:t xml:space="preserve">sentiment </w:t>
      </w:r>
      <w:r w:rsidR="00DB4FC0">
        <w:t>related mispricing is more persistent</w:t>
      </w:r>
      <w:r w:rsidR="002006EC">
        <w:t xml:space="preserve"> in stocks that are hard to value and </w:t>
      </w:r>
      <w:r w:rsidR="00CA7594">
        <w:t>difficult</w:t>
      </w:r>
      <w:r w:rsidR="002006EC">
        <w:t xml:space="preserve"> to arbitrage</w:t>
      </w:r>
      <w:r w:rsidR="00755DFA">
        <w:t>,</w:t>
      </w:r>
      <w:r w:rsidR="002006EC">
        <w:t xml:space="preserve"> </w:t>
      </w:r>
      <w:r w:rsidR="007334FC">
        <w:t>e.g.,</w:t>
      </w:r>
      <w:r w:rsidR="002006EC" w:rsidRPr="00E65AA7">
        <w:t xml:space="preserve"> high volatility, young, small, unprofitable, and non-dividend paying stocks.</w:t>
      </w:r>
      <w:r w:rsidR="00A825A2">
        <w:t xml:space="preserve"> Several studies have shown that the </w:t>
      </w:r>
      <w:r w:rsidR="00692A20">
        <w:t>abnormal returns of stock market anomalies</w:t>
      </w:r>
      <w:r w:rsidR="00A825A2">
        <w:t xml:space="preserve"> are related to </w:t>
      </w:r>
      <w:r w:rsidR="00675221">
        <w:t xml:space="preserve">mispricing caused by </w:t>
      </w:r>
      <w:r w:rsidR="00A825A2">
        <w:t>sentiment</w:t>
      </w:r>
      <w:r w:rsidR="00C8748D">
        <w:t>.</w:t>
      </w:r>
      <w:r w:rsidR="00692A20">
        <w:t xml:space="preserve"> </w:t>
      </w:r>
      <w:r w:rsidR="00A825A2">
        <w:t xml:space="preserve">For example, </w:t>
      </w:r>
      <w:hyperlink w:anchor="_ENREF_23" w:tooltip="Fong, 2014 #436" w:history="1">
        <w:r w:rsidR="006913E2">
          <w:fldChar w:fldCharType="begin"/>
        </w:r>
        <w:r w:rsidR="006913E2">
          <w:instrText xml:space="preserve"> ADDIN EN.CITE &lt;EndNote&gt;&lt;Cite AuthorYear="1"&gt;&lt;Author&gt;Fong&lt;/Author&gt;&lt;Year&gt;2014&lt;/Year&gt;&lt;RecNum&gt;436&lt;/RecNum&gt;&lt;DisplayText&gt;Fong and Toh (2014)&lt;/DisplayText&gt;&lt;record&gt;&lt;rec-number&gt;436&lt;/rec-number&gt;&lt;foreign-keys&gt;&lt;key app="EN" db-id="vafzs99fq0ew0seasdvvtxzufavxfwxtx2tr" timestamp="1490404297"&gt;436&lt;/key&gt;&lt;/foreign-keys&gt;&lt;ref-type name="Journal Article"&gt;17&lt;/ref-type&gt;&lt;contributors&gt;&lt;authors&gt;&lt;author&gt;Fong, Wai Mun&lt;/author&gt;&lt;author&gt;Toh, Benjamin&lt;/author&gt;&lt;/authors&gt;&lt;/contributors&gt;&lt;titles&gt;&lt;title&gt;Investor sentiment and the MAX effect&lt;/title&gt;&lt;secondary-title&gt;Journal of Banking &amp;amp; Finance&lt;/secondary-title&gt;&lt;/titles&gt;&lt;periodical&gt;&lt;full-title&gt;Journal of Banking &amp;amp; Finance&lt;/full-title&gt;&lt;/periodical&gt;&lt;pages&gt;190-201&lt;/pages&gt;&lt;volume&gt;46&lt;/volume&gt;&lt;dates&gt;&lt;year&gt;2014&lt;/year&gt;&lt;/dates&gt;&lt;isbn&gt;0378-4266&lt;/isbn&gt;&lt;urls&gt;&lt;/urls&gt;&lt;/record&gt;&lt;/Cite&gt;&lt;/EndNote&gt;</w:instrText>
        </w:r>
        <w:r w:rsidR="006913E2">
          <w:fldChar w:fldCharType="separate"/>
        </w:r>
        <w:r w:rsidR="006913E2">
          <w:rPr>
            <w:noProof/>
          </w:rPr>
          <w:t>Fong and Toh (2014)</w:t>
        </w:r>
        <w:r w:rsidR="006913E2">
          <w:fldChar w:fldCharType="end"/>
        </w:r>
      </w:hyperlink>
      <w:r w:rsidR="00C8748D">
        <w:t xml:space="preserve"> show that th</w:t>
      </w:r>
      <w:r w:rsidR="00534F40">
        <w:t xml:space="preserve">e </w:t>
      </w:r>
      <w:r w:rsidR="00265A7F" w:rsidRPr="00B97851">
        <w:rPr>
          <w:noProof/>
        </w:rPr>
        <w:t>negative MAX effect</w:t>
      </w:r>
      <w:r w:rsidR="00265A7F">
        <w:rPr>
          <w:noProof/>
        </w:rPr>
        <w:t xml:space="preserve"> </w:t>
      </w:r>
      <w:r w:rsidR="00265A7F" w:rsidRPr="00307184">
        <w:rPr>
          <w:i/>
          <w:noProof/>
        </w:rPr>
        <w:t>exclusively</w:t>
      </w:r>
      <w:r w:rsidR="00265A7F">
        <w:rPr>
          <w:noProof/>
        </w:rPr>
        <w:t xml:space="preserve"> follows</w:t>
      </w:r>
      <w:r w:rsidR="00265A7F" w:rsidRPr="00B97851">
        <w:rPr>
          <w:noProof/>
        </w:rPr>
        <w:t xml:space="preserve"> high sentiment periods suggesting that </w:t>
      </w:r>
      <w:r w:rsidR="00265A7F">
        <w:rPr>
          <w:noProof/>
        </w:rPr>
        <w:t>the MAX effect is sentiment driven</w:t>
      </w:r>
      <w:r w:rsidR="000D61E4">
        <w:t>.</w:t>
      </w:r>
      <w:r w:rsidR="00CE3DE8">
        <w:rPr>
          <w:rStyle w:val="FootnoteReference"/>
        </w:rPr>
        <w:footnoteReference w:id="1"/>
      </w:r>
      <w:r w:rsidR="00DB4FC0">
        <w:t xml:space="preserve"> </w:t>
      </w:r>
      <w:hyperlink w:anchor="_ENREF_39" w:tooltip="Shleifer, 1997 #462" w:history="1">
        <w:r w:rsidR="006913E2">
          <w:fldChar w:fldCharType="begin"/>
        </w:r>
        <w:r w:rsidR="006913E2">
          <w:instrText xml:space="preserve"> ADDIN EN.CITE &lt;EndNote&gt;&lt;Cite AuthorYear="1"&gt;&lt;Author&gt;Shleifer&lt;/Author&gt;&lt;Year&gt;1997&lt;/Year&gt;&lt;RecNum&gt;462&lt;/RecNum&gt;&lt;DisplayText&gt;Shleifer and Vishny (1997)&lt;/DisplayText&gt;&lt;record&gt;&lt;rec-number&gt;462&lt;/rec-number&gt;&lt;foreign-keys&gt;&lt;key app="EN" db-id="vafzs99fq0ew0seasdvvtxzufavxfwxtx2tr" timestamp="1501384258"&gt;462&lt;/key&gt;&lt;/foreign-keys&gt;&lt;ref-type name="Journal Article"&gt;17&lt;/ref-type&gt;&lt;contributors&gt;&lt;authors&gt;&lt;author&gt;Shleifer, Andrei&lt;/author&gt;&lt;author&gt;Vishny, Robert W&lt;/author&gt;&lt;/authors&gt;&lt;/contributors&gt;&lt;titles&gt;&lt;title&gt;The limits of arbitrage&lt;/title&gt;&lt;secondary-title&gt;The Journal of Finance&lt;/secondary-title&gt;&lt;/titles&gt;&lt;periodical&gt;&lt;full-title&gt;The Journal of Finance&lt;/full-title&gt;&lt;/periodical&gt;&lt;pages&gt;35-55&lt;/pages&gt;&lt;volume&gt;52&lt;/volume&gt;&lt;number&gt;1&lt;/number&gt;&lt;dates&gt;&lt;year&gt;1997&lt;/year&gt;&lt;/dates&gt;&lt;isbn&gt;1540-6261&lt;/isbn&gt;&lt;urls&gt;&lt;/urls&gt;&lt;/record&gt;&lt;/Cite&gt;&lt;/EndNote&gt;</w:instrText>
        </w:r>
        <w:r w:rsidR="006913E2">
          <w:fldChar w:fldCharType="separate"/>
        </w:r>
        <w:r w:rsidR="006913E2">
          <w:rPr>
            <w:noProof/>
          </w:rPr>
          <w:t>Shleifer and Vishny (1997)</w:t>
        </w:r>
        <w:r w:rsidR="006913E2">
          <w:fldChar w:fldCharType="end"/>
        </w:r>
      </w:hyperlink>
      <w:r w:rsidR="00160476">
        <w:t xml:space="preserve"> </w:t>
      </w:r>
      <w:r w:rsidR="00337FD0">
        <w:t>suggest that m</w:t>
      </w:r>
      <w:r w:rsidR="00160476">
        <w:t xml:space="preserve">ispricing </w:t>
      </w:r>
      <w:r w:rsidR="00675126">
        <w:t xml:space="preserve">can </w:t>
      </w:r>
      <w:r w:rsidR="00160476">
        <w:t xml:space="preserve">persist for extended periods </w:t>
      </w:r>
      <w:r w:rsidR="002858CF">
        <w:t xml:space="preserve">when rational investors become reluctant to intervene to bring stock prices back to their fundamental values as they avoid noise trader risk that can worsen the mispricing. </w:t>
      </w:r>
      <w:hyperlink w:anchor="_ENREF_11" w:tooltip="Keynes, 1936 #461" w:history="1"/>
    </w:p>
    <w:p w14:paraId="03CE08E3" w14:textId="77777777" w:rsidR="00232DAD" w:rsidRDefault="00994816" w:rsidP="00232DAD">
      <w:pPr>
        <w:spacing w:line="480" w:lineRule="auto"/>
        <w:ind w:firstLine="720"/>
      </w:pPr>
      <w:r>
        <w:t>In this paper, w</w:t>
      </w:r>
      <w:r w:rsidR="00FC5434" w:rsidRPr="00FC5434">
        <w:t xml:space="preserve">e </w:t>
      </w:r>
      <w:r w:rsidR="00744CD8">
        <w:t>extend</w:t>
      </w:r>
      <w:r w:rsidR="00AD679E">
        <w:t xml:space="preserve"> Baker and </w:t>
      </w:r>
      <w:proofErr w:type="spellStart"/>
      <w:r w:rsidR="00AD679E">
        <w:t>Wurgler’s</w:t>
      </w:r>
      <w:proofErr w:type="spellEnd"/>
      <w:r w:rsidR="00AD679E">
        <w:t xml:space="preserve"> (2006</w:t>
      </w:r>
      <w:r w:rsidR="00744CD8">
        <w:t>) argument by introducing noise trader risk through sentiment dynamics</w:t>
      </w:r>
      <w:r w:rsidR="00724EA4">
        <w:t xml:space="preserve"> --</w:t>
      </w:r>
      <w:r w:rsidR="00744CD8">
        <w:t xml:space="preserve"> whether sentiment continues in the same state or transitions to a different state. </w:t>
      </w:r>
      <w:r w:rsidR="00C36999">
        <w:t>If the mispricing of stocks is sentiment-driven</w:t>
      </w:r>
      <w:r w:rsidR="006857A3">
        <w:t>,</w:t>
      </w:r>
      <w:r w:rsidR="003235D4">
        <w:t xml:space="preserve"> we expect</w:t>
      </w:r>
      <w:r w:rsidR="006857A3">
        <w:t>,</w:t>
      </w:r>
      <w:r w:rsidR="003235D4">
        <w:t xml:space="preserve"> </w:t>
      </w:r>
      <w:r w:rsidR="00C36999">
        <w:t>in a two-state sentiment scenario</w:t>
      </w:r>
      <w:r w:rsidR="00A45B8B">
        <w:t>,</w:t>
      </w:r>
      <w:r w:rsidR="00C36999">
        <w:t xml:space="preserve"> for </w:t>
      </w:r>
      <w:r w:rsidR="00B77AC2">
        <w:t xml:space="preserve">the </w:t>
      </w:r>
      <w:r w:rsidR="003235D4">
        <w:t xml:space="preserve">mispricing to worsen if sentiment continues in the same state and for </w:t>
      </w:r>
      <w:r w:rsidR="00724EA4">
        <w:t xml:space="preserve">the </w:t>
      </w:r>
      <w:r w:rsidR="003235D4">
        <w:t xml:space="preserve">mispricing to be corrected when sentiment transitions to the other state. </w:t>
      </w:r>
      <w:r w:rsidR="00DC5031">
        <w:t>In other words, we expect the overpricing (</w:t>
      </w:r>
      <w:proofErr w:type="spellStart"/>
      <w:r w:rsidR="00DC5031">
        <w:t>underpricing</w:t>
      </w:r>
      <w:proofErr w:type="spellEnd"/>
      <w:r w:rsidR="00DC5031">
        <w:t xml:space="preserve">) of </w:t>
      </w:r>
      <w:r w:rsidR="00FF05CC">
        <w:t>hard to value and hard to arbitrage (</w:t>
      </w:r>
      <w:r w:rsidR="00DC5031">
        <w:t>HVHA</w:t>
      </w:r>
      <w:r w:rsidR="00FF05CC">
        <w:t>)</w:t>
      </w:r>
      <w:r w:rsidR="00DC5031">
        <w:t xml:space="preserve"> stocks </w:t>
      </w:r>
      <w:r w:rsidR="008534E7">
        <w:t xml:space="preserve">relative to </w:t>
      </w:r>
      <w:r w:rsidR="0049435A">
        <w:t>easy to value and easy to arbitrage (</w:t>
      </w:r>
      <w:r w:rsidR="008534E7">
        <w:t>EVEA</w:t>
      </w:r>
      <w:r w:rsidR="00E45EBA">
        <w:t>)</w:t>
      </w:r>
      <w:r w:rsidR="008534E7">
        <w:t xml:space="preserve"> stocks </w:t>
      </w:r>
      <w:r w:rsidR="00DC5031">
        <w:t xml:space="preserve">to worsen if </w:t>
      </w:r>
      <w:r w:rsidR="00DC5031">
        <w:lastRenderedPageBreak/>
        <w:t>sentiment continues in the High (Low) state. In contrast, we expect a correction of the overpricing (</w:t>
      </w:r>
      <w:proofErr w:type="spellStart"/>
      <w:r w:rsidR="00DC5031">
        <w:t>underpricing</w:t>
      </w:r>
      <w:proofErr w:type="spellEnd"/>
      <w:r w:rsidR="00DC5031">
        <w:t>) when sentiment transitions from a High (Low) to a Low (High) state.</w:t>
      </w:r>
    </w:p>
    <w:p w14:paraId="713809C6" w14:textId="50E1DC52" w:rsidR="002E007D" w:rsidRDefault="00A64466" w:rsidP="00232DAD">
      <w:pPr>
        <w:spacing w:line="480" w:lineRule="auto"/>
        <w:ind w:firstLine="720"/>
        <w:rPr>
          <w:noProof/>
        </w:rPr>
      </w:pPr>
      <w:r w:rsidRPr="00A64466">
        <w:rPr>
          <w:noProof/>
        </w:rPr>
        <w:t>Bali et al. (2011) find that high MAX stocks are small or illiquid,</w:t>
      </w:r>
      <w:r w:rsidR="005C60C9">
        <w:rPr>
          <w:noProof/>
        </w:rPr>
        <w:t xml:space="preserve"> making them</w:t>
      </w:r>
      <w:r>
        <w:rPr>
          <w:noProof/>
        </w:rPr>
        <w:t xml:space="preserve"> HVHA</w:t>
      </w:r>
      <w:r w:rsidRPr="00A64466">
        <w:rPr>
          <w:noProof/>
        </w:rPr>
        <w:t xml:space="preserve">stocks. </w:t>
      </w:r>
      <w:r w:rsidR="0073426B">
        <w:rPr>
          <w:noProof/>
        </w:rPr>
        <w:t xml:space="preserve">Therefore, </w:t>
      </w:r>
      <w:r w:rsidR="00F9688B">
        <w:rPr>
          <w:noProof/>
        </w:rPr>
        <w:t xml:space="preserve">to the extent that the MAX effect is the result </w:t>
      </w:r>
      <w:r w:rsidR="00A624E2">
        <w:rPr>
          <w:noProof/>
        </w:rPr>
        <w:t>investor optimism during high sentiment periods</w:t>
      </w:r>
      <w:r w:rsidR="00F9688B">
        <w:rPr>
          <w:noProof/>
        </w:rPr>
        <w:t xml:space="preserve"> </w:t>
      </w:r>
      <w:r w:rsidR="00FF1380">
        <w:rPr>
          <w:noProof/>
        </w:rPr>
        <w:t xml:space="preserve"> </w:t>
      </w:r>
      <w:r w:rsidR="0073426B">
        <w:rPr>
          <w:noProof/>
        </w:rPr>
        <w:t xml:space="preserve">as argued in </w:t>
      </w:r>
      <w:hyperlink w:anchor="_ENREF_23" w:tooltip="Fong, 2014 #436" w:history="1">
        <w:r w:rsidR="006913E2">
          <w:fldChar w:fldCharType="begin"/>
        </w:r>
        <w:r w:rsidR="006913E2">
          <w:instrText xml:space="preserve"> ADDIN EN.CITE &lt;EndNote&gt;&lt;Cite AuthorYear="1"&gt;&lt;Author&gt;Fong&lt;/Author&gt;&lt;Year&gt;2014&lt;/Year&gt;&lt;RecNum&gt;436&lt;/RecNum&gt;&lt;DisplayText&gt;Fong and Toh (2014)&lt;/DisplayText&gt;&lt;record&gt;&lt;rec-number&gt;436&lt;/rec-number&gt;&lt;foreign-keys&gt;&lt;key app="EN" db-id="vafzs99fq0ew0seasdvvtxzufavxfwxtx2tr" timestamp="1490404297"&gt;436&lt;/key&gt;&lt;/foreign-keys&gt;&lt;ref-type name="Journal Article"&gt;17&lt;/ref-type&gt;&lt;contributors&gt;&lt;authors&gt;&lt;author&gt;Fong, Wai Mun&lt;/author&gt;&lt;author&gt;Toh, Benjamin&lt;/author&gt;&lt;/authors&gt;&lt;/contributors&gt;&lt;titles&gt;&lt;title&gt;Investor sentiment and the MAX effect&lt;/title&gt;&lt;secondary-title&gt;Journal of Banking &amp;amp; Finance&lt;/secondary-title&gt;&lt;/titles&gt;&lt;periodical&gt;&lt;full-title&gt;Journal of Banking &amp;amp; Finance&lt;/full-title&gt;&lt;/periodical&gt;&lt;pages&gt;190-201&lt;/pages&gt;&lt;volume&gt;46&lt;/volume&gt;&lt;dates&gt;&lt;year&gt;2014&lt;/year&gt;&lt;/dates&gt;&lt;isbn&gt;0378-4266&lt;/isbn&gt;&lt;urls&gt;&lt;/urls&gt;&lt;/record&gt;&lt;/Cite&gt;&lt;/EndNote&gt;</w:instrText>
        </w:r>
        <w:r w:rsidR="006913E2">
          <w:fldChar w:fldCharType="separate"/>
        </w:r>
        <w:r w:rsidR="006913E2">
          <w:rPr>
            <w:noProof/>
          </w:rPr>
          <w:t>Fong and Toh (2014)</w:t>
        </w:r>
        <w:r w:rsidR="006913E2">
          <w:fldChar w:fldCharType="end"/>
        </w:r>
      </w:hyperlink>
      <w:r w:rsidR="0073426B">
        <w:rPr>
          <w:noProof/>
        </w:rPr>
        <w:t xml:space="preserve">, </w:t>
      </w:r>
      <w:r w:rsidR="00F9688B">
        <w:rPr>
          <w:noProof/>
        </w:rPr>
        <w:t xml:space="preserve">we suggest that </w:t>
      </w:r>
      <w:r w:rsidR="00B97851" w:rsidRPr="00B97851">
        <w:rPr>
          <w:noProof/>
        </w:rPr>
        <w:t xml:space="preserve"> </w:t>
      </w:r>
      <w:r w:rsidR="004C7E21">
        <w:rPr>
          <w:noProof/>
        </w:rPr>
        <w:t xml:space="preserve">the </w:t>
      </w:r>
      <w:r w:rsidR="00B97851" w:rsidRPr="00B97851">
        <w:rPr>
          <w:noProof/>
        </w:rPr>
        <w:t xml:space="preserve">overpricing of high MAX stocks </w:t>
      </w:r>
      <w:r w:rsidR="004C7E21">
        <w:rPr>
          <w:noProof/>
        </w:rPr>
        <w:t>in</w:t>
      </w:r>
      <w:r w:rsidR="00DC74EC">
        <w:rPr>
          <w:noProof/>
        </w:rPr>
        <w:t xml:space="preserve"> H</w:t>
      </w:r>
      <w:r w:rsidR="00B97851" w:rsidRPr="00B97851">
        <w:rPr>
          <w:noProof/>
        </w:rPr>
        <w:t xml:space="preserve">igh sentiment periods is corrected </w:t>
      </w:r>
      <w:r w:rsidR="004C7E21" w:rsidRPr="00B10270">
        <w:rPr>
          <w:noProof/>
        </w:rPr>
        <w:t>only</w:t>
      </w:r>
      <w:r w:rsidR="004C7E21">
        <w:rPr>
          <w:noProof/>
        </w:rPr>
        <w:t xml:space="preserve"> </w:t>
      </w:r>
      <w:r w:rsidR="00B97851" w:rsidRPr="00B97851">
        <w:rPr>
          <w:noProof/>
        </w:rPr>
        <w:t>when the subsequent sentiment decreases</w:t>
      </w:r>
      <w:r w:rsidR="00242924">
        <w:rPr>
          <w:noProof/>
        </w:rPr>
        <w:t xml:space="preserve"> </w:t>
      </w:r>
      <w:r w:rsidR="00CD7576">
        <w:rPr>
          <w:noProof/>
        </w:rPr>
        <w:t>while  the</w:t>
      </w:r>
      <w:r w:rsidR="00242924">
        <w:rPr>
          <w:noProof/>
        </w:rPr>
        <w:t xml:space="preserve"> mispricing  worsen</w:t>
      </w:r>
      <w:r w:rsidR="00CD7576">
        <w:rPr>
          <w:noProof/>
        </w:rPr>
        <w:t>s</w:t>
      </w:r>
      <w:r w:rsidR="00242924">
        <w:rPr>
          <w:noProof/>
        </w:rPr>
        <w:t xml:space="preserve"> </w:t>
      </w:r>
      <w:r w:rsidR="000F64D8">
        <w:rPr>
          <w:noProof/>
        </w:rPr>
        <w:t xml:space="preserve">because of noise traders </w:t>
      </w:r>
      <w:r w:rsidR="00242924">
        <w:rPr>
          <w:noProof/>
        </w:rPr>
        <w:t xml:space="preserve">if  sentiment </w:t>
      </w:r>
      <w:r w:rsidR="000F64D8">
        <w:rPr>
          <w:noProof/>
        </w:rPr>
        <w:t>continues</w:t>
      </w:r>
      <w:r w:rsidR="00CD7576">
        <w:rPr>
          <w:noProof/>
        </w:rPr>
        <w:t xml:space="preserve"> in a high state</w:t>
      </w:r>
      <w:r w:rsidR="000F64D8">
        <w:rPr>
          <w:noProof/>
        </w:rPr>
        <w:t>.</w:t>
      </w:r>
      <w:r w:rsidR="005D22D0">
        <w:rPr>
          <w:noProof/>
        </w:rPr>
        <w:t xml:space="preserve"> </w:t>
      </w:r>
      <w:r w:rsidR="0073426B">
        <w:rPr>
          <w:noProof/>
        </w:rPr>
        <w:t xml:space="preserve"> T</w:t>
      </w:r>
      <w:r w:rsidR="00B97851" w:rsidRPr="00B97851">
        <w:rPr>
          <w:noProof/>
        </w:rPr>
        <w:t xml:space="preserve">herefore, </w:t>
      </w:r>
      <w:r w:rsidR="004C7E21">
        <w:rPr>
          <w:noProof/>
        </w:rPr>
        <w:t xml:space="preserve">the </w:t>
      </w:r>
      <w:r w:rsidR="00B97851" w:rsidRPr="00B97851">
        <w:rPr>
          <w:noProof/>
        </w:rPr>
        <w:t xml:space="preserve">negative MAX effect </w:t>
      </w:r>
      <w:r w:rsidR="00DC74EC">
        <w:rPr>
          <w:noProof/>
        </w:rPr>
        <w:t xml:space="preserve">following High sentiment periods </w:t>
      </w:r>
      <w:r w:rsidR="004C7E21">
        <w:rPr>
          <w:noProof/>
        </w:rPr>
        <w:t>would</w:t>
      </w:r>
      <w:r w:rsidR="00B97851" w:rsidRPr="00B97851">
        <w:rPr>
          <w:noProof/>
        </w:rPr>
        <w:t xml:space="preserve"> </w:t>
      </w:r>
      <w:r w:rsidR="00DC74EC">
        <w:rPr>
          <w:noProof/>
        </w:rPr>
        <w:t>obtain</w:t>
      </w:r>
      <w:r w:rsidR="00B97851" w:rsidRPr="00B97851">
        <w:rPr>
          <w:noProof/>
        </w:rPr>
        <w:t xml:space="preserve"> </w:t>
      </w:r>
      <w:r w:rsidR="004C7E21" w:rsidRPr="005A4CA8">
        <w:rPr>
          <w:i/>
          <w:noProof/>
        </w:rPr>
        <w:t>only</w:t>
      </w:r>
      <w:r w:rsidR="004C7E21">
        <w:rPr>
          <w:noProof/>
        </w:rPr>
        <w:t xml:space="preserve"> </w:t>
      </w:r>
      <w:r w:rsidR="00B97851" w:rsidRPr="00B97851">
        <w:rPr>
          <w:noProof/>
        </w:rPr>
        <w:t>when</w:t>
      </w:r>
      <w:r w:rsidR="00C7409E">
        <w:rPr>
          <w:noProof/>
        </w:rPr>
        <w:t xml:space="preserve"> </w:t>
      </w:r>
      <w:r w:rsidR="00B97851" w:rsidRPr="00B97851">
        <w:rPr>
          <w:noProof/>
        </w:rPr>
        <w:t>sent</w:t>
      </w:r>
      <w:r w:rsidR="00DC74EC">
        <w:rPr>
          <w:noProof/>
        </w:rPr>
        <w:t>iment transitions to a L</w:t>
      </w:r>
      <w:r w:rsidR="00242924">
        <w:rPr>
          <w:noProof/>
        </w:rPr>
        <w:t>ow state</w:t>
      </w:r>
      <w:r w:rsidR="00B97851" w:rsidRPr="00B97851">
        <w:rPr>
          <w:noProof/>
        </w:rPr>
        <w:t xml:space="preserve">. Furthermore, </w:t>
      </w:r>
      <w:r w:rsidR="004A33CD">
        <w:rPr>
          <w:noProof/>
        </w:rPr>
        <w:t xml:space="preserve">following Baker and Wurgler (2006) we </w:t>
      </w:r>
      <w:r w:rsidR="00B97851" w:rsidRPr="00B97851">
        <w:rPr>
          <w:noProof/>
        </w:rPr>
        <w:t>argue that high</w:t>
      </w:r>
      <w:r w:rsidR="00A55AD9">
        <w:rPr>
          <w:noProof/>
        </w:rPr>
        <w:t xml:space="preserve"> MAX stocks are underpriced in L</w:t>
      </w:r>
      <w:r w:rsidR="00B97851" w:rsidRPr="00B97851">
        <w:rPr>
          <w:noProof/>
        </w:rPr>
        <w:t xml:space="preserve">ow sentiment periods; therefore, we also expect </w:t>
      </w:r>
      <w:r w:rsidR="004A33CD">
        <w:rPr>
          <w:noProof/>
        </w:rPr>
        <w:t xml:space="preserve">a </w:t>
      </w:r>
      <w:r w:rsidR="00B97851" w:rsidRPr="00B97851">
        <w:rPr>
          <w:noProof/>
        </w:rPr>
        <w:t>negative MAX effect when the subsequent sentiment continues to decrease</w:t>
      </w:r>
      <w:r w:rsidR="00433F3F">
        <w:rPr>
          <w:noProof/>
        </w:rPr>
        <w:t>,</w:t>
      </w:r>
      <w:r w:rsidR="00B97851" w:rsidRPr="00B97851">
        <w:rPr>
          <w:noProof/>
        </w:rPr>
        <w:t xml:space="preserve"> </w:t>
      </w:r>
      <w:r w:rsidR="004A33CD">
        <w:rPr>
          <w:noProof/>
        </w:rPr>
        <w:t>as</w:t>
      </w:r>
      <w:r w:rsidR="00B97851" w:rsidRPr="00B97851">
        <w:rPr>
          <w:noProof/>
        </w:rPr>
        <w:t xml:space="preserve"> high MAX stocks remain underpriced</w:t>
      </w:r>
      <w:r w:rsidR="00F559E6">
        <w:rPr>
          <w:noProof/>
        </w:rPr>
        <w:t xml:space="preserve"> because of noise</w:t>
      </w:r>
      <w:r w:rsidR="00CD7576">
        <w:rPr>
          <w:noProof/>
        </w:rPr>
        <w:t xml:space="preserve"> </w:t>
      </w:r>
      <w:r w:rsidR="00F559E6">
        <w:rPr>
          <w:noProof/>
        </w:rPr>
        <w:t>trader risk</w:t>
      </w:r>
      <w:r w:rsidR="00B97851" w:rsidRPr="00B97851">
        <w:rPr>
          <w:noProof/>
        </w:rPr>
        <w:t>.</w:t>
      </w:r>
    </w:p>
    <w:p w14:paraId="1140EEC4" w14:textId="1A64559D" w:rsidR="00594206" w:rsidRDefault="000A370D" w:rsidP="00C760BC">
      <w:pPr>
        <w:spacing w:line="480" w:lineRule="auto"/>
        <w:ind w:firstLine="720"/>
      </w:pPr>
      <w:r>
        <w:t>Using</w:t>
      </w:r>
      <w:r w:rsidRPr="000A370D">
        <w:t xml:space="preserve"> both survey and market-based measures of investor sentiment</w:t>
      </w:r>
      <w:r>
        <w:t>,</w:t>
      </w:r>
      <w:r w:rsidRPr="000A370D">
        <w:t xml:space="preserve"> </w:t>
      </w:r>
      <w:r w:rsidR="00D07472">
        <w:t>w</w:t>
      </w:r>
      <w:r w:rsidR="004326ED" w:rsidRPr="00E65AA7">
        <w:t xml:space="preserve">e find that </w:t>
      </w:r>
      <w:r w:rsidR="004326ED" w:rsidRPr="00E65AA7">
        <w:rPr>
          <w:i/>
          <w:iCs/>
        </w:rPr>
        <w:t>subsequent</w:t>
      </w:r>
      <w:r w:rsidR="004326ED" w:rsidRPr="00E65AA7">
        <w:t xml:space="preserve"> returns of </w:t>
      </w:r>
      <w:r w:rsidR="004326ED">
        <w:t xml:space="preserve">HVHA stocks </w:t>
      </w:r>
      <w:r w:rsidR="004326ED" w:rsidRPr="00E65AA7">
        <w:t xml:space="preserve">continue to remain high (low) relative to </w:t>
      </w:r>
      <w:r w:rsidR="004326ED">
        <w:t>EVEA s</w:t>
      </w:r>
      <w:r w:rsidR="004326ED" w:rsidRPr="00E65AA7">
        <w:t xml:space="preserve">tocks if the subsequent sentiment continues to increase (decrease). </w:t>
      </w:r>
      <w:r w:rsidR="006378A9">
        <w:t>In contrast</w:t>
      </w:r>
      <w:r w:rsidR="004326ED" w:rsidRPr="00E65AA7">
        <w:t xml:space="preserve">, we find that </w:t>
      </w:r>
      <w:r w:rsidR="004326ED">
        <w:t>HVHA</w:t>
      </w:r>
      <w:r w:rsidR="004326ED" w:rsidRPr="00E65AA7">
        <w:t xml:space="preserve"> stocks earn lower (higher) returns relative to </w:t>
      </w:r>
      <w:r w:rsidR="004326ED">
        <w:t>EVEA</w:t>
      </w:r>
      <w:r w:rsidR="004326ED" w:rsidRPr="00E65AA7">
        <w:t xml:space="preserve"> stocks following High (Low) sentiment periods</w:t>
      </w:r>
      <w:r w:rsidR="00C276FE">
        <w:t xml:space="preserve">, as suggested by Baker and </w:t>
      </w:r>
      <w:proofErr w:type="spellStart"/>
      <w:r w:rsidR="00C276FE">
        <w:t>Wurgler</w:t>
      </w:r>
      <w:proofErr w:type="spellEnd"/>
      <w:r w:rsidR="00C276FE">
        <w:t xml:space="preserve"> (</w:t>
      </w:r>
      <w:r w:rsidR="00CB04F5">
        <w:t xml:space="preserve">2006, </w:t>
      </w:r>
      <w:r w:rsidR="00C276FE">
        <w:t>2007),</w:t>
      </w:r>
      <w:r w:rsidR="007F3068">
        <w:t xml:space="preserve"> but</w:t>
      </w:r>
      <w:r w:rsidR="004326ED" w:rsidRPr="00E65AA7">
        <w:t xml:space="preserve"> </w:t>
      </w:r>
      <w:r w:rsidR="004326ED" w:rsidRPr="00E65AA7">
        <w:rPr>
          <w:i/>
        </w:rPr>
        <w:t>only</w:t>
      </w:r>
      <w:r w:rsidR="004326ED" w:rsidRPr="00E65AA7">
        <w:t xml:space="preserve"> when the subsequent sentiment </w:t>
      </w:r>
      <w:r w:rsidR="006378A9">
        <w:t>transitions to a Low (High) state.</w:t>
      </w:r>
      <w:r w:rsidR="00154351">
        <w:t xml:space="preserve"> </w:t>
      </w:r>
      <w:r w:rsidR="00446E5D">
        <w:t>These results support the view that the mispricing of HVHA and EVEA stocks is sentiment-driven</w:t>
      </w:r>
      <w:r w:rsidR="008269BA">
        <w:t xml:space="preserve"> and it</w:t>
      </w:r>
      <w:r w:rsidR="00E5508A">
        <w:t xml:space="preserve"> highlights the important role of noise trader risk and the difficulty of trading on sentiment-induced mispricing</w:t>
      </w:r>
      <w:r w:rsidR="00491CEC">
        <w:t xml:space="preserve"> especially in the short-</w:t>
      </w:r>
      <w:r w:rsidR="000D4A5A">
        <w:t>run.</w:t>
      </w:r>
      <w:r w:rsidR="00322B00">
        <w:t xml:space="preserve"> Furthermore, </w:t>
      </w:r>
      <w:r w:rsidR="00594206">
        <w:t xml:space="preserve">we find a negative MAX effect when sentiment transitions from a High to a Low state or when sentiment continues to be Low. In contrast, we find a positive MAX effect when sentiment continues to be High or when it transitions from a Low to a </w:t>
      </w:r>
      <w:r w:rsidR="00594206">
        <w:lastRenderedPageBreak/>
        <w:t>High state.</w:t>
      </w:r>
      <w:r w:rsidR="00C17E1E">
        <w:t xml:space="preserve"> </w:t>
      </w:r>
      <w:r w:rsidR="00C17E1E" w:rsidRPr="00C17E1E">
        <w:t xml:space="preserve">We </w:t>
      </w:r>
      <w:r w:rsidR="00C17E1E">
        <w:t xml:space="preserve">also show that the absence of a MAX effect following Low sentiment states </w:t>
      </w:r>
      <w:r w:rsidR="00C17E1E" w:rsidRPr="00C17E1E">
        <w:t xml:space="preserve">is due to the completely offsetting negative </w:t>
      </w:r>
      <w:r w:rsidR="00943D32">
        <w:t>MAX effect generated by sentiment continuation in Low stat</w:t>
      </w:r>
      <w:r w:rsidR="00A624E2">
        <w:t>e</w:t>
      </w:r>
      <w:r w:rsidR="00943D32">
        <w:t xml:space="preserve"> by the</w:t>
      </w:r>
      <w:r w:rsidR="00C17E1E" w:rsidRPr="00C17E1E">
        <w:t xml:space="preserve"> positive MAX effect when sentiment transitions from </w:t>
      </w:r>
      <w:r w:rsidR="002C6E94">
        <w:t xml:space="preserve">a </w:t>
      </w:r>
      <w:r w:rsidR="00740E8A">
        <w:t>Low to a High</w:t>
      </w:r>
      <w:r w:rsidR="002C6E94">
        <w:t xml:space="preserve"> state</w:t>
      </w:r>
      <w:r w:rsidR="00C17E1E" w:rsidRPr="00C17E1E">
        <w:t>.</w:t>
      </w:r>
    </w:p>
    <w:p w14:paraId="42756A05" w14:textId="3B9D6EBF" w:rsidR="00FD185C" w:rsidRDefault="000C6ECB" w:rsidP="000C6ECB">
      <w:pPr>
        <w:spacing w:line="480" w:lineRule="auto"/>
        <w:ind w:firstLine="720"/>
        <w:rPr>
          <w:rFonts w:eastAsia="Times New Roman"/>
        </w:rPr>
      </w:pPr>
      <w:r>
        <w:rPr>
          <w:rFonts w:eastAsia="Times New Roman"/>
        </w:rPr>
        <w:t xml:space="preserve">We contribute to the literature in </w:t>
      </w:r>
      <w:r w:rsidR="00187991">
        <w:rPr>
          <w:rFonts w:eastAsia="Times New Roman"/>
        </w:rPr>
        <w:t>two</w:t>
      </w:r>
      <w:r>
        <w:rPr>
          <w:rFonts w:eastAsia="Times New Roman"/>
        </w:rPr>
        <w:t xml:space="preserve"> ways. First</w:t>
      </w:r>
      <w:r w:rsidR="00187991">
        <w:rPr>
          <w:rFonts w:eastAsia="Times New Roman"/>
        </w:rPr>
        <w:t>,</w:t>
      </w:r>
      <w:r>
        <w:rPr>
          <w:rFonts w:eastAsia="Times New Roman"/>
        </w:rPr>
        <w:t xml:space="preserve"> we extend the analysis of Baker and </w:t>
      </w:r>
      <w:proofErr w:type="spellStart"/>
      <w:r>
        <w:rPr>
          <w:rFonts w:eastAsia="Times New Roman"/>
        </w:rPr>
        <w:t>Wurgler</w:t>
      </w:r>
      <w:proofErr w:type="spellEnd"/>
      <w:r>
        <w:rPr>
          <w:rFonts w:eastAsia="Times New Roman"/>
        </w:rPr>
        <w:t xml:space="preserve"> (2006, 2007) by explicitly considering </w:t>
      </w:r>
      <w:r w:rsidR="00187991">
        <w:rPr>
          <w:rFonts w:eastAsia="Times New Roman"/>
        </w:rPr>
        <w:t>noise trader risk</w:t>
      </w:r>
      <w:r>
        <w:rPr>
          <w:rFonts w:eastAsia="Times New Roman"/>
        </w:rPr>
        <w:t xml:space="preserve">, </w:t>
      </w:r>
      <w:r w:rsidR="002C6E94">
        <w:rPr>
          <w:rFonts w:eastAsia="Times New Roman"/>
        </w:rPr>
        <w:t>and prov</w:t>
      </w:r>
      <w:r w:rsidR="00555EBA">
        <w:rPr>
          <w:rFonts w:eastAsia="Times New Roman"/>
        </w:rPr>
        <w:t>ide</w:t>
      </w:r>
      <w:r w:rsidR="002C6E94">
        <w:rPr>
          <w:rFonts w:eastAsia="Times New Roman"/>
        </w:rPr>
        <w:t xml:space="preserve"> further evidence supportive of the view that the mispricing of HVHA and EVEA stocks is driven by investor sentiment</w:t>
      </w:r>
      <w:r w:rsidR="00187991">
        <w:rPr>
          <w:rFonts w:eastAsia="Times New Roman"/>
        </w:rPr>
        <w:t xml:space="preserve">. </w:t>
      </w:r>
      <w:r w:rsidR="00187991">
        <w:t>Second</w:t>
      </w:r>
      <w:r w:rsidR="00724EA4">
        <w:t>,</w:t>
      </w:r>
      <w:r w:rsidRPr="000C6ECB">
        <w:rPr>
          <w:rFonts w:eastAsia="Times New Roman"/>
        </w:rPr>
        <w:t xml:space="preserve"> </w:t>
      </w:r>
      <w:r>
        <w:rPr>
          <w:rFonts w:eastAsia="Times New Roman"/>
        </w:rPr>
        <w:t>w</w:t>
      </w:r>
      <w:r w:rsidRPr="000E1A1E">
        <w:rPr>
          <w:rFonts w:eastAsia="Times New Roman"/>
        </w:rPr>
        <w:t>e show</w:t>
      </w:r>
      <w:r w:rsidR="003E3D0B">
        <w:rPr>
          <w:rFonts w:eastAsia="Times New Roman"/>
        </w:rPr>
        <w:t xml:space="preserve"> the importance of </w:t>
      </w:r>
      <w:r w:rsidRPr="000E1A1E">
        <w:rPr>
          <w:rFonts w:eastAsia="Times New Roman"/>
        </w:rPr>
        <w:t>consider</w:t>
      </w:r>
      <w:r w:rsidR="003E3D0B">
        <w:rPr>
          <w:rFonts w:eastAsia="Times New Roman"/>
        </w:rPr>
        <w:t>ing</w:t>
      </w:r>
      <w:r w:rsidRPr="000E1A1E">
        <w:rPr>
          <w:rFonts w:eastAsia="Times New Roman"/>
        </w:rPr>
        <w:t xml:space="preserve"> sentiment dynamics when examining stock market anomalies</w:t>
      </w:r>
      <w:r>
        <w:rPr>
          <w:rFonts w:eastAsia="Times New Roman"/>
        </w:rPr>
        <w:t>.</w:t>
      </w:r>
      <w:r w:rsidRPr="000E1A1E">
        <w:rPr>
          <w:rFonts w:eastAsia="Times New Roman"/>
        </w:rPr>
        <w:t xml:space="preserve"> </w:t>
      </w:r>
      <w:r>
        <w:rPr>
          <w:rFonts w:eastAsia="Times New Roman"/>
        </w:rPr>
        <w:t>A</w:t>
      </w:r>
      <w:r w:rsidR="00D90ED4">
        <w:rPr>
          <w:rFonts w:eastAsia="Times New Roman"/>
        </w:rPr>
        <w:t>s far as we know, we are the first to sh</w:t>
      </w:r>
      <w:r w:rsidR="00761FD9">
        <w:rPr>
          <w:rFonts w:eastAsia="Times New Roman"/>
        </w:rPr>
        <w:t xml:space="preserve">ow </w:t>
      </w:r>
      <w:r w:rsidR="00350C4D">
        <w:rPr>
          <w:rFonts w:eastAsia="Times New Roman"/>
        </w:rPr>
        <w:t>that the MAX effect can either be negative or positive depending on sentiment dynamics</w:t>
      </w:r>
      <w:r w:rsidR="002C6E94">
        <w:rPr>
          <w:rFonts w:eastAsia="Times New Roman"/>
        </w:rPr>
        <w:t>,</w:t>
      </w:r>
      <w:r w:rsidR="00FF1380">
        <w:rPr>
          <w:rFonts w:eastAsia="Times New Roman"/>
        </w:rPr>
        <w:t xml:space="preserve"> </w:t>
      </w:r>
      <w:r w:rsidR="005475C7">
        <w:rPr>
          <w:rFonts w:eastAsia="Times New Roman"/>
        </w:rPr>
        <w:t xml:space="preserve">providing </w:t>
      </w:r>
      <w:r w:rsidR="00FF1380">
        <w:rPr>
          <w:rFonts w:eastAsia="Times New Roman"/>
        </w:rPr>
        <w:t xml:space="preserve">further support to the </w:t>
      </w:r>
      <w:r w:rsidR="007F3068">
        <w:rPr>
          <w:rFonts w:eastAsia="Times New Roman"/>
        </w:rPr>
        <w:t>view</w:t>
      </w:r>
      <w:r w:rsidR="00FF1380">
        <w:rPr>
          <w:rFonts w:eastAsia="Times New Roman"/>
        </w:rPr>
        <w:t xml:space="preserve"> that the MAX effect is a sentiment driven mispricing</w:t>
      </w:r>
      <w:r w:rsidR="00350C4D">
        <w:rPr>
          <w:rFonts w:eastAsia="Times New Roman"/>
        </w:rPr>
        <w:t>.</w:t>
      </w:r>
    </w:p>
    <w:p w14:paraId="21FC19EC" w14:textId="43AB6CDA" w:rsidR="00D615B5" w:rsidRDefault="004326ED" w:rsidP="00C760BC">
      <w:pPr>
        <w:spacing w:line="480" w:lineRule="auto"/>
        <w:ind w:firstLine="720"/>
        <w:rPr>
          <w:rFonts w:eastAsia="Times New Roman"/>
        </w:rPr>
      </w:pPr>
      <w:r w:rsidRPr="00E65AA7">
        <w:rPr>
          <w:rFonts w:eastAsia="Times New Roman"/>
        </w:rPr>
        <w:t xml:space="preserve">Section II </w:t>
      </w:r>
      <w:r w:rsidR="009A1859">
        <w:rPr>
          <w:rFonts w:eastAsia="Times New Roman"/>
        </w:rPr>
        <w:t>develops the hypothes</w:t>
      </w:r>
      <w:r w:rsidR="00D615B5">
        <w:rPr>
          <w:rFonts w:eastAsia="Times New Roman"/>
        </w:rPr>
        <w:t>e</w:t>
      </w:r>
      <w:r w:rsidR="009A1859">
        <w:rPr>
          <w:rFonts w:eastAsia="Times New Roman"/>
        </w:rPr>
        <w:t xml:space="preserve">s, Section III </w:t>
      </w:r>
      <w:r w:rsidRPr="00E65AA7">
        <w:rPr>
          <w:rFonts w:eastAsia="Times New Roman"/>
        </w:rPr>
        <w:t xml:space="preserve">describes the data, </w:t>
      </w:r>
      <w:proofErr w:type="gramStart"/>
      <w:r w:rsidRPr="00E65AA7">
        <w:rPr>
          <w:rFonts w:eastAsia="Times New Roman"/>
        </w:rPr>
        <w:t>in particular our</w:t>
      </w:r>
      <w:proofErr w:type="gramEnd"/>
      <w:r w:rsidRPr="00E65AA7">
        <w:rPr>
          <w:rFonts w:eastAsia="Times New Roman"/>
        </w:rPr>
        <w:t xml:space="preserve"> proxies for investor sentiment and </w:t>
      </w:r>
      <w:r>
        <w:rPr>
          <w:rFonts w:eastAsia="Times New Roman"/>
        </w:rPr>
        <w:t>HVHA</w:t>
      </w:r>
      <w:r w:rsidR="009A1859">
        <w:rPr>
          <w:rFonts w:eastAsia="Times New Roman"/>
        </w:rPr>
        <w:t xml:space="preserve"> stocks,</w:t>
      </w:r>
      <w:r w:rsidRPr="00E65AA7">
        <w:rPr>
          <w:rFonts w:eastAsia="Times New Roman"/>
        </w:rPr>
        <w:t xml:space="preserve"> Section </w:t>
      </w:r>
      <w:r w:rsidR="000834F3" w:rsidRPr="00E65AA7">
        <w:rPr>
          <w:rFonts w:eastAsia="Times New Roman"/>
        </w:rPr>
        <w:t>I</w:t>
      </w:r>
      <w:r w:rsidR="009A1859">
        <w:rPr>
          <w:rFonts w:eastAsia="Times New Roman"/>
        </w:rPr>
        <w:t>V</w:t>
      </w:r>
      <w:r w:rsidR="000834F3" w:rsidRPr="00E65AA7">
        <w:rPr>
          <w:rFonts w:eastAsia="Times New Roman"/>
        </w:rPr>
        <w:t xml:space="preserve"> </w:t>
      </w:r>
      <w:r w:rsidRPr="00E65AA7">
        <w:rPr>
          <w:rFonts w:eastAsia="Times New Roman"/>
        </w:rPr>
        <w:t>provides the empirical results</w:t>
      </w:r>
      <w:r w:rsidR="009A1859">
        <w:rPr>
          <w:rFonts w:eastAsia="Times New Roman"/>
        </w:rPr>
        <w:t xml:space="preserve">, </w:t>
      </w:r>
      <w:r w:rsidRPr="00E65AA7">
        <w:rPr>
          <w:rFonts w:eastAsia="Times New Roman"/>
        </w:rPr>
        <w:t>Section V applies robustness tests and the last section concludes</w:t>
      </w:r>
    </w:p>
    <w:p w14:paraId="41B3EBAD" w14:textId="30993077" w:rsidR="00AA017C" w:rsidRPr="00C24A72" w:rsidRDefault="00D615B5" w:rsidP="00C760BC">
      <w:pPr>
        <w:spacing w:line="480" w:lineRule="auto"/>
        <w:ind w:firstLine="720"/>
        <w:rPr>
          <w:rFonts w:asciiTheme="minorHAnsi" w:hAnsiTheme="minorHAnsi" w:cstheme="minorHAnsi"/>
          <w:b/>
          <w:sz w:val="28"/>
          <w:szCs w:val="28"/>
        </w:rPr>
      </w:pPr>
      <w:r w:rsidRPr="00C24A72">
        <w:rPr>
          <w:rFonts w:asciiTheme="minorHAnsi" w:hAnsiTheme="minorHAnsi" w:cstheme="minorHAnsi"/>
          <w:b/>
          <w:sz w:val="28"/>
          <w:szCs w:val="28"/>
        </w:rPr>
        <w:t>II</w:t>
      </w:r>
      <w:r w:rsidR="00C24A72">
        <w:rPr>
          <w:rFonts w:asciiTheme="minorHAnsi" w:hAnsiTheme="minorHAnsi" w:cstheme="minorHAnsi"/>
          <w:b/>
          <w:sz w:val="28"/>
          <w:szCs w:val="28"/>
        </w:rPr>
        <w:t xml:space="preserve"> </w:t>
      </w:r>
      <w:r w:rsidRPr="00C24A72">
        <w:rPr>
          <w:rFonts w:asciiTheme="minorHAnsi" w:hAnsiTheme="minorHAnsi" w:cstheme="minorHAnsi"/>
          <w:b/>
          <w:sz w:val="28"/>
          <w:szCs w:val="28"/>
        </w:rPr>
        <w:t>D</w:t>
      </w:r>
      <w:r w:rsidR="00AA017C" w:rsidRPr="00C24A72">
        <w:rPr>
          <w:rFonts w:asciiTheme="minorHAnsi" w:hAnsiTheme="minorHAnsi" w:cstheme="minorHAnsi"/>
          <w:b/>
          <w:sz w:val="28"/>
          <w:szCs w:val="28"/>
        </w:rPr>
        <w:t>evelopment of Hypotheses</w:t>
      </w:r>
    </w:p>
    <w:p w14:paraId="52C1805B" w14:textId="06D6B8C4" w:rsidR="00AA017C" w:rsidRDefault="00AA017C" w:rsidP="00AA017C">
      <w:pPr>
        <w:spacing w:line="480" w:lineRule="auto"/>
        <w:ind w:firstLine="720"/>
      </w:pPr>
      <w:r>
        <w:t xml:space="preserve">The prevailing consensus is that investor sentiment is a contrarian predictor of stock returns over long horizons </w:t>
      </w:r>
      <w:r>
        <w:fldChar w:fldCharType="begin">
          <w:fldData xml:space="preserve">PEVuZE5vdGU+PENpdGU+PEF1dGhvcj5Ccm93bjwvQXV0aG9yPjxZZWFyPjIwMDU8L1llYXI+PFJl
Y051bT4zNzY8L1JlY051bT48RGlzcGxheVRleHQ+KEJha2VyICZhbXA7IFN0ZWluLCAyMDA0OyBC
cm93biAmYW1wOyBDbGlmZiwgMjAwNTsgU2NobWVsaW5nLCAyMDA5OyBCYWtlciwgV3VyZ2xlciwg
JmFtcDsgWXVhbiwgMjAxMik8L0Rpc3BsYXlUZXh0PjxyZWNvcmQ+PHJlYy1udW1iZXI+Mzc2PC9y
ZWMtbnVtYmVyPjxmb3JlaWduLWtleXM+PGtleSBhcHA9IkVOIiBkYi1pZD0idmFmenM5OWZxMGV3
MHNlYXNkdnZ0eHp1ZmF2eGZ3eHR4MnRyIiB0aW1lc3RhbXA9IjE0NzU2NjE2NzIiPjM3Njwva2V5
PjwvZm9yZWlnbi1rZXlzPjxyZWYtdHlwZSBuYW1lPSJKb3VybmFsIEFydGljbGUiPjE3PC9yZWYt
dHlwZT48Y29udHJpYnV0b3JzPjxhdXRob3JzPjxhdXRob3I+QnJvd24sIEdyZWdvcnkgVzwvYXV0
aG9yPjxhdXRob3I+Q2xpZmYsIE1pY2hhZWwgVDwvYXV0aG9yPjwvYXV0aG9ycz48L2NvbnRyaWJ1
dG9ycz48dGl0bGVzPjx0aXRsZT5JbnZlc3RvciBzZW50aW1lbnQgYW5kIGFzc2V0IHZhbHVhdGlv
bjwvdGl0bGU+PHNlY29uZGFyeS10aXRsZT5UaGUgSm91cm5hbCBvZiBCdXNpbmVzczwvc2Vjb25k
YXJ5LXRpdGxlPjwvdGl0bGVzPjxwZXJpb2RpY2FsPjxmdWxsLXRpdGxlPlRoZSBKb3VybmFsIG9m
IEJ1c2luZXNzPC9mdWxsLXRpdGxlPjwvcGVyaW9kaWNhbD48cGFnZXM+NDA1LTQ0MDwvcGFnZXM+
PHZvbHVtZT43ODwvdm9sdW1lPjxudW1iZXI+MjwvbnVtYmVyPjxkYXRlcz48eWVhcj4yMDA1PC95
ZWFyPjwvZGF0ZXM+PHVybHM+PC91cmxzPjwvcmVjb3JkPjwvQ2l0ZT48Q2l0ZT48QXV0aG9yPkJh
a2VyPC9BdXRob3I+PFllYXI+MjAwNDwvWWVhcj48UmVjTnVtPjQ4MDwvUmVjTnVtPjxyZWNvcmQ+
PHJlYy1udW1iZXI+NDgwPC9yZWMtbnVtYmVyPjxmb3JlaWduLWtleXM+PGtleSBhcHA9IkVOIiBk
Yi1pZD0idmFmenM5OWZxMGV3MHNlYXNkdnZ0eHp1ZmF2eGZ3eHR4MnRyIiB0aW1lc3RhbXA9IjE1
MDI1MTA4ODkiPjQ4MDwva2V5PjwvZm9yZWlnbi1rZXlzPjxyZWYtdHlwZSBuYW1lPSJKb3VybmFs
IEFydGljbGUiPjE3PC9yZWYtdHlwZT48Y29udHJpYnV0b3JzPjxhdXRob3JzPjxhdXRob3I+QmFr
ZXIsIE1hbGNvbG08L2F1dGhvcj48YXV0aG9yPlN0ZWluLCBKZXJlbXkgQzwvYXV0aG9yPjwvYXV0
aG9ycz48L2NvbnRyaWJ1dG9ycz48dGl0bGVzPjx0aXRsZT5NYXJrZXQgbGlxdWlkaXR5IGFzIGEg
c2VudGltZW50IGluZGljYXRvcjwvdGl0bGU+PHNlY29uZGFyeS10aXRsZT5Kb3VybmFsIG9mIEZp
bmFuY2lhbCBNYXJrZXRzPC9zZWNvbmRhcnktdGl0bGU+PC90aXRsZXM+PHBlcmlvZGljYWw+PGZ1
bGwtdGl0bGU+Sm91cm5hbCBvZiBGaW5hbmNpYWwgTWFya2V0czwvZnVsbC10aXRsZT48L3Blcmlv
ZGljYWw+PHBhZ2VzPjI3MS0yOTk8L3BhZ2VzPjx2b2x1bWU+Nzwvdm9sdW1lPjxudW1iZXI+Mzwv
bnVtYmVyPjxkYXRlcz48eWVhcj4yMDA0PC95ZWFyPjwvZGF0ZXM+PGlzYm4+MTM4Ni00MTgxPC9p
c2JuPjx1cmxzPjwvdXJscz48L3JlY29yZD48L0NpdGU+PENpdGU+PEF1dGhvcj5TY2htZWxpbmc8
L0F1dGhvcj48WWVhcj4yMDA5PC9ZZWFyPjxSZWNOdW0+NDgxPC9SZWNOdW0+PHJlY29yZD48cmVj
LW51bWJlcj40ODE8L3JlYy1udW1iZXI+PGZvcmVpZ24ta2V5cz48a2V5IGFwcD0iRU4iIGRiLWlk
PSJ2YWZ6czk5ZnEwZXcwc2Vhc2R2dnR4enVmYXZ4Znd4dHgydHIiIHRpbWVzdGFtcD0iMTUwMjUx
NDU5OSI+NDgxPC9rZXk+PC9mb3JlaWduLWtleXM+PHJlZi10eXBlIG5hbWU9IkpvdXJuYWwgQXJ0
aWNsZSI+MTc8L3JlZi10eXBlPjxjb250cmlidXRvcnM+PGF1dGhvcnM+PGF1dGhvcj5TY2htZWxp
bmcsIE1haWs8L2F1dGhvcj48L2F1dGhvcnM+PC9jb250cmlidXRvcnM+PHRpdGxlcz48dGl0bGU+
SW52ZXN0b3Igc2VudGltZW50IGFuZCBzdG9jayByZXR1cm5zOiBTb21lIGludGVybmF0aW9uYWwg
ZXZpZGVuY2U8L3RpdGxlPjxzZWNvbmRhcnktdGl0bGU+Sm91cm5hbCBvZiBlbXBpcmljYWwgZmlu
YW5jZTwvc2Vjb25kYXJ5LXRpdGxlPjwvdGl0bGVzPjxwZXJpb2RpY2FsPjxmdWxsLXRpdGxlPkpv
dXJuYWwgb2YgRW1waXJpY2FsIEZpbmFuY2U8L2Z1bGwtdGl0bGU+PC9wZXJpb2RpY2FsPjxwYWdl
cz4zOTQtNDA4PC9wYWdlcz48dm9sdW1lPjE2PC92b2x1bWU+PG51bWJlcj4zPC9udW1iZXI+PGRh
dGVzPjx5ZWFyPjIwMDk8L3llYXI+PC9kYXRlcz48aXNibj4wOTI3LTUzOTg8L2lzYm4+PHVybHM+
PC91cmxzPjwvcmVjb3JkPjwvQ2l0ZT48Q2l0ZT48QXV0aG9yPkJha2VyPC9BdXRob3I+PFllYXI+
MjAxMjwvWWVhcj48UmVjTnVtPjQ4MzwvUmVjTnVtPjxyZWNvcmQ+PHJlYy1udW1iZXI+NDgzPC9y
ZWMtbnVtYmVyPjxmb3JlaWduLWtleXM+PGtleSBhcHA9IkVOIiBkYi1pZD0idmFmenM5OWZxMGV3
MHNlYXNkdnZ0eHp1ZmF2eGZ3eHR4MnRyIiB0aW1lc3RhbXA9IjE1MDI1MTUzMjkiPjQ4Mzwva2V5
PjwvZm9yZWlnbi1rZXlzPjxyZWYtdHlwZSBuYW1lPSJKb3VybmFsIEFydGljbGUiPjE3PC9yZWYt
dHlwZT48Y29udHJpYnV0b3JzPjxhdXRob3JzPjxhdXRob3I+QmFrZXIsIE1hbGNvbG08L2F1dGhv
cj48YXV0aG9yPld1cmdsZXIsIEplZmZyZXk8L2F1dGhvcj48YXV0aG9yPll1YW4sIFl1PC9hdXRo
b3I+PC9hdXRob3JzPjwvY29udHJpYnV0b3JzPjx0aXRsZXM+PHRpdGxlPkdsb2JhbCwgbG9jYWws
IGFuZCBjb250YWdpb3VzIGludmVzdG9yIHNlbnRpbWVudDwvdGl0bGU+PHNlY29uZGFyeS10aXRs
ZT5Kb3VybmFsIG9mIEZpbmFuY2lhbCBFY29ub21pY3M8L3NlY29uZGFyeS10aXRsZT48L3RpdGxl
cz48cGVyaW9kaWNhbD48ZnVsbC10aXRsZT5Kb3VybmFsIG9mIEZpbmFuY2lhbCBFY29ub21pY3M8
L2Z1bGwtdGl0bGU+PC9wZXJpb2RpY2FsPjxwYWdlcz4yNzItMjg3PC9wYWdlcz48dm9sdW1lPjEw
NDwvdm9sdW1lPjxudW1iZXI+MjwvbnVtYmVyPjxkYXRlcz48eWVhcj4yMDEyPC95ZWFyPjwvZGF0
ZXM+PGlzYm4+MDMwNC00MDVYPC9pc2JuPjx1cmxzPjwvdXJscz48L3JlY29yZD48L0NpdGU+PC9F
bmROb3RlPgB=
</w:fldData>
        </w:fldChar>
      </w:r>
      <w:r>
        <w:instrText xml:space="preserve"> ADDIN EN.CITE </w:instrText>
      </w:r>
      <w:r>
        <w:fldChar w:fldCharType="begin">
          <w:fldData xml:space="preserve">PEVuZE5vdGU+PENpdGU+PEF1dGhvcj5Ccm93bjwvQXV0aG9yPjxZZWFyPjIwMDU8L1llYXI+PFJl
Y051bT4zNzY8L1JlY051bT48RGlzcGxheVRleHQ+KEJha2VyICZhbXA7IFN0ZWluLCAyMDA0OyBC
cm93biAmYW1wOyBDbGlmZiwgMjAwNTsgU2NobWVsaW5nLCAyMDA5OyBCYWtlciwgV3VyZ2xlciwg
JmFtcDsgWXVhbiwgMjAxMik8L0Rpc3BsYXlUZXh0PjxyZWNvcmQ+PHJlYy1udW1iZXI+Mzc2PC9y
ZWMtbnVtYmVyPjxmb3JlaWduLWtleXM+PGtleSBhcHA9IkVOIiBkYi1pZD0idmFmenM5OWZxMGV3
MHNlYXNkdnZ0eHp1ZmF2eGZ3eHR4MnRyIiB0aW1lc3RhbXA9IjE0NzU2NjE2NzIiPjM3Njwva2V5
PjwvZm9yZWlnbi1rZXlzPjxyZWYtdHlwZSBuYW1lPSJKb3VybmFsIEFydGljbGUiPjE3PC9yZWYt
dHlwZT48Y29udHJpYnV0b3JzPjxhdXRob3JzPjxhdXRob3I+QnJvd24sIEdyZWdvcnkgVzwvYXV0
aG9yPjxhdXRob3I+Q2xpZmYsIE1pY2hhZWwgVDwvYXV0aG9yPjwvYXV0aG9ycz48L2NvbnRyaWJ1
dG9ycz48dGl0bGVzPjx0aXRsZT5JbnZlc3RvciBzZW50aW1lbnQgYW5kIGFzc2V0IHZhbHVhdGlv
bjwvdGl0bGU+PHNlY29uZGFyeS10aXRsZT5UaGUgSm91cm5hbCBvZiBCdXNpbmVzczwvc2Vjb25k
YXJ5LXRpdGxlPjwvdGl0bGVzPjxwZXJpb2RpY2FsPjxmdWxsLXRpdGxlPlRoZSBKb3VybmFsIG9m
IEJ1c2luZXNzPC9mdWxsLXRpdGxlPjwvcGVyaW9kaWNhbD48cGFnZXM+NDA1LTQ0MDwvcGFnZXM+
PHZvbHVtZT43ODwvdm9sdW1lPjxudW1iZXI+MjwvbnVtYmVyPjxkYXRlcz48eWVhcj4yMDA1PC95
ZWFyPjwvZGF0ZXM+PHVybHM+PC91cmxzPjwvcmVjb3JkPjwvQ2l0ZT48Q2l0ZT48QXV0aG9yPkJh
a2VyPC9BdXRob3I+PFllYXI+MjAwNDwvWWVhcj48UmVjTnVtPjQ4MDwvUmVjTnVtPjxyZWNvcmQ+
PHJlYy1udW1iZXI+NDgwPC9yZWMtbnVtYmVyPjxmb3JlaWduLWtleXM+PGtleSBhcHA9IkVOIiBk
Yi1pZD0idmFmenM5OWZxMGV3MHNlYXNkdnZ0eHp1ZmF2eGZ3eHR4MnRyIiB0aW1lc3RhbXA9IjE1
MDI1MTA4ODkiPjQ4MDwva2V5PjwvZm9yZWlnbi1rZXlzPjxyZWYtdHlwZSBuYW1lPSJKb3VybmFs
IEFydGljbGUiPjE3PC9yZWYtdHlwZT48Y29udHJpYnV0b3JzPjxhdXRob3JzPjxhdXRob3I+QmFr
ZXIsIE1hbGNvbG08L2F1dGhvcj48YXV0aG9yPlN0ZWluLCBKZXJlbXkgQzwvYXV0aG9yPjwvYXV0
aG9ycz48L2NvbnRyaWJ1dG9ycz48dGl0bGVzPjx0aXRsZT5NYXJrZXQgbGlxdWlkaXR5IGFzIGEg
c2VudGltZW50IGluZGljYXRvcjwvdGl0bGU+PHNlY29uZGFyeS10aXRsZT5Kb3VybmFsIG9mIEZp
bmFuY2lhbCBNYXJrZXRzPC9zZWNvbmRhcnktdGl0bGU+PC90aXRsZXM+PHBlcmlvZGljYWw+PGZ1
bGwtdGl0bGU+Sm91cm5hbCBvZiBGaW5hbmNpYWwgTWFya2V0czwvZnVsbC10aXRsZT48L3Blcmlv
ZGljYWw+PHBhZ2VzPjI3MS0yOTk8L3BhZ2VzPjx2b2x1bWU+Nzwvdm9sdW1lPjxudW1iZXI+Mzwv
bnVtYmVyPjxkYXRlcz48eWVhcj4yMDA0PC95ZWFyPjwvZGF0ZXM+PGlzYm4+MTM4Ni00MTgxPC9p
c2JuPjx1cmxzPjwvdXJscz48L3JlY29yZD48L0NpdGU+PENpdGU+PEF1dGhvcj5TY2htZWxpbmc8
L0F1dGhvcj48WWVhcj4yMDA5PC9ZZWFyPjxSZWNOdW0+NDgxPC9SZWNOdW0+PHJlY29yZD48cmVj
LW51bWJlcj40ODE8L3JlYy1udW1iZXI+PGZvcmVpZ24ta2V5cz48a2V5IGFwcD0iRU4iIGRiLWlk
PSJ2YWZ6czk5ZnEwZXcwc2Vhc2R2dnR4enVmYXZ4Znd4dHgydHIiIHRpbWVzdGFtcD0iMTUwMjUx
NDU5OSI+NDgxPC9rZXk+PC9mb3JlaWduLWtleXM+PHJlZi10eXBlIG5hbWU9IkpvdXJuYWwgQXJ0
aWNsZSI+MTc8L3JlZi10eXBlPjxjb250cmlidXRvcnM+PGF1dGhvcnM+PGF1dGhvcj5TY2htZWxp
bmcsIE1haWs8L2F1dGhvcj48L2F1dGhvcnM+PC9jb250cmlidXRvcnM+PHRpdGxlcz48dGl0bGU+
SW52ZXN0b3Igc2VudGltZW50IGFuZCBzdG9jayByZXR1cm5zOiBTb21lIGludGVybmF0aW9uYWwg
ZXZpZGVuY2U8L3RpdGxlPjxzZWNvbmRhcnktdGl0bGU+Sm91cm5hbCBvZiBlbXBpcmljYWwgZmlu
YW5jZTwvc2Vjb25kYXJ5LXRpdGxlPjwvdGl0bGVzPjxwZXJpb2RpY2FsPjxmdWxsLXRpdGxlPkpv
dXJuYWwgb2YgRW1waXJpY2FsIEZpbmFuY2U8L2Z1bGwtdGl0bGU+PC9wZXJpb2RpY2FsPjxwYWdl
cz4zOTQtNDA4PC9wYWdlcz48dm9sdW1lPjE2PC92b2x1bWU+PG51bWJlcj4zPC9udW1iZXI+PGRh
dGVzPjx5ZWFyPjIwMDk8L3llYXI+PC9kYXRlcz48aXNibj4wOTI3LTUzOTg8L2lzYm4+PHVybHM+
PC91cmxzPjwvcmVjb3JkPjwvQ2l0ZT48Q2l0ZT48QXV0aG9yPkJha2VyPC9BdXRob3I+PFllYXI+
MjAxMjwvWWVhcj48UmVjTnVtPjQ4MzwvUmVjTnVtPjxyZWNvcmQ+PHJlYy1udW1iZXI+NDgzPC9y
ZWMtbnVtYmVyPjxmb3JlaWduLWtleXM+PGtleSBhcHA9IkVOIiBkYi1pZD0idmFmenM5OWZxMGV3
MHNlYXNkdnZ0eHp1ZmF2eGZ3eHR4MnRyIiB0aW1lc3RhbXA9IjE1MDI1MTUzMjkiPjQ4Mzwva2V5
PjwvZm9yZWlnbi1rZXlzPjxyZWYtdHlwZSBuYW1lPSJKb3VybmFsIEFydGljbGUiPjE3PC9yZWYt
dHlwZT48Y29udHJpYnV0b3JzPjxhdXRob3JzPjxhdXRob3I+QmFrZXIsIE1hbGNvbG08L2F1dGhv
cj48YXV0aG9yPld1cmdsZXIsIEplZmZyZXk8L2F1dGhvcj48YXV0aG9yPll1YW4sIFl1PC9hdXRo
b3I+PC9hdXRob3JzPjwvY29udHJpYnV0b3JzPjx0aXRsZXM+PHRpdGxlPkdsb2JhbCwgbG9jYWws
IGFuZCBjb250YWdpb3VzIGludmVzdG9yIHNlbnRpbWVudDwvdGl0bGU+PHNlY29uZGFyeS10aXRs
ZT5Kb3VybmFsIG9mIEZpbmFuY2lhbCBFY29ub21pY3M8L3NlY29uZGFyeS10aXRsZT48L3RpdGxl
cz48cGVyaW9kaWNhbD48ZnVsbC10aXRsZT5Kb3VybmFsIG9mIEZpbmFuY2lhbCBFY29ub21pY3M8
L2Z1bGwtdGl0bGU+PC9wZXJpb2RpY2FsPjxwYWdlcz4yNzItMjg3PC9wYWdlcz48dm9sdW1lPjEw
NDwvdm9sdW1lPjxudW1iZXI+MjwvbnVtYmVyPjxkYXRlcz48eWVhcj4yMDEyPC95ZWFyPjwvZGF0
ZXM+PGlzYm4+MDMwNC00MDVYPC9pc2JuPjx1cmxzPjwvdXJscz48L3JlY29yZD48L0NpdGU+PC9F
bmROb3RlPgB=
</w:fldData>
        </w:fldChar>
      </w:r>
      <w:r>
        <w:instrText xml:space="preserve"> ADDIN EN.CITE.DATA </w:instrText>
      </w:r>
      <w:r>
        <w:fldChar w:fldCharType="end"/>
      </w:r>
      <w:r>
        <w:fldChar w:fldCharType="separate"/>
      </w:r>
      <w:r>
        <w:rPr>
          <w:noProof/>
        </w:rPr>
        <w:t>(</w:t>
      </w:r>
      <w:hyperlink w:anchor="_ENREF_2" w:tooltip="Baker, 2004 #480" w:history="1">
        <w:r w:rsidR="006913E2">
          <w:rPr>
            <w:noProof/>
          </w:rPr>
          <w:t>Baker &amp; Stein, 2004</w:t>
        </w:r>
      </w:hyperlink>
      <w:r>
        <w:rPr>
          <w:noProof/>
        </w:rPr>
        <w:t xml:space="preserve">; </w:t>
      </w:r>
      <w:hyperlink w:anchor="_ENREF_10" w:tooltip="Brown, 2005 #376" w:history="1">
        <w:r w:rsidR="006913E2">
          <w:rPr>
            <w:noProof/>
          </w:rPr>
          <w:t>Brown &amp; Cliff, 2005</w:t>
        </w:r>
      </w:hyperlink>
      <w:r>
        <w:rPr>
          <w:noProof/>
        </w:rPr>
        <w:t xml:space="preserve">; </w:t>
      </w:r>
      <w:hyperlink w:anchor="_ENREF_37" w:tooltip="Schmeling, 2009 #481" w:history="1">
        <w:r w:rsidR="006913E2">
          <w:rPr>
            <w:noProof/>
          </w:rPr>
          <w:t>Schmeling, 2009</w:t>
        </w:r>
      </w:hyperlink>
      <w:r>
        <w:rPr>
          <w:noProof/>
        </w:rPr>
        <w:t xml:space="preserve">; </w:t>
      </w:r>
      <w:hyperlink w:anchor="_ENREF_5" w:tooltip="Baker, 2012 #483" w:history="1">
        <w:r w:rsidR="006913E2">
          <w:rPr>
            <w:noProof/>
          </w:rPr>
          <w:t>Baker, Wurgler, &amp; Yuan, 2012</w:t>
        </w:r>
      </w:hyperlink>
      <w:r>
        <w:rPr>
          <w:noProof/>
        </w:rPr>
        <w:t>)</w:t>
      </w:r>
      <w:r>
        <w:fldChar w:fldCharType="end"/>
      </w:r>
      <w:r>
        <w:t xml:space="preserve"> as sentiment wanes and fundamentals are revealed; or when potential arbitrage profits reach a level at which arbitrageurs find it profitable to bear noise trader risk (i.e., the variability of investor sentiment) </w:t>
      </w:r>
      <w:r>
        <w:fldChar w:fldCharType="begin"/>
      </w:r>
      <w:r>
        <w:instrText xml:space="preserve"> ADDIN EN.CITE &lt;EndNote&gt;&lt;Cite&gt;&lt;Author&gt;De Long&lt;/Author&gt;&lt;Year&gt;1990&lt;/Year&gt;&lt;RecNum&gt;463&lt;/RecNum&gt;&lt;Prefix&gt;e.g. &lt;/Prefix&gt;&lt;DisplayText&gt;(e.g. De Long et al., 1990; Shleifer &amp;amp; Vishny, 1997)&lt;/DisplayText&gt;&lt;record&gt;&lt;rec-number&gt;463&lt;/rec-number&gt;&lt;foreign-keys&gt;&lt;key app="EN" db-id="vafzs99fq0ew0seasdvvtxzufavxfwxtx2tr" timestamp="1501384441"&gt;463&lt;/key&gt;&lt;/foreign-keys&gt;&lt;ref-type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J&lt;/author&gt;&lt;/authors&gt;&lt;/contributors&gt;&lt;titles&gt;&lt;title&gt;Noise trader risk in financial markets&lt;/title&gt;&lt;secondary-title&gt;Journal of political Economy&lt;/secondary-title&gt;&lt;/titles&gt;&lt;periodical&gt;&lt;full-title&gt;Journal of political Economy&lt;/full-title&gt;&lt;/periodical&gt;&lt;pages&gt;703-738&lt;/pages&gt;&lt;volume&gt;98&lt;/volume&gt;&lt;number&gt;4&lt;/number&gt;&lt;dates&gt;&lt;year&gt;1990&lt;/year&gt;&lt;/dates&gt;&lt;isbn&gt;0022-3808&lt;/isbn&gt;&lt;urls&gt;&lt;/urls&gt;&lt;/record&gt;&lt;/Cite&gt;&lt;Cite&gt;&lt;Author&gt;Shleifer&lt;/Author&gt;&lt;Year&gt;1997&lt;/Year&gt;&lt;RecNum&gt;89&lt;/RecNum&gt;&lt;record&gt;&lt;rec-number&gt;89&lt;/rec-number&gt;&lt;foreign-keys&gt;&lt;key app="EN" db-id="vafzs99fq0ew0seasdvvtxzufavxfwxtx2tr" timestamp="0"&gt;89&lt;/key&gt;&lt;/foreign-keys&gt;&lt;ref-type name="Journal Article"&gt;17&lt;/ref-type&gt;&lt;contributors&gt;&lt;authors&gt;&lt;author&gt;Shleifer, A.&lt;/author&gt;&lt;author&gt;Vishny, R. W.&lt;/author&gt;&lt;/authors&gt;&lt;/contributors&gt;&lt;titles&gt;&lt;title&gt;The limits of arbitrage&lt;/title&gt;&lt;secondary-title&gt;The Journal of Finance&lt;/secondary-title&gt;&lt;/titles&gt;&lt;periodical&gt;&lt;full-title&gt;The Journal of Finance&lt;/full-title&gt;&lt;/periodical&gt;&lt;pages&gt;35-55&lt;/pages&gt;&lt;volume&gt;52&lt;/volume&gt;&lt;number&gt;1&lt;/number&gt;&lt;dates&gt;&lt;year&gt;1997&lt;/year&gt;&lt;/dates&gt;&lt;isbn&gt;1540-6261&lt;/isbn&gt;&lt;urls&gt;&lt;/urls&gt;&lt;/record&gt;&lt;/Cite&gt;&lt;/EndNote&gt;</w:instrText>
      </w:r>
      <w:r>
        <w:fldChar w:fldCharType="separate"/>
      </w:r>
      <w:r>
        <w:rPr>
          <w:noProof/>
        </w:rPr>
        <w:t xml:space="preserve">(e.g. </w:t>
      </w:r>
      <w:hyperlink w:anchor="_ENREF_15" w:tooltip="De Long, 1990 #463" w:history="1">
        <w:r w:rsidR="006913E2">
          <w:rPr>
            <w:noProof/>
          </w:rPr>
          <w:t>De Long et al., 1990</w:t>
        </w:r>
      </w:hyperlink>
      <w:r>
        <w:rPr>
          <w:noProof/>
        </w:rPr>
        <w:t xml:space="preserve">; </w:t>
      </w:r>
      <w:hyperlink w:anchor="_ENREF_39" w:tooltip="Shleifer, 1997 #462" w:history="1">
        <w:r w:rsidR="006913E2">
          <w:rPr>
            <w:noProof/>
          </w:rPr>
          <w:t>Shleifer &amp; Vishny, 1997</w:t>
        </w:r>
      </w:hyperlink>
      <w:r>
        <w:rPr>
          <w:noProof/>
        </w:rPr>
        <w:t>)</w:t>
      </w:r>
      <w:r>
        <w:fldChar w:fldCharType="end"/>
      </w:r>
      <w:r>
        <w:t xml:space="preserve"> and act to restore prices back to fundamental value </w:t>
      </w:r>
      <w:r>
        <w:fldChar w:fldCharType="begin"/>
      </w:r>
      <w:r>
        <w:instrText xml:space="preserve"> ADDIN EN.CITE &lt;EndNote&gt;&lt;Cite&gt;&lt;Author&gt;Baker&lt;/Author&gt;&lt;Year&gt;2012&lt;/Year&gt;&lt;RecNum&gt;483&lt;/RecNum&gt;&lt;DisplayText&gt;(Baker et al., 2012)&lt;/DisplayText&gt;&lt;record&gt;&lt;rec-number&gt;483&lt;/rec-number&gt;&lt;foreign-keys&gt;&lt;key app="EN" db-id="vafzs99fq0ew0seasdvvtxzufavxfwxtx2tr" timestamp="1502515329"&gt;483&lt;/key&gt;&lt;/foreign-keys&gt;&lt;ref-type name="Journal Article"&gt;17&lt;/ref-type&gt;&lt;contributors&gt;&lt;authors&gt;&lt;author&gt;Baker, Malcolm&lt;/author&gt;&lt;author&gt;Wurgler, Jeffrey&lt;/author&gt;&lt;author&gt;Yuan, Yu&lt;/author&gt;&lt;/authors&gt;&lt;/contributors&gt;&lt;titles&gt;&lt;title&gt;Global, local, and contagious investor sentiment&lt;/title&gt;&lt;secondary-title&gt;Journal of Financial Economics&lt;/secondary-title&gt;&lt;/titles&gt;&lt;periodical&gt;&lt;full-title&gt;Journal of Financial Economics&lt;/full-title&gt;&lt;/periodical&gt;&lt;pages&gt;272-287&lt;/pages&gt;&lt;volume&gt;104&lt;/volume&gt;&lt;number&gt;2&lt;/number&gt;&lt;dates&gt;&lt;year&gt;2012&lt;/year&gt;&lt;/dates&gt;&lt;isbn&gt;0304-405X&lt;/isbn&gt;&lt;urls&gt;&lt;/urls&gt;&lt;/record&gt;&lt;/Cite&gt;&lt;/EndNote&gt;</w:instrText>
      </w:r>
      <w:r>
        <w:fldChar w:fldCharType="separate"/>
      </w:r>
      <w:r>
        <w:rPr>
          <w:noProof/>
        </w:rPr>
        <w:t>(</w:t>
      </w:r>
      <w:hyperlink w:anchor="_ENREF_5" w:tooltip="Baker, 2012 #483" w:history="1">
        <w:r w:rsidR="006913E2">
          <w:rPr>
            <w:noProof/>
          </w:rPr>
          <w:t>Baker et al., 2012</w:t>
        </w:r>
      </w:hyperlink>
      <w:r>
        <w:rPr>
          <w:noProof/>
        </w:rPr>
        <w:t>)</w:t>
      </w:r>
      <w:r>
        <w:fldChar w:fldCharType="end"/>
      </w:r>
      <w:r w:rsidRPr="00E65AA7">
        <w:t xml:space="preserve">. </w:t>
      </w:r>
      <w:r>
        <w:t xml:space="preserve">However, the evidence on short-term </w:t>
      </w:r>
      <w:r w:rsidRPr="00DD4014">
        <w:t>return predictability</w:t>
      </w:r>
      <w:r>
        <w:t xml:space="preserve"> of investor sentiment is still contentious. </w:t>
      </w:r>
      <w:hyperlink w:anchor="_ENREF_22" w:tooltip="Fisher, 2000 #351" w:history="1">
        <w:r w:rsidR="006913E2">
          <w:fldChar w:fldCharType="begin"/>
        </w:r>
        <w:r w:rsidR="006913E2">
          <w:instrText xml:space="preserve"> ADDIN EN.CITE &lt;EndNote&gt;&lt;Cite AuthorYear="1"&gt;&lt;Author&gt;Fisher&lt;/Author&gt;&lt;Year&gt;2000&lt;/Year&gt;&lt;RecNum&gt;351&lt;/RecNum&gt;&lt;DisplayText&gt;Fisher and Statman (2000)&lt;/DisplayText&gt;&lt;record&gt;&lt;rec-number&gt;351&lt;/rec-number&gt;&lt;foreign-keys&gt;&lt;key app="EN" db-id="vafzs99fq0ew0seasdvvtxzufavxfwxtx2tr" timestamp="1449983187"&gt;351&lt;/key&gt;&lt;/foreign-keys&gt;&lt;ref-type name="Journal Article"&gt;17&lt;/ref-type&gt;&lt;contributors&gt;&lt;authors&gt;&lt;author&gt;Fisher,  Kenneth L. &lt;/author&gt;&lt;author&gt;Statman, Meir &lt;/author&gt;&lt;/authors&gt;&lt;/contributors&gt;&lt;titles&gt;&lt;title&gt;Investor sentiment and stock returns&lt;/title&gt;&lt;secondary-title&gt;Financial Analysts Journal&lt;/secondary-title&gt;&lt;/titles&gt;&lt;periodical&gt;&lt;full-title&gt;Financial Analysts Journal&lt;/full-title&gt;&lt;/periodical&gt;&lt;volume&gt;56&lt;/volume&gt;&lt;number&gt;2&lt;/number&gt;&lt;dates&gt;&lt;year&gt;2000&lt;/year&gt;&lt;/dates&gt;&lt;urls&gt;&lt;/urls&gt;&lt;/record&gt;&lt;/Cite&gt;&lt;/EndNote&gt;</w:instrText>
        </w:r>
        <w:r w:rsidR="006913E2">
          <w:fldChar w:fldCharType="separate"/>
        </w:r>
        <w:r w:rsidR="006913E2">
          <w:rPr>
            <w:noProof/>
          </w:rPr>
          <w:t>Fisher and Statman (2000)</w:t>
        </w:r>
        <w:r w:rsidR="006913E2">
          <w:fldChar w:fldCharType="end"/>
        </w:r>
      </w:hyperlink>
      <w:r>
        <w:t xml:space="preserve"> find that investor sentiment is a reliable contrarian predictor of subsequent month market returns using the S&amp;P 500 as a proxy for the market. In contrast, </w:t>
      </w:r>
      <w:hyperlink w:anchor="_ENREF_9" w:tooltip="Brown, 2004 #410" w:history="1">
        <w:r w:rsidR="006913E2">
          <w:fldChar w:fldCharType="begin"/>
        </w:r>
        <w:r w:rsidR="006913E2">
          <w:instrText xml:space="preserve"> ADDIN EN.CITE &lt;EndNote&gt;&lt;Cite AuthorYear="1"&gt;&lt;Author&gt;Brown&lt;/Author&gt;&lt;Year&gt;2004&lt;/Year&gt;&lt;RecNum&gt;410&lt;/RecNum&gt;&lt;DisplayText&gt;Brown and Cliff (2004)&lt;/DisplayText&gt;&lt;record&gt;&lt;rec-number&gt;410&lt;/rec-number&gt;&lt;foreign-keys&gt;&lt;key app="EN" db-id="vafzs99fq0ew0seasdvvtxzufavxfwxtx2tr" timestamp="1486002588"&gt;410&lt;/key&gt;&lt;/foreign-keys&gt;&lt;ref-type name="Journal Article"&gt;17&lt;/ref-type&gt;&lt;contributors&gt;&lt;authors&gt;&lt;author&gt;Brown, Gregory W&lt;/author&gt;&lt;author&gt;Cliff, Michael T&lt;/author&gt;&lt;/authors&gt;&lt;/contributors&gt;&lt;titles&gt;&lt;title&gt;Investor sentiment and the near-term stock market&lt;/title&gt;&lt;secondary-title&gt;Journal of Empirical Finance&lt;/secondary-title&gt;&lt;/titles&gt;&lt;periodical&gt;&lt;full-title&gt;Journal of Empirical Finance&lt;/full-title&gt;&lt;/periodical&gt;&lt;pages&gt;1-27&lt;/pages&gt;&lt;volume&gt;11&lt;/volume&gt;&lt;number&gt;1&lt;/number&gt;&lt;dates&gt;&lt;year&gt;2004&lt;/year&gt;&lt;/dates&gt;&lt;isbn&gt;0927-5398&lt;/isbn&gt;&lt;urls&gt;&lt;/urls&gt;&lt;/record&gt;&lt;/Cite&gt;&lt;/EndNote&gt;</w:instrText>
        </w:r>
        <w:r w:rsidR="006913E2">
          <w:fldChar w:fldCharType="separate"/>
        </w:r>
        <w:r w:rsidR="006913E2">
          <w:rPr>
            <w:noProof/>
          </w:rPr>
          <w:t>Brown and Cliff (2004)</w:t>
        </w:r>
        <w:r w:rsidR="006913E2">
          <w:fldChar w:fldCharType="end"/>
        </w:r>
      </w:hyperlink>
      <w:r>
        <w:t xml:space="preserve"> do not find any significant predictive ability for sentiment in relation to weekly and monthly market returns. Meanwhile, </w:t>
      </w:r>
      <w:hyperlink w:anchor="_ENREF_25" w:tooltip="Huang, 2014 #482" w:history="1">
        <w:r w:rsidR="006913E2">
          <w:fldChar w:fldCharType="begin"/>
        </w:r>
        <w:r w:rsidR="006913E2">
          <w:instrText xml:space="preserve"> ADDIN EN.CITE &lt;EndNote&gt;&lt;Cite AuthorYear="1"&gt;&lt;Author&gt;Huang&lt;/Author&gt;&lt;Year&gt;2014&lt;/Year&gt;&lt;RecNum&gt;482&lt;/RecNum&gt;&lt;DisplayText&gt;Huang, Jiang, Tu, and Zhou (2014)&lt;/DisplayText&gt;&lt;record&gt;&lt;rec-number&gt;482&lt;/rec-number&gt;&lt;foreign-keys&gt;&lt;key app="EN" db-id="vafzs99fq0ew0seasdvvtxzufavxfwxtx2tr" timestamp="1502514993"&gt;482&lt;/key&gt;&lt;/foreign-keys&gt;&lt;ref-type name="Journal Article"&gt;17&lt;/ref-type&gt;&lt;contributors&gt;&lt;authors&gt;&lt;author&gt;Huang, Dashan&lt;/author&gt;&lt;author&gt;Jiang, Fuwei&lt;/author&gt;&lt;author&gt;Tu, Jun&lt;/author&gt;&lt;author&gt;Zhou, Guofu&lt;/author&gt;&lt;/authors&gt;&lt;/contributors&gt;&lt;titles&gt;&lt;title&gt;Investor sentiment aligned: A powerful predictor of stock returns&lt;/title&gt;&lt;secondary-title&gt;The Review of Financial Studies&lt;/secondary-title&gt;&lt;/titles&gt;&lt;periodical&gt;&lt;full-title&gt;The Review of Financial Studies&lt;/full-title&gt;&lt;/periodical&gt;&lt;pages&gt;791-837&lt;/pages&gt;&lt;volume&gt;28&lt;/volume&gt;&lt;number&gt;3&lt;/number&gt;&lt;dates&gt;&lt;year&gt;2014&lt;/year&gt;&lt;/dates&gt;&lt;isbn&gt;1465-7368&lt;/isbn&gt;&lt;urls&gt;&lt;/urls&gt;&lt;/record&gt;&lt;/Cite&gt;&lt;/EndNote&gt;</w:instrText>
        </w:r>
        <w:r w:rsidR="006913E2">
          <w:fldChar w:fldCharType="separate"/>
        </w:r>
        <w:r w:rsidR="006913E2">
          <w:rPr>
            <w:noProof/>
          </w:rPr>
          <w:t xml:space="preserve">Huang, Jiang, Tu, </w:t>
        </w:r>
        <w:r w:rsidR="006913E2">
          <w:rPr>
            <w:noProof/>
          </w:rPr>
          <w:lastRenderedPageBreak/>
          <w:t>and Zhou (2014)</w:t>
        </w:r>
        <w:r w:rsidR="006913E2">
          <w:fldChar w:fldCharType="end"/>
        </w:r>
      </w:hyperlink>
      <w:r>
        <w:t xml:space="preserve"> </w:t>
      </w:r>
      <w:r w:rsidRPr="00295867">
        <w:t xml:space="preserve">find that investor sentiment </w:t>
      </w:r>
      <w:r>
        <w:t>is a contrarian predictor</w:t>
      </w:r>
      <w:r w:rsidRPr="00295867">
        <w:t xml:space="preserve"> </w:t>
      </w:r>
      <w:r>
        <w:t>of</w:t>
      </w:r>
      <w:r w:rsidRPr="00295867">
        <w:t xml:space="preserve"> market returns </w:t>
      </w:r>
      <w:r>
        <w:t xml:space="preserve">over both short and long horizons. </w:t>
      </w:r>
      <w:hyperlink w:anchor="_ENREF_8" w:tooltip="Berger, 2015 #571" w:history="1">
        <w:r w:rsidR="006913E2">
          <w:fldChar w:fldCharType="begin"/>
        </w:r>
        <w:r w:rsidR="006913E2">
          <w:instrText xml:space="preserve"> ADDIN EN.CITE &lt;EndNote&gt;&lt;Cite AuthorYear="1"&gt;&lt;Author&gt;Berger&lt;/Author&gt;&lt;Year&gt;2015&lt;/Year&gt;&lt;RecNum&gt;571&lt;/RecNum&gt;&lt;DisplayText&gt;Berger and Turtle (2015)&lt;/DisplayText&gt;&lt;record&gt;&lt;rec-number&gt;571&lt;/rec-number&gt;&lt;foreign-keys&gt;&lt;key app="EN" db-id="vafzs99fq0ew0seasdvvtxzufavxfwxtx2tr" timestamp="1512629261"&gt;571&lt;/key&gt;&lt;/foreign-keys&gt;&lt;ref-type name="Journal Article"&gt;17&lt;/ref-type&gt;&lt;contributors&gt;&lt;authors&gt;&lt;author&gt;Berger, David&lt;/author&gt;&lt;author&gt;Turtle, Harry J&lt;/author&gt;&lt;/authors&gt;&lt;/contributors&gt;&lt;titles&gt;&lt;title&gt;Sentiment bubbles&lt;/title&gt;&lt;secondary-title&gt;Journal of Financial Markets&lt;/secondary-title&gt;&lt;/titles&gt;&lt;periodical&gt;&lt;full-title&gt;Journal of Financial Markets&lt;/full-title&gt;&lt;/periodical&gt;&lt;pages&gt;59-74&lt;/pages&gt;&lt;volume&gt;23&lt;/volume&gt;&lt;dates&gt;&lt;year&gt;2015&lt;/year&gt;&lt;/dates&gt;&lt;isbn&gt;1386-4181&lt;/isbn&gt;&lt;urls&gt;&lt;/urls&gt;&lt;/record&gt;&lt;/Cite&gt;&lt;/EndNote&gt;</w:instrText>
        </w:r>
        <w:r w:rsidR="006913E2">
          <w:fldChar w:fldCharType="separate"/>
        </w:r>
        <w:r w:rsidR="006913E2">
          <w:rPr>
            <w:noProof/>
          </w:rPr>
          <w:t>Berger and Turtle (2015)</w:t>
        </w:r>
        <w:r w:rsidR="006913E2">
          <w:fldChar w:fldCharType="end"/>
        </w:r>
      </w:hyperlink>
      <w:r w:rsidR="006913E2">
        <w:t xml:space="preserve"> </w:t>
      </w:r>
      <w:r>
        <w:t xml:space="preserve">suggest that short-run increases in sentiment are followed by increased returns while prolonged episodes of increasing sentiment are followed by negative returns. In a related paper, </w:t>
      </w:r>
      <w:hyperlink w:anchor="_ENREF_24" w:tooltip="Han, 2017 #484" w:history="1">
        <w:r w:rsidR="006913E2">
          <w:fldChar w:fldCharType="begin"/>
        </w:r>
        <w:r w:rsidR="006913E2">
          <w:instrText xml:space="preserve"> ADDIN EN.CITE &lt;EndNote&gt;&lt;Cite AuthorYear="1"&gt;&lt;Author&gt;Han&lt;/Author&gt;&lt;Year&gt;2017&lt;/Year&gt;&lt;RecNum&gt;484&lt;/RecNum&gt;&lt;DisplayText&gt;Han and Li (2017)&lt;/DisplayText&gt;&lt;record&gt;&lt;rec-number&gt;484&lt;/rec-number&gt;&lt;foreign-keys&gt;&lt;key app="EN" db-id="vafzs99fq0ew0seasdvvtxzufavxfwxtx2tr" timestamp="1502591406"&gt;484&lt;/key&gt;&lt;/foreign-keys&gt;&lt;ref-type name="Journal Article"&gt;17&lt;/ref-type&gt;&lt;contributors&gt;&lt;authors&gt;&lt;author&gt;Han, Xing&lt;/author&gt;&lt;author&gt;Li, Youwei&lt;/author&gt;&lt;/authors&gt;&lt;/contributors&gt;&lt;titles&gt;&lt;title&gt;Can investor sentiment be a momentum time-series predictor? Evidence from China&lt;/title&gt;&lt;secondary-title&gt;Journal of Empirical Finance&lt;/secondary-title&gt;&lt;/titles&gt;&lt;periodical&gt;&lt;full-title&gt;Journal of Empirical Finance&lt;/full-title&gt;&lt;/periodical&gt;&lt;pages&gt;212-239&lt;/pages&gt;&lt;volume&gt;42&lt;/volume&gt;&lt;dates&gt;&lt;year&gt;2017&lt;/year&gt;&lt;/dates&gt;&lt;isbn&gt;0927-5398&lt;/isbn&gt;&lt;urls&gt;&lt;/urls&gt;&lt;/record&gt;&lt;/Cite&gt;&lt;/EndNote&gt;</w:instrText>
        </w:r>
        <w:r w:rsidR="006913E2">
          <w:fldChar w:fldCharType="separate"/>
        </w:r>
        <w:r w:rsidR="006913E2">
          <w:rPr>
            <w:noProof/>
          </w:rPr>
          <w:t>Han and Li (2017)</w:t>
        </w:r>
        <w:r w:rsidR="006913E2">
          <w:fldChar w:fldCharType="end"/>
        </w:r>
      </w:hyperlink>
      <w:r>
        <w:t xml:space="preserve"> show that investor sentiment is a momentum predictor of market returns at short horizons but a contrarian predictor at long horizons in China.</w:t>
      </w:r>
      <w:r>
        <w:rPr>
          <w:rStyle w:val="FootnoteReference"/>
        </w:rPr>
        <w:footnoteReference w:id="2"/>
      </w:r>
    </w:p>
    <w:p w14:paraId="64661685" w14:textId="49223F56" w:rsidR="00AA017C" w:rsidRPr="00E65AA7" w:rsidRDefault="00D22527" w:rsidP="00AA017C">
      <w:pPr>
        <w:spacing w:line="480" w:lineRule="auto"/>
        <w:ind w:firstLine="720"/>
      </w:pPr>
      <w:hyperlink w:anchor="_ENREF_3" w:tooltip="Baker, 2006 #345" w:history="1">
        <w:r w:rsidR="006913E2" w:rsidRPr="00E65AA7">
          <w:fldChar w:fldCharType="begin"/>
        </w:r>
        <w:r w:rsidR="006913E2" w:rsidRPr="00E65AA7">
          <w:instrText xml:space="preserve"> ADDIN EN.CITE &lt;EndNote&gt;&lt;Cite AuthorYear="1"&gt;&lt;Author&gt;Baker&lt;/Author&gt;&lt;Year&gt;2006&lt;/Year&gt;&lt;RecNum&gt;345&lt;/RecNum&gt;&lt;DisplayText&gt;Baker and Wurgler (2006)&lt;/DisplayText&gt;&lt;record&gt;&lt;rec-number&gt;345&lt;/rec-number&gt;&lt;foreign-keys&gt;&lt;key app="EN" db-id="vafzs99fq0ew0seasdvvtxzufavxfwxtx2tr" timestamp="1449722518"&gt;345&lt;/key&gt;&lt;/foreign-keys&gt;&lt;ref-type name="Journal Article"&gt;17&lt;/ref-type&gt;&lt;contributors&gt;&lt;authors&gt;&lt;author&gt;Baker, Malcolm&lt;/author&gt;&lt;author&gt;Wurgler, Jeffrey&lt;/author&gt;&lt;/authors&gt;&lt;/contributors&gt;&lt;titles&gt;&lt;title&gt;Investor sentiment and the</w:instrText>
        </w:r>
        <w:r w:rsidR="006913E2" w:rsidRPr="00E65AA7">
          <w:rPr>
            <w:rFonts w:hint="eastAsia"/>
          </w:rPr>
          <w:instrText xml:space="preserve"> cross</w:instrText>
        </w:r>
        <w:r w:rsidR="006913E2" w:rsidRPr="00E65AA7">
          <w:rPr>
            <w:rFonts w:hint="eastAsia"/>
          </w:rPr>
          <w:instrText>‐</w:instrText>
        </w:r>
        <w:r w:rsidR="006913E2" w:rsidRPr="00E65AA7">
          <w:rPr>
            <w:rFonts w:hint="eastAsia"/>
          </w:rPr>
          <w:instrText>section of stock returns&lt;/title&gt;&lt;secondary-title&gt;The Journal of Finance&lt;/secondary-title&gt;&lt;/titles&gt;&lt;periodical&gt;&lt;full-title&gt;The Journal of Finance&lt;/full-title&gt;&lt;/periodical&gt;&lt;pages&gt;1645-1680&lt;/pages&gt;&lt;volume&gt;61&lt;/volume&gt;&lt;number&gt;4&lt;/number&gt;&lt;dates&gt;&lt;year&gt;2006</w:instrText>
        </w:r>
        <w:r w:rsidR="006913E2" w:rsidRPr="00E65AA7">
          <w:instrText>&lt;/year&gt;&lt;/dates&gt;&lt;isbn&gt;1540-6261&lt;/isbn&gt;&lt;urls&gt;&lt;/urls&gt;&lt;/record&gt;&lt;/Cite&gt;&lt;/EndNote&gt;</w:instrText>
        </w:r>
        <w:r w:rsidR="006913E2" w:rsidRPr="00E65AA7">
          <w:fldChar w:fldCharType="separate"/>
        </w:r>
        <w:r w:rsidR="006913E2" w:rsidRPr="00E65AA7">
          <w:rPr>
            <w:noProof/>
          </w:rPr>
          <w:t>Baker and Wurgler (2006)</w:t>
        </w:r>
        <w:r w:rsidR="006913E2" w:rsidRPr="00E65AA7">
          <w:fldChar w:fldCharType="end"/>
        </w:r>
      </w:hyperlink>
      <w:r w:rsidR="00AA017C" w:rsidRPr="00E65AA7">
        <w:t xml:space="preserve"> </w:t>
      </w:r>
      <w:r w:rsidR="00AA017C">
        <w:t>argue that investor sentiment has cross-sectional effects on stock prices and show that investor sentiment does not raise or lower prices of all securities equally, instead its impact is more pronounced in stocks that are hard to value and difficult to arbitrage (HVHA) relative to easy to value and easy to arbitrage (EVEA).</w:t>
      </w:r>
      <w:r w:rsidR="00AA017C" w:rsidRPr="004411BB">
        <w:rPr>
          <w:rStyle w:val="FootnoteReference"/>
        </w:rPr>
        <w:t xml:space="preserve"> </w:t>
      </w:r>
      <w:r w:rsidR="00AA017C">
        <w:rPr>
          <w:rStyle w:val="FootnoteReference"/>
        </w:rPr>
        <w:footnoteReference w:id="3"/>
      </w:r>
      <w:r w:rsidR="00AA017C">
        <w:t xml:space="preserve"> </w:t>
      </w:r>
      <w:r w:rsidR="00AA017C" w:rsidRPr="00E65AA7">
        <w:t>In particular, they find that</w:t>
      </w:r>
      <w:r w:rsidR="00AA017C">
        <w:t xml:space="preserve"> over relatively long horizons,</w:t>
      </w:r>
      <w:r w:rsidR="00AA017C" w:rsidRPr="00E65AA7">
        <w:t xml:space="preserve"> </w:t>
      </w:r>
      <w:r w:rsidR="00AA017C">
        <w:t>HVHA</w:t>
      </w:r>
      <w:r w:rsidR="00AA017C" w:rsidRPr="00E65AA7">
        <w:t xml:space="preserve"> stocks such as high volatility, young, small, unprofitable, and non-dividend paying stocks earn relatively lo</w:t>
      </w:r>
      <w:r w:rsidR="00AA017C">
        <w:t>wer (higher) returns following High (L</w:t>
      </w:r>
      <w:r w:rsidR="00AA017C" w:rsidRPr="00E65AA7">
        <w:t xml:space="preserve">ow) sentiment periods, which suggest that </w:t>
      </w:r>
      <w:r w:rsidR="00AA017C">
        <w:t>HVHA</w:t>
      </w:r>
      <w:r w:rsidR="00AA017C" w:rsidRPr="00E65AA7">
        <w:t xml:space="preserve"> stocks are relatively over</w:t>
      </w:r>
      <w:r w:rsidR="00AA017C">
        <w:t>priced</w:t>
      </w:r>
      <w:r w:rsidR="00AA017C" w:rsidRPr="00E65AA7">
        <w:t xml:space="preserve"> (</w:t>
      </w:r>
      <w:proofErr w:type="spellStart"/>
      <w:r w:rsidR="00AA017C" w:rsidRPr="00E65AA7">
        <w:t>under</w:t>
      </w:r>
      <w:r w:rsidR="00AA017C">
        <w:t>priced</w:t>
      </w:r>
      <w:proofErr w:type="spellEnd"/>
      <w:r w:rsidR="00AA017C">
        <w:t>) during High (L</w:t>
      </w:r>
      <w:r w:rsidR="00AA017C" w:rsidRPr="00E65AA7">
        <w:t>ow) sentiment periods.</w:t>
      </w:r>
    </w:p>
    <w:p w14:paraId="7A6EC68C" w14:textId="7CDF84FE" w:rsidR="00CD0DD0" w:rsidRDefault="00AA017C" w:rsidP="00AA017C">
      <w:pPr>
        <w:spacing w:line="480" w:lineRule="auto"/>
        <w:ind w:firstLine="720"/>
      </w:pPr>
      <w:r w:rsidRPr="00E65AA7">
        <w:t xml:space="preserve">Subsequently, </w:t>
      </w:r>
      <w:hyperlink w:anchor="_ENREF_4" w:tooltip="Baker, 2007 #280" w:history="1">
        <w:r w:rsidR="006913E2" w:rsidRPr="00E65AA7">
          <w:fldChar w:fldCharType="begin"/>
        </w:r>
        <w:r w:rsidR="006913E2" w:rsidRPr="00E65AA7">
          <w:instrText xml:space="preserve"> ADDIN EN.CITE &lt;EndNote&gt;&lt;Cite AuthorYear="1"&gt;&lt;Author&gt;Baker&lt;/Author&gt;&lt;Year&gt;2007&lt;/Year&gt;&lt;RecNum&gt;280&lt;/RecNum&gt;&lt;DisplayText&gt;Baker and Wurgler (2007)&lt;/DisplayText&gt;&lt;record&gt;&lt;rec-number&gt;280&lt;/rec-number&gt;&lt;foreign-keys&gt;&lt;key app="EN" db-id="vafzs99fq0ew0seasdvvtxzufavxfwxtx2tr" timestamp="1429599507"&gt;280&lt;/key&gt;&lt;/foreign-keys&gt;&lt;ref-type name="Generic"&gt;13&lt;/ref-type&gt;&lt;contributors&gt;&lt;authors&gt;&lt;author&gt;Baker, Malcolm&lt;/author&gt;&lt;author&gt;Wurgler, Jeffrey&lt;/author&gt;&lt;/authors&gt;&lt;/contributors&gt;&lt;titles&gt;&lt;title&gt;Investor sentiment in the stock market&lt;/title&gt;&lt;/titles&gt;&lt;dates&gt;&lt;year&gt;2007&lt;/year&gt;&lt;/dates&gt;&lt;publisher&gt;National Bureau of Economic Research Cambridge, Mass., USA&lt;/publisher&gt;&lt;urls&gt;&lt;/urls&gt;&lt;/record&gt;&lt;/Cite&gt;&lt;/EndNote&gt;</w:instrText>
        </w:r>
        <w:r w:rsidR="006913E2" w:rsidRPr="00E65AA7">
          <w:fldChar w:fldCharType="separate"/>
        </w:r>
        <w:r w:rsidR="006913E2" w:rsidRPr="00E65AA7">
          <w:rPr>
            <w:noProof/>
          </w:rPr>
          <w:t>Baker and Wurgler (2007)</w:t>
        </w:r>
        <w:r w:rsidR="006913E2" w:rsidRPr="00E65AA7">
          <w:fldChar w:fldCharType="end"/>
        </w:r>
      </w:hyperlink>
      <w:r w:rsidRPr="00E65AA7">
        <w:t xml:space="preserve"> </w:t>
      </w:r>
      <w:r>
        <w:t>show that their index of sentiment changes is positively related to both contemporaneous market and stock portfolio returns indicating that HVHA stocks are indeed overpriced (</w:t>
      </w:r>
      <w:proofErr w:type="spellStart"/>
      <w:r>
        <w:t>underpriced</w:t>
      </w:r>
      <w:proofErr w:type="spellEnd"/>
      <w:r>
        <w:t>) relative to EVEA stocks during High (L</w:t>
      </w:r>
      <w:r w:rsidRPr="00E65AA7">
        <w:t>ow) sentiment periods</w:t>
      </w:r>
      <w:r>
        <w:t xml:space="preserve">. Furthermore, Baker and </w:t>
      </w:r>
      <w:proofErr w:type="spellStart"/>
      <w:r>
        <w:t>Wurgler</w:t>
      </w:r>
      <w:proofErr w:type="spellEnd"/>
      <w:r>
        <w:t xml:space="preserve"> show that their index of sentiment levels is a contrarian predictor of returns even in short (one-month) horizons, with the impact of investor sentiment still more pronounced in HVHA stocks though it is modest for </w:t>
      </w:r>
      <w:r>
        <w:lastRenderedPageBreak/>
        <w:t>aggregate market returns.</w:t>
      </w:r>
      <w:r>
        <w:rPr>
          <w:rStyle w:val="FootnoteReference"/>
        </w:rPr>
        <w:footnoteReference w:id="4"/>
      </w:r>
      <w:r>
        <w:t xml:space="preserve"> They then hint at the possibility of a profitable trading strategy from the contrarian predictability of sentiment levels index.</w:t>
      </w:r>
    </w:p>
    <w:p w14:paraId="0BF4E025" w14:textId="12957658" w:rsidR="00CD0DD0" w:rsidRDefault="00D42BBF" w:rsidP="00AA017C">
      <w:pPr>
        <w:spacing w:line="480" w:lineRule="auto"/>
        <w:ind w:firstLine="720"/>
      </w:pPr>
      <w:r>
        <w:t xml:space="preserve">Based on the efficient market hypothesis, mispricing cannot persist because rational arbitrageurs can </w:t>
      </w:r>
      <w:r w:rsidR="00EA03A8">
        <w:t>force stock prices back to their fundame</w:t>
      </w:r>
      <w:r w:rsidR="002333E5">
        <w:t>ntal</w:t>
      </w:r>
      <w:r w:rsidR="00EA03A8">
        <w:t xml:space="preserve"> values</w:t>
      </w:r>
      <w:r>
        <w:t xml:space="preserve"> by taking </w:t>
      </w:r>
      <w:r w:rsidR="00DB06AA">
        <w:t>a</w:t>
      </w:r>
      <w:r>
        <w:t xml:space="preserve"> position against </w:t>
      </w:r>
      <w:r w:rsidR="00DB06AA">
        <w:t xml:space="preserve">the </w:t>
      </w:r>
      <w:r>
        <w:t>mispricing</w:t>
      </w:r>
      <w:r w:rsidR="00536C58">
        <w:t xml:space="preserve"> </w:t>
      </w:r>
      <w:r w:rsidR="00536C58">
        <w:fldChar w:fldCharType="begin"/>
      </w:r>
      <w:r w:rsidR="00536C58">
        <w:instrText xml:space="preserve"> ADDIN EN.CITE &lt;EndNote&gt;&lt;Cite&gt;&lt;Author&gt;Fama&lt;/Author&gt;&lt;Year&gt;1965&lt;/Year&gt;&lt;RecNum&gt;568&lt;/RecNum&gt;&lt;DisplayText&gt;(Fama, 1965)&lt;/DisplayText&gt;&lt;record&gt;&lt;rec-number&gt;568&lt;/rec-number&gt;&lt;foreign-keys&gt;&lt;key app="EN" db-id="vafzs99fq0ew0seasdvvtxzufavxfwxtx2tr" timestamp="1512545537"&gt;568&lt;/key&gt;&lt;/foreign-keys&gt;&lt;ref-type name="Journal Article"&gt;17&lt;/ref-type&gt;&lt;contributors&gt;&lt;authors&gt;&lt;author&gt;Fama, Eugene F&lt;/author&gt;&lt;/authors&gt;&lt;/contributors&gt;&lt;titles&gt;&lt;title&gt;The behavior of stock-market prices&lt;/title&gt;&lt;secondary-title&gt;The journal of Business&lt;/secondary-title&gt;&lt;/titles&gt;&lt;periodical&gt;&lt;full-title&gt;The Journal of Business&lt;/full-title&gt;&lt;/periodical&gt;&lt;pages&gt;34-105&lt;/pages&gt;&lt;volume&gt;38&lt;/volume&gt;&lt;number&gt;1&lt;/number&gt;&lt;dates&gt;&lt;year&gt;1965&lt;/year&gt;&lt;/dates&gt;&lt;isbn&gt;0021-9398&lt;/isbn&gt;&lt;urls&gt;&lt;/urls&gt;&lt;/record&gt;&lt;/Cite&gt;&lt;/EndNote&gt;</w:instrText>
      </w:r>
      <w:r w:rsidR="00536C58">
        <w:fldChar w:fldCharType="separate"/>
      </w:r>
      <w:r w:rsidR="00536C58">
        <w:rPr>
          <w:noProof/>
        </w:rPr>
        <w:t>(</w:t>
      </w:r>
      <w:hyperlink w:anchor="_ENREF_18" w:tooltip="Fama, 1965 #568" w:history="1">
        <w:r w:rsidR="006913E2">
          <w:rPr>
            <w:noProof/>
          </w:rPr>
          <w:t>Fama, 1965</w:t>
        </w:r>
      </w:hyperlink>
      <w:r w:rsidR="00536C58">
        <w:rPr>
          <w:noProof/>
        </w:rPr>
        <w:t>)</w:t>
      </w:r>
      <w:r w:rsidR="00536C58">
        <w:fldChar w:fldCharType="end"/>
      </w:r>
      <w:r w:rsidRPr="00D42BBF">
        <w:t xml:space="preserve">. </w:t>
      </w:r>
      <w:r w:rsidR="00EA03A8">
        <w:t xml:space="preserve">However, </w:t>
      </w:r>
      <w:hyperlink w:anchor="_ENREF_39" w:tooltip="Shleifer, 1997 #462" w:history="1">
        <w:r w:rsidR="006913E2">
          <w:fldChar w:fldCharType="begin"/>
        </w:r>
        <w:r w:rsidR="006913E2">
          <w:instrText xml:space="preserve"> ADDIN EN.CITE &lt;EndNote&gt;&lt;Cite AuthorYear="1"&gt;&lt;Author&gt;Shleifer&lt;/Author&gt;&lt;Year&gt;1997&lt;/Year&gt;&lt;RecNum&gt;89&lt;/RecNum&gt;&lt;DisplayText&gt;Shleifer and Vishny (1997)&lt;/DisplayText&gt;&lt;record&gt;&lt;rec-number&gt;89&lt;/rec-number&gt;&lt;foreign-keys&gt;&lt;key app="EN" db-id="vafzs99fq0ew0seasdvvtxzufavxfwxtx2tr" timestamp="0"&gt;89&lt;/key&gt;&lt;/foreign-keys&gt;&lt;ref-type name="Journal Article"&gt;17&lt;/ref-type&gt;&lt;contributors&gt;&lt;authors&gt;&lt;author&gt;Shleifer, A.&lt;/author&gt;&lt;author&gt;Vishny, R. W.&lt;/author&gt;&lt;/authors&gt;&lt;/contributors&gt;&lt;titles&gt;&lt;title&gt;The limits of arbitrage&lt;/title&gt;&lt;secondary-title&gt;The Journal of Finance&lt;/secondary-title&gt;&lt;/titles&gt;&lt;periodical&gt;&lt;full-title&gt;The Journal of Finance&lt;/full-title&gt;&lt;/periodical&gt;&lt;pages&gt;35-55&lt;/pages&gt;&lt;volume&gt;52&lt;/volume&gt;&lt;number&gt;1&lt;/number&gt;&lt;dates&gt;&lt;year&gt;1997&lt;/year&gt;&lt;/dates&gt;&lt;isbn&gt;1540-6261&lt;/isbn&gt;&lt;urls&gt;&lt;/urls&gt;&lt;/record&gt;&lt;/Cite&gt;&lt;/EndNote&gt;</w:instrText>
        </w:r>
        <w:r w:rsidR="006913E2">
          <w:fldChar w:fldCharType="separate"/>
        </w:r>
        <w:r w:rsidR="006913E2">
          <w:rPr>
            <w:noProof/>
          </w:rPr>
          <w:t>Shleifer and Vishny (1997)</w:t>
        </w:r>
        <w:r w:rsidR="006913E2">
          <w:fldChar w:fldCharType="end"/>
        </w:r>
      </w:hyperlink>
      <w:r w:rsidR="002D5C67">
        <w:t xml:space="preserve"> </w:t>
      </w:r>
      <w:r w:rsidR="00EA03A8">
        <w:t xml:space="preserve">suggest that arbitrageurs </w:t>
      </w:r>
      <w:r w:rsidR="00CD581E">
        <w:t>might not</w:t>
      </w:r>
      <w:r w:rsidR="00EA03A8">
        <w:t xml:space="preserve"> </w:t>
      </w:r>
      <w:r w:rsidR="003C22A9">
        <w:t xml:space="preserve">be able to </w:t>
      </w:r>
      <w:r w:rsidR="00EA03A8">
        <w:t xml:space="preserve">entirely eliminate the mispricing </w:t>
      </w:r>
      <w:r w:rsidR="004945BC">
        <w:t>due to the risk that noise trade</w:t>
      </w:r>
      <w:r w:rsidR="006D32FA">
        <w:t>rs</w:t>
      </w:r>
      <w:r w:rsidR="004945BC">
        <w:t xml:space="preserve"> might </w:t>
      </w:r>
      <w:r w:rsidR="006D32FA">
        <w:t>pu</w:t>
      </w:r>
      <w:r w:rsidR="00B134FB">
        <w:t>sh</w:t>
      </w:r>
      <w:r w:rsidR="006D32FA">
        <w:t xml:space="preserve"> </w:t>
      </w:r>
      <w:r w:rsidR="003C22A9">
        <w:t xml:space="preserve">prices </w:t>
      </w:r>
      <w:r w:rsidR="006D32FA">
        <w:t>even further away from their fundamental values especially when the</w:t>
      </w:r>
      <w:r w:rsidR="004945BC">
        <w:t xml:space="preserve"> sentiment deepens</w:t>
      </w:r>
      <w:r w:rsidR="006D32FA">
        <w:t>.</w:t>
      </w:r>
    </w:p>
    <w:p w14:paraId="41A01689" w14:textId="718E82C8" w:rsidR="00CD0DD0" w:rsidRPr="00D0083A" w:rsidRDefault="00CD0DD0" w:rsidP="00CD0DD0">
      <w:pPr>
        <w:spacing w:line="480" w:lineRule="auto"/>
        <w:ind w:firstLine="720"/>
      </w:pPr>
      <w:r w:rsidRPr="00FC5434">
        <w:t xml:space="preserve">We </w:t>
      </w:r>
      <w:r>
        <w:t xml:space="preserve">extend Baker and </w:t>
      </w:r>
      <w:proofErr w:type="spellStart"/>
      <w:r>
        <w:t>Wurgler’s</w:t>
      </w:r>
      <w:proofErr w:type="spellEnd"/>
      <w:r>
        <w:t xml:space="preserve"> (2006, 2007) argument by introducing noise trader risk through sentiment dynamics -- whether sentiment continues in the same state or transitions to a different state. If the mispricing of stocks is sentiment-driven, we expect, in a two-state sentiment scenario, for the mispricing to worsen if sentiment continues in the same state and for the mispricing to be corrected when sentiment transitions to the other state. In other words, we expect the overpricing (</w:t>
      </w:r>
      <w:proofErr w:type="spellStart"/>
      <w:r>
        <w:t>underpricing</w:t>
      </w:r>
      <w:proofErr w:type="spellEnd"/>
      <w:r>
        <w:t>) of HVHA stocks relative to EVEA stocks to worsen if sentiment continues in the High (Low) state. In contrast, we expect a correction of the overpricing (</w:t>
      </w:r>
      <w:proofErr w:type="spellStart"/>
      <w:r>
        <w:t>underpricing</w:t>
      </w:r>
      <w:proofErr w:type="spellEnd"/>
      <w:r>
        <w:t xml:space="preserve">) when sentiment transitions from a High (Low) to a Low (High) state. </w:t>
      </w:r>
      <w:r w:rsidRPr="00D0083A">
        <w:t xml:space="preserve">For example, </w:t>
      </w:r>
      <w:r w:rsidRPr="00D239C2">
        <w:t xml:space="preserve">if </w:t>
      </w:r>
      <w:r>
        <w:t xml:space="preserve">the </w:t>
      </w:r>
      <w:r w:rsidRPr="00D239C2">
        <w:t xml:space="preserve">current High (Low) sentiment continues in the subsequent period, then we expect returns </w:t>
      </w:r>
      <w:r>
        <w:t xml:space="preserve">of HVHA stocks </w:t>
      </w:r>
      <w:r w:rsidRPr="00D239C2">
        <w:t xml:space="preserve">to be </w:t>
      </w:r>
      <w:r>
        <w:t>higher</w:t>
      </w:r>
      <w:r w:rsidRPr="00D239C2">
        <w:t xml:space="preserve"> (</w:t>
      </w:r>
      <w:r>
        <w:t>lower</w:t>
      </w:r>
      <w:r w:rsidRPr="00D239C2">
        <w:t>)</w:t>
      </w:r>
      <w:r>
        <w:t xml:space="preserve"> than EVEA stocks </w:t>
      </w:r>
      <w:proofErr w:type="gramStart"/>
      <w:r w:rsidR="00055121">
        <w:t xml:space="preserve">as </w:t>
      </w:r>
      <w:r w:rsidR="004877CA">
        <w:t xml:space="preserve"> noise</w:t>
      </w:r>
      <w:proofErr w:type="gramEnd"/>
      <w:r w:rsidR="004877CA">
        <w:t xml:space="preserve"> trader</w:t>
      </w:r>
      <w:r w:rsidR="00055121">
        <w:t>s</w:t>
      </w:r>
      <w:r w:rsidR="00E66E2C">
        <w:t xml:space="preserve"> push prices </w:t>
      </w:r>
      <w:r w:rsidR="00055121">
        <w:t>further</w:t>
      </w:r>
      <w:r w:rsidR="00E66E2C">
        <w:t xml:space="preserve"> away from  fundamental values</w:t>
      </w:r>
      <w:r w:rsidRPr="00D239C2">
        <w:t>.</w:t>
      </w:r>
      <w:r>
        <w:t xml:space="preserve"> </w:t>
      </w:r>
      <w:r w:rsidRPr="00D0083A">
        <w:t xml:space="preserve">In contrast, </w:t>
      </w:r>
      <w:r w:rsidRPr="00D239C2">
        <w:t xml:space="preserve">if the current High (Low) sentiment transitions in the subsequent period, then we expect returns </w:t>
      </w:r>
      <w:r>
        <w:t>of HVHA stocks</w:t>
      </w:r>
      <w:r w:rsidRPr="00D239C2">
        <w:t xml:space="preserve"> to be low</w:t>
      </w:r>
      <w:r>
        <w:t>er</w:t>
      </w:r>
      <w:r w:rsidRPr="00D239C2">
        <w:t xml:space="preserve"> (high</w:t>
      </w:r>
      <w:r>
        <w:t>er</w:t>
      </w:r>
      <w:r w:rsidRPr="00D239C2">
        <w:t>)</w:t>
      </w:r>
      <w:r>
        <w:t xml:space="preserve"> than EVEA stocks</w:t>
      </w:r>
      <w:r w:rsidRPr="00D239C2">
        <w:t>.</w:t>
      </w:r>
    </w:p>
    <w:p w14:paraId="358D4BFA" w14:textId="77777777" w:rsidR="00CD0DD0" w:rsidRPr="008F122B" w:rsidRDefault="00CD0DD0" w:rsidP="00CD0DD0">
      <w:pPr>
        <w:spacing w:line="480" w:lineRule="auto"/>
        <w:ind w:firstLine="720"/>
      </w:pPr>
      <w:r w:rsidRPr="008F122B">
        <w:lastRenderedPageBreak/>
        <w:t xml:space="preserve">Therefore, to the extent that </w:t>
      </w:r>
      <w:r>
        <w:t xml:space="preserve">the </w:t>
      </w:r>
      <w:r w:rsidRPr="008F122B">
        <w:t xml:space="preserve">overpricing </w:t>
      </w:r>
      <w:r>
        <w:t xml:space="preserve">or </w:t>
      </w:r>
      <w:proofErr w:type="spellStart"/>
      <w:r w:rsidRPr="008F122B">
        <w:t>underpricing</w:t>
      </w:r>
      <w:proofErr w:type="spellEnd"/>
      <w:r w:rsidRPr="008F122B">
        <w:t xml:space="preserve"> </w:t>
      </w:r>
      <w:r>
        <w:t xml:space="preserve">of stocks </w:t>
      </w:r>
      <w:r w:rsidRPr="008F122B">
        <w:t>is sentiment-driven our first hypothesis is:</w:t>
      </w:r>
    </w:p>
    <w:p w14:paraId="08A8973B" w14:textId="6DB75440" w:rsidR="00CD0DD0" w:rsidRPr="008F122B" w:rsidRDefault="00517BB3" w:rsidP="00CD0DD0">
      <w:pPr>
        <w:spacing w:line="480" w:lineRule="auto"/>
        <w:ind w:firstLine="720"/>
        <w:rPr>
          <w:i/>
          <w:noProof/>
        </w:rPr>
      </w:pPr>
      <w:r>
        <w:rPr>
          <w:i/>
        </w:rPr>
        <w:t xml:space="preserve">H1: </w:t>
      </w:r>
      <w:r w:rsidR="00CD0DD0" w:rsidRPr="008F122B">
        <w:rPr>
          <w:i/>
        </w:rPr>
        <w:t xml:space="preserve">The average future returns of HVHA stocks would be higher (lower) than EVEA stocks if sentiment </w:t>
      </w:r>
      <w:r w:rsidR="00CD0DD0" w:rsidRPr="008F122B">
        <w:rPr>
          <w:b/>
          <w:i/>
        </w:rPr>
        <w:t>continues</w:t>
      </w:r>
      <w:r w:rsidR="00CD0DD0" w:rsidRPr="008F122B">
        <w:rPr>
          <w:i/>
        </w:rPr>
        <w:t xml:space="preserve"> in the High (Low) state. </w:t>
      </w:r>
      <w:r w:rsidR="00CD0DD0" w:rsidRPr="008F122B">
        <w:rPr>
          <w:i/>
          <w:noProof/>
        </w:rPr>
        <w:t xml:space="preserve">As a corollary, the average future returns of HVHA stocks would be lower (higher) than EVEA stocks if the subsequent sentiment </w:t>
      </w:r>
      <w:r w:rsidR="00CD0DD0" w:rsidRPr="008F122B">
        <w:rPr>
          <w:b/>
          <w:i/>
          <w:noProof/>
        </w:rPr>
        <w:t>transitions</w:t>
      </w:r>
      <w:r w:rsidR="00CD0DD0" w:rsidRPr="008F122B">
        <w:rPr>
          <w:i/>
          <w:noProof/>
        </w:rPr>
        <w:t xml:space="preserve"> to a Low (High) state.</w:t>
      </w:r>
    </w:p>
    <w:p w14:paraId="46BE6B01" w14:textId="5DAAECED" w:rsidR="00CD0DD0" w:rsidRDefault="00CD0DD0" w:rsidP="00CD0DD0">
      <w:pPr>
        <w:spacing w:line="480" w:lineRule="auto"/>
        <w:ind w:firstLine="720"/>
      </w:pPr>
      <w:r>
        <w:t xml:space="preserve">In accord with our first hypothesis, we conjecture that the unconditional short-run contrarian return predictability of sentiment as suggested by Baker and </w:t>
      </w:r>
      <w:proofErr w:type="spellStart"/>
      <w:r>
        <w:t>Wurgler</w:t>
      </w:r>
      <w:proofErr w:type="spellEnd"/>
      <w:r>
        <w:t xml:space="preserve"> is the consequence of low or negative stock returns, when sentiment transitions from High to Low, dominating the high or positive returns when sentiment continues in the High state; hence stock returns are low following High sentiment states</w:t>
      </w:r>
      <w:r w:rsidR="005F176F">
        <w:t xml:space="preserve"> since in general stocks are overpriced in </w:t>
      </w:r>
      <w:r w:rsidR="00055121">
        <w:t xml:space="preserve">the </w:t>
      </w:r>
      <w:r w:rsidR="005F176F">
        <w:t>High sentiment state</w:t>
      </w:r>
      <w:r>
        <w:t>. Similarly, we posit that the high or positive stock returns when sentiment transitions from Low to High, dominates the low or negative returns when sentiment continues in the Low state; hence returns are high following Low sentiment states</w:t>
      </w:r>
      <w:r w:rsidR="005F176F">
        <w:t xml:space="preserve"> since in general stocks are </w:t>
      </w:r>
      <w:proofErr w:type="spellStart"/>
      <w:r w:rsidR="005F176F">
        <w:t>underpriced</w:t>
      </w:r>
      <w:proofErr w:type="spellEnd"/>
      <w:r w:rsidR="005F176F">
        <w:t xml:space="preserve"> in </w:t>
      </w:r>
      <w:r w:rsidR="00055121">
        <w:t xml:space="preserve">the </w:t>
      </w:r>
      <w:r w:rsidR="005F176F">
        <w:t>Low sentiment state</w:t>
      </w:r>
      <w:r>
        <w:t xml:space="preserve">. </w:t>
      </w:r>
    </w:p>
    <w:p w14:paraId="121BE486" w14:textId="12586A34" w:rsidR="00CD0DD0" w:rsidRDefault="00770494" w:rsidP="00CD0DD0">
      <w:pPr>
        <w:pStyle w:val="BodyText"/>
        <w:spacing w:line="480" w:lineRule="auto"/>
        <w:ind w:firstLine="720"/>
        <w:rPr>
          <w:noProof/>
        </w:rPr>
      </w:pPr>
      <w:r>
        <w:t>We suggest that our framework of combining investor sentiment and noise trader risk can explain return</w:t>
      </w:r>
      <w:r w:rsidR="005F176F">
        <w:t xml:space="preserve"> patterns</w:t>
      </w:r>
      <w:r>
        <w:t xml:space="preserve"> of </w:t>
      </w:r>
      <w:r w:rsidR="00CD0DD0" w:rsidRPr="008F122B">
        <w:rPr>
          <w:noProof/>
        </w:rPr>
        <w:t>certain stock anomalies that are based on</w:t>
      </w:r>
      <w:r w:rsidR="00CD0DD0">
        <w:rPr>
          <w:noProof/>
        </w:rPr>
        <w:t xml:space="preserve"> HVHA stocks such as, the ‘negative MAX effect’.</w:t>
      </w:r>
      <w:r w:rsidR="00CD0DD0" w:rsidRPr="00A64466">
        <w:rPr>
          <w:noProof/>
        </w:rPr>
        <w:t xml:space="preserve"> </w:t>
      </w:r>
      <w:hyperlink w:anchor="_ENREF_6" w:tooltip="Bali, 2011 #460" w:history="1">
        <w:r w:rsidR="006913E2" w:rsidRPr="00794303">
          <w:rPr>
            <w:noProof/>
          </w:rPr>
          <w:fldChar w:fldCharType="begin"/>
        </w:r>
        <w:r w:rsidR="006913E2">
          <w:rPr>
            <w:noProof/>
          </w:rPr>
          <w:instrText xml:space="preserve"> ADDIN EN.CITE &lt;EndNote&gt;&lt;Cite AuthorYear="1"&gt;&lt;Author&gt;Bali&lt;/Author&gt;&lt;Year&gt;2011&lt;/Year&gt;&lt;RecNum&gt;460&lt;/RecNum&gt;&lt;DisplayText&gt;Bali et al.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rsidR="006913E2" w:rsidRPr="00794303">
          <w:rPr>
            <w:noProof/>
          </w:rPr>
          <w:fldChar w:fldCharType="separate"/>
        </w:r>
        <w:r w:rsidR="006913E2">
          <w:rPr>
            <w:noProof/>
          </w:rPr>
          <w:t>Bali et al. (2011)</w:t>
        </w:r>
        <w:r w:rsidR="006913E2" w:rsidRPr="00794303">
          <w:rPr>
            <w:noProof/>
          </w:rPr>
          <w:fldChar w:fldCharType="end"/>
        </w:r>
      </w:hyperlink>
      <w:r w:rsidR="00CD0DD0" w:rsidRPr="00A64466">
        <w:rPr>
          <w:noProof/>
        </w:rPr>
        <w:t xml:space="preserve"> </w:t>
      </w:r>
      <w:r w:rsidR="00CD0DD0">
        <w:rPr>
          <w:noProof/>
        </w:rPr>
        <w:t xml:space="preserve">document a </w:t>
      </w:r>
      <w:r w:rsidR="00CD0DD0" w:rsidRPr="00A64466">
        <w:rPr>
          <w:noProof/>
        </w:rPr>
        <w:t>negative MAX effect in which stocks with the highest maximum returns</w:t>
      </w:r>
      <w:r w:rsidR="00CD0DD0">
        <w:rPr>
          <w:noProof/>
        </w:rPr>
        <w:t xml:space="preserve"> (high MAX)</w:t>
      </w:r>
      <w:r w:rsidR="00CD0DD0" w:rsidRPr="00A64466">
        <w:rPr>
          <w:noProof/>
        </w:rPr>
        <w:t xml:space="preserve"> over the past month exhibit lower subsequent returns </w:t>
      </w:r>
      <w:r w:rsidR="00CD0DD0">
        <w:rPr>
          <w:noProof/>
        </w:rPr>
        <w:t>relative to</w:t>
      </w:r>
      <w:r w:rsidR="00CD0DD0" w:rsidRPr="00A64466">
        <w:rPr>
          <w:noProof/>
        </w:rPr>
        <w:t xml:space="preserve"> stocks with lowest maximum returns </w:t>
      </w:r>
      <w:r w:rsidR="00CD0DD0">
        <w:rPr>
          <w:noProof/>
        </w:rPr>
        <w:t xml:space="preserve">(low MAX) </w:t>
      </w:r>
      <w:r w:rsidR="00CD0DD0" w:rsidRPr="00A64466">
        <w:rPr>
          <w:noProof/>
        </w:rPr>
        <w:t xml:space="preserve">over the past month. They attribute this </w:t>
      </w:r>
      <w:r w:rsidR="00CD0DD0">
        <w:rPr>
          <w:noProof/>
        </w:rPr>
        <w:t>anomaly</w:t>
      </w:r>
      <w:r w:rsidR="00CD0DD0" w:rsidRPr="00A64466">
        <w:rPr>
          <w:noProof/>
        </w:rPr>
        <w:t xml:space="preserve"> to investor preference for high MAX stocks resulting in an overpayment for such stocks</w:t>
      </w:r>
      <w:r w:rsidR="00CD0DD0">
        <w:rPr>
          <w:noProof/>
        </w:rPr>
        <w:t>,</w:t>
      </w:r>
      <w:r w:rsidR="00CD0DD0" w:rsidRPr="00A64466">
        <w:rPr>
          <w:noProof/>
        </w:rPr>
        <w:t xml:space="preserve"> which when corrected in the subsequent period translates to lower returns. Moreover, Bali et al. (2011) find that high MAX stocks are small or illiquid,</w:t>
      </w:r>
      <w:r w:rsidR="00CD0DD0">
        <w:rPr>
          <w:noProof/>
        </w:rPr>
        <w:t xml:space="preserve"> making them HVHA </w:t>
      </w:r>
      <w:r w:rsidR="00CD0DD0" w:rsidRPr="00A64466">
        <w:rPr>
          <w:noProof/>
        </w:rPr>
        <w:t xml:space="preserve">stocks. </w:t>
      </w:r>
      <w:r w:rsidR="00CD0DD0">
        <w:rPr>
          <w:noProof/>
        </w:rPr>
        <w:t xml:space="preserve">Meanwhile, </w:t>
      </w:r>
      <w:hyperlink w:anchor="_ENREF_23" w:tooltip="Fong, 2014 #436" w:history="1">
        <w:r w:rsidR="006913E2">
          <w:rPr>
            <w:noProof/>
          </w:rPr>
          <w:fldChar w:fldCharType="begin"/>
        </w:r>
        <w:r w:rsidR="006913E2">
          <w:rPr>
            <w:noProof/>
          </w:rPr>
          <w:instrText xml:space="preserve"> ADDIN EN.CITE &lt;EndNote&gt;&lt;Cite AuthorYear="1"&gt;&lt;Author&gt;Fong&lt;/Author&gt;&lt;Year&gt;2014&lt;/Year&gt;&lt;RecNum&gt;436&lt;/RecNum&gt;&lt;DisplayText&gt;Fong and Toh (2014)&lt;/DisplayText&gt;&lt;record&gt;&lt;rec-number&gt;436&lt;/rec-number&gt;&lt;foreign-keys&gt;&lt;key app="EN" db-id="vafzs99fq0ew0seasdvvtxzufavxfwxtx2tr" timestamp="1490404297"&gt;436&lt;/key&gt;&lt;/foreign-keys&gt;&lt;ref-type name="Journal Article"&gt;17&lt;/ref-type&gt;&lt;contributors&gt;&lt;authors&gt;&lt;author&gt;Fong, Wai Mun&lt;/author&gt;&lt;author&gt;Toh, Benjamin&lt;/author&gt;&lt;/authors&gt;&lt;/contributors&gt;&lt;titles&gt;&lt;title&gt;Investor sentiment and the MAX effect&lt;/title&gt;&lt;secondary-title&gt;Journal of Banking &amp;amp; Finance&lt;/secondary-title&gt;&lt;/titles&gt;&lt;periodical&gt;&lt;full-title&gt;Journal of Banking &amp;amp; Finance&lt;/full-title&gt;&lt;/periodical&gt;&lt;pages&gt;190-201&lt;/pages&gt;&lt;volume&gt;46&lt;/volume&gt;&lt;dates&gt;&lt;year&gt;2014&lt;/year&gt;&lt;/dates&gt;&lt;isbn&gt;0378-4266&lt;/isbn&gt;&lt;urls&gt;&lt;/urls&gt;&lt;/record&gt;&lt;/Cite&gt;&lt;/EndNote&gt;</w:instrText>
        </w:r>
        <w:r w:rsidR="006913E2">
          <w:rPr>
            <w:noProof/>
          </w:rPr>
          <w:fldChar w:fldCharType="separate"/>
        </w:r>
        <w:r w:rsidR="006913E2">
          <w:rPr>
            <w:noProof/>
          </w:rPr>
          <w:t>Fong and Toh (2014)</w:t>
        </w:r>
        <w:r w:rsidR="006913E2">
          <w:rPr>
            <w:noProof/>
          </w:rPr>
          <w:fldChar w:fldCharType="end"/>
        </w:r>
      </w:hyperlink>
      <w:r w:rsidR="00CD0DD0">
        <w:rPr>
          <w:noProof/>
        </w:rPr>
        <w:t xml:space="preserve"> </w:t>
      </w:r>
      <w:r w:rsidR="00CD0DD0" w:rsidRPr="00B97851">
        <w:rPr>
          <w:noProof/>
        </w:rPr>
        <w:t>find that the negative MAX effect</w:t>
      </w:r>
      <w:r w:rsidR="00CD0DD0">
        <w:rPr>
          <w:noProof/>
        </w:rPr>
        <w:t xml:space="preserve"> </w:t>
      </w:r>
      <w:r w:rsidR="00CD0DD0" w:rsidRPr="00307184">
        <w:rPr>
          <w:i/>
          <w:noProof/>
        </w:rPr>
        <w:t>exclusively</w:t>
      </w:r>
      <w:r w:rsidR="00CD0DD0">
        <w:rPr>
          <w:noProof/>
        </w:rPr>
        <w:t xml:space="preserve"> follows</w:t>
      </w:r>
      <w:r w:rsidR="00CD0DD0" w:rsidRPr="00B97851">
        <w:rPr>
          <w:noProof/>
        </w:rPr>
        <w:t xml:space="preserve"> high sentiment periods suggesting that </w:t>
      </w:r>
      <w:r w:rsidR="00CD0DD0">
        <w:rPr>
          <w:noProof/>
        </w:rPr>
        <w:t xml:space="preserve">the MAX effect is sentiment </w:t>
      </w:r>
      <w:r w:rsidR="00CD0DD0">
        <w:rPr>
          <w:noProof/>
        </w:rPr>
        <w:lastRenderedPageBreak/>
        <w:t>driven.</w:t>
      </w:r>
      <w:r w:rsidR="00CD0DD0" w:rsidRPr="00B97851">
        <w:rPr>
          <w:noProof/>
        </w:rPr>
        <w:t xml:space="preserve"> </w:t>
      </w:r>
      <w:r w:rsidR="00CD0DD0">
        <w:rPr>
          <w:noProof/>
        </w:rPr>
        <w:t>If the MAX effect is sentiment driven</w:t>
      </w:r>
      <w:r w:rsidR="00055121">
        <w:rPr>
          <w:noProof/>
        </w:rPr>
        <w:t>,</w:t>
      </w:r>
      <w:r w:rsidR="00CD0DD0">
        <w:rPr>
          <w:noProof/>
        </w:rPr>
        <w:t xml:space="preserve"> </w:t>
      </w:r>
      <w:r w:rsidR="00CD0DD0" w:rsidRPr="00B97851">
        <w:rPr>
          <w:noProof/>
        </w:rPr>
        <w:t xml:space="preserve">we suggest that </w:t>
      </w:r>
      <w:r w:rsidR="00CD0DD0">
        <w:rPr>
          <w:noProof/>
        </w:rPr>
        <w:t xml:space="preserve">the </w:t>
      </w:r>
      <w:r w:rsidR="00CD0DD0" w:rsidRPr="00B97851">
        <w:rPr>
          <w:noProof/>
        </w:rPr>
        <w:t xml:space="preserve">overpricing of high MAX stocks </w:t>
      </w:r>
      <w:r w:rsidR="00CD0DD0">
        <w:rPr>
          <w:noProof/>
        </w:rPr>
        <w:t>in H</w:t>
      </w:r>
      <w:r w:rsidR="00CD0DD0" w:rsidRPr="00B97851">
        <w:rPr>
          <w:noProof/>
        </w:rPr>
        <w:t xml:space="preserve">igh sentiment periods is corrected </w:t>
      </w:r>
      <w:r w:rsidR="00CD0DD0" w:rsidRPr="00B10270">
        <w:rPr>
          <w:noProof/>
        </w:rPr>
        <w:t>only</w:t>
      </w:r>
      <w:r w:rsidR="00CD0DD0">
        <w:rPr>
          <w:noProof/>
        </w:rPr>
        <w:t xml:space="preserve"> </w:t>
      </w:r>
      <w:r w:rsidR="00CD0DD0" w:rsidRPr="00B97851">
        <w:rPr>
          <w:noProof/>
        </w:rPr>
        <w:t xml:space="preserve">when the subsequent sentiment decreases; therefore, </w:t>
      </w:r>
      <w:r w:rsidR="00CD0DD0">
        <w:rPr>
          <w:noProof/>
        </w:rPr>
        <w:t xml:space="preserve">the </w:t>
      </w:r>
      <w:r w:rsidR="00CD0DD0" w:rsidRPr="00B97851">
        <w:rPr>
          <w:noProof/>
        </w:rPr>
        <w:t xml:space="preserve">negative MAX effect </w:t>
      </w:r>
      <w:r w:rsidR="00CD0DD0">
        <w:rPr>
          <w:noProof/>
        </w:rPr>
        <w:t>following High sentiment periods would</w:t>
      </w:r>
      <w:r w:rsidR="00CD0DD0" w:rsidRPr="00B97851">
        <w:rPr>
          <w:noProof/>
        </w:rPr>
        <w:t xml:space="preserve"> </w:t>
      </w:r>
      <w:r w:rsidR="00CD0DD0">
        <w:rPr>
          <w:noProof/>
        </w:rPr>
        <w:t>obtain</w:t>
      </w:r>
      <w:r w:rsidR="00CD0DD0" w:rsidRPr="00B97851">
        <w:rPr>
          <w:noProof/>
        </w:rPr>
        <w:t xml:space="preserve"> </w:t>
      </w:r>
      <w:r w:rsidR="00CD0DD0" w:rsidRPr="005A4CA8">
        <w:rPr>
          <w:i/>
          <w:noProof/>
        </w:rPr>
        <w:t>only</w:t>
      </w:r>
      <w:r w:rsidR="00CD0DD0">
        <w:rPr>
          <w:noProof/>
        </w:rPr>
        <w:t xml:space="preserve"> </w:t>
      </w:r>
      <w:r w:rsidR="00CD0DD0" w:rsidRPr="00B97851">
        <w:rPr>
          <w:noProof/>
        </w:rPr>
        <w:t>when</w:t>
      </w:r>
      <w:r w:rsidR="00CD0DD0">
        <w:rPr>
          <w:noProof/>
        </w:rPr>
        <w:t xml:space="preserve"> </w:t>
      </w:r>
      <w:r w:rsidR="00CD0DD0" w:rsidRPr="00B97851">
        <w:rPr>
          <w:noProof/>
        </w:rPr>
        <w:t>sent</w:t>
      </w:r>
      <w:r w:rsidR="00CD0DD0">
        <w:rPr>
          <w:noProof/>
        </w:rPr>
        <w:t>iment transitions to a L</w:t>
      </w:r>
      <w:r w:rsidR="00CD0DD0" w:rsidRPr="00B97851">
        <w:rPr>
          <w:noProof/>
        </w:rPr>
        <w:t xml:space="preserve">ow state. </w:t>
      </w:r>
      <w:r w:rsidR="00CD0DD0">
        <w:rPr>
          <w:noProof/>
        </w:rPr>
        <w:t>Consequently</w:t>
      </w:r>
      <w:r w:rsidR="00CD0DD0" w:rsidRPr="00B97851">
        <w:rPr>
          <w:noProof/>
        </w:rPr>
        <w:t xml:space="preserve">, we expect a positive, </w:t>
      </w:r>
      <w:r w:rsidR="00CD0DD0">
        <w:rPr>
          <w:noProof/>
        </w:rPr>
        <w:t>(</w:t>
      </w:r>
      <w:r w:rsidR="00CD0DD0" w:rsidRPr="00B97851">
        <w:rPr>
          <w:noProof/>
        </w:rPr>
        <w:t>not negative</w:t>
      </w:r>
      <w:r w:rsidR="00CD0DD0">
        <w:rPr>
          <w:noProof/>
        </w:rPr>
        <w:t>)</w:t>
      </w:r>
      <w:r w:rsidR="00CD0DD0" w:rsidRPr="00B97851">
        <w:rPr>
          <w:noProof/>
        </w:rPr>
        <w:t xml:space="preserve"> MAX effect when sentiment continues to increase</w:t>
      </w:r>
      <w:r w:rsidR="00CD0DD0">
        <w:rPr>
          <w:noProof/>
        </w:rPr>
        <w:t xml:space="preserve"> as the </w:t>
      </w:r>
      <w:r w:rsidR="00CD0DD0" w:rsidRPr="00B97851">
        <w:rPr>
          <w:noProof/>
        </w:rPr>
        <w:t xml:space="preserve">overpricing of high MAX stocks </w:t>
      </w:r>
      <w:r w:rsidR="00CD0DD0">
        <w:rPr>
          <w:noProof/>
        </w:rPr>
        <w:t xml:space="preserve">worsens instead of it being </w:t>
      </w:r>
      <w:r w:rsidR="00CD0DD0" w:rsidRPr="00B97851">
        <w:rPr>
          <w:noProof/>
        </w:rPr>
        <w:t>corrected</w:t>
      </w:r>
      <w:r w:rsidR="009914ED">
        <w:rPr>
          <w:noProof/>
        </w:rPr>
        <w:t xml:space="preserve"> because of noise trader</w:t>
      </w:r>
      <w:r w:rsidR="00055121">
        <w:rPr>
          <w:noProof/>
        </w:rPr>
        <w:t>s</w:t>
      </w:r>
      <w:r w:rsidR="00CD0DD0" w:rsidRPr="00B97851">
        <w:rPr>
          <w:noProof/>
        </w:rPr>
        <w:t xml:space="preserve">. Furthermore, </w:t>
      </w:r>
      <w:r w:rsidR="00CD0DD0">
        <w:rPr>
          <w:noProof/>
        </w:rPr>
        <w:t xml:space="preserve">following Baker and Wurgler (2006) we </w:t>
      </w:r>
      <w:r w:rsidR="00CD0DD0" w:rsidRPr="00B97851">
        <w:rPr>
          <w:noProof/>
        </w:rPr>
        <w:t>argue that high</w:t>
      </w:r>
      <w:r w:rsidR="00CD0DD0">
        <w:rPr>
          <w:noProof/>
        </w:rPr>
        <w:t xml:space="preserve"> MAX stocks are underpriced in L</w:t>
      </w:r>
      <w:r w:rsidR="00CD0DD0" w:rsidRPr="00B97851">
        <w:rPr>
          <w:noProof/>
        </w:rPr>
        <w:t xml:space="preserve">ow sentiment periods; therefore, we also expect </w:t>
      </w:r>
      <w:r w:rsidR="00CD0DD0">
        <w:rPr>
          <w:noProof/>
        </w:rPr>
        <w:t xml:space="preserve">a </w:t>
      </w:r>
      <w:r w:rsidR="00CD0DD0" w:rsidRPr="00B97851">
        <w:rPr>
          <w:noProof/>
        </w:rPr>
        <w:t>negative MAX effect when the subsequent sentiment continues to decrease</w:t>
      </w:r>
      <w:r w:rsidR="00CD0DD0">
        <w:rPr>
          <w:noProof/>
        </w:rPr>
        <w:t>,</w:t>
      </w:r>
      <w:r w:rsidR="00CD0DD0" w:rsidRPr="00B97851">
        <w:rPr>
          <w:noProof/>
        </w:rPr>
        <w:t xml:space="preserve"> </w:t>
      </w:r>
      <w:r w:rsidR="00CD0DD0">
        <w:rPr>
          <w:noProof/>
        </w:rPr>
        <w:t>as</w:t>
      </w:r>
      <w:r w:rsidR="00CD0DD0" w:rsidRPr="00B97851">
        <w:rPr>
          <w:noProof/>
        </w:rPr>
        <w:t xml:space="preserve"> high MAX stocks remain underpriced. In contrast, we expect a positive MAX effect when sentiment transitions </w:t>
      </w:r>
      <w:r w:rsidR="00CD0DD0">
        <w:rPr>
          <w:noProof/>
        </w:rPr>
        <w:t xml:space="preserve">from a Low </w:t>
      </w:r>
      <w:r w:rsidR="00CD0DD0" w:rsidRPr="00B97851">
        <w:rPr>
          <w:noProof/>
        </w:rPr>
        <w:t xml:space="preserve">to </w:t>
      </w:r>
      <w:r w:rsidR="00CD0DD0">
        <w:rPr>
          <w:noProof/>
        </w:rPr>
        <w:t>a H</w:t>
      </w:r>
      <w:r w:rsidR="00CD0DD0" w:rsidRPr="00B97851">
        <w:rPr>
          <w:noProof/>
        </w:rPr>
        <w:t xml:space="preserve">igh state </w:t>
      </w:r>
      <w:r w:rsidR="00055121">
        <w:rPr>
          <w:noProof/>
        </w:rPr>
        <w:t>as</w:t>
      </w:r>
      <w:r w:rsidR="00CD0DD0" w:rsidRPr="00B97851">
        <w:rPr>
          <w:noProof/>
        </w:rPr>
        <w:t xml:space="preserve"> the underpricing of high MAX stocks </w:t>
      </w:r>
      <w:r w:rsidR="000610D6">
        <w:rPr>
          <w:noProof/>
        </w:rPr>
        <w:t>is</w:t>
      </w:r>
      <w:r w:rsidR="00CD0DD0" w:rsidRPr="00B97851">
        <w:rPr>
          <w:noProof/>
        </w:rPr>
        <w:t xml:space="preserve"> corrected</w:t>
      </w:r>
      <w:r w:rsidR="00CD0DD0">
        <w:rPr>
          <w:noProof/>
        </w:rPr>
        <w:t>,</w:t>
      </w:r>
      <w:r w:rsidR="00CD0DD0" w:rsidRPr="00B97851">
        <w:rPr>
          <w:noProof/>
        </w:rPr>
        <w:t xml:space="preserve"> resulting in higher returns</w:t>
      </w:r>
      <w:r w:rsidR="00CD0DD0">
        <w:rPr>
          <w:noProof/>
        </w:rPr>
        <w:t>.</w:t>
      </w:r>
      <w:r w:rsidR="00CD0DD0" w:rsidRPr="00B97851">
        <w:rPr>
          <w:noProof/>
        </w:rPr>
        <w:t xml:space="preserve"> </w:t>
      </w:r>
      <w:r w:rsidR="00CD0DD0">
        <w:rPr>
          <w:noProof/>
        </w:rPr>
        <w:t>Therefore</w:t>
      </w:r>
      <w:r w:rsidR="00CD0DD0" w:rsidRPr="00B97851">
        <w:rPr>
          <w:noProof/>
        </w:rPr>
        <w:t>, our second hypothesis is</w:t>
      </w:r>
      <w:r w:rsidR="00CD0DD0">
        <w:rPr>
          <w:noProof/>
        </w:rPr>
        <w:t>:</w:t>
      </w:r>
    </w:p>
    <w:p w14:paraId="531AB661" w14:textId="667FCCFC" w:rsidR="00CD0DD0" w:rsidRDefault="006D54D1" w:rsidP="00CD0DD0">
      <w:pPr>
        <w:pStyle w:val="BodyText"/>
        <w:spacing w:line="480" w:lineRule="auto"/>
        <w:ind w:firstLine="720"/>
        <w:rPr>
          <w:noProof/>
        </w:rPr>
      </w:pPr>
      <w:r>
        <w:rPr>
          <w:i/>
          <w:noProof/>
        </w:rPr>
        <w:t xml:space="preserve">H2: </w:t>
      </w:r>
      <w:r w:rsidR="00CD0DD0">
        <w:rPr>
          <w:i/>
          <w:noProof/>
        </w:rPr>
        <w:t>T</w:t>
      </w:r>
      <w:r w:rsidR="00CD0DD0" w:rsidRPr="00081B01">
        <w:rPr>
          <w:i/>
          <w:noProof/>
        </w:rPr>
        <w:t xml:space="preserve">he MAX effect </w:t>
      </w:r>
      <w:r w:rsidR="00CD0DD0">
        <w:rPr>
          <w:i/>
          <w:noProof/>
        </w:rPr>
        <w:t xml:space="preserve">is negative </w:t>
      </w:r>
      <w:r w:rsidR="00CD0DD0" w:rsidRPr="00081B01">
        <w:rPr>
          <w:i/>
          <w:noProof/>
        </w:rPr>
        <w:t xml:space="preserve">when sentiment transitions from High to Low or when sentiment continues to be Low. As a corollary, </w:t>
      </w:r>
      <w:r w:rsidR="00CD0DD0">
        <w:rPr>
          <w:i/>
          <w:noProof/>
        </w:rPr>
        <w:t xml:space="preserve">the MAX effect is positive or at least absent </w:t>
      </w:r>
      <w:r w:rsidR="00CD0DD0" w:rsidRPr="00081B01">
        <w:rPr>
          <w:i/>
          <w:noProof/>
        </w:rPr>
        <w:t>when sentiment continues to be High or when sentiment transitions from Low to High</w:t>
      </w:r>
      <w:r w:rsidR="00CD0DD0" w:rsidRPr="00B97851">
        <w:rPr>
          <w:noProof/>
        </w:rPr>
        <w:t>.</w:t>
      </w:r>
    </w:p>
    <w:p w14:paraId="42D38EF0" w14:textId="77777777" w:rsidR="00CD0DD0" w:rsidRDefault="00CD0DD0" w:rsidP="00CD0DD0">
      <w:pPr>
        <w:pStyle w:val="BodyText"/>
        <w:spacing w:line="480" w:lineRule="auto"/>
        <w:ind w:firstLine="720"/>
        <w:rPr>
          <w:noProof/>
        </w:rPr>
      </w:pPr>
      <w:r>
        <w:rPr>
          <w:noProof/>
        </w:rPr>
        <w:t>In line with our second hypothesis, we posit that the absence of a MAX effect following Low sentiment states as documented by Fong and Toh (2014), is due to a negative MAX effect when sentiment continues in a Low state, being completely offset by a positive MAX effect when sentiment reverses to a High state.</w:t>
      </w:r>
    </w:p>
    <w:p w14:paraId="3B7AE8FF" w14:textId="491F7603" w:rsidR="00AA017C" w:rsidRDefault="00CD0DD0" w:rsidP="00CD0DD0">
      <w:pPr>
        <w:spacing w:line="480" w:lineRule="auto"/>
        <w:ind w:firstLine="720"/>
      </w:pPr>
      <w:r w:rsidRPr="00E65AA7">
        <w:rPr>
          <w:noProof/>
        </w:rPr>
        <w:t>Table 1 summarises the predictions based on hypotheses 1</w:t>
      </w:r>
      <w:r>
        <w:rPr>
          <w:noProof/>
        </w:rPr>
        <w:t xml:space="preserve"> and</w:t>
      </w:r>
      <w:r w:rsidRPr="00E65AA7">
        <w:rPr>
          <w:noProof/>
        </w:rPr>
        <w:t xml:space="preserve"> 2.</w:t>
      </w:r>
      <w:r>
        <w:rPr>
          <w:noProof/>
        </w:rPr>
        <w:t xml:space="preserve"> </w:t>
      </w:r>
      <w:r w:rsidR="00AA017C">
        <w:t xml:space="preserve"> </w:t>
      </w:r>
    </w:p>
    <w:p w14:paraId="2A9E980F" w14:textId="77777777" w:rsidR="00AA017C" w:rsidRPr="00AA017C" w:rsidRDefault="00AA017C" w:rsidP="00C760BC">
      <w:pPr>
        <w:spacing w:line="480" w:lineRule="auto"/>
        <w:ind w:firstLine="720"/>
        <w:rPr>
          <w:b/>
          <w:sz w:val="28"/>
          <w:szCs w:val="28"/>
        </w:rPr>
      </w:pPr>
    </w:p>
    <w:p w14:paraId="171E3B18" w14:textId="58FE8976" w:rsidR="004326ED" w:rsidRPr="008026F8" w:rsidRDefault="004326ED" w:rsidP="00C760BC">
      <w:pPr>
        <w:pStyle w:val="BodyText"/>
        <w:spacing w:after="240" w:line="480" w:lineRule="auto"/>
        <w:contextualSpacing/>
        <w:rPr>
          <w:rFonts w:asciiTheme="minorHAnsi" w:hAnsiTheme="minorHAnsi" w:cs="Arial"/>
          <w:b/>
          <w:bCs/>
          <w:sz w:val="28"/>
          <w:szCs w:val="28"/>
        </w:rPr>
      </w:pPr>
      <w:bookmarkStart w:id="1" w:name="_Toc350205504"/>
      <w:bookmarkEnd w:id="0"/>
      <w:r w:rsidRPr="008026F8">
        <w:rPr>
          <w:rFonts w:asciiTheme="minorHAnsi" w:hAnsiTheme="minorHAnsi" w:cs="Arial"/>
          <w:b/>
          <w:bCs/>
          <w:sz w:val="28"/>
          <w:szCs w:val="28"/>
        </w:rPr>
        <w:t>I</w:t>
      </w:r>
      <w:r w:rsidR="00D615B5">
        <w:rPr>
          <w:rFonts w:asciiTheme="minorHAnsi" w:hAnsiTheme="minorHAnsi" w:cs="Arial"/>
          <w:b/>
          <w:bCs/>
          <w:sz w:val="28"/>
          <w:szCs w:val="28"/>
        </w:rPr>
        <w:t>I</w:t>
      </w:r>
      <w:r w:rsidRPr="008026F8">
        <w:rPr>
          <w:rFonts w:asciiTheme="minorHAnsi" w:hAnsiTheme="minorHAnsi" w:cs="Arial"/>
          <w:b/>
          <w:bCs/>
          <w:sz w:val="28"/>
          <w:szCs w:val="28"/>
        </w:rPr>
        <w:t>I. Data: Investor Sentiment and Hard to Value Stocks</w:t>
      </w:r>
    </w:p>
    <w:p w14:paraId="7DCDC1EF" w14:textId="2795B76D" w:rsidR="004326ED" w:rsidRPr="008026F8" w:rsidRDefault="004326ED" w:rsidP="00C760BC">
      <w:pPr>
        <w:pStyle w:val="BodyText"/>
        <w:spacing w:after="240" w:line="480" w:lineRule="auto"/>
        <w:contextualSpacing/>
        <w:rPr>
          <w:rFonts w:ascii="Arial" w:hAnsi="Arial" w:cs="Arial"/>
          <w:b/>
          <w:bCs/>
        </w:rPr>
      </w:pPr>
      <w:r w:rsidRPr="008026F8">
        <w:rPr>
          <w:rFonts w:asciiTheme="minorHAnsi" w:hAnsiTheme="minorHAnsi" w:cs="Arial"/>
          <w:b/>
          <w:bCs/>
        </w:rPr>
        <w:t>A. Investor Sentiment</w:t>
      </w:r>
    </w:p>
    <w:p w14:paraId="4F841B7A" w14:textId="55B7C08A" w:rsidR="00127F60" w:rsidRPr="00E65AA7" w:rsidRDefault="004326ED" w:rsidP="00CD19CE">
      <w:pPr>
        <w:pStyle w:val="BodyText"/>
        <w:widowControl w:val="0"/>
        <w:spacing w:line="480" w:lineRule="auto"/>
        <w:ind w:firstLine="720"/>
        <w:contextualSpacing/>
        <w:rPr>
          <w:noProof/>
        </w:rPr>
      </w:pPr>
      <w:r w:rsidRPr="00E65AA7">
        <w:rPr>
          <w:bCs/>
        </w:rPr>
        <w:t xml:space="preserve">We </w:t>
      </w:r>
      <w:r w:rsidRPr="00E65AA7">
        <w:rPr>
          <w:bCs/>
          <w:noProof/>
        </w:rPr>
        <w:t>use both survey and market-based</w:t>
      </w:r>
      <w:r w:rsidRPr="00E65AA7">
        <w:rPr>
          <w:bCs/>
        </w:rPr>
        <w:t xml:space="preserve"> measures of investor sentiment</w:t>
      </w:r>
      <w:r w:rsidR="00C7409E">
        <w:rPr>
          <w:bCs/>
        </w:rPr>
        <w:t xml:space="preserve"> </w:t>
      </w:r>
      <w:r w:rsidRPr="00E65AA7">
        <w:rPr>
          <w:bCs/>
        </w:rPr>
        <w:t xml:space="preserve">to test whether </w:t>
      </w:r>
      <w:r w:rsidRPr="00E65AA7">
        <w:rPr>
          <w:bCs/>
        </w:rPr>
        <w:lastRenderedPageBreak/>
        <w:t>the results are sensitive to the choice between market- or survey-based sentiment measures.</w:t>
      </w:r>
      <w:r w:rsidR="008D11C0">
        <w:rPr>
          <w:rStyle w:val="FootnoteReference"/>
          <w:bCs/>
        </w:rPr>
        <w:footnoteReference w:id="5"/>
      </w:r>
      <w:r w:rsidR="002E5E96">
        <w:rPr>
          <w:bCs/>
        </w:rPr>
        <w:t xml:space="preserve"> </w:t>
      </w:r>
      <w:r w:rsidR="009A1143" w:rsidRPr="00E65AA7">
        <w:rPr>
          <w:noProof/>
        </w:rPr>
        <w:t xml:space="preserve">Our </w:t>
      </w:r>
      <w:r w:rsidR="00E92D6C">
        <w:rPr>
          <w:noProof/>
        </w:rPr>
        <w:t>first two</w:t>
      </w:r>
      <w:r w:rsidR="009A1143" w:rsidRPr="00E65AA7">
        <w:rPr>
          <w:noProof/>
        </w:rPr>
        <w:t xml:space="preserve"> measure</w:t>
      </w:r>
      <w:r w:rsidR="00794A9A">
        <w:rPr>
          <w:noProof/>
        </w:rPr>
        <w:t>s</w:t>
      </w:r>
      <w:r w:rsidR="009A1143" w:rsidRPr="00E65AA7">
        <w:rPr>
          <w:noProof/>
        </w:rPr>
        <w:t xml:space="preserve"> of sentiment </w:t>
      </w:r>
      <w:r w:rsidR="00794A9A">
        <w:rPr>
          <w:noProof/>
        </w:rPr>
        <w:t>are</w:t>
      </w:r>
      <w:r w:rsidR="009A1143" w:rsidRPr="00E65AA7">
        <w:rPr>
          <w:noProof/>
        </w:rPr>
        <w:t xml:space="preserve"> Baker and Wurgler’s </w:t>
      </w:r>
      <w:r w:rsidR="009A1143">
        <w:rPr>
          <w:noProof/>
        </w:rPr>
        <w:t>‘</w:t>
      </w:r>
      <w:r w:rsidR="009A1143" w:rsidRPr="00E65AA7">
        <w:rPr>
          <w:noProof/>
        </w:rPr>
        <w:t>sentiment levels</w:t>
      </w:r>
      <w:r w:rsidR="009A1143">
        <w:rPr>
          <w:noProof/>
        </w:rPr>
        <w:t>’</w:t>
      </w:r>
      <w:r w:rsidR="009A1143" w:rsidRPr="00E65AA7">
        <w:rPr>
          <w:noProof/>
        </w:rPr>
        <w:t xml:space="preserve"> </w:t>
      </w:r>
      <w:r w:rsidR="009A1143">
        <w:rPr>
          <w:noProof/>
        </w:rPr>
        <w:t>index and ‘sentiment ch</w:t>
      </w:r>
      <w:r w:rsidR="00794A9A">
        <w:rPr>
          <w:noProof/>
        </w:rPr>
        <w:t>a</w:t>
      </w:r>
      <w:r w:rsidR="009A1143">
        <w:rPr>
          <w:noProof/>
        </w:rPr>
        <w:t xml:space="preserve">nges’ </w:t>
      </w:r>
      <w:r w:rsidR="009A1143" w:rsidRPr="00E65AA7">
        <w:rPr>
          <w:noProof/>
        </w:rPr>
        <w:t>index</w:t>
      </w:r>
      <w:r w:rsidR="009A1143">
        <w:rPr>
          <w:noProof/>
        </w:rPr>
        <w:t>.</w:t>
      </w:r>
      <w:r w:rsidR="00221AFD">
        <w:rPr>
          <w:rStyle w:val="FootnoteReference"/>
          <w:noProof/>
        </w:rPr>
        <w:footnoteReference w:id="6"/>
      </w:r>
      <w:r w:rsidR="009A1143">
        <w:rPr>
          <w:noProof/>
        </w:rPr>
        <w:t xml:space="preserve"> </w:t>
      </w:r>
      <w:r w:rsidR="00794A9A">
        <w:rPr>
          <w:noProof/>
        </w:rPr>
        <w:t>The s</w:t>
      </w:r>
      <w:r w:rsidR="009A1143">
        <w:rPr>
          <w:noProof/>
        </w:rPr>
        <w:t>entiment levels index is</w:t>
      </w:r>
      <w:r w:rsidR="009A1143" w:rsidRPr="00E65AA7">
        <w:rPr>
          <w:noProof/>
        </w:rPr>
        <w:t xml:space="preserve"> estimated as the first principal component of </w:t>
      </w:r>
      <w:r w:rsidR="009A1143">
        <w:rPr>
          <w:noProof/>
        </w:rPr>
        <w:t xml:space="preserve">the </w:t>
      </w:r>
      <w:r w:rsidR="009A1143" w:rsidRPr="00E65AA7">
        <w:rPr>
          <w:noProof/>
        </w:rPr>
        <w:t xml:space="preserve">six different proxies of investor sentiment, </w:t>
      </w:r>
      <w:r w:rsidR="009A1143">
        <w:rPr>
          <w:noProof/>
        </w:rPr>
        <w:t xml:space="preserve">namely </w:t>
      </w:r>
      <w:r w:rsidR="009A1143" w:rsidRPr="00E65AA7">
        <w:rPr>
          <w:noProof/>
        </w:rPr>
        <w:t>the close</w:t>
      </w:r>
      <w:r w:rsidR="00794A9A">
        <w:rPr>
          <w:noProof/>
        </w:rPr>
        <w:t>d</w:t>
      </w:r>
      <w:r w:rsidR="009A1143" w:rsidRPr="00E65AA7">
        <w:rPr>
          <w:noProof/>
        </w:rPr>
        <w:t>-end fund discount, NYSE share turnover, the number and average first-day return on IPOs, the equity share in new issues, and the dividend premium</w:t>
      </w:r>
      <w:r w:rsidR="00D77549">
        <w:rPr>
          <w:noProof/>
        </w:rPr>
        <w:t>; w</w:t>
      </w:r>
      <w:proofErr w:type="spellStart"/>
      <w:r w:rsidR="009A1143">
        <w:t>hereas</w:t>
      </w:r>
      <w:proofErr w:type="spellEnd"/>
      <w:r w:rsidR="009A1143">
        <w:t xml:space="preserve"> </w:t>
      </w:r>
      <w:r w:rsidR="00794A9A">
        <w:t xml:space="preserve">the </w:t>
      </w:r>
      <w:r w:rsidRPr="00E65AA7">
        <w:rPr>
          <w:noProof/>
        </w:rPr>
        <w:t xml:space="preserve">sentiment </w:t>
      </w:r>
      <w:r>
        <w:rPr>
          <w:noProof/>
        </w:rPr>
        <w:t xml:space="preserve">changes </w:t>
      </w:r>
      <w:r w:rsidRPr="00E65AA7">
        <w:rPr>
          <w:noProof/>
        </w:rPr>
        <w:t xml:space="preserve">index </w:t>
      </w:r>
      <w:r w:rsidR="009A1143">
        <w:rPr>
          <w:noProof/>
        </w:rPr>
        <w:t xml:space="preserve">is estimated </w:t>
      </w:r>
      <w:r w:rsidRPr="00E65AA7">
        <w:rPr>
          <w:noProof/>
        </w:rPr>
        <w:t xml:space="preserve">as the first principal component of changes in </w:t>
      </w:r>
      <w:r w:rsidR="00242F30">
        <w:rPr>
          <w:noProof/>
        </w:rPr>
        <w:t xml:space="preserve">those </w:t>
      </w:r>
      <w:r w:rsidRPr="00E65AA7">
        <w:rPr>
          <w:noProof/>
        </w:rPr>
        <w:t>six different proxies of investor sentiment</w:t>
      </w:r>
      <w:r w:rsidR="00242F30">
        <w:rPr>
          <w:noProof/>
        </w:rPr>
        <w:t>.</w:t>
      </w:r>
      <w:r w:rsidR="00674986">
        <w:rPr>
          <w:noProof/>
        </w:rPr>
        <w:t xml:space="preserve"> </w:t>
      </w:r>
      <w:hyperlink w:anchor="_ENREF_4" w:tooltip="Baker, 2007 #280" w:history="1">
        <w:r w:rsidR="006913E2" w:rsidRPr="00E65AA7">
          <w:rPr>
            <w:noProof/>
          </w:rPr>
          <w:fldChar w:fldCharType="begin"/>
        </w:r>
        <w:r w:rsidR="006913E2" w:rsidRPr="00E65AA7">
          <w:rPr>
            <w:noProof/>
          </w:rPr>
          <w:instrText xml:space="preserve"> ADDIN EN.CITE &lt;EndNote&gt;&lt;Cite AuthorYear="1"&gt;&lt;Author&gt;Baker&lt;/Author&gt;&lt;Year&gt;2007&lt;/Year&gt;&lt;RecNum&gt;280&lt;/RecNum&gt;&lt;DisplayText&gt;Baker and Wurgler (2007)&lt;/DisplayText&gt;&lt;record&gt;&lt;rec-number&gt;280&lt;/rec-number&gt;&lt;foreign-keys&gt;&lt;key app="EN" db-id="vafzs99fq0ew0seasdvvtxzufavxfwxtx2tr" timestamp="1429599507"&gt;280&lt;/key&gt;&lt;/foreign-keys&gt;&lt;ref-type name="Generic"&gt;13&lt;/ref-type&gt;&lt;contributors&gt;&lt;authors&gt;&lt;author&gt;Baker, Malcolm&lt;/author&gt;&lt;author&gt;Wurgler, Jeffrey&lt;/author&gt;&lt;/authors&gt;&lt;/contributors&gt;&lt;titles&gt;&lt;title&gt;Investor sentiment in the stock market&lt;/title&gt;&lt;/titles&gt;&lt;dates&gt;&lt;year&gt;2007&lt;/year&gt;&lt;/dates&gt;&lt;publisher&gt;National Bureau of Economic Research Cambridge, Mass., USA&lt;/publisher&gt;&lt;urls&gt;&lt;/urls&gt;&lt;/record&gt;&lt;/Cite&gt;&lt;/EndNote&gt;</w:instrText>
        </w:r>
        <w:r w:rsidR="006913E2" w:rsidRPr="00E65AA7">
          <w:rPr>
            <w:noProof/>
          </w:rPr>
          <w:fldChar w:fldCharType="separate"/>
        </w:r>
        <w:r w:rsidR="006913E2" w:rsidRPr="00E65AA7">
          <w:rPr>
            <w:noProof/>
          </w:rPr>
          <w:t>Baker and Wurgler (2007)</w:t>
        </w:r>
        <w:r w:rsidR="006913E2" w:rsidRPr="00E65AA7">
          <w:rPr>
            <w:noProof/>
          </w:rPr>
          <w:fldChar w:fldCharType="end"/>
        </w:r>
      </w:hyperlink>
      <w:r w:rsidR="00127F60">
        <w:rPr>
          <w:noProof/>
        </w:rPr>
        <w:t xml:space="preserve"> </w:t>
      </w:r>
      <w:r w:rsidR="00D62D9E">
        <w:rPr>
          <w:noProof/>
        </w:rPr>
        <w:t>suggest the use of the changes index rather than differencing the levels index</w:t>
      </w:r>
      <w:r w:rsidR="00127F60" w:rsidRPr="00E65AA7">
        <w:rPr>
          <w:noProof/>
        </w:rPr>
        <w:t xml:space="preserve"> since sentiment proxies have differential noisiness in going from levels to changes</w:t>
      </w:r>
      <w:r w:rsidR="00127F60">
        <w:rPr>
          <w:noProof/>
        </w:rPr>
        <w:t>. Furthermor</w:t>
      </w:r>
      <w:r w:rsidR="00127F60" w:rsidRPr="00E65AA7">
        <w:rPr>
          <w:noProof/>
        </w:rPr>
        <w:t xml:space="preserve">e, they argue that </w:t>
      </w:r>
      <w:r w:rsidR="00127F60">
        <w:rPr>
          <w:noProof/>
        </w:rPr>
        <w:t xml:space="preserve">their </w:t>
      </w:r>
      <w:r w:rsidR="00127F60" w:rsidRPr="00E65AA7">
        <w:rPr>
          <w:noProof/>
        </w:rPr>
        <w:t xml:space="preserve">sentiment changes index is </w:t>
      </w:r>
      <w:r w:rsidR="00127F60">
        <w:rPr>
          <w:noProof/>
        </w:rPr>
        <w:t xml:space="preserve">more </w:t>
      </w:r>
      <w:r w:rsidR="00127F60" w:rsidRPr="00E65AA7">
        <w:rPr>
          <w:noProof/>
        </w:rPr>
        <w:t>suit</w:t>
      </w:r>
      <w:r w:rsidR="00127F60">
        <w:rPr>
          <w:noProof/>
        </w:rPr>
        <w:t>ed</w:t>
      </w:r>
      <w:r w:rsidR="00127F60" w:rsidRPr="00E65AA7">
        <w:rPr>
          <w:noProof/>
        </w:rPr>
        <w:t xml:space="preserve"> for </w:t>
      </w:r>
      <w:r w:rsidR="00127F60">
        <w:rPr>
          <w:noProof/>
        </w:rPr>
        <w:t xml:space="preserve">testing </w:t>
      </w:r>
      <w:r w:rsidR="00127F60" w:rsidRPr="00E65AA7">
        <w:rPr>
          <w:noProof/>
        </w:rPr>
        <w:t xml:space="preserve">return </w:t>
      </w:r>
      <w:r w:rsidR="00127F60" w:rsidRPr="004D3A7E">
        <w:rPr>
          <w:i/>
          <w:iCs/>
          <w:noProof/>
        </w:rPr>
        <w:t>comovement</w:t>
      </w:r>
      <w:r w:rsidR="00127F60" w:rsidRPr="00E65AA7">
        <w:rPr>
          <w:noProof/>
        </w:rPr>
        <w:t xml:space="preserve"> patterns associated with the changes in sentiment; wh</w:t>
      </w:r>
      <w:r w:rsidR="00127F60">
        <w:rPr>
          <w:noProof/>
        </w:rPr>
        <w:t xml:space="preserve">ile </w:t>
      </w:r>
      <w:r w:rsidR="00127F60" w:rsidRPr="00E65AA7">
        <w:rPr>
          <w:noProof/>
        </w:rPr>
        <w:t xml:space="preserve">the sentiment levels index is </w:t>
      </w:r>
      <w:r w:rsidR="00127F60">
        <w:rPr>
          <w:noProof/>
        </w:rPr>
        <w:t xml:space="preserve">more suited for testing </w:t>
      </w:r>
      <w:r w:rsidR="00127F60" w:rsidRPr="004D3A7E">
        <w:rPr>
          <w:i/>
          <w:iCs/>
          <w:noProof/>
        </w:rPr>
        <w:t>return predictability</w:t>
      </w:r>
      <w:r w:rsidR="00127F60" w:rsidRPr="00E65AA7">
        <w:rPr>
          <w:noProof/>
        </w:rPr>
        <w:t xml:space="preserve"> conditioned on lagged sentiment levels.</w:t>
      </w:r>
      <w:r w:rsidR="00866573">
        <w:rPr>
          <w:noProof/>
        </w:rPr>
        <w:t xml:space="preserve"> </w:t>
      </w:r>
      <w:r w:rsidR="00242F30">
        <w:rPr>
          <w:noProof/>
        </w:rPr>
        <w:t xml:space="preserve">Therefore, </w:t>
      </w:r>
      <w:r w:rsidR="007018AC">
        <w:rPr>
          <w:rFonts w:eastAsia="Times New Roman"/>
        </w:rPr>
        <w:t>w</w:t>
      </w:r>
      <w:r w:rsidR="002706D4">
        <w:rPr>
          <w:rFonts w:eastAsia="Times New Roman"/>
        </w:rPr>
        <w:t>e</w:t>
      </w:r>
      <w:r w:rsidR="00074C52">
        <w:rPr>
          <w:rFonts w:eastAsia="Times New Roman"/>
        </w:rPr>
        <w:t xml:space="preserve"> use the sentiment</w:t>
      </w:r>
      <w:r w:rsidR="002706D4">
        <w:rPr>
          <w:rFonts w:eastAsia="Times New Roman"/>
        </w:rPr>
        <w:t xml:space="preserve"> levels index (</w:t>
      </w:r>
      <w:r w:rsidR="002706D4" w:rsidRPr="00E65AA7">
        <w:t>STM</w:t>
      </w:r>
      <w:r w:rsidR="002706D4">
        <w:t>)</w:t>
      </w:r>
      <w:r w:rsidR="002706D4">
        <w:rPr>
          <w:rFonts w:eastAsia="Times New Roman"/>
        </w:rPr>
        <w:t xml:space="preserve"> to define lagged sentiment</w:t>
      </w:r>
      <w:r w:rsidR="008E4319">
        <w:rPr>
          <w:rFonts w:eastAsia="Times New Roman"/>
        </w:rPr>
        <w:t>,</w:t>
      </w:r>
      <w:r w:rsidR="00794A9A">
        <w:rPr>
          <w:rFonts w:eastAsia="Times New Roman"/>
        </w:rPr>
        <w:t xml:space="preserve"> and the</w:t>
      </w:r>
      <w:r w:rsidR="002706D4">
        <w:rPr>
          <w:rFonts w:eastAsia="Times New Roman"/>
        </w:rPr>
        <w:t xml:space="preserve"> sentiment changes index (</w:t>
      </w:r>
      <w:r w:rsidR="002706D4" w:rsidRPr="00E65AA7">
        <w:t>▲STM</w:t>
      </w:r>
      <w:r w:rsidR="002706D4">
        <w:t>)</w:t>
      </w:r>
      <w:r w:rsidR="002706D4" w:rsidRPr="00E65AA7">
        <w:t xml:space="preserve"> </w:t>
      </w:r>
      <w:r w:rsidR="002706D4">
        <w:rPr>
          <w:rFonts w:eastAsia="Times New Roman"/>
        </w:rPr>
        <w:t>to define subsequent change in sentiment.</w:t>
      </w:r>
      <w:r w:rsidR="00FC2957">
        <w:rPr>
          <w:noProof/>
        </w:rPr>
        <w:t xml:space="preserve"> </w:t>
      </w:r>
      <w:r w:rsidR="007018AC">
        <w:rPr>
          <w:noProof/>
        </w:rPr>
        <w:t>A</w:t>
      </w:r>
      <w:r w:rsidR="00FC2957">
        <w:rPr>
          <w:noProof/>
        </w:rPr>
        <w:t xml:space="preserve"> </w:t>
      </w:r>
      <w:r w:rsidR="00C34F37">
        <w:rPr>
          <w:noProof/>
        </w:rPr>
        <w:t>positive (negative</w:t>
      </w:r>
      <w:r w:rsidR="00FC2957">
        <w:rPr>
          <w:noProof/>
        </w:rPr>
        <w:t xml:space="preserve">) </w:t>
      </w:r>
      <w:r w:rsidR="007018AC">
        <w:rPr>
          <w:noProof/>
        </w:rPr>
        <w:t xml:space="preserve">sentiment levels index and sentiment changes index </w:t>
      </w:r>
      <w:r w:rsidR="00C34F37">
        <w:rPr>
          <w:noProof/>
        </w:rPr>
        <w:t>define</w:t>
      </w:r>
      <w:r w:rsidR="00D73F16">
        <w:rPr>
          <w:noProof/>
        </w:rPr>
        <w:t>s</w:t>
      </w:r>
      <w:r w:rsidR="00C34F37">
        <w:rPr>
          <w:noProof/>
        </w:rPr>
        <w:t xml:space="preserve"> </w:t>
      </w:r>
      <w:r w:rsidR="00794A9A">
        <w:rPr>
          <w:noProof/>
        </w:rPr>
        <w:t xml:space="preserve">a </w:t>
      </w:r>
      <w:r w:rsidR="00C34F37">
        <w:rPr>
          <w:noProof/>
        </w:rPr>
        <w:t>High (Low) sentiment state.</w:t>
      </w:r>
    </w:p>
    <w:p w14:paraId="1F66F7BB" w14:textId="3EE139AA" w:rsidR="004326ED" w:rsidRPr="00E65AA7" w:rsidRDefault="004326ED" w:rsidP="00C760BC">
      <w:pPr>
        <w:pStyle w:val="BodyText"/>
        <w:spacing w:line="480" w:lineRule="auto"/>
        <w:ind w:firstLine="720"/>
        <w:contextualSpacing/>
      </w:pPr>
      <w:r w:rsidRPr="00E65AA7">
        <w:t xml:space="preserve">We use VIX as a third measure of sentiment. VIX is a measure of market expectations of near-term volatility (30-day) which </w:t>
      </w:r>
      <w:r w:rsidRPr="00E65AA7">
        <w:rPr>
          <w:noProof/>
        </w:rPr>
        <w:t>is estimated</w:t>
      </w:r>
      <w:r w:rsidRPr="00E65AA7">
        <w:t xml:space="preserve"> in real time basis from at</w:t>
      </w:r>
      <w:r w:rsidR="00E92D6C">
        <w:t>-</w:t>
      </w:r>
      <w:r w:rsidRPr="00E65AA7">
        <w:t>the</w:t>
      </w:r>
      <w:r w:rsidR="00E92D6C">
        <w:t>-</w:t>
      </w:r>
      <w:r w:rsidRPr="00E65AA7">
        <w:t xml:space="preserve">money </w:t>
      </w:r>
      <w:r w:rsidRPr="00E65AA7">
        <w:lastRenderedPageBreak/>
        <w:t>CBOE S&amp;P500 index options.</w:t>
      </w:r>
      <w:r w:rsidRPr="00E65AA7">
        <w:rPr>
          <w:rStyle w:val="FootnoteReference"/>
        </w:rPr>
        <w:footnoteReference w:id="7"/>
      </w:r>
      <w:r w:rsidRPr="00E65AA7">
        <w:t xml:space="preserve"> It </w:t>
      </w:r>
      <w:r w:rsidRPr="00E65AA7">
        <w:rPr>
          <w:noProof/>
        </w:rPr>
        <w:t xml:space="preserve">is </w:t>
      </w:r>
      <w:r w:rsidR="005B5386">
        <w:rPr>
          <w:noProof/>
        </w:rPr>
        <w:t xml:space="preserve">generally </w:t>
      </w:r>
      <w:r w:rsidRPr="00E65AA7">
        <w:rPr>
          <w:noProof/>
        </w:rPr>
        <w:t>referred</w:t>
      </w:r>
      <w:r w:rsidRPr="00E65AA7">
        <w:t xml:space="preserve"> to </w:t>
      </w:r>
      <w:r w:rsidR="008A3977">
        <w:t xml:space="preserve">in the literature </w:t>
      </w:r>
      <w:r w:rsidRPr="00E65AA7">
        <w:t>as a gauge of investors</w:t>
      </w:r>
      <w:r w:rsidR="008E4319">
        <w:t>’</w:t>
      </w:r>
      <w:r w:rsidRPr="00E65AA7">
        <w:t xml:space="preserve"> fears</w:t>
      </w:r>
      <w:r w:rsidR="005B5386">
        <w:t xml:space="preserve"> so a</w:t>
      </w:r>
      <w:r w:rsidRPr="00E65AA7">
        <w:t xml:space="preserve"> high (low) value of VIX indicates fear (confidence) in the market and a decrease (increase) in contemporaneous market returns. We use a negative (positive) change in VIX to define </w:t>
      </w:r>
      <w:r w:rsidR="006B2EDA">
        <w:t xml:space="preserve">a </w:t>
      </w:r>
      <w:r w:rsidRPr="00E65AA7">
        <w:t xml:space="preserve">High (Low) sentiment state. </w:t>
      </w:r>
    </w:p>
    <w:p w14:paraId="4C3A7FDF" w14:textId="485C361E" w:rsidR="004326ED" w:rsidRPr="00E65AA7" w:rsidRDefault="0078281B" w:rsidP="00C760BC">
      <w:pPr>
        <w:spacing w:line="480" w:lineRule="auto"/>
        <w:ind w:firstLine="720"/>
      </w:pPr>
      <w:r>
        <w:t>Our</w:t>
      </w:r>
      <w:r w:rsidR="004326ED" w:rsidRPr="00E65AA7">
        <w:t xml:space="preserve"> fourth sentiment indicator, the put-call ratio is derived from </w:t>
      </w:r>
      <w:r w:rsidR="00493471" w:rsidRPr="00493471">
        <w:t>combine</w:t>
      </w:r>
      <w:r w:rsidR="00493471">
        <w:t>d</w:t>
      </w:r>
      <w:r w:rsidR="00493471" w:rsidRPr="00493471">
        <w:t xml:space="preserve"> </w:t>
      </w:r>
      <w:r w:rsidR="00493471" w:rsidRPr="00E65AA7">
        <w:t>CBOE</w:t>
      </w:r>
      <w:r w:rsidR="00493471" w:rsidRPr="00493471">
        <w:t xml:space="preserve"> equity and index options</w:t>
      </w:r>
      <w:r w:rsidR="004326ED" w:rsidRPr="00E65AA7">
        <w:t xml:space="preserve">. The put-call ratio </w:t>
      </w:r>
      <w:r w:rsidR="004326ED" w:rsidRPr="00E65AA7">
        <w:rPr>
          <w:noProof/>
        </w:rPr>
        <w:t>is estimated</w:t>
      </w:r>
      <w:r w:rsidR="004326ED" w:rsidRPr="00E65AA7">
        <w:t xml:space="preserve"> by dividing the total trading volume of puts by the total trading volume of calls. A high put-call ratio indicates a bearish trend as investors buy more puts to hedge their position or to make bearish bets when the sentiment is negative. </w:t>
      </w:r>
      <w:proofErr w:type="gramStart"/>
      <w:r w:rsidR="004326ED" w:rsidRPr="00E65AA7">
        <w:t>Similar to</w:t>
      </w:r>
      <w:proofErr w:type="gramEnd"/>
      <w:r w:rsidR="004326ED" w:rsidRPr="00E65AA7">
        <w:t xml:space="preserve"> VIX, a negative (positive) change in the put-call ratio defines </w:t>
      </w:r>
      <w:r>
        <w:t xml:space="preserve">a </w:t>
      </w:r>
      <w:r w:rsidR="004326ED" w:rsidRPr="00E65AA7">
        <w:t xml:space="preserve">High (Low) sentiment state. Several studies use VIX and/or put-call ratio as a proxy for investor sentiment </w:t>
      </w:r>
      <w:r w:rsidR="004326ED" w:rsidRPr="00E65AA7">
        <w:fldChar w:fldCharType="begin">
          <w:fldData xml:space="preserve">PEVuZE5vdGU+PENpdGU+PEF1dGhvcj5XaGFsZXk8L0F1dGhvcj48WWVhcj4yMDAwPC9ZZWFyPjxS
ZWNOdW0+NDE5PC9SZWNOdW0+PFByZWZpeD5lLmcuIDwvUHJlZml4PjxEaXNwbGF5VGV4dD4oZS5n
LiBXaGFsZXksIDIwMDA7IFNpbW9uICZhbXA7IFdpZ2dpbnMsIDIwMDE7IEt1cm92LCAyMDEwKTwv
RGlzcGxheVRleHQ+PHJlY29yZD48cmVjLW51bWJlcj40MTk8L3JlYy1udW1iZXI+PGZvcmVpZ24t
a2V5cz48a2V5IGFwcD0iRU4iIGRiLWlkPSJ2YWZ6czk5ZnEwZXcwc2Vhc2R2dnR4enVmYXZ4Znd4
dHgydHIiIHRpbWVzdGFtcD0iMTQ4NzU1NjE1MSI+NDE5PC9rZXk+PC9mb3JlaWduLWtleXM+PHJl
Zi10eXBlIG5hbWU9IkpvdXJuYWwgQXJ0aWNsZSI+MTc8L3JlZi10eXBlPjxjb250cmlidXRvcnM+
PGF1dGhvcnM+PGF1dGhvcj5XaGFsZXksIFJvYmVydCBFPC9hdXRob3I+PC9hdXRob3JzPjwvY29u
dHJpYnV0b3JzPjx0aXRsZXM+PHRpdGxlPlRoZSBpbnZlc3RvciBmZWFyIGdhdWdlPC90aXRsZT48
c2Vjb25kYXJ5LXRpdGxlPlRoZSBKb3VybmFsIG9mIFBvcnRmb2xpbyBNYW5hZ2VtZW50PC9zZWNv
bmRhcnktdGl0bGU+PC90aXRsZXM+PHBlcmlvZGljYWw+PGZ1bGwtdGl0bGU+VGhlIEpvdXJuYWwg
b2YgUG9ydGZvbGlvIE1hbmFnZW1lbnQ8L2Z1bGwtdGl0bGU+PC9wZXJpb2RpY2FsPjxwYWdlcz4x
Mi0xNzwvcGFnZXM+PHZvbHVtZT4yNjwvdm9sdW1lPjxudW1iZXI+MzwvbnVtYmVyPjxkYXRlcz48
eWVhcj4yMDAwPC95ZWFyPjwvZGF0ZXM+PGlzYm4+MDA5NS00OTE4PC9pc2JuPjx1cmxzPjwvdXJs
cz48L3JlY29yZD48L0NpdGU+PENpdGU+PEF1dGhvcj5TaW1vbjwvQXV0aG9yPjxZZWFyPjIwMDE8
L1llYXI+PFJlY051bT4zNzM8L1JlY051bT48cmVjb3JkPjxyZWMtbnVtYmVyPjM3MzwvcmVjLW51
bWJlcj48Zm9yZWlnbi1rZXlzPjxrZXkgYXBwPSJFTiIgZGItaWQ9InZhZnpzOTlmcTBldzBzZWFz
ZHZ2dHh6dWZhdnhmd3h0eDJ0ciIgdGltZXN0YW1wPSIxNDc1NjM2MTE4Ij4zNzM8L2tleT48L2Zv
cmVpZ24ta2V5cz48cmVmLXR5cGUgbmFtZT0iSm91cm5hbCBBcnRpY2xlIj4xNzwvcmVmLXR5cGU+
PGNvbnRyaWJ1dG9ycz48YXV0aG9ycz48YXV0aG9yPlNpbW9uLCBEYXZpZCBQPC9hdXRob3I+PGF1
dGhvcj5XaWdnaW5zLCBSb3kgQTwvYXV0aG9yPjwvYXV0aG9ycz48L2NvbnRyaWJ1dG9ycz48dGl0
bGVzPjx0aXRsZT5TJmFtcDtQIGZ1dHVyZXMgcmV0dXJucyBhbmQgY29udHJhcnkgc2VudGltZW50
IGluZGljYXRvcnM8L3RpdGxlPjxzZWNvbmRhcnktdGl0bGU+Sm91cm5hbCBvZiBGdXR1cmVzIE1h
cmtldHM8L3NlY29uZGFyeS10aXRsZT48L3RpdGxlcz48cGVyaW9kaWNhbD48ZnVsbC10aXRsZT5K
b3VybmFsIG9mIEZ1dHVyZXMgTWFya2V0czwvZnVsbC10aXRsZT48L3BlcmlvZGljYWw+PHBhZ2Vz
PjQ0Ny00NjI8L3BhZ2VzPjx2b2x1bWU+MjE8L3ZvbHVtZT48bnVtYmVyPjU8L251bWJlcj48ZGF0
ZXM+PHllYXI+MjAwMTwveWVhcj48L2RhdGVzPjxpc2JuPjEwOTYtOTkzNDwvaXNibj48dXJscz48
L3VybHM+PC9yZWNvcmQ+PC9DaXRlPjxDaXRlPjxBdXRob3I+S3Vyb3Y8L0F1dGhvcj48WWVhcj4y
MDEwPC9ZZWFyPjxSZWNOdW0+NTcwPC9SZWNOdW0+PHJlY29yZD48cmVjLW51bWJlcj41NzA8L3Jl
Yy1udW1iZXI+PGZvcmVpZ24ta2V5cz48a2V5IGFwcD0iRU4iIGRiLWlkPSJ2YWZ6czk5ZnEwZXcw
c2Vhc2R2dnR4enVmYXZ4Znd4dHgydHIiIHRpbWVzdGFtcD0iMTUxMjYxNDIwMSI+NTcwPC9rZXk+
PC9mb3JlaWduLWtleXM+PHJlZi10eXBlIG5hbWU9IkpvdXJuYWwgQXJ0aWNsZSI+MTc8L3JlZi10
eXBlPjxjb250cmlidXRvcnM+PGF1dGhvcnM+PGF1dGhvcj5LdXJvdiwgQWxleGFuZGVyPC9hdXRo
b3I+PC9hdXRob3JzPjwvY29udHJpYnV0b3JzPjx0aXRsZXM+PHRpdGxlPkludmVzdG9yIHNlbnRp
bWVudCBhbmQgdGhlIHN0b2NrIG1hcmtldOKAmXMgcmVhY3Rpb24gdG8gbW9uZXRhcnkgcG9saWN5
PC90aXRsZT48c2Vjb25kYXJ5LXRpdGxlPkpvdXJuYWwgb2YgQmFua2luZyAmYW1wOyBGaW5hbmNl
PC9zZWNvbmRhcnktdGl0bGU+PC90aXRsZXM+PHBlcmlvZGljYWw+PGZ1bGwtdGl0bGU+Sm91cm5h
bCBvZiBCYW5raW5nICZhbXA7IEZpbmFuY2U8L2Z1bGwtdGl0bGU+PC9wZXJpb2RpY2FsPjxwYWdl
cz4xMzktMTQ5PC9wYWdlcz48dm9sdW1lPjM0PC92b2x1bWU+PG51bWJlcj4xPC9udW1iZXI+PGRh
dGVzPjx5ZWFyPjIwMTA8L3llYXI+PC9kYXRlcz48aXNibj4wMzc4LTQyNjY8L2lzYm4+PHVybHM+
PC91cmxzPjwvcmVjb3JkPjwvQ2l0ZT48L0VuZE5vdGU+AG==
</w:fldData>
        </w:fldChar>
      </w:r>
      <w:r w:rsidR="00A07D9D">
        <w:instrText xml:space="preserve"> ADDIN EN.CITE </w:instrText>
      </w:r>
      <w:r w:rsidR="00A07D9D">
        <w:fldChar w:fldCharType="begin">
          <w:fldData xml:space="preserve">PEVuZE5vdGU+PENpdGU+PEF1dGhvcj5XaGFsZXk8L0F1dGhvcj48WWVhcj4yMDAwPC9ZZWFyPjxS
ZWNOdW0+NDE5PC9SZWNOdW0+PFByZWZpeD5lLmcuIDwvUHJlZml4PjxEaXNwbGF5VGV4dD4oZS5n
LiBXaGFsZXksIDIwMDA7IFNpbW9uICZhbXA7IFdpZ2dpbnMsIDIwMDE7IEt1cm92LCAyMDEwKTwv
RGlzcGxheVRleHQ+PHJlY29yZD48cmVjLW51bWJlcj40MTk8L3JlYy1udW1iZXI+PGZvcmVpZ24t
a2V5cz48a2V5IGFwcD0iRU4iIGRiLWlkPSJ2YWZ6czk5ZnEwZXcwc2Vhc2R2dnR4enVmYXZ4Znd4
dHgydHIiIHRpbWVzdGFtcD0iMTQ4NzU1NjE1MSI+NDE5PC9rZXk+PC9mb3JlaWduLWtleXM+PHJl
Zi10eXBlIG5hbWU9IkpvdXJuYWwgQXJ0aWNsZSI+MTc8L3JlZi10eXBlPjxjb250cmlidXRvcnM+
PGF1dGhvcnM+PGF1dGhvcj5XaGFsZXksIFJvYmVydCBFPC9hdXRob3I+PC9hdXRob3JzPjwvY29u
dHJpYnV0b3JzPjx0aXRsZXM+PHRpdGxlPlRoZSBpbnZlc3RvciBmZWFyIGdhdWdlPC90aXRsZT48
c2Vjb25kYXJ5LXRpdGxlPlRoZSBKb3VybmFsIG9mIFBvcnRmb2xpbyBNYW5hZ2VtZW50PC9zZWNv
bmRhcnktdGl0bGU+PC90aXRsZXM+PHBlcmlvZGljYWw+PGZ1bGwtdGl0bGU+VGhlIEpvdXJuYWwg
b2YgUG9ydGZvbGlvIE1hbmFnZW1lbnQ8L2Z1bGwtdGl0bGU+PC9wZXJpb2RpY2FsPjxwYWdlcz4x
Mi0xNzwvcGFnZXM+PHZvbHVtZT4yNjwvdm9sdW1lPjxudW1iZXI+MzwvbnVtYmVyPjxkYXRlcz48
eWVhcj4yMDAwPC95ZWFyPjwvZGF0ZXM+PGlzYm4+MDA5NS00OTE4PC9pc2JuPjx1cmxzPjwvdXJs
cz48L3JlY29yZD48L0NpdGU+PENpdGU+PEF1dGhvcj5TaW1vbjwvQXV0aG9yPjxZZWFyPjIwMDE8
L1llYXI+PFJlY051bT4zNzM8L1JlY051bT48cmVjb3JkPjxyZWMtbnVtYmVyPjM3MzwvcmVjLW51
bWJlcj48Zm9yZWlnbi1rZXlzPjxrZXkgYXBwPSJFTiIgZGItaWQ9InZhZnpzOTlmcTBldzBzZWFz
ZHZ2dHh6dWZhdnhmd3h0eDJ0ciIgdGltZXN0YW1wPSIxNDc1NjM2MTE4Ij4zNzM8L2tleT48L2Zv
cmVpZ24ta2V5cz48cmVmLXR5cGUgbmFtZT0iSm91cm5hbCBBcnRpY2xlIj4xNzwvcmVmLXR5cGU+
PGNvbnRyaWJ1dG9ycz48YXV0aG9ycz48YXV0aG9yPlNpbW9uLCBEYXZpZCBQPC9hdXRob3I+PGF1
dGhvcj5XaWdnaW5zLCBSb3kgQTwvYXV0aG9yPjwvYXV0aG9ycz48L2NvbnRyaWJ1dG9ycz48dGl0
bGVzPjx0aXRsZT5TJmFtcDtQIGZ1dHVyZXMgcmV0dXJucyBhbmQgY29udHJhcnkgc2VudGltZW50
IGluZGljYXRvcnM8L3RpdGxlPjxzZWNvbmRhcnktdGl0bGU+Sm91cm5hbCBvZiBGdXR1cmVzIE1h
cmtldHM8L3NlY29uZGFyeS10aXRsZT48L3RpdGxlcz48cGVyaW9kaWNhbD48ZnVsbC10aXRsZT5K
b3VybmFsIG9mIEZ1dHVyZXMgTWFya2V0czwvZnVsbC10aXRsZT48L3BlcmlvZGljYWw+PHBhZ2Vz
PjQ0Ny00NjI8L3BhZ2VzPjx2b2x1bWU+MjE8L3ZvbHVtZT48bnVtYmVyPjU8L251bWJlcj48ZGF0
ZXM+PHllYXI+MjAwMTwveWVhcj48L2RhdGVzPjxpc2JuPjEwOTYtOTkzNDwvaXNibj48dXJscz48
L3VybHM+PC9yZWNvcmQ+PC9DaXRlPjxDaXRlPjxBdXRob3I+S3Vyb3Y8L0F1dGhvcj48WWVhcj4y
MDEwPC9ZZWFyPjxSZWNOdW0+NTcwPC9SZWNOdW0+PHJlY29yZD48cmVjLW51bWJlcj41NzA8L3Jl
Yy1udW1iZXI+PGZvcmVpZ24ta2V5cz48a2V5IGFwcD0iRU4iIGRiLWlkPSJ2YWZ6czk5ZnEwZXcw
c2Vhc2R2dnR4enVmYXZ4Znd4dHgydHIiIHRpbWVzdGFtcD0iMTUxMjYxNDIwMSI+NTcwPC9rZXk+
PC9mb3JlaWduLWtleXM+PHJlZi10eXBlIG5hbWU9IkpvdXJuYWwgQXJ0aWNsZSI+MTc8L3JlZi10
eXBlPjxjb250cmlidXRvcnM+PGF1dGhvcnM+PGF1dGhvcj5LdXJvdiwgQWxleGFuZGVyPC9hdXRo
b3I+PC9hdXRob3JzPjwvY29udHJpYnV0b3JzPjx0aXRsZXM+PHRpdGxlPkludmVzdG9yIHNlbnRp
bWVudCBhbmQgdGhlIHN0b2NrIG1hcmtldOKAmXMgcmVhY3Rpb24gdG8gbW9uZXRhcnkgcG9saWN5
PC90aXRsZT48c2Vjb25kYXJ5LXRpdGxlPkpvdXJuYWwgb2YgQmFua2luZyAmYW1wOyBGaW5hbmNl
PC9zZWNvbmRhcnktdGl0bGU+PC90aXRsZXM+PHBlcmlvZGljYWw+PGZ1bGwtdGl0bGU+Sm91cm5h
bCBvZiBCYW5raW5nICZhbXA7IEZpbmFuY2U8L2Z1bGwtdGl0bGU+PC9wZXJpb2RpY2FsPjxwYWdl
cz4xMzktMTQ5PC9wYWdlcz48dm9sdW1lPjM0PC92b2x1bWU+PG51bWJlcj4xPC9udW1iZXI+PGRh
dGVzPjx5ZWFyPjIwMTA8L3llYXI+PC9kYXRlcz48aXNibj4wMzc4LTQyNjY8L2lzYm4+PHVybHM+
PC91cmxzPjwvcmVjb3JkPjwvQ2l0ZT48L0VuZE5vdGU+AG==
</w:fldData>
        </w:fldChar>
      </w:r>
      <w:r w:rsidR="00A07D9D">
        <w:instrText xml:space="preserve"> ADDIN EN.CITE.DATA </w:instrText>
      </w:r>
      <w:r w:rsidR="00A07D9D">
        <w:fldChar w:fldCharType="end"/>
      </w:r>
      <w:r w:rsidR="004326ED" w:rsidRPr="00E65AA7">
        <w:fldChar w:fldCharType="separate"/>
      </w:r>
      <w:r w:rsidR="00A07D9D">
        <w:rPr>
          <w:noProof/>
        </w:rPr>
        <w:t xml:space="preserve">(e.g. </w:t>
      </w:r>
      <w:hyperlink w:anchor="_ENREF_44" w:tooltip="Whaley, 2000 #419" w:history="1">
        <w:r w:rsidR="006913E2">
          <w:rPr>
            <w:noProof/>
          </w:rPr>
          <w:t>Whaley, 2000</w:t>
        </w:r>
      </w:hyperlink>
      <w:r w:rsidR="00A07D9D">
        <w:rPr>
          <w:noProof/>
        </w:rPr>
        <w:t xml:space="preserve">; </w:t>
      </w:r>
      <w:hyperlink w:anchor="_ENREF_40" w:tooltip="Simon, 2001 #373" w:history="1">
        <w:r w:rsidR="006913E2">
          <w:rPr>
            <w:noProof/>
          </w:rPr>
          <w:t>Simon &amp; Wiggins, 2001</w:t>
        </w:r>
      </w:hyperlink>
      <w:r w:rsidR="00A07D9D">
        <w:rPr>
          <w:noProof/>
        </w:rPr>
        <w:t xml:space="preserve">; </w:t>
      </w:r>
      <w:hyperlink w:anchor="_ENREF_29" w:tooltip="Kurov, 2010 #570" w:history="1">
        <w:r w:rsidR="006913E2">
          <w:rPr>
            <w:noProof/>
          </w:rPr>
          <w:t>Kurov, 2010</w:t>
        </w:r>
      </w:hyperlink>
      <w:r w:rsidR="00A07D9D">
        <w:rPr>
          <w:noProof/>
        </w:rPr>
        <w:t>)</w:t>
      </w:r>
      <w:r w:rsidR="004326ED" w:rsidRPr="00E65AA7">
        <w:fldChar w:fldCharType="end"/>
      </w:r>
      <w:r w:rsidR="004326ED" w:rsidRPr="00E65AA7">
        <w:t xml:space="preserve"> </w:t>
      </w:r>
    </w:p>
    <w:p w14:paraId="7B487E07" w14:textId="27678212" w:rsidR="004326ED" w:rsidRPr="00E65AA7" w:rsidRDefault="004326ED" w:rsidP="00C760BC">
      <w:pPr>
        <w:pStyle w:val="BodyText"/>
        <w:spacing w:line="480" w:lineRule="auto"/>
        <w:ind w:firstLine="720"/>
        <w:contextualSpacing/>
        <w:rPr>
          <w:noProof/>
        </w:rPr>
      </w:pPr>
      <w:r w:rsidRPr="00E65AA7">
        <w:rPr>
          <w:noProof/>
        </w:rPr>
        <w:t xml:space="preserve">We use the American Association of Individual Investors (AAII) sentiment survey as our final proxy of investor sentiment. The AAII asks </w:t>
      </w:r>
      <w:r w:rsidR="006B2EDA">
        <w:rPr>
          <w:noProof/>
        </w:rPr>
        <w:t>su</w:t>
      </w:r>
      <w:r w:rsidR="001A0A6A">
        <w:rPr>
          <w:noProof/>
        </w:rPr>
        <w:t>r</w:t>
      </w:r>
      <w:r w:rsidR="006B2EDA">
        <w:rPr>
          <w:noProof/>
        </w:rPr>
        <w:t>vey</w:t>
      </w:r>
      <w:r w:rsidRPr="00E65AA7">
        <w:rPr>
          <w:noProof/>
        </w:rPr>
        <w:t xml:space="preserve"> participants </w:t>
      </w:r>
      <w:r w:rsidR="006B2EDA">
        <w:rPr>
          <w:noProof/>
        </w:rPr>
        <w:t>their opinion on</w:t>
      </w:r>
      <w:r w:rsidR="00155CA0">
        <w:rPr>
          <w:noProof/>
        </w:rPr>
        <w:t xml:space="preserve"> </w:t>
      </w:r>
      <w:r w:rsidRPr="00E65AA7">
        <w:rPr>
          <w:noProof/>
        </w:rPr>
        <w:t>whether the market will be bullish, bearish or neutral in the next six months. A higher number of responses with bullish (bearish) views indicate</w:t>
      </w:r>
      <w:r w:rsidR="00E92D6C">
        <w:rPr>
          <w:noProof/>
        </w:rPr>
        <w:t>s</w:t>
      </w:r>
      <w:r w:rsidRPr="00E65AA7">
        <w:rPr>
          <w:noProof/>
        </w:rPr>
        <w:t xml:space="preserve"> optimism (pessimism) about the stock market. AAII defines the bull-bear spread (BBS) based on the difference in bullish and bearish views. A positive (negative) BBS</w:t>
      </w:r>
      <w:r w:rsidR="00C7409E">
        <w:rPr>
          <w:noProof/>
        </w:rPr>
        <w:t xml:space="preserve"> </w:t>
      </w:r>
      <w:r w:rsidRPr="00E65AA7">
        <w:rPr>
          <w:noProof/>
        </w:rPr>
        <w:t xml:space="preserve">in a month defines </w:t>
      </w:r>
      <w:r w:rsidR="00D8450E">
        <w:rPr>
          <w:noProof/>
        </w:rPr>
        <w:t xml:space="preserve">a </w:t>
      </w:r>
      <w:r w:rsidRPr="00E65AA7">
        <w:rPr>
          <w:noProof/>
        </w:rPr>
        <w:t xml:space="preserve">High (Low) sentiment state. Several studies use the BBS as an investor sentiment proxy </w:t>
      </w:r>
      <w:r w:rsidRPr="00E65AA7">
        <w:rPr>
          <w:noProof/>
        </w:rPr>
        <w:fldChar w:fldCharType="begin"/>
      </w:r>
      <w:r w:rsidR="00B4574D">
        <w:rPr>
          <w:noProof/>
        </w:rPr>
        <w:instrText xml:space="preserve"> ADDIN EN.CITE &lt;EndNote&gt;&lt;Cite&gt;&lt;Author&gt;Brown&lt;/Author&gt;&lt;Year&gt;2004&lt;/Year&gt;&lt;RecNum&gt;410&lt;/RecNum&gt;&lt;Prefix&gt;e.g. &lt;/Prefix&gt;&lt;DisplayText&gt;(e.g. Fisher &amp;amp; Statman, 2000; Brown &amp;amp; Cliff, 2004)&lt;/DisplayText&gt;&lt;record&gt;&lt;rec-number&gt;410&lt;/rec-number&gt;&lt;foreign-keys&gt;&lt;key app="EN" db-id="vafzs99fq0ew0seasdvvtxzufavxfwxtx2tr" timestamp="1486002588"&gt;410&lt;/key&gt;&lt;/foreign-keys&gt;&lt;ref-type name="Journal Article"&gt;17&lt;/ref-type&gt;&lt;contributors&gt;&lt;authors&gt;&lt;author&gt;Brown, Gregory W&lt;/author&gt;&lt;author&gt;Cliff, Michael T&lt;/author&gt;&lt;/authors&gt;&lt;/contributors&gt;&lt;titles&gt;&lt;title&gt;Investor sentiment and the near-term stock market&lt;/title&gt;&lt;secondary-title&gt;Journal of Empirical Finance&lt;/secondary-title&gt;&lt;/titles&gt;&lt;periodical&gt;&lt;full-title&gt;Journal of Empirical Finance&lt;/full-title&gt;&lt;/periodical&gt;&lt;pages&gt;1-27&lt;/pages&gt;&lt;volume&gt;11&lt;/volume&gt;&lt;number&gt;1&lt;/number&gt;&lt;dates&gt;&lt;year&gt;2004&lt;/year&gt;&lt;/dates&gt;&lt;isbn&gt;0927-5398&lt;/isbn&gt;&lt;urls&gt;&lt;/urls&gt;&lt;/record&gt;&lt;/Cite&gt;&lt;Cite&gt;&lt;Author&gt;Fisher&lt;/Author&gt;&lt;Year&gt;2000&lt;/Year&gt;&lt;RecNum&gt;351&lt;/RecNum&gt;&lt;record&gt;&lt;rec-number&gt;351&lt;/rec-number&gt;&lt;foreign-keys&gt;&lt;key app="EN" db-id="vafzs99fq0ew0seasdvvtxzufavxfwxtx2tr" timestamp="1449983187"&gt;351&lt;/key&gt;&lt;/foreign-keys&gt;&lt;ref-type name="Journal Article"&gt;17&lt;/ref-type&gt;&lt;contributors&gt;&lt;authors&gt;&lt;author&gt;Fisher,  Kenneth L. &lt;/author&gt;&lt;author&gt;Statman, Meir &lt;/author&gt;&lt;/authors&gt;&lt;/contributors&gt;&lt;titles&gt;&lt;title&gt;Investor sentiment and stock returns&lt;/title&gt;&lt;secondary-title&gt;Financial Analysts Journal&lt;/secondary-title&gt;&lt;/titles&gt;&lt;periodical&gt;&lt;full-title&gt;Financial Analysts Journal&lt;/full-title&gt;&lt;/periodical&gt;&lt;volume&gt;56&lt;/volume&gt;&lt;number&gt;2&lt;/number&gt;&lt;dates&gt;&lt;year&gt;2000&lt;/year&gt;&lt;/dates&gt;&lt;urls&gt;&lt;/urls&gt;&lt;/record&gt;&lt;/Cite&gt;&lt;/EndNote&gt;</w:instrText>
      </w:r>
      <w:r w:rsidRPr="00E65AA7">
        <w:rPr>
          <w:noProof/>
        </w:rPr>
        <w:fldChar w:fldCharType="separate"/>
      </w:r>
      <w:r w:rsidR="00B4574D">
        <w:rPr>
          <w:noProof/>
        </w:rPr>
        <w:t xml:space="preserve">(e.g. </w:t>
      </w:r>
      <w:hyperlink w:anchor="_ENREF_22" w:tooltip="Fisher, 2000 #351" w:history="1">
        <w:r w:rsidR="006913E2">
          <w:rPr>
            <w:noProof/>
          </w:rPr>
          <w:t>Fisher &amp; Statman, 2000</w:t>
        </w:r>
      </w:hyperlink>
      <w:r w:rsidR="00B4574D">
        <w:rPr>
          <w:noProof/>
        </w:rPr>
        <w:t xml:space="preserve">; </w:t>
      </w:r>
      <w:hyperlink w:anchor="_ENREF_9" w:tooltip="Brown, 2004 #410" w:history="1">
        <w:r w:rsidR="006913E2">
          <w:rPr>
            <w:noProof/>
          </w:rPr>
          <w:t>Brown &amp; Cliff, 2004</w:t>
        </w:r>
      </w:hyperlink>
      <w:r w:rsidR="00B4574D">
        <w:rPr>
          <w:noProof/>
        </w:rPr>
        <w:t>)</w:t>
      </w:r>
      <w:r w:rsidRPr="00E65AA7">
        <w:rPr>
          <w:noProof/>
        </w:rPr>
        <w:fldChar w:fldCharType="end"/>
      </w:r>
      <w:r w:rsidRPr="00E65AA7">
        <w:rPr>
          <w:noProof/>
        </w:rPr>
        <w:t>.</w:t>
      </w:r>
    </w:p>
    <w:p w14:paraId="2717C197" w14:textId="790D830E" w:rsidR="004326ED" w:rsidRPr="00E65AA7" w:rsidRDefault="004326ED" w:rsidP="00C760BC">
      <w:pPr>
        <w:pStyle w:val="BodyText"/>
        <w:spacing w:line="480" w:lineRule="auto"/>
        <w:ind w:firstLine="720"/>
        <w:contextualSpacing/>
        <w:rPr>
          <w:noProof/>
        </w:rPr>
      </w:pPr>
      <w:r w:rsidRPr="00E65AA7">
        <w:rPr>
          <w:noProof/>
        </w:rPr>
        <w:t>We collect data for the value-weighted market returns from CRSP</w:t>
      </w:r>
      <w:r>
        <w:rPr>
          <w:noProof/>
        </w:rPr>
        <w:t>.</w:t>
      </w:r>
      <w:r w:rsidR="00591173">
        <w:rPr>
          <w:noProof/>
        </w:rPr>
        <w:t xml:space="preserve"> </w:t>
      </w:r>
      <w:r>
        <w:rPr>
          <w:noProof/>
        </w:rPr>
        <w:t>The</w:t>
      </w:r>
      <w:r w:rsidRPr="00E65AA7">
        <w:rPr>
          <w:noProof/>
        </w:rPr>
        <w:t xml:space="preserve"> Baker and Wurgler sentiment changes (</w:t>
      </w:r>
      <w:r w:rsidRPr="00E65AA7">
        <w:t>▲STM</w:t>
      </w:r>
      <w:r w:rsidRPr="00E65AA7">
        <w:rPr>
          <w:noProof/>
        </w:rPr>
        <w:t xml:space="preserve">) index and sentiment levels (STM) index </w:t>
      </w:r>
      <w:r>
        <w:rPr>
          <w:noProof/>
        </w:rPr>
        <w:t>are</w:t>
      </w:r>
      <w:r w:rsidRPr="00E65AA7">
        <w:rPr>
          <w:noProof/>
        </w:rPr>
        <w:t xml:space="preserve"> obtained from the website of Professor Jeffrey Wurgler.</w:t>
      </w:r>
      <w:r w:rsidRPr="00E65AA7">
        <w:rPr>
          <w:rStyle w:val="FootnoteReference"/>
          <w:noProof/>
        </w:rPr>
        <w:footnoteReference w:id="8"/>
      </w:r>
      <w:r w:rsidRPr="00E65AA7">
        <w:rPr>
          <w:noProof/>
        </w:rPr>
        <w:t xml:space="preserve"> We obtain VIX data from DataStream </w:t>
      </w:r>
      <w:r w:rsidRPr="00E65AA7">
        <w:rPr>
          <w:noProof/>
        </w:rPr>
        <w:lastRenderedPageBreak/>
        <w:t>International, the put-call ratio data is collected from the Chicago Board of Options Exchange (CBOE), and BBS data is obtained from the AAII’s website. The data period for the CRSP value-weighted market returns, sentiment changes index, sentiment levels index, VIX, put-call ratio and BBS starts from July 1964, August 1965, July 1965, January 1990, September 1995 and July 1987, respectively. All the data for sentiment proxies and CRSP value-weighted market returns end in December 2014.</w:t>
      </w:r>
    </w:p>
    <w:p w14:paraId="7C42EF38" w14:textId="77777777" w:rsidR="004326ED" w:rsidRPr="00E65AA7" w:rsidRDefault="004326ED" w:rsidP="00C760BC">
      <w:pPr>
        <w:pStyle w:val="BodyText"/>
        <w:spacing w:line="480" w:lineRule="auto"/>
        <w:ind w:firstLine="720"/>
        <w:rPr>
          <w:noProof/>
        </w:rPr>
      </w:pPr>
      <w:r w:rsidRPr="00E65AA7">
        <w:rPr>
          <w:noProof/>
        </w:rPr>
        <w:t xml:space="preserve">Table 2 reports the summary statistics and correlation coefficients of CRSP value-weighted market returns and investor sentiment proxies used in this study. Panel A of Table 2 shows a mean (median) CRSP value-weighted market return over the sample period of 0.89% (1.13%), a mean (median) </w:t>
      </w:r>
      <w:r w:rsidRPr="00E65AA7">
        <w:t>▲STM</w:t>
      </w:r>
      <w:r w:rsidRPr="00E65AA7">
        <w:rPr>
          <w:noProof/>
        </w:rPr>
        <w:t xml:space="preserve"> index of 0.00 (</w:t>
      </w:r>
      <w:r>
        <w:rPr>
          <w:noProof/>
        </w:rPr>
        <w:t>0.00</w:t>
      </w:r>
      <w:r w:rsidRPr="00E65AA7">
        <w:rPr>
          <w:noProof/>
        </w:rPr>
        <w:t xml:space="preserve">), a mean (median) STM index of 0.00 (0.05), a mean (median) average VIX of 19.96 (17.80), a mean (median) put-call ratio of 0.83 (0.84), and a mean (median) BBS of 8.57% (9.43%). There are 606 observations for CRSP value-weighted returns (VWRET), 593 for </w:t>
      </w:r>
      <w:r w:rsidRPr="00E65AA7">
        <w:t>▲STM index,</w:t>
      </w:r>
      <w:r w:rsidRPr="00E65AA7">
        <w:rPr>
          <w:noProof/>
        </w:rPr>
        <w:t xml:space="preserve"> 594 for STM index, 300 for VIX, 232 for the put-call ratio (PC), and 330 for BBS.</w:t>
      </w:r>
    </w:p>
    <w:p w14:paraId="2EE03D3E" w14:textId="6E04E297" w:rsidR="004326ED" w:rsidRPr="00E65AA7" w:rsidRDefault="004326ED" w:rsidP="00C760BC">
      <w:pPr>
        <w:pStyle w:val="BodyText"/>
        <w:spacing w:line="480" w:lineRule="auto"/>
        <w:ind w:firstLine="720"/>
        <w:rPr>
          <w:noProof/>
        </w:rPr>
      </w:pPr>
      <w:r w:rsidRPr="00E65AA7">
        <w:rPr>
          <w:noProof/>
        </w:rPr>
        <w:t xml:space="preserve">Panel B of Table 2 reports the correlation among the investor sentiment proxies and contemporaneous VWRET. Consistent with the literature </w:t>
      </w:r>
      <w:r w:rsidRPr="00E65AA7">
        <w:rPr>
          <w:noProof/>
        </w:rPr>
        <w:fldChar w:fldCharType="begin"/>
      </w:r>
      <w:r w:rsidR="00B4574D">
        <w:rPr>
          <w:noProof/>
        </w:rPr>
        <w:instrText xml:space="preserve"> ADDIN EN.CITE &lt;EndNote&gt;&lt;Cite&gt;&lt;Author&gt;Brown&lt;/Author&gt;&lt;Year&gt;2004&lt;/Year&gt;&lt;RecNum&gt;410&lt;/RecNum&gt;&lt;Prefix&gt;e.g. &lt;/Prefix&gt;&lt;DisplayText&gt;(e.g. Brown &amp;amp; Cliff, 2004; Smales, 2017)&lt;/DisplayText&gt;&lt;record&gt;&lt;rec-number&gt;410&lt;/rec-number&gt;&lt;foreign-keys&gt;&lt;key app="EN" db-id="vafzs99fq0ew0seasdvvtxzufavxfwxtx2tr" timestamp="1486002588"&gt;410&lt;/key&gt;&lt;/foreign-keys&gt;&lt;ref-type name="Journal Article"&gt;17&lt;/ref-type&gt;&lt;contributors&gt;&lt;authors&gt;&lt;author&gt;Brown, Gregory W&lt;/author&gt;&lt;author&gt;Cliff, Michael T&lt;/author&gt;&lt;/authors&gt;&lt;/contributors&gt;&lt;titles&gt;&lt;title&gt;Investor sentiment and the near-term stock market&lt;/title&gt;&lt;secondary-title&gt;Journal of Empirical Finance&lt;/secondary-title&gt;&lt;/titles&gt;&lt;periodical&gt;&lt;full-title&gt;Journal of Empirical Finance&lt;/full-title&gt;&lt;/periodical&gt;&lt;pages&gt;1-27&lt;/pages&gt;&lt;volume&gt;11&lt;/volume&gt;&lt;number&gt;1&lt;/number&gt;&lt;dates&gt;&lt;year&gt;2004&lt;/year&gt;&lt;/dates&gt;&lt;isbn&gt;0927-5398&lt;/isbn&gt;&lt;urls&gt;&lt;/urls&gt;&lt;/record&gt;&lt;/Cite&gt;&lt;Cite&gt;&lt;Author&gt;Smales&lt;/Author&gt;&lt;Year&gt;2017&lt;/Year&gt;&lt;RecNum&gt;420&lt;/RecNum&gt;&lt;record&gt;&lt;rec-number&gt;420&lt;/rec-number&gt;&lt;foreign-keys&gt;&lt;key app="EN" db-id="vafzs99fq0ew0seasdvvtxzufavxfwxtx2tr" timestamp="1487565819"&gt;420&lt;/key&gt;&lt;/foreign-keys&gt;&lt;ref-type name="Journal Article"&gt;17&lt;/ref-type&gt;&lt;contributors&gt;&lt;authors&gt;&lt;author&gt;Smales, Lee A&lt;/author&gt;&lt;/authors&gt;&lt;/contributors&gt;&lt;titles&gt;&lt;title&gt;The importance of fear: investor sentiment and stock market returns&lt;/title&gt;&lt;secondary-title&gt;Applied Economics&lt;/secondary-title&gt;&lt;/titles&gt;&lt;periodical&gt;&lt;full-title&gt;Applied Economics&lt;/full-title&gt;&lt;/periodical&gt;&lt;pages&gt;1-27&lt;/pages&gt;&lt;dates&gt;&lt;year&gt;2017&lt;/year&gt;&lt;/dates&gt;&lt;isbn&gt;0003-6846&lt;/isbn&gt;&lt;urls&gt;&lt;/urls&gt;&lt;/record&gt;&lt;/Cite&gt;&lt;/EndNote&gt;</w:instrText>
      </w:r>
      <w:r w:rsidRPr="00E65AA7">
        <w:rPr>
          <w:noProof/>
        </w:rPr>
        <w:fldChar w:fldCharType="separate"/>
      </w:r>
      <w:r w:rsidR="00B4574D">
        <w:rPr>
          <w:noProof/>
        </w:rPr>
        <w:t xml:space="preserve">(e.g. </w:t>
      </w:r>
      <w:hyperlink w:anchor="_ENREF_9" w:tooltip="Brown, 2004 #410" w:history="1">
        <w:r w:rsidR="006913E2">
          <w:rPr>
            <w:noProof/>
          </w:rPr>
          <w:t>Brown &amp; Cliff, 2004</w:t>
        </w:r>
      </w:hyperlink>
      <w:r w:rsidR="00B4574D">
        <w:rPr>
          <w:noProof/>
        </w:rPr>
        <w:t xml:space="preserve">; </w:t>
      </w:r>
      <w:hyperlink w:anchor="_ENREF_41" w:tooltip="Smales, 2017 #420" w:history="1">
        <w:r w:rsidR="006913E2">
          <w:rPr>
            <w:noProof/>
          </w:rPr>
          <w:t>Smales, 2017</w:t>
        </w:r>
      </w:hyperlink>
      <w:r w:rsidR="00B4574D">
        <w:rPr>
          <w:noProof/>
        </w:rPr>
        <w:t>)</w:t>
      </w:r>
      <w:r w:rsidRPr="00E65AA7">
        <w:rPr>
          <w:noProof/>
        </w:rPr>
        <w:fldChar w:fldCharType="end"/>
      </w:r>
      <w:r w:rsidRPr="00E65AA7">
        <w:rPr>
          <w:noProof/>
        </w:rPr>
        <w:t xml:space="preserve">, we expect a positive correlation between investor sentiment and contemporaneous VWRET. The correlation between VWRET and </w:t>
      </w:r>
      <w:r w:rsidRPr="00E65AA7">
        <w:t>▲STM</w:t>
      </w:r>
      <w:r w:rsidRPr="00E65AA7">
        <w:rPr>
          <w:noProof/>
        </w:rPr>
        <w:t xml:space="preserve"> index is 0.19 which shows that </w:t>
      </w:r>
      <w:r w:rsidRPr="00E65AA7">
        <w:t>▲STM</w:t>
      </w:r>
      <w:r w:rsidRPr="00E65AA7">
        <w:rPr>
          <w:noProof/>
        </w:rPr>
        <w:t xml:space="preserve"> index is positively associated with VWRET which is consistent with our expectation because </w:t>
      </w:r>
      <w:r>
        <w:rPr>
          <w:noProof/>
        </w:rPr>
        <w:t xml:space="preserve">a </w:t>
      </w:r>
      <w:r w:rsidRPr="00E65AA7">
        <w:rPr>
          <w:noProof/>
        </w:rPr>
        <w:t xml:space="preserve">positive (negative) </w:t>
      </w:r>
      <w:r w:rsidRPr="00E65AA7">
        <w:t>▲STM</w:t>
      </w:r>
      <w:r w:rsidRPr="00E65AA7">
        <w:rPr>
          <w:noProof/>
        </w:rPr>
        <w:t xml:space="preserve"> index indicate</w:t>
      </w:r>
      <w:r>
        <w:rPr>
          <w:noProof/>
        </w:rPr>
        <w:t>s</w:t>
      </w:r>
      <w:r w:rsidRPr="00E65AA7">
        <w:rPr>
          <w:noProof/>
        </w:rPr>
        <w:t xml:space="preserve"> optimism (pessimism) in the market. The correlation between VWRET and STM is -0.05 which means that an increase in sentiment results in a decrease in VWRET; however, it is statistically insignificant. The insignificant correlation between VWRET and STM is not surprising since </w:t>
      </w:r>
      <w:hyperlink w:anchor="_ENREF_4" w:tooltip="Baker, 2007 #280" w:history="1">
        <w:r w:rsidR="006913E2" w:rsidRPr="00E65AA7">
          <w:rPr>
            <w:noProof/>
          </w:rPr>
          <w:fldChar w:fldCharType="begin"/>
        </w:r>
        <w:r w:rsidR="006913E2" w:rsidRPr="00E65AA7">
          <w:rPr>
            <w:noProof/>
          </w:rPr>
          <w:instrText xml:space="preserve"> ADDIN EN.CITE &lt;EndNote&gt;&lt;Cite AuthorYear="1"&gt;&lt;Author&gt;Baker&lt;/Author&gt;&lt;Year&gt;2007&lt;/Year&gt;&lt;RecNum&gt;280&lt;/RecNum&gt;&lt;DisplayText&gt;Baker and Wurgler (2007)&lt;/DisplayText&gt;&lt;record&gt;&lt;rec-number&gt;280&lt;/rec-number&gt;&lt;foreign-keys&gt;&lt;key app="EN" db-id="vafzs99fq0ew0seasdvvtxzufavxfwxtx2tr" timestamp="1429599507"&gt;280&lt;/key&gt;&lt;/foreign-keys&gt;&lt;ref-type name="Generic"&gt;13&lt;/ref-type&gt;&lt;contributors&gt;&lt;authors&gt;&lt;author&gt;Baker, Malcolm&lt;/author&gt;&lt;author&gt;Wurgler, Jeffrey&lt;/author&gt;&lt;/authors&gt;&lt;/contributors&gt;&lt;titles&gt;&lt;title&gt;Investor sentiment in the stock market&lt;/title&gt;&lt;/titles&gt;&lt;dates&gt;&lt;year&gt;2007&lt;/year&gt;&lt;/dates&gt;&lt;publisher&gt;National Bureau of Economic Research Cambridge, Mass., USA&lt;/publisher&gt;&lt;urls&gt;&lt;/urls&gt;&lt;/record&gt;&lt;/Cite&gt;&lt;/EndNote&gt;</w:instrText>
        </w:r>
        <w:r w:rsidR="006913E2" w:rsidRPr="00E65AA7">
          <w:rPr>
            <w:noProof/>
          </w:rPr>
          <w:fldChar w:fldCharType="separate"/>
        </w:r>
        <w:r w:rsidR="006913E2" w:rsidRPr="00E65AA7">
          <w:rPr>
            <w:noProof/>
          </w:rPr>
          <w:t>Baker and Wurgler (2007)</w:t>
        </w:r>
        <w:r w:rsidR="006913E2" w:rsidRPr="00E65AA7">
          <w:rPr>
            <w:noProof/>
          </w:rPr>
          <w:fldChar w:fldCharType="end"/>
        </w:r>
      </w:hyperlink>
      <w:r w:rsidRPr="00E65AA7">
        <w:rPr>
          <w:noProof/>
        </w:rPr>
        <w:t xml:space="preserve"> suggest that </w:t>
      </w:r>
      <w:r w:rsidR="000F1B22">
        <w:rPr>
          <w:noProof/>
        </w:rPr>
        <w:t xml:space="preserve">the </w:t>
      </w:r>
      <w:r w:rsidRPr="00E65AA7">
        <w:rPr>
          <w:noProof/>
        </w:rPr>
        <w:t xml:space="preserve">STM (sentiment levels) index is </w:t>
      </w:r>
      <w:r w:rsidR="0078281B">
        <w:rPr>
          <w:noProof/>
        </w:rPr>
        <w:t xml:space="preserve">more </w:t>
      </w:r>
      <w:r w:rsidRPr="00E65AA7">
        <w:rPr>
          <w:noProof/>
        </w:rPr>
        <w:t>suit</w:t>
      </w:r>
      <w:r w:rsidR="0078281B">
        <w:rPr>
          <w:noProof/>
        </w:rPr>
        <w:t>ed</w:t>
      </w:r>
      <w:r w:rsidRPr="00E65AA7">
        <w:rPr>
          <w:noProof/>
        </w:rPr>
        <w:t xml:space="preserve"> for future stock return predictability; whereas</w:t>
      </w:r>
      <w:r w:rsidR="0078281B">
        <w:rPr>
          <w:noProof/>
        </w:rPr>
        <w:t xml:space="preserve"> the</w:t>
      </w:r>
      <w:r w:rsidRPr="00E65AA7">
        <w:rPr>
          <w:noProof/>
        </w:rPr>
        <w:t xml:space="preserve"> </w:t>
      </w:r>
      <w:r w:rsidRPr="00E65AA7">
        <w:t>▲STM</w:t>
      </w:r>
      <w:r w:rsidRPr="00E65AA7">
        <w:rPr>
          <w:noProof/>
        </w:rPr>
        <w:t xml:space="preserve"> (sentiment changes) index comoves with market </w:t>
      </w:r>
      <w:r w:rsidRPr="00E65AA7">
        <w:rPr>
          <w:noProof/>
        </w:rPr>
        <w:lastRenderedPageBreak/>
        <w:t xml:space="preserve">returns. The correlation between VWRET and VIX (PC) is -0.26 (-0.25) which shows that an increase in VIX or PC results in a decrease in VWRET. The negative correlation between VWRET and VIX and PC is consistent with our expectation because high values of VIX and PC represent fear in the market. The correlation between VWRET and BBS is 0.19 which is consistent with our expectation </w:t>
      </w:r>
      <w:r w:rsidR="003332BB">
        <w:rPr>
          <w:noProof/>
        </w:rPr>
        <w:t>as</w:t>
      </w:r>
      <w:r w:rsidRPr="00E65AA7">
        <w:rPr>
          <w:noProof/>
        </w:rPr>
        <w:t xml:space="preserve"> higher (lower) values of BBS indicate optimism (pessimism) in the market. In sum, the correlation between different proxies of investor sentiment, are in accord with our expectations.</w:t>
      </w:r>
    </w:p>
    <w:p w14:paraId="00FB578F" w14:textId="4F497EB3" w:rsidR="004326ED" w:rsidRPr="008026F8" w:rsidRDefault="004326ED" w:rsidP="00C760BC">
      <w:pPr>
        <w:pStyle w:val="BodyText"/>
        <w:spacing w:after="240" w:line="480" w:lineRule="auto"/>
        <w:contextualSpacing/>
        <w:rPr>
          <w:rFonts w:asciiTheme="minorHAnsi" w:hAnsiTheme="minorHAnsi" w:cs="Arial"/>
          <w:b/>
          <w:bCs/>
        </w:rPr>
      </w:pPr>
      <w:r w:rsidRPr="008026F8">
        <w:rPr>
          <w:rFonts w:asciiTheme="minorHAnsi" w:hAnsiTheme="minorHAnsi" w:cs="Arial"/>
          <w:b/>
          <w:bCs/>
        </w:rPr>
        <w:t>B. Hard to Value and Hard to Arbitrage Stocks</w:t>
      </w:r>
    </w:p>
    <w:p w14:paraId="1FAB5E7C" w14:textId="735EA687" w:rsidR="00D67A81" w:rsidRDefault="004326ED" w:rsidP="00C760BC">
      <w:pPr>
        <w:pStyle w:val="BodyText"/>
        <w:spacing w:line="480" w:lineRule="auto"/>
        <w:ind w:firstLine="720"/>
        <w:rPr>
          <w:noProof/>
        </w:rPr>
      </w:pPr>
      <w:r w:rsidRPr="00E65AA7">
        <w:rPr>
          <w:noProof/>
        </w:rPr>
        <w:t xml:space="preserve">In this section, we describe the proxies for hard to value </w:t>
      </w:r>
      <w:r>
        <w:rPr>
          <w:noProof/>
        </w:rPr>
        <w:t xml:space="preserve">and hard to arbitrage (HVHA) </w:t>
      </w:r>
      <w:r w:rsidRPr="00E65AA7">
        <w:rPr>
          <w:noProof/>
        </w:rPr>
        <w:t>stocks.</w:t>
      </w:r>
      <w:r w:rsidR="00376FFB">
        <w:rPr>
          <w:rStyle w:val="FootnoteReference"/>
          <w:noProof/>
        </w:rPr>
        <w:footnoteReference w:id="9"/>
      </w:r>
      <w:r w:rsidR="006312FF">
        <w:rPr>
          <w:noProof/>
        </w:rPr>
        <w:t xml:space="preserve"> </w:t>
      </w:r>
      <w:r w:rsidRPr="00E65AA7">
        <w:rPr>
          <w:noProof/>
        </w:rPr>
        <w:t xml:space="preserve">We define </w:t>
      </w:r>
      <w:r>
        <w:rPr>
          <w:noProof/>
        </w:rPr>
        <w:t>HVHA</w:t>
      </w:r>
      <w:r w:rsidRPr="00E65AA7">
        <w:rPr>
          <w:noProof/>
        </w:rPr>
        <w:t xml:space="preserve"> stocks based on their characteristics of profitability, dividend payment ability, and asset tangibility since these characteristics are often cited in the literature to have a straight-forward relationship with sentiment </w:t>
      </w:r>
      <w:r w:rsidRPr="00E65AA7">
        <w:rPr>
          <w:noProof/>
        </w:rPr>
        <w:fldChar w:fldCharType="begin"/>
      </w:r>
      <w:r w:rsidR="00B4574D">
        <w:rPr>
          <w:noProof/>
        </w:rPr>
        <w:instrText xml:space="preserve"> ADDIN EN.CITE &lt;EndNote&gt;&lt;Cite&gt;&lt;Author&gt;Baker&lt;/Author&gt;&lt;Year&gt;2006&lt;/Year&gt;&lt;RecNum&gt;345&lt;/RecNum&gt;&lt;Prefix&gt;e.g. &lt;/Prefix&gt;&lt;DisplayText&gt;(e.g. Baker &amp;amp; Wurgler, 2006)&lt;/DisplayText&gt;&lt;record&gt;&lt;rec-number&gt;345&lt;/rec-number&gt;&lt;foreign-keys&gt;&lt;key app="EN" db-id="vafzs99fq0ew0seasdvvtxzufavxfwxtx2tr" timestamp="1449722518"&gt;345&lt;/key&gt;&lt;/foreign-keys&gt;&lt;ref-type name="Journal Article"&gt;17&lt;/ref-type&gt;&lt;contributors&gt;&lt;authors&gt;&lt;author&gt;Baker, Malcolm&lt;/author&gt;&lt;author&gt;Wurgler, Jeffrey&lt;/author&gt;&lt;/authors&gt;&lt;/contributors&gt;&lt;titles&gt;&lt;title&gt;Investor se</w:instrText>
      </w:r>
      <w:r w:rsidR="00B4574D">
        <w:rPr>
          <w:rFonts w:hint="eastAsia"/>
          <w:noProof/>
        </w:rPr>
        <w:instrText>ntiment and the cross</w:instrText>
      </w:r>
      <w:r w:rsidR="00B4574D">
        <w:rPr>
          <w:rFonts w:hint="eastAsia"/>
          <w:noProof/>
        </w:rPr>
        <w:instrText>‐</w:instrText>
      </w:r>
      <w:r w:rsidR="00B4574D">
        <w:rPr>
          <w:rFonts w:hint="eastAsia"/>
          <w:noProof/>
        </w:rPr>
        <w:instrText>section of stock returns&lt;/title&gt;&lt;secondary-title&gt;The Journal of Finance&lt;/secondary-title&gt;&lt;/titles&gt;&lt;periodical&gt;&lt;full-title&gt;The Journal of Finance&lt;/full-title&gt;&lt;/periodical&gt;&lt;pages&gt;1645-1680&lt;/pages&gt;&lt;volume&gt;61&lt;/volume&gt;&lt;number&gt;4&lt;/number&gt;&lt;d</w:instrText>
      </w:r>
      <w:r w:rsidR="00B4574D">
        <w:rPr>
          <w:noProof/>
        </w:rPr>
        <w:instrText>ates&gt;&lt;year&gt;2006&lt;/year&gt;&lt;/dates&gt;&lt;isbn&gt;1540-6261&lt;/isbn&gt;&lt;urls&gt;&lt;/urls&gt;&lt;/record&gt;&lt;/Cite&gt;&lt;/EndNote&gt;</w:instrText>
      </w:r>
      <w:r w:rsidRPr="00E65AA7">
        <w:rPr>
          <w:noProof/>
        </w:rPr>
        <w:fldChar w:fldCharType="separate"/>
      </w:r>
      <w:r w:rsidR="00B4574D">
        <w:rPr>
          <w:noProof/>
        </w:rPr>
        <w:t>(</w:t>
      </w:r>
      <w:hyperlink w:anchor="_ENREF_3" w:tooltip="Baker, 2006 #345" w:history="1">
        <w:r w:rsidR="006913E2">
          <w:rPr>
            <w:noProof/>
          </w:rPr>
          <w:t>e.g. Baker &amp; Wurgler, 2006</w:t>
        </w:r>
      </w:hyperlink>
      <w:r w:rsidR="00B4574D">
        <w:rPr>
          <w:noProof/>
        </w:rPr>
        <w:t>)</w:t>
      </w:r>
      <w:r w:rsidRPr="00E65AA7">
        <w:rPr>
          <w:noProof/>
        </w:rPr>
        <w:fldChar w:fldCharType="end"/>
      </w:r>
      <w:r w:rsidRPr="00E65AA7">
        <w:rPr>
          <w:noProof/>
        </w:rPr>
        <w:t>.</w:t>
      </w:r>
      <w:r w:rsidRPr="00E65AA7">
        <w:rPr>
          <w:rStyle w:val="FootnoteReference"/>
          <w:noProof/>
        </w:rPr>
        <w:footnoteReference w:id="10"/>
      </w:r>
      <w:r w:rsidRPr="00E65AA7">
        <w:rPr>
          <w:noProof/>
        </w:rPr>
        <w:t xml:space="preserve"> We collect firm characteristic data from the merged CRSP-Compustat database from 1</w:t>
      </w:r>
      <w:r w:rsidR="00D67A81">
        <w:rPr>
          <w:noProof/>
        </w:rPr>
        <w:t>964 to 2014.</w:t>
      </w:r>
    </w:p>
    <w:p w14:paraId="45C1CA59" w14:textId="7D1EBFA7" w:rsidR="004326ED" w:rsidRPr="00E65AA7" w:rsidRDefault="004326ED" w:rsidP="00C760BC">
      <w:pPr>
        <w:pStyle w:val="BodyText"/>
        <w:spacing w:line="480" w:lineRule="auto"/>
        <w:ind w:firstLine="720"/>
        <w:rPr>
          <w:noProof/>
        </w:rPr>
      </w:pPr>
      <w:r w:rsidRPr="00E65AA7">
        <w:rPr>
          <w:noProof/>
        </w:rPr>
        <w:t xml:space="preserve">Table 3 shows summary statistics of firm-level data. Panel A reports monthly return and MOM variables. Following the literature, MOM is estimated at time </w:t>
      </w:r>
      <w:r w:rsidRPr="00E65AA7">
        <w:rPr>
          <w:i/>
          <w:noProof/>
        </w:rPr>
        <w:t>t</w:t>
      </w:r>
      <w:r w:rsidRPr="00E65AA7">
        <w:rPr>
          <w:noProof/>
        </w:rPr>
        <w:t xml:space="preserve"> based on the cumulative return from </w:t>
      </w:r>
      <w:r w:rsidRPr="00E65AA7">
        <w:rPr>
          <w:i/>
          <w:noProof/>
        </w:rPr>
        <w:t>t</w:t>
      </w:r>
      <w:r w:rsidRPr="00E65AA7">
        <w:rPr>
          <w:noProof/>
        </w:rPr>
        <w:t xml:space="preserve">-12 to </w:t>
      </w:r>
      <w:r w:rsidRPr="00E65AA7">
        <w:rPr>
          <w:i/>
          <w:noProof/>
        </w:rPr>
        <w:t>t</w:t>
      </w:r>
      <w:r w:rsidRPr="00E65AA7">
        <w:rPr>
          <w:noProof/>
        </w:rPr>
        <w:t xml:space="preserve">-2 months. Following Baker and Wurgler (2006), we use MOM as a control variable only. </w:t>
      </w:r>
    </w:p>
    <w:p w14:paraId="19B023C3" w14:textId="77777777" w:rsidR="004A3853" w:rsidRDefault="004326ED" w:rsidP="00C760BC">
      <w:pPr>
        <w:pStyle w:val="BodyText"/>
        <w:spacing w:line="480" w:lineRule="auto"/>
        <w:ind w:firstLine="720"/>
        <w:rPr>
          <w:noProof/>
        </w:rPr>
      </w:pPr>
      <w:r w:rsidRPr="00E65AA7">
        <w:rPr>
          <w:noProof/>
        </w:rPr>
        <w:lastRenderedPageBreak/>
        <w:t xml:space="preserve">Panel B reports volatility, age and market equity (ME) variables. Volatility is the standard deviation of monthly returns over </w:t>
      </w:r>
      <w:r>
        <w:rPr>
          <w:noProof/>
        </w:rPr>
        <w:t xml:space="preserve">the </w:t>
      </w:r>
      <w:r w:rsidRPr="00E65AA7">
        <w:rPr>
          <w:noProof/>
        </w:rPr>
        <w:t xml:space="preserve">past 12 months ending in June of year </w:t>
      </w:r>
      <w:r w:rsidRPr="00E65AA7">
        <w:rPr>
          <w:i/>
          <w:noProof/>
        </w:rPr>
        <w:t>t</w:t>
      </w:r>
      <w:r w:rsidRPr="00E65AA7">
        <w:rPr>
          <w:noProof/>
        </w:rPr>
        <w:t xml:space="preserve">. Age is estimated at time </w:t>
      </w:r>
      <w:r w:rsidRPr="00E65AA7">
        <w:rPr>
          <w:i/>
          <w:noProof/>
        </w:rPr>
        <w:t>t</w:t>
      </w:r>
      <w:r w:rsidRPr="00E65AA7">
        <w:rPr>
          <w:noProof/>
        </w:rPr>
        <w:t xml:space="preserve"> based on the number of years since the firm first appears on CRSP. ME is measured from June of year </w:t>
      </w:r>
      <w:r w:rsidRPr="00E65AA7">
        <w:rPr>
          <w:i/>
          <w:noProof/>
        </w:rPr>
        <w:t>t</w:t>
      </w:r>
      <w:r w:rsidRPr="00E65AA7">
        <w:rPr>
          <w:noProof/>
        </w:rPr>
        <w:t xml:space="preserve">, and is matched to monthly returns from July of year </w:t>
      </w:r>
      <w:r w:rsidRPr="00E65AA7">
        <w:rPr>
          <w:i/>
          <w:noProof/>
        </w:rPr>
        <w:t>t</w:t>
      </w:r>
      <w:r w:rsidRPr="00E65AA7">
        <w:rPr>
          <w:noProof/>
        </w:rPr>
        <w:t xml:space="preserve"> to June of </w:t>
      </w:r>
      <w:r w:rsidRPr="00E65AA7">
        <w:rPr>
          <w:i/>
          <w:noProof/>
        </w:rPr>
        <w:t>t</w:t>
      </w:r>
      <w:r w:rsidRPr="00E65AA7">
        <w:rPr>
          <w:noProof/>
        </w:rPr>
        <w:t xml:space="preserve">+1. High volatility, </w:t>
      </w:r>
      <w:r>
        <w:rPr>
          <w:noProof/>
        </w:rPr>
        <w:t>y</w:t>
      </w:r>
      <w:r w:rsidRPr="00E65AA7">
        <w:rPr>
          <w:noProof/>
        </w:rPr>
        <w:t xml:space="preserve">oung and small size firms are defined as </w:t>
      </w:r>
      <w:r>
        <w:rPr>
          <w:noProof/>
        </w:rPr>
        <w:t>HVHA</w:t>
      </w:r>
      <w:r w:rsidR="004A3853">
        <w:rPr>
          <w:noProof/>
        </w:rPr>
        <w:t xml:space="preserve"> stocks.</w:t>
      </w:r>
    </w:p>
    <w:p w14:paraId="63487BEE" w14:textId="33FA0575" w:rsidR="004326ED" w:rsidRPr="00E65AA7" w:rsidRDefault="004326ED" w:rsidP="00C760BC">
      <w:pPr>
        <w:pStyle w:val="BodyText"/>
        <w:spacing w:line="480" w:lineRule="auto"/>
        <w:ind w:firstLine="720"/>
        <w:rPr>
          <w:noProof/>
        </w:rPr>
      </w:pPr>
      <w:r w:rsidRPr="00E65AA7">
        <w:rPr>
          <w:noProof/>
        </w:rPr>
        <w:t xml:space="preserve">Panels C to E report accounting data that are collected from fiscal year ends in the calendar year </w:t>
      </w:r>
      <w:r w:rsidRPr="00E65AA7">
        <w:rPr>
          <w:i/>
          <w:noProof/>
        </w:rPr>
        <w:t>t</w:t>
      </w:r>
      <w:r w:rsidRPr="00E65AA7">
        <w:rPr>
          <w:noProof/>
        </w:rPr>
        <w:t xml:space="preserve">-1, and are matched to monthly returns from July of year </w:t>
      </w:r>
      <w:r w:rsidRPr="00E65AA7">
        <w:rPr>
          <w:i/>
          <w:noProof/>
        </w:rPr>
        <w:t>t</w:t>
      </w:r>
      <w:r w:rsidRPr="00E65AA7">
        <w:rPr>
          <w:noProof/>
        </w:rPr>
        <w:t xml:space="preserve"> to June of year </w:t>
      </w:r>
      <w:r w:rsidRPr="00E65AA7">
        <w:rPr>
          <w:i/>
          <w:noProof/>
        </w:rPr>
        <w:t>t</w:t>
      </w:r>
      <w:r w:rsidRPr="00E65AA7">
        <w:rPr>
          <w:noProof/>
        </w:rPr>
        <w:t xml:space="preserve">+1. Panel C reports the profitability variable, return on equity. Return on equity (E+/BE) is earnings over book equity. Earnings (E) is income before extraordinary item (item 18) plus income statement deferred taxes (item 50) minus preferred dividends (item 9). The book equity (BE) is shareholders equity (item 60) plus balance sheet deferred taxes (item 35). The E+/BE is positive for profitable firms and zero for unprofitable firms. We also use dummy variables for firms with positive earnings (E) that is equal to one, otherwise zero. Less profitable firms are considered as </w:t>
      </w:r>
      <w:r>
        <w:rPr>
          <w:noProof/>
        </w:rPr>
        <w:t>HVHA</w:t>
      </w:r>
      <w:r w:rsidRPr="00E65AA7">
        <w:rPr>
          <w:noProof/>
        </w:rPr>
        <w:t xml:space="preserve"> stocks.</w:t>
      </w:r>
    </w:p>
    <w:p w14:paraId="6EC7546A" w14:textId="77777777" w:rsidR="004326ED" w:rsidRPr="00E65AA7" w:rsidRDefault="004326ED" w:rsidP="00C760BC">
      <w:pPr>
        <w:pStyle w:val="BodyText"/>
        <w:spacing w:line="480" w:lineRule="auto"/>
        <w:ind w:firstLine="720"/>
        <w:rPr>
          <w:noProof/>
        </w:rPr>
      </w:pPr>
      <w:r w:rsidRPr="00E65AA7">
        <w:rPr>
          <w:noProof/>
        </w:rPr>
        <w:t>Panel D reports dividend characteristics</w:t>
      </w:r>
      <w:r>
        <w:rPr>
          <w:noProof/>
        </w:rPr>
        <w:t>.</w:t>
      </w:r>
      <w:r w:rsidRPr="00E65AA7">
        <w:rPr>
          <w:noProof/>
        </w:rPr>
        <w:t xml:space="preserve"> Dividend (D) </w:t>
      </w:r>
      <w:r>
        <w:rPr>
          <w:noProof/>
        </w:rPr>
        <w:t xml:space="preserve">is </w:t>
      </w:r>
      <w:r w:rsidRPr="00E65AA7">
        <w:rPr>
          <w:noProof/>
        </w:rPr>
        <w:t xml:space="preserve">divided by book equity of the firm where D represents dividend per share at the ex-date (item 26) times Compustat shares outstanding (item 25). We also use dummy variables for firms with positive dividends (D) that is equal to one, otherwise zero. Non-dividend paying firms are identified as </w:t>
      </w:r>
      <w:r>
        <w:rPr>
          <w:noProof/>
        </w:rPr>
        <w:t>HVHA</w:t>
      </w:r>
      <w:r w:rsidRPr="00E65AA7">
        <w:rPr>
          <w:noProof/>
        </w:rPr>
        <w:t xml:space="preserve"> stocks.</w:t>
      </w:r>
    </w:p>
    <w:p w14:paraId="6FFE697B" w14:textId="1473C384" w:rsidR="004326ED" w:rsidRPr="00E65AA7" w:rsidRDefault="004326ED" w:rsidP="00C760BC">
      <w:pPr>
        <w:pStyle w:val="BodyText"/>
        <w:spacing w:line="480" w:lineRule="auto"/>
        <w:ind w:firstLine="720"/>
        <w:rPr>
          <w:noProof/>
        </w:rPr>
      </w:pPr>
      <w:r w:rsidRPr="00E65AA7">
        <w:rPr>
          <w:noProof/>
        </w:rPr>
        <w:t xml:space="preserve">Panel E reports two variables representing asset tangibility characteristics, property plant and equipment (item 7) over assets (PPE/A), and research and development expense (item 46) over assets (RD/A). Following Baker and Wurgler (2006), we do not use R&amp;D variables before 1972 because of the limited data. Low PPE/A and high RD/A firms are identified as </w:t>
      </w:r>
      <w:r>
        <w:rPr>
          <w:noProof/>
        </w:rPr>
        <w:t>HVHA</w:t>
      </w:r>
      <w:r w:rsidRPr="00E65AA7">
        <w:rPr>
          <w:noProof/>
        </w:rPr>
        <w:t xml:space="preserve"> stocks</w:t>
      </w:r>
      <w:r w:rsidR="00D77549">
        <w:rPr>
          <w:noProof/>
        </w:rPr>
        <w:t>.</w:t>
      </w:r>
    </w:p>
    <w:p w14:paraId="06464477" w14:textId="616DF5DD" w:rsidR="0028269E" w:rsidRPr="008026F8" w:rsidRDefault="0028269E" w:rsidP="00C760BC">
      <w:pPr>
        <w:pStyle w:val="BodyText"/>
        <w:spacing w:after="240" w:line="480" w:lineRule="auto"/>
        <w:contextualSpacing/>
        <w:rPr>
          <w:rFonts w:asciiTheme="minorHAnsi" w:hAnsiTheme="minorHAnsi" w:cs="Arial"/>
          <w:b/>
          <w:bCs/>
          <w:sz w:val="28"/>
          <w:szCs w:val="28"/>
        </w:rPr>
      </w:pPr>
      <w:r w:rsidRPr="008026F8">
        <w:rPr>
          <w:rFonts w:asciiTheme="minorHAnsi" w:hAnsiTheme="minorHAnsi" w:cs="Arial"/>
          <w:b/>
          <w:bCs/>
          <w:sz w:val="28"/>
          <w:szCs w:val="28"/>
        </w:rPr>
        <w:t>I</w:t>
      </w:r>
      <w:r w:rsidR="00D615B5">
        <w:rPr>
          <w:rFonts w:asciiTheme="minorHAnsi" w:hAnsiTheme="minorHAnsi" w:cs="Arial"/>
          <w:b/>
          <w:bCs/>
          <w:sz w:val="28"/>
          <w:szCs w:val="28"/>
        </w:rPr>
        <w:t>V</w:t>
      </w:r>
      <w:r w:rsidRPr="008026F8">
        <w:rPr>
          <w:rFonts w:asciiTheme="minorHAnsi" w:hAnsiTheme="minorHAnsi" w:cs="Arial"/>
          <w:b/>
          <w:bCs/>
          <w:sz w:val="28"/>
          <w:szCs w:val="28"/>
        </w:rPr>
        <w:t>. Empirical Results</w:t>
      </w:r>
    </w:p>
    <w:p w14:paraId="794AEA7C" w14:textId="4DC14259" w:rsidR="00352116" w:rsidRPr="008026F8" w:rsidRDefault="00575CA0" w:rsidP="00C760BC">
      <w:pPr>
        <w:pStyle w:val="BodyText"/>
        <w:spacing w:line="480" w:lineRule="auto"/>
        <w:rPr>
          <w:rFonts w:asciiTheme="minorHAnsi" w:hAnsiTheme="minorHAnsi" w:cs="Arial"/>
          <w:b/>
          <w:bCs/>
        </w:rPr>
      </w:pPr>
      <w:r w:rsidRPr="008026F8">
        <w:rPr>
          <w:rFonts w:asciiTheme="minorHAnsi" w:hAnsiTheme="minorHAnsi" w:cs="Arial"/>
          <w:b/>
          <w:bCs/>
        </w:rPr>
        <w:lastRenderedPageBreak/>
        <w:t>A</w:t>
      </w:r>
      <w:r w:rsidR="00352116" w:rsidRPr="008026F8">
        <w:rPr>
          <w:rFonts w:asciiTheme="minorHAnsi" w:hAnsiTheme="minorHAnsi" w:cs="Arial"/>
          <w:b/>
          <w:bCs/>
        </w:rPr>
        <w:t xml:space="preserve">. </w:t>
      </w:r>
      <w:r w:rsidR="00801A83" w:rsidRPr="008026F8">
        <w:rPr>
          <w:rFonts w:asciiTheme="minorHAnsi" w:hAnsiTheme="minorHAnsi" w:cs="Arial"/>
          <w:b/>
          <w:bCs/>
        </w:rPr>
        <w:t xml:space="preserve">Stock </w:t>
      </w:r>
      <w:r w:rsidR="000F1B22" w:rsidRPr="008026F8">
        <w:rPr>
          <w:rFonts w:asciiTheme="minorHAnsi" w:hAnsiTheme="minorHAnsi" w:cs="Arial"/>
          <w:b/>
          <w:bCs/>
        </w:rPr>
        <w:t>R</w:t>
      </w:r>
      <w:r w:rsidR="00801A83" w:rsidRPr="008026F8">
        <w:rPr>
          <w:rFonts w:asciiTheme="minorHAnsi" w:hAnsiTheme="minorHAnsi" w:cs="Arial"/>
          <w:b/>
          <w:bCs/>
        </w:rPr>
        <w:t xml:space="preserve">eturns and </w:t>
      </w:r>
      <w:r w:rsidR="000F1B22" w:rsidRPr="008026F8">
        <w:rPr>
          <w:rFonts w:asciiTheme="minorHAnsi" w:hAnsiTheme="minorHAnsi" w:cs="Arial"/>
          <w:b/>
          <w:bCs/>
        </w:rPr>
        <w:t>I</w:t>
      </w:r>
      <w:r w:rsidR="00190E43" w:rsidRPr="008026F8">
        <w:rPr>
          <w:rFonts w:asciiTheme="minorHAnsi" w:hAnsiTheme="minorHAnsi" w:cs="Arial"/>
          <w:b/>
          <w:bCs/>
        </w:rPr>
        <w:t xml:space="preserve">nvestor </w:t>
      </w:r>
      <w:r w:rsidR="000F1B22" w:rsidRPr="008026F8">
        <w:rPr>
          <w:rFonts w:asciiTheme="minorHAnsi" w:hAnsiTheme="minorHAnsi" w:cs="Arial"/>
          <w:b/>
          <w:bCs/>
        </w:rPr>
        <w:t>S</w:t>
      </w:r>
      <w:r w:rsidR="00190E43" w:rsidRPr="008026F8">
        <w:rPr>
          <w:rFonts w:asciiTheme="minorHAnsi" w:hAnsiTheme="minorHAnsi" w:cs="Arial"/>
          <w:b/>
          <w:bCs/>
        </w:rPr>
        <w:t xml:space="preserve">entiment </w:t>
      </w:r>
      <w:r w:rsidR="000F1B22" w:rsidRPr="008026F8">
        <w:rPr>
          <w:rFonts w:asciiTheme="minorHAnsi" w:hAnsiTheme="minorHAnsi" w:cs="Arial"/>
          <w:b/>
          <w:bCs/>
        </w:rPr>
        <w:t>D</w:t>
      </w:r>
      <w:r w:rsidR="00080018" w:rsidRPr="008026F8">
        <w:rPr>
          <w:rFonts w:asciiTheme="minorHAnsi" w:hAnsiTheme="minorHAnsi" w:cs="Arial"/>
          <w:b/>
          <w:bCs/>
        </w:rPr>
        <w:t>ynamic</w:t>
      </w:r>
      <w:r w:rsidR="00352116" w:rsidRPr="008026F8">
        <w:rPr>
          <w:rFonts w:asciiTheme="minorHAnsi" w:hAnsiTheme="minorHAnsi" w:cs="Arial"/>
          <w:b/>
          <w:bCs/>
        </w:rPr>
        <w:t>s</w:t>
      </w:r>
    </w:p>
    <w:p w14:paraId="27758416" w14:textId="004D1D1A" w:rsidR="00336B9C" w:rsidRPr="008F122B" w:rsidRDefault="00352116" w:rsidP="00336B9C">
      <w:pPr>
        <w:spacing w:line="480" w:lineRule="auto"/>
        <w:ind w:firstLine="720"/>
        <w:rPr>
          <w:noProof/>
        </w:rPr>
      </w:pPr>
      <w:r w:rsidRPr="008F122B">
        <w:rPr>
          <w:rFonts w:eastAsia="Times New Roman"/>
        </w:rPr>
        <w:t xml:space="preserve">In this section, </w:t>
      </w:r>
      <w:r w:rsidR="00EB0268" w:rsidRPr="008F122B">
        <w:rPr>
          <w:rFonts w:eastAsia="Times New Roman"/>
        </w:rPr>
        <w:t xml:space="preserve">we </w:t>
      </w:r>
      <w:r w:rsidRPr="008F122B">
        <w:rPr>
          <w:rFonts w:eastAsia="Times New Roman"/>
        </w:rPr>
        <w:t xml:space="preserve">test our </w:t>
      </w:r>
      <w:r w:rsidR="00694839" w:rsidRPr="008F122B">
        <w:rPr>
          <w:rFonts w:eastAsia="Times New Roman"/>
        </w:rPr>
        <w:t xml:space="preserve">first </w:t>
      </w:r>
      <w:r w:rsidRPr="008F122B">
        <w:rPr>
          <w:rFonts w:eastAsia="Times New Roman"/>
        </w:rPr>
        <w:t>hypothesis that</w:t>
      </w:r>
      <w:r w:rsidR="00A963A3" w:rsidRPr="008F122B">
        <w:rPr>
          <w:rFonts w:eastAsia="Times New Roman"/>
        </w:rPr>
        <w:t xml:space="preserve"> t</w:t>
      </w:r>
      <w:r w:rsidR="00336B9C" w:rsidRPr="008F122B">
        <w:t xml:space="preserve">he average future returns of HVHA stocks would be higher (lower) than EVEA stocks if sentiment </w:t>
      </w:r>
      <w:r w:rsidR="00336B9C" w:rsidRPr="008F122B">
        <w:rPr>
          <w:i/>
        </w:rPr>
        <w:t>continues</w:t>
      </w:r>
      <w:r w:rsidR="00336B9C" w:rsidRPr="008F122B">
        <w:t xml:space="preserve"> in the High (Low) state, while</w:t>
      </w:r>
      <w:r w:rsidR="00336B9C" w:rsidRPr="008F122B">
        <w:rPr>
          <w:noProof/>
        </w:rPr>
        <w:t xml:space="preserve"> the average future returns of HVHA stocks would be lower (higher) than EVEA stocks if the subsequent sentiment </w:t>
      </w:r>
      <w:r w:rsidR="00336B9C" w:rsidRPr="008F122B">
        <w:rPr>
          <w:i/>
          <w:noProof/>
        </w:rPr>
        <w:t>transitions</w:t>
      </w:r>
      <w:r w:rsidR="00336B9C" w:rsidRPr="008F122B">
        <w:rPr>
          <w:noProof/>
        </w:rPr>
        <w:t xml:space="preserve"> to a Low (High) state</w:t>
      </w:r>
      <w:r w:rsidR="00A963A3" w:rsidRPr="008F122B">
        <w:rPr>
          <w:noProof/>
        </w:rPr>
        <w:t>.</w:t>
      </w:r>
    </w:p>
    <w:p w14:paraId="4A129035" w14:textId="527E0796" w:rsidR="00352116" w:rsidRPr="00E65AA7" w:rsidRDefault="00352116" w:rsidP="00C760BC">
      <w:pPr>
        <w:pStyle w:val="BodyText"/>
        <w:spacing w:line="480" w:lineRule="auto"/>
        <w:ind w:firstLine="720"/>
        <w:rPr>
          <w:rFonts w:eastAsia="Times New Roman"/>
        </w:rPr>
      </w:pPr>
      <w:r>
        <w:rPr>
          <w:rFonts w:eastAsia="Times New Roman"/>
        </w:rPr>
        <w:t xml:space="preserve">We use the sentiment </w:t>
      </w:r>
      <w:r w:rsidR="00575CA0">
        <w:rPr>
          <w:rFonts w:eastAsia="Times New Roman"/>
        </w:rPr>
        <w:t xml:space="preserve">levels </w:t>
      </w:r>
      <w:r>
        <w:rPr>
          <w:rFonts w:eastAsia="Times New Roman"/>
        </w:rPr>
        <w:t>index (</w:t>
      </w:r>
      <w:r w:rsidRPr="00E65AA7">
        <w:t>STM</w:t>
      </w:r>
      <w:r>
        <w:t>)</w:t>
      </w:r>
      <w:r>
        <w:rPr>
          <w:rFonts w:eastAsia="Times New Roman"/>
        </w:rPr>
        <w:t xml:space="preserve"> </w:t>
      </w:r>
      <w:r w:rsidR="00575CA0">
        <w:rPr>
          <w:rFonts w:eastAsia="Times New Roman"/>
        </w:rPr>
        <w:t>to define lagged sentiment</w:t>
      </w:r>
      <w:r w:rsidR="00F13637">
        <w:rPr>
          <w:rFonts w:eastAsia="Times New Roman"/>
        </w:rPr>
        <w:t xml:space="preserve"> and the</w:t>
      </w:r>
      <w:r w:rsidR="00C7409E">
        <w:rPr>
          <w:rFonts w:eastAsia="Times New Roman"/>
        </w:rPr>
        <w:t xml:space="preserve"> </w:t>
      </w:r>
      <w:r w:rsidR="00575CA0">
        <w:rPr>
          <w:rFonts w:eastAsia="Times New Roman"/>
        </w:rPr>
        <w:t xml:space="preserve">sentiment changes index </w:t>
      </w:r>
      <w:r w:rsidR="00BB27A1">
        <w:rPr>
          <w:rFonts w:eastAsia="Times New Roman"/>
        </w:rPr>
        <w:t>(</w:t>
      </w:r>
      <w:r w:rsidR="00BB27A1" w:rsidRPr="00E65AA7">
        <w:t>▲STM</w:t>
      </w:r>
      <w:r w:rsidR="00BB27A1">
        <w:t>)</w:t>
      </w:r>
      <w:r w:rsidR="00BB27A1" w:rsidRPr="00E65AA7">
        <w:t xml:space="preserve"> </w:t>
      </w:r>
      <w:r w:rsidR="00575CA0">
        <w:rPr>
          <w:rFonts w:eastAsia="Times New Roman"/>
        </w:rPr>
        <w:t xml:space="preserve">to define </w:t>
      </w:r>
      <w:r w:rsidR="00CA2087">
        <w:rPr>
          <w:rFonts w:eastAsia="Times New Roman"/>
        </w:rPr>
        <w:t xml:space="preserve">the </w:t>
      </w:r>
      <w:r w:rsidR="00575CA0">
        <w:rPr>
          <w:rFonts w:eastAsia="Times New Roman"/>
        </w:rPr>
        <w:t>subsequent change in sentiment</w:t>
      </w:r>
      <w:r>
        <w:rPr>
          <w:rFonts w:eastAsia="Times New Roman"/>
        </w:rPr>
        <w:t xml:space="preserve">. </w:t>
      </w:r>
      <w:r w:rsidRPr="00E65AA7">
        <w:rPr>
          <w:rFonts w:eastAsia="Times New Roman"/>
        </w:rPr>
        <w:t xml:space="preserve">At the beginning of each month </w:t>
      </w:r>
      <w:r w:rsidRPr="00E65AA7">
        <w:rPr>
          <w:rFonts w:eastAsia="Times New Roman"/>
          <w:i/>
        </w:rPr>
        <w:t>t</w:t>
      </w:r>
      <w:r w:rsidRPr="00E65AA7">
        <w:rPr>
          <w:rFonts w:eastAsia="Times New Roman"/>
        </w:rPr>
        <w:t>, we classify firms in deciles based on their firm characteristics</w:t>
      </w:r>
      <w:r w:rsidR="00BC5F5D">
        <w:rPr>
          <w:rFonts w:eastAsia="Times New Roman"/>
        </w:rPr>
        <w:t xml:space="preserve">. </w:t>
      </w:r>
      <w:r w:rsidR="00BC5F5D" w:rsidRPr="00396AA2">
        <w:rPr>
          <w:rFonts w:eastAsia="Times New Roman"/>
        </w:rPr>
        <w:t xml:space="preserve">Then we classify </w:t>
      </w:r>
      <w:r w:rsidR="003421DB" w:rsidRPr="00396AA2">
        <w:rPr>
          <w:rFonts w:eastAsia="Times New Roman"/>
        </w:rPr>
        <w:t>the previous</w:t>
      </w:r>
      <w:r w:rsidR="00BC5F5D" w:rsidRPr="00396AA2">
        <w:rPr>
          <w:rFonts w:eastAsia="Times New Roman"/>
        </w:rPr>
        <w:t xml:space="preserve"> month </w:t>
      </w:r>
      <w:r w:rsidR="00BC5F5D" w:rsidRPr="00396AA2">
        <w:rPr>
          <w:rFonts w:eastAsia="Times New Roman"/>
          <w:i/>
        </w:rPr>
        <w:t>t</w:t>
      </w:r>
      <w:r w:rsidR="00BC5F5D" w:rsidRPr="00396AA2">
        <w:rPr>
          <w:rFonts w:eastAsia="Times New Roman"/>
        </w:rPr>
        <w:t>-1</w:t>
      </w:r>
      <w:r w:rsidR="003421DB" w:rsidRPr="00396AA2">
        <w:rPr>
          <w:rFonts w:eastAsia="Times New Roman"/>
        </w:rPr>
        <w:t xml:space="preserve">, as a </w:t>
      </w:r>
      <w:r w:rsidRPr="00396AA2">
        <w:rPr>
          <w:rFonts w:eastAsia="Times New Roman"/>
        </w:rPr>
        <w:t xml:space="preserve">High (Low) sentiment state if the </w:t>
      </w:r>
      <w:r w:rsidRPr="00396AA2">
        <w:t>STM index</w:t>
      </w:r>
      <w:r w:rsidRPr="00396AA2">
        <w:rPr>
          <w:rFonts w:eastAsia="Times New Roman"/>
        </w:rPr>
        <w:t xml:space="preserve"> </w:t>
      </w:r>
      <w:r w:rsidR="00DE1333" w:rsidRPr="00396AA2">
        <w:rPr>
          <w:rFonts w:eastAsia="Times New Roman"/>
        </w:rPr>
        <w:t>in</w:t>
      </w:r>
      <w:r w:rsidR="00BC5F5D" w:rsidRPr="00396AA2">
        <w:rPr>
          <w:rFonts w:eastAsia="Times New Roman"/>
        </w:rPr>
        <w:t xml:space="preserve"> month</w:t>
      </w:r>
      <w:r w:rsidR="00DE1333" w:rsidRPr="00396AA2">
        <w:rPr>
          <w:rFonts w:eastAsia="Times New Roman"/>
          <w:i/>
        </w:rPr>
        <w:t xml:space="preserve"> t</w:t>
      </w:r>
      <w:r w:rsidR="00DE1333" w:rsidRPr="00396AA2">
        <w:rPr>
          <w:rFonts w:eastAsia="Times New Roman"/>
        </w:rPr>
        <w:t>-1</w:t>
      </w:r>
      <w:r w:rsidR="00BC5F5D" w:rsidRPr="00396AA2">
        <w:rPr>
          <w:rFonts w:eastAsia="Times New Roman"/>
        </w:rPr>
        <w:t xml:space="preserve"> </w:t>
      </w:r>
      <w:r w:rsidRPr="00396AA2">
        <w:rPr>
          <w:rFonts w:eastAsia="Times New Roman"/>
        </w:rPr>
        <w:t xml:space="preserve">is positive (negative). </w:t>
      </w:r>
      <w:proofErr w:type="gramStart"/>
      <w:r w:rsidR="00BC5F5D" w:rsidRPr="00396AA2">
        <w:rPr>
          <w:rFonts w:eastAsia="Times New Roman"/>
        </w:rPr>
        <w:t>Next</w:t>
      </w:r>
      <w:proofErr w:type="gramEnd"/>
      <w:r w:rsidR="003421DB" w:rsidRPr="00396AA2">
        <w:rPr>
          <w:rFonts w:eastAsia="Times New Roman"/>
        </w:rPr>
        <w:t xml:space="preserve"> we classify </w:t>
      </w:r>
      <w:r w:rsidRPr="00396AA2">
        <w:rPr>
          <w:rFonts w:eastAsia="Times New Roman"/>
        </w:rPr>
        <w:t xml:space="preserve">month </w:t>
      </w:r>
      <w:r w:rsidRPr="00396AA2">
        <w:rPr>
          <w:rFonts w:eastAsia="Times New Roman"/>
          <w:i/>
        </w:rPr>
        <w:t>t</w:t>
      </w:r>
      <w:r w:rsidRPr="00396AA2">
        <w:rPr>
          <w:rFonts w:eastAsia="Times New Roman"/>
        </w:rPr>
        <w:t xml:space="preserve"> as </w:t>
      </w:r>
      <w:r w:rsidR="003421DB" w:rsidRPr="00396AA2">
        <w:rPr>
          <w:rFonts w:eastAsia="Times New Roman"/>
        </w:rPr>
        <w:t xml:space="preserve">a </w:t>
      </w:r>
      <w:r w:rsidRPr="00396AA2">
        <w:rPr>
          <w:rFonts w:eastAsia="Times New Roman"/>
        </w:rPr>
        <w:t xml:space="preserve">High (Low) sentiment state if </w:t>
      </w:r>
      <w:r w:rsidRPr="00396AA2">
        <w:t>▲STM index</w:t>
      </w:r>
      <w:r w:rsidRPr="00396AA2">
        <w:rPr>
          <w:rFonts w:eastAsia="Times New Roman"/>
        </w:rPr>
        <w:t xml:space="preserve"> in month </w:t>
      </w:r>
      <w:r w:rsidRPr="00396AA2">
        <w:rPr>
          <w:rFonts w:eastAsia="Times New Roman"/>
          <w:i/>
        </w:rPr>
        <w:t>t</w:t>
      </w:r>
      <w:r w:rsidRPr="00396AA2">
        <w:rPr>
          <w:rFonts w:eastAsia="Times New Roman"/>
        </w:rPr>
        <w:t xml:space="preserve"> is positive (negative).</w:t>
      </w:r>
      <w:r w:rsidRPr="00E65AA7">
        <w:rPr>
          <w:rFonts w:eastAsia="Times New Roman"/>
        </w:rPr>
        <w:t xml:space="preserve"> </w:t>
      </w:r>
      <w:r w:rsidR="00DE1333">
        <w:rPr>
          <w:rFonts w:eastAsia="Times New Roman"/>
        </w:rPr>
        <w:t>We use</w:t>
      </w:r>
      <w:r w:rsidRPr="00E65AA7">
        <w:rPr>
          <w:rFonts w:eastAsia="Times New Roman"/>
        </w:rPr>
        <w:t xml:space="preserve"> H/H (L/L) </w:t>
      </w:r>
      <w:r w:rsidR="00DE1333">
        <w:rPr>
          <w:rFonts w:eastAsia="Times New Roman"/>
        </w:rPr>
        <w:t xml:space="preserve">to </w:t>
      </w:r>
      <w:r w:rsidRPr="00E65AA7">
        <w:rPr>
          <w:rFonts w:eastAsia="Times New Roman"/>
        </w:rPr>
        <w:t xml:space="preserve">represent sentiment </w:t>
      </w:r>
      <w:r>
        <w:rPr>
          <w:rFonts w:eastAsia="Times New Roman"/>
        </w:rPr>
        <w:t>continuation</w:t>
      </w:r>
      <w:r w:rsidR="00591173">
        <w:rPr>
          <w:rFonts w:eastAsia="Times New Roman"/>
        </w:rPr>
        <w:t xml:space="preserve"> </w:t>
      </w:r>
      <w:r w:rsidRPr="00E65AA7">
        <w:rPr>
          <w:rFonts w:eastAsia="Times New Roman"/>
        </w:rPr>
        <w:t xml:space="preserve">in the High (Low) states, </w:t>
      </w:r>
      <w:r w:rsidR="00DE1333">
        <w:rPr>
          <w:rFonts w:eastAsia="Times New Roman"/>
        </w:rPr>
        <w:t xml:space="preserve">and </w:t>
      </w:r>
      <w:r w:rsidRPr="00E65AA7">
        <w:rPr>
          <w:rFonts w:eastAsia="Times New Roman"/>
        </w:rPr>
        <w:t xml:space="preserve">H/L (L/H) </w:t>
      </w:r>
      <w:r w:rsidR="00DE1333">
        <w:rPr>
          <w:rFonts w:eastAsia="Times New Roman"/>
        </w:rPr>
        <w:t>to represent</w:t>
      </w:r>
      <w:r w:rsidRPr="00E65AA7">
        <w:rPr>
          <w:rFonts w:eastAsia="Times New Roman"/>
        </w:rPr>
        <w:t xml:space="preserve"> the transition in sentiment from High to Low (Low to High) states.</w:t>
      </w:r>
    </w:p>
    <w:p w14:paraId="01B7A6A9" w14:textId="2D3EE3DC" w:rsidR="00DA0D07" w:rsidRPr="00DA0D07" w:rsidRDefault="00352116" w:rsidP="00DA0D07">
      <w:pPr>
        <w:widowControl w:val="0"/>
        <w:spacing w:line="480" w:lineRule="auto"/>
        <w:ind w:firstLine="720"/>
        <w:rPr>
          <w:rFonts w:eastAsia="Times New Roman"/>
        </w:rPr>
      </w:pPr>
      <w:r w:rsidRPr="00E65AA7">
        <w:rPr>
          <w:rFonts w:eastAsia="Times New Roman"/>
        </w:rPr>
        <w:t xml:space="preserve">Table </w:t>
      </w:r>
      <w:r w:rsidR="00031160">
        <w:rPr>
          <w:rFonts w:eastAsia="Times New Roman"/>
        </w:rPr>
        <w:t>4</w:t>
      </w:r>
      <w:r w:rsidR="00031160" w:rsidRPr="00E65AA7">
        <w:rPr>
          <w:rFonts w:eastAsia="Times New Roman"/>
        </w:rPr>
        <w:t xml:space="preserve"> </w:t>
      </w:r>
      <w:r w:rsidRPr="00E65AA7">
        <w:rPr>
          <w:rFonts w:eastAsia="Times New Roman"/>
        </w:rPr>
        <w:t>provides the average monthly returns of characteristic</w:t>
      </w:r>
      <w:r w:rsidR="00F13637">
        <w:rPr>
          <w:rFonts w:eastAsia="Times New Roman"/>
        </w:rPr>
        <w:t>-sorted</w:t>
      </w:r>
      <w:r w:rsidRPr="00E65AA7">
        <w:rPr>
          <w:rFonts w:eastAsia="Times New Roman"/>
        </w:rPr>
        <w:t xml:space="preserve"> decile</w:t>
      </w:r>
      <w:r w:rsidR="00F13637">
        <w:rPr>
          <w:rFonts w:eastAsia="Times New Roman"/>
        </w:rPr>
        <w:t xml:space="preserve"> portfolios</w:t>
      </w:r>
      <w:r w:rsidRPr="00E65AA7">
        <w:rPr>
          <w:rFonts w:eastAsia="Times New Roman"/>
        </w:rPr>
        <w:t xml:space="preserve"> </w:t>
      </w:r>
      <w:r w:rsidR="007F0668">
        <w:rPr>
          <w:rFonts w:eastAsia="Times New Roman"/>
        </w:rPr>
        <w:t xml:space="preserve">conditioned on sentiment dynamics. It also provides </w:t>
      </w:r>
      <w:r w:rsidRPr="00E65AA7">
        <w:rPr>
          <w:rFonts w:eastAsia="Times New Roman"/>
        </w:rPr>
        <w:t xml:space="preserve">the </w:t>
      </w:r>
      <w:r w:rsidR="00AB0A23">
        <w:rPr>
          <w:rFonts w:eastAsia="Times New Roman"/>
        </w:rPr>
        <w:t>monthly return spread</w:t>
      </w:r>
      <w:r w:rsidRPr="00E65AA7">
        <w:rPr>
          <w:rFonts w:eastAsia="Times New Roman"/>
        </w:rPr>
        <w:t xml:space="preserve"> between </w:t>
      </w:r>
      <w:r w:rsidR="001E3725">
        <w:rPr>
          <w:rFonts w:eastAsia="Times New Roman"/>
        </w:rPr>
        <w:t>the extreme deciles</w:t>
      </w:r>
      <w:r w:rsidRPr="00E65AA7">
        <w:rPr>
          <w:rFonts w:eastAsia="Times New Roman"/>
        </w:rPr>
        <w:t xml:space="preserve"> (P1</w:t>
      </w:r>
      <w:r w:rsidR="00BF2EBC">
        <w:rPr>
          <w:rFonts w:eastAsia="Times New Roman"/>
        </w:rPr>
        <w:t>0-P1</w:t>
      </w:r>
      <w:r w:rsidRPr="00E65AA7">
        <w:rPr>
          <w:rFonts w:eastAsia="Times New Roman"/>
        </w:rPr>
        <w:t>). The extreme left column provides the average monthly returns of firm</w:t>
      </w:r>
      <w:r w:rsidR="00F13637">
        <w:rPr>
          <w:rFonts w:eastAsia="Times New Roman"/>
        </w:rPr>
        <w:t>s</w:t>
      </w:r>
      <w:r w:rsidRPr="00E65AA7">
        <w:rPr>
          <w:rFonts w:eastAsia="Times New Roman"/>
        </w:rPr>
        <w:t xml:space="preserve"> </w:t>
      </w:r>
      <w:r w:rsidR="00F13637">
        <w:rPr>
          <w:rFonts w:eastAsia="Times New Roman"/>
        </w:rPr>
        <w:t xml:space="preserve">with </w:t>
      </w:r>
      <w:r w:rsidRPr="00E65AA7">
        <w:rPr>
          <w:rFonts w:eastAsia="Times New Roman"/>
        </w:rPr>
        <w:t>characteristic values equal or less than zero.</w:t>
      </w:r>
      <w:r w:rsidRPr="00E65AA7">
        <w:rPr>
          <w:rStyle w:val="FootnoteReference"/>
          <w:rFonts w:eastAsia="Times New Roman"/>
        </w:rPr>
        <w:footnoteReference w:id="11"/>
      </w:r>
      <w:r w:rsidRPr="00E65AA7">
        <w:rPr>
          <w:rFonts w:eastAsia="Times New Roman"/>
        </w:rPr>
        <w:t xml:space="preserve"> The extreme right column shows the difference between average monthly returns of firm</w:t>
      </w:r>
      <w:r w:rsidR="001E3725">
        <w:rPr>
          <w:rFonts w:eastAsia="Times New Roman"/>
        </w:rPr>
        <w:t>s that have</w:t>
      </w:r>
      <w:r w:rsidRPr="00E65AA7">
        <w:rPr>
          <w:rFonts w:eastAsia="Times New Roman"/>
        </w:rPr>
        <w:t xml:space="preserve"> characteristic values equal or less than zero and </w:t>
      </w:r>
      <w:r w:rsidR="001E3725">
        <w:rPr>
          <w:rFonts w:eastAsia="Times New Roman"/>
        </w:rPr>
        <w:t xml:space="preserve">firms that have characteristic values </w:t>
      </w:r>
      <w:r w:rsidRPr="00E65AA7">
        <w:rPr>
          <w:rFonts w:eastAsia="Times New Roman"/>
        </w:rPr>
        <w:t>above zero.</w:t>
      </w:r>
      <w:r w:rsidRPr="00E65AA7">
        <w:rPr>
          <w:rStyle w:val="FootnoteReference"/>
          <w:rFonts w:eastAsia="Times New Roman"/>
        </w:rPr>
        <w:footnoteReference w:id="12"/>
      </w:r>
      <w:r w:rsidR="0050010A" w:rsidRPr="0050010A">
        <w:rPr>
          <w:rFonts w:eastAsia="Times New Roman"/>
        </w:rPr>
        <w:t xml:space="preserve"> </w:t>
      </w:r>
    </w:p>
    <w:p w14:paraId="0CECC0C1" w14:textId="167DB4F7" w:rsidR="00E860CF" w:rsidRPr="008F122B" w:rsidRDefault="0050010A" w:rsidP="00E860CF">
      <w:pPr>
        <w:widowControl w:val="0"/>
        <w:spacing w:line="480" w:lineRule="auto"/>
        <w:ind w:firstLine="720"/>
        <w:rPr>
          <w:rFonts w:eastAsia="Times New Roman"/>
        </w:rPr>
      </w:pPr>
      <w:r w:rsidRPr="008F122B">
        <w:rPr>
          <w:rFonts w:eastAsia="Times New Roman"/>
        </w:rPr>
        <w:t>The results reported in Table 4 are all consistent</w:t>
      </w:r>
      <w:r w:rsidR="00E860CF" w:rsidRPr="008F122B">
        <w:rPr>
          <w:rFonts w:eastAsia="Times New Roman"/>
        </w:rPr>
        <w:t xml:space="preserve"> with the first hypothesis that the average future returns of HVHA stocks would be higher (lower) than EVEA stocks if </w:t>
      </w:r>
      <w:r w:rsidR="00E860CF" w:rsidRPr="008F122B">
        <w:rPr>
          <w:rFonts w:eastAsia="Times New Roman"/>
        </w:rPr>
        <w:lastRenderedPageBreak/>
        <w:t xml:space="preserve">sentiment </w:t>
      </w:r>
      <w:r w:rsidR="00E860CF" w:rsidRPr="008F122B">
        <w:rPr>
          <w:rFonts w:eastAsia="Times New Roman"/>
          <w:i/>
        </w:rPr>
        <w:t>continues</w:t>
      </w:r>
      <w:r w:rsidR="00E860CF" w:rsidRPr="008F122B">
        <w:rPr>
          <w:rFonts w:eastAsia="Times New Roman"/>
        </w:rPr>
        <w:t xml:space="preserve"> in the High (Low) state, while the average future returns of HVHA stocks would be lower (higher) than EVEA stocks if the subsequent sentiment </w:t>
      </w:r>
      <w:r w:rsidR="00E860CF" w:rsidRPr="008F122B">
        <w:rPr>
          <w:rFonts w:eastAsia="Times New Roman"/>
          <w:i/>
        </w:rPr>
        <w:t>transitions</w:t>
      </w:r>
      <w:r w:rsidR="00E860CF" w:rsidRPr="008F122B">
        <w:rPr>
          <w:rFonts w:eastAsia="Times New Roman"/>
        </w:rPr>
        <w:t xml:space="preserve"> to a Low (High) state.</w:t>
      </w:r>
    </w:p>
    <w:p w14:paraId="39183764" w14:textId="5F4040AD" w:rsidR="00E405A4" w:rsidRPr="00D4227E" w:rsidRDefault="00E405A4" w:rsidP="00DA0D07">
      <w:pPr>
        <w:widowControl w:val="0"/>
        <w:spacing w:line="480" w:lineRule="auto"/>
        <w:ind w:firstLine="720"/>
        <w:rPr>
          <w:noProof/>
        </w:rPr>
      </w:pPr>
      <w:r w:rsidRPr="00D4227E">
        <w:rPr>
          <w:noProof/>
        </w:rPr>
        <w:t>Panel A of Table 4 reports the returns of volatility-sorted portfolios conditioned on sentiment dynamics with P1</w:t>
      </w:r>
      <w:r w:rsidR="002B35A4" w:rsidRPr="00D4227E">
        <w:rPr>
          <w:noProof/>
        </w:rPr>
        <w:t>0</w:t>
      </w:r>
      <w:r w:rsidRPr="00D4227E">
        <w:rPr>
          <w:noProof/>
        </w:rPr>
        <w:t xml:space="preserve"> (P1) </w:t>
      </w:r>
      <w:r w:rsidR="00454F5B" w:rsidRPr="00D4227E">
        <w:rPr>
          <w:noProof/>
        </w:rPr>
        <w:t xml:space="preserve">representing </w:t>
      </w:r>
      <w:r w:rsidRPr="00D4227E">
        <w:rPr>
          <w:noProof/>
        </w:rPr>
        <w:t xml:space="preserve">the </w:t>
      </w:r>
      <w:r w:rsidR="002B35A4" w:rsidRPr="00D4227E">
        <w:rPr>
          <w:noProof/>
        </w:rPr>
        <w:t>highest (</w:t>
      </w:r>
      <w:r w:rsidRPr="00D4227E">
        <w:rPr>
          <w:noProof/>
        </w:rPr>
        <w:t>lowest</w:t>
      </w:r>
      <w:r w:rsidR="002B35A4" w:rsidRPr="00D4227E">
        <w:rPr>
          <w:noProof/>
        </w:rPr>
        <w:t>)</w:t>
      </w:r>
      <w:r w:rsidRPr="00D4227E">
        <w:rPr>
          <w:noProof/>
        </w:rPr>
        <w:t xml:space="preserve"> volatility decile portfolio.</w:t>
      </w:r>
      <w:r w:rsidR="00EE5200">
        <w:rPr>
          <w:noProof/>
        </w:rPr>
        <w:t xml:space="preserve"> </w:t>
      </w:r>
      <w:r w:rsidRPr="00D4227E">
        <w:rPr>
          <w:noProof/>
        </w:rPr>
        <w:t>The results</w:t>
      </w:r>
      <w:r w:rsidR="002B35A4" w:rsidRPr="00D4227E">
        <w:rPr>
          <w:noProof/>
        </w:rPr>
        <w:t xml:space="preserve"> show</w:t>
      </w:r>
      <w:r w:rsidRPr="00D4227E">
        <w:rPr>
          <w:noProof/>
        </w:rPr>
        <w:t xml:space="preserve"> a </w:t>
      </w:r>
      <w:r w:rsidR="002B35A4" w:rsidRPr="00D4227E">
        <w:rPr>
          <w:noProof/>
        </w:rPr>
        <w:t xml:space="preserve">positive </w:t>
      </w:r>
      <w:r w:rsidRPr="00D4227E">
        <w:rPr>
          <w:noProof/>
        </w:rPr>
        <w:t xml:space="preserve">P10-P1 return spread of 1.70% </w:t>
      </w:r>
      <w:r w:rsidR="002B35A4" w:rsidRPr="00D4227E">
        <w:rPr>
          <w:noProof/>
        </w:rPr>
        <w:t xml:space="preserve">per month </w:t>
      </w:r>
      <w:r w:rsidRPr="00D4227E">
        <w:rPr>
          <w:noProof/>
        </w:rPr>
        <w:t xml:space="preserve">in H/H state, suggesting that high volatility stocks </w:t>
      </w:r>
      <w:r w:rsidR="002B35A4" w:rsidRPr="00D4227E">
        <w:rPr>
          <w:noProof/>
        </w:rPr>
        <w:t xml:space="preserve">remain </w:t>
      </w:r>
      <w:r w:rsidRPr="00D4227E">
        <w:rPr>
          <w:noProof/>
        </w:rPr>
        <w:t>overpriced compared with low volatility stocks</w:t>
      </w:r>
      <w:r w:rsidR="002B35A4" w:rsidRPr="00D4227E">
        <w:rPr>
          <w:noProof/>
        </w:rPr>
        <w:t xml:space="preserve"> when sentiment continues in a High state</w:t>
      </w:r>
      <w:r w:rsidRPr="00D4227E">
        <w:rPr>
          <w:noProof/>
        </w:rPr>
        <w:t>. However, the overpricing is corrected when sentiment transitions to the Low (H/L) state, w</w:t>
      </w:r>
      <w:r w:rsidR="002B35A4" w:rsidRPr="00D4227E">
        <w:rPr>
          <w:noProof/>
        </w:rPr>
        <w:t>here the</w:t>
      </w:r>
      <w:r w:rsidRPr="00D4227E">
        <w:rPr>
          <w:noProof/>
        </w:rPr>
        <w:t xml:space="preserve"> P10-P1 spread </w:t>
      </w:r>
      <w:r w:rsidR="002B35A4" w:rsidRPr="00D4227E">
        <w:rPr>
          <w:noProof/>
        </w:rPr>
        <w:t>turns negative</w:t>
      </w:r>
      <w:r w:rsidR="003A0163" w:rsidRPr="00D4227E">
        <w:rPr>
          <w:noProof/>
        </w:rPr>
        <w:t>,</w:t>
      </w:r>
      <w:r w:rsidR="00D77549">
        <w:rPr>
          <w:noProof/>
        </w:rPr>
        <w:t xml:space="preserve"> at</w:t>
      </w:r>
      <w:r w:rsidRPr="00D4227E">
        <w:rPr>
          <w:noProof/>
        </w:rPr>
        <w:t xml:space="preserve"> -3.03%. </w:t>
      </w:r>
      <w:r w:rsidR="002B35A4" w:rsidRPr="00D4227E">
        <w:rPr>
          <w:noProof/>
        </w:rPr>
        <w:t>In contrast</w:t>
      </w:r>
      <w:r w:rsidRPr="00D4227E">
        <w:rPr>
          <w:noProof/>
        </w:rPr>
        <w:t xml:space="preserve">, high volatility stocks remain underpriced compared with low volatility stocks when sentiment continues in the Low state (L/L) </w:t>
      </w:r>
      <w:r w:rsidR="00A75AA1" w:rsidRPr="00D4227E">
        <w:rPr>
          <w:noProof/>
        </w:rPr>
        <w:t xml:space="preserve">with a negative </w:t>
      </w:r>
      <w:r w:rsidRPr="00D4227E">
        <w:rPr>
          <w:noProof/>
        </w:rPr>
        <w:t>P10</w:t>
      </w:r>
      <w:r w:rsidR="00A75AA1" w:rsidRPr="00D4227E">
        <w:rPr>
          <w:noProof/>
        </w:rPr>
        <w:t>-P1 spread of</w:t>
      </w:r>
      <w:r w:rsidRPr="00D4227E">
        <w:rPr>
          <w:noProof/>
        </w:rPr>
        <w:t xml:space="preserve"> </w:t>
      </w:r>
      <w:r w:rsidR="00454F5B" w:rsidRPr="00D4227E">
        <w:rPr>
          <w:noProof/>
        </w:rPr>
        <w:t>-</w:t>
      </w:r>
      <w:r w:rsidRPr="00D4227E">
        <w:rPr>
          <w:noProof/>
        </w:rPr>
        <w:t>1.58%</w:t>
      </w:r>
      <w:r w:rsidR="00A75AA1" w:rsidRPr="00D4227E">
        <w:rPr>
          <w:noProof/>
        </w:rPr>
        <w:t>. However t</w:t>
      </w:r>
      <w:r w:rsidRPr="00D4227E">
        <w:rPr>
          <w:noProof/>
        </w:rPr>
        <w:t>he underpricing of high volatility stocks is corrected when sentiment transitions from High to Low (L/H), where P10</w:t>
      </w:r>
      <w:r w:rsidR="00A75AA1" w:rsidRPr="00D4227E">
        <w:rPr>
          <w:noProof/>
        </w:rPr>
        <w:t>-P1 turns positive</w:t>
      </w:r>
      <w:r w:rsidR="00D77549">
        <w:rPr>
          <w:noProof/>
        </w:rPr>
        <w:t xml:space="preserve"> at</w:t>
      </w:r>
      <w:r w:rsidR="00A75AA1" w:rsidRPr="00D4227E">
        <w:rPr>
          <w:noProof/>
        </w:rPr>
        <w:t xml:space="preserve"> </w:t>
      </w:r>
      <w:r w:rsidRPr="00D4227E">
        <w:rPr>
          <w:noProof/>
        </w:rPr>
        <w:t>3.92%</w:t>
      </w:r>
      <w:r w:rsidR="001169F2" w:rsidRPr="00D4227E">
        <w:rPr>
          <w:noProof/>
        </w:rPr>
        <w:t xml:space="preserve">. These results support the view that the mispricing of stocks is </w:t>
      </w:r>
      <w:r w:rsidR="00C327B7" w:rsidRPr="00D4227E">
        <w:rPr>
          <w:noProof/>
        </w:rPr>
        <w:t>sentiment-driven</w:t>
      </w:r>
      <w:r w:rsidR="005D0D6C">
        <w:rPr>
          <w:noProof/>
        </w:rPr>
        <w:t>,</w:t>
      </w:r>
      <w:r w:rsidR="00C327B7" w:rsidRPr="00D4227E">
        <w:rPr>
          <w:noProof/>
        </w:rPr>
        <w:t xml:space="preserve"> with the mispricing worsening when sentiment continues in the same state but is corrected when sentiment wanes and transitions to the other state</w:t>
      </w:r>
      <w:r w:rsidR="006C18C9">
        <w:rPr>
          <w:noProof/>
        </w:rPr>
        <w:t xml:space="preserve">; however, its impact is more pronounced in high than </w:t>
      </w:r>
      <w:r w:rsidR="00D77549">
        <w:rPr>
          <w:noProof/>
        </w:rPr>
        <w:t xml:space="preserve">in </w:t>
      </w:r>
      <w:r w:rsidR="006C18C9">
        <w:rPr>
          <w:noProof/>
        </w:rPr>
        <w:t xml:space="preserve">low </w:t>
      </w:r>
      <w:r w:rsidR="006C18C9" w:rsidRPr="00766657">
        <w:rPr>
          <w:noProof/>
        </w:rPr>
        <w:t>volatility stocks</w:t>
      </w:r>
      <w:r w:rsidR="00C327B7" w:rsidRPr="00766657">
        <w:rPr>
          <w:noProof/>
        </w:rPr>
        <w:t xml:space="preserve">. </w:t>
      </w:r>
      <w:r w:rsidR="00DA0D07" w:rsidRPr="00766657">
        <w:rPr>
          <w:noProof/>
        </w:rPr>
        <w:t xml:space="preserve">The results </w:t>
      </w:r>
      <w:r w:rsidR="00C327B7" w:rsidRPr="00766657">
        <w:rPr>
          <w:noProof/>
        </w:rPr>
        <w:t>also impl</w:t>
      </w:r>
      <w:r w:rsidR="00DA0D07" w:rsidRPr="00766657">
        <w:rPr>
          <w:noProof/>
        </w:rPr>
        <w:t>y</w:t>
      </w:r>
      <w:r w:rsidR="00C327B7" w:rsidRPr="00766657">
        <w:rPr>
          <w:noProof/>
        </w:rPr>
        <w:t xml:space="preserve"> that sentiment is a momentum predictor </w:t>
      </w:r>
      <w:r w:rsidR="00C327B7" w:rsidRPr="00766657">
        <w:rPr>
          <w:i/>
          <w:noProof/>
        </w:rPr>
        <w:t>ex post</w:t>
      </w:r>
      <w:r w:rsidR="00C327B7" w:rsidRPr="00766657">
        <w:rPr>
          <w:noProof/>
        </w:rPr>
        <w:t xml:space="preserve"> </w:t>
      </w:r>
      <w:r w:rsidR="00DA0D07" w:rsidRPr="00766657">
        <w:rPr>
          <w:noProof/>
        </w:rPr>
        <w:t xml:space="preserve">with returns of both high and low volatility portfolios being higher </w:t>
      </w:r>
      <w:r w:rsidR="004D3F8E" w:rsidRPr="00766657">
        <w:rPr>
          <w:noProof/>
        </w:rPr>
        <w:t xml:space="preserve">(lower) </w:t>
      </w:r>
      <w:r w:rsidR="00DA0D07" w:rsidRPr="00766657">
        <w:rPr>
          <w:noProof/>
        </w:rPr>
        <w:t xml:space="preserve">when the sentiment </w:t>
      </w:r>
      <w:r w:rsidR="0093594B" w:rsidRPr="00766657">
        <w:rPr>
          <w:noProof/>
        </w:rPr>
        <w:t>continues in</w:t>
      </w:r>
      <w:r w:rsidR="004D3F8E" w:rsidRPr="00766657">
        <w:rPr>
          <w:noProof/>
        </w:rPr>
        <w:t xml:space="preserve"> </w:t>
      </w:r>
      <w:r w:rsidR="005D0D6C">
        <w:rPr>
          <w:noProof/>
        </w:rPr>
        <w:t xml:space="preserve">a </w:t>
      </w:r>
      <w:r w:rsidR="00DA0D07" w:rsidRPr="00766657">
        <w:rPr>
          <w:noProof/>
        </w:rPr>
        <w:t>High</w:t>
      </w:r>
      <w:r w:rsidR="004D3F8E" w:rsidRPr="00766657">
        <w:rPr>
          <w:noProof/>
        </w:rPr>
        <w:t xml:space="preserve"> (Low)</w:t>
      </w:r>
      <w:r w:rsidR="0093594B" w:rsidRPr="00766657">
        <w:rPr>
          <w:noProof/>
        </w:rPr>
        <w:t xml:space="preserve"> state relative</w:t>
      </w:r>
      <w:r w:rsidR="00253C7C" w:rsidRPr="00766657">
        <w:rPr>
          <w:noProof/>
        </w:rPr>
        <w:t xml:space="preserve"> to when it tra</w:t>
      </w:r>
      <w:r w:rsidR="0093594B" w:rsidRPr="00766657">
        <w:rPr>
          <w:noProof/>
        </w:rPr>
        <w:t>n</w:t>
      </w:r>
      <w:r w:rsidR="00253C7C" w:rsidRPr="00766657">
        <w:rPr>
          <w:noProof/>
        </w:rPr>
        <w:t>s</w:t>
      </w:r>
      <w:r w:rsidR="0093594B" w:rsidRPr="00766657">
        <w:rPr>
          <w:noProof/>
        </w:rPr>
        <w:t>itions from</w:t>
      </w:r>
      <w:r w:rsidR="005D0D6C">
        <w:rPr>
          <w:noProof/>
        </w:rPr>
        <w:t xml:space="preserve"> a</w:t>
      </w:r>
      <w:r w:rsidR="0093594B" w:rsidRPr="00766657">
        <w:rPr>
          <w:noProof/>
        </w:rPr>
        <w:t xml:space="preserve"> </w:t>
      </w:r>
      <w:r w:rsidR="00F062C0" w:rsidRPr="00766657">
        <w:rPr>
          <w:noProof/>
        </w:rPr>
        <w:t>High to Low (Low to High) state</w:t>
      </w:r>
      <w:r w:rsidR="00DA0D07" w:rsidRPr="00766657">
        <w:rPr>
          <w:noProof/>
        </w:rPr>
        <w:t xml:space="preserve">. </w:t>
      </w:r>
      <w:r w:rsidR="00C327B7" w:rsidRPr="00766657">
        <w:rPr>
          <w:noProof/>
        </w:rPr>
        <w:t xml:space="preserve">In contrast, sentiment is a contrarian predictor </w:t>
      </w:r>
      <w:r w:rsidR="00C327B7" w:rsidRPr="00766657">
        <w:rPr>
          <w:i/>
          <w:noProof/>
        </w:rPr>
        <w:t>ex post</w:t>
      </w:r>
      <w:r w:rsidR="00155CA0">
        <w:rPr>
          <w:noProof/>
        </w:rPr>
        <w:t xml:space="preserve"> </w:t>
      </w:r>
      <w:r w:rsidR="00DA0D07" w:rsidRPr="00766657">
        <w:rPr>
          <w:noProof/>
        </w:rPr>
        <w:t xml:space="preserve">with returns of both high and low volatility portfolios being lower </w:t>
      </w:r>
      <w:r w:rsidR="00135B46" w:rsidRPr="00766657">
        <w:rPr>
          <w:noProof/>
        </w:rPr>
        <w:t xml:space="preserve">(higher) </w:t>
      </w:r>
      <w:r w:rsidR="00DA0D07" w:rsidRPr="00766657">
        <w:rPr>
          <w:noProof/>
        </w:rPr>
        <w:t xml:space="preserve">when the sentiment </w:t>
      </w:r>
      <w:r w:rsidR="00135B46" w:rsidRPr="00766657">
        <w:rPr>
          <w:noProof/>
        </w:rPr>
        <w:t>transitions to</w:t>
      </w:r>
      <w:r w:rsidR="005D0D6C">
        <w:rPr>
          <w:noProof/>
        </w:rPr>
        <w:t xml:space="preserve"> a</w:t>
      </w:r>
      <w:r w:rsidR="00135B46" w:rsidRPr="00766657">
        <w:rPr>
          <w:noProof/>
        </w:rPr>
        <w:t xml:space="preserve"> </w:t>
      </w:r>
      <w:r w:rsidR="00DA0D07" w:rsidRPr="00766657">
        <w:rPr>
          <w:noProof/>
        </w:rPr>
        <w:t>Low</w:t>
      </w:r>
      <w:r w:rsidR="00135B46" w:rsidRPr="00766657">
        <w:rPr>
          <w:noProof/>
        </w:rPr>
        <w:t xml:space="preserve"> (High) state</w:t>
      </w:r>
      <w:r w:rsidR="00F14793" w:rsidRPr="00766657">
        <w:rPr>
          <w:noProof/>
        </w:rPr>
        <w:t xml:space="preserve"> relative to when the sentiment continues in </w:t>
      </w:r>
      <w:r w:rsidR="005D0D6C">
        <w:rPr>
          <w:noProof/>
        </w:rPr>
        <w:t xml:space="preserve">a </w:t>
      </w:r>
      <w:r w:rsidR="00F14793" w:rsidRPr="00766657">
        <w:rPr>
          <w:noProof/>
        </w:rPr>
        <w:t>High (Low) state</w:t>
      </w:r>
      <w:r w:rsidR="00DA0D07" w:rsidRPr="00766657">
        <w:rPr>
          <w:noProof/>
        </w:rPr>
        <w:t>.</w:t>
      </w:r>
      <w:r w:rsidR="00D315D8" w:rsidRPr="00D4227E">
        <w:rPr>
          <w:noProof/>
        </w:rPr>
        <w:t xml:space="preserve"> </w:t>
      </w:r>
    </w:p>
    <w:p w14:paraId="1C6833B8" w14:textId="4A3E8810" w:rsidR="009B44F1" w:rsidRPr="00E65AA7" w:rsidRDefault="00A4549B" w:rsidP="009B44F1">
      <w:pPr>
        <w:widowControl w:val="0"/>
        <w:spacing w:line="480" w:lineRule="auto"/>
        <w:ind w:firstLine="720"/>
        <w:rPr>
          <w:noProof/>
        </w:rPr>
      </w:pPr>
      <w:r>
        <w:rPr>
          <w:noProof/>
        </w:rPr>
        <w:t>These findings are important because they shed new light on the earlier results of Baker and Wurgler (2007) who suggest that investor sentiment is a contrarian predictor of short-run returns.</w:t>
      </w:r>
      <w:r w:rsidR="008B1741">
        <w:rPr>
          <w:noProof/>
        </w:rPr>
        <w:t xml:space="preserve"> </w:t>
      </w:r>
      <w:r w:rsidR="003A0163">
        <w:rPr>
          <w:noProof/>
        </w:rPr>
        <w:t>In particular they find</w:t>
      </w:r>
      <w:r w:rsidR="00155CA0">
        <w:rPr>
          <w:noProof/>
        </w:rPr>
        <w:t xml:space="preserve"> </w:t>
      </w:r>
      <w:r w:rsidR="00DE614E" w:rsidRPr="00E763D5">
        <w:rPr>
          <w:noProof/>
        </w:rPr>
        <w:t xml:space="preserve">that when </w:t>
      </w:r>
      <w:r w:rsidR="00B900B4" w:rsidRPr="00E763D5">
        <w:rPr>
          <w:noProof/>
        </w:rPr>
        <w:t>sentiment is Low (H</w:t>
      </w:r>
      <w:r w:rsidR="00DE614E" w:rsidRPr="00E763D5">
        <w:rPr>
          <w:noProof/>
        </w:rPr>
        <w:t>igh)</w:t>
      </w:r>
      <w:r w:rsidR="000F3CBA" w:rsidRPr="00E763D5">
        <w:rPr>
          <w:noProof/>
        </w:rPr>
        <w:t>,</w:t>
      </w:r>
      <w:r w:rsidR="00DE614E" w:rsidRPr="00E763D5">
        <w:rPr>
          <w:noProof/>
        </w:rPr>
        <w:t xml:space="preserve"> the subsequent </w:t>
      </w:r>
      <w:r w:rsidR="00320370" w:rsidRPr="00E763D5">
        <w:rPr>
          <w:noProof/>
        </w:rPr>
        <w:lastRenderedPageBreak/>
        <w:t xml:space="preserve">(one-month) </w:t>
      </w:r>
      <w:r w:rsidR="00DE614E" w:rsidRPr="00E763D5">
        <w:rPr>
          <w:noProof/>
        </w:rPr>
        <w:t>returns of high volatility stocks</w:t>
      </w:r>
      <w:r w:rsidR="003D633A" w:rsidRPr="00E763D5">
        <w:rPr>
          <w:noProof/>
        </w:rPr>
        <w:t>, P10,</w:t>
      </w:r>
      <w:r w:rsidR="00DE614E" w:rsidRPr="00E763D5">
        <w:rPr>
          <w:noProof/>
        </w:rPr>
        <w:t xml:space="preserve"> are higher (lower) than those of low volatility stocks</w:t>
      </w:r>
      <w:r w:rsidR="003D633A" w:rsidRPr="00E763D5">
        <w:rPr>
          <w:noProof/>
        </w:rPr>
        <w:t>, P1</w:t>
      </w:r>
      <w:r w:rsidR="00DE614E" w:rsidRPr="00E763D5">
        <w:rPr>
          <w:noProof/>
        </w:rPr>
        <w:t>.</w:t>
      </w:r>
      <w:r w:rsidR="00320370" w:rsidRPr="00E763D5">
        <w:rPr>
          <w:noProof/>
        </w:rPr>
        <w:t xml:space="preserve"> </w:t>
      </w:r>
      <w:r w:rsidR="003D633A" w:rsidRPr="00E763D5">
        <w:rPr>
          <w:noProof/>
        </w:rPr>
        <w:t xml:space="preserve">Hence they find a positive (negative) P10-P1 return spread </w:t>
      </w:r>
      <w:r w:rsidR="003A0163">
        <w:rPr>
          <w:noProof/>
        </w:rPr>
        <w:t xml:space="preserve">following </w:t>
      </w:r>
      <w:r w:rsidR="003D633A" w:rsidRPr="00E763D5">
        <w:rPr>
          <w:noProof/>
        </w:rPr>
        <w:t xml:space="preserve">Low (High) sentiment states. </w:t>
      </w:r>
      <w:r w:rsidRPr="00E763D5">
        <w:rPr>
          <w:noProof/>
        </w:rPr>
        <w:t xml:space="preserve">Our new evidence </w:t>
      </w:r>
      <w:r w:rsidR="00447347" w:rsidRPr="00E763D5">
        <w:rPr>
          <w:noProof/>
        </w:rPr>
        <w:t xml:space="preserve">which accounts for </w:t>
      </w:r>
      <w:r w:rsidR="003A0163">
        <w:rPr>
          <w:noProof/>
        </w:rPr>
        <w:t>investor s</w:t>
      </w:r>
      <w:r w:rsidR="00447347" w:rsidRPr="00E763D5">
        <w:rPr>
          <w:noProof/>
        </w:rPr>
        <w:t xml:space="preserve">entiment in the subsequent month </w:t>
      </w:r>
      <w:r w:rsidRPr="00E763D5">
        <w:rPr>
          <w:noProof/>
        </w:rPr>
        <w:t xml:space="preserve">clearly </w:t>
      </w:r>
      <w:r w:rsidR="00B900B4" w:rsidRPr="00E763D5">
        <w:rPr>
          <w:noProof/>
        </w:rPr>
        <w:t>illustrates</w:t>
      </w:r>
      <w:r w:rsidRPr="00E763D5">
        <w:rPr>
          <w:noProof/>
        </w:rPr>
        <w:t xml:space="preserve"> </w:t>
      </w:r>
      <w:r w:rsidR="00320370" w:rsidRPr="00E763D5">
        <w:rPr>
          <w:noProof/>
        </w:rPr>
        <w:t>that this is not always the case.</w:t>
      </w:r>
      <w:r w:rsidR="00DE614E" w:rsidRPr="00E763D5">
        <w:rPr>
          <w:noProof/>
        </w:rPr>
        <w:t xml:space="preserve"> </w:t>
      </w:r>
      <w:r w:rsidR="00B900B4" w:rsidRPr="00E763D5">
        <w:rPr>
          <w:noProof/>
        </w:rPr>
        <w:t xml:space="preserve">The P10-P1 spread is </w:t>
      </w:r>
      <w:r w:rsidR="003A0163">
        <w:rPr>
          <w:noProof/>
        </w:rPr>
        <w:t xml:space="preserve">positive, not </w:t>
      </w:r>
      <w:r w:rsidR="00B900B4" w:rsidRPr="00E763D5">
        <w:rPr>
          <w:noProof/>
        </w:rPr>
        <w:t>negative,</w:t>
      </w:r>
      <w:r w:rsidR="003A0163">
        <w:rPr>
          <w:noProof/>
        </w:rPr>
        <w:t xml:space="preserve"> following High sentiment states </w:t>
      </w:r>
      <w:r w:rsidR="00B900B4" w:rsidRPr="00E763D5">
        <w:rPr>
          <w:noProof/>
        </w:rPr>
        <w:t>when sentiment continues in the High state</w:t>
      </w:r>
      <w:r w:rsidR="00BA58C1">
        <w:rPr>
          <w:noProof/>
        </w:rPr>
        <w:t>;</w:t>
      </w:r>
      <w:r w:rsidR="00B900B4" w:rsidRPr="00E763D5">
        <w:rPr>
          <w:noProof/>
        </w:rPr>
        <w:t xml:space="preserve"> while it is </w:t>
      </w:r>
      <w:r w:rsidR="003A0163">
        <w:rPr>
          <w:noProof/>
        </w:rPr>
        <w:t>negative</w:t>
      </w:r>
      <w:r w:rsidR="00B900B4" w:rsidRPr="00E763D5">
        <w:rPr>
          <w:noProof/>
        </w:rPr>
        <w:t xml:space="preserve">, not </w:t>
      </w:r>
      <w:r w:rsidR="003A0163">
        <w:rPr>
          <w:noProof/>
        </w:rPr>
        <w:t>positive</w:t>
      </w:r>
      <w:r w:rsidR="00B900B4" w:rsidRPr="00E763D5">
        <w:rPr>
          <w:noProof/>
        </w:rPr>
        <w:t xml:space="preserve">, </w:t>
      </w:r>
      <w:r w:rsidR="003A0163">
        <w:rPr>
          <w:noProof/>
        </w:rPr>
        <w:t xml:space="preserve">following Low sentiment states </w:t>
      </w:r>
      <w:r w:rsidR="00B900B4" w:rsidRPr="00E763D5">
        <w:rPr>
          <w:noProof/>
        </w:rPr>
        <w:t>when sentiment continues in the Low state. W</w:t>
      </w:r>
      <w:r w:rsidR="00320370" w:rsidRPr="00E763D5">
        <w:rPr>
          <w:noProof/>
        </w:rPr>
        <w:t>e show</w:t>
      </w:r>
      <w:r w:rsidR="00EE3E43" w:rsidRPr="00E763D5">
        <w:rPr>
          <w:noProof/>
        </w:rPr>
        <w:t xml:space="preserve"> </w:t>
      </w:r>
      <w:r w:rsidR="008B1741" w:rsidRPr="00E763D5">
        <w:rPr>
          <w:noProof/>
        </w:rPr>
        <w:t xml:space="preserve">that </w:t>
      </w:r>
      <w:r w:rsidR="00125F9A">
        <w:rPr>
          <w:noProof/>
        </w:rPr>
        <w:t xml:space="preserve">the contrarian return predictive ability of sentiment in the U.S. is </w:t>
      </w:r>
      <w:r w:rsidR="001000C1" w:rsidRPr="00E763D5">
        <w:rPr>
          <w:noProof/>
        </w:rPr>
        <w:t xml:space="preserve">the consequence of the P10-P1 spread </w:t>
      </w:r>
      <w:r w:rsidR="004F3338" w:rsidRPr="00E763D5">
        <w:rPr>
          <w:noProof/>
        </w:rPr>
        <w:t>in L/H at 3.92</w:t>
      </w:r>
      <w:r w:rsidR="001000C1" w:rsidRPr="00E763D5">
        <w:rPr>
          <w:noProof/>
        </w:rPr>
        <w:t xml:space="preserve">% </w:t>
      </w:r>
      <w:r w:rsidR="00B900B4" w:rsidRPr="00E763D5">
        <w:rPr>
          <w:noProof/>
        </w:rPr>
        <w:t>exceeding</w:t>
      </w:r>
      <w:r w:rsidR="001000C1" w:rsidRPr="00E763D5">
        <w:rPr>
          <w:noProof/>
        </w:rPr>
        <w:t xml:space="preserve"> the P10-P1 spread in L/L at -1.58%</w:t>
      </w:r>
      <w:r w:rsidR="003A0163">
        <w:rPr>
          <w:noProof/>
        </w:rPr>
        <w:t xml:space="preserve"> which results in a </w:t>
      </w:r>
      <w:r w:rsidR="00B900B4" w:rsidRPr="00E763D5">
        <w:rPr>
          <w:noProof/>
        </w:rPr>
        <w:t xml:space="preserve">positive </w:t>
      </w:r>
      <w:r w:rsidR="00B900B4" w:rsidRPr="00E763D5">
        <w:rPr>
          <w:i/>
          <w:noProof/>
        </w:rPr>
        <w:t>net</w:t>
      </w:r>
      <w:r w:rsidR="00B900B4" w:rsidRPr="00E763D5">
        <w:rPr>
          <w:noProof/>
        </w:rPr>
        <w:t xml:space="preserve"> P10-P1 spread </w:t>
      </w:r>
      <w:r w:rsidR="00C760BC" w:rsidRPr="00E763D5">
        <w:rPr>
          <w:noProof/>
        </w:rPr>
        <w:t xml:space="preserve">following </w:t>
      </w:r>
      <w:r w:rsidR="001000C1" w:rsidRPr="00E763D5">
        <w:rPr>
          <w:noProof/>
        </w:rPr>
        <w:t>Low</w:t>
      </w:r>
      <w:r w:rsidR="00B900B4" w:rsidRPr="00E763D5">
        <w:rPr>
          <w:noProof/>
        </w:rPr>
        <w:t xml:space="preserve"> sentiment states</w:t>
      </w:r>
      <w:r w:rsidR="001000C1" w:rsidRPr="00E763D5">
        <w:rPr>
          <w:noProof/>
        </w:rPr>
        <w:t xml:space="preserve">. Similarly, </w:t>
      </w:r>
      <w:r w:rsidR="003D633A" w:rsidRPr="00E763D5">
        <w:rPr>
          <w:noProof/>
        </w:rPr>
        <w:t xml:space="preserve">the </w:t>
      </w:r>
      <w:r w:rsidR="00125F9A">
        <w:rPr>
          <w:noProof/>
        </w:rPr>
        <w:t xml:space="preserve">negative </w:t>
      </w:r>
      <w:r w:rsidR="001000C1" w:rsidRPr="00E763D5">
        <w:rPr>
          <w:noProof/>
        </w:rPr>
        <w:t xml:space="preserve">P10-P1 </w:t>
      </w:r>
      <w:r w:rsidR="003D633A" w:rsidRPr="00E763D5">
        <w:rPr>
          <w:noProof/>
        </w:rPr>
        <w:t xml:space="preserve">spread </w:t>
      </w:r>
      <w:r w:rsidR="001000C1" w:rsidRPr="00E763D5">
        <w:rPr>
          <w:noProof/>
        </w:rPr>
        <w:t>in H</w:t>
      </w:r>
      <w:r w:rsidR="005A5AAA" w:rsidRPr="00E763D5">
        <w:rPr>
          <w:noProof/>
        </w:rPr>
        <w:t xml:space="preserve">/L </w:t>
      </w:r>
      <w:r w:rsidR="001D6536">
        <w:rPr>
          <w:noProof/>
        </w:rPr>
        <w:t>at</w:t>
      </w:r>
      <w:r w:rsidR="005A5AAA" w:rsidRPr="00E763D5">
        <w:rPr>
          <w:noProof/>
        </w:rPr>
        <w:t xml:space="preserve"> -3.30%</w:t>
      </w:r>
      <w:r w:rsidR="00C7409E" w:rsidRPr="00E763D5">
        <w:rPr>
          <w:noProof/>
        </w:rPr>
        <w:t xml:space="preserve"> </w:t>
      </w:r>
      <w:r w:rsidR="00125F9A">
        <w:rPr>
          <w:noProof/>
        </w:rPr>
        <w:t xml:space="preserve">exceeds (in absolute </w:t>
      </w:r>
      <w:r w:rsidR="001D6536">
        <w:rPr>
          <w:noProof/>
        </w:rPr>
        <w:t>terms</w:t>
      </w:r>
      <w:r w:rsidR="00125F9A">
        <w:rPr>
          <w:noProof/>
        </w:rPr>
        <w:t xml:space="preserve">) the positive spread of </w:t>
      </w:r>
      <w:r w:rsidR="005A5AAA" w:rsidRPr="00E763D5">
        <w:rPr>
          <w:noProof/>
        </w:rPr>
        <w:t>1.70</w:t>
      </w:r>
      <w:r w:rsidR="00EE3E43" w:rsidRPr="00E763D5">
        <w:rPr>
          <w:noProof/>
        </w:rPr>
        <w:t>% in H/H</w:t>
      </w:r>
      <w:r w:rsidR="001D6536">
        <w:rPr>
          <w:noProof/>
        </w:rPr>
        <w:t xml:space="preserve"> which results in a </w:t>
      </w:r>
      <w:r w:rsidR="00B900B4" w:rsidRPr="00E763D5">
        <w:rPr>
          <w:noProof/>
        </w:rPr>
        <w:t xml:space="preserve">negative </w:t>
      </w:r>
      <w:r w:rsidR="008B1741" w:rsidRPr="00E763D5">
        <w:rPr>
          <w:i/>
          <w:noProof/>
        </w:rPr>
        <w:t>net</w:t>
      </w:r>
      <w:r w:rsidR="003D633A" w:rsidRPr="00E763D5">
        <w:rPr>
          <w:noProof/>
        </w:rPr>
        <w:t xml:space="preserve"> </w:t>
      </w:r>
      <w:r w:rsidR="001000C1" w:rsidRPr="00E763D5">
        <w:rPr>
          <w:noProof/>
        </w:rPr>
        <w:t xml:space="preserve">P10-P1 </w:t>
      </w:r>
      <w:r w:rsidR="008B1741" w:rsidRPr="00E763D5">
        <w:rPr>
          <w:noProof/>
        </w:rPr>
        <w:t xml:space="preserve">spread </w:t>
      </w:r>
      <w:r w:rsidR="00C760BC" w:rsidRPr="00E763D5">
        <w:rPr>
          <w:noProof/>
        </w:rPr>
        <w:t xml:space="preserve">following </w:t>
      </w:r>
      <w:r w:rsidR="00B900B4" w:rsidRPr="00E763D5">
        <w:rPr>
          <w:noProof/>
        </w:rPr>
        <w:t>High sentiment states</w:t>
      </w:r>
      <w:r w:rsidR="001000C1" w:rsidRPr="00E763D5">
        <w:rPr>
          <w:noProof/>
        </w:rPr>
        <w:t>.</w:t>
      </w:r>
      <w:r w:rsidR="00F01C88" w:rsidRPr="00E763D5">
        <w:rPr>
          <w:noProof/>
        </w:rPr>
        <w:t xml:space="preserve"> </w:t>
      </w:r>
    </w:p>
    <w:p w14:paraId="20CF939E" w14:textId="346D457A" w:rsidR="00C02DF4" w:rsidRPr="00E65AA7" w:rsidRDefault="00192B22" w:rsidP="00C760BC">
      <w:pPr>
        <w:widowControl w:val="0"/>
        <w:spacing w:line="480" w:lineRule="auto"/>
        <w:ind w:firstLine="720"/>
        <w:rPr>
          <w:noProof/>
        </w:rPr>
      </w:pPr>
      <w:r w:rsidRPr="008F122B">
        <w:rPr>
          <w:noProof/>
        </w:rPr>
        <w:t xml:space="preserve">The rest of the panels in Table 4 exhibit similar patterns as </w:t>
      </w:r>
      <w:r w:rsidR="00EE3E43" w:rsidRPr="008F122B">
        <w:rPr>
          <w:noProof/>
        </w:rPr>
        <w:t>in P</w:t>
      </w:r>
      <w:r w:rsidRPr="008F122B">
        <w:rPr>
          <w:noProof/>
        </w:rPr>
        <w:t xml:space="preserve">anel </w:t>
      </w:r>
      <w:r w:rsidR="00EE3E43" w:rsidRPr="008F122B">
        <w:rPr>
          <w:noProof/>
        </w:rPr>
        <w:t xml:space="preserve">A. </w:t>
      </w:r>
      <w:r w:rsidR="00C02DF4" w:rsidRPr="00D4227E">
        <w:rPr>
          <w:noProof/>
        </w:rPr>
        <w:t xml:space="preserve">Panel B reports the returns of age-sorted portfolios with P10 (P1) representing the old (young) firm decile portfolio. We find </w:t>
      </w:r>
      <w:r w:rsidR="00BC4811" w:rsidRPr="00D4227E">
        <w:rPr>
          <w:noProof/>
        </w:rPr>
        <w:t xml:space="preserve">a </w:t>
      </w:r>
      <w:r w:rsidR="00C02DF4" w:rsidRPr="00D4227E">
        <w:rPr>
          <w:noProof/>
        </w:rPr>
        <w:t xml:space="preserve">negative P10-P1 return spread of -0.87% per month in H/H state, </w:t>
      </w:r>
      <w:r w:rsidR="00BC4811" w:rsidRPr="00D4227E">
        <w:rPr>
          <w:noProof/>
        </w:rPr>
        <w:t xml:space="preserve">indicating </w:t>
      </w:r>
      <w:r w:rsidR="00C02DF4" w:rsidRPr="00D4227E">
        <w:rPr>
          <w:noProof/>
        </w:rPr>
        <w:t xml:space="preserve">that young </w:t>
      </w:r>
      <w:r w:rsidR="00BC4811" w:rsidRPr="00D4227E">
        <w:rPr>
          <w:noProof/>
        </w:rPr>
        <w:t>firms</w:t>
      </w:r>
      <w:r w:rsidR="00C02DF4" w:rsidRPr="00D4227E">
        <w:rPr>
          <w:noProof/>
        </w:rPr>
        <w:t xml:space="preserve"> remain overpriced compared with </w:t>
      </w:r>
      <w:r w:rsidR="00BC4811" w:rsidRPr="00D4227E">
        <w:rPr>
          <w:noProof/>
        </w:rPr>
        <w:t>old</w:t>
      </w:r>
      <w:r w:rsidR="00D4227E" w:rsidRPr="00D4227E">
        <w:rPr>
          <w:noProof/>
        </w:rPr>
        <w:t xml:space="preserve"> firms</w:t>
      </w:r>
      <w:r w:rsidR="00C02DF4" w:rsidRPr="00D4227E">
        <w:rPr>
          <w:noProof/>
        </w:rPr>
        <w:t xml:space="preserve"> when sentiment continues in a High state. However, the overpricing is corrected when sentiment transitions to the Low (H/L) state, where the P10-P1 spread turns </w:t>
      </w:r>
      <w:r w:rsidR="00BC4811" w:rsidRPr="00D4227E">
        <w:rPr>
          <w:noProof/>
        </w:rPr>
        <w:t>positive</w:t>
      </w:r>
      <w:r w:rsidR="00C02DF4" w:rsidRPr="00D4227E">
        <w:rPr>
          <w:noProof/>
        </w:rPr>
        <w:t xml:space="preserve">, </w:t>
      </w:r>
      <w:r w:rsidR="00D77549">
        <w:rPr>
          <w:noProof/>
        </w:rPr>
        <w:t>at</w:t>
      </w:r>
      <w:r w:rsidR="00C02DF4" w:rsidRPr="00D4227E">
        <w:rPr>
          <w:noProof/>
        </w:rPr>
        <w:t xml:space="preserve"> </w:t>
      </w:r>
      <w:r w:rsidR="00BC4811" w:rsidRPr="00D4227E">
        <w:rPr>
          <w:noProof/>
        </w:rPr>
        <w:t>1.82</w:t>
      </w:r>
      <w:r w:rsidR="00C02DF4" w:rsidRPr="00D4227E">
        <w:rPr>
          <w:noProof/>
        </w:rPr>
        <w:t xml:space="preserve">%. In contrast, </w:t>
      </w:r>
      <w:r w:rsidR="00BC4811" w:rsidRPr="00D4227E">
        <w:rPr>
          <w:noProof/>
        </w:rPr>
        <w:t>young firms</w:t>
      </w:r>
      <w:r w:rsidR="00C02DF4" w:rsidRPr="00D4227E">
        <w:rPr>
          <w:noProof/>
        </w:rPr>
        <w:t xml:space="preserve"> remain underpriced compared with </w:t>
      </w:r>
      <w:r w:rsidR="00BC4811" w:rsidRPr="00D4227E">
        <w:rPr>
          <w:noProof/>
        </w:rPr>
        <w:t>old firms</w:t>
      </w:r>
      <w:r w:rsidR="00C02DF4" w:rsidRPr="00D4227E">
        <w:rPr>
          <w:noProof/>
        </w:rPr>
        <w:t xml:space="preserve"> when sentiment continues in the Low state (L/L) with a </w:t>
      </w:r>
      <w:r w:rsidR="00BC4811" w:rsidRPr="00D4227E">
        <w:rPr>
          <w:noProof/>
        </w:rPr>
        <w:t>positive</w:t>
      </w:r>
      <w:r w:rsidR="00C02DF4" w:rsidRPr="00D4227E">
        <w:rPr>
          <w:noProof/>
        </w:rPr>
        <w:t xml:space="preserve"> P10-P1 spread of </w:t>
      </w:r>
      <w:r w:rsidR="00BC4811" w:rsidRPr="00D4227E">
        <w:rPr>
          <w:noProof/>
        </w:rPr>
        <w:t>0.65</w:t>
      </w:r>
      <w:r w:rsidR="00C02DF4" w:rsidRPr="00D4227E">
        <w:rPr>
          <w:noProof/>
        </w:rPr>
        <w:t xml:space="preserve">%. However the underpricing of </w:t>
      </w:r>
      <w:r w:rsidR="00BC4811" w:rsidRPr="00D4227E">
        <w:rPr>
          <w:noProof/>
        </w:rPr>
        <w:t xml:space="preserve">young firms </w:t>
      </w:r>
      <w:r w:rsidR="00C02DF4" w:rsidRPr="00D4227E">
        <w:rPr>
          <w:noProof/>
        </w:rPr>
        <w:t xml:space="preserve">is corrected when sentiment transitions from High to Low (L/H), where P10-P1 turns </w:t>
      </w:r>
      <w:r w:rsidR="00BC4811" w:rsidRPr="00D4227E">
        <w:rPr>
          <w:noProof/>
        </w:rPr>
        <w:t>negative</w:t>
      </w:r>
      <w:r w:rsidR="00C02DF4" w:rsidRPr="00D4227E">
        <w:rPr>
          <w:noProof/>
        </w:rPr>
        <w:t xml:space="preserve"> </w:t>
      </w:r>
      <w:r w:rsidR="00D77549">
        <w:rPr>
          <w:noProof/>
        </w:rPr>
        <w:t>at</w:t>
      </w:r>
      <w:r w:rsidR="00C02DF4" w:rsidRPr="00D4227E">
        <w:rPr>
          <w:noProof/>
        </w:rPr>
        <w:t xml:space="preserve"> </w:t>
      </w:r>
      <w:r w:rsidR="00BC4811" w:rsidRPr="00D4227E">
        <w:rPr>
          <w:noProof/>
        </w:rPr>
        <w:t>-1.63</w:t>
      </w:r>
      <w:r w:rsidR="00C02DF4" w:rsidRPr="00D4227E">
        <w:rPr>
          <w:noProof/>
        </w:rPr>
        <w:t>%.</w:t>
      </w:r>
    </w:p>
    <w:p w14:paraId="7E8DF710" w14:textId="44E0B91C" w:rsidR="00BC4811" w:rsidRPr="00BC4811" w:rsidRDefault="00BB62C8" w:rsidP="00D225D6">
      <w:pPr>
        <w:widowControl w:val="0"/>
        <w:spacing w:line="480" w:lineRule="auto"/>
        <w:rPr>
          <w:noProof/>
        </w:rPr>
      </w:pPr>
      <w:r w:rsidRPr="00E65AA7">
        <w:rPr>
          <w:noProof/>
        </w:rPr>
        <w:tab/>
        <w:t xml:space="preserve"> </w:t>
      </w:r>
      <w:r w:rsidR="00BC4811" w:rsidRPr="00BC4811">
        <w:rPr>
          <w:noProof/>
        </w:rPr>
        <w:t xml:space="preserve">Panel </w:t>
      </w:r>
      <w:r w:rsidR="00BC4811">
        <w:rPr>
          <w:noProof/>
        </w:rPr>
        <w:t>C</w:t>
      </w:r>
      <w:r w:rsidR="00BC4811" w:rsidRPr="00BC4811">
        <w:rPr>
          <w:noProof/>
        </w:rPr>
        <w:t xml:space="preserve"> reports the returns of </w:t>
      </w:r>
      <w:r w:rsidR="00BC4811">
        <w:rPr>
          <w:noProof/>
        </w:rPr>
        <w:t>size</w:t>
      </w:r>
      <w:r w:rsidR="00BC4811" w:rsidRPr="00BC4811">
        <w:rPr>
          <w:noProof/>
        </w:rPr>
        <w:t xml:space="preserve">-sorted portfolios with P10 (P1) representing the </w:t>
      </w:r>
      <w:r w:rsidR="00BC4811">
        <w:rPr>
          <w:noProof/>
        </w:rPr>
        <w:t>small</w:t>
      </w:r>
      <w:r w:rsidR="00BC4811" w:rsidRPr="00BC4811">
        <w:rPr>
          <w:noProof/>
        </w:rPr>
        <w:t xml:space="preserve"> (</w:t>
      </w:r>
      <w:r w:rsidR="00BC4811">
        <w:rPr>
          <w:noProof/>
        </w:rPr>
        <w:t>large</w:t>
      </w:r>
      <w:r w:rsidR="00BC4811" w:rsidRPr="00BC4811">
        <w:rPr>
          <w:noProof/>
        </w:rPr>
        <w:t xml:space="preserve">) firm decile portfolio. We </w:t>
      </w:r>
      <w:r w:rsidR="00BC4811">
        <w:rPr>
          <w:noProof/>
        </w:rPr>
        <w:t>report</w:t>
      </w:r>
      <w:r w:rsidR="00BC4811" w:rsidRPr="00BC4811">
        <w:rPr>
          <w:noProof/>
        </w:rPr>
        <w:t xml:space="preserve"> </w:t>
      </w:r>
      <w:r w:rsidR="00BC4811">
        <w:rPr>
          <w:noProof/>
        </w:rPr>
        <w:t xml:space="preserve">a </w:t>
      </w:r>
      <w:r w:rsidR="00BC4811" w:rsidRPr="00BC4811">
        <w:rPr>
          <w:noProof/>
        </w:rPr>
        <w:t>negative P10-P1 return spread of -</w:t>
      </w:r>
      <w:r w:rsidR="00BC4811">
        <w:rPr>
          <w:noProof/>
        </w:rPr>
        <w:t>1.25</w:t>
      </w:r>
      <w:r w:rsidR="00BC4811" w:rsidRPr="00BC4811">
        <w:rPr>
          <w:noProof/>
        </w:rPr>
        <w:t xml:space="preserve">% per month in H/H state, indicating that </w:t>
      </w:r>
      <w:r w:rsidR="00BC4811">
        <w:rPr>
          <w:noProof/>
        </w:rPr>
        <w:t>small</w:t>
      </w:r>
      <w:r w:rsidR="00BC4811" w:rsidRPr="00BC4811">
        <w:rPr>
          <w:noProof/>
        </w:rPr>
        <w:t xml:space="preserve"> firms remain overpriced compared with </w:t>
      </w:r>
      <w:r w:rsidR="00BC4811">
        <w:rPr>
          <w:noProof/>
        </w:rPr>
        <w:t>large</w:t>
      </w:r>
      <w:r w:rsidR="00D225D6">
        <w:rPr>
          <w:noProof/>
        </w:rPr>
        <w:t xml:space="preserve"> firms</w:t>
      </w:r>
      <w:r w:rsidR="00BC4811" w:rsidRPr="00BC4811">
        <w:rPr>
          <w:noProof/>
        </w:rPr>
        <w:t xml:space="preserve"> </w:t>
      </w:r>
      <w:r w:rsidR="00BC4811" w:rsidRPr="00BC4811">
        <w:rPr>
          <w:noProof/>
        </w:rPr>
        <w:lastRenderedPageBreak/>
        <w:t xml:space="preserve">when sentiment continues in a High state. However, the overpricing is corrected when sentiment transitions to the Low (H/L) state, where the P10-P1 spread turns positive, </w:t>
      </w:r>
      <w:r w:rsidR="00D77549">
        <w:rPr>
          <w:noProof/>
        </w:rPr>
        <w:t>at</w:t>
      </w:r>
      <w:r w:rsidR="00BC4811" w:rsidRPr="00BC4811">
        <w:rPr>
          <w:noProof/>
        </w:rPr>
        <w:t xml:space="preserve"> </w:t>
      </w:r>
      <w:r w:rsidR="00BC4811">
        <w:rPr>
          <w:noProof/>
        </w:rPr>
        <w:t>0.98</w:t>
      </w:r>
      <w:r w:rsidR="00BC4811" w:rsidRPr="00BC4811">
        <w:rPr>
          <w:noProof/>
        </w:rPr>
        <w:t xml:space="preserve">%. In contrast, </w:t>
      </w:r>
      <w:r w:rsidR="00BC4811">
        <w:rPr>
          <w:noProof/>
        </w:rPr>
        <w:t xml:space="preserve">small </w:t>
      </w:r>
      <w:r w:rsidR="00BC4811" w:rsidRPr="00BC4811">
        <w:rPr>
          <w:noProof/>
        </w:rPr>
        <w:t xml:space="preserve">firms remain underpriced compared with </w:t>
      </w:r>
      <w:r w:rsidR="00BC4811">
        <w:rPr>
          <w:noProof/>
        </w:rPr>
        <w:t>the large</w:t>
      </w:r>
      <w:r w:rsidR="00D225D6">
        <w:rPr>
          <w:noProof/>
        </w:rPr>
        <w:t xml:space="preserve"> firms</w:t>
      </w:r>
      <w:r w:rsidR="00BC4811" w:rsidRPr="00BC4811">
        <w:rPr>
          <w:noProof/>
        </w:rPr>
        <w:t xml:space="preserve"> when sentiment continues in the Low state (L/L) with a positive P10-P1 spread of 0.</w:t>
      </w:r>
      <w:r w:rsidR="00BC4811">
        <w:rPr>
          <w:noProof/>
        </w:rPr>
        <w:t>79</w:t>
      </w:r>
      <w:r w:rsidR="00BC4811" w:rsidRPr="00BC4811">
        <w:rPr>
          <w:noProof/>
        </w:rPr>
        <w:t xml:space="preserve">%. However the underpricing of </w:t>
      </w:r>
      <w:r w:rsidR="00D225D6">
        <w:rPr>
          <w:noProof/>
        </w:rPr>
        <w:t>small</w:t>
      </w:r>
      <w:r w:rsidR="00BC4811" w:rsidRPr="00BC4811">
        <w:rPr>
          <w:noProof/>
        </w:rPr>
        <w:t xml:space="preserve"> firms is corrected when sentiment transitions from High to Low (L/H), where P10-P1 turns negative </w:t>
      </w:r>
      <w:r w:rsidR="00D77549">
        <w:rPr>
          <w:noProof/>
        </w:rPr>
        <w:t>at</w:t>
      </w:r>
      <w:r w:rsidR="00BC4811" w:rsidRPr="00BC4811">
        <w:rPr>
          <w:noProof/>
        </w:rPr>
        <w:t xml:space="preserve"> -</w:t>
      </w:r>
      <w:r w:rsidR="00D225D6">
        <w:rPr>
          <w:noProof/>
        </w:rPr>
        <w:t>3.13</w:t>
      </w:r>
      <w:r w:rsidR="00BC4811" w:rsidRPr="00BC4811">
        <w:rPr>
          <w:noProof/>
        </w:rPr>
        <w:t>%.</w:t>
      </w:r>
    </w:p>
    <w:p w14:paraId="1CE5AC35" w14:textId="38D3F941" w:rsidR="007A6451" w:rsidRPr="00E65AA7" w:rsidRDefault="00742AEB" w:rsidP="00C760BC">
      <w:pPr>
        <w:widowControl w:val="0"/>
        <w:spacing w:line="480" w:lineRule="auto"/>
        <w:ind w:firstLine="720"/>
        <w:rPr>
          <w:rFonts w:eastAsia="Times New Roman"/>
        </w:rPr>
      </w:pPr>
      <w:r>
        <w:rPr>
          <w:noProof/>
        </w:rPr>
        <w:t>P</w:t>
      </w:r>
      <w:r w:rsidR="00A70939">
        <w:rPr>
          <w:noProof/>
        </w:rPr>
        <w:t xml:space="preserve">anels </w:t>
      </w:r>
      <w:r>
        <w:rPr>
          <w:noProof/>
        </w:rPr>
        <w:t xml:space="preserve">D and E reports the results for </w:t>
      </w:r>
      <w:r w:rsidR="00A70939">
        <w:rPr>
          <w:noProof/>
        </w:rPr>
        <w:t>decile portfolios sorted by</w:t>
      </w:r>
      <w:r w:rsidR="00C7409E">
        <w:rPr>
          <w:noProof/>
        </w:rPr>
        <w:t xml:space="preserve"> </w:t>
      </w:r>
      <w:r w:rsidR="00801132" w:rsidRPr="00E65AA7">
        <w:rPr>
          <w:noProof/>
        </w:rPr>
        <w:t>profitability and dividend</w:t>
      </w:r>
      <w:r w:rsidR="00A70939">
        <w:rPr>
          <w:noProof/>
        </w:rPr>
        <w:t xml:space="preserve"> levels</w:t>
      </w:r>
      <w:r>
        <w:rPr>
          <w:noProof/>
        </w:rPr>
        <w:t>, respectively</w:t>
      </w:r>
      <w:r w:rsidR="00A70939">
        <w:rPr>
          <w:noProof/>
        </w:rPr>
        <w:t>.</w:t>
      </w:r>
      <w:r w:rsidR="00801132" w:rsidRPr="00E65AA7">
        <w:rPr>
          <w:noProof/>
        </w:rPr>
        <w:t xml:space="preserve"> The extreme left column provides the average monthly returns of unprofitable and non-dividend paying firms, and the extreme right column provides the difference in average monthly returns between unprofitable (non-dividend paying) and profitable (dividend paying) firms. We find that unprofitable (non-dividend paying) firms earn </w:t>
      </w:r>
      <w:r w:rsidR="003A7E0A">
        <w:rPr>
          <w:noProof/>
        </w:rPr>
        <w:t>0.83</w:t>
      </w:r>
      <w:r w:rsidR="00801132" w:rsidRPr="00E65AA7">
        <w:rPr>
          <w:noProof/>
        </w:rPr>
        <w:t>% (</w:t>
      </w:r>
      <w:r w:rsidR="003A7E0A">
        <w:rPr>
          <w:noProof/>
        </w:rPr>
        <w:t>1.05</w:t>
      </w:r>
      <w:r w:rsidR="00801132" w:rsidRPr="00E65AA7">
        <w:rPr>
          <w:noProof/>
        </w:rPr>
        <w:t xml:space="preserve">%) per month higher returns than profitable (dividend paying) firms in the H/H state, indicating that unprofitable and non-dividend paying firms remain overpriced when sentiment continues in the High (H/H) state. The overpricing of unprofitable (non-dividend paying) firms is corrected when sentiment transitions to the Low state such that unprofitable (non-dividend paying) firms earn </w:t>
      </w:r>
      <w:r w:rsidR="00372C45">
        <w:rPr>
          <w:noProof/>
        </w:rPr>
        <w:t>1.55</w:t>
      </w:r>
      <w:r w:rsidR="00801132" w:rsidRPr="00E65AA7">
        <w:rPr>
          <w:noProof/>
        </w:rPr>
        <w:t>% (</w:t>
      </w:r>
      <w:r w:rsidR="00372C45">
        <w:rPr>
          <w:noProof/>
        </w:rPr>
        <w:t>1.85</w:t>
      </w:r>
      <w:r w:rsidR="00801132" w:rsidRPr="00E65AA7">
        <w:rPr>
          <w:noProof/>
        </w:rPr>
        <w:t xml:space="preserve">%) per month lower returns than profitable (dividend paying) firms in the H/L state. Furthermore, we find that the unprofitable (non-dividend paying) firms earn </w:t>
      </w:r>
      <w:r w:rsidR="009A3192">
        <w:rPr>
          <w:noProof/>
        </w:rPr>
        <w:t>0.71</w:t>
      </w:r>
      <w:r w:rsidR="00801132" w:rsidRPr="00E65AA7">
        <w:rPr>
          <w:noProof/>
        </w:rPr>
        <w:t>% (</w:t>
      </w:r>
      <w:r w:rsidR="00491E10">
        <w:rPr>
          <w:noProof/>
        </w:rPr>
        <w:t>0.81</w:t>
      </w:r>
      <w:r w:rsidR="00801132" w:rsidRPr="00E65AA7">
        <w:rPr>
          <w:noProof/>
        </w:rPr>
        <w:t xml:space="preserve">%) per month lower returns than profitable (dividend paying) firms in L/L state, indicating that unprofitable and non-dividend paying firms remain underpriced when sentiment continues in the Low state. The underpricing of unprofitable (non-dividend paying) firms is corrected when sentiment transitions to the High state such that unprofitable (non-dividend paying) firms earn </w:t>
      </w:r>
      <w:r w:rsidR="006D2FFA">
        <w:rPr>
          <w:noProof/>
        </w:rPr>
        <w:t>2.31</w:t>
      </w:r>
      <w:r w:rsidR="00801132" w:rsidRPr="00E65AA7">
        <w:rPr>
          <w:noProof/>
        </w:rPr>
        <w:t>% (</w:t>
      </w:r>
      <w:r w:rsidR="006D2FFA">
        <w:rPr>
          <w:noProof/>
        </w:rPr>
        <w:t>2.49</w:t>
      </w:r>
      <w:r w:rsidR="00801132" w:rsidRPr="00E65AA7">
        <w:rPr>
          <w:noProof/>
        </w:rPr>
        <w:t>%) per month higher returns than profitable (dividend paying) firms in L/H state.</w:t>
      </w:r>
    </w:p>
    <w:p w14:paraId="0A025AF9" w14:textId="1E9A8AA0" w:rsidR="00801132" w:rsidRDefault="00801132" w:rsidP="00C760BC">
      <w:pPr>
        <w:widowControl w:val="0"/>
        <w:spacing w:line="480" w:lineRule="auto"/>
        <w:ind w:firstLine="720"/>
        <w:rPr>
          <w:noProof/>
        </w:rPr>
      </w:pPr>
      <w:r w:rsidRPr="00E65AA7">
        <w:rPr>
          <w:noProof/>
        </w:rPr>
        <w:t xml:space="preserve">The </w:t>
      </w:r>
      <w:r w:rsidR="00EF0F2E">
        <w:rPr>
          <w:noProof/>
        </w:rPr>
        <w:t>last two panels of Table 4 report results for decile portfolios sorted on</w:t>
      </w:r>
      <w:r w:rsidR="00C7409E">
        <w:rPr>
          <w:noProof/>
        </w:rPr>
        <w:t xml:space="preserve"> </w:t>
      </w:r>
      <w:r w:rsidRPr="00E65AA7">
        <w:rPr>
          <w:noProof/>
        </w:rPr>
        <w:t>asset tangibility characteristics, PPE/A and RD/A</w:t>
      </w:r>
      <w:r w:rsidR="00EF0F2E">
        <w:rPr>
          <w:noProof/>
        </w:rPr>
        <w:t>.</w:t>
      </w:r>
      <w:r w:rsidRPr="00E65AA7">
        <w:rPr>
          <w:noProof/>
        </w:rPr>
        <w:t xml:space="preserve"> The extreme left column provides the average </w:t>
      </w:r>
      <w:r w:rsidRPr="00E65AA7">
        <w:rPr>
          <w:noProof/>
        </w:rPr>
        <w:lastRenderedPageBreak/>
        <w:t xml:space="preserve">monthly returns of firms with zero PPEA and RD/A values, and the extreme right column provides the difference in average monthly returns between firms with zero PPE/A (RD/A) values and firms with non-zero PPE/A (RD/A) values. We find that firms in the lowest PPE/A decile (P1) earn </w:t>
      </w:r>
      <w:r w:rsidR="00755926">
        <w:rPr>
          <w:noProof/>
        </w:rPr>
        <w:t>0.91</w:t>
      </w:r>
      <w:r w:rsidRPr="00E65AA7">
        <w:rPr>
          <w:noProof/>
        </w:rPr>
        <w:t xml:space="preserve">% higher average monthly returns than the firms in highest PPE/A decile (P10) in H/H state. The overpricing of firms in the lowest PPE/A decile is corrected when sentiment transitions to the Low state (H/L) such that P1 earns </w:t>
      </w:r>
      <w:r w:rsidR="0070001D">
        <w:rPr>
          <w:noProof/>
        </w:rPr>
        <w:t>1.8</w:t>
      </w:r>
      <w:r w:rsidR="00755926">
        <w:rPr>
          <w:noProof/>
        </w:rPr>
        <w:t>5</w:t>
      </w:r>
      <w:r w:rsidRPr="00E65AA7">
        <w:rPr>
          <w:noProof/>
        </w:rPr>
        <w:t xml:space="preserve">% lower returns than P10. Furthermore, we find that the firms in lowest PPE/A decile (P1) earn </w:t>
      </w:r>
      <w:r w:rsidR="00672FB4">
        <w:rPr>
          <w:noProof/>
        </w:rPr>
        <w:t>1.</w:t>
      </w:r>
      <w:r w:rsidR="00755926">
        <w:rPr>
          <w:noProof/>
        </w:rPr>
        <w:t>40</w:t>
      </w:r>
      <w:r w:rsidRPr="00E65AA7">
        <w:rPr>
          <w:noProof/>
        </w:rPr>
        <w:t xml:space="preserve">% lower average monthly returns than firms in highest PPE/A decile (P10) in L/L state. The underpricing of firms in P1 decile is corrected when sentiment transitions to the High (L/H) state such that P1 earns </w:t>
      </w:r>
      <w:r w:rsidR="00755926">
        <w:rPr>
          <w:noProof/>
        </w:rPr>
        <w:t>1.45</w:t>
      </w:r>
      <w:r w:rsidRPr="00E65AA7">
        <w:rPr>
          <w:noProof/>
        </w:rPr>
        <w:t xml:space="preserve">% higher returns than P10. This PPE/A pattern, however, exists only in the firms that report positive PPE/A. We find </w:t>
      </w:r>
      <w:r w:rsidR="00571FC3">
        <w:rPr>
          <w:noProof/>
        </w:rPr>
        <w:t>similar</w:t>
      </w:r>
      <w:r w:rsidRPr="00E65AA7">
        <w:rPr>
          <w:noProof/>
        </w:rPr>
        <w:t xml:space="preserve"> pattern</w:t>
      </w:r>
      <w:r w:rsidR="00571FC3">
        <w:rPr>
          <w:noProof/>
        </w:rPr>
        <w:t>s</w:t>
      </w:r>
      <w:r w:rsidRPr="00E65AA7">
        <w:rPr>
          <w:noProof/>
        </w:rPr>
        <w:t xml:space="preserve"> when we use RD/A as a proxy for intangible assets</w:t>
      </w:r>
      <w:r w:rsidR="008F55C8">
        <w:rPr>
          <w:noProof/>
        </w:rPr>
        <w:t xml:space="preserve">. For example, we find that the positive </w:t>
      </w:r>
      <w:r w:rsidR="004A3853">
        <w:rPr>
          <w:noProof/>
        </w:rPr>
        <w:t xml:space="preserve">RD/A </w:t>
      </w:r>
      <w:r w:rsidR="008F55C8">
        <w:rPr>
          <w:noProof/>
        </w:rPr>
        <w:t xml:space="preserve">firms earn 0.83% higher average monthly returns than zero RD/A firms. The overpricing of positive RD/A firms is corrected </w:t>
      </w:r>
      <w:r w:rsidR="008F55C8" w:rsidRPr="00E65AA7">
        <w:rPr>
          <w:noProof/>
        </w:rPr>
        <w:t xml:space="preserve">when sentiment transitions to the High (L/H) state such that </w:t>
      </w:r>
      <w:r w:rsidR="008F55C8">
        <w:rPr>
          <w:noProof/>
        </w:rPr>
        <w:t>positive RD/A firms earn</w:t>
      </w:r>
      <w:r w:rsidR="008F55C8" w:rsidRPr="00E65AA7">
        <w:rPr>
          <w:noProof/>
        </w:rPr>
        <w:t xml:space="preserve"> </w:t>
      </w:r>
      <w:r w:rsidR="008F55C8">
        <w:rPr>
          <w:noProof/>
        </w:rPr>
        <w:t>0.69</w:t>
      </w:r>
      <w:r w:rsidR="008F55C8" w:rsidRPr="00E65AA7">
        <w:rPr>
          <w:noProof/>
        </w:rPr>
        <w:t xml:space="preserve">% </w:t>
      </w:r>
      <w:r w:rsidR="008F55C8">
        <w:rPr>
          <w:noProof/>
        </w:rPr>
        <w:t>lower</w:t>
      </w:r>
      <w:r w:rsidR="008F55C8" w:rsidRPr="00E65AA7">
        <w:rPr>
          <w:noProof/>
        </w:rPr>
        <w:t xml:space="preserve"> returns than P10</w:t>
      </w:r>
      <w:r w:rsidR="008F55C8">
        <w:rPr>
          <w:noProof/>
        </w:rPr>
        <w:t xml:space="preserve">. </w:t>
      </w:r>
      <w:r w:rsidR="008F55C8" w:rsidRPr="00E65AA7">
        <w:rPr>
          <w:noProof/>
        </w:rPr>
        <w:t xml:space="preserve">Furthermore, we find that the </w:t>
      </w:r>
      <w:r w:rsidR="008F55C8">
        <w:rPr>
          <w:noProof/>
        </w:rPr>
        <w:t>positive RD/A firms</w:t>
      </w:r>
      <w:r w:rsidR="008F55C8" w:rsidRPr="00E65AA7">
        <w:rPr>
          <w:noProof/>
        </w:rPr>
        <w:t xml:space="preserve"> earn </w:t>
      </w:r>
      <w:r w:rsidR="008F55C8">
        <w:rPr>
          <w:noProof/>
        </w:rPr>
        <w:t>0.13</w:t>
      </w:r>
      <w:r w:rsidR="008F55C8" w:rsidRPr="00E65AA7">
        <w:rPr>
          <w:noProof/>
        </w:rPr>
        <w:t xml:space="preserve">% per month lower returns than </w:t>
      </w:r>
      <w:r w:rsidR="008F55C8">
        <w:rPr>
          <w:noProof/>
        </w:rPr>
        <w:t>zero RD/A</w:t>
      </w:r>
      <w:r w:rsidR="008F55C8" w:rsidRPr="00E65AA7">
        <w:rPr>
          <w:noProof/>
        </w:rPr>
        <w:t xml:space="preserve"> firms in L/L state, indicating that </w:t>
      </w:r>
      <w:r w:rsidR="008F55C8">
        <w:rPr>
          <w:noProof/>
        </w:rPr>
        <w:t>positive RD/A firms</w:t>
      </w:r>
      <w:r w:rsidR="008F55C8" w:rsidRPr="00E65AA7">
        <w:rPr>
          <w:noProof/>
        </w:rPr>
        <w:t xml:space="preserve"> remain underpriced when sentiment continues in the Low state.</w:t>
      </w:r>
      <w:r w:rsidR="00C17A05" w:rsidRPr="00C17A05">
        <w:rPr>
          <w:rStyle w:val="FootnoteReference"/>
          <w:noProof/>
        </w:rPr>
        <w:t xml:space="preserve"> </w:t>
      </w:r>
      <w:r w:rsidR="00C17A05">
        <w:rPr>
          <w:rStyle w:val="FootnoteReference"/>
          <w:noProof/>
        </w:rPr>
        <w:footnoteReference w:id="13"/>
      </w:r>
      <w:r w:rsidR="008F55C8" w:rsidRPr="00E65AA7">
        <w:rPr>
          <w:noProof/>
        </w:rPr>
        <w:t xml:space="preserve"> The underpricing of </w:t>
      </w:r>
      <w:r w:rsidR="008F55C8">
        <w:rPr>
          <w:noProof/>
        </w:rPr>
        <w:t>positive RD/A firms</w:t>
      </w:r>
      <w:r w:rsidR="008F55C8" w:rsidRPr="00E65AA7">
        <w:rPr>
          <w:noProof/>
        </w:rPr>
        <w:t xml:space="preserve"> is corrected when sentiment transitions to the High state such that </w:t>
      </w:r>
      <w:r w:rsidR="008F55C8">
        <w:rPr>
          <w:noProof/>
        </w:rPr>
        <w:t>positive RD/A firms</w:t>
      </w:r>
      <w:r w:rsidR="008F55C8" w:rsidRPr="00E65AA7">
        <w:rPr>
          <w:noProof/>
        </w:rPr>
        <w:t xml:space="preserve"> earn </w:t>
      </w:r>
      <w:r w:rsidR="008F55C8">
        <w:rPr>
          <w:noProof/>
        </w:rPr>
        <w:t>0.83</w:t>
      </w:r>
      <w:r w:rsidR="008F55C8" w:rsidRPr="00E65AA7">
        <w:rPr>
          <w:noProof/>
        </w:rPr>
        <w:t xml:space="preserve"> per month higher returns than </w:t>
      </w:r>
      <w:r w:rsidR="008F55C8">
        <w:rPr>
          <w:noProof/>
        </w:rPr>
        <w:t>zero RD/A firms</w:t>
      </w:r>
      <w:r w:rsidR="008F55C8" w:rsidRPr="00E65AA7">
        <w:rPr>
          <w:noProof/>
        </w:rPr>
        <w:t xml:space="preserve"> in L/H state</w:t>
      </w:r>
      <w:r w:rsidR="000065C3">
        <w:rPr>
          <w:noProof/>
        </w:rPr>
        <w:t>.</w:t>
      </w:r>
    </w:p>
    <w:p w14:paraId="2CC38071" w14:textId="1FC14C65" w:rsidR="00CF79C5" w:rsidRDefault="00CF79C5" w:rsidP="00C760BC">
      <w:pPr>
        <w:widowControl w:val="0"/>
        <w:spacing w:line="480" w:lineRule="auto"/>
        <w:ind w:firstLine="720"/>
        <w:rPr>
          <w:noProof/>
        </w:rPr>
      </w:pPr>
      <w:r>
        <w:rPr>
          <w:rFonts w:eastAsia="Times New Roman"/>
        </w:rPr>
        <w:t>O</w:t>
      </w:r>
      <w:r w:rsidRPr="00E65AA7">
        <w:rPr>
          <w:rFonts w:eastAsia="Times New Roman"/>
        </w:rPr>
        <w:t xml:space="preserve">ur results in Table </w:t>
      </w:r>
      <w:r>
        <w:rPr>
          <w:rFonts w:eastAsia="Times New Roman"/>
        </w:rPr>
        <w:t>4</w:t>
      </w:r>
      <w:r w:rsidRPr="00E65AA7">
        <w:rPr>
          <w:rFonts w:eastAsia="Times New Roman"/>
        </w:rPr>
        <w:t xml:space="preserve"> suggest that the </w:t>
      </w:r>
      <w:r w:rsidR="009B44F1">
        <w:rPr>
          <w:rFonts w:eastAsia="Times New Roman"/>
        </w:rPr>
        <w:t xml:space="preserve">contrarian </w:t>
      </w:r>
      <w:r>
        <w:rPr>
          <w:rFonts w:eastAsia="Times New Roman"/>
        </w:rPr>
        <w:t xml:space="preserve">relation between investor sentiment and subsequent returns </w:t>
      </w:r>
      <w:r w:rsidR="00134C48">
        <w:rPr>
          <w:rFonts w:eastAsia="Times New Roman"/>
        </w:rPr>
        <w:t xml:space="preserve">of HVHA stocks </w:t>
      </w:r>
      <w:r>
        <w:rPr>
          <w:rFonts w:eastAsia="Times New Roman"/>
        </w:rPr>
        <w:t xml:space="preserve">documented in Baker and </w:t>
      </w:r>
      <w:proofErr w:type="spellStart"/>
      <w:r>
        <w:rPr>
          <w:rFonts w:eastAsia="Times New Roman"/>
        </w:rPr>
        <w:t>Wurgler</w:t>
      </w:r>
      <w:proofErr w:type="spellEnd"/>
      <w:r>
        <w:rPr>
          <w:rFonts w:eastAsia="Times New Roman"/>
        </w:rPr>
        <w:t xml:space="preserve"> (2006, 2007) </w:t>
      </w:r>
      <w:r w:rsidR="003B0152">
        <w:rPr>
          <w:rFonts w:eastAsia="Times New Roman"/>
        </w:rPr>
        <w:t xml:space="preserve">should be stronger </w:t>
      </w:r>
      <w:r w:rsidR="00C22496">
        <w:rPr>
          <w:rFonts w:eastAsia="Times New Roman"/>
        </w:rPr>
        <w:t xml:space="preserve">following </w:t>
      </w:r>
      <w:r w:rsidR="003B0152">
        <w:rPr>
          <w:rFonts w:eastAsia="Times New Roman"/>
        </w:rPr>
        <w:t xml:space="preserve">extreme </w:t>
      </w:r>
      <w:r w:rsidRPr="00E65AA7">
        <w:rPr>
          <w:rFonts w:eastAsia="Times New Roman"/>
        </w:rPr>
        <w:t>sentiment periods</w:t>
      </w:r>
      <w:r w:rsidR="003B0152">
        <w:rPr>
          <w:rFonts w:eastAsia="Times New Roman"/>
        </w:rPr>
        <w:t>.</w:t>
      </w:r>
      <w:r w:rsidR="00B74724">
        <w:rPr>
          <w:rFonts w:eastAsia="Times New Roman"/>
        </w:rPr>
        <w:t xml:space="preserve"> </w:t>
      </w:r>
      <w:r w:rsidRPr="00E65AA7">
        <w:rPr>
          <w:rFonts w:eastAsia="Times New Roman"/>
        </w:rPr>
        <w:t xml:space="preserve">Therefore, we formally test this </w:t>
      </w:r>
      <w:r w:rsidRPr="00E65AA7">
        <w:rPr>
          <w:rFonts w:eastAsia="Times New Roman"/>
        </w:rPr>
        <w:lastRenderedPageBreak/>
        <w:t xml:space="preserve">conjecture in Table </w:t>
      </w:r>
      <w:r>
        <w:rPr>
          <w:rFonts w:eastAsia="Times New Roman"/>
        </w:rPr>
        <w:t>5</w:t>
      </w:r>
      <w:r w:rsidRPr="00E65AA7">
        <w:rPr>
          <w:rFonts w:eastAsia="Times New Roman"/>
        </w:rPr>
        <w:t xml:space="preserve"> by </w:t>
      </w:r>
      <w:r w:rsidR="00B74724">
        <w:rPr>
          <w:rFonts w:eastAsia="Times New Roman"/>
        </w:rPr>
        <w:t>classifying s</w:t>
      </w:r>
      <w:r w:rsidRPr="00E65AA7">
        <w:rPr>
          <w:rFonts w:eastAsia="Times New Roman"/>
        </w:rPr>
        <w:t xml:space="preserve">entiment </w:t>
      </w:r>
      <w:r w:rsidR="009B5F33">
        <w:rPr>
          <w:rFonts w:eastAsia="Times New Roman"/>
        </w:rPr>
        <w:t>states</w:t>
      </w:r>
      <w:r w:rsidRPr="00E65AA7">
        <w:rPr>
          <w:rFonts w:eastAsia="Times New Roman"/>
        </w:rPr>
        <w:t xml:space="preserve"> into quintiles based on</w:t>
      </w:r>
      <w:r>
        <w:rPr>
          <w:rFonts w:eastAsia="Times New Roman"/>
        </w:rPr>
        <w:t xml:space="preserve"> the</w:t>
      </w:r>
      <w:r w:rsidRPr="00E65AA7">
        <w:rPr>
          <w:rFonts w:eastAsia="Times New Roman"/>
        </w:rPr>
        <w:t xml:space="preserve"> </w:t>
      </w:r>
      <w:r>
        <w:rPr>
          <w:rFonts w:eastAsia="Times New Roman"/>
        </w:rPr>
        <w:t>‘</w:t>
      </w:r>
      <w:r w:rsidRPr="00E65AA7">
        <w:rPr>
          <w:rFonts w:eastAsia="Times New Roman"/>
        </w:rPr>
        <w:t>sentiment levels</w:t>
      </w:r>
      <w:r>
        <w:rPr>
          <w:rFonts w:eastAsia="Times New Roman"/>
        </w:rPr>
        <w:t>’</w:t>
      </w:r>
      <w:r w:rsidRPr="00E65AA7">
        <w:rPr>
          <w:rFonts w:eastAsia="Times New Roman"/>
        </w:rPr>
        <w:t xml:space="preserve"> index of the previous month, t-1.</w:t>
      </w:r>
      <w:r w:rsidR="00155CA0">
        <w:rPr>
          <w:rFonts w:eastAsia="Times New Roman"/>
        </w:rPr>
        <w:t xml:space="preserve"> </w:t>
      </w:r>
      <w:r w:rsidRPr="00E65AA7">
        <w:rPr>
          <w:rFonts w:eastAsia="Times New Roman"/>
        </w:rPr>
        <w:t>We</w:t>
      </w:r>
      <w:r>
        <w:rPr>
          <w:rFonts w:eastAsia="Times New Roman"/>
        </w:rPr>
        <w:t xml:space="preserve"> then</w:t>
      </w:r>
      <w:r w:rsidRPr="00E65AA7">
        <w:rPr>
          <w:rFonts w:eastAsia="Times New Roman"/>
        </w:rPr>
        <w:t xml:space="preserve"> rank stocks in </w:t>
      </w:r>
      <w:r w:rsidRPr="00E65AA7">
        <w:rPr>
          <w:bCs/>
        </w:rPr>
        <w:t>deciles based on the volatility estimated at the end of June.</w:t>
      </w:r>
      <w:r w:rsidRPr="00E65AA7">
        <w:rPr>
          <w:rStyle w:val="FootnoteReference"/>
          <w:bCs/>
        </w:rPr>
        <w:footnoteReference w:id="14"/>
      </w:r>
    </w:p>
    <w:p w14:paraId="4A834381" w14:textId="70C00BAA" w:rsidR="003B0152" w:rsidRPr="008F122B" w:rsidRDefault="00801132" w:rsidP="00C760BC">
      <w:pPr>
        <w:widowControl w:val="0"/>
        <w:spacing w:line="480" w:lineRule="auto"/>
        <w:ind w:firstLine="720"/>
        <w:rPr>
          <w:noProof/>
        </w:rPr>
      </w:pPr>
      <w:r w:rsidRPr="00E65AA7">
        <w:rPr>
          <w:noProof/>
        </w:rPr>
        <w:t xml:space="preserve"> </w:t>
      </w:r>
      <w:r w:rsidRPr="008F122B">
        <w:rPr>
          <w:rFonts w:eastAsia="Times New Roman"/>
        </w:rPr>
        <w:t xml:space="preserve">Table </w:t>
      </w:r>
      <w:r w:rsidR="00195147" w:rsidRPr="008F122B">
        <w:rPr>
          <w:rFonts w:eastAsia="Times New Roman"/>
        </w:rPr>
        <w:t>5</w:t>
      </w:r>
      <w:r w:rsidR="00B43BA0" w:rsidRPr="008F122B">
        <w:rPr>
          <w:rFonts w:eastAsia="Times New Roman"/>
        </w:rPr>
        <w:t xml:space="preserve"> </w:t>
      </w:r>
      <w:r w:rsidRPr="008F122B">
        <w:rPr>
          <w:rFonts w:eastAsia="Times New Roman"/>
        </w:rPr>
        <w:t xml:space="preserve">reports the average monthly returns of volatility deciles </w:t>
      </w:r>
      <w:r w:rsidR="00080F58" w:rsidRPr="008F122B">
        <w:rPr>
          <w:rFonts w:eastAsia="Times New Roman"/>
        </w:rPr>
        <w:t xml:space="preserve">conditioned </w:t>
      </w:r>
      <w:r w:rsidRPr="008F122B">
        <w:rPr>
          <w:rFonts w:eastAsia="Times New Roman"/>
        </w:rPr>
        <w:t>on lagged sentiment quintiles.</w:t>
      </w:r>
      <w:r w:rsidRPr="008F122B">
        <w:rPr>
          <w:noProof/>
        </w:rPr>
        <w:t xml:space="preserve"> We find that</w:t>
      </w:r>
      <w:r w:rsidR="00155CA0">
        <w:rPr>
          <w:noProof/>
        </w:rPr>
        <w:t xml:space="preserve"> </w:t>
      </w:r>
      <w:r w:rsidRPr="008F122B">
        <w:rPr>
          <w:noProof/>
        </w:rPr>
        <w:t xml:space="preserve">in </w:t>
      </w:r>
      <w:r w:rsidR="00817C03" w:rsidRPr="008F122B">
        <w:rPr>
          <w:noProof/>
        </w:rPr>
        <w:t xml:space="preserve">the month following </w:t>
      </w:r>
      <w:r w:rsidR="00D36BB6" w:rsidRPr="008F122B">
        <w:rPr>
          <w:noProof/>
        </w:rPr>
        <w:t xml:space="preserve">the lowest sentiment quintile, </w:t>
      </w:r>
      <w:r w:rsidR="00817C03" w:rsidRPr="008F122B">
        <w:rPr>
          <w:noProof/>
        </w:rPr>
        <w:t xml:space="preserve">firms in </w:t>
      </w:r>
      <w:r w:rsidRPr="008F122B">
        <w:rPr>
          <w:noProof/>
        </w:rPr>
        <w:t>the highest volatility decile (P10) earn 1.67% higher average monthly returns than firms in lowest volatility decile (P1)</w:t>
      </w:r>
      <w:r w:rsidR="00D36BB6" w:rsidRPr="008F122B">
        <w:rPr>
          <w:noProof/>
        </w:rPr>
        <w:t>.</w:t>
      </w:r>
      <w:r w:rsidRPr="008F122B">
        <w:rPr>
          <w:noProof/>
        </w:rPr>
        <w:t xml:space="preserve"> We find similar results for sentiment quintile 2</w:t>
      </w:r>
      <w:r w:rsidR="00736DDB" w:rsidRPr="008F122B">
        <w:rPr>
          <w:noProof/>
        </w:rPr>
        <w:t>.</w:t>
      </w:r>
      <w:r w:rsidRPr="008F122B">
        <w:rPr>
          <w:noProof/>
        </w:rPr>
        <w:t xml:space="preserve"> However, we do not find any significant difference in average monthly returns of high and low volatility deciles in sentiment quintiles 3 and 4</w:t>
      </w:r>
      <w:r w:rsidR="00D36BB6" w:rsidRPr="008F122B">
        <w:rPr>
          <w:noProof/>
        </w:rPr>
        <w:t>.</w:t>
      </w:r>
      <w:r w:rsidRPr="008F122B">
        <w:rPr>
          <w:noProof/>
        </w:rPr>
        <w:t xml:space="preserve"> Finally, we find that </w:t>
      </w:r>
      <w:r w:rsidR="00D36BB6" w:rsidRPr="008F122B">
        <w:rPr>
          <w:noProof/>
        </w:rPr>
        <w:t xml:space="preserve">in the </w:t>
      </w:r>
      <w:r w:rsidR="00817C03" w:rsidRPr="008F122B">
        <w:rPr>
          <w:noProof/>
        </w:rPr>
        <w:t xml:space="preserve">month following the </w:t>
      </w:r>
      <w:r w:rsidR="00D36BB6" w:rsidRPr="008F122B">
        <w:rPr>
          <w:noProof/>
        </w:rPr>
        <w:t xml:space="preserve">highest sentiment quintile, </w:t>
      </w:r>
      <w:r w:rsidRPr="008F122B">
        <w:rPr>
          <w:noProof/>
        </w:rPr>
        <w:t>P10 earns 1.75% lower average monthly returns than P1</w:t>
      </w:r>
      <w:r w:rsidR="00D36BB6" w:rsidRPr="008F122B">
        <w:rPr>
          <w:noProof/>
        </w:rPr>
        <w:t>.</w:t>
      </w:r>
      <w:r w:rsidRPr="008F122B">
        <w:rPr>
          <w:noProof/>
        </w:rPr>
        <w:t xml:space="preserve"> </w:t>
      </w:r>
      <w:r w:rsidR="003B0152" w:rsidRPr="008F122B">
        <w:rPr>
          <w:noProof/>
        </w:rPr>
        <w:t xml:space="preserve">Our results indicate that the contrarian predictive ability of sentiment is indeed stronger </w:t>
      </w:r>
      <w:r w:rsidR="00C22496">
        <w:rPr>
          <w:noProof/>
        </w:rPr>
        <w:t>following</w:t>
      </w:r>
      <w:r w:rsidR="00C22496" w:rsidRPr="008F122B">
        <w:rPr>
          <w:noProof/>
        </w:rPr>
        <w:t xml:space="preserve"> </w:t>
      </w:r>
      <w:r w:rsidR="003B0152" w:rsidRPr="008F122B">
        <w:rPr>
          <w:noProof/>
        </w:rPr>
        <w:t>extreme sentiment periods.</w:t>
      </w:r>
    </w:p>
    <w:p w14:paraId="29228DAB" w14:textId="77777777" w:rsidR="00E81EA4" w:rsidRDefault="00FA0B56" w:rsidP="00E81EA4">
      <w:pPr>
        <w:widowControl w:val="0"/>
        <w:spacing w:line="480" w:lineRule="auto"/>
        <w:ind w:firstLine="720"/>
        <w:rPr>
          <w:noProof/>
        </w:rPr>
      </w:pPr>
      <w:r w:rsidRPr="00E65AA7">
        <w:rPr>
          <w:noProof/>
        </w:rPr>
        <w:t xml:space="preserve">We also </w:t>
      </w:r>
      <w:r>
        <w:rPr>
          <w:noProof/>
        </w:rPr>
        <w:t xml:space="preserve">present </w:t>
      </w:r>
      <w:r w:rsidRPr="00E65AA7">
        <w:rPr>
          <w:noProof/>
        </w:rPr>
        <w:t xml:space="preserve">the results of Table </w:t>
      </w:r>
      <w:r>
        <w:rPr>
          <w:noProof/>
        </w:rPr>
        <w:t>4</w:t>
      </w:r>
      <w:r w:rsidRPr="00E65AA7">
        <w:rPr>
          <w:noProof/>
        </w:rPr>
        <w:t xml:space="preserve"> </w:t>
      </w:r>
      <w:r>
        <w:rPr>
          <w:noProof/>
        </w:rPr>
        <w:t xml:space="preserve">graphically </w:t>
      </w:r>
      <w:r w:rsidRPr="00E65AA7">
        <w:rPr>
          <w:noProof/>
        </w:rPr>
        <w:t xml:space="preserve">in Figure </w:t>
      </w:r>
      <w:r>
        <w:rPr>
          <w:noProof/>
        </w:rPr>
        <w:t>1</w:t>
      </w:r>
      <w:r w:rsidRPr="00E65AA7">
        <w:rPr>
          <w:noProof/>
        </w:rPr>
        <w:t xml:space="preserve"> for the reader’s convenience. The black (grey) bars represent H/H (H/L) sentiment states, and red (green) shows L/H (L/L) sentiment states. All panels show that </w:t>
      </w:r>
      <w:r>
        <w:rPr>
          <w:noProof/>
        </w:rPr>
        <w:t>HVHA</w:t>
      </w:r>
      <w:r w:rsidRPr="00E65AA7">
        <w:rPr>
          <w:noProof/>
        </w:rPr>
        <w:t xml:space="preserve"> firms (high volatility, young, small size, unprofitable, non-dividend paying, and low tangible asset firms) earn higher (lower) returns compared with </w:t>
      </w:r>
      <w:r>
        <w:rPr>
          <w:noProof/>
        </w:rPr>
        <w:t xml:space="preserve">EVEA </w:t>
      </w:r>
      <w:r w:rsidRPr="00E65AA7">
        <w:rPr>
          <w:noProof/>
        </w:rPr>
        <w:t xml:space="preserve">firms (old, big size, low volatility, profitable, dividend-paying, and high tangible asset firms) when sentiment continues in the High (Low) state. The overpricing (underpricing) is corrected when sentiment transitions to the Low (High) state where </w:t>
      </w:r>
      <w:r>
        <w:rPr>
          <w:noProof/>
        </w:rPr>
        <w:t>HVHA</w:t>
      </w:r>
      <w:r w:rsidRPr="00E65AA7">
        <w:rPr>
          <w:noProof/>
        </w:rPr>
        <w:t xml:space="preserve"> firms earn lower (higher) returns than </w:t>
      </w:r>
      <w:r>
        <w:rPr>
          <w:noProof/>
        </w:rPr>
        <w:t>EVEA</w:t>
      </w:r>
      <w:r w:rsidRPr="00E65AA7">
        <w:rPr>
          <w:noProof/>
        </w:rPr>
        <w:t xml:space="preserve"> firms.</w:t>
      </w:r>
    </w:p>
    <w:p w14:paraId="07C70580" w14:textId="779B57F7" w:rsidR="00C21873" w:rsidRDefault="00FA0B56" w:rsidP="00E81EA4">
      <w:pPr>
        <w:widowControl w:val="0"/>
        <w:spacing w:line="480" w:lineRule="auto"/>
        <w:ind w:firstLine="720"/>
        <w:rPr>
          <w:noProof/>
        </w:rPr>
      </w:pPr>
      <w:r w:rsidRPr="00E65AA7">
        <w:rPr>
          <w:noProof/>
        </w:rPr>
        <w:t xml:space="preserve">In sum, </w:t>
      </w:r>
      <w:r>
        <w:rPr>
          <w:noProof/>
        </w:rPr>
        <w:t xml:space="preserve">consistent with </w:t>
      </w:r>
      <w:r w:rsidR="008A30CF">
        <w:rPr>
          <w:noProof/>
        </w:rPr>
        <w:t xml:space="preserve">our first </w:t>
      </w:r>
      <w:r>
        <w:rPr>
          <w:noProof/>
        </w:rPr>
        <w:t>hypothesis</w:t>
      </w:r>
      <w:r w:rsidR="00D77549">
        <w:rPr>
          <w:noProof/>
        </w:rPr>
        <w:t>,</w:t>
      </w:r>
      <w:r>
        <w:rPr>
          <w:noProof/>
        </w:rPr>
        <w:t xml:space="preserve"> </w:t>
      </w:r>
      <w:r w:rsidRPr="00E65AA7">
        <w:rPr>
          <w:noProof/>
        </w:rPr>
        <w:t>our results show that high volatility, young, small size, unprofitable, non-dividend paying and low tangible asset firms remain overpriced (underpriced) compared with low volatility, older, big size, profitable, dividend-</w:t>
      </w:r>
      <w:r w:rsidRPr="00E65AA7">
        <w:rPr>
          <w:noProof/>
        </w:rPr>
        <w:lastRenderedPageBreak/>
        <w:t xml:space="preserve">paying and high tangible asset firms when sentiment continues </w:t>
      </w:r>
      <w:r>
        <w:rPr>
          <w:noProof/>
        </w:rPr>
        <w:t xml:space="preserve">in the same state </w:t>
      </w:r>
      <w:r w:rsidRPr="00E65AA7">
        <w:rPr>
          <w:noProof/>
        </w:rPr>
        <w:t>i.e., H/H</w:t>
      </w:r>
      <w:r>
        <w:rPr>
          <w:noProof/>
        </w:rPr>
        <w:t xml:space="preserve"> or </w:t>
      </w:r>
      <w:r w:rsidRPr="00E65AA7">
        <w:rPr>
          <w:noProof/>
        </w:rPr>
        <w:t>L/L</w:t>
      </w:r>
      <w:r>
        <w:rPr>
          <w:noProof/>
        </w:rPr>
        <w:t>.</w:t>
      </w:r>
      <w:r w:rsidRPr="00E65AA7">
        <w:rPr>
          <w:noProof/>
        </w:rPr>
        <w:t xml:space="preserve"> </w:t>
      </w:r>
      <w:r>
        <w:rPr>
          <w:noProof/>
        </w:rPr>
        <w:t>T</w:t>
      </w:r>
      <w:r w:rsidRPr="00E65AA7">
        <w:rPr>
          <w:noProof/>
        </w:rPr>
        <w:t xml:space="preserve">he overpricing (underpricing) is corrected </w:t>
      </w:r>
      <w:r>
        <w:rPr>
          <w:noProof/>
        </w:rPr>
        <w:t xml:space="preserve">only </w:t>
      </w:r>
      <w:r w:rsidRPr="00E65AA7">
        <w:rPr>
          <w:noProof/>
        </w:rPr>
        <w:t>when sentiment transitions to</w:t>
      </w:r>
      <w:r>
        <w:rPr>
          <w:noProof/>
        </w:rPr>
        <w:t xml:space="preserve"> the other state, i.e., </w:t>
      </w:r>
      <w:r w:rsidRPr="00E65AA7">
        <w:rPr>
          <w:noProof/>
        </w:rPr>
        <w:t xml:space="preserve">H/L </w:t>
      </w:r>
      <w:r>
        <w:rPr>
          <w:noProof/>
        </w:rPr>
        <w:t xml:space="preserve">or </w:t>
      </w:r>
      <w:r w:rsidRPr="00E65AA7">
        <w:rPr>
          <w:noProof/>
        </w:rPr>
        <w:t>L/</w:t>
      </w:r>
      <w:r w:rsidRPr="00CA6974">
        <w:rPr>
          <w:noProof/>
        </w:rPr>
        <w:t>H.</w:t>
      </w:r>
      <w:r w:rsidR="00527BBD" w:rsidRPr="00CA6974">
        <w:rPr>
          <w:noProof/>
        </w:rPr>
        <w:t xml:space="preserve"> </w:t>
      </w:r>
      <w:r w:rsidR="00C21873" w:rsidRPr="00CA6974">
        <w:rPr>
          <w:noProof/>
        </w:rPr>
        <w:t>These results are consistent with the view that the mispricing of stocks is sentiment-driven</w:t>
      </w:r>
      <w:r w:rsidR="00920FBB" w:rsidRPr="00CA6974">
        <w:rPr>
          <w:noProof/>
        </w:rPr>
        <w:t>, and its impact is more pronounced in HVHA than EVEA stocks</w:t>
      </w:r>
      <w:r w:rsidR="00C21873" w:rsidRPr="00CA6974">
        <w:rPr>
          <w:noProof/>
        </w:rPr>
        <w:t xml:space="preserve">. The results also suggest that sentiment is a momentum (contrarian) predictor </w:t>
      </w:r>
      <w:r w:rsidR="00C21873" w:rsidRPr="00CA6974">
        <w:rPr>
          <w:i/>
          <w:noProof/>
        </w:rPr>
        <w:t>ex post</w:t>
      </w:r>
      <w:r w:rsidR="00C21873" w:rsidRPr="00CA6974">
        <w:rPr>
          <w:noProof/>
        </w:rPr>
        <w:t xml:space="preserve"> </w:t>
      </w:r>
      <w:r w:rsidR="00312ADC" w:rsidRPr="00CA6974">
        <w:rPr>
          <w:noProof/>
        </w:rPr>
        <w:t>in senti</w:t>
      </w:r>
      <w:r w:rsidR="00FE0B3C" w:rsidRPr="00CA6974">
        <w:rPr>
          <w:noProof/>
        </w:rPr>
        <w:t>ment continuations (tra</w:t>
      </w:r>
      <w:r w:rsidR="00312ADC" w:rsidRPr="00CA6974">
        <w:rPr>
          <w:noProof/>
        </w:rPr>
        <w:t>n</w:t>
      </w:r>
      <w:r w:rsidR="00FE0B3C" w:rsidRPr="00CA6974">
        <w:rPr>
          <w:noProof/>
        </w:rPr>
        <w:t>s</w:t>
      </w:r>
      <w:r w:rsidR="00312ADC" w:rsidRPr="00CA6974">
        <w:rPr>
          <w:noProof/>
        </w:rPr>
        <w:t>itions)</w:t>
      </w:r>
      <w:r w:rsidR="00C21873" w:rsidRPr="00CA6974">
        <w:rPr>
          <w:noProof/>
        </w:rPr>
        <w:t>.</w:t>
      </w:r>
      <w:r w:rsidR="00C21873" w:rsidRPr="00C21873">
        <w:rPr>
          <w:noProof/>
        </w:rPr>
        <w:t xml:space="preserve"> </w:t>
      </w:r>
      <w:r w:rsidR="00C21873">
        <w:rPr>
          <w:noProof/>
        </w:rPr>
        <w:t>W</w:t>
      </w:r>
      <w:proofErr w:type="spellStart"/>
      <w:r w:rsidR="00C21873">
        <w:t>e</w:t>
      </w:r>
      <w:proofErr w:type="spellEnd"/>
      <w:r w:rsidR="00C21873">
        <w:t xml:space="preserve"> also</w:t>
      </w:r>
      <w:r w:rsidR="00CA5BFB">
        <w:t xml:space="preserve"> trace the mechanism of the </w:t>
      </w:r>
      <w:proofErr w:type="spellStart"/>
      <w:r w:rsidR="00CA5BFB" w:rsidRPr="00CA5BFB">
        <w:rPr>
          <w:i/>
        </w:rPr>
        <w:t>ex ante</w:t>
      </w:r>
      <w:proofErr w:type="spellEnd"/>
      <w:r w:rsidR="00CA5BFB">
        <w:t xml:space="preserve"> short-run contrarian predictive ability of investor sentiment suggested by Baker and </w:t>
      </w:r>
      <w:proofErr w:type="spellStart"/>
      <w:r w:rsidR="00CA5BFB">
        <w:t>Wurgler</w:t>
      </w:r>
      <w:proofErr w:type="spellEnd"/>
      <w:r w:rsidR="00CA5BFB">
        <w:t xml:space="preserve"> (2007)</w:t>
      </w:r>
      <w:r w:rsidR="00E247B8">
        <w:t xml:space="preserve">. We </w:t>
      </w:r>
      <w:r w:rsidR="00E81EA4">
        <w:t xml:space="preserve">show </w:t>
      </w:r>
      <w:r w:rsidR="00E247B8">
        <w:t xml:space="preserve">that low returns following High sentiment states result from </w:t>
      </w:r>
      <w:r w:rsidR="00E81EA4">
        <w:t>the negative st</w:t>
      </w:r>
      <w:r w:rsidR="00C21873">
        <w:t>ock returns, when sentiment transitions from High to Low, dominating the positive returns when sentiment continues in the High state</w:t>
      </w:r>
      <w:r w:rsidR="00E247B8">
        <w:t>.</w:t>
      </w:r>
      <w:r w:rsidR="00C21873">
        <w:t xml:space="preserve"> Similarly, </w:t>
      </w:r>
      <w:r w:rsidR="00CA5BFB">
        <w:t>high returns follow</w:t>
      </w:r>
      <w:r w:rsidR="00E247B8">
        <w:t>ing</w:t>
      </w:r>
      <w:r w:rsidR="00CA5BFB">
        <w:t xml:space="preserve"> Low sentiment states </w:t>
      </w:r>
      <w:r w:rsidR="00E247B8">
        <w:t xml:space="preserve">result </w:t>
      </w:r>
      <w:r w:rsidR="00E81EA4">
        <w:t xml:space="preserve">from the </w:t>
      </w:r>
      <w:r w:rsidR="00C21873">
        <w:t>positive stock returns when sentiment transitions from Low to High, dominat</w:t>
      </w:r>
      <w:r w:rsidR="00E247B8">
        <w:t>ing</w:t>
      </w:r>
      <w:r w:rsidR="00C21873">
        <w:t xml:space="preserve"> the negative returns w</w:t>
      </w:r>
      <w:r w:rsidR="00E81EA4">
        <w:t xml:space="preserve">hen sentiment continues in the </w:t>
      </w:r>
      <w:r w:rsidR="00C21873">
        <w:t>Low state</w:t>
      </w:r>
      <w:r w:rsidR="00CA5BFB">
        <w:t>.</w:t>
      </w:r>
    </w:p>
    <w:p w14:paraId="5B63B4C5" w14:textId="68D6066A" w:rsidR="00190E43" w:rsidRPr="008026F8" w:rsidRDefault="00F909FA" w:rsidP="00C760BC">
      <w:pPr>
        <w:pStyle w:val="BodyText"/>
        <w:spacing w:after="240" w:line="480" w:lineRule="auto"/>
        <w:contextualSpacing/>
        <w:rPr>
          <w:rFonts w:asciiTheme="minorHAnsi" w:hAnsiTheme="minorHAnsi"/>
          <w:b/>
          <w:bCs/>
        </w:rPr>
      </w:pPr>
      <w:r w:rsidRPr="008026F8">
        <w:rPr>
          <w:rFonts w:asciiTheme="minorHAnsi" w:hAnsiTheme="minorHAnsi"/>
          <w:b/>
          <w:bCs/>
        </w:rPr>
        <w:t>B</w:t>
      </w:r>
      <w:r w:rsidR="00190E43" w:rsidRPr="008026F8">
        <w:rPr>
          <w:rFonts w:asciiTheme="minorHAnsi" w:hAnsiTheme="minorHAnsi"/>
          <w:b/>
          <w:bCs/>
        </w:rPr>
        <w:t xml:space="preserve">. Investor </w:t>
      </w:r>
      <w:r w:rsidR="00573B19" w:rsidRPr="008026F8">
        <w:rPr>
          <w:rFonts w:asciiTheme="minorHAnsi" w:hAnsiTheme="minorHAnsi"/>
          <w:b/>
          <w:bCs/>
        </w:rPr>
        <w:t>s</w:t>
      </w:r>
      <w:r w:rsidR="00190E43" w:rsidRPr="008026F8">
        <w:rPr>
          <w:rFonts w:asciiTheme="minorHAnsi" w:hAnsiTheme="minorHAnsi"/>
          <w:b/>
          <w:bCs/>
        </w:rPr>
        <w:t xml:space="preserve">entiment </w:t>
      </w:r>
      <w:r w:rsidR="00573B19" w:rsidRPr="008026F8">
        <w:rPr>
          <w:rFonts w:asciiTheme="minorHAnsi" w:hAnsiTheme="minorHAnsi"/>
          <w:b/>
          <w:bCs/>
        </w:rPr>
        <w:t>d</w:t>
      </w:r>
      <w:r w:rsidR="00190E43" w:rsidRPr="008026F8">
        <w:rPr>
          <w:rFonts w:asciiTheme="minorHAnsi" w:hAnsiTheme="minorHAnsi"/>
          <w:b/>
          <w:bCs/>
        </w:rPr>
        <w:t xml:space="preserve">ynamics and </w:t>
      </w:r>
      <w:r w:rsidR="0078281B" w:rsidRPr="008026F8">
        <w:rPr>
          <w:rFonts w:asciiTheme="minorHAnsi" w:hAnsiTheme="minorHAnsi"/>
          <w:b/>
          <w:bCs/>
        </w:rPr>
        <w:t xml:space="preserve">the </w:t>
      </w:r>
      <w:r w:rsidR="00190E43" w:rsidRPr="008026F8">
        <w:rPr>
          <w:rFonts w:asciiTheme="minorHAnsi" w:hAnsiTheme="minorHAnsi"/>
          <w:b/>
          <w:bCs/>
        </w:rPr>
        <w:t xml:space="preserve">MAX </w:t>
      </w:r>
      <w:r w:rsidR="00573B19" w:rsidRPr="008026F8">
        <w:rPr>
          <w:rFonts w:asciiTheme="minorHAnsi" w:hAnsiTheme="minorHAnsi"/>
          <w:b/>
          <w:bCs/>
        </w:rPr>
        <w:t>e</w:t>
      </w:r>
      <w:r w:rsidR="00190E43" w:rsidRPr="008026F8">
        <w:rPr>
          <w:rFonts w:asciiTheme="minorHAnsi" w:hAnsiTheme="minorHAnsi"/>
          <w:b/>
          <w:bCs/>
        </w:rPr>
        <w:t>ffect</w:t>
      </w:r>
    </w:p>
    <w:p w14:paraId="07B53BA9" w14:textId="1F1AE75F" w:rsidR="006B7884" w:rsidRDefault="00190E43" w:rsidP="00C760BC">
      <w:pPr>
        <w:widowControl w:val="0"/>
        <w:spacing w:line="480" w:lineRule="auto"/>
        <w:ind w:firstLine="720"/>
        <w:rPr>
          <w:rFonts w:eastAsia="Times New Roman"/>
        </w:rPr>
      </w:pPr>
      <w:r w:rsidRPr="00E65AA7">
        <w:rPr>
          <w:rFonts w:eastAsia="Times New Roman"/>
        </w:rPr>
        <w:t xml:space="preserve">In this section, </w:t>
      </w:r>
      <w:r>
        <w:rPr>
          <w:rFonts w:eastAsia="Times New Roman"/>
        </w:rPr>
        <w:t xml:space="preserve">we examine </w:t>
      </w:r>
      <w:r w:rsidR="00B94EB7">
        <w:rPr>
          <w:rFonts w:eastAsia="Times New Roman"/>
        </w:rPr>
        <w:t xml:space="preserve">how </w:t>
      </w:r>
      <w:r>
        <w:rPr>
          <w:rFonts w:eastAsia="Times New Roman"/>
        </w:rPr>
        <w:t xml:space="preserve">sentiment dynamics </w:t>
      </w:r>
      <w:r w:rsidR="00B94EB7">
        <w:rPr>
          <w:rFonts w:eastAsia="Times New Roman"/>
        </w:rPr>
        <w:t xml:space="preserve">relate to </w:t>
      </w:r>
      <w:r w:rsidR="0078281B">
        <w:rPr>
          <w:rFonts w:eastAsia="Times New Roman"/>
        </w:rPr>
        <w:t xml:space="preserve">the </w:t>
      </w:r>
      <w:r w:rsidR="00B37043">
        <w:rPr>
          <w:rFonts w:eastAsia="Times New Roman"/>
        </w:rPr>
        <w:t>MAX effect</w:t>
      </w:r>
      <w:r w:rsidR="007D097B">
        <w:rPr>
          <w:rFonts w:eastAsia="Times New Roman"/>
        </w:rPr>
        <w:t>. F</w:t>
      </w:r>
      <w:r w:rsidR="006B7884">
        <w:rPr>
          <w:rFonts w:eastAsia="Times New Roman"/>
        </w:rPr>
        <w:t xml:space="preserve">irst, we test </w:t>
      </w:r>
      <w:r w:rsidR="00FC4B76">
        <w:rPr>
          <w:rFonts w:eastAsia="Times New Roman"/>
        </w:rPr>
        <w:t xml:space="preserve">for the presence of </w:t>
      </w:r>
      <w:r w:rsidR="006B7884">
        <w:rPr>
          <w:rFonts w:eastAsia="Times New Roman"/>
        </w:rPr>
        <w:t xml:space="preserve">the unconditional </w:t>
      </w:r>
      <w:r w:rsidR="00BA58C1">
        <w:rPr>
          <w:rFonts w:eastAsia="Times New Roman"/>
        </w:rPr>
        <w:t xml:space="preserve">negative </w:t>
      </w:r>
      <w:r w:rsidR="006B7884">
        <w:rPr>
          <w:rFonts w:eastAsia="Times New Roman"/>
        </w:rPr>
        <w:t xml:space="preserve">MAX effect and </w:t>
      </w:r>
      <w:r w:rsidR="00BA58C1">
        <w:rPr>
          <w:rFonts w:eastAsia="Times New Roman"/>
        </w:rPr>
        <w:t>affirm its existence</w:t>
      </w:r>
      <w:r w:rsidR="006B7884">
        <w:rPr>
          <w:rFonts w:eastAsia="Times New Roman"/>
        </w:rPr>
        <w:t xml:space="preserve">, consistent with the literature </w:t>
      </w:r>
      <w:r w:rsidR="006B7884">
        <w:rPr>
          <w:rFonts w:eastAsia="Times New Roman"/>
        </w:rPr>
        <w:fldChar w:fldCharType="begin"/>
      </w:r>
      <w:r w:rsidR="006B7884">
        <w:rPr>
          <w:rFonts w:eastAsia="Times New Roman"/>
        </w:rPr>
        <w:instrText xml:space="preserve"> ADDIN EN.CITE &lt;EndNote&gt;&lt;Cite&gt;&lt;Author&gt;Bali&lt;/Author&gt;&lt;Year&gt;2011&lt;/Year&gt;&lt;RecNum&gt;460&lt;/RecNum&gt;&lt;Prefix&gt;e.g. &lt;/Prefix&gt;&lt;DisplayText&gt;(e.g. Bali et al.,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rsidR="006B7884">
        <w:rPr>
          <w:rFonts w:eastAsia="Times New Roman"/>
        </w:rPr>
        <w:fldChar w:fldCharType="separate"/>
      </w:r>
      <w:r w:rsidR="006B7884">
        <w:rPr>
          <w:rFonts w:eastAsia="Times New Roman"/>
          <w:noProof/>
        </w:rPr>
        <w:t>(</w:t>
      </w:r>
      <w:hyperlink w:anchor="_ENREF_6" w:tooltip="Bali, 2011 #460" w:history="1">
        <w:r w:rsidR="006913E2">
          <w:rPr>
            <w:rFonts w:eastAsia="Times New Roman"/>
            <w:noProof/>
          </w:rPr>
          <w:t>e.g. Bali et al., 2011</w:t>
        </w:r>
      </w:hyperlink>
      <w:r w:rsidR="006B7884">
        <w:rPr>
          <w:rFonts w:eastAsia="Times New Roman"/>
          <w:noProof/>
        </w:rPr>
        <w:t>)</w:t>
      </w:r>
      <w:r w:rsidR="006B7884">
        <w:rPr>
          <w:rFonts w:eastAsia="Times New Roman"/>
        </w:rPr>
        <w:fldChar w:fldCharType="end"/>
      </w:r>
      <w:r w:rsidR="006B7884">
        <w:rPr>
          <w:rFonts w:eastAsia="Times New Roman"/>
        </w:rPr>
        <w:t>.</w:t>
      </w:r>
      <w:r w:rsidR="006B7884">
        <w:rPr>
          <w:rStyle w:val="FootnoteReference"/>
          <w:rFonts w:eastAsia="Times New Roman"/>
        </w:rPr>
        <w:footnoteReference w:id="15"/>
      </w:r>
      <w:r w:rsidR="006B7884">
        <w:rPr>
          <w:rFonts w:eastAsia="Times New Roman"/>
        </w:rPr>
        <w:t xml:space="preserve"> Second, we </w:t>
      </w:r>
      <w:r w:rsidR="000429C3">
        <w:rPr>
          <w:rFonts w:eastAsia="Times New Roman"/>
        </w:rPr>
        <w:t xml:space="preserve">condition </w:t>
      </w:r>
      <w:r w:rsidR="006B7884">
        <w:rPr>
          <w:rFonts w:eastAsia="Times New Roman"/>
        </w:rPr>
        <w:t xml:space="preserve">the MAX effect on </w:t>
      </w:r>
      <w:r w:rsidR="00B94EB7">
        <w:rPr>
          <w:rFonts w:eastAsia="Times New Roman"/>
        </w:rPr>
        <w:t xml:space="preserve">investor </w:t>
      </w:r>
      <w:r w:rsidR="006B7884">
        <w:rPr>
          <w:rFonts w:eastAsia="Times New Roman"/>
        </w:rPr>
        <w:t xml:space="preserve">sentiment as in </w:t>
      </w:r>
      <w:hyperlink w:anchor="_ENREF_23" w:tooltip="Fong, 2014 #436" w:history="1">
        <w:r w:rsidR="006913E2">
          <w:rPr>
            <w:rFonts w:eastAsia="Times New Roman"/>
          </w:rPr>
          <w:fldChar w:fldCharType="begin"/>
        </w:r>
        <w:r w:rsidR="006913E2">
          <w:rPr>
            <w:rFonts w:eastAsia="Times New Roman"/>
          </w:rPr>
          <w:instrText xml:space="preserve"> ADDIN EN.CITE &lt;EndNote&gt;&lt;Cite AuthorYear="1"&gt;&lt;Author&gt;Fong&lt;/Author&gt;&lt;Year&gt;2014&lt;/Year&gt;&lt;RecNum&gt;436&lt;/RecNum&gt;&lt;DisplayText&gt;Fong and Toh (2014)&lt;/DisplayText&gt;&lt;record&gt;&lt;rec-number&gt;436&lt;/rec-number&gt;&lt;foreign-keys&gt;&lt;key app="EN" db-id="vafzs99fq0ew0seasdvvtxzufavxfwxtx2tr" timestamp="1490404297"&gt;436&lt;/key&gt;&lt;/foreign-keys&gt;&lt;ref-type name="Journal Article"&gt;17&lt;/ref-type&gt;&lt;contributors&gt;&lt;authors&gt;&lt;author&gt;Fong, Wai Mun&lt;/author&gt;&lt;author&gt;Toh, Benjamin&lt;/author&gt;&lt;/authors&gt;&lt;/contributors&gt;&lt;titles&gt;&lt;title&gt;Investor sentiment and the MAX effect&lt;/title&gt;&lt;secondary-title&gt;Journal of Banking &amp;amp; Finance&lt;/secondary-title&gt;&lt;/titles&gt;&lt;periodical&gt;&lt;full-title&gt;Journal of Banking &amp;amp; Finance&lt;/full-title&gt;&lt;/periodical&gt;&lt;pages&gt;190-201&lt;/pages&gt;&lt;volume&gt;46&lt;/volume&gt;&lt;dates&gt;&lt;year&gt;2014&lt;/year&gt;&lt;/dates&gt;&lt;isbn&gt;0378-4266&lt;/isbn&gt;&lt;urls&gt;&lt;/urls&gt;&lt;/record&gt;&lt;/Cite&gt;&lt;/EndNote&gt;</w:instrText>
        </w:r>
        <w:r w:rsidR="006913E2">
          <w:rPr>
            <w:rFonts w:eastAsia="Times New Roman"/>
          </w:rPr>
          <w:fldChar w:fldCharType="separate"/>
        </w:r>
        <w:r w:rsidR="006913E2">
          <w:rPr>
            <w:rFonts w:eastAsia="Times New Roman"/>
            <w:noProof/>
          </w:rPr>
          <w:t>Fong and Toh (2014)</w:t>
        </w:r>
        <w:r w:rsidR="006913E2">
          <w:rPr>
            <w:rFonts w:eastAsia="Times New Roman"/>
          </w:rPr>
          <w:fldChar w:fldCharType="end"/>
        </w:r>
      </w:hyperlink>
      <w:r w:rsidR="006B7884">
        <w:rPr>
          <w:rFonts w:eastAsia="Times New Roman"/>
        </w:rPr>
        <w:t xml:space="preserve">, and confirm their finding </w:t>
      </w:r>
      <w:r w:rsidR="00B94EB7">
        <w:rPr>
          <w:rFonts w:eastAsia="Times New Roman"/>
        </w:rPr>
        <w:t>that the</w:t>
      </w:r>
      <w:r w:rsidR="006B7884">
        <w:rPr>
          <w:rFonts w:eastAsia="Times New Roman"/>
        </w:rPr>
        <w:t xml:space="preserve"> negative MAX effect </w:t>
      </w:r>
      <w:r w:rsidR="00B94EB7">
        <w:rPr>
          <w:rFonts w:eastAsia="Times New Roman"/>
        </w:rPr>
        <w:t xml:space="preserve">exclusively follows </w:t>
      </w:r>
      <w:r w:rsidR="006B7884">
        <w:rPr>
          <w:rFonts w:eastAsia="Times New Roman"/>
        </w:rPr>
        <w:t>high sentiment periods.</w:t>
      </w:r>
      <w:r w:rsidR="006B7884">
        <w:rPr>
          <w:rStyle w:val="FootnoteReference"/>
          <w:rFonts w:eastAsia="Times New Roman"/>
        </w:rPr>
        <w:footnoteReference w:id="16"/>
      </w:r>
      <w:r w:rsidR="006B7884">
        <w:rPr>
          <w:rFonts w:eastAsia="Times New Roman"/>
        </w:rPr>
        <w:t xml:space="preserve"> </w:t>
      </w:r>
      <w:r w:rsidR="00FC4B76">
        <w:rPr>
          <w:rFonts w:eastAsia="Times New Roman"/>
        </w:rPr>
        <w:t xml:space="preserve">We also </w:t>
      </w:r>
      <w:r w:rsidR="006B7884">
        <w:rPr>
          <w:rFonts w:eastAsia="Times New Roman"/>
        </w:rPr>
        <w:t xml:space="preserve">find that stocks with extreme positive returns are small, consistent with </w:t>
      </w:r>
      <w:hyperlink w:anchor="_ENREF_6" w:tooltip="Bali, 2011 #460" w:history="1">
        <w:r w:rsidR="006913E2">
          <w:fldChar w:fldCharType="begin"/>
        </w:r>
        <w:r w:rsidR="006913E2">
          <w:instrText xml:space="preserve"> ADDIN EN.CITE &lt;EndNote&gt;&lt;Cite AuthorYear="1"&gt;&lt;Author&gt;Bali&lt;/Author&gt;&lt;Year&gt;2011&lt;/Year&gt;&lt;RecNum&gt;460&lt;/RecNum&gt;&lt;DisplayText&gt;Bali et al.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rsidR="006913E2">
          <w:fldChar w:fldCharType="separate"/>
        </w:r>
        <w:r w:rsidR="006913E2">
          <w:rPr>
            <w:noProof/>
          </w:rPr>
          <w:t>Bali et al. (2011)</w:t>
        </w:r>
        <w:r w:rsidR="006913E2">
          <w:fldChar w:fldCharType="end"/>
        </w:r>
      </w:hyperlink>
      <w:r w:rsidR="006B7884">
        <w:rPr>
          <w:rFonts w:eastAsia="Times New Roman"/>
        </w:rPr>
        <w:t xml:space="preserve">. For example, the average market capitalization of the </w:t>
      </w:r>
      <w:r w:rsidR="00C44613">
        <w:rPr>
          <w:rFonts w:eastAsia="Times New Roman"/>
        </w:rPr>
        <w:t xml:space="preserve">high MAX decile (P10) is only 1.26% of total market capitalization compared with </w:t>
      </w:r>
      <w:r w:rsidR="006B7884">
        <w:rPr>
          <w:rFonts w:eastAsia="Times New Roman"/>
        </w:rPr>
        <w:t xml:space="preserve">24% </w:t>
      </w:r>
      <w:r w:rsidR="00C44613">
        <w:rPr>
          <w:rFonts w:eastAsia="Times New Roman"/>
        </w:rPr>
        <w:t>for the low MAX decile (P1).</w:t>
      </w:r>
      <w:r w:rsidR="006B7884">
        <w:rPr>
          <w:rFonts w:eastAsia="Times New Roman"/>
        </w:rPr>
        <w:t xml:space="preserve"> </w:t>
      </w:r>
    </w:p>
    <w:p w14:paraId="1B1AD16B" w14:textId="47F5D956" w:rsidR="00190E43" w:rsidRPr="00E65AA7" w:rsidRDefault="006B7884" w:rsidP="00C760BC">
      <w:pPr>
        <w:pStyle w:val="BodyText"/>
        <w:spacing w:line="480" w:lineRule="auto"/>
        <w:ind w:firstLine="720"/>
        <w:rPr>
          <w:rFonts w:eastAsia="Times New Roman"/>
        </w:rPr>
      </w:pPr>
      <w:proofErr w:type="gramStart"/>
      <w:r>
        <w:rPr>
          <w:rFonts w:eastAsia="Times New Roman"/>
        </w:rPr>
        <w:lastRenderedPageBreak/>
        <w:t>Next</w:t>
      </w:r>
      <w:proofErr w:type="gramEnd"/>
      <w:r>
        <w:rPr>
          <w:rFonts w:eastAsia="Times New Roman"/>
        </w:rPr>
        <w:t xml:space="preserve"> we</w:t>
      </w:r>
      <w:r w:rsidR="00B37043">
        <w:rPr>
          <w:rFonts w:eastAsia="Times New Roman"/>
        </w:rPr>
        <w:t xml:space="preserve"> </w:t>
      </w:r>
      <w:r w:rsidR="00B94EB7">
        <w:rPr>
          <w:rFonts w:eastAsia="Times New Roman"/>
        </w:rPr>
        <w:t xml:space="preserve">introduce sentiment dynamics and </w:t>
      </w:r>
      <w:r w:rsidR="00B37043">
        <w:rPr>
          <w:rFonts w:eastAsia="Times New Roman"/>
        </w:rPr>
        <w:t xml:space="preserve">test our </w:t>
      </w:r>
      <w:r w:rsidR="00376A21">
        <w:rPr>
          <w:rFonts w:eastAsia="Times New Roman"/>
        </w:rPr>
        <w:t>second</w:t>
      </w:r>
      <w:r w:rsidR="00376A21" w:rsidRPr="00E65AA7">
        <w:rPr>
          <w:rFonts w:eastAsia="Times New Roman"/>
        </w:rPr>
        <w:t xml:space="preserve"> </w:t>
      </w:r>
      <w:r w:rsidR="00190E43" w:rsidRPr="00E65AA7">
        <w:rPr>
          <w:rFonts w:eastAsia="Times New Roman"/>
        </w:rPr>
        <w:t xml:space="preserve">hypothesis that </w:t>
      </w:r>
      <w:r w:rsidR="0078281B">
        <w:rPr>
          <w:rFonts w:eastAsia="Times New Roman"/>
        </w:rPr>
        <w:t>t</w:t>
      </w:r>
      <w:r w:rsidR="0078281B" w:rsidRPr="0078281B">
        <w:rPr>
          <w:rFonts w:eastAsia="Times New Roman"/>
        </w:rPr>
        <w:t xml:space="preserve">he negative MAX effect will be evident only when sentiment transitions from High to Low or when sentiment continues to be Low. </w:t>
      </w:r>
      <w:r w:rsidR="003E683D">
        <w:rPr>
          <w:rFonts w:eastAsia="Times New Roman"/>
        </w:rPr>
        <w:t xml:space="preserve">At the beginning of each month </w:t>
      </w:r>
      <w:r w:rsidR="003E683D" w:rsidRPr="008F7672">
        <w:rPr>
          <w:rFonts w:eastAsia="Times New Roman"/>
          <w:i/>
        </w:rPr>
        <w:t>t</w:t>
      </w:r>
      <w:r w:rsidR="003E683D">
        <w:rPr>
          <w:rFonts w:eastAsia="Times New Roman"/>
        </w:rPr>
        <w:t>, we sort stocks into deciles based on the maximum daily returns over the past month (</w:t>
      </w:r>
      <w:r w:rsidR="003E683D">
        <w:rPr>
          <w:rFonts w:eastAsia="Times New Roman"/>
          <w:i/>
        </w:rPr>
        <w:t>t</w:t>
      </w:r>
      <w:r w:rsidR="003E683D">
        <w:rPr>
          <w:rFonts w:eastAsia="Times New Roman"/>
        </w:rPr>
        <w:t>-1).</w:t>
      </w:r>
      <w:r w:rsidR="008817DF">
        <w:rPr>
          <w:rStyle w:val="FootnoteReference"/>
          <w:rFonts w:eastAsia="Times New Roman"/>
        </w:rPr>
        <w:footnoteReference w:id="17"/>
      </w:r>
      <w:r w:rsidR="00190E43" w:rsidRPr="00E65AA7">
        <w:rPr>
          <w:rFonts w:eastAsia="Times New Roman"/>
        </w:rPr>
        <w:t xml:space="preserve"> </w:t>
      </w:r>
      <w:r w:rsidR="00EF57BF" w:rsidRPr="00A05DEF">
        <w:rPr>
          <w:rFonts w:eastAsia="Times New Roman"/>
        </w:rPr>
        <w:t>We use the sentiment levels index (</w:t>
      </w:r>
      <w:r w:rsidR="00EF57BF" w:rsidRPr="00A05DEF">
        <w:t>STM)</w:t>
      </w:r>
      <w:r w:rsidR="00EF57BF" w:rsidRPr="00A05DEF">
        <w:rPr>
          <w:rFonts w:eastAsia="Times New Roman"/>
        </w:rPr>
        <w:t xml:space="preserve"> to define lagged sentiment</w:t>
      </w:r>
      <w:r w:rsidR="007C2AEF" w:rsidRPr="00A05DEF">
        <w:rPr>
          <w:rFonts w:eastAsia="Times New Roman"/>
        </w:rPr>
        <w:t xml:space="preserve"> and the</w:t>
      </w:r>
      <w:r w:rsidR="00EF57BF" w:rsidRPr="00A05DEF">
        <w:rPr>
          <w:rFonts w:eastAsia="Times New Roman"/>
        </w:rPr>
        <w:t xml:space="preserve"> sentiment changes index (</w:t>
      </w:r>
      <w:r w:rsidR="00EF57BF" w:rsidRPr="00A05DEF">
        <w:t xml:space="preserve">▲STM) </w:t>
      </w:r>
      <w:r w:rsidR="00EF57BF" w:rsidRPr="00A05DEF">
        <w:rPr>
          <w:rFonts w:eastAsia="Times New Roman"/>
        </w:rPr>
        <w:t xml:space="preserve">to define </w:t>
      </w:r>
      <w:r w:rsidR="0047698C" w:rsidRPr="00A05DEF">
        <w:rPr>
          <w:rFonts w:eastAsia="Times New Roman"/>
        </w:rPr>
        <w:t xml:space="preserve">the </w:t>
      </w:r>
      <w:r w:rsidR="00EF57BF" w:rsidRPr="00A05DEF">
        <w:rPr>
          <w:rFonts w:eastAsia="Times New Roman"/>
        </w:rPr>
        <w:t>subsequent change in sentiment</w:t>
      </w:r>
      <w:r w:rsidR="00606D2F" w:rsidRPr="00A05DEF">
        <w:rPr>
          <w:rFonts w:eastAsia="Times New Roman"/>
        </w:rPr>
        <w:t xml:space="preserve"> as in section III.A</w:t>
      </w:r>
      <w:r w:rsidR="00EF57BF" w:rsidRPr="00A05DEF">
        <w:rPr>
          <w:rFonts w:eastAsia="Times New Roman"/>
        </w:rPr>
        <w:t>.</w:t>
      </w:r>
      <w:r w:rsidR="00E2070E" w:rsidRPr="00A05DEF">
        <w:rPr>
          <w:rStyle w:val="FootnoteReference"/>
          <w:rFonts w:eastAsia="Times New Roman"/>
        </w:rPr>
        <w:footnoteReference w:id="18"/>
      </w:r>
      <w:r w:rsidR="00190E43" w:rsidRPr="00A05DEF">
        <w:rPr>
          <w:rFonts w:eastAsia="Times New Roman"/>
        </w:rPr>
        <w:t xml:space="preserve"> </w:t>
      </w:r>
    </w:p>
    <w:p w14:paraId="6EE0C644" w14:textId="22FAB2D4" w:rsidR="00190E43" w:rsidRDefault="00190E43" w:rsidP="00C760BC">
      <w:pPr>
        <w:widowControl w:val="0"/>
        <w:spacing w:line="480" w:lineRule="auto"/>
        <w:ind w:firstLine="720"/>
        <w:rPr>
          <w:rFonts w:eastAsia="Times New Roman"/>
        </w:rPr>
      </w:pPr>
      <w:r w:rsidRPr="00E65AA7">
        <w:rPr>
          <w:rFonts w:eastAsia="Times New Roman"/>
        </w:rPr>
        <w:t xml:space="preserve">Table </w:t>
      </w:r>
      <w:r w:rsidR="00ED31C3">
        <w:rPr>
          <w:rFonts w:eastAsia="Times New Roman"/>
        </w:rPr>
        <w:t>6</w:t>
      </w:r>
      <w:r w:rsidR="00376A21">
        <w:rPr>
          <w:rFonts w:eastAsia="Times New Roman"/>
        </w:rPr>
        <w:t xml:space="preserve"> </w:t>
      </w:r>
      <w:r w:rsidR="00FC5E52">
        <w:rPr>
          <w:rFonts w:eastAsia="Times New Roman"/>
        </w:rPr>
        <w:t>reports</w:t>
      </w:r>
      <w:r w:rsidR="00F0094A">
        <w:rPr>
          <w:rFonts w:eastAsia="Times New Roman"/>
        </w:rPr>
        <w:t xml:space="preserve"> the </w:t>
      </w:r>
      <w:r w:rsidR="00E8238E">
        <w:rPr>
          <w:rFonts w:eastAsia="Times New Roman"/>
        </w:rPr>
        <w:t xml:space="preserve">equal- and value-weighted </w:t>
      </w:r>
      <w:r w:rsidR="00F0094A">
        <w:rPr>
          <w:rFonts w:eastAsia="Times New Roman"/>
        </w:rPr>
        <w:t xml:space="preserve">average </w:t>
      </w:r>
      <w:r w:rsidRPr="00E65AA7">
        <w:rPr>
          <w:rFonts w:eastAsia="Times New Roman"/>
        </w:rPr>
        <w:t xml:space="preserve">monthly returns of </w:t>
      </w:r>
      <w:r w:rsidR="00E8238E">
        <w:rPr>
          <w:rFonts w:eastAsia="Times New Roman"/>
        </w:rPr>
        <w:t>stocks sorted on maximum daily returns over the past month</w:t>
      </w:r>
      <w:r w:rsidR="00BA58C1">
        <w:rPr>
          <w:rFonts w:eastAsia="Times New Roman"/>
        </w:rPr>
        <w:t>,</w:t>
      </w:r>
      <w:r w:rsidRPr="00E65AA7">
        <w:rPr>
          <w:rFonts w:eastAsia="Times New Roman"/>
        </w:rPr>
        <w:t xml:space="preserve"> </w:t>
      </w:r>
      <w:r w:rsidR="001C14BD">
        <w:rPr>
          <w:rFonts w:eastAsia="Times New Roman"/>
        </w:rPr>
        <w:t xml:space="preserve">conditioned on </w:t>
      </w:r>
      <w:r w:rsidR="00CB73C1" w:rsidRPr="00E65AA7">
        <w:rPr>
          <w:noProof/>
        </w:rPr>
        <w:t>sentiment dynamics</w:t>
      </w:r>
      <w:r w:rsidRPr="00E65AA7">
        <w:rPr>
          <w:rFonts w:eastAsia="Times New Roman"/>
        </w:rPr>
        <w:t xml:space="preserve">. </w:t>
      </w:r>
      <w:r w:rsidR="00E8238E">
        <w:rPr>
          <w:rFonts w:eastAsia="Times New Roman"/>
        </w:rPr>
        <w:t xml:space="preserve">P1 (P10) </w:t>
      </w:r>
      <w:r w:rsidR="00C807C8">
        <w:rPr>
          <w:rFonts w:eastAsia="Times New Roman"/>
        </w:rPr>
        <w:t>is the portfolio of stocks with the lowest (highest) maximum daily returns during the past</w:t>
      </w:r>
      <w:r w:rsidR="005772D1">
        <w:rPr>
          <w:rFonts w:eastAsia="Times New Roman"/>
        </w:rPr>
        <w:t xml:space="preserve"> </w:t>
      </w:r>
      <w:r w:rsidR="00C807C8">
        <w:rPr>
          <w:rFonts w:eastAsia="Times New Roman"/>
        </w:rPr>
        <w:t>month</w:t>
      </w:r>
      <w:r w:rsidR="005772D1">
        <w:rPr>
          <w:rFonts w:eastAsia="Times New Roman"/>
        </w:rPr>
        <w:t>, and P1</w:t>
      </w:r>
      <w:r w:rsidR="008230F3">
        <w:rPr>
          <w:rFonts w:eastAsia="Times New Roman"/>
        </w:rPr>
        <w:t>0</w:t>
      </w:r>
      <w:r w:rsidR="005772D1">
        <w:rPr>
          <w:rFonts w:eastAsia="Times New Roman"/>
        </w:rPr>
        <w:t>-P1</w:t>
      </w:r>
      <w:r w:rsidR="007D097B">
        <w:rPr>
          <w:rFonts w:eastAsia="Times New Roman"/>
        </w:rPr>
        <w:t xml:space="preserve"> is the return spread </w:t>
      </w:r>
      <w:r w:rsidR="00174449">
        <w:rPr>
          <w:rFonts w:eastAsia="Times New Roman"/>
        </w:rPr>
        <w:t>between</w:t>
      </w:r>
      <w:r w:rsidR="007D097B">
        <w:rPr>
          <w:rFonts w:eastAsia="Times New Roman"/>
        </w:rPr>
        <w:t xml:space="preserve"> the </w:t>
      </w:r>
      <w:r w:rsidR="008230F3">
        <w:rPr>
          <w:rFonts w:eastAsia="Times New Roman"/>
        </w:rPr>
        <w:t>high</w:t>
      </w:r>
      <w:r w:rsidR="00C82927">
        <w:rPr>
          <w:rFonts w:eastAsia="Times New Roman"/>
        </w:rPr>
        <w:t xml:space="preserve"> </w:t>
      </w:r>
      <w:r w:rsidR="007D097B">
        <w:rPr>
          <w:rFonts w:eastAsia="Times New Roman"/>
        </w:rPr>
        <w:t xml:space="preserve">and </w:t>
      </w:r>
      <w:r w:rsidR="008230F3">
        <w:rPr>
          <w:rFonts w:eastAsia="Times New Roman"/>
        </w:rPr>
        <w:t>low</w:t>
      </w:r>
      <w:r w:rsidR="00C82927">
        <w:rPr>
          <w:rFonts w:eastAsia="Times New Roman"/>
        </w:rPr>
        <w:t xml:space="preserve"> M</w:t>
      </w:r>
      <w:r w:rsidR="00BA58C1">
        <w:rPr>
          <w:rFonts w:eastAsia="Times New Roman"/>
        </w:rPr>
        <w:t>AX</w:t>
      </w:r>
      <w:r w:rsidR="007D097B">
        <w:rPr>
          <w:rFonts w:eastAsia="Times New Roman"/>
        </w:rPr>
        <w:t xml:space="preserve"> portfolios</w:t>
      </w:r>
      <w:r w:rsidR="00174449">
        <w:rPr>
          <w:rFonts w:eastAsia="Times New Roman"/>
        </w:rPr>
        <w:t>.</w:t>
      </w:r>
    </w:p>
    <w:p w14:paraId="610FD01C" w14:textId="2F2C905C" w:rsidR="00EA01C4" w:rsidRDefault="00C226E0" w:rsidP="00D41050">
      <w:pPr>
        <w:widowControl w:val="0"/>
        <w:spacing w:line="480" w:lineRule="auto"/>
        <w:ind w:firstLine="720"/>
        <w:rPr>
          <w:noProof/>
        </w:rPr>
      </w:pPr>
      <w:r>
        <w:rPr>
          <w:rFonts w:eastAsia="Times New Roman"/>
        </w:rPr>
        <w:t>Pa</w:t>
      </w:r>
      <w:r w:rsidR="00CB73C1">
        <w:rPr>
          <w:rFonts w:eastAsia="Times New Roman"/>
        </w:rPr>
        <w:t>nel A</w:t>
      </w:r>
      <w:r>
        <w:rPr>
          <w:rFonts w:eastAsia="Times New Roman"/>
        </w:rPr>
        <w:t xml:space="preserve"> of Tab</w:t>
      </w:r>
      <w:r w:rsidR="00CB73C1">
        <w:rPr>
          <w:rFonts w:eastAsia="Times New Roman"/>
        </w:rPr>
        <w:t xml:space="preserve">le </w:t>
      </w:r>
      <w:r w:rsidR="001E5586">
        <w:rPr>
          <w:rFonts w:eastAsia="Times New Roman"/>
        </w:rPr>
        <w:t>6</w:t>
      </w:r>
      <w:r w:rsidR="009738EA">
        <w:rPr>
          <w:rFonts w:eastAsia="Times New Roman"/>
        </w:rPr>
        <w:t xml:space="preserve"> </w:t>
      </w:r>
      <w:r w:rsidR="00CB73C1">
        <w:rPr>
          <w:rFonts w:eastAsia="Times New Roman"/>
        </w:rPr>
        <w:t>shows</w:t>
      </w:r>
      <w:r w:rsidR="005D46E9">
        <w:rPr>
          <w:rFonts w:eastAsia="Times New Roman"/>
        </w:rPr>
        <w:t>,</w:t>
      </w:r>
      <w:r w:rsidR="00CB73C1">
        <w:rPr>
          <w:rFonts w:eastAsia="Times New Roman"/>
        </w:rPr>
        <w:t xml:space="preserve"> </w:t>
      </w:r>
      <w:r w:rsidR="0007362F">
        <w:rPr>
          <w:rFonts w:eastAsia="Times New Roman"/>
        </w:rPr>
        <w:t>for equal-weighted portfolios</w:t>
      </w:r>
      <w:r w:rsidR="005D46E9">
        <w:rPr>
          <w:rFonts w:eastAsia="Times New Roman"/>
        </w:rPr>
        <w:t>,</w:t>
      </w:r>
      <w:r w:rsidR="0007362F">
        <w:rPr>
          <w:rFonts w:eastAsia="Times New Roman"/>
        </w:rPr>
        <w:t xml:space="preserve"> </w:t>
      </w:r>
      <w:r w:rsidR="00BA58C1">
        <w:rPr>
          <w:rFonts w:eastAsia="Times New Roman"/>
        </w:rPr>
        <w:t xml:space="preserve">a positive though insignificant P10 - P1 spread of 0.66% per month in the </w:t>
      </w:r>
      <w:r w:rsidR="00190E43" w:rsidRPr="00E65AA7">
        <w:rPr>
          <w:noProof/>
        </w:rPr>
        <w:t xml:space="preserve">H/H state, suggesting that high </w:t>
      </w:r>
      <w:r w:rsidR="00014122">
        <w:rPr>
          <w:noProof/>
        </w:rPr>
        <w:t>MAX</w:t>
      </w:r>
      <w:r w:rsidR="00190E43" w:rsidRPr="00E65AA7">
        <w:rPr>
          <w:noProof/>
        </w:rPr>
        <w:t xml:space="preserve"> stocks </w:t>
      </w:r>
      <w:r w:rsidR="00902106">
        <w:rPr>
          <w:noProof/>
        </w:rPr>
        <w:t>remain</w:t>
      </w:r>
      <w:r w:rsidR="00902106" w:rsidRPr="00E65AA7">
        <w:rPr>
          <w:noProof/>
        </w:rPr>
        <w:t xml:space="preserve"> </w:t>
      </w:r>
      <w:r w:rsidR="00190E43" w:rsidRPr="00E65AA7">
        <w:rPr>
          <w:noProof/>
        </w:rPr>
        <w:t xml:space="preserve">overpriced compared with low </w:t>
      </w:r>
      <w:r w:rsidR="00014122">
        <w:rPr>
          <w:noProof/>
        </w:rPr>
        <w:t>MAX</w:t>
      </w:r>
      <w:r w:rsidR="00190E43" w:rsidRPr="00E65AA7">
        <w:rPr>
          <w:noProof/>
        </w:rPr>
        <w:t xml:space="preserve"> stocks</w:t>
      </w:r>
      <w:r w:rsidR="00E856F9">
        <w:rPr>
          <w:noProof/>
        </w:rPr>
        <w:t xml:space="preserve"> when sentiment continues to be High</w:t>
      </w:r>
      <w:r w:rsidR="00190E43" w:rsidRPr="00E65AA7">
        <w:rPr>
          <w:noProof/>
        </w:rPr>
        <w:t xml:space="preserve">. </w:t>
      </w:r>
      <w:r w:rsidR="000429C3">
        <w:rPr>
          <w:noProof/>
        </w:rPr>
        <w:t xml:space="preserve">This is important because </w:t>
      </w:r>
      <w:r w:rsidR="00D41050">
        <w:rPr>
          <w:noProof/>
        </w:rPr>
        <w:t xml:space="preserve">it means that we </w:t>
      </w:r>
      <w:r w:rsidR="00DC1405">
        <w:rPr>
          <w:noProof/>
        </w:rPr>
        <w:t xml:space="preserve">observe a positive, </w:t>
      </w:r>
      <w:r w:rsidR="000429C3">
        <w:rPr>
          <w:noProof/>
        </w:rPr>
        <w:t xml:space="preserve">instead of </w:t>
      </w:r>
      <w:r w:rsidR="00606D2F">
        <w:rPr>
          <w:noProof/>
        </w:rPr>
        <w:t xml:space="preserve">a negative, </w:t>
      </w:r>
      <w:r w:rsidR="00DC1405">
        <w:rPr>
          <w:noProof/>
        </w:rPr>
        <w:t>MAX effect</w:t>
      </w:r>
      <w:r w:rsidR="000429C3">
        <w:rPr>
          <w:noProof/>
        </w:rPr>
        <w:t xml:space="preserve"> when sentiment continues in the High state</w:t>
      </w:r>
      <w:r w:rsidR="00DC1405">
        <w:rPr>
          <w:noProof/>
        </w:rPr>
        <w:t xml:space="preserve">. </w:t>
      </w:r>
      <w:r w:rsidR="00D41050">
        <w:rPr>
          <w:noProof/>
        </w:rPr>
        <w:t>T</w:t>
      </w:r>
      <w:r w:rsidR="00190E43" w:rsidRPr="00E65AA7">
        <w:rPr>
          <w:noProof/>
        </w:rPr>
        <w:t xml:space="preserve">he overpricing of high </w:t>
      </w:r>
      <w:r w:rsidR="00EB22CC">
        <w:rPr>
          <w:noProof/>
        </w:rPr>
        <w:t>MAX</w:t>
      </w:r>
      <w:r w:rsidR="00190E43" w:rsidRPr="00E65AA7">
        <w:rPr>
          <w:noProof/>
        </w:rPr>
        <w:t xml:space="preserve"> stocks is corrected when sentiment transitions to </w:t>
      </w:r>
      <w:r w:rsidR="00190E43">
        <w:rPr>
          <w:noProof/>
        </w:rPr>
        <w:t xml:space="preserve">the </w:t>
      </w:r>
      <w:r w:rsidR="00190E43" w:rsidRPr="00E65AA7">
        <w:rPr>
          <w:noProof/>
        </w:rPr>
        <w:t xml:space="preserve">Low </w:t>
      </w:r>
      <w:r w:rsidR="001C14BD">
        <w:rPr>
          <w:noProof/>
        </w:rPr>
        <w:t xml:space="preserve">state </w:t>
      </w:r>
      <w:r w:rsidR="00190E43" w:rsidRPr="00E65AA7">
        <w:rPr>
          <w:noProof/>
        </w:rPr>
        <w:t xml:space="preserve">(H/L), </w:t>
      </w:r>
      <w:r w:rsidR="00BA58C1">
        <w:rPr>
          <w:noProof/>
        </w:rPr>
        <w:t>as the P10 - P1 spread turns negative at -3.27%</w:t>
      </w:r>
      <w:r w:rsidR="00D41050">
        <w:rPr>
          <w:noProof/>
        </w:rPr>
        <w:t>; this results in the expected negative MAX efect</w:t>
      </w:r>
      <w:r w:rsidR="00BA58C1">
        <w:rPr>
          <w:noProof/>
        </w:rPr>
        <w:t>.</w:t>
      </w:r>
      <w:r w:rsidR="00D41050">
        <w:rPr>
          <w:noProof/>
        </w:rPr>
        <w:t xml:space="preserve"> </w:t>
      </w:r>
      <w:r w:rsidR="00BA58C1">
        <w:rPr>
          <w:noProof/>
        </w:rPr>
        <w:t>In constrast</w:t>
      </w:r>
      <w:r w:rsidR="00190E43" w:rsidRPr="00E65AA7">
        <w:rPr>
          <w:noProof/>
        </w:rPr>
        <w:t xml:space="preserve">, high </w:t>
      </w:r>
      <w:r w:rsidR="00E427D3">
        <w:rPr>
          <w:noProof/>
        </w:rPr>
        <w:t>MAX</w:t>
      </w:r>
      <w:r w:rsidR="00190E43" w:rsidRPr="00E65AA7">
        <w:rPr>
          <w:noProof/>
        </w:rPr>
        <w:t xml:space="preserve"> stocks remain underpriced compared with low </w:t>
      </w:r>
      <w:r w:rsidR="00161260">
        <w:rPr>
          <w:noProof/>
        </w:rPr>
        <w:t>MAX</w:t>
      </w:r>
      <w:r w:rsidR="00190E43" w:rsidRPr="00E65AA7">
        <w:rPr>
          <w:noProof/>
        </w:rPr>
        <w:t xml:space="preserve"> stocks in </w:t>
      </w:r>
      <w:r w:rsidR="00433FFA">
        <w:rPr>
          <w:noProof/>
        </w:rPr>
        <w:t xml:space="preserve">the </w:t>
      </w:r>
      <w:r w:rsidR="00190E43" w:rsidRPr="00E65AA7">
        <w:rPr>
          <w:noProof/>
        </w:rPr>
        <w:t>L/</w:t>
      </w:r>
      <w:r w:rsidR="00161260">
        <w:rPr>
          <w:noProof/>
        </w:rPr>
        <w:t xml:space="preserve">L state </w:t>
      </w:r>
      <w:r w:rsidR="00BA58C1">
        <w:rPr>
          <w:noProof/>
        </w:rPr>
        <w:t>with a negative P10 – P1</w:t>
      </w:r>
      <w:r w:rsidR="00D41050">
        <w:rPr>
          <w:noProof/>
        </w:rPr>
        <w:t xml:space="preserve"> spread of -2.20%; this again results in the expected negative MAX effect. </w:t>
      </w:r>
      <w:r w:rsidR="008246C6">
        <w:rPr>
          <w:noProof/>
        </w:rPr>
        <w:t>However, t</w:t>
      </w:r>
      <w:r w:rsidR="00190E43" w:rsidRPr="00E65AA7">
        <w:rPr>
          <w:noProof/>
        </w:rPr>
        <w:t xml:space="preserve">he underpricing of high </w:t>
      </w:r>
      <w:r w:rsidR="00161260">
        <w:rPr>
          <w:noProof/>
        </w:rPr>
        <w:t>MAX</w:t>
      </w:r>
      <w:r w:rsidR="00190E43" w:rsidRPr="00E65AA7">
        <w:rPr>
          <w:noProof/>
        </w:rPr>
        <w:t xml:space="preserve"> stocks is corrected in </w:t>
      </w:r>
      <w:r w:rsidR="00433FFA">
        <w:rPr>
          <w:noProof/>
        </w:rPr>
        <w:t xml:space="preserve">the </w:t>
      </w:r>
      <w:r w:rsidR="00190E43" w:rsidRPr="00E65AA7">
        <w:rPr>
          <w:noProof/>
        </w:rPr>
        <w:t xml:space="preserve">L/H state, </w:t>
      </w:r>
      <w:r w:rsidR="00BA58C1">
        <w:rPr>
          <w:noProof/>
        </w:rPr>
        <w:t>with a positive P10 –P1 spread of 2.62%</w:t>
      </w:r>
      <w:r w:rsidR="00D41050">
        <w:rPr>
          <w:noProof/>
        </w:rPr>
        <w:t xml:space="preserve"> </w:t>
      </w:r>
      <w:r w:rsidR="00DC1405">
        <w:rPr>
          <w:noProof/>
        </w:rPr>
        <w:t xml:space="preserve">resulting </w:t>
      </w:r>
      <w:r w:rsidR="0007362F">
        <w:rPr>
          <w:noProof/>
        </w:rPr>
        <w:t xml:space="preserve">in </w:t>
      </w:r>
      <w:r w:rsidR="00DC1405">
        <w:rPr>
          <w:noProof/>
        </w:rPr>
        <w:t xml:space="preserve">a positive, </w:t>
      </w:r>
      <w:r w:rsidR="000429C3">
        <w:rPr>
          <w:noProof/>
        </w:rPr>
        <w:t>instead of a</w:t>
      </w:r>
      <w:r w:rsidR="00DC1405">
        <w:rPr>
          <w:noProof/>
        </w:rPr>
        <w:t xml:space="preserve"> negative MAX effect</w:t>
      </w:r>
      <w:r w:rsidR="00190E43" w:rsidRPr="00E65AA7">
        <w:rPr>
          <w:noProof/>
        </w:rPr>
        <w:t>.</w:t>
      </w:r>
      <w:r w:rsidR="00EA01C4">
        <w:rPr>
          <w:noProof/>
        </w:rPr>
        <w:t xml:space="preserve"> Panel B of Table </w:t>
      </w:r>
      <w:r w:rsidR="003B01EE">
        <w:rPr>
          <w:noProof/>
        </w:rPr>
        <w:t>6</w:t>
      </w:r>
      <w:r w:rsidR="009738EA">
        <w:rPr>
          <w:noProof/>
        </w:rPr>
        <w:t xml:space="preserve"> </w:t>
      </w:r>
      <w:r w:rsidR="00EA01C4">
        <w:rPr>
          <w:noProof/>
        </w:rPr>
        <w:t xml:space="preserve">shows similar </w:t>
      </w:r>
      <w:r w:rsidR="00DC1405">
        <w:rPr>
          <w:noProof/>
        </w:rPr>
        <w:t>patterns</w:t>
      </w:r>
      <w:r w:rsidR="00EA01C4">
        <w:rPr>
          <w:noProof/>
        </w:rPr>
        <w:t xml:space="preserve"> when we use value-weighted monthly returns.</w:t>
      </w:r>
    </w:p>
    <w:p w14:paraId="2C95693C" w14:textId="0786FA88" w:rsidR="0075289C" w:rsidRDefault="00190E43" w:rsidP="00C760BC">
      <w:pPr>
        <w:widowControl w:val="0"/>
        <w:spacing w:line="480" w:lineRule="auto"/>
        <w:ind w:firstLine="720"/>
        <w:rPr>
          <w:rFonts w:eastAsia="Times New Roman"/>
        </w:rPr>
      </w:pPr>
      <w:r w:rsidRPr="00E65AA7">
        <w:rPr>
          <w:noProof/>
        </w:rPr>
        <w:t xml:space="preserve">The results </w:t>
      </w:r>
      <w:r w:rsidR="00FD0193">
        <w:rPr>
          <w:noProof/>
        </w:rPr>
        <w:t xml:space="preserve">in Table </w:t>
      </w:r>
      <w:r w:rsidR="00663E6B">
        <w:rPr>
          <w:noProof/>
        </w:rPr>
        <w:t>6</w:t>
      </w:r>
      <w:r w:rsidR="009738EA">
        <w:rPr>
          <w:noProof/>
        </w:rPr>
        <w:t xml:space="preserve"> </w:t>
      </w:r>
      <w:r w:rsidRPr="00E65AA7">
        <w:rPr>
          <w:noProof/>
        </w:rPr>
        <w:t>are</w:t>
      </w:r>
      <w:r w:rsidR="00591173">
        <w:rPr>
          <w:noProof/>
        </w:rPr>
        <w:t xml:space="preserve"> </w:t>
      </w:r>
      <w:r w:rsidRPr="00E65AA7">
        <w:rPr>
          <w:noProof/>
        </w:rPr>
        <w:t xml:space="preserve">consistent with </w:t>
      </w:r>
      <w:r w:rsidR="007D097B">
        <w:rPr>
          <w:noProof/>
        </w:rPr>
        <w:t xml:space="preserve">our second </w:t>
      </w:r>
      <w:r w:rsidRPr="00E65AA7">
        <w:rPr>
          <w:noProof/>
        </w:rPr>
        <w:t xml:space="preserve">hypothesis and show that high </w:t>
      </w:r>
      <w:r w:rsidR="00262A87">
        <w:rPr>
          <w:noProof/>
        </w:rPr>
        <w:lastRenderedPageBreak/>
        <w:t>MAX</w:t>
      </w:r>
      <w:r w:rsidRPr="00E65AA7">
        <w:rPr>
          <w:noProof/>
        </w:rPr>
        <w:t xml:space="preserve"> stocks remain overpriced (underpriced) compared with low </w:t>
      </w:r>
      <w:r w:rsidR="00262A87">
        <w:rPr>
          <w:noProof/>
        </w:rPr>
        <w:t>MAX</w:t>
      </w:r>
      <w:r w:rsidRPr="00E65AA7">
        <w:rPr>
          <w:noProof/>
        </w:rPr>
        <w:t xml:space="preserve"> stocks when sentiment continues in </w:t>
      </w:r>
      <w:r>
        <w:rPr>
          <w:noProof/>
        </w:rPr>
        <w:t xml:space="preserve">a </w:t>
      </w:r>
      <w:r w:rsidR="007D097B">
        <w:rPr>
          <w:noProof/>
        </w:rPr>
        <w:t>High (Low) state;</w:t>
      </w:r>
      <w:r w:rsidRPr="00E65AA7">
        <w:rPr>
          <w:noProof/>
        </w:rPr>
        <w:t xml:space="preserve"> </w:t>
      </w:r>
      <w:r w:rsidRPr="00E65AA7">
        <w:rPr>
          <w:rFonts w:eastAsia="Times New Roman"/>
        </w:rPr>
        <w:t xml:space="preserve">the mispricing </w:t>
      </w:r>
      <w:r w:rsidRPr="00E65AA7">
        <w:rPr>
          <w:rFonts w:eastAsia="Times New Roman"/>
          <w:noProof/>
        </w:rPr>
        <w:t>is corrected</w:t>
      </w:r>
      <w:r w:rsidRPr="00E65AA7">
        <w:rPr>
          <w:rFonts w:eastAsia="Times New Roman"/>
        </w:rPr>
        <w:t xml:space="preserve"> only when </w:t>
      </w:r>
      <w:r w:rsidR="003224B0">
        <w:rPr>
          <w:rFonts w:eastAsia="Times New Roman"/>
        </w:rPr>
        <w:t xml:space="preserve">there is a transition in </w:t>
      </w:r>
      <w:r w:rsidRPr="00E65AA7">
        <w:rPr>
          <w:rFonts w:eastAsia="Times New Roman"/>
        </w:rPr>
        <w:t>sentiment</w:t>
      </w:r>
      <w:r w:rsidR="003224B0">
        <w:rPr>
          <w:rFonts w:eastAsia="Times New Roman"/>
        </w:rPr>
        <w:t>.</w:t>
      </w:r>
      <w:r w:rsidR="00177352">
        <w:rPr>
          <w:rFonts w:eastAsia="Times New Roman"/>
        </w:rPr>
        <w:t xml:space="preserve"> </w:t>
      </w:r>
      <w:r w:rsidR="006B7884">
        <w:rPr>
          <w:rFonts w:eastAsia="Times New Roman"/>
        </w:rPr>
        <w:t xml:space="preserve">This is important as it shows </w:t>
      </w:r>
      <w:r w:rsidR="00262A87">
        <w:rPr>
          <w:rFonts w:eastAsia="Times New Roman"/>
        </w:rPr>
        <w:t xml:space="preserve">that the MAX effect </w:t>
      </w:r>
      <w:r w:rsidR="00C44613">
        <w:rPr>
          <w:rFonts w:eastAsia="Times New Roman"/>
        </w:rPr>
        <w:t xml:space="preserve">first documented </w:t>
      </w:r>
      <w:r w:rsidR="00262A87">
        <w:rPr>
          <w:rFonts w:eastAsia="Times New Roman"/>
        </w:rPr>
        <w:t xml:space="preserve">by </w:t>
      </w:r>
      <w:hyperlink w:anchor="_ENREF_6" w:tooltip="Bali, 2011 #460" w:history="1">
        <w:r w:rsidR="006913E2">
          <w:rPr>
            <w:rFonts w:eastAsia="Times New Roman"/>
          </w:rPr>
          <w:fldChar w:fldCharType="begin"/>
        </w:r>
        <w:r w:rsidR="006913E2">
          <w:rPr>
            <w:rFonts w:eastAsia="Times New Roman"/>
          </w:rPr>
          <w:instrText xml:space="preserve"> ADDIN EN.CITE &lt;EndNote&gt;&lt;Cite AuthorYear="1"&gt;&lt;Author&gt;Bali&lt;/Author&gt;&lt;Year&gt;2011&lt;/Year&gt;&lt;RecNum&gt;460&lt;/RecNum&gt;&lt;DisplayText&gt;Bali et al.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rsidR="006913E2">
          <w:rPr>
            <w:rFonts w:eastAsia="Times New Roman"/>
          </w:rPr>
          <w:fldChar w:fldCharType="separate"/>
        </w:r>
        <w:r w:rsidR="006913E2">
          <w:rPr>
            <w:rFonts w:eastAsia="Times New Roman"/>
            <w:noProof/>
          </w:rPr>
          <w:t>Bali et al. (2011)</w:t>
        </w:r>
        <w:r w:rsidR="006913E2">
          <w:rPr>
            <w:rFonts w:eastAsia="Times New Roman"/>
          </w:rPr>
          <w:fldChar w:fldCharType="end"/>
        </w:r>
      </w:hyperlink>
      <w:r w:rsidR="00015C2F">
        <w:rPr>
          <w:rFonts w:eastAsia="Times New Roman"/>
        </w:rPr>
        <w:t xml:space="preserve"> is conditioned by investor sentiment</w:t>
      </w:r>
      <w:r w:rsidR="003F4CCB">
        <w:rPr>
          <w:rFonts w:eastAsia="Times New Roman"/>
        </w:rPr>
        <w:t xml:space="preserve"> dynamics</w:t>
      </w:r>
      <w:r w:rsidR="00015C2F">
        <w:rPr>
          <w:rFonts w:eastAsia="Times New Roman"/>
        </w:rPr>
        <w:t xml:space="preserve">. </w:t>
      </w:r>
      <w:r w:rsidR="00177352">
        <w:rPr>
          <w:rFonts w:eastAsia="Times New Roman"/>
        </w:rPr>
        <w:t>The MAX effect has heretofore been regarded as a negative effect, with MAX being a contrarian predictor of returns. W</w:t>
      </w:r>
      <w:r w:rsidR="00622BB0">
        <w:rPr>
          <w:rFonts w:eastAsia="Times New Roman"/>
        </w:rPr>
        <w:t xml:space="preserve">e present new evidence that the MAX effect can either be positive or negative depending on the subsequent sentiment state. </w:t>
      </w:r>
      <w:r w:rsidR="00015C2F" w:rsidRPr="00015C2F">
        <w:rPr>
          <w:rFonts w:eastAsia="Times New Roman"/>
        </w:rPr>
        <w:t xml:space="preserve">We show that the MAX effect </w:t>
      </w:r>
      <w:r w:rsidR="0011584A">
        <w:rPr>
          <w:rFonts w:eastAsia="Times New Roman"/>
        </w:rPr>
        <w:t xml:space="preserve">is negative </w:t>
      </w:r>
      <w:r w:rsidR="00015C2F" w:rsidRPr="00015C2F">
        <w:rPr>
          <w:rFonts w:eastAsia="Times New Roman"/>
        </w:rPr>
        <w:t xml:space="preserve">when sentiment transitions from </w:t>
      </w:r>
      <w:r w:rsidR="000429C3">
        <w:rPr>
          <w:rFonts w:eastAsia="Times New Roman"/>
        </w:rPr>
        <w:t>H</w:t>
      </w:r>
      <w:r w:rsidR="00015C2F">
        <w:rPr>
          <w:rFonts w:eastAsia="Times New Roman"/>
        </w:rPr>
        <w:t xml:space="preserve">igh to </w:t>
      </w:r>
      <w:r w:rsidR="000429C3">
        <w:rPr>
          <w:rFonts w:eastAsia="Times New Roman"/>
        </w:rPr>
        <w:t>L</w:t>
      </w:r>
      <w:r w:rsidR="00015C2F">
        <w:rPr>
          <w:rFonts w:eastAsia="Times New Roman"/>
        </w:rPr>
        <w:t>ow</w:t>
      </w:r>
      <w:r w:rsidR="00015C2F" w:rsidRPr="00015C2F">
        <w:rPr>
          <w:rFonts w:eastAsia="Times New Roman"/>
        </w:rPr>
        <w:t xml:space="preserve"> (H/L) or when sentiment continues </w:t>
      </w:r>
      <w:r w:rsidR="000429C3">
        <w:rPr>
          <w:rFonts w:eastAsia="Times New Roman"/>
        </w:rPr>
        <w:t>in the L</w:t>
      </w:r>
      <w:r w:rsidR="00C44613">
        <w:rPr>
          <w:rFonts w:eastAsia="Times New Roman"/>
        </w:rPr>
        <w:t>ow state</w:t>
      </w:r>
      <w:r w:rsidR="00015C2F" w:rsidRPr="00015C2F">
        <w:rPr>
          <w:rFonts w:eastAsia="Times New Roman"/>
        </w:rPr>
        <w:t xml:space="preserve"> (L/L</w:t>
      </w:r>
      <w:r w:rsidR="00606D2F">
        <w:rPr>
          <w:rFonts w:eastAsia="Times New Roman"/>
        </w:rPr>
        <w:t>).</w:t>
      </w:r>
      <w:r w:rsidR="00262A87">
        <w:rPr>
          <w:rFonts w:eastAsia="Times New Roman"/>
        </w:rPr>
        <w:t xml:space="preserve"> </w:t>
      </w:r>
      <w:r w:rsidR="00622BB0">
        <w:rPr>
          <w:rFonts w:eastAsia="Times New Roman"/>
        </w:rPr>
        <w:t>However, the MAX effect turns positive whe</w:t>
      </w:r>
      <w:r w:rsidR="00015C2F">
        <w:rPr>
          <w:rFonts w:eastAsia="Times New Roman"/>
        </w:rPr>
        <w:t xml:space="preserve">n sentiment either continues in </w:t>
      </w:r>
      <w:r w:rsidR="003F4CCB">
        <w:rPr>
          <w:rFonts w:eastAsia="Times New Roman"/>
        </w:rPr>
        <w:t xml:space="preserve">the High state </w:t>
      </w:r>
      <w:r w:rsidR="00015C2F">
        <w:rPr>
          <w:rFonts w:eastAsia="Times New Roman"/>
        </w:rPr>
        <w:t xml:space="preserve">(H/H) or transitions </w:t>
      </w:r>
      <w:r w:rsidR="003F4CCB">
        <w:rPr>
          <w:rFonts w:eastAsia="Times New Roman"/>
        </w:rPr>
        <w:t xml:space="preserve">from Low </w:t>
      </w:r>
      <w:r w:rsidR="00015C2F">
        <w:rPr>
          <w:rFonts w:eastAsia="Times New Roman"/>
        </w:rPr>
        <w:t xml:space="preserve">to </w:t>
      </w:r>
      <w:r w:rsidR="00606D2F">
        <w:rPr>
          <w:rFonts w:eastAsia="Times New Roman"/>
        </w:rPr>
        <w:t>H</w:t>
      </w:r>
      <w:r w:rsidR="003F4CCB">
        <w:rPr>
          <w:rFonts w:eastAsia="Times New Roman"/>
        </w:rPr>
        <w:t xml:space="preserve">igh </w:t>
      </w:r>
      <w:r w:rsidR="00015C2F">
        <w:rPr>
          <w:rFonts w:eastAsia="Times New Roman"/>
        </w:rPr>
        <w:t>(L/H).</w:t>
      </w:r>
      <w:r w:rsidR="00177352">
        <w:rPr>
          <w:rFonts w:eastAsia="Times New Roman"/>
        </w:rPr>
        <w:t xml:space="preserve"> </w:t>
      </w:r>
      <w:proofErr w:type="gramStart"/>
      <w:r w:rsidR="00177352">
        <w:rPr>
          <w:rFonts w:eastAsia="Times New Roman"/>
        </w:rPr>
        <w:t>Inasmuch as</w:t>
      </w:r>
      <w:proofErr w:type="gramEnd"/>
      <w:r w:rsidR="00177352">
        <w:rPr>
          <w:rFonts w:eastAsia="Times New Roman"/>
        </w:rPr>
        <w:t xml:space="preserve"> the MAX effect is driven by investor preference for lottery-type stocks our results are consistent with an increased (decreased) preference </w:t>
      </w:r>
      <w:r w:rsidR="00433FFA">
        <w:rPr>
          <w:rFonts w:eastAsia="Times New Roman"/>
        </w:rPr>
        <w:t xml:space="preserve">for </w:t>
      </w:r>
      <w:r w:rsidR="00177352">
        <w:rPr>
          <w:rFonts w:eastAsia="Times New Roman"/>
        </w:rPr>
        <w:t>lottery-type</w:t>
      </w:r>
      <w:r w:rsidR="007D097B">
        <w:rPr>
          <w:rFonts w:eastAsia="Times New Roman"/>
        </w:rPr>
        <w:t>,</w:t>
      </w:r>
      <w:r w:rsidR="00177352">
        <w:rPr>
          <w:rFonts w:eastAsia="Times New Roman"/>
        </w:rPr>
        <w:t xml:space="preserve"> </w:t>
      </w:r>
      <w:r w:rsidR="00575118">
        <w:rPr>
          <w:rFonts w:eastAsia="Times New Roman"/>
        </w:rPr>
        <w:t xml:space="preserve">high MAX </w:t>
      </w:r>
      <w:r w:rsidR="000429C3">
        <w:rPr>
          <w:rFonts w:eastAsia="Times New Roman"/>
        </w:rPr>
        <w:t>stocks</w:t>
      </w:r>
      <w:r w:rsidR="007D097B">
        <w:rPr>
          <w:rFonts w:eastAsia="Times New Roman"/>
        </w:rPr>
        <w:t>,</w:t>
      </w:r>
      <w:r w:rsidR="000429C3">
        <w:rPr>
          <w:rFonts w:eastAsia="Times New Roman"/>
        </w:rPr>
        <w:t xml:space="preserve"> during High (L</w:t>
      </w:r>
      <w:r w:rsidR="00177352">
        <w:rPr>
          <w:rFonts w:eastAsia="Times New Roman"/>
        </w:rPr>
        <w:t>ow) sentiment states.</w:t>
      </w:r>
      <w:r w:rsidR="0075289C">
        <w:rPr>
          <w:rFonts w:eastAsia="Times New Roman"/>
        </w:rPr>
        <w:t xml:space="preserve"> The negative MAX effect obtains when sentiment transitions from High to Low as investors switch from a strong to </w:t>
      </w:r>
      <w:r w:rsidR="00575118">
        <w:rPr>
          <w:rFonts w:eastAsia="Times New Roman"/>
        </w:rPr>
        <w:t xml:space="preserve">a </w:t>
      </w:r>
      <w:r w:rsidR="0075289C">
        <w:rPr>
          <w:rFonts w:eastAsia="Times New Roman"/>
        </w:rPr>
        <w:t xml:space="preserve">weak </w:t>
      </w:r>
      <w:r w:rsidR="002017EE">
        <w:rPr>
          <w:rFonts w:eastAsia="Times New Roman"/>
        </w:rPr>
        <w:t>demand</w:t>
      </w:r>
      <w:r w:rsidR="0075289C">
        <w:rPr>
          <w:rFonts w:eastAsia="Times New Roman"/>
        </w:rPr>
        <w:t xml:space="preserve"> for high Max stocks, while </w:t>
      </w:r>
      <w:r w:rsidR="002017EE">
        <w:rPr>
          <w:rFonts w:eastAsia="Times New Roman"/>
        </w:rPr>
        <w:t xml:space="preserve">that which </w:t>
      </w:r>
      <w:r w:rsidR="0075289C">
        <w:rPr>
          <w:rFonts w:eastAsia="Times New Roman"/>
        </w:rPr>
        <w:t xml:space="preserve">obtains when sentiment continues in </w:t>
      </w:r>
      <w:r w:rsidR="002017EE">
        <w:rPr>
          <w:rFonts w:eastAsia="Times New Roman"/>
        </w:rPr>
        <w:t>a</w:t>
      </w:r>
      <w:r w:rsidR="0075289C">
        <w:rPr>
          <w:rFonts w:eastAsia="Times New Roman"/>
        </w:rPr>
        <w:t xml:space="preserve"> Low state is driven by the continued </w:t>
      </w:r>
      <w:r w:rsidR="00575118">
        <w:rPr>
          <w:rFonts w:eastAsia="Times New Roman"/>
        </w:rPr>
        <w:t>weak</w:t>
      </w:r>
      <w:r w:rsidR="0075289C">
        <w:rPr>
          <w:rFonts w:eastAsia="Times New Roman"/>
        </w:rPr>
        <w:t xml:space="preserve"> demand for high MAX stocks.</w:t>
      </w:r>
      <w:r w:rsidR="00575118">
        <w:rPr>
          <w:rFonts w:eastAsia="Times New Roman"/>
        </w:rPr>
        <w:t xml:space="preserve"> On the other hand, the </w:t>
      </w:r>
      <w:r w:rsidR="00575118" w:rsidRPr="00D41050">
        <w:rPr>
          <w:rFonts w:eastAsia="Times New Roman"/>
          <w:i/>
        </w:rPr>
        <w:t>positive</w:t>
      </w:r>
      <w:r w:rsidR="00575118">
        <w:rPr>
          <w:rFonts w:eastAsia="Times New Roman"/>
        </w:rPr>
        <w:t xml:space="preserve"> MAX effect when sentiment continues in the High state is driven by the continued strong demand for high MAX stocks, while that which obtains when sentiment transitions from a Low to a High state is driven by the shift from a weak to a strong investor demand for high MAX stocks.</w:t>
      </w:r>
      <w:r w:rsidR="00155CA0">
        <w:rPr>
          <w:rFonts w:eastAsia="Times New Roman"/>
        </w:rPr>
        <w:t xml:space="preserve"> </w:t>
      </w:r>
      <w:r w:rsidR="00575118">
        <w:rPr>
          <w:rFonts w:eastAsia="Times New Roman"/>
        </w:rPr>
        <w:t xml:space="preserve"> </w:t>
      </w:r>
    </w:p>
    <w:p w14:paraId="3C923EAB" w14:textId="661CA4D1" w:rsidR="003F4CCB" w:rsidRDefault="002D2935" w:rsidP="00C760BC">
      <w:pPr>
        <w:widowControl w:val="0"/>
        <w:spacing w:line="480" w:lineRule="auto"/>
        <w:ind w:firstLine="720"/>
        <w:rPr>
          <w:rFonts w:eastAsia="Times New Roman"/>
        </w:rPr>
      </w:pPr>
      <w:r>
        <w:rPr>
          <w:rFonts w:eastAsia="Times New Roman"/>
        </w:rPr>
        <w:t xml:space="preserve">Our </w:t>
      </w:r>
      <w:r w:rsidR="00622BB0">
        <w:rPr>
          <w:rFonts w:eastAsia="Times New Roman"/>
        </w:rPr>
        <w:t xml:space="preserve">new evidence </w:t>
      </w:r>
      <w:r w:rsidR="000429C3">
        <w:rPr>
          <w:rFonts w:eastAsia="Times New Roman"/>
        </w:rPr>
        <w:t>indicating</w:t>
      </w:r>
      <w:r w:rsidR="003743CA">
        <w:rPr>
          <w:rFonts w:eastAsia="Times New Roman"/>
        </w:rPr>
        <w:t xml:space="preserve"> tha</w:t>
      </w:r>
      <w:r w:rsidR="00C01B9E">
        <w:rPr>
          <w:rFonts w:eastAsia="Times New Roman"/>
        </w:rPr>
        <w:t xml:space="preserve">t the negative MAX effect also exists </w:t>
      </w:r>
      <w:r w:rsidR="003743CA">
        <w:rPr>
          <w:rFonts w:eastAsia="Times New Roman"/>
        </w:rPr>
        <w:t>following Low sentiment states</w:t>
      </w:r>
      <w:r w:rsidR="00C01B9E">
        <w:rPr>
          <w:rFonts w:eastAsia="Times New Roman"/>
        </w:rPr>
        <w:t xml:space="preserve"> is important because </w:t>
      </w:r>
      <w:r w:rsidR="003F4CCB">
        <w:rPr>
          <w:rFonts w:eastAsia="Times New Roman"/>
        </w:rPr>
        <w:t xml:space="preserve">Fong and </w:t>
      </w:r>
      <w:proofErr w:type="spellStart"/>
      <w:r w:rsidR="003F4CCB">
        <w:rPr>
          <w:rFonts w:eastAsia="Times New Roman"/>
        </w:rPr>
        <w:t>Toh</w:t>
      </w:r>
      <w:proofErr w:type="spellEnd"/>
      <w:r w:rsidR="003F4CCB">
        <w:rPr>
          <w:rFonts w:eastAsia="Times New Roman"/>
        </w:rPr>
        <w:t xml:space="preserve"> (2014) report that the negative MAX effect </w:t>
      </w:r>
      <w:r w:rsidR="003F4CCB" w:rsidRPr="008026F8">
        <w:rPr>
          <w:rFonts w:eastAsia="Times New Roman"/>
          <w:i/>
        </w:rPr>
        <w:t>exclusively</w:t>
      </w:r>
      <w:r w:rsidR="00A77273">
        <w:rPr>
          <w:rFonts w:eastAsia="Times New Roman"/>
        </w:rPr>
        <w:t xml:space="preserve"> follows</w:t>
      </w:r>
      <w:r w:rsidR="003F4CCB">
        <w:rPr>
          <w:rFonts w:eastAsia="Times New Roman"/>
        </w:rPr>
        <w:t xml:space="preserve"> High sentiment states. </w:t>
      </w:r>
      <w:r w:rsidR="00C01B9E">
        <w:rPr>
          <w:rFonts w:eastAsia="Times New Roman"/>
        </w:rPr>
        <w:t xml:space="preserve">We show </w:t>
      </w:r>
      <w:r w:rsidR="0030791A">
        <w:rPr>
          <w:rFonts w:eastAsia="Times New Roman"/>
        </w:rPr>
        <w:t>that their</w:t>
      </w:r>
      <w:r w:rsidR="00C81483">
        <w:rPr>
          <w:rFonts w:eastAsia="Times New Roman"/>
        </w:rPr>
        <w:t xml:space="preserve"> </w:t>
      </w:r>
      <w:r w:rsidR="00EE7FA3">
        <w:rPr>
          <w:rFonts w:eastAsia="Times New Roman"/>
        </w:rPr>
        <w:t>result</w:t>
      </w:r>
      <w:r w:rsidR="00C01B9E">
        <w:rPr>
          <w:rFonts w:eastAsia="Times New Roman"/>
        </w:rPr>
        <w:t>s</w:t>
      </w:r>
      <w:r w:rsidR="00EE7FA3">
        <w:rPr>
          <w:rFonts w:eastAsia="Times New Roman"/>
        </w:rPr>
        <w:t xml:space="preserve"> can be explained by sentiment dynamics. </w:t>
      </w:r>
      <w:r w:rsidR="00B70FDC">
        <w:rPr>
          <w:rFonts w:eastAsia="Times New Roman"/>
        </w:rPr>
        <w:t xml:space="preserve">The absence of a MAX effect following Low sentiment states </w:t>
      </w:r>
      <w:r w:rsidR="00430589">
        <w:rPr>
          <w:rFonts w:eastAsia="Times New Roman"/>
        </w:rPr>
        <w:t xml:space="preserve">is due to </w:t>
      </w:r>
      <w:r w:rsidR="00B70FDC">
        <w:rPr>
          <w:rFonts w:eastAsia="Times New Roman"/>
        </w:rPr>
        <w:t xml:space="preserve">the </w:t>
      </w:r>
      <w:r w:rsidR="00A77273">
        <w:rPr>
          <w:rFonts w:eastAsia="Times New Roman"/>
        </w:rPr>
        <w:t xml:space="preserve">completely </w:t>
      </w:r>
      <w:r w:rsidR="00B70FDC">
        <w:rPr>
          <w:rFonts w:eastAsia="Times New Roman"/>
        </w:rPr>
        <w:t xml:space="preserve">offsetting </w:t>
      </w:r>
      <w:r w:rsidR="00A77273">
        <w:rPr>
          <w:rFonts w:eastAsia="Times New Roman"/>
        </w:rPr>
        <w:t>positive and negative MAX effects</w:t>
      </w:r>
      <w:r w:rsidR="00C01B9E">
        <w:rPr>
          <w:rFonts w:eastAsia="Times New Roman"/>
        </w:rPr>
        <w:t xml:space="preserve"> following Low sentiment states. T</w:t>
      </w:r>
      <w:r w:rsidR="00A77273">
        <w:rPr>
          <w:rFonts w:eastAsia="Times New Roman"/>
        </w:rPr>
        <w:t xml:space="preserve">he </w:t>
      </w:r>
      <w:r w:rsidR="00C81483">
        <w:rPr>
          <w:rFonts w:eastAsia="Times New Roman"/>
        </w:rPr>
        <w:t xml:space="preserve">negative MAX effect of -2.20% per month, when sentiment continues in the Low </w:t>
      </w:r>
      <w:r w:rsidR="00C81483">
        <w:rPr>
          <w:rFonts w:eastAsia="Times New Roman"/>
        </w:rPr>
        <w:lastRenderedPageBreak/>
        <w:t>state (L/L)</w:t>
      </w:r>
      <w:r w:rsidR="003743CA">
        <w:rPr>
          <w:rFonts w:eastAsia="Times New Roman"/>
        </w:rPr>
        <w:t xml:space="preserve"> is completely offset by the positive MAX effect of 2.62% per month when sentiment transitions </w:t>
      </w:r>
      <w:r w:rsidR="007539FE">
        <w:rPr>
          <w:rFonts w:eastAsia="Times New Roman"/>
        </w:rPr>
        <w:t>to the H</w:t>
      </w:r>
      <w:r w:rsidR="003743CA">
        <w:rPr>
          <w:rFonts w:eastAsia="Times New Roman"/>
        </w:rPr>
        <w:t>igh state (L/H)</w:t>
      </w:r>
      <w:r w:rsidR="00B70FDC">
        <w:rPr>
          <w:rFonts w:eastAsia="Times New Roman"/>
        </w:rPr>
        <w:t xml:space="preserve">. </w:t>
      </w:r>
      <w:r w:rsidR="00F64B78">
        <w:rPr>
          <w:rFonts w:eastAsia="Times New Roman"/>
        </w:rPr>
        <w:t>However, t</w:t>
      </w:r>
      <w:r w:rsidR="009004E1">
        <w:rPr>
          <w:rFonts w:eastAsia="Times New Roman"/>
        </w:rPr>
        <w:t>his is not the case following High sentiment states</w:t>
      </w:r>
      <w:r w:rsidR="00F64B78">
        <w:rPr>
          <w:rFonts w:eastAsia="Times New Roman"/>
        </w:rPr>
        <w:t xml:space="preserve"> where t</w:t>
      </w:r>
      <w:r w:rsidR="009004E1">
        <w:rPr>
          <w:rFonts w:eastAsia="Times New Roman"/>
        </w:rPr>
        <w:t>he significantly negative MAX effect of -3.27% per month</w:t>
      </w:r>
      <w:r w:rsidR="00C81483">
        <w:rPr>
          <w:rFonts w:eastAsia="Times New Roman"/>
        </w:rPr>
        <w:t>,</w:t>
      </w:r>
      <w:r w:rsidR="009004E1">
        <w:rPr>
          <w:rFonts w:eastAsia="Times New Roman"/>
        </w:rPr>
        <w:t xml:space="preserve"> when sentiment transitions from High to Low (H/L)</w:t>
      </w:r>
      <w:r w:rsidR="00C81483">
        <w:rPr>
          <w:rFonts w:eastAsia="Times New Roman"/>
        </w:rPr>
        <w:t>,</w:t>
      </w:r>
      <w:r w:rsidR="009004E1">
        <w:rPr>
          <w:rFonts w:eastAsia="Times New Roman"/>
        </w:rPr>
        <w:t xml:space="preserve"> </w:t>
      </w:r>
      <w:r w:rsidR="007D097B">
        <w:rPr>
          <w:rFonts w:eastAsia="Times New Roman"/>
        </w:rPr>
        <w:t>dominates</w:t>
      </w:r>
      <w:r w:rsidR="009004E1">
        <w:rPr>
          <w:rFonts w:eastAsia="Times New Roman"/>
        </w:rPr>
        <w:t xml:space="preserve"> the positive MAX effect of 0.66% per month</w:t>
      </w:r>
      <w:r w:rsidR="00C81483">
        <w:rPr>
          <w:rFonts w:eastAsia="Times New Roman"/>
        </w:rPr>
        <w:t>,</w:t>
      </w:r>
      <w:r w:rsidR="009004E1">
        <w:rPr>
          <w:rFonts w:eastAsia="Times New Roman"/>
        </w:rPr>
        <w:t xml:space="preserve"> when sentiment continues in the High state (H/H)</w:t>
      </w:r>
      <w:r w:rsidR="00F64B78">
        <w:rPr>
          <w:rFonts w:eastAsia="Times New Roman"/>
        </w:rPr>
        <w:t xml:space="preserve">. </w:t>
      </w:r>
      <w:proofErr w:type="gramStart"/>
      <w:r w:rsidR="00F64B78">
        <w:rPr>
          <w:rFonts w:eastAsia="Times New Roman"/>
        </w:rPr>
        <w:t>H</w:t>
      </w:r>
      <w:r w:rsidR="003224B0">
        <w:rPr>
          <w:rFonts w:eastAsia="Times New Roman"/>
        </w:rPr>
        <w:t>ence</w:t>
      </w:r>
      <w:proofErr w:type="gramEnd"/>
      <w:r w:rsidR="003224B0">
        <w:rPr>
          <w:rFonts w:eastAsia="Times New Roman"/>
        </w:rPr>
        <w:t xml:space="preserve"> we observe </w:t>
      </w:r>
      <w:r w:rsidR="009004E1">
        <w:rPr>
          <w:rFonts w:eastAsia="Times New Roman"/>
        </w:rPr>
        <w:t xml:space="preserve">the significant negative MAX effect </w:t>
      </w:r>
      <w:r w:rsidR="00F64B78" w:rsidRPr="00C01B9E">
        <w:rPr>
          <w:rFonts w:eastAsia="Times New Roman"/>
          <w:i/>
        </w:rPr>
        <w:t>only</w:t>
      </w:r>
      <w:r w:rsidR="00F64B78">
        <w:rPr>
          <w:rFonts w:eastAsia="Times New Roman"/>
        </w:rPr>
        <w:t xml:space="preserve"> </w:t>
      </w:r>
      <w:r w:rsidR="009004E1">
        <w:rPr>
          <w:rFonts w:eastAsia="Times New Roman"/>
        </w:rPr>
        <w:t>following High sentiment states.</w:t>
      </w:r>
      <w:r w:rsidR="00430589">
        <w:rPr>
          <w:rFonts w:eastAsia="Times New Roman"/>
        </w:rPr>
        <w:t xml:space="preserve"> The same patterns </w:t>
      </w:r>
      <w:r w:rsidR="003224B0">
        <w:rPr>
          <w:rFonts w:eastAsia="Times New Roman"/>
        </w:rPr>
        <w:t xml:space="preserve">are </w:t>
      </w:r>
      <w:r w:rsidR="00D04FF0">
        <w:rPr>
          <w:rFonts w:eastAsia="Times New Roman"/>
        </w:rPr>
        <w:t>manifest</w:t>
      </w:r>
      <w:r w:rsidR="00430589">
        <w:rPr>
          <w:rFonts w:eastAsia="Times New Roman"/>
        </w:rPr>
        <w:t xml:space="preserve"> for value-weighted portfolios in Panel B.</w:t>
      </w:r>
    </w:p>
    <w:p w14:paraId="3873643F" w14:textId="54F4EE0D" w:rsidR="00430589" w:rsidRDefault="00430589" w:rsidP="00C760BC">
      <w:pPr>
        <w:widowControl w:val="0"/>
        <w:spacing w:line="480" w:lineRule="auto"/>
        <w:ind w:firstLine="720"/>
        <w:rPr>
          <w:rFonts w:eastAsia="Times New Roman"/>
        </w:rPr>
      </w:pPr>
      <w:r w:rsidRPr="00E763D5">
        <w:rPr>
          <w:rFonts w:eastAsia="Times New Roman"/>
        </w:rPr>
        <w:t xml:space="preserve">It is also interesting to note that negative MAX effect in Panel A is stronger following High sentiment states. </w:t>
      </w:r>
      <w:r w:rsidR="001F06FD" w:rsidRPr="00E763D5">
        <w:rPr>
          <w:rFonts w:eastAsia="Times New Roman"/>
        </w:rPr>
        <w:t xml:space="preserve">The negative return spread when sentiment transitions from High to Low (H/L) at -3.27% per month is bigger in absolute </w:t>
      </w:r>
      <w:r w:rsidR="003224B0" w:rsidRPr="00E763D5">
        <w:rPr>
          <w:rFonts w:eastAsia="Times New Roman"/>
        </w:rPr>
        <w:t>terms</w:t>
      </w:r>
      <w:r w:rsidR="001F06FD" w:rsidRPr="00E763D5">
        <w:rPr>
          <w:rFonts w:eastAsia="Times New Roman"/>
        </w:rPr>
        <w:t xml:space="preserve"> than the return spread of -2.20% per month when sentiment continues in the Low state (L/L). The same pattern is evident for value-weighted portfolios in Panel B. </w:t>
      </w:r>
      <w:r w:rsidR="000B208A" w:rsidRPr="00E763D5">
        <w:rPr>
          <w:rFonts w:eastAsia="Times New Roman"/>
        </w:rPr>
        <w:t>Our results are</w:t>
      </w:r>
      <w:r w:rsidR="00155CA0">
        <w:rPr>
          <w:rFonts w:eastAsia="Times New Roman"/>
        </w:rPr>
        <w:t xml:space="preserve"> </w:t>
      </w:r>
      <w:r w:rsidR="001F06FD" w:rsidRPr="00E763D5">
        <w:rPr>
          <w:rFonts w:eastAsia="Times New Roman"/>
        </w:rPr>
        <w:t xml:space="preserve">consistent with </w:t>
      </w:r>
      <w:hyperlink w:anchor="_ENREF_42" w:tooltip="Stambaugh, 2012 #418" w:history="1">
        <w:r w:rsidR="006913E2" w:rsidRPr="00E763D5">
          <w:rPr>
            <w:noProof/>
          </w:rPr>
          <w:fldChar w:fldCharType="begin"/>
        </w:r>
        <w:r w:rsidR="006913E2" w:rsidRPr="00E763D5">
          <w:rPr>
            <w:noProof/>
          </w:rPr>
          <w:instrText xml:space="preserve"> ADDIN EN.CITE &lt;EndNote&gt;&lt;Cite AuthorYear="1"&gt;&lt;Author&gt;Stambaugh&lt;/Author&gt;&lt;Year&gt;2012&lt;/Year&gt;&lt;RecNum&gt;418&lt;/RecNum&gt;&lt;DisplayText&gt;Stambaugh et al. (2012)&lt;/DisplayText&gt;&lt;record&gt;&lt;rec-number&gt;418&lt;/rec-number&gt;&lt;foreign-keys&gt;&lt;key app="EN" db-id="vafzs99fq0ew0seasdvvtxzufavxfwxtx2tr" timestamp="1487484104"&gt;418&lt;/key&gt;&lt;/foreign-keys&gt;&lt;ref-type name="Journal Article"&gt;17&lt;/ref-type&gt;&lt;contributors&gt;&lt;authors&gt;&lt;author&gt;Stambaugh, Robert F&lt;/author&gt;&lt;author&gt;Yu, Jianfeng&lt;/author&gt;&lt;author&gt;Yuan, Yu&lt;/author&gt;&lt;/authors&gt;&lt;/contributors&gt;&lt;titles&gt;&lt;title&gt;The short of it: Investor sentiment and anomalies&lt;/title&gt;&lt;secondary-title&gt;Journal of Financial Economics&lt;/secondary-title&gt;&lt;/titles&gt;&lt;periodical&gt;&lt;full-title&gt;Journal of Financial Economics&lt;/full-title&gt;&lt;/periodical&gt;&lt;pages&gt;288-302&lt;/pages&gt;&lt;volume&gt;104&lt;/volume&gt;&lt;number&gt;2&lt;/number&gt;&lt;dates&gt;&lt;year&gt;2012&lt;/year&gt;&lt;/dates&gt;&lt;isbn&gt;0304-405X&lt;/isbn&gt;&lt;urls&gt;&lt;/urls&gt;&lt;/record&gt;&lt;/Cite&gt;&lt;/EndNote&gt;</w:instrText>
        </w:r>
        <w:r w:rsidR="006913E2" w:rsidRPr="00E763D5">
          <w:rPr>
            <w:noProof/>
          </w:rPr>
          <w:fldChar w:fldCharType="separate"/>
        </w:r>
        <w:r w:rsidR="006913E2" w:rsidRPr="00E763D5">
          <w:rPr>
            <w:noProof/>
          </w:rPr>
          <w:t>Stambaugh et al. (2012)</w:t>
        </w:r>
        <w:r w:rsidR="006913E2" w:rsidRPr="00E763D5">
          <w:rPr>
            <w:noProof/>
          </w:rPr>
          <w:fldChar w:fldCharType="end"/>
        </w:r>
      </w:hyperlink>
      <w:r w:rsidR="00155CA0">
        <w:rPr>
          <w:rFonts w:eastAsia="Times New Roman"/>
        </w:rPr>
        <w:t xml:space="preserve"> </w:t>
      </w:r>
      <w:r w:rsidR="001F06FD" w:rsidRPr="00E763D5">
        <w:rPr>
          <w:rFonts w:eastAsia="Times New Roman"/>
        </w:rPr>
        <w:t>who suggest that stock anomalies are stronger following high sentiment periods because short-sale restrictions make it difficult for rational traders to exploit arbitrage opportunities.</w:t>
      </w:r>
      <w:r w:rsidR="001F06FD" w:rsidRPr="00E763D5">
        <w:rPr>
          <w:rStyle w:val="FootnoteReference"/>
          <w:noProof/>
        </w:rPr>
        <w:footnoteReference w:id="19"/>
      </w:r>
      <w:r w:rsidR="00886BCC" w:rsidRPr="00E763D5">
        <w:rPr>
          <w:rFonts w:eastAsia="Times New Roman"/>
        </w:rPr>
        <w:t xml:space="preserve"> They also suggest that sentiment induced </w:t>
      </w:r>
      <w:proofErr w:type="spellStart"/>
      <w:r w:rsidR="00886BCC" w:rsidRPr="00E763D5">
        <w:rPr>
          <w:rFonts w:eastAsia="Times New Roman"/>
        </w:rPr>
        <w:t>underpricing</w:t>
      </w:r>
      <w:proofErr w:type="spellEnd"/>
      <w:r w:rsidR="00886BCC" w:rsidRPr="00E763D5">
        <w:rPr>
          <w:rFonts w:eastAsia="Times New Roman"/>
        </w:rPr>
        <w:t xml:space="preserve"> following low sentiment states should be less prevalent as rational traders are not as restricted in buying undervalued securities. Stambaugh et al. (2012) show higher returns for 11 anomalies following high sentiment periods while </w:t>
      </w:r>
      <w:hyperlink w:anchor="_ENREF_26" w:tooltip="Jacobs, 2015 #464" w:history="1">
        <w:r w:rsidR="006913E2" w:rsidRPr="00E763D5">
          <w:rPr>
            <w:noProof/>
          </w:rPr>
          <w:fldChar w:fldCharType="begin"/>
        </w:r>
        <w:r w:rsidR="006913E2" w:rsidRPr="00E763D5">
          <w:rPr>
            <w:noProof/>
          </w:rPr>
          <w:instrText xml:space="preserve"> ADDIN EN.CITE &lt;EndNote&gt;&lt;Cite AuthorYear="1"&gt;&lt;Author&gt;Jacobs&lt;/Author&gt;&lt;Year&gt;2015&lt;/Year&gt;&lt;RecNum&gt;464&lt;/RecNum&gt;&lt;DisplayText&gt;Jacobs (2015)&lt;/DisplayText&gt;&lt;record&gt;&lt;rec-number&gt;464&lt;/rec-number&gt;&lt;foreign-keys&gt;&lt;key app="EN" db-id="vafzs99fq0ew0seasdvvtxzufavxfwxtx2tr" timestamp="1501571255"&gt;464&lt;/key&gt;&lt;/foreign-keys&gt;&lt;ref-type name="Journal Article"&gt;17&lt;/ref-type&gt;&lt;contributors&gt;&lt;authors&gt;&lt;author&gt;Jacobs, Heiko&lt;/author&gt;&lt;/authors&gt;&lt;/contributors&gt;&lt;titles&gt;&lt;title&gt;What explains the dynamics of 100 anomalies?&lt;/title&gt;&lt;secondary-title&gt;Journal of Banking &amp;amp; Finance&lt;/secondary-title&gt;&lt;/titles&gt;&lt;periodical&gt;&lt;full-title&gt;Journal of Banking &amp;amp; Finance&lt;/full-title&gt;&lt;/periodical&gt;&lt;pages&gt;65-85&lt;/pages&gt;&lt;volume&gt;57&lt;/volume&gt;&lt;dates&gt;&lt;year&gt;2015&lt;/year&gt;&lt;/dates&gt;&lt;isbn&gt;0378-4266&lt;/isbn&gt;&lt;urls&gt;&lt;/urls&gt;&lt;/record&gt;&lt;/Cite&gt;&lt;/EndNote&gt;</w:instrText>
        </w:r>
        <w:r w:rsidR="006913E2" w:rsidRPr="00E763D5">
          <w:rPr>
            <w:noProof/>
          </w:rPr>
          <w:fldChar w:fldCharType="separate"/>
        </w:r>
        <w:r w:rsidR="006913E2" w:rsidRPr="00E763D5">
          <w:rPr>
            <w:noProof/>
          </w:rPr>
          <w:t>Jacobs (2015)</w:t>
        </w:r>
        <w:r w:rsidR="006913E2" w:rsidRPr="00E763D5">
          <w:rPr>
            <w:noProof/>
          </w:rPr>
          <w:fldChar w:fldCharType="end"/>
        </w:r>
      </w:hyperlink>
      <w:r w:rsidR="00886BCC" w:rsidRPr="00E763D5">
        <w:rPr>
          <w:rFonts w:eastAsia="Times New Roman"/>
        </w:rPr>
        <w:t xml:space="preserve"> in a </w:t>
      </w:r>
      <w:r w:rsidR="000F7118" w:rsidRPr="00E763D5">
        <w:rPr>
          <w:rFonts w:eastAsia="Times New Roman"/>
        </w:rPr>
        <w:t xml:space="preserve">more </w:t>
      </w:r>
      <w:r w:rsidR="00886BCC" w:rsidRPr="00E763D5">
        <w:rPr>
          <w:rFonts w:eastAsia="Times New Roman"/>
        </w:rPr>
        <w:t>recent study shows similar results for 100 anomalies.</w:t>
      </w:r>
    </w:p>
    <w:p w14:paraId="5DBAF237" w14:textId="1D8A9306" w:rsidR="006B3500" w:rsidRDefault="008246C6" w:rsidP="00C760BC">
      <w:pPr>
        <w:widowControl w:val="0"/>
        <w:spacing w:line="480" w:lineRule="auto"/>
        <w:ind w:firstLine="720"/>
        <w:rPr>
          <w:rFonts w:eastAsia="Times New Roman"/>
        </w:rPr>
      </w:pPr>
      <w:r>
        <w:rPr>
          <w:rFonts w:eastAsia="Times New Roman"/>
        </w:rPr>
        <w:t xml:space="preserve"> In sum, </w:t>
      </w:r>
      <w:r w:rsidR="006B3500">
        <w:rPr>
          <w:rFonts w:eastAsia="Times New Roman"/>
        </w:rPr>
        <w:t xml:space="preserve">our results are </w:t>
      </w:r>
      <w:r>
        <w:rPr>
          <w:rFonts w:eastAsia="Times New Roman"/>
        </w:rPr>
        <w:t xml:space="preserve">consistent with </w:t>
      </w:r>
      <w:r w:rsidR="00271BA8">
        <w:rPr>
          <w:rFonts w:eastAsia="Times New Roman"/>
        </w:rPr>
        <w:t xml:space="preserve">our second </w:t>
      </w:r>
      <w:r>
        <w:rPr>
          <w:rFonts w:eastAsia="Times New Roman"/>
        </w:rPr>
        <w:t>hypothesis</w:t>
      </w:r>
      <w:r w:rsidR="00271BA8">
        <w:rPr>
          <w:rFonts w:eastAsia="Times New Roman"/>
        </w:rPr>
        <w:t xml:space="preserve"> </w:t>
      </w:r>
      <w:r>
        <w:rPr>
          <w:rFonts w:eastAsia="Times New Roman"/>
        </w:rPr>
        <w:t>t</w:t>
      </w:r>
      <w:r w:rsidR="009B5BE3">
        <w:rPr>
          <w:rFonts w:eastAsia="Times New Roman"/>
        </w:rPr>
        <w:t>h</w:t>
      </w:r>
      <w:r>
        <w:rPr>
          <w:rFonts w:eastAsia="Times New Roman"/>
        </w:rPr>
        <w:t xml:space="preserve">at the </w:t>
      </w:r>
      <w:r w:rsidR="000B208A">
        <w:rPr>
          <w:rFonts w:eastAsia="Times New Roman"/>
        </w:rPr>
        <w:t>MAX effect is conditioned by sentiment dynamics</w:t>
      </w:r>
      <w:r w:rsidR="001B255E">
        <w:rPr>
          <w:rFonts w:eastAsia="Times New Roman"/>
        </w:rPr>
        <w:t xml:space="preserve"> and that the MAX effect can be positive or negative conti</w:t>
      </w:r>
      <w:r w:rsidR="00F2675B">
        <w:rPr>
          <w:rFonts w:eastAsia="Times New Roman"/>
        </w:rPr>
        <w:t>n</w:t>
      </w:r>
      <w:r w:rsidR="001B255E">
        <w:rPr>
          <w:rFonts w:eastAsia="Times New Roman"/>
        </w:rPr>
        <w:t xml:space="preserve">gent on the </w:t>
      </w:r>
      <w:r w:rsidR="007F2978">
        <w:rPr>
          <w:rFonts w:eastAsia="Times New Roman"/>
        </w:rPr>
        <w:t xml:space="preserve">subsequent </w:t>
      </w:r>
      <w:r w:rsidR="001B255E">
        <w:rPr>
          <w:rFonts w:eastAsia="Times New Roman"/>
        </w:rPr>
        <w:t>sentiment state. The negative</w:t>
      </w:r>
      <w:r>
        <w:rPr>
          <w:rFonts w:eastAsia="Times New Roman"/>
        </w:rPr>
        <w:t xml:space="preserve"> MAX effect </w:t>
      </w:r>
      <w:r w:rsidR="001B255E">
        <w:rPr>
          <w:rFonts w:eastAsia="Times New Roman"/>
        </w:rPr>
        <w:t xml:space="preserve">is present </w:t>
      </w:r>
      <w:r>
        <w:rPr>
          <w:rFonts w:eastAsia="Times New Roman"/>
        </w:rPr>
        <w:t>when sentiment transitions from High to Low or when sent</w:t>
      </w:r>
      <w:r w:rsidR="006B3500">
        <w:rPr>
          <w:rFonts w:eastAsia="Times New Roman"/>
        </w:rPr>
        <w:t>iment continues in a Low state</w:t>
      </w:r>
      <w:r w:rsidR="001B255E">
        <w:rPr>
          <w:rFonts w:eastAsia="Times New Roman"/>
        </w:rPr>
        <w:t xml:space="preserve">. </w:t>
      </w:r>
      <w:proofErr w:type="gramStart"/>
      <w:r w:rsidR="001B255E">
        <w:rPr>
          <w:rFonts w:eastAsia="Times New Roman"/>
        </w:rPr>
        <w:lastRenderedPageBreak/>
        <w:t>Additionally</w:t>
      </w:r>
      <w:proofErr w:type="gramEnd"/>
      <w:r w:rsidR="001B255E">
        <w:rPr>
          <w:rFonts w:eastAsia="Times New Roman"/>
        </w:rPr>
        <w:t xml:space="preserve"> we present new evidence of the existence of a </w:t>
      </w:r>
      <w:r w:rsidR="006B3500" w:rsidRPr="00C24A72">
        <w:rPr>
          <w:rFonts w:eastAsia="Times New Roman"/>
          <w:i/>
        </w:rPr>
        <w:t>positive</w:t>
      </w:r>
      <w:r w:rsidR="006B3500">
        <w:rPr>
          <w:rFonts w:eastAsia="Times New Roman"/>
        </w:rPr>
        <w:t xml:space="preserve"> MAX effect</w:t>
      </w:r>
      <w:r w:rsidR="001B255E">
        <w:rPr>
          <w:rFonts w:eastAsia="Times New Roman"/>
        </w:rPr>
        <w:t xml:space="preserve"> when sentiment continues in the High state or when it transitions to from a Low to a High state. More importantly we show that the negative MAX effect can exist following Low sentiment states contrary to the </w:t>
      </w:r>
      <w:r w:rsidR="00A06532">
        <w:rPr>
          <w:rFonts w:eastAsia="Times New Roman"/>
        </w:rPr>
        <w:t xml:space="preserve">earlier </w:t>
      </w:r>
      <w:r w:rsidR="001B255E">
        <w:rPr>
          <w:rFonts w:eastAsia="Times New Roman"/>
        </w:rPr>
        <w:t xml:space="preserve">suggestion </w:t>
      </w:r>
      <w:r w:rsidR="00D04FF0">
        <w:rPr>
          <w:rFonts w:eastAsia="Times New Roman"/>
        </w:rPr>
        <w:t>in</w:t>
      </w:r>
      <w:r w:rsidR="001B255E">
        <w:rPr>
          <w:rFonts w:eastAsia="Times New Roman"/>
        </w:rPr>
        <w:t xml:space="preserve"> Fong and </w:t>
      </w:r>
      <w:proofErr w:type="spellStart"/>
      <w:r w:rsidR="001B255E">
        <w:rPr>
          <w:rFonts w:eastAsia="Times New Roman"/>
        </w:rPr>
        <w:t>Toh</w:t>
      </w:r>
      <w:proofErr w:type="spellEnd"/>
      <w:r w:rsidR="001B255E">
        <w:rPr>
          <w:rFonts w:eastAsia="Times New Roman"/>
        </w:rPr>
        <w:t xml:space="preserve"> </w:t>
      </w:r>
      <w:r w:rsidR="00D04FF0">
        <w:rPr>
          <w:rFonts w:eastAsia="Times New Roman"/>
        </w:rPr>
        <w:t xml:space="preserve">(2014) </w:t>
      </w:r>
      <w:r w:rsidR="001B255E">
        <w:rPr>
          <w:rFonts w:eastAsia="Times New Roman"/>
        </w:rPr>
        <w:t xml:space="preserve">that it exclusively follows High sentiment states. We show that </w:t>
      </w:r>
      <w:r w:rsidR="005F1B2F">
        <w:rPr>
          <w:rFonts w:eastAsia="Times New Roman"/>
        </w:rPr>
        <w:t>their results</w:t>
      </w:r>
      <w:r w:rsidR="001B255E">
        <w:rPr>
          <w:rFonts w:eastAsia="Times New Roman"/>
        </w:rPr>
        <w:t xml:space="preserve"> are the consequence of the </w:t>
      </w:r>
      <w:r w:rsidR="001B255E" w:rsidRPr="001B255E">
        <w:rPr>
          <w:rFonts w:eastAsia="Times New Roman"/>
        </w:rPr>
        <w:t xml:space="preserve">completely offsetting positive </w:t>
      </w:r>
      <w:r w:rsidR="00D04FF0">
        <w:rPr>
          <w:rFonts w:eastAsia="Times New Roman"/>
        </w:rPr>
        <w:t xml:space="preserve">and negative </w:t>
      </w:r>
      <w:r w:rsidR="00F2675B">
        <w:rPr>
          <w:rFonts w:eastAsia="Times New Roman"/>
        </w:rPr>
        <w:t>MAX effect</w:t>
      </w:r>
      <w:r w:rsidR="00D04FF0">
        <w:rPr>
          <w:rFonts w:eastAsia="Times New Roman"/>
        </w:rPr>
        <w:t>s</w:t>
      </w:r>
      <w:r w:rsidR="00F2675B">
        <w:rPr>
          <w:rFonts w:eastAsia="Times New Roman"/>
        </w:rPr>
        <w:t xml:space="preserve"> when sentiment transitions from Low to High, </w:t>
      </w:r>
      <w:r w:rsidR="001B255E" w:rsidRPr="001B255E">
        <w:rPr>
          <w:rFonts w:eastAsia="Times New Roman"/>
        </w:rPr>
        <w:t xml:space="preserve">and </w:t>
      </w:r>
      <w:r w:rsidR="00F2675B">
        <w:rPr>
          <w:rFonts w:eastAsia="Times New Roman"/>
        </w:rPr>
        <w:t xml:space="preserve">when sentiment continues in the </w:t>
      </w:r>
      <w:r w:rsidR="001B255E" w:rsidRPr="001B255E">
        <w:rPr>
          <w:rFonts w:eastAsia="Times New Roman"/>
        </w:rPr>
        <w:t>Low state</w:t>
      </w:r>
      <w:r w:rsidR="00D04FF0">
        <w:rPr>
          <w:rFonts w:eastAsia="Times New Roman"/>
        </w:rPr>
        <w:t>, respectively</w:t>
      </w:r>
      <w:r w:rsidR="001B255E" w:rsidRPr="001B255E">
        <w:rPr>
          <w:rFonts w:eastAsia="Times New Roman"/>
        </w:rPr>
        <w:t>.</w:t>
      </w:r>
    </w:p>
    <w:p w14:paraId="23329A5E" w14:textId="5BAAF00A" w:rsidR="005D7A35" w:rsidRPr="008026F8" w:rsidRDefault="005D7A35" w:rsidP="00C760BC">
      <w:pPr>
        <w:pStyle w:val="BodyText"/>
        <w:spacing w:after="240" w:line="480" w:lineRule="auto"/>
        <w:contextualSpacing/>
        <w:rPr>
          <w:rFonts w:asciiTheme="minorHAnsi" w:hAnsiTheme="minorHAnsi" w:cs="Arial"/>
          <w:b/>
          <w:bCs/>
          <w:sz w:val="28"/>
          <w:szCs w:val="28"/>
        </w:rPr>
      </w:pPr>
      <w:r w:rsidRPr="008026F8">
        <w:rPr>
          <w:rFonts w:asciiTheme="minorHAnsi" w:hAnsiTheme="minorHAnsi" w:cs="Arial"/>
          <w:b/>
          <w:bCs/>
          <w:sz w:val="28"/>
          <w:szCs w:val="28"/>
        </w:rPr>
        <w:t>V. Robustness Tests</w:t>
      </w:r>
    </w:p>
    <w:p w14:paraId="6758C2BE" w14:textId="652052F8" w:rsidR="005D7A35" w:rsidRPr="008026F8" w:rsidRDefault="005D7A35" w:rsidP="00C760BC">
      <w:pPr>
        <w:pStyle w:val="BodyText"/>
        <w:spacing w:after="240" w:line="480" w:lineRule="auto"/>
        <w:rPr>
          <w:rFonts w:asciiTheme="minorHAnsi" w:hAnsiTheme="minorHAnsi" w:cs="Arial"/>
          <w:b/>
          <w:bCs/>
        </w:rPr>
      </w:pPr>
      <w:r w:rsidRPr="008026F8">
        <w:rPr>
          <w:rFonts w:asciiTheme="minorHAnsi" w:hAnsiTheme="minorHAnsi" w:cs="Arial"/>
          <w:b/>
          <w:bCs/>
        </w:rPr>
        <w:t>A. Risk-adjusted returns and sentiment</w:t>
      </w:r>
    </w:p>
    <w:p w14:paraId="5333CE83" w14:textId="5D6C0B33" w:rsidR="005D7A35" w:rsidRPr="00E65AA7" w:rsidRDefault="005D7A35" w:rsidP="00C760BC">
      <w:pPr>
        <w:pStyle w:val="BodyText"/>
        <w:spacing w:after="240" w:line="480" w:lineRule="auto"/>
        <w:ind w:firstLine="720"/>
      </w:pPr>
      <w:r w:rsidRPr="00E65AA7">
        <w:rPr>
          <w:bCs/>
        </w:rPr>
        <w:t xml:space="preserve">The results in the previous section demonstrate that raw returns of </w:t>
      </w:r>
      <w:r>
        <w:rPr>
          <w:bCs/>
        </w:rPr>
        <w:t>HVHA</w:t>
      </w:r>
      <w:r w:rsidRPr="00E65AA7">
        <w:rPr>
          <w:bCs/>
        </w:rPr>
        <w:t xml:space="preserve"> stocks are higher (lower) than </w:t>
      </w:r>
      <w:r>
        <w:rPr>
          <w:bCs/>
        </w:rPr>
        <w:t>EVEA</w:t>
      </w:r>
      <w:r w:rsidRPr="00E65AA7">
        <w:rPr>
          <w:bCs/>
        </w:rPr>
        <w:t xml:space="preserve"> stocks when sentiment continues to increase (decrease), and the mispricing is corrected only when sentiment transitions to another state. As a robustness test, in this section, we test whether risk factors can explain the difference in returns between </w:t>
      </w:r>
      <w:r>
        <w:rPr>
          <w:bCs/>
        </w:rPr>
        <w:t>HVHA</w:t>
      </w:r>
      <w:r w:rsidRPr="00E65AA7">
        <w:rPr>
          <w:bCs/>
        </w:rPr>
        <w:t xml:space="preserve"> and </w:t>
      </w:r>
      <w:r>
        <w:rPr>
          <w:bCs/>
        </w:rPr>
        <w:t>EVEA</w:t>
      </w:r>
      <w:r w:rsidRPr="00E65AA7">
        <w:rPr>
          <w:bCs/>
        </w:rPr>
        <w:t xml:space="preserve"> stocks. Several studies </w:t>
      </w:r>
      <w:r w:rsidRPr="00E65AA7">
        <w:rPr>
          <w:bCs/>
        </w:rPr>
        <w:fldChar w:fldCharType="begin">
          <w:fldData xml:space="preserve">PEVuZE5vdGU+PENpdGU+PEF1dGhvcj5E4oCZYXZvbGlvPC9BdXRob3I+PFllYXI+MjAwMjwvWWVh
cj48UmVjTnVtPjQyMTwvUmVjTnVtPjxQcmVmaXg+ZS5nLiA8L1ByZWZpeD48RGlzcGxheVRleHQ+
KGUuZy4gUG9udGlmZiwgMTk5NjsgU2hsZWlmZXIgJmFtcDsgVmlzaG55LCAxOTk3OyBE4oCZYXZv
bGlvLCAyMDAyOyBXdXJnbGVyICZhbXA7IFpodXJhdnNrYXlhLCAyMDAyKTwvRGlzcGxheVRleHQ+
PHJlY29yZD48cmVjLW51bWJlcj40MjE8L3JlYy1udW1iZXI+PGZvcmVpZ24ta2V5cz48a2V5IGFw
cD0iRU4iIGRiLWlkPSJ2YWZ6czk5ZnEwZXcwc2Vhc2R2dnR4enVmYXZ4Znd4dHgydHIiIHRpbWVz
dGFtcD0iMTQ4NzU3NDEzMiI+NDIxPC9rZXk+PC9mb3JlaWduLWtleXM+PHJlZi10eXBlIG5hbWU9
IkpvdXJuYWwgQXJ0aWNsZSI+MTc8L3JlZi10eXBlPjxjb250cmlidXRvcnM+PGF1dGhvcnM+PGF1
dGhvcj5E4oCZYXZvbGlvLCBHZW5lPC9hdXRob3I+PC9hdXRob3JzPjwvY29udHJpYnV0b3JzPjx0
aXRsZXM+PHRpdGxlPlRoZSBtYXJrZXQgZm9yIGJvcnJvd2luZyBzdG9jazwvdGl0bGU+PHNlY29u
ZGFyeS10aXRsZT5Kb3VybmFsIG9mIGZpbmFuY2lhbCBlY29ub21pY3M8L3NlY29uZGFyeS10aXRs
ZT48L3RpdGxlcz48cGVyaW9kaWNhbD48ZnVsbC10aXRsZT5Kb3VybmFsIG9mIEZpbmFuY2lhbCBF
Y29ub21pY3M8L2Z1bGwtdGl0bGU+PC9wZXJpb2RpY2FsPjxwYWdlcz4yNzEtMzA2PC9wYWdlcz48
dm9sdW1lPjY2PC92b2x1bWU+PG51bWJlcj4yPC9udW1iZXI+PGRhdGVzPjx5ZWFyPjIwMDI8L3ll
YXI+PC9kYXRlcz48aXNibj4wMzA0LTQwNVg8L2lzYm4+PHVybHM+PC91cmxzPjwvcmVjb3JkPjwv
Q2l0ZT48Q2l0ZT48QXV0aG9yPld1cmdsZXI8L0F1dGhvcj48WWVhcj4yMDAyPC9ZZWFyPjxSZWNO
dW0+NDIyPC9SZWNOdW0+PHJlY29yZD48cmVjLW51bWJlcj40MjI8L3JlYy1udW1iZXI+PGZvcmVp
Z24ta2V5cz48a2V5IGFwcD0iRU4iIGRiLWlkPSJ2YWZ6czk5ZnEwZXcwc2Vhc2R2dnR4enVmYXZ4
Znd4dHgydHIiIHRpbWVzdGFtcD0iMTQ4NzU3NDE4NSI+NDIyPC9rZXk+PC9mb3JlaWduLWtleXM+
PHJlZi10eXBlIG5hbWU9IkpvdXJuYWwgQXJ0aWNsZSI+MTc8L3JlZi10eXBlPjxjb250cmlidXRv
cnM+PGF1dGhvcnM+PGF1dGhvcj5XdXJnbGVyLCBKZWZmcmV5PC9hdXRob3I+PGF1dGhvcj5aaHVy
YXZza2F5YSwgRWthdGVyaW5hPC9hdXRob3I+PC9hdXRob3JzPjwvY29udHJpYnV0b3JzPjx0aXRs
ZXM+PHRpdGxlPkRvZXMgYXJiaXRyYWdlIGZsYXR0ZW4gZGVtYW5kIGN1cnZlcyBmb3Igc3RvY2tz
PzwvdGl0bGU+PHNlY29uZGFyeS10aXRsZT5UaGUgSm91cm5hbCBvZiBCdXNpbmVzczwvc2Vjb25k
YXJ5LXRpdGxlPjwvdGl0bGVzPjxwZXJpb2RpY2FsPjxmdWxsLXRpdGxlPlRoZSBKb3VybmFsIG9m
IEJ1c2luZXNzPC9mdWxsLXRpdGxlPjwvcGVyaW9kaWNhbD48cGFnZXM+NTgzLTYwODwvcGFnZXM+
PHZvbHVtZT43NTwvdm9sdW1lPjxudW1iZXI+NDwvbnVtYmVyPjxkYXRlcz48eWVhcj4yMDAyPC95
ZWFyPjwvZGF0ZXM+PGlzYm4+MDAyMS05Mzk4PC9pc2JuPjx1cmxzPjwvdXJscz48L3JlY29yZD48
L0NpdGU+PENpdGU+PEF1dGhvcj5TaGxlaWZlcjwvQXV0aG9yPjxZZWFyPjE5OTc8L1llYXI+PFJl
Y051bT44OTwvUmVjTnVtPjxyZWNvcmQ+PHJlYy1udW1iZXI+ODk8L3JlYy1udW1iZXI+PGZvcmVp
Z24ta2V5cz48a2V5IGFwcD0iRU4iIGRiLWlkPSJ2YWZ6czk5ZnEwZXcwc2Vhc2R2dnR4enVmYXZ4
Znd4dHgydHIiIHRpbWVzdGFtcD0iMCI+ODk8L2tleT48L2ZvcmVpZ24ta2V5cz48cmVmLXR5cGUg
bmFtZT0iSm91cm5hbCBBcnRpY2xlIj4xNzwvcmVmLXR5cGU+PGNvbnRyaWJ1dG9ycz48YXV0aG9y
cz48YXV0aG9yPlNobGVpZmVyLCBBLjwvYXV0aG9yPjxhdXRob3I+VmlzaG55LCBSLiBXLjwvYXV0
aG9yPjwvYXV0aG9ycz48L2NvbnRyaWJ1dG9ycz48dGl0bGVzPjx0aXRsZT5UaGUgbGltaXRzIG9m
IGFyYml0cmFnZTwvdGl0bGU+PHNlY29uZGFyeS10aXRsZT5UaGUgSm91cm5hbCBvZiBGaW5hbmNl
PC9zZWNvbmRhcnktdGl0bGU+PC90aXRsZXM+PHBlcmlvZGljYWw+PGZ1bGwtdGl0bGU+VGhlIEpv
dXJuYWwgb2YgRmluYW5jZTwvZnVsbC10aXRsZT48L3BlcmlvZGljYWw+PHBhZ2VzPjM1LTU1PC9w
YWdlcz48dm9sdW1lPjUyPC92b2x1bWU+PG51bWJlcj4xPC9udW1iZXI+PGRhdGVzPjx5ZWFyPjE5
OTc8L3llYXI+PC9kYXRlcz48aXNibj4xNTQwLTYyNjE8L2lzYm4+PHVybHM+PC91cmxzPjwvcmVj
b3JkPjwvQ2l0ZT48Q2l0ZT48QXV0aG9yPlBvbnRpZmY8L0F1dGhvcj48WWVhcj4xOTk2PC9ZZWFy
PjxSZWNOdW0+ODg8L1JlY051bT48cmVjb3JkPjxyZWMtbnVtYmVyPjg4PC9yZWMtbnVtYmVyPjxm
b3JlaWduLWtleXM+PGtleSBhcHA9IkVOIiBkYi1pZD0idmFmenM5OWZxMGV3MHNlYXNkdnZ0eHp1
ZmF2eGZ3eHR4MnRyIiB0aW1lc3RhbXA9IjAiPjg4PC9rZXk+PC9mb3JlaWduLWtleXM+PHJlZi10
eXBlIG5hbWU9IkpvdXJuYWwgQXJ0aWNsZSI+MTc8L3JlZi10eXBlPjxjb250cmlidXRvcnM+PGF1
dGhvcnM+PGF1dGhvcj5Qb250aWZmLCBKLjwvYXV0aG9yPjwvYXV0aG9ycz48L2NvbnRyaWJ1dG9y
cz48dGl0bGVzPjx0aXRsZT5Db3N0bHkgYXJiaXRyYWdlOiBFdmlkZW5jZSBmcm9tIGNsb3NlZC1l
bmQgZnVuZHM8L3RpdGxlPjxzZWNvbmRhcnktdGl0bGU+VGhlIFF1YXJ0ZXJseSBKb3VybmFsIG9m
IEVjb25vbWljczwvc2Vjb25kYXJ5LXRpdGxlPjwvdGl0bGVzPjxwZXJpb2RpY2FsPjxmdWxsLXRp
dGxlPlRoZSBRdWFydGVybHkgSm91cm5hbCBvZiBFY29ub21pY3M8L2Z1bGwtdGl0bGU+PC9wZXJp
b2RpY2FsPjxwYWdlcz4xMTM1LTExNTE8L3BhZ2VzPjx2b2x1bWU+MTExPC92b2x1bWU+PG51bWJl
cj40PC9udW1iZXI+PGRhdGVzPjx5ZWFyPjE5OTY8L3llYXI+PC9kYXRlcz48aXNibj4wMDMzLTU1
MzM8L2lzYm4+PHVybHM+PC91cmxzPjwvcmVjb3JkPjwvQ2l0ZT48L0VuZE5vdGU+
</w:fldData>
        </w:fldChar>
      </w:r>
      <w:r w:rsidR="00B4574D">
        <w:rPr>
          <w:bCs/>
        </w:rPr>
        <w:instrText xml:space="preserve"> ADDIN EN.CITE </w:instrText>
      </w:r>
      <w:r w:rsidR="00B4574D">
        <w:rPr>
          <w:bCs/>
        </w:rPr>
        <w:fldChar w:fldCharType="begin">
          <w:fldData xml:space="preserve">PEVuZE5vdGU+PENpdGU+PEF1dGhvcj5E4oCZYXZvbGlvPC9BdXRob3I+PFllYXI+MjAwMjwvWWVh
cj48UmVjTnVtPjQyMTwvUmVjTnVtPjxQcmVmaXg+ZS5nLiA8L1ByZWZpeD48RGlzcGxheVRleHQ+
KGUuZy4gUG9udGlmZiwgMTk5NjsgU2hsZWlmZXIgJmFtcDsgVmlzaG55LCAxOTk3OyBE4oCZYXZv
bGlvLCAyMDAyOyBXdXJnbGVyICZhbXA7IFpodXJhdnNrYXlhLCAyMDAyKTwvRGlzcGxheVRleHQ+
PHJlY29yZD48cmVjLW51bWJlcj40MjE8L3JlYy1udW1iZXI+PGZvcmVpZ24ta2V5cz48a2V5IGFw
cD0iRU4iIGRiLWlkPSJ2YWZ6czk5ZnEwZXcwc2Vhc2R2dnR4enVmYXZ4Znd4dHgydHIiIHRpbWVz
dGFtcD0iMTQ4NzU3NDEzMiI+NDIxPC9rZXk+PC9mb3JlaWduLWtleXM+PHJlZi10eXBlIG5hbWU9
IkpvdXJuYWwgQXJ0aWNsZSI+MTc8L3JlZi10eXBlPjxjb250cmlidXRvcnM+PGF1dGhvcnM+PGF1
dGhvcj5E4oCZYXZvbGlvLCBHZW5lPC9hdXRob3I+PC9hdXRob3JzPjwvY29udHJpYnV0b3JzPjx0
aXRsZXM+PHRpdGxlPlRoZSBtYXJrZXQgZm9yIGJvcnJvd2luZyBzdG9jazwvdGl0bGU+PHNlY29u
ZGFyeS10aXRsZT5Kb3VybmFsIG9mIGZpbmFuY2lhbCBlY29ub21pY3M8L3NlY29uZGFyeS10aXRs
ZT48L3RpdGxlcz48cGVyaW9kaWNhbD48ZnVsbC10aXRsZT5Kb3VybmFsIG9mIEZpbmFuY2lhbCBF
Y29ub21pY3M8L2Z1bGwtdGl0bGU+PC9wZXJpb2RpY2FsPjxwYWdlcz4yNzEtMzA2PC9wYWdlcz48
dm9sdW1lPjY2PC92b2x1bWU+PG51bWJlcj4yPC9udW1iZXI+PGRhdGVzPjx5ZWFyPjIwMDI8L3ll
YXI+PC9kYXRlcz48aXNibj4wMzA0LTQwNVg8L2lzYm4+PHVybHM+PC91cmxzPjwvcmVjb3JkPjwv
Q2l0ZT48Q2l0ZT48QXV0aG9yPld1cmdsZXI8L0F1dGhvcj48WWVhcj4yMDAyPC9ZZWFyPjxSZWNO
dW0+NDIyPC9SZWNOdW0+PHJlY29yZD48cmVjLW51bWJlcj40MjI8L3JlYy1udW1iZXI+PGZvcmVp
Z24ta2V5cz48a2V5IGFwcD0iRU4iIGRiLWlkPSJ2YWZ6czk5ZnEwZXcwc2Vhc2R2dnR4enVmYXZ4
Znd4dHgydHIiIHRpbWVzdGFtcD0iMTQ4NzU3NDE4NSI+NDIyPC9rZXk+PC9mb3JlaWduLWtleXM+
PHJlZi10eXBlIG5hbWU9IkpvdXJuYWwgQXJ0aWNsZSI+MTc8L3JlZi10eXBlPjxjb250cmlidXRv
cnM+PGF1dGhvcnM+PGF1dGhvcj5XdXJnbGVyLCBKZWZmcmV5PC9hdXRob3I+PGF1dGhvcj5aaHVy
YXZza2F5YSwgRWthdGVyaW5hPC9hdXRob3I+PC9hdXRob3JzPjwvY29udHJpYnV0b3JzPjx0aXRs
ZXM+PHRpdGxlPkRvZXMgYXJiaXRyYWdlIGZsYXR0ZW4gZGVtYW5kIGN1cnZlcyBmb3Igc3RvY2tz
PzwvdGl0bGU+PHNlY29uZGFyeS10aXRsZT5UaGUgSm91cm5hbCBvZiBCdXNpbmVzczwvc2Vjb25k
YXJ5LXRpdGxlPjwvdGl0bGVzPjxwZXJpb2RpY2FsPjxmdWxsLXRpdGxlPlRoZSBKb3VybmFsIG9m
IEJ1c2luZXNzPC9mdWxsLXRpdGxlPjwvcGVyaW9kaWNhbD48cGFnZXM+NTgzLTYwODwvcGFnZXM+
PHZvbHVtZT43NTwvdm9sdW1lPjxudW1iZXI+NDwvbnVtYmVyPjxkYXRlcz48eWVhcj4yMDAyPC95
ZWFyPjwvZGF0ZXM+PGlzYm4+MDAyMS05Mzk4PC9pc2JuPjx1cmxzPjwvdXJscz48L3JlY29yZD48
L0NpdGU+PENpdGU+PEF1dGhvcj5TaGxlaWZlcjwvQXV0aG9yPjxZZWFyPjE5OTc8L1llYXI+PFJl
Y051bT44OTwvUmVjTnVtPjxyZWNvcmQ+PHJlYy1udW1iZXI+ODk8L3JlYy1udW1iZXI+PGZvcmVp
Z24ta2V5cz48a2V5IGFwcD0iRU4iIGRiLWlkPSJ2YWZ6czk5ZnEwZXcwc2Vhc2R2dnR4enVmYXZ4
Znd4dHgydHIiIHRpbWVzdGFtcD0iMCI+ODk8L2tleT48L2ZvcmVpZ24ta2V5cz48cmVmLXR5cGUg
bmFtZT0iSm91cm5hbCBBcnRpY2xlIj4xNzwvcmVmLXR5cGU+PGNvbnRyaWJ1dG9ycz48YXV0aG9y
cz48YXV0aG9yPlNobGVpZmVyLCBBLjwvYXV0aG9yPjxhdXRob3I+VmlzaG55LCBSLiBXLjwvYXV0
aG9yPjwvYXV0aG9ycz48L2NvbnRyaWJ1dG9ycz48dGl0bGVzPjx0aXRsZT5UaGUgbGltaXRzIG9m
IGFyYml0cmFnZTwvdGl0bGU+PHNlY29uZGFyeS10aXRsZT5UaGUgSm91cm5hbCBvZiBGaW5hbmNl
PC9zZWNvbmRhcnktdGl0bGU+PC90aXRsZXM+PHBlcmlvZGljYWw+PGZ1bGwtdGl0bGU+VGhlIEpv
dXJuYWwgb2YgRmluYW5jZTwvZnVsbC10aXRsZT48L3BlcmlvZGljYWw+PHBhZ2VzPjM1LTU1PC9w
YWdlcz48dm9sdW1lPjUyPC92b2x1bWU+PG51bWJlcj4xPC9udW1iZXI+PGRhdGVzPjx5ZWFyPjE5
OTc8L3llYXI+PC9kYXRlcz48aXNibj4xNTQwLTYyNjE8L2lzYm4+PHVybHM+PC91cmxzPjwvcmVj
b3JkPjwvQ2l0ZT48Q2l0ZT48QXV0aG9yPlBvbnRpZmY8L0F1dGhvcj48WWVhcj4xOTk2PC9ZZWFy
PjxSZWNOdW0+ODg8L1JlY051bT48cmVjb3JkPjxyZWMtbnVtYmVyPjg4PC9yZWMtbnVtYmVyPjxm
b3JlaWduLWtleXM+PGtleSBhcHA9IkVOIiBkYi1pZD0idmFmenM5OWZxMGV3MHNlYXNkdnZ0eHp1
ZmF2eGZ3eHR4MnRyIiB0aW1lc3RhbXA9IjAiPjg4PC9rZXk+PC9mb3JlaWduLWtleXM+PHJlZi10
eXBlIG5hbWU9IkpvdXJuYWwgQXJ0aWNsZSI+MTc8L3JlZi10eXBlPjxjb250cmlidXRvcnM+PGF1
dGhvcnM+PGF1dGhvcj5Qb250aWZmLCBKLjwvYXV0aG9yPjwvYXV0aG9ycz48L2NvbnRyaWJ1dG9y
cz48dGl0bGVzPjx0aXRsZT5Db3N0bHkgYXJiaXRyYWdlOiBFdmlkZW5jZSBmcm9tIGNsb3NlZC1l
bmQgZnVuZHM8L3RpdGxlPjxzZWNvbmRhcnktdGl0bGU+VGhlIFF1YXJ0ZXJseSBKb3VybmFsIG9m
IEVjb25vbWljczwvc2Vjb25kYXJ5LXRpdGxlPjwvdGl0bGVzPjxwZXJpb2RpY2FsPjxmdWxsLXRp
dGxlPlRoZSBRdWFydGVybHkgSm91cm5hbCBvZiBFY29ub21pY3M8L2Z1bGwtdGl0bGU+PC9wZXJp
b2RpY2FsPjxwYWdlcz4xMTM1LTExNTE8L3BhZ2VzPjx2b2x1bWU+MTExPC92b2x1bWU+PG51bWJl
cj40PC9udW1iZXI+PGRhdGVzPjx5ZWFyPjE5OTY8L3llYXI+PC9kYXRlcz48aXNibj4wMDMzLTU1
MzM8L2lzYm4+PHVybHM+PC91cmxzPjwvcmVjb3JkPjwvQ2l0ZT48L0VuZE5vdGU+
</w:fldData>
        </w:fldChar>
      </w:r>
      <w:r w:rsidR="00B4574D">
        <w:rPr>
          <w:bCs/>
        </w:rPr>
        <w:instrText xml:space="preserve"> ADDIN EN.CITE.DATA </w:instrText>
      </w:r>
      <w:r w:rsidR="00B4574D">
        <w:rPr>
          <w:bCs/>
        </w:rPr>
      </w:r>
      <w:r w:rsidR="00B4574D">
        <w:rPr>
          <w:bCs/>
        </w:rPr>
        <w:fldChar w:fldCharType="end"/>
      </w:r>
      <w:r w:rsidRPr="00E65AA7">
        <w:rPr>
          <w:bCs/>
        </w:rPr>
      </w:r>
      <w:r w:rsidRPr="00E65AA7">
        <w:rPr>
          <w:bCs/>
        </w:rPr>
        <w:fldChar w:fldCharType="separate"/>
      </w:r>
      <w:r w:rsidR="00B4574D">
        <w:rPr>
          <w:bCs/>
          <w:noProof/>
        </w:rPr>
        <w:t xml:space="preserve">(e.g. </w:t>
      </w:r>
      <w:hyperlink w:anchor="_ENREF_34" w:tooltip="Pontiff, 1996 #88" w:history="1">
        <w:r w:rsidR="006913E2">
          <w:rPr>
            <w:bCs/>
            <w:noProof/>
          </w:rPr>
          <w:t>Pontiff, 1996</w:t>
        </w:r>
      </w:hyperlink>
      <w:r w:rsidR="00B4574D">
        <w:rPr>
          <w:bCs/>
          <w:noProof/>
        </w:rPr>
        <w:t xml:space="preserve">; </w:t>
      </w:r>
      <w:hyperlink w:anchor="_ENREF_39" w:tooltip="Shleifer, 1997 #462" w:history="1">
        <w:r w:rsidR="006913E2">
          <w:rPr>
            <w:bCs/>
            <w:noProof/>
          </w:rPr>
          <w:t>Shleifer &amp; Vishny, 1997</w:t>
        </w:r>
      </w:hyperlink>
      <w:r w:rsidR="00B4574D">
        <w:rPr>
          <w:bCs/>
          <w:noProof/>
        </w:rPr>
        <w:t xml:space="preserve">; </w:t>
      </w:r>
      <w:hyperlink w:anchor="_ENREF_14" w:tooltip="D’avolio, 2002 #421" w:history="1">
        <w:r w:rsidR="006913E2">
          <w:rPr>
            <w:bCs/>
            <w:noProof/>
          </w:rPr>
          <w:t>D’avolio, 2002</w:t>
        </w:r>
      </w:hyperlink>
      <w:r w:rsidR="00B4574D">
        <w:rPr>
          <w:bCs/>
          <w:noProof/>
        </w:rPr>
        <w:t xml:space="preserve">; </w:t>
      </w:r>
      <w:hyperlink w:anchor="_ENREF_45" w:tooltip="Wurgler, 2002 #86" w:history="1">
        <w:r w:rsidR="006913E2">
          <w:rPr>
            <w:bCs/>
            <w:noProof/>
          </w:rPr>
          <w:t>Wurgler &amp; Zhuravskaya, 2002</w:t>
        </w:r>
      </w:hyperlink>
      <w:r w:rsidR="00B4574D">
        <w:rPr>
          <w:bCs/>
          <w:noProof/>
        </w:rPr>
        <w:t>)</w:t>
      </w:r>
      <w:r w:rsidRPr="00E65AA7">
        <w:rPr>
          <w:bCs/>
        </w:rPr>
        <w:fldChar w:fldCharType="end"/>
      </w:r>
      <w:r w:rsidRPr="00E65AA7">
        <w:rPr>
          <w:bCs/>
        </w:rPr>
        <w:t xml:space="preserve"> suggest that</w:t>
      </w:r>
      <w:r>
        <w:rPr>
          <w:bCs/>
        </w:rPr>
        <w:t xml:space="preserve"> HVHA</w:t>
      </w:r>
      <w:r w:rsidRPr="00E65AA7">
        <w:rPr>
          <w:bCs/>
        </w:rPr>
        <w:t xml:space="preserve"> stocks such as small, unprofitable, non-dividend paying and high volatility firms are riskier; therefore, such stocks require higher returns based on the asset pricing models. However, our results show that such risky stocks sometimes have lower expected returns. For example, we find relatively lower returns for younger, small size, high volatility, unprofitable and non-dividend paying firms when sentiment continues</w:t>
      </w:r>
      <w:r>
        <w:rPr>
          <w:bCs/>
        </w:rPr>
        <w:t xml:space="preserve"> in</w:t>
      </w:r>
      <w:r w:rsidRPr="00E65AA7">
        <w:rPr>
          <w:bCs/>
        </w:rPr>
        <w:t xml:space="preserve"> or transitions to </w:t>
      </w:r>
      <w:r>
        <w:rPr>
          <w:bCs/>
        </w:rPr>
        <w:t xml:space="preserve">the </w:t>
      </w:r>
      <w:r w:rsidRPr="00E65AA7">
        <w:rPr>
          <w:bCs/>
        </w:rPr>
        <w:t xml:space="preserve">Low state, which is inconsistent with a risk-based explanation. Nonetheless, as a robustness test, we provide the risk-adjusted returns of </w:t>
      </w:r>
      <w:r w:rsidRPr="00E65AA7">
        <w:rPr>
          <w:rFonts w:eastAsia="Times New Roman"/>
        </w:rPr>
        <w:t xml:space="preserve">P1-P10 and </w:t>
      </w:r>
      <w:r w:rsidRPr="00E65AA7">
        <w:rPr>
          <w:rFonts w:eastAsia="Times New Roman" w:hint="eastAsia"/>
        </w:rPr>
        <w:t>≤0 - ≥0</w:t>
      </w:r>
      <w:r w:rsidRPr="00E65AA7">
        <w:rPr>
          <w:rFonts w:eastAsia="Times New Roman"/>
        </w:rPr>
        <w:t xml:space="preserve"> portfolios. To calculate the risk-adjusted returns, we regress the returns of P1-P10 and </w:t>
      </w:r>
      <w:r w:rsidRPr="00E65AA7">
        <w:rPr>
          <w:rFonts w:eastAsia="Times New Roman" w:hint="eastAsia"/>
        </w:rPr>
        <w:t>≤0 - ≥0</w:t>
      </w:r>
      <w:r w:rsidRPr="00E65AA7">
        <w:rPr>
          <w:rFonts w:eastAsia="Times New Roman"/>
        </w:rPr>
        <w:t xml:space="preserve"> portfolios</w:t>
      </w:r>
      <w:r w:rsidRPr="00E65AA7">
        <w:t xml:space="preserve"> separately on the </w:t>
      </w:r>
      <w:r w:rsidRPr="00E65AA7">
        <w:rPr>
          <w:rFonts w:eastAsia="Times New Roman"/>
        </w:rPr>
        <w:t xml:space="preserve">CAPM (RMRF), and the </w:t>
      </w:r>
      <w:proofErr w:type="spellStart"/>
      <w:r w:rsidRPr="00E65AA7">
        <w:rPr>
          <w:rFonts w:eastAsia="Times New Roman"/>
        </w:rPr>
        <w:t>Fama</w:t>
      </w:r>
      <w:proofErr w:type="spellEnd"/>
      <w:r w:rsidRPr="00E65AA7">
        <w:rPr>
          <w:rFonts w:eastAsia="Times New Roman"/>
        </w:rPr>
        <w:t>-French</w:t>
      </w:r>
      <w:r w:rsidR="00263B8D">
        <w:rPr>
          <w:rFonts w:eastAsia="Times New Roman"/>
        </w:rPr>
        <w:t xml:space="preserve"> </w:t>
      </w:r>
      <w:r w:rsidRPr="00E65AA7">
        <w:rPr>
          <w:rFonts w:eastAsia="Times New Roman"/>
        </w:rPr>
        <w:t xml:space="preserve">factors (RMRF, SMB, </w:t>
      </w:r>
      <w:r>
        <w:rPr>
          <w:rFonts w:eastAsia="Times New Roman"/>
        </w:rPr>
        <w:t>H</w:t>
      </w:r>
      <w:r w:rsidRPr="00E65AA7">
        <w:rPr>
          <w:rFonts w:eastAsia="Times New Roman"/>
        </w:rPr>
        <w:t>ML) plus a momentum factor (UMD)</w:t>
      </w:r>
      <w:hyperlink w:anchor="_ENREF_8" w:tooltip="Cooper, 2004 #160" w:history="1"/>
      <w:r w:rsidRPr="00E65AA7">
        <w:t xml:space="preserve"> and a constant to obtain factor </w:t>
      </w:r>
      <w:r w:rsidRPr="00E65AA7">
        <w:lastRenderedPageBreak/>
        <w:t>loadings (</w:t>
      </w:r>
      <m:oMath>
        <m:r>
          <w:rPr>
            <w:rFonts w:ascii="Cambria Math" w:hAnsi="Cambria Math"/>
          </w:rPr>
          <m:t>β)</m:t>
        </m:r>
      </m:oMath>
      <w:r w:rsidRPr="00E65AA7">
        <w:t xml:space="preserve">. </w:t>
      </w:r>
      <w:r w:rsidRPr="00E65AA7">
        <w:rPr>
          <w:rFonts w:eastAsia="Times New Roman"/>
        </w:rPr>
        <w:t>RMRF</w:t>
      </w:r>
      <w:r w:rsidRPr="00E65AA7">
        <w:t xml:space="preserve"> is the excess return of the market, SMB is the small-minus-big size premium, HML is the high-book-to-market-minus-low-book-to-market premium, and UMD is the high-minus-low momentum premium. We do not include SMB in the regression when we use size as a proxy to define </w:t>
      </w:r>
      <w:r>
        <w:t>HVHA</w:t>
      </w:r>
      <w:r w:rsidRPr="00E65AA7">
        <w:t xml:space="preserve"> stocks. The risk-adjusted returns for each month </w:t>
      </w:r>
      <w:r w:rsidRPr="00E65AA7">
        <w:rPr>
          <w:i/>
        </w:rPr>
        <w:t>t</w:t>
      </w:r>
      <w:r w:rsidRPr="00E65AA7">
        <w:t xml:space="preserve"> are</w:t>
      </w:r>
    </w:p>
    <w:p w14:paraId="0586491E" w14:textId="77777777" w:rsidR="005D7A35" w:rsidRPr="00E65AA7" w:rsidRDefault="005D7A35" w:rsidP="00C760BC">
      <w:pPr>
        <w:spacing w:after="120" w:line="480" w:lineRule="auto"/>
        <w:contextualSpacing/>
      </w:pPr>
      <w:r w:rsidRPr="00E65AA7">
        <w:tab/>
      </w:r>
      <w:r w:rsidRPr="00E65AA7">
        <w:tab/>
      </w:r>
      <m:oMath>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t</m:t>
                </m:r>
              </m:sub>
            </m:sSub>
          </m:sub>
          <m:sup>
            <m:r>
              <w:rPr>
                <w:rFonts w:ascii="Cambria Math" w:hAnsi="Cambria Math"/>
              </w:rPr>
              <m:t>adj</m:t>
            </m:r>
          </m:sup>
        </m:sSubSup>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t</m:t>
                </m:r>
              </m:sub>
            </m:sSub>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β</m:t>
                </m:r>
              </m:e>
              <m:sub>
                <m:r>
                  <w:rPr>
                    <w:rFonts w:ascii="Cambria Math" w:hAnsi="Cambria Math"/>
                  </w:rPr>
                  <m:t>xt</m:t>
                </m:r>
              </m:sub>
            </m:sSub>
            <m:sSub>
              <m:sSubPr>
                <m:ctrlPr>
                  <w:rPr>
                    <w:rFonts w:ascii="Cambria Math" w:hAnsi="Cambria Math"/>
                    <w:i/>
                  </w:rPr>
                </m:ctrlPr>
              </m:sSubPr>
              <m:e>
                <m:r>
                  <w:rPr>
                    <w:rFonts w:ascii="Cambria Math" w:hAnsi="Cambria Math"/>
                  </w:rPr>
                  <m:t>f</m:t>
                </m:r>
              </m:e>
              <m:sub>
                <m:r>
                  <w:rPr>
                    <w:rFonts w:ascii="Cambria Math" w:hAnsi="Cambria Math"/>
                  </w:rPr>
                  <m:t>it</m:t>
                </m:r>
              </m:sub>
            </m:sSub>
          </m:e>
        </m:nary>
      </m:oMath>
      <w:r w:rsidRPr="00E65AA7">
        <w:tab/>
      </w:r>
      <w:r w:rsidRPr="00E65AA7">
        <w:tab/>
      </w:r>
      <w:r w:rsidRPr="00E65AA7">
        <w:tab/>
      </w:r>
      <w:r w:rsidRPr="00E65AA7">
        <w:tab/>
      </w:r>
      <w:r w:rsidRPr="00E65AA7">
        <w:tab/>
      </w:r>
      <w:r w:rsidRPr="00E65AA7">
        <w:tab/>
        <w:t>(1)</w:t>
      </w:r>
    </w:p>
    <w:p w14:paraId="0BAFA8FE" w14:textId="77777777" w:rsidR="005D7A35" w:rsidRPr="00E65AA7" w:rsidRDefault="005D7A35" w:rsidP="00C760BC">
      <w:pPr>
        <w:spacing w:line="480" w:lineRule="auto"/>
        <w:contextualSpacing/>
      </w:pPr>
      <w:r w:rsidRPr="00E65AA7">
        <w:t xml:space="preserve">where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t</m:t>
                </m:r>
              </m:sub>
            </m:sSub>
          </m:sub>
        </m:sSub>
      </m:oMath>
      <w:r w:rsidRPr="00E65AA7">
        <w:rPr>
          <w:i/>
          <w:vertAlign w:val="subscript"/>
        </w:rPr>
        <w:t xml:space="preserve"> </w:t>
      </w:r>
      <w:r w:rsidRPr="00E65AA7">
        <w:t xml:space="preserve">is the raw returns of P10-P1 or </w:t>
      </w:r>
      <w:r w:rsidRPr="00E65AA7">
        <w:rPr>
          <w:rFonts w:eastAsia="Times New Roman"/>
        </w:rPr>
        <w:t>≤0 - ≥0 portfolio for</w:t>
      </w:r>
      <w:r w:rsidRPr="00E65AA7">
        <w:t xml:space="preserve"> each month </w:t>
      </w:r>
      <w:r w:rsidRPr="00E65AA7">
        <w:rPr>
          <w:i/>
        </w:rPr>
        <w:t>t</w:t>
      </w:r>
      <w:r w:rsidRPr="00E65AA7">
        <w:t xml:space="preserve">, </w:t>
      </w:r>
      <w:r w:rsidRPr="00E65AA7">
        <w:rPr>
          <w:i/>
        </w:rPr>
        <w:t>f</w:t>
      </w:r>
      <w:r w:rsidRPr="00E65AA7">
        <w:rPr>
          <w:i/>
          <w:vertAlign w:val="subscript"/>
        </w:rPr>
        <w:t>it</w:t>
      </w:r>
      <w:r w:rsidRPr="00E65AA7">
        <w:rPr>
          <w:vertAlign w:val="subscript"/>
        </w:rPr>
        <w:t xml:space="preserve"> </w:t>
      </w:r>
      <w:r w:rsidRPr="00E65AA7">
        <w:rPr>
          <w:noProof/>
        </w:rPr>
        <w:t xml:space="preserve">is </w:t>
      </w:r>
      <w:r w:rsidRPr="00E65AA7">
        <w:t xml:space="preserve">the realization factor </w:t>
      </w:r>
      <w:proofErr w:type="spellStart"/>
      <w:r w:rsidRPr="00E65AA7">
        <w:rPr>
          <w:i/>
        </w:rPr>
        <w:t>i</w:t>
      </w:r>
      <w:proofErr w:type="spellEnd"/>
      <w:r w:rsidRPr="00E65AA7">
        <w:t xml:space="preserve"> in month </w:t>
      </w:r>
      <w:r w:rsidRPr="00E65AA7">
        <w:rPr>
          <w:i/>
        </w:rPr>
        <w:t>t</w:t>
      </w:r>
      <w:r w:rsidRPr="00E65AA7">
        <w:t xml:space="preserve">, and </w:t>
      </w:r>
      <m:oMath>
        <m:sSub>
          <m:sSubPr>
            <m:ctrlPr>
              <w:rPr>
                <w:rFonts w:ascii="Cambria Math" w:hAnsi="Cambria Math"/>
                <w:i/>
              </w:rPr>
            </m:ctrlPr>
          </m:sSubPr>
          <m:e>
            <m:r>
              <w:rPr>
                <w:rFonts w:ascii="Cambria Math" w:hAnsi="Cambria Math"/>
              </w:rPr>
              <m:t>β</m:t>
            </m:r>
          </m:e>
          <m:sub>
            <m:r>
              <w:rPr>
                <w:rFonts w:ascii="Cambria Math" w:hAnsi="Cambria Math"/>
              </w:rPr>
              <m:t>xt</m:t>
            </m:r>
          </m:sub>
        </m:sSub>
      </m:oMath>
      <w:r w:rsidRPr="00E65AA7">
        <w:t xml:space="preserve"> is the estimated factor loading of the time-series of the raw returns of P10-P1 or </w:t>
      </w:r>
      <w:r w:rsidRPr="00E65AA7">
        <w:rPr>
          <w:rFonts w:eastAsia="Times New Roman" w:hint="eastAsia"/>
        </w:rPr>
        <w:t>≤0 - ≥0</w:t>
      </w:r>
      <w:r w:rsidRPr="00E65AA7">
        <w:rPr>
          <w:rFonts w:eastAsia="Times New Roman"/>
        </w:rPr>
        <w:t xml:space="preserve"> portfolio </w:t>
      </w:r>
      <w:r w:rsidRPr="00E65AA7">
        <w:t xml:space="preserve">on the appropriate risk factors and a constant. </w:t>
      </w:r>
    </w:p>
    <w:p w14:paraId="38FDFC3E" w14:textId="4CCF3A2E" w:rsidR="005D7A35" w:rsidRPr="00E65AA7" w:rsidRDefault="005D7A35" w:rsidP="00C760BC">
      <w:pPr>
        <w:pStyle w:val="BodyText"/>
        <w:widowControl w:val="0"/>
        <w:spacing w:after="240" w:line="480" w:lineRule="auto"/>
        <w:rPr>
          <w:rFonts w:eastAsia="Times New Roman"/>
        </w:rPr>
      </w:pPr>
      <w:r w:rsidRPr="00E65AA7">
        <w:rPr>
          <w:bCs/>
        </w:rPr>
        <w:t xml:space="preserve"> </w:t>
      </w:r>
      <w:r w:rsidRPr="00E65AA7">
        <w:rPr>
          <w:bCs/>
        </w:rPr>
        <w:tab/>
      </w:r>
      <w:r w:rsidRPr="00E65AA7">
        <w:rPr>
          <w:rFonts w:eastAsia="Times New Roman"/>
        </w:rPr>
        <w:t xml:space="preserve">Table </w:t>
      </w:r>
      <w:r w:rsidR="008246C6">
        <w:rPr>
          <w:rFonts w:eastAsia="Times New Roman"/>
        </w:rPr>
        <w:t>7</w:t>
      </w:r>
      <w:r w:rsidR="0058455D" w:rsidRPr="00E65AA7">
        <w:rPr>
          <w:rFonts w:eastAsia="Times New Roman"/>
        </w:rPr>
        <w:t xml:space="preserve"> </w:t>
      </w:r>
      <w:r w:rsidRPr="00E65AA7">
        <w:rPr>
          <w:rFonts w:eastAsia="Times New Roman"/>
        </w:rPr>
        <w:t>shows the</w:t>
      </w:r>
      <w:r w:rsidRPr="00E65AA7">
        <w:rPr>
          <w:bCs/>
        </w:rPr>
        <w:t xml:space="preserve"> risk-adjusted returns </w:t>
      </w:r>
      <w:r w:rsidR="008246C6">
        <w:rPr>
          <w:bCs/>
        </w:rPr>
        <w:t xml:space="preserve">of characteristic-sorted portfolios </w:t>
      </w:r>
      <w:r w:rsidR="009D0EBB">
        <w:rPr>
          <w:bCs/>
        </w:rPr>
        <w:t>for high and low sentiment states</w:t>
      </w:r>
      <w:r w:rsidR="008246C6">
        <w:rPr>
          <w:bCs/>
        </w:rPr>
        <w:t>.</w:t>
      </w:r>
      <w:r w:rsidRPr="00E65AA7">
        <w:rPr>
          <w:rFonts w:eastAsia="Times New Roman"/>
        </w:rPr>
        <w:t xml:space="preserve"> </w:t>
      </w:r>
      <w:proofErr w:type="gramStart"/>
      <w:r w:rsidRPr="00E65AA7">
        <w:rPr>
          <w:rFonts w:eastAsia="Times New Roman"/>
        </w:rPr>
        <w:t>Similar to</w:t>
      </w:r>
      <w:proofErr w:type="gramEnd"/>
      <w:r w:rsidRPr="00E65AA7">
        <w:rPr>
          <w:rFonts w:eastAsia="Times New Roman"/>
        </w:rPr>
        <w:t xml:space="preserve"> Table </w:t>
      </w:r>
      <w:r w:rsidR="000869D1">
        <w:rPr>
          <w:rFonts w:eastAsia="Times New Roman"/>
        </w:rPr>
        <w:t>4</w:t>
      </w:r>
      <w:r w:rsidRPr="00E65AA7">
        <w:rPr>
          <w:rFonts w:eastAsia="Times New Roman"/>
        </w:rPr>
        <w:t xml:space="preserve">, </w:t>
      </w:r>
      <w:r w:rsidR="00A53D30">
        <w:rPr>
          <w:rFonts w:eastAsia="Times New Roman"/>
        </w:rPr>
        <w:t>we use sentiment levels index (</w:t>
      </w:r>
      <w:r w:rsidR="00A53D30" w:rsidRPr="00E65AA7">
        <w:t>STM</w:t>
      </w:r>
      <w:r w:rsidR="00A53D30">
        <w:t>)</w:t>
      </w:r>
      <w:r w:rsidR="00A53D30">
        <w:rPr>
          <w:rFonts w:eastAsia="Times New Roman"/>
        </w:rPr>
        <w:t xml:space="preserve"> to define lagged sentiment and the sentiment changes index (</w:t>
      </w:r>
      <w:r w:rsidR="00A53D30" w:rsidRPr="00E65AA7">
        <w:t>▲STM</w:t>
      </w:r>
      <w:r w:rsidR="00A53D30">
        <w:t>)</w:t>
      </w:r>
      <w:r w:rsidR="00A53D30" w:rsidRPr="00E65AA7">
        <w:t xml:space="preserve"> </w:t>
      </w:r>
      <w:r w:rsidR="00A53D30">
        <w:rPr>
          <w:rFonts w:eastAsia="Times New Roman"/>
        </w:rPr>
        <w:t>to define the subsequent change in sentiment</w:t>
      </w:r>
      <w:r>
        <w:rPr>
          <w:rFonts w:eastAsia="Times New Roman"/>
        </w:rPr>
        <w:t>.</w:t>
      </w:r>
      <w:r w:rsidRPr="00E65AA7">
        <w:rPr>
          <w:rFonts w:eastAsia="Times New Roman"/>
        </w:rPr>
        <w:t xml:space="preserve"> </w:t>
      </w:r>
      <w:proofErr w:type="gramStart"/>
      <w:r w:rsidRPr="00E65AA7">
        <w:rPr>
          <w:rFonts w:eastAsia="Times New Roman"/>
        </w:rPr>
        <w:t>Similar to</w:t>
      </w:r>
      <w:proofErr w:type="gramEnd"/>
      <w:r w:rsidRPr="00E65AA7">
        <w:rPr>
          <w:rFonts w:eastAsia="Times New Roman"/>
        </w:rPr>
        <w:t xml:space="preserve"> our results in </w:t>
      </w:r>
      <w:r w:rsidR="00E338F8">
        <w:rPr>
          <w:rFonts w:eastAsia="Times New Roman"/>
        </w:rPr>
        <w:t xml:space="preserve">section </w:t>
      </w:r>
      <w:r w:rsidRPr="00E65AA7">
        <w:rPr>
          <w:rFonts w:eastAsia="Times New Roman"/>
        </w:rPr>
        <w:t xml:space="preserve">IV.B, we find that </w:t>
      </w:r>
      <w:r>
        <w:rPr>
          <w:rFonts w:eastAsia="Times New Roman"/>
        </w:rPr>
        <w:t>HVHA</w:t>
      </w:r>
      <w:r w:rsidRPr="00E65AA7">
        <w:rPr>
          <w:rFonts w:eastAsia="Times New Roman"/>
        </w:rPr>
        <w:t xml:space="preserve"> stocks remain overpriced (</w:t>
      </w:r>
      <w:proofErr w:type="spellStart"/>
      <w:r w:rsidRPr="00E65AA7">
        <w:rPr>
          <w:rFonts w:eastAsia="Times New Roman"/>
        </w:rPr>
        <w:t>underpriced</w:t>
      </w:r>
      <w:proofErr w:type="spellEnd"/>
      <w:r w:rsidRPr="00E65AA7">
        <w:rPr>
          <w:rFonts w:eastAsia="Times New Roman"/>
        </w:rPr>
        <w:t xml:space="preserve">) compared with </w:t>
      </w:r>
      <w:r>
        <w:rPr>
          <w:rFonts w:eastAsia="Times New Roman"/>
        </w:rPr>
        <w:t>EVEA</w:t>
      </w:r>
      <w:r w:rsidRPr="00E65AA7">
        <w:rPr>
          <w:rFonts w:eastAsia="Times New Roman"/>
        </w:rPr>
        <w:t xml:space="preserve"> stocks when sentiment continues in </w:t>
      </w:r>
      <w:r>
        <w:rPr>
          <w:rFonts w:eastAsia="Times New Roman"/>
        </w:rPr>
        <w:t xml:space="preserve">the </w:t>
      </w:r>
      <w:r w:rsidRPr="00E65AA7">
        <w:rPr>
          <w:rFonts w:eastAsia="Times New Roman"/>
        </w:rPr>
        <w:t>High (Low) state. The overpricing (</w:t>
      </w:r>
      <w:proofErr w:type="spellStart"/>
      <w:r w:rsidRPr="00E65AA7">
        <w:rPr>
          <w:rFonts w:eastAsia="Times New Roman"/>
        </w:rPr>
        <w:t>underpricing</w:t>
      </w:r>
      <w:proofErr w:type="spellEnd"/>
      <w:r w:rsidRPr="00E65AA7">
        <w:rPr>
          <w:rFonts w:eastAsia="Times New Roman"/>
        </w:rPr>
        <w:t xml:space="preserve">) is corrected when sentiment transitions to </w:t>
      </w:r>
      <w:r w:rsidR="00437E8C">
        <w:rPr>
          <w:rFonts w:eastAsia="Times New Roman"/>
        </w:rPr>
        <w:t xml:space="preserve">the </w:t>
      </w:r>
      <w:r w:rsidRPr="00E65AA7">
        <w:rPr>
          <w:rFonts w:eastAsia="Times New Roman"/>
        </w:rPr>
        <w:t xml:space="preserve">other state. Furthermore, we find that </w:t>
      </w:r>
      <w:r>
        <w:rPr>
          <w:rFonts w:eastAsia="Times New Roman"/>
        </w:rPr>
        <w:t xml:space="preserve">the </w:t>
      </w:r>
      <w:r w:rsidRPr="00E65AA7">
        <w:rPr>
          <w:rFonts w:eastAsia="Times New Roman"/>
        </w:rPr>
        <w:t>bulk of our results are statistically significant and show the right signs even after adjusting for</w:t>
      </w:r>
      <w:r w:rsidR="00591173">
        <w:rPr>
          <w:rFonts w:eastAsia="Times New Roman"/>
        </w:rPr>
        <w:t xml:space="preserve"> </w:t>
      </w:r>
      <w:r w:rsidRPr="00E65AA7">
        <w:rPr>
          <w:rFonts w:eastAsia="Times New Roman"/>
        </w:rPr>
        <w:t>risk factors.</w:t>
      </w:r>
    </w:p>
    <w:p w14:paraId="2045D839" w14:textId="77777777" w:rsidR="000027A5" w:rsidRDefault="005D7A35" w:rsidP="00C760BC">
      <w:pPr>
        <w:pStyle w:val="BodyText"/>
        <w:widowControl w:val="0"/>
        <w:spacing w:after="240" w:line="480" w:lineRule="auto"/>
        <w:rPr>
          <w:rFonts w:eastAsia="Times New Roman"/>
        </w:rPr>
      </w:pPr>
      <w:r w:rsidRPr="00E65AA7">
        <w:rPr>
          <w:rFonts w:eastAsia="Times New Roman"/>
        </w:rPr>
        <w:tab/>
        <w:t xml:space="preserve">In sum, our risk-adjusted returns in Table </w:t>
      </w:r>
      <w:r w:rsidR="000869D1">
        <w:rPr>
          <w:rFonts w:eastAsia="Times New Roman"/>
        </w:rPr>
        <w:t>7</w:t>
      </w:r>
      <w:r w:rsidRPr="00E65AA7">
        <w:rPr>
          <w:rFonts w:eastAsia="Times New Roman"/>
        </w:rPr>
        <w:t xml:space="preserve"> are generally consistent with </w:t>
      </w:r>
      <w:r w:rsidR="00606D2F">
        <w:rPr>
          <w:rFonts w:eastAsia="Times New Roman"/>
        </w:rPr>
        <w:t xml:space="preserve">our first </w:t>
      </w:r>
      <w:r w:rsidR="00B471E6">
        <w:rPr>
          <w:rFonts w:eastAsia="Times New Roman"/>
        </w:rPr>
        <w:t>hypothes</w:t>
      </w:r>
      <w:r w:rsidR="00D32823">
        <w:rPr>
          <w:rFonts w:eastAsia="Times New Roman"/>
        </w:rPr>
        <w:t>i</w:t>
      </w:r>
      <w:r w:rsidRPr="00E65AA7">
        <w:rPr>
          <w:rFonts w:eastAsia="Times New Roman"/>
        </w:rPr>
        <w:t xml:space="preserve">s. These results suggest that risk factors at best can only partially explain the cross-sectional patterns </w:t>
      </w:r>
      <w:r w:rsidR="00437E8C">
        <w:rPr>
          <w:rFonts w:eastAsia="Times New Roman"/>
        </w:rPr>
        <w:t>in the returns of characteristic-sorted portfolios</w:t>
      </w:r>
      <w:r w:rsidRPr="00E65AA7">
        <w:rPr>
          <w:rFonts w:eastAsia="Times New Roman"/>
        </w:rPr>
        <w:t xml:space="preserve"> and that sentiment has a significant role in explaining the cross-section of stock returns.</w:t>
      </w:r>
    </w:p>
    <w:p w14:paraId="09419355" w14:textId="57F98657" w:rsidR="005D7A35" w:rsidRPr="008026F8" w:rsidRDefault="004052EA" w:rsidP="00C760BC">
      <w:pPr>
        <w:pStyle w:val="BodyText"/>
        <w:widowControl w:val="0"/>
        <w:spacing w:after="240" w:line="480" w:lineRule="auto"/>
        <w:rPr>
          <w:rFonts w:asciiTheme="minorHAnsi" w:hAnsiTheme="minorHAnsi" w:cs="Arial"/>
          <w:b/>
          <w:bCs/>
        </w:rPr>
      </w:pPr>
      <w:r>
        <w:rPr>
          <w:rFonts w:asciiTheme="minorHAnsi" w:hAnsiTheme="minorHAnsi" w:cs="Arial"/>
          <w:b/>
          <w:bCs/>
        </w:rPr>
        <w:t>B</w:t>
      </w:r>
      <w:r w:rsidR="005D7A35" w:rsidRPr="008026F8">
        <w:rPr>
          <w:rFonts w:asciiTheme="minorHAnsi" w:hAnsiTheme="minorHAnsi" w:cs="Arial"/>
          <w:b/>
          <w:bCs/>
        </w:rPr>
        <w:t>. Alternative sentiment proxies</w:t>
      </w:r>
    </w:p>
    <w:p w14:paraId="33BDCAEB" w14:textId="3A5D6259" w:rsidR="005D7A35" w:rsidRPr="00E65AA7" w:rsidRDefault="005D7A35" w:rsidP="00C760BC">
      <w:pPr>
        <w:pStyle w:val="BodyText"/>
        <w:widowControl w:val="0"/>
        <w:spacing w:after="240" w:line="480" w:lineRule="auto"/>
        <w:rPr>
          <w:rFonts w:eastAsia="Times New Roman"/>
        </w:rPr>
      </w:pPr>
      <w:r w:rsidRPr="00E65AA7">
        <w:rPr>
          <w:rFonts w:eastAsia="Times New Roman"/>
        </w:rPr>
        <w:tab/>
        <w:t xml:space="preserve">So far, our results are based on Baker and </w:t>
      </w:r>
      <w:proofErr w:type="spellStart"/>
      <w:r w:rsidRPr="00E65AA7">
        <w:rPr>
          <w:rFonts w:eastAsia="Times New Roman"/>
        </w:rPr>
        <w:t>Wurgler’s</w:t>
      </w:r>
      <w:proofErr w:type="spellEnd"/>
      <w:r w:rsidRPr="00E65AA7">
        <w:rPr>
          <w:rFonts w:eastAsia="Times New Roman"/>
        </w:rPr>
        <w:t xml:space="preserve"> </w:t>
      </w:r>
      <w:r w:rsidR="009D0EBB">
        <w:rPr>
          <w:rFonts w:eastAsia="Times New Roman"/>
        </w:rPr>
        <w:t>‘</w:t>
      </w:r>
      <w:r w:rsidRPr="00E65AA7">
        <w:rPr>
          <w:rFonts w:eastAsia="Times New Roman"/>
        </w:rPr>
        <w:t>sentiment changes</w:t>
      </w:r>
      <w:r w:rsidR="009D0EBB">
        <w:rPr>
          <w:rFonts w:eastAsia="Times New Roman"/>
        </w:rPr>
        <w:t>’</w:t>
      </w:r>
      <w:r w:rsidRPr="00E65AA7">
        <w:rPr>
          <w:rFonts w:eastAsia="Times New Roman"/>
        </w:rPr>
        <w:t xml:space="preserve"> and </w:t>
      </w:r>
      <w:r w:rsidR="009D0EBB">
        <w:rPr>
          <w:rFonts w:eastAsia="Times New Roman"/>
        </w:rPr>
        <w:t>‘</w:t>
      </w:r>
      <w:r w:rsidRPr="00E65AA7">
        <w:rPr>
          <w:rFonts w:eastAsia="Times New Roman"/>
        </w:rPr>
        <w:t>sentiment levels</w:t>
      </w:r>
      <w:r w:rsidR="009D0EBB">
        <w:rPr>
          <w:rFonts w:eastAsia="Times New Roman"/>
        </w:rPr>
        <w:t>’</w:t>
      </w:r>
      <w:r w:rsidRPr="00E65AA7">
        <w:rPr>
          <w:rFonts w:eastAsia="Times New Roman"/>
        </w:rPr>
        <w:t xml:space="preserve"> ind</w:t>
      </w:r>
      <w:r w:rsidR="00B471E6">
        <w:rPr>
          <w:rFonts w:eastAsia="Times New Roman"/>
        </w:rPr>
        <w:t>ices</w:t>
      </w:r>
      <w:r w:rsidRPr="00E65AA7">
        <w:rPr>
          <w:rFonts w:eastAsia="Times New Roman"/>
        </w:rPr>
        <w:t xml:space="preserve">. In this section, we </w:t>
      </w:r>
      <w:r w:rsidR="009D0EBB">
        <w:rPr>
          <w:rFonts w:eastAsia="Times New Roman"/>
        </w:rPr>
        <w:t xml:space="preserve">show that our results are robust to the </w:t>
      </w:r>
      <w:r w:rsidR="009D0EBB">
        <w:rPr>
          <w:rFonts w:eastAsia="Times New Roman"/>
        </w:rPr>
        <w:lastRenderedPageBreak/>
        <w:t xml:space="preserve">application of </w:t>
      </w:r>
      <w:r w:rsidRPr="00E65AA7">
        <w:rPr>
          <w:rFonts w:eastAsia="Times New Roman"/>
        </w:rPr>
        <w:t>other proxies of investor sentiment</w:t>
      </w:r>
      <w:r w:rsidR="009D0EBB">
        <w:rPr>
          <w:rFonts w:eastAsia="Times New Roman"/>
        </w:rPr>
        <w:t>.</w:t>
      </w:r>
      <w:r w:rsidRPr="00E65AA7">
        <w:rPr>
          <w:rFonts w:eastAsia="Times New Roman"/>
        </w:rPr>
        <w:t xml:space="preserve"> We </w:t>
      </w:r>
      <w:r w:rsidR="009D0EBB">
        <w:rPr>
          <w:rFonts w:eastAsia="Times New Roman"/>
        </w:rPr>
        <w:t>use</w:t>
      </w:r>
      <w:r w:rsidRPr="00E65AA7">
        <w:rPr>
          <w:rFonts w:eastAsia="Times New Roman"/>
        </w:rPr>
        <w:t xml:space="preserve"> </w:t>
      </w:r>
      <w:r w:rsidR="00437E8C">
        <w:rPr>
          <w:rFonts w:eastAsia="Times New Roman"/>
        </w:rPr>
        <w:t>the</w:t>
      </w:r>
      <w:r w:rsidR="00574AAD">
        <w:rPr>
          <w:rFonts w:eastAsia="Times New Roman"/>
        </w:rPr>
        <w:t xml:space="preserve"> </w:t>
      </w:r>
      <w:r w:rsidRPr="00E65AA7">
        <w:rPr>
          <w:rFonts w:eastAsia="Times New Roman"/>
        </w:rPr>
        <w:t>VIX,</w:t>
      </w:r>
      <w:r w:rsidR="009D0EBB">
        <w:rPr>
          <w:rFonts w:eastAsia="Times New Roman"/>
        </w:rPr>
        <w:t xml:space="preserve"> the</w:t>
      </w:r>
      <w:r w:rsidRPr="00E65AA7">
        <w:rPr>
          <w:rFonts w:eastAsia="Times New Roman"/>
        </w:rPr>
        <w:t xml:space="preserve"> put-call ratio and </w:t>
      </w:r>
      <w:r w:rsidR="009D0EBB">
        <w:rPr>
          <w:rFonts w:eastAsia="Times New Roman"/>
        </w:rPr>
        <w:t xml:space="preserve">the </w:t>
      </w:r>
      <w:r w:rsidRPr="00E65AA7">
        <w:rPr>
          <w:rFonts w:eastAsia="Times New Roman"/>
        </w:rPr>
        <w:t>bull-bear</w:t>
      </w:r>
      <w:r w:rsidR="00E338F8">
        <w:rPr>
          <w:rFonts w:eastAsia="Times New Roman"/>
        </w:rPr>
        <w:t xml:space="preserve"> spread described in s</w:t>
      </w:r>
      <w:r w:rsidR="00F824CE">
        <w:rPr>
          <w:rFonts w:eastAsia="Times New Roman"/>
        </w:rPr>
        <w:t>ection II</w:t>
      </w:r>
      <w:r w:rsidRPr="00E65AA7">
        <w:rPr>
          <w:rFonts w:eastAsia="Times New Roman"/>
        </w:rPr>
        <w:t>.A</w:t>
      </w:r>
      <w:r w:rsidR="009D0EBB">
        <w:rPr>
          <w:rFonts w:eastAsia="Times New Roman"/>
        </w:rPr>
        <w:t xml:space="preserve"> as additional sentiment proxies</w:t>
      </w:r>
      <w:r w:rsidRPr="00E65AA7">
        <w:rPr>
          <w:rFonts w:eastAsia="Times New Roman"/>
        </w:rPr>
        <w:t xml:space="preserve">. These proxies </w:t>
      </w:r>
      <w:r w:rsidR="009D0EBB">
        <w:rPr>
          <w:rFonts w:eastAsia="Times New Roman"/>
        </w:rPr>
        <w:t>we</w:t>
      </w:r>
      <w:r w:rsidRPr="00E65AA7">
        <w:rPr>
          <w:rFonts w:eastAsia="Times New Roman"/>
        </w:rPr>
        <w:t xml:space="preserve">re not included in the construction of Baker and </w:t>
      </w:r>
      <w:proofErr w:type="spellStart"/>
      <w:r w:rsidRPr="00E65AA7">
        <w:rPr>
          <w:rFonts w:eastAsia="Times New Roman"/>
        </w:rPr>
        <w:t>Wurgler</w:t>
      </w:r>
      <w:r>
        <w:rPr>
          <w:rFonts w:eastAsia="Times New Roman"/>
        </w:rPr>
        <w:t>’s</w:t>
      </w:r>
      <w:proofErr w:type="spellEnd"/>
      <w:r w:rsidRPr="00E65AA7">
        <w:rPr>
          <w:rFonts w:eastAsia="Times New Roman"/>
        </w:rPr>
        <w:t xml:space="preserve"> sentiment index</w:t>
      </w:r>
      <w:r w:rsidR="009D0EBB">
        <w:rPr>
          <w:rFonts w:eastAsia="Times New Roman"/>
        </w:rPr>
        <w:t>.</w:t>
      </w:r>
    </w:p>
    <w:p w14:paraId="101D287A" w14:textId="1FC6B5C7" w:rsidR="005D7A35" w:rsidRPr="00E65AA7" w:rsidRDefault="008B6316" w:rsidP="00C760BC">
      <w:pPr>
        <w:pStyle w:val="BodyText"/>
        <w:widowControl w:val="0"/>
        <w:spacing w:after="240" w:line="480" w:lineRule="auto"/>
        <w:ind w:firstLine="720"/>
      </w:pPr>
      <w:r>
        <w:rPr>
          <w:rFonts w:eastAsia="Times New Roman"/>
        </w:rPr>
        <w:t xml:space="preserve">Table </w:t>
      </w:r>
      <w:r w:rsidR="00241C8D">
        <w:rPr>
          <w:rFonts w:eastAsia="Times New Roman"/>
        </w:rPr>
        <w:t>8</w:t>
      </w:r>
      <w:r w:rsidR="00DC7ED0" w:rsidRPr="00E65AA7">
        <w:rPr>
          <w:rFonts w:eastAsia="Times New Roman"/>
        </w:rPr>
        <w:t xml:space="preserve"> </w:t>
      </w:r>
      <w:r w:rsidR="005D7A35" w:rsidRPr="00E65AA7">
        <w:rPr>
          <w:rFonts w:eastAsia="Times New Roman"/>
        </w:rPr>
        <w:t xml:space="preserve">reports </w:t>
      </w:r>
      <w:r w:rsidR="005D7A35" w:rsidRPr="00E65AA7">
        <w:rPr>
          <w:noProof/>
        </w:rPr>
        <w:t>the average monthly returns of</w:t>
      </w:r>
      <w:r w:rsidR="005D7A35" w:rsidRPr="00E65AA7">
        <w:rPr>
          <w:rFonts w:eastAsia="Times New Roman"/>
        </w:rPr>
        <w:t xml:space="preserve"> volatility</w:t>
      </w:r>
      <w:r w:rsidR="00437E8C">
        <w:rPr>
          <w:rFonts w:eastAsia="Times New Roman"/>
        </w:rPr>
        <w:t>-sorted</w:t>
      </w:r>
      <w:r w:rsidR="005D7A35" w:rsidRPr="00E65AA7">
        <w:rPr>
          <w:rFonts w:eastAsia="Times New Roman"/>
        </w:rPr>
        <w:t xml:space="preserve"> decile portfolios in H/H, H/L, L/L and L/H sentiment states. </w:t>
      </w:r>
      <w:proofErr w:type="gramStart"/>
      <w:r w:rsidR="005D7A35" w:rsidRPr="00E65AA7">
        <w:rPr>
          <w:rFonts w:eastAsia="Times New Roman"/>
        </w:rPr>
        <w:t>Similar to</w:t>
      </w:r>
      <w:proofErr w:type="gramEnd"/>
      <w:r w:rsidR="005D7A35" w:rsidRPr="00E65AA7">
        <w:rPr>
          <w:rFonts w:eastAsia="Times New Roman"/>
        </w:rPr>
        <w:t xml:space="preserve"> section </w:t>
      </w:r>
      <w:r w:rsidR="001B7F9F">
        <w:rPr>
          <w:rFonts w:eastAsia="Times New Roman"/>
        </w:rPr>
        <w:t>III.A</w:t>
      </w:r>
      <w:r w:rsidR="005D7A35" w:rsidRPr="00E65AA7">
        <w:rPr>
          <w:rFonts w:eastAsia="Times New Roman"/>
        </w:rPr>
        <w:t xml:space="preserve">, H/H (L/L) represents sentiment continuation in High (Low) states, while H/L (L/H) captures the transition in sentiment from High to Low (Low to High) states. </w:t>
      </w:r>
      <w:r w:rsidR="005D7A35" w:rsidRPr="00E65AA7">
        <w:t xml:space="preserve">Using ▲VIX as a proxy of investor sentiment, we find that </w:t>
      </w:r>
      <w:r w:rsidR="005D7A35">
        <w:t xml:space="preserve">the </w:t>
      </w:r>
      <w:r w:rsidR="005D7A35" w:rsidRPr="00E65AA7">
        <w:t>high volatility decile, P10</w:t>
      </w:r>
      <w:r w:rsidR="006731F2">
        <w:t>,</w:t>
      </w:r>
      <w:r w:rsidR="005D7A35" w:rsidRPr="00E65AA7">
        <w:t xml:space="preserve"> earns 5.59% (3.67%) higher (lower) returns than </w:t>
      </w:r>
      <w:r w:rsidR="00825C60">
        <w:t xml:space="preserve">the </w:t>
      </w:r>
      <w:r w:rsidR="005D7A35" w:rsidRPr="00E65AA7">
        <w:t>low volatility decile, P1</w:t>
      </w:r>
      <w:r w:rsidR="006731F2">
        <w:t>,</w:t>
      </w:r>
      <w:r w:rsidR="005D7A35" w:rsidRPr="00E65AA7">
        <w:t xml:space="preserve"> when sentiment continues in </w:t>
      </w:r>
      <w:r w:rsidR="00293E72">
        <w:t xml:space="preserve">the </w:t>
      </w:r>
      <w:r w:rsidR="005D7A35" w:rsidRPr="00E65AA7">
        <w:t xml:space="preserve">H/H (L/L) state. </w:t>
      </w:r>
      <w:r w:rsidR="005D7A35">
        <w:t>In contrast</w:t>
      </w:r>
      <w:r w:rsidR="005D7A35" w:rsidRPr="00E65AA7">
        <w:t>,</w:t>
      </w:r>
      <w:r w:rsidR="00591173">
        <w:t xml:space="preserve"> </w:t>
      </w:r>
      <w:r w:rsidR="005D7A35" w:rsidRPr="00E65AA7">
        <w:t>P10 earns 2.67% (0.90%) lower (higher) returns than</w:t>
      </w:r>
      <w:r w:rsidR="00591173">
        <w:t xml:space="preserve"> </w:t>
      </w:r>
      <w:r w:rsidR="005D7A35" w:rsidRPr="00E65AA7">
        <w:t xml:space="preserve">P1 </w:t>
      </w:r>
      <w:r w:rsidR="005D7A35">
        <w:t xml:space="preserve">when sentiment transitions as </w:t>
      </w:r>
      <w:r w:rsidR="005D7A35" w:rsidRPr="00E65AA7">
        <w:t>in H/L (L/H)</w:t>
      </w:r>
      <w:r w:rsidR="005D7A35">
        <w:t>.</w:t>
      </w:r>
      <w:r w:rsidR="005D7A35" w:rsidRPr="00E65AA7">
        <w:rPr>
          <w:rStyle w:val="FootnoteReference"/>
        </w:rPr>
        <w:footnoteReference w:id="20"/>
      </w:r>
      <w:r w:rsidR="005D7A35" w:rsidRPr="00E65AA7">
        <w:t xml:space="preserve"> We find similar results when we use ▲PC and BBS as proxies of investor sentiment.</w:t>
      </w:r>
    </w:p>
    <w:p w14:paraId="49A686B8" w14:textId="396A642B" w:rsidR="005D7A35" w:rsidRDefault="008B6316" w:rsidP="00C760BC">
      <w:pPr>
        <w:widowControl w:val="0"/>
        <w:spacing w:after="240" w:line="480" w:lineRule="auto"/>
        <w:ind w:firstLine="720"/>
        <w:rPr>
          <w:rFonts w:eastAsia="Times New Roman"/>
        </w:rPr>
      </w:pPr>
      <w:r>
        <w:rPr>
          <w:rFonts w:eastAsia="Times New Roman"/>
        </w:rPr>
        <w:t xml:space="preserve">In sum, our results in </w:t>
      </w:r>
      <w:r w:rsidR="00BD6CEA">
        <w:rPr>
          <w:noProof/>
        </w:rPr>
        <w:t xml:space="preserve">Table </w:t>
      </w:r>
      <w:r w:rsidR="00241C8D">
        <w:rPr>
          <w:noProof/>
        </w:rPr>
        <w:t>8</w:t>
      </w:r>
      <w:r w:rsidR="00BD6CEA">
        <w:rPr>
          <w:noProof/>
        </w:rPr>
        <w:t xml:space="preserve"> show that HVHA firms </w:t>
      </w:r>
      <w:r w:rsidR="00877552">
        <w:rPr>
          <w:noProof/>
        </w:rPr>
        <w:t>remain</w:t>
      </w:r>
      <w:r w:rsidR="005D7A35" w:rsidRPr="00E65AA7">
        <w:rPr>
          <w:noProof/>
        </w:rPr>
        <w:t xml:space="preserve"> overpriced</w:t>
      </w:r>
      <w:r w:rsidR="00C7409E">
        <w:rPr>
          <w:noProof/>
        </w:rPr>
        <w:t xml:space="preserve"> </w:t>
      </w:r>
      <w:r w:rsidR="005D7A35" w:rsidRPr="00E65AA7">
        <w:rPr>
          <w:noProof/>
        </w:rPr>
        <w:t xml:space="preserve">compared with </w:t>
      </w:r>
      <w:r w:rsidR="005D7A35">
        <w:rPr>
          <w:noProof/>
        </w:rPr>
        <w:t>EVEA</w:t>
      </w:r>
      <w:r w:rsidR="00825C60">
        <w:rPr>
          <w:noProof/>
        </w:rPr>
        <w:t xml:space="preserve"> firms when sentiment continues to increase (H/H),</w:t>
      </w:r>
      <w:r w:rsidR="00877552">
        <w:rPr>
          <w:noProof/>
        </w:rPr>
        <w:t xml:space="preserve"> and this overpricing is corrected when </w:t>
      </w:r>
      <w:r w:rsidR="00BD6CEA">
        <w:rPr>
          <w:noProof/>
        </w:rPr>
        <w:t xml:space="preserve">the subsequent </w:t>
      </w:r>
      <w:r w:rsidR="00877552">
        <w:rPr>
          <w:noProof/>
        </w:rPr>
        <w:t xml:space="preserve">sentiment transitions to </w:t>
      </w:r>
      <w:r w:rsidR="006731F2">
        <w:rPr>
          <w:noProof/>
        </w:rPr>
        <w:t xml:space="preserve">a </w:t>
      </w:r>
      <w:r w:rsidR="00BD6CEA">
        <w:rPr>
          <w:noProof/>
        </w:rPr>
        <w:t>low</w:t>
      </w:r>
      <w:r w:rsidR="006731F2">
        <w:rPr>
          <w:noProof/>
        </w:rPr>
        <w:t xml:space="preserve"> state</w:t>
      </w:r>
      <w:r w:rsidR="00BD6CEA">
        <w:rPr>
          <w:noProof/>
        </w:rPr>
        <w:t xml:space="preserve"> </w:t>
      </w:r>
      <w:r w:rsidR="00877552">
        <w:rPr>
          <w:noProof/>
        </w:rPr>
        <w:t>(H/L). Furthermore,</w:t>
      </w:r>
      <w:r w:rsidR="00825C60">
        <w:rPr>
          <w:noProof/>
        </w:rPr>
        <w:t xml:space="preserve"> </w:t>
      </w:r>
      <w:r w:rsidR="00877552">
        <w:rPr>
          <w:noProof/>
        </w:rPr>
        <w:t>H</w:t>
      </w:r>
      <w:r w:rsidR="00BD6CEA">
        <w:rPr>
          <w:noProof/>
        </w:rPr>
        <w:t>VHA firms</w:t>
      </w:r>
      <w:r w:rsidR="00825C60">
        <w:rPr>
          <w:noProof/>
        </w:rPr>
        <w:t xml:space="preserve"> </w:t>
      </w:r>
      <w:r w:rsidR="00877552">
        <w:rPr>
          <w:noProof/>
        </w:rPr>
        <w:t xml:space="preserve">remain </w:t>
      </w:r>
      <w:r w:rsidR="00825C60">
        <w:rPr>
          <w:noProof/>
        </w:rPr>
        <w:t xml:space="preserve">underpriced when sentiment </w:t>
      </w:r>
      <w:r w:rsidR="005D7A35" w:rsidRPr="00E65AA7">
        <w:rPr>
          <w:noProof/>
        </w:rPr>
        <w:t xml:space="preserve">continues to decrease </w:t>
      </w:r>
      <w:r w:rsidR="00825C60">
        <w:rPr>
          <w:noProof/>
        </w:rPr>
        <w:t>(L/L)</w:t>
      </w:r>
      <w:r w:rsidR="00BD6CEA">
        <w:rPr>
          <w:noProof/>
        </w:rPr>
        <w:t>, and this underpricing is cor</w:t>
      </w:r>
      <w:r w:rsidR="00E338F8">
        <w:rPr>
          <w:noProof/>
        </w:rPr>
        <w:t>r</w:t>
      </w:r>
      <w:r w:rsidR="00BD6CEA">
        <w:rPr>
          <w:noProof/>
        </w:rPr>
        <w:t xml:space="preserve">ected when </w:t>
      </w:r>
      <w:r w:rsidR="00B33D46">
        <w:rPr>
          <w:noProof/>
        </w:rPr>
        <w:t xml:space="preserve">the subsequent sentiment transitions to </w:t>
      </w:r>
      <w:r w:rsidR="006731F2">
        <w:rPr>
          <w:noProof/>
        </w:rPr>
        <w:t xml:space="preserve">a </w:t>
      </w:r>
      <w:r w:rsidR="00606D2F">
        <w:rPr>
          <w:noProof/>
        </w:rPr>
        <w:t>H</w:t>
      </w:r>
      <w:r w:rsidR="00B33D46">
        <w:rPr>
          <w:noProof/>
        </w:rPr>
        <w:t xml:space="preserve">igh </w:t>
      </w:r>
      <w:r w:rsidR="006731F2">
        <w:rPr>
          <w:noProof/>
        </w:rPr>
        <w:t xml:space="preserve">state </w:t>
      </w:r>
      <w:r w:rsidR="00B33D46">
        <w:rPr>
          <w:noProof/>
        </w:rPr>
        <w:t>(L/H)</w:t>
      </w:r>
      <w:r w:rsidR="00825C60">
        <w:rPr>
          <w:noProof/>
        </w:rPr>
        <w:t>.</w:t>
      </w:r>
      <w:r w:rsidR="005D7A35" w:rsidRPr="00E65AA7">
        <w:rPr>
          <w:noProof/>
        </w:rPr>
        <w:t xml:space="preserve"> The</w:t>
      </w:r>
      <w:r w:rsidR="00437E8C">
        <w:rPr>
          <w:noProof/>
        </w:rPr>
        <w:t>se</w:t>
      </w:r>
      <w:r w:rsidR="005D7A35" w:rsidRPr="00E65AA7">
        <w:rPr>
          <w:noProof/>
        </w:rPr>
        <w:t xml:space="preserve"> results </w:t>
      </w:r>
      <w:r w:rsidR="005D7A35" w:rsidRPr="00E65AA7">
        <w:rPr>
          <w:rFonts w:eastAsia="Times New Roman"/>
        </w:rPr>
        <w:t xml:space="preserve">are consistent with our main findings in section </w:t>
      </w:r>
      <w:r w:rsidR="00B82795" w:rsidRPr="00E65AA7">
        <w:rPr>
          <w:rFonts w:eastAsia="Times New Roman"/>
        </w:rPr>
        <w:t>I</w:t>
      </w:r>
      <w:r w:rsidR="00B82795">
        <w:rPr>
          <w:rFonts w:eastAsia="Times New Roman"/>
        </w:rPr>
        <w:t>II</w:t>
      </w:r>
      <w:r w:rsidR="00B82795" w:rsidRPr="00E65AA7">
        <w:rPr>
          <w:rFonts w:eastAsia="Times New Roman"/>
        </w:rPr>
        <w:t xml:space="preserve"> </w:t>
      </w:r>
      <w:r w:rsidR="005D7A35" w:rsidRPr="00E65AA7">
        <w:rPr>
          <w:rFonts w:eastAsia="Times New Roman"/>
        </w:rPr>
        <w:t xml:space="preserve">and provide further support for </w:t>
      </w:r>
      <w:r w:rsidR="00E338F8">
        <w:rPr>
          <w:rFonts w:eastAsia="Times New Roman"/>
        </w:rPr>
        <w:t xml:space="preserve">our first </w:t>
      </w:r>
      <w:r w:rsidR="005D7A35" w:rsidRPr="00E65AA7">
        <w:rPr>
          <w:rFonts w:eastAsia="Times New Roman"/>
        </w:rPr>
        <w:t>hypothes</w:t>
      </w:r>
      <w:r w:rsidR="00E338F8">
        <w:rPr>
          <w:rFonts w:eastAsia="Times New Roman"/>
        </w:rPr>
        <w:t>i</w:t>
      </w:r>
      <w:r w:rsidR="005D7A35" w:rsidRPr="00E65AA7">
        <w:rPr>
          <w:rFonts w:eastAsia="Times New Roman"/>
        </w:rPr>
        <w:t>s.</w:t>
      </w:r>
    </w:p>
    <w:p w14:paraId="46471C46" w14:textId="264A9BB6" w:rsidR="00B33667" w:rsidRPr="008026F8" w:rsidRDefault="00FD1F0F" w:rsidP="00C760BC">
      <w:pPr>
        <w:pStyle w:val="BodyText"/>
        <w:widowControl w:val="0"/>
        <w:spacing w:after="240" w:line="480" w:lineRule="auto"/>
        <w:rPr>
          <w:rFonts w:ascii="Arial" w:hAnsi="Arial" w:cs="Arial"/>
          <w:b/>
          <w:bCs/>
        </w:rPr>
      </w:pPr>
      <w:r w:rsidRPr="008026F8">
        <w:rPr>
          <w:rFonts w:asciiTheme="minorHAnsi" w:hAnsiTheme="minorHAnsi" w:cs="Arial"/>
          <w:b/>
          <w:bCs/>
        </w:rPr>
        <w:t>C</w:t>
      </w:r>
      <w:r w:rsidR="00B33667" w:rsidRPr="008026F8">
        <w:rPr>
          <w:rFonts w:asciiTheme="minorHAnsi" w:hAnsiTheme="minorHAnsi" w:cs="Arial"/>
          <w:b/>
          <w:bCs/>
        </w:rPr>
        <w:t xml:space="preserve">. </w:t>
      </w:r>
      <w:r w:rsidRPr="008026F8">
        <w:rPr>
          <w:rFonts w:asciiTheme="minorHAnsi" w:hAnsiTheme="minorHAnsi" w:cs="Arial"/>
          <w:b/>
          <w:bCs/>
        </w:rPr>
        <w:t xml:space="preserve">Stock </w:t>
      </w:r>
      <w:r w:rsidR="00A72729" w:rsidRPr="008026F8">
        <w:rPr>
          <w:rFonts w:asciiTheme="minorHAnsi" w:hAnsiTheme="minorHAnsi" w:cs="Arial"/>
          <w:b/>
          <w:bCs/>
        </w:rPr>
        <w:t>R</w:t>
      </w:r>
      <w:r w:rsidRPr="008026F8">
        <w:rPr>
          <w:rFonts w:asciiTheme="minorHAnsi" w:hAnsiTheme="minorHAnsi" w:cs="Arial"/>
          <w:b/>
          <w:bCs/>
        </w:rPr>
        <w:t xml:space="preserve">eturns </w:t>
      </w:r>
      <w:r w:rsidR="00F268E7" w:rsidRPr="008026F8">
        <w:rPr>
          <w:rFonts w:asciiTheme="minorHAnsi" w:hAnsiTheme="minorHAnsi" w:cs="Arial"/>
          <w:b/>
          <w:bCs/>
        </w:rPr>
        <w:t>and</w:t>
      </w:r>
      <w:r w:rsidR="0092387D" w:rsidRPr="008026F8">
        <w:rPr>
          <w:rFonts w:asciiTheme="minorHAnsi" w:hAnsiTheme="minorHAnsi" w:cs="Arial"/>
          <w:b/>
          <w:bCs/>
        </w:rPr>
        <w:t xml:space="preserve"> </w:t>
      </w:r>
      <w:r w:rsidR="00A72729" w:rsidRPr="008026F8">
        <w:rPr>
          <w:rFonts w:asciiTheme="minorHAnsi" w:hAnsiTheme="minorHAnsi" w:cs="Arial"/>
          <w:b/>
          <w:bCs/>
        </w:rPr>
        <w:t>L</w:t>
      </w:r>
      <w:r w:rsidR="0092387D" w:rsidRPr="008026F8">
        <w:rPr>
          <w:rFonts w:asciiTheme="minorHAnsi" w:hAnsiTheme="minorHAnsi" w:cs="Arial"/>
          <w:b/>
          <w:bCs/>
        </w:rPr>
        <w:t>ong-run</w:t>
      </w:r>
      <w:r w:rsidRPr="008026F8">
        <w:rPr>
          <w:rFonts w:asciiTheme="minorHAnsi" w:hAnsiTheme="minorHAnsi" w:cs="Arial"/>
          <w:b/>
          <w:bCs/>
        </w:rPr>
        <w:t xml:space="preserve"> </w:t>
      </w:r>
      <w:r w:rsidR="00A72729" w:rsidRPr="008026F8">
        <w:rPr>
          <w:rFonts w:asciiTheme="minorHAnsi" w:hAnsiTheme="minorHAnsi" w:cs="Arial"/>
          <w:b/>
          <w:bCs/>
        </w:rPr>
        <w:t>I</w:t>
      </w:r>
      <w:r w:rsidRPr="008026F8">
        <w:rPr>
          <w:rFonts w:asciiTheme="minorHAnsi" w:hAnsiTheme="minorHAnsi" w:cs="Arial"/>
          <w:b/>
          <w:bCs/>
        </w:rPr>
        <w:t xml:space="preserve">nvestor </w:t>
      </w:r>
      <w:r w:rsidR="00A72729" w:rsidRPr="008026F8">
        <w:rPr>
          <w:rFonts w:asciiTheme="minorHAnsi" w:hAnsiTheme="minorHAnsi" w:cs="Arial"/>
          <w:b/>
          <w:bCs/>
        </w:rPr>
        <w:t>S</w:t>
      </w:r>
      <w:r w:rsidRPr="008026F8">
        <w:rPr>
          <w:rFonts w:asciiTheme="minorHAnsi" w:hAnsiTheme="minorHAnsi" w:cs="Arial"/>
          <w:b/>
          <w:bCs/>
        </w:rPr>
        <w:t xml:space="preserve">entiment </w:t>
      </w:r>
      <w:r w:rsidR="00A72729" w:rsidRPr="008026F8">
        <w:rPr>
          <w:rFonts w:asciiTheme="minorHAnsi" w:hAnsiTheme="minorHAnsi" w:cs="Arial"/>
          <w:b/>
          <w:bCs/>
        </w:rPr>
        <w:t>D</w:t>
      </w:r>
      <w:r w:rsidRPr="008026F8">
        <w:rPr>
          <w:rFonts w:asciiTheme="minorHAnsi" w:hAnsiTheme="minorHAnsi" w:cs="Arial"/>
          <w:b/>
          <w:bCs/>
        </w:rPr>
        <w:t>ynamics</w:t>
      </w:r>
    </w:p>
    <w:p w14:paraId="29A4D413" w14:textId="4BFD5248" w:rsidR="003421DB" w:rsidRPr="003421DB" w:rsidRDefault="00D32823" w:rsidP="003421DB">
      <w:pPr>
        <w:pStyle w:val="BodyText"/>
        <w:spacing w:line="480" w:lineRule="auto"/>
        <w:ind w:firstLine="720"/>
        <w:rPr>
          <w:rFonts w:eastAsia="Times New Roman"/>
        </w:rPr>
      </w:pPr>
      <w:r>
        <w:lastRenderedPageBreak/>
        <w:t>In this section</w:t>
      </w:r>
      <w:r w:rsidR="00155CA0">
        <w:t xml:space="preserve"> </w:t>
      </w:r>
      <w:r w:rsidR="00FD1F0F">
        <w:t xml:space="preserve">we examine </w:t>
      </w:r>
      <w:r w:rsidR="00FA1F8E">
        <w:t xml:space="preserve">whether </w:t>
      </w:r>
      <w:r w:rsidR="00FD1F0F">
        <w:t xml:space="preserve">investor </w:t>
      </w:r>
      <w:r w:rsidR="00CF0A83">
        <w:t>sentiment is</w:t>
      </w:r>
      <w:r w:rsidR="00FD1F0F">
        <w:t xml:space="preserve"> a contrarian predictor at long horizon</w:t>
      </w:r>
      <w:r>
        <w:t>s</w:t>
      </w:r>
      <w:r w:rsidR="00893905">
        <w:t xml:space="preserve"> (subsequent 12 months)</w:t>
      </w:r>
      <w:r w:rsidR="004803C2">
        <w:t xml:space="preserve"> since </w:t>
      </w:r>
      <w:r>
        <w:t xml:space="preserve">this is the </w:t>
      </w:r>
      <w:r w:rsidR="00FA1F8E">
        <w:t>prevailing consensus in the literature</w:t>
      </w:r>
      <w:r w:rsidR="00155CA0">
        <w:t xml:space="preserve"> </w:t>
      </w:r>
      <w:r w:rsidR="004803C2">
        <w:fldChar w:fldCharType="begin">
          <w:fldData xml:space="preserve">PEVuZE5vdGU+PENpdGU+PEF1dGhvcj5Ccm93bjwvQXV0aG9yPjxZZWFyPjIwMDU8L1llYXI+PFJl
Y051bT4zNzY8L1JlY051bT48UHJlZml4PmUuZy4gPC9QcmVmaXg+PERpc3BsYXlUZXh0PihlLmcu
IEJha2VyICZhbXA7IFN0ZWluLCAyMDA0OyBCcm93biAmYW1wOyBDbGlmZiwgMjAwNTsgQmFrZXIg
JmFtcDsgV3VyZ2xlciwgMjAwNjsgU2NobWVsaW5nLCAyMDA5OyBCYWtlciBldCBhbC4sIDIwMTI7
IEhhbiAmYW1wOyBMaSwgMjAxNyk8L0Rpc3BsYXlUZXh0PjxyZWNvcmQ+PHJlYy1udW1iZXI+Mzc2
PC9yZWMtbnVtYmVyPjxmb3JlaWduLWtleXM+PGtleSBhcHA9IkVOIiBkYi1pZD0idmFmenM5OWZx
MGV3MHNlYXNkdnZ0eHp1ZmF2eGZ3eHR4MnRyIiB0aW1lc3RhbXA9IjE0NzU2NjE2NzIiPjM3Njwv
a2V5PjwvZm9yZWlnbi1rZXlzPjxyZWYtdHlwZSBuYW1lPSJKb3VybmFsIEFydGljbGUiPjE3PC9y
ZWYtdHlwZT48Y29udHJpYnV0b3JzPjxhdXRob3JzPjxhdXRob3I+QnJvd24sIEdyZWdvcnkgVzwv
YXV0aG9yPjxhdXRob3I+Q2xpZmYsIE1pY2hhZWwgVDwvYXV0aG9yPjwvYXV0aG9ycz48L2NvbnRy
aWJ1dG9ycz48dGl0bGVzPjx0aXRsZT5JbnZlc3RvciBzZW50aW1lbnQgYW5kIGFzc2V0IHZhbHVh
dGlvbjwvdGl0bGU+PHNlY29uZGFyeS10aXRsZT5UaGUgSm91cm5hbCBvZiBCdXNpbmVzczwvc2Vj
b25kYXJ5LXRpdGxlPjwvdGl0bGVzPjxwZXJpb2RpY2FsPjxmdWxsLXRpdGxlPlRoZSBKb3VybmFs
IG9mIEJ1c2luZXNzPC9mdWxsLXRpdGxlPjwvcGVyaW9kaWNhbD48cGFnZXM+NDA1LTQ0MDwvcGFn
ZXM+PHZvbHVtZT43ODwvdm9sdW1lPjxudW1iZXI+MjwvbnVtYmVyPjxkYXRlcz48eWVhcj4yMDA1
PC95ZWFyPjwvZGF0ZXM+PHVybHM+PC91cmxzPjwvcmVjb3JkPjwvQ2l0ZT48Q2l0ZT48QXV0aG9y
PkJha2VyPC9BdXRob3I+PFllYXI+MjAwNDwvWWVhcj48UmVjTnVtPjQ4MDwvUmVjTnVtPjxyZWNv
cmQ+PHJlYy1udW1iZXI+NDgwPC9yZWMtbnVtYmVyPjxmb3JlaWduLWtleXM+PGtleSBhcHA9IkVO
IiBkYi1pZD0idmFmenM5OWZxMGV3MHNlYXNkdnZ0eHp1ZmF2eGZ3eHR4MnRyIiB0aW1lc3RhbXA9
IjE1MDI1MTA4ODkiPjQ4MDwva2V5PjwvZm9yZWlnbi1rZXlzPjxyZWYtdHlwZSBuYW1lPSJKb3Vy
bmFsIEFydGljbGUiPjE3PC9yZWYtdHlwZT48Y29udHJpYnV0b3JzPjxhdXRob3JzPjxhdXRob3I+
QmFrZXIsIE1hbGNvbG08L2F1dGhvcj48YXV0aG9yPlN0ZWluLCBKZXJlbXkgQzwvYXV0aG9yPjwv
YXV0aG9ycz48L2NvbnRyaWJ1dG9ycz48dGl0bGVzPjx0aXRsZT5NYXJrZXQgbGlxdWlkaXR5IGFz
IGEgc2VudGltZW50IGluZGljYXRvcjwvdGl0bGU+PHNlY29uZGFyeS10aXRsZT5Kb3VybmFsIG9m
IEZpbmFuY2lhbCBNYXJrZXRzPC9zZWNvbmRhcnktdGl0bGU+PC90aXRsZXM+PHBlcmlvZGljYWw+
PGZ1bGwtdGl0bGU+Sm91cm5hbCBvZiBGaW5hbmNpYWwgTWFya2V0czwvZnVsbC10aXRsZT48L3Bl
cmlvZGljYWw+PHBhZ2VzPjI3MS0yOTk8L3BhZ2VzPjx2b2x1bWU+Nzwvdm9sdW1lPjxudW1iZXI+
MzwvbnVtYmVyPjxkYXRlcz48eWVhcj4yMDA0PC95ZWFyPjwvZGF0ZXM+PGlzYm4+MTM4Ni00MTgx
PC9pc2JuPjx1cmxzPjwvdXJscz48L3JlY29yZD48L0NpdGU+PENpdGU+PEF1dGhvcj5TY2htZWxp
bmc8L0F1dGhvcj48WWVhcj4yMDA5PC9ZZWFyPjxSZWNOdW0+NDgxPC9SZWNOdW0+PHJlY29yZD48
cmVjLW51bWJlcj40ODE8L3JlYy1udW1iZXI+PGZvcmVpZ24ta2V5cz48a2V5IGFwcD0iRU4iIGRi
LWlkPSJ2YWZ6czk5ZnEwZXcwc2Vhc2R2dnR4enVmYXZ4Znd4dHgydHIiIHRpbWVzdGFtcD0iMTUw
MjUxNDU5OSI+NDgxPC9rZXk+PC9mb3JlaWduLWtleXM+PHJlZi10eXBlIG5hbWU9IkpvdXJuYWwg
QXJ0aWNsZSI+MTc8L3JlZi10eXBlPjxjb250cmlidXRvcnM+PGF1dGhvcnM+PGF1dGhvcj5TY2ht
ZWxpbmcsIE1haWs8L2F1dGhvcj48L2F1dGhvcnM+PC9jb250cmlidXRvcnM+PHRpdGxlcz48dGl0
bGU+SW52ZXN0b3Igc2VudGltZW50IGFuZCBzdG9jayByZXR1cm5zOiBTb21lIGludGVybmF0aW9u
YWwgZXZpZGVuY2U8L3RpdGxlPjxzZWNvbmRhcnktdGl0bGU+Sm91cm5hbCBvZiBlbXBpcmljYWwg
ZmluYW5jZTwvc2Vjb25kYXJ5LXRpdGxlPjwvdGl0bGVzPjxwZXJpb2RpY2FsPjxmdWxsLXRpdGxl
PkpvdXJuYWwgb2YgRW1waXJpY2FsIEZpbmFuY2U8L2Z1bGwtdGl0bGU+PC9wZXJpb2RpY2FsPjxw
YWdlcz4zOTQtNDA4PC9wYWdlcz48dm9sdW1lPjE2PC92b2x1bWU+PG51bWJlcj4zPC9udW1iZXI+
PGRhdGVzPjx5ZWFyPjIwMDk8L3llYXI+PC9kYXRlcz48aXNibj4wOTI3LTUzOTg8L2lzYm4+PHVy
bHM+PC91cmxzPjwvcmVjb3JkPjwvQ2l0ZT48Q2l0ZT48QXV0aG9yPkJha2VyPC9BdXRob3I+PFll
YXI+MjAxMjwvWWVhcj48UmVjTnVtPjQ4MzwvUmVjTnVtPjxyZWNvcmQ+PHJlYy1udW1iZXI+NDgz
PC9yZWMtbnVtYmVyPjxmb3JlaWduLWtleXM+PGtleSBhcHA9IkVOIiBkYi1pZD0idmFmenM5OWZx
MGV3MHNlYXNkdnZ0eHp1ZmF2eGZ3eHR4MnRyIiB0aW1lc3RhbXA9IjE1MDI1MTUzMjkiPjQ4Mzwv
a2V5PjwvZm9yZWlnbi1rZXlzPjxyZWYtdHlwZSBuYW1lPSJKb3VybmFsIEFydGljbGUiPjE3PC9y
ZWYtdHlwZT48Y29udHJpYnV0b3JzPjxhdXRob3JzPjxhdXRob3I+QmFrZXIsIE1hbGNvbG08L2F1
dGhvcj48YXV0aG9yPld1cmdsZXIsIEplZmZyZXk8L2F1dGhvcj48YXV0aG9yPll1YW4sIFl1PC9h
dXRob3I+PC9hdXRob3JzPjwvY29udHJpYnV0b3JzPjx0aXRsZXM+PHRpdGxlPkdsb2JhbCwgbG9j
YWwsIGFuZCBjb250YWdpb3VzIGludmVzdG9yIHNlbnRpbWVudDwvdGl0bGU+PHNlY29uZGFyeS10
aXRsZT5Kb3VybmFsIG9mIEZpbmFuY2lhbCBFY29ub21pY3M8L3NlY29uZGFyeS10aXRsZT48L3Rp
dGxlcz48cGVyaW9kaWNhbD48ZnVsbC10aXRsZT5Kb3VybmFsIG9mIEZpbmFuY2lhbCBFY29ub21p
Y3M8L2Z1bGwtdGl0bGU+PC9wZXJpb2RpY2FsPjxwYWdlcz4yNzItMjg3PC9wYWdlcz48dm9sdW1l
PjEwNDwvdm9sdW1lPjxudW1iZXI+MjwvbnVtYmVyPjxkYXRlcz48eWVhcj4yMDEyPC95ZWFyPjwv
ZGF0ZXM+PGlzYm4+MDMwNC00MDVYPC9pc2JuPjx1cmxzPjwvdXJscz48L3JlY29yZD48L0NpdGU+
PENpdGU+PEF1dGhvcj5IYW48L0F1dGhvcj48WWVhcj4yMDE3PC9ZZWFyPjxSZWNOdW0+NDg0PC9S
ZWNOdW0+PHJlY29yZD48cmVjLW51bWJlcj40ODQ8L3JlYy1udW1iZXI+PGZvcmVpZ24ta2V5cz48
a2V5IGFwcD0iRU4iIGRiLWlkPSJ2YWZ6czk5ZnEwZXcwc2Vhc2R2dnR4enVmYXZ4Znd4dHgydHIi
IHRpbWVzdGFtcD0iMTUwMjU5MTQwNiI+NDg0PC9rZXk+PC9mb3JlaWduLWtleXM+PHJlZi10eXBl
IG5hbWU9IkpvdXJuYWwgQXJ0aWNsZSI+MTc8L3JlZi10eXBlPjxjb250cmlidXRvcnM+PGF1dGhv
cnM+PGF1dGhvcj5IYW4sIFhpbmc8L2F1dGhvcj48YXV0aG9yPkxpLCBZb3V3ZWk8L2F1dGhvcj48
L2F1dGhvcnM+PC9jb250cmlidXRvcnM+PHRpdGxlcz48dGl0bGU+Q2FuIGludmVzdG9yIHNlbnRp
bWVudCBiZSBhIG1vbWVudHVtIHRpbWUtc2VyaWVzIHByZWRpY3Rvcj8gRXZpZGVuY2UgZnJvbSBD
aGluYTwvdGl0bGU+PHNlY29uZGFyeS10aXRsZT5Kb3VybmFsIG9mIEVtcGlyaWNhbCBGaW5hbmNl
PC9zZWNvbmRhcnktdGl0bGU+PC90aXRsZXM+PHBlcmlvZGljYWw+PGZ1bGwtdGl0bGU+Sm91cm5h
bCBvZiBFbXBpcmljYWwgRmluYW5jZTwvZnVsbC10aXRsZT48L3BlcmlvZGljYWw+PHBhZ2VzPjIx
Mi0yMzk8L3BhZ2VzPjx2b2x1bWU+NDI8L3ZvbHVtZT48ZGF0ZXM+PHllYXI+MjAxNzwveWVhcj48
L2RhdGVzPjxpc2JuPjA5MjctNTM5ODwvaXNibj48dXJscz48L3VybHM+PC9yZWNvcmQ+PC9DaXRl
PjxDaXRlPjxBdXRob3I+QmFrZXI8L0F1dGhvcj48WWVhcj4yMDA2PC9ZZWFyPjxSZWNOdW0+MzQ1
PC9SZWNOdW0+PHJlY29yZD48cmVjLW51bWJlcj4zNDU8L3JlYy1udW1iZXI+PGZvcmVpZ24ta2V5
cz48a2V5IGFwcD0iRU4iIGRiLWlkPSJ2YWZ6czk5ZnEwZXcwc2Vhc2R2dnR4enVmYXZ4Znd4dHgy
dHIiIHRpbWVzdGFtcD0iMTQ0OTcyMjUxOCI+MzQ1PC9rZXk+PC9mb3JlaWduLWtleXM+PHJlZi10
eXBlIG5hbWU9IkpvdXJuYWwgQXJ0aWNsZSI+MTc8L3JlZi10eXBlPjxjb250cmlidXRvcnM+PGF1
dGhvcnM+PGF1dGhvcj5CYWtlciwgTWFsY29sbTwvYXV0aG9yPjxhdXRob3I+V3VyZ2xlciwgSmVm
ZnJleTwvYXV0aG9yPjwvYXV0aG9ycz48L2NvbnRyaWJ1dG9ycz48dGl0bGVzPjx0aXRsZT5JbnZl
c3RvciBzZW50aW1lbnQgYW5kIHRoZSBjcm9zc+KAkHNlY3Rpb24gb2Ygc3RvY2sgcmV0dXJuczwv
dGl0bGU+PHNlY29uZGFyeS10aXRsZT5UaGUgSm91cm5hbCBvZiBGaW5hbmNlPC9zZWNvbmRhcnkt
dGl0bGU+PC90aXRsZXM+PHBlcmlvZGljYWw+PGZ1bGwtdGl0bGU+VGhlIEpvdXJuYWwgb2YgRmlu
YW5jZTwvZnVsbC10aXRsZT48L3BlcmlvZGljYWw+PHBhZ2VzPjE2NDUtMTY4MDwvcGFnZXM+PHZv
bHVtZT42MTwvdm9sdW1lPjxudW1iZXI+NDwvbnVtYmVyPjxkYXRlcz48eWVhcj4yMDA2PC95ZWFy
PjwvZGF0ZXM+PGlzYm4+MTU0MC02MjYxPC9pc2JuPjx1cmxzPjwvdXJscz48L3JlY29yZD48L0Np
dGU+PC9FbmROb3RlPn==
</w:fldData>
        </w:fldChar>
      </w:r>
      <w:r w:rsidR="00AA017C">
        <w:instrText xml:space="preserve"> ADDIN EN.CITE </w:instrText>
      </w:r>
      <w:r w:rsidR="00AA017C">
        <w:fldChar w:fldCharType="begin">
          <w:fldData xml:space="preserve">PEVuZE5vdGU+PENpdGU+PEF1dGhvcj5Ccm93bjwvQXV0aG9yPjxZZWFyPjIwMDU8L1llYXI+PFJl
Y051bT4zNzY8L1JlY051bT48UHJlZml4PmUuZy4gPC9QcmVmaXg+PERpc3BsYXlUZXh0PihlLmcu
IEJha2VyICZhbXA7IFN0ZWluLCAyMDA0OyBCcm93biAmYW1wOyBDbGlmZiwgMjAwNTsgQmFrZXIg
JmFtcDsgV3VyZ2xlciwgMjAwNjsgU2NobWVsaW5nLCAyMDA5OyBCYWtlciBldCBhbC4sIDIwMTI7
IEhhbiAmYW1wOyBMaSwgMjAxNyk8L0Rpc3BsYXlUZXh0PjxyZWNvcmQ+PHJlYy1udW1iZXI+Mzc2
PC9yZWMtbnVtYmVyPjxmb3JlaWduLWtleXM+PGtleSBhcHA9IkVOIiBkYi1pZD0idmFmenM5OWZx
MGV3MHNlYXNkdnZ0eHp1ZmF2eGZ3eHR4MnRyIiB0aW1lc3RhbXA9IjE0NzU2NjE2NzIiPjM3Njwv
a2V5PjwvZm9yZWlnbi1rZXlzPjxyZWYtdHlwZSBuYW1lPSJKb3VybmFsIEFydGljbGUiPjE3PC9y
ZWYtdHlwZT48Y29udHJpYnV0b3JzPjxhdXRob3JzPjxhdXRob3I+QnJvd24sIEdyZWdvcnkgVzwv
YXV0aG9yPjxhdXRob3I+Q2xpZmYsIE1pY2hhZWwgVDwvYXV0aG9yPjwvYXV0aG9ycz48L2NvbnRy
aWJ1dG9ycz48dGl0bGVzPjx0aXRsZT5JbnZlc3RvciBzZW50aW1lbnQgYW5kIGFzc2V0IHZhbHVh
dGlvbjwvdGl0bGU+PHNlY29uZGFyeS10aXRsZT5UaGUgSm91cm5hbCBvZiBCdXNpbmVzczwvc2Vj
b25kYXJ5LXRpdGxlPjwvdGl0bGVzPjxwZXJpb2RpY2FsPjxmdWxsLXRpdGxlPlRoZSBKb3VybmFs
IG9mIEJ1c2luZXNzPC9mdWxsLXRpdGxlPjwvcGVyaW9kaWNhbD48cGFnZXM+NDA1LTQ0MDwvcGFn
ZXM+PHZvbHVtZT43ODwvdm9sdW1lPjxudW1iZXI+MjwvbnVtYmVyPjxkYXRlcz48eWVhcj4yMDA1
PC95ZWFyPjwvZGF0ZXM+PHVybHM+PC91cmxzPjwvcmVjb3JkPjwvQ2l0ZT48Q2l0ZT48QXV0aG9y
PkJha2VyPC9BdXRob3I+PFllYXI+MjAwNDwvWWVhcj48UmVjTnVtPjQ4MDwvUmVjTnVtPjxyZWNv
cmQ+PHJlYy1udW1iZXI+NDgwPC9yZWMtbnVtYmVyPjxmb3JlaWduLWtleXM+PGtleSBhcHA9IkVO
IiBkYi1pZD0idmFmenM5OWZxMGV3MHNlYXNkdnZ0eHp1ZmF2eGZ3eHR4MnRyIiB0aW1lc3RhbXA9
IjE1MDI1MTA4ODkiPjQ4MDwva2V5PjwvZm9yZWlnbi1rZXlzPjxyZWYtdHlwZSBuYW1lPSJKb3Vy
bmFsIEFydGljbGUiPjE3PC9yZWYtdHlwZT48Y29udHJpYnV0b3JzPjxhdXRob3JzPjxhdXRob3I+
QmFrZXIsIE1hbGNvbG08L2F1dGhvcj48YXV0aG9yPlN0ZWluLCBKZXJlbXkgQzwvYXV0aG9yPjwv
YXV0aG9ycz48L2NvbnRyaWJ1dG9ycz48dGl0bGVzPjx0aXRsZT5NYXJrZXQgbGlxdWlkaXR5IGFz
IGEgc2VudGltZW50IGluZGljYXRvcjwvdGl0bGU+PHNlY29uZGFyeS10aXRsZT5Kb3VybmFsIG9m
IEZpbmFuY2lhbCBNYXJrZXRzPC9zZWNvbmRhcnktdGl0bGU+PC90aXRsZXM+PHBlcmlvZGljYWw+
PGZ1bGwtdGl0bGU+Sm91cm5hbCBvZiBGaW5hbmNpYWwgTWFya2V0czwvZnVsbC10aXRsZT48L3Bl
cmlvZGljYWw+PHBhZ2VzPjI3MS0yOTk8L3BhZ2VzPjx2b2x1bWU+Nzwvdm9sdW1lPjxudW1iZXI+
MzwvbnVtYmVyPjxkYXRlcz48eWVhcj4yMDA0PC95ZWFyPjwvZGF0ZXM+PGlzYm4+MTM4Ni00MTgx
PC9pc2JuPjx1cmxzPjwvdXJscz48L3JlY29yZD48L0NpdGU+PENpdGU+PEF1dGhvcj5TY2htZWxp
bmc8L0F1dGhvcj48WWVhcj4yMDA5PC9ZZWFyPjxSZWNOdW0+NDgxPC9SZWNOdW0+PHJlY29yZD48
cmVjLW51bWJlcj40ODE8L3JlYy1udW1iZXI+PGZvcmVpZ24ta2V5cz48a2V5IGFwcD0iRU4iIGRi
LWlkPSJ2YWZ6czk5ZnEwZXcwc2Vhc2R2dnR4enVmYXZ4Znd4dHgydHIiIHRpbWVzdGFtcD0iMTUw
MjUxNDU5OSI+NDgxPC9rZXk+PC9mb3JlaWduLWtleXM+PHJlZi10eXBlIG5hbWU9IkpvdXJuYWwg
QXJ0aWNsZSI+MTc8L3JlZi10eXBlPjxjb250cmlidXRvcnM+PGF1dGhvcnM+PGF1dGhvcj5TY2ht
ZWxpbmcsIE1haWs8L2F1dGhvcj48L2F1dGhvcnM+PC9jb250cmlidXRvcnM+PHRpdGxlcz48dGl0
bGU+SW52ZXN0b3Igc2VudGltZW50IGFuZCBzdG9jayByZXR1cm5zOiBTb21lIGludGVybmF0aW9u
YWwgZXZpZGVuY2U8L3RpdGxlPjxzZWNvbmRhcnktdGl0bGU+Sm91cm5hbCBvZiBlbXBpcmljYWwg
ZmluYW5jZTwvc2Vjb25kYXJ5LXRpdGxlPjwvdGl0bGVzPjxwZXJpb2RpY2FsPjxmdWxsLXRpdGxl
PkpvdXJuYWwgb2YgRW1waXJpY2FsIEZpbmFuY2U8L2Z1bGwtdGl0bGU+PC9wZXJpb2RpY2FsPjxw
YWdlcz4zOTQtNDA4PC9wYWdlcz48dm9sdW1lPjE2PC92b2x1bWU+PG51bWJlcj4zPC9udW1iZXI+
PGRhdGVzPjx5ZWFyPjIwMDk8L3llYXI+PC9kYXRlcz48aXNibj4wOTI3LTUzOTg8L2lzYm4+PHVy
bHM+PC91cmxzPjwvcmVjb3JkPjwvQ2l0ZT48Q2l0ZT48QXV0aG9yPkJha2VyPC9BdXRob3I+PFll
YXI+MjAxMjwvWWVhcj48UmVjTnVtPjQ4MzwvUmVjTnVtPjxyZWNvcmQ+PHJlYy1udW1iZXI+NDgz
PC9yZWMtbnVtYmVyPjxmb3JlaWduLWtleXM+PGtleSBhcHA9IkVOIiBkYi1pZD0idmFmenM5OWZx
MGV3MHNlYXNkdnZ0eHp1ZmF2eGZ3eHR4MnRyIiB0aW1lc3RhbXA9IjE1MDI1MTUzMjkiPjQ4Mzwv
a2V5PjwvZm9yZWlnbi1rZXlzPjxyZWYtdHlwZSBuYW1lPSJKb3VybmFsIEFydGljbGUiPjE3PC9y
ZWYtdHlwZT48Y29udHJpYnV0b3JzPjxhdXRob3JzPjxhdXRob3I+QmFrZXIsIE1hbGNvbG08L2F1
dGhvcj48YXV0aG9yPld1cmdsZXIsIEplZmZyZXk8L2F1dGhvcj48YXV0aG9yPll1YW4sIFl1PC9h
dXRob3I+PC9hdXRob3JzPjwvY29udHJpYnV0b3JzPjx0aXRsZXM+PHRpdGxlPkdsb2JhbCwgbG9j
YWwsIGFuZCBjb250YWdpb3VzIGludmVzdG9yIHNlbnRpbWVudDwvdGl0bGU+PHNlY29uZGFyeS10
aXRsZT5Kb3VybmFsIG9mIEZpbmFuY2lhbCBFY29ub21pY3M8L3NlY29uZGFyeS10aXRsZT48L3Rp
dGxlcz48cGVyaW9kaWNhbD48ZnVsbC10aXRsZT5Kb3VybmFsIG9mIEZpbmFuY2lhbCBFY29ub21p
Y3M8L2Z1bGwtdGl0bGU+PC9wZXJpb2RpY2FsPjxwYWdlcz4yNzItMjg3PC9wYWdlcz48dm9sdW1l
PjEwNDwvdm9sdW1lPjxudW1iZXI+MjwvbnVtYmVyPjxkYXRlcz48eWVhcj4yMDEyPC95ZWFyPjwv
ZGF0ZXM+PGlzYm4+MDMwNC00MDVYPC9pc2JuPjx1cmxzPjwvdXJscz48L3JlY29yZD48L0NpdGU+
PENpdGU+PEF1dGhvcj5IYW48L0F1dGhvcj48WWVhcj4yMDE3PC9ZZWFyPjxSZWNOdW0+NDg0PC9S
ZWNOdW0+PHJlY29yZD48cmVjLW51bWJlcj40ODQ8L3JlYy1udW1iZXI+PGZvcmVpZ24ta2V5cz48
a2V5IGFwcD0iRU4iIGRiLWlkPSJ2YWZ6czk5ZnEwZXcwc2Vhc2R2dnR4enVmYXZ4Znd4dHgydHIi
IHRpbWVzdGFtcD0iMTUwMjU5MTQwNiI+NDg0PC9rZXk+PC9mb3JlaWduLWtleXM+PHJlZi10eXBl
IG5hbWU9IkpvdXJuYWwgQXJ0aWNsZSI+MTc8L3JlZi10eXBlPjxjb250cmlidXRvcnM+PGF1dGhv
cnM+PGF1dGhvcj5IYW4sIFhpbmc8L2F1dGhvcj48YXV0aG9yPkxpLCBZb3V3ZWk8L2F1dGhvcj48
L2F1dGhvcnM+PC9jb250cmlidXRvcnM+PHRpdGxlcz48dGl0bGU+Q2FuIGludmVzdG9yIHNlbnRp
bWVudCBiZSBhIG1vbWVudHVtIHRpbWUtc2VyaWVzIHByZWRpY3Rvcj8gRXZpZGVuY2UgZnJvbSBD
aGluYTwvdGl0bGU+PHNlY29uZGFyeS10aXRsZT5Kb3VybmFsIG9mIEVtcGlyaWNhbCBGaW5hbmNl
PC9zZWNvbmRhcnktdGl0bGU+PC90aXRsZXM+PHBlcmlvZGljYWw+PGZ1bGwtdGl0bGU+Sm91cm5h
bCBvZiBFbXBpcmljYWwgRmluYW5jZTwvZnVsbC10aXRsZT48L3BlcmlvZGljYWw+PHBhZ2VzPjIx
Mi0yMzk8L3BhZ2VzPjx2b2x1bWU+NDI8L3ZvbHVtZT48ZGF0ZXM+PHllYXI+MjAxNzwveWVhcj48
L2RhdGVzPjxpc2JuPjA5MjctNTM5ODwvaXNibj48dXJscz48L3VybHM+PC9yZWNvcmQ+PC9DaXRl
PjxDaXRlPjxBdXRob3I+QmFrZXI8L0F1dGhvcj48WWVhcj4yMDA2PC9ZZWFyPjxSZWNOdW0+MzQ1
PC9SZWNOdW0+PHJlY29yZD48cmVjLW51bWJlcj4zNDU8L3JlYy1udW1iZXI+PGZvcmVpZ24ta2V5
cz48a2V5IGFwcD0iRU4iIGRiLWlkPSJ2YWZ6czk5ZnEwZXcwc2Vhc2R2dnR4enVmYXZ4Znd4dHgy
dHIiIHRpbWVzdGFtcD0iMTQ0OTcyMjUxOCI+MzQ1PC9rZXk+PC9mb3JlaWduLWtleXM+PHJlZi10
eXBlIG5hbWU9IkpvdXJuYWwgQXJ0aWNsZSI+MTc8L3JlZi10eXBlPjxjb250cmlidXRvcnM+PGF1
dGhvcnM+PGF1dGhvcj5CYWtlciwgTWFsY29sbTwvYXV0aG9yPjxhdXRob3I+V3VyZ2xlciwgSmVm
ZnJleTwvYXV0aG9yPjwvYXV0aG9ycz48L2NvbnRyaWJ1dG9ycz48dGl0bGVzPjx0aXRsZT5JbnZl
c3RvciBzZW50aW1lbnQgYW5kIHRoZSBjcm9zc+KAkHNlY3Rpb24gb2Ygc3RvY2sgcmV0dXJuczwv
dGl0bGU+PHNlY29uZGFyeS10aXRsZT5UaGUgSm91cm5hbCBvZiBGaW5hbmNlPC9zZWNvbmRhcnkt
dGl0bGU+PC90aXRsZXM+PHBlcmlvZGljYWw+PGZ1bGwtdGl0bGU+VGhlIEpvdXJuYWwgb2YgRmlu
YW5jZTwvZnVsbC10aXRsZT48L3BlcmlvZGljYWw+PHBhZ2VzPjE2NDUtMTY4MDwvcGFnZXM+PHZv
bHVtZT42MTwvdm9sdW1lPjxudW1iZXI+NDwvbnVtYmVyPjxkYXRlcz48eWVhcj4yMDA2PC95ZWFy
PjwvZGF0ZXM+PGlzYm4+MTU0MC02MjYxPC9pc2JuPjx1cmxzPjwvdXJscz48L3JlY29yZD48L0Np
dGU+PC9FbmROb3RlPn==
</w:fldData>
        </w:fldChar>
      </w:r>
      <w:r w:rsidR="00AA017C">
        <w:instrText xml:space="preserve"> ADDIN EN.CITE.DATA </w:instrText>
      </w:r>
      <w:r w:rsidR="00AA017C">
        <w:fldChar w:fldCharType="end"/>
      </w:r>
      <w:r w:rsidR="004803C2">
        <w:fldChar w:fldCharType="separate"/>
      </w:r>
      <w:r w:rsidR="00AA017C">
        <w:rPr>
          <w:noProof/>
        </w:rPr>
        <w:t xml:space="preserve">(e.g. </w:t>
      </w:r>
      <w:hyperlink w:anchor="_ENREF_2" w:tooltip="Baker, 2004 #480" w:history="1">
        <w:r w:rsidR="006913E2">
          <w:rPr>
            <w:noProof/>
          </w:rPr>
          <w:t>Baker &amp; Stein, 2004</w:t>
        </w:r>
      </w:hyperlink>
      <w:r w:rsidR="00AA017C">
        <w:rPr>
          <w:noProof/>
        </w:rPr>
        <w:t xml:space="preserve">; </w:t>
      </w:r>
      <w:hyperlink w:anchor="_ENREF_10" w:tooltip="Brown, 2005 #376" w:history="1">
        <w:r w:rsidR="006913E2">
          <w:rPr>
            <w:noProof/>
          </w:rPr>
          <w:t>Brown &amp; Cliff, 2005</w:t>
        </w:r>
      </w:hyperlink>
      <w:r w:rsidR="00AA017C">
        <w:rPr>
          <w:noProof/>
        </w:rPr>
        <w:t xml:space="preserve">; </w:t>
      </w:r>
      <w:hyperlink w:anchor="_ENREF_3" w:tooltip="Baker, 2006 #345" w:history="1">
        <w:r w:rsidR="006913E2">
          <w:rPr>
            <w:noProof/>
          </w:rPr>
          <w:t>Baker &amp; Wurgler, 2006</w:t>
        </w:r>
      </w:hyperlink>
      <w:r w:rsidR="00AA017C">
        <w:rPr>
          <w:noProof/>
        </w:rPr>
        <w:t xml:space="preserve">; </w:t>
      </w:r>
      <w:hyperlink w:anchor="_ENREF_37" w:tooltip="Schmeling, 2009 #481" w:history="1">
        <w:r w:rsidR="006913E2">
          <w:rPr>
            <w:noProof/>
          </w:rPr>
          <w:t>Schmeling, 2009</w:t>
        </w:r>
      </w:hyperlink>
      <w:r w:rsidR="00AA017C">
        <w:rPr>
          <w:noProof/>
        </w:rPr>
        <w:t xml:space="preserve">; </w:t>
      </w:r>
      <w:hyperlink w:anchor="_ENREF_5" w:tooltip="Baker, 2012 #483" w:history="1">
        <w:r w:rsidR="006913E2">
          <w:rPr>
            <w:noProof/>
          </w:rPr>
          <w:t>Baker et al., 2012</w:t>
        </w:r>
      </w:hyperlink>
      <w:r w:rsidR="00AA017C">
        <w:rPr>
          <w:noProof/>
        </w:rPr>
        <w:t xml:space="preserve">; </w:t>
      </w:r>
      <w:hyperlink w:anchor="_ENREF_24" w:tooltip="Han, 2017 #484" w:history="1">
        <w:r w:rsidR="006913E2">
          <w:rPr>
            <w:noProof/>
          </w:rPr>
          <w:t>Han &amp; Li, 2017</w:t>
        </w:r>
      </w:hyperlink>
      <w:r w:rsidR="00AA017C">
        <w:rPr>
          <w:noProof/>
        </w:rPr>
        <w:t>)</w:t>
      </w:r>
      <w:r w:rsidR="004803C2">
        <w:fldChar w:fldCharType="end"/>
      </w:r>
      <w:r w:rsidR="00CF0A83">
        <w:t>.</w:t>
      </w:r>
      <w:r w:rsidR="00FD1F0F">
        <w:t xml:space="preserve"> </w:t>
      </w:r>
      <w:r w:rsidR="00CF0A83">
        <w:rPr>
          <w:rFonts w:eastAsia="Times New Roman"/>
        </w:rPr>
        <w:t xml:space="preserve">We use Baker and </w:t>
      </w:r>
      <w:proofErr w:type="spellStart"/>
      <w:r w:rsidR="00CF0A83">
        <w:rPr>
          <w:rFonts w:eastAsia="Times New Roman"/>
        </w:rPr>
        <w:t>Wurgler’s</w:t>
      </w:r>
      <w:proofErr w:type="spellEnd"/>
      <w:r w:rsidR="00CF0A83">
        <w:rPr>
          <w:rFonts w:eastAsia="Times New Roman"/>
        </w:rPr>
        <w:t xml:space="preserve"> yearly sentiment levels index (Y</w:t>
      </w:r>
      <w:r w:rsidR="00CF0A83" w:rsidRPr="00E65AA7">
        <w:t>STM</w:t>
      </w:r>
      <w:r w:rsidR="00CF0A83">
        <w:t>)</w:t>
      </w:r>
      <w:r w:rsidR="00CF0A83">
        <w:rPr>
          <w:rFonts w:eastAsia="Times New Roman"/>
        </w:rPr>
        <w:t xml:space="preserve"> to define lagged sentiment</w:t>
      </w:r>
      <w:r w:rsidR="00F67B36">
        <w:rPr>
          <w:rFonts w:eastAsia="Times New Roman"/>
        </w:rPr>
        <w:t>,</w:t>
      </w:r>
      <w:r w:rsidR="00032532">
        <w:rPr>
          <w:rFonts w:eastAsia="Times New Roman"/>
        </w:rPr>
        <w:t xml:space="preserve"> and the </w:t>
      </w:r>
      <w:r w:rsidR="00CF0A83">
        <w:rPr>
          <w:rFonts w:eastAsia="Times New Roman"/>
        </w:rPr>
        <w:t>sentiment changes index (</w:t>
      </w:r>
      <w:r w:rsidR="00CF0A83" w:rsidRPr="00E65AA7">
        <w:t>▲STM</w:t>
      </w:r>
      <w:r w:rsidR="00CF0A83">
        <w:t>)</w:t>
      </w:r>
      <w:r w:rsidR="00CF0A83" w:rsidRPr="00E65AA7">
        <w:t xml:space="preserve"> </w:t>
      </w:r>
      <w:r w:rsidR="00CF0A83">
        <w:rPr>
          <w:rFonts w:eastAsia="Times New Roman"/>
        </w:rPr>
        <w:t xml:space="preserve">to define </w:t>
      </w:r>
      <w:r w:rsidR="008B6F6B">
        <w:rPr>
          <w:rFonts w:eastAsia="Times New Roman"/>
        </w:rPr>
        <w:t xml:space="preserve">the </w:t>
      </w:r>
      <w:r w:rsidR="00CF0A83">
        <w:rPr>
          <w:rFonts w:eastAsia="Times New Roman"/>
        </w:rPr>
        <w:t xml:space="preserve">subsequent change in sentiment. </w:t>
      </w:r>
      <w:r w:rsidR="00CF0A83" w:rsidRPr="00E65AA7">
        <w:rPr>
          <w:rFonts w:eastAsia="Times New Roman"/>
        </w:rPr>
        <w:t xml:space="preserve">At the beginning of each month </w:t>
      </w:r>
      <w:r w:rsidR="00CF0A83" w:rsidRPr="00E65AA7">
        <w:rPr>
          <w:rFonts w:eastAsia="Times New Roman"/>
          <w:i/>
        </w:rPr>
        <w:t>t</w:t>
      </w:r>
      <w:r w:rsidR="00CF0A83" w:rsidRPr="00E65AA7">
        <w:rPr>
          <w:rFonts w:eastAsia="Times New Roman"/>
        </w:rPr>
        <w:t>, we classify firms in deciles based on their firm characteristics</w:t>
      </w:r>
      <w:r w:rsidR="00D04FF0">
        <w:rPr>
          <w:rFonts w:eastAsia="Times New Roman"/>
        </w:rPr>
        <w:t xml:space="preserve">. Then we classify the previous sentiment as High (Low) </w:t>
      </w:r>
      <w:r w:rsidR="00CF0A83" w:rsidRPr="00E65AA7">
        <w:rPr>
          <w:rFonts w:eastAsia="Times New Roman"/>
        </w:rPr>
        <w:t xml:space="preserve">if </w:t>
      </w:r>
      <w:r w:rsidR="00D04FF0">
        <w:rPr>
          <w:rFonts w:eastAsia="Times New Roman"/>
        </w:rPr>
        <w:t>YSTM</w:t>
      </w:r>
      <w:r w:rsidR="00CF0A83">
        <w:rPr>
          <w:rFonts w:eastAsia="Times New Roman"/>
        </w:rPr>
        <w:t xml:space="preserve"> at the end of previous calendar year is</w:t>
      </w:r>
      <w:r w:rsidR="00CF0A83" w:rsidRPr="00E65AA7">
        <w:rPr>
          <w:rFonts w:eastAsia="Times New Roman"/>
        </w:rPr>
        <w:t xml:space="preserve"> positive (negative). Furthermore, we classify </w:t>
      </w:r>
      <w:r w:rsidR="00D04FF0">
        <w:rPr>
          <w:rFonts w:eastAsia="Times New Roman"/>
        </w:rPr>
        <w:t xml:space="preserve">the sentiment in </w:t>
      </w:r>
      <w:r w:rsidR="00CF0A83" w:rsidRPr="00E65AA7">
        <w:rPr>
          <w:rFonts w:eastAsia="Times New Roman"/>
        </w:rPr>
        <w:t xml:space="preserve">month </w:t>
      </w:r>
      <w:proofErr w:type="spellStart"/>
      <w:r w:rsidR="00CF0A83" w:rsidRPr="00E65AA7">
        <w:rPr>
          <w:rFonts w:eastAsia="Times New Roman"/>
          <w:i/>
        </w:rPr>
        <w:t>t</w:t>
      </w:r>
      <w:proofErr w:type="spellEnd"/>
      <w:r w:rsidR="00CF0A83" w:rsidRPr="00E65AA7">
        <w:rPr>
          <w:rFonts w:eastAsia="Times New Roman"/>
        </w:rPr>
        <w:t xml:space="preserve"> as</w:t>
      </w:r>
      <w:r w:rsidR="00155CA0">
        <w:rPr>
          <w:rFonts w:eastAsia="Times New Roman"/>
        </w:rPr>
        <w:t xml:space="preserve"> </w:t>
      </w:r>
      <w:r w:rsidR="00CF0A83" w:rsidRPr="00E65AA7">
        <w:rPr>
          <w:rFonts w:eastAsia="Times New Roman"/>
        </w:rPr>
        <w:t xml:space="preserve">High (Low) if </w:t>
      </w:r>
      <w:r w:rsidR="00CF0A83" w:rsidRPr="00E65AA7">
        <w:t>▲STM index</w:t>
      </w:r>
      <w:r w:rsidR="00CF0A83" w:rsidRPr="00E65AA7">
        <w:rPr>
          <w:rFonts w:eastAsia="Times New Roman"/>
        </w:rPr>
        <w:t xml:space="preserve"> in month </w:t>
      </w:r>
      <w:r w:rsidR="00CF0A83" w:rsidRPr="00E65AA7">
        <w:rPr>
          <w:rFonts w:eastAsia="Times New Roman"/>
          <w:i/>
        </w:rPr>
        <w:t>t</w:t>
      </w:r>
      <w:r w:rsidR="00CF0A83" w:rsidRPr="00E65AA7">
        <w:rPr>
          <w:rFonts w:eastAsia="Times New Roman"/>
        </w:rPr>
        <w:t xml:space="preserve"> is positive (negative).</w:t>
      </w:r>
      <w:r w:rsidR="00155CA0">
        <w:rPr>
          <w:rFonts w:eastAsia="Times New Roman"/>
        </w:rPr>
        <w:t xml:space="preserve"> </w:t>
      </w:r>
      <w:r w:rsidR="003421DB" w:rsidRPr="003421DB">
        <w:rPr>
          <w:rFonts w:eastAsia="Times New Roman"/>
        </w:rPr>
        <w:t>We use H/H (L/L) to represent sentiment continuation in the High (Low) states, and H/L (L/H) to represent the transition in sentiment from High to Low (Low to High) states.</w:t>
      </w:r>
    </w:p>
    <w:p w14:paraId="0461FA32" w14:textId="47F35FCF" w:rsidR="003B6C8F" w:rsidRDefault="003421DB" w:rsidP="00C760BC">
      <w:pPr>
        <w:pStyle w:val="BodyText"/>
        <w:spacing w:line="480" w:lineRule="auto"/>
        <w:ind w:firstLine="720"/>
        <w:rPr>
          <w:noProof/>
        </w:rPr>
      </w:pPr>
      <w:r w:rsidRPr="003421DB">
        <w:rPr>
          <w:noProof/>
        </w:rPr>
        <w:t xml:space="preserve">Table </w:t>
      </w:r>
      <w:r w:rsidR="000B1687">
        <w:rPr>
          <w:noProof/>
        </w:rPr>
        <w:t>9</w:t>
      </w:r>
      <w:r w:rsidRPr="003421DB">
        <w:rPr>
          <w:noProof/>
        </w:rPr>
        <w:t xml:space="preserve"> reports the returns of volatility-sorted portfolios conditioned on </w:t>
      </w:r>
      <w:r w:rsidR="000B1687" w:rsidRPr="006D43D4">
        <w:rPr>
          <w:i/>
          <w:noProof/>
        </w:rPr>
        <w:t>long-run</w:t>
      </w:r>
      <w:r w:rsidR="000B1687">
        <w:rPr>
          <w:noProof/>
        </w:rPr>
        <w:t xml:space="preserve"> </w:t>
      </w:r>
      <w:r w:rsidRPr="003421DB">
        <w:rPr>
          <w:noProof/>
        </w:rPr>
        <w:t>sentiment dynamics with P10 (P1) representing the highest (lowest) volatility decile portfolio.</w:t>
      </w:r>
      <w:r w:rsidR="00F60D0B">
        <w:rPr>
          <w:noProof/>
        </w:rPr>
        <w:t xml:space="preserve"> </w:t>
      </w:r>
      <w:r w:rsidRPr="003421DB">
        <w:rPr>
          <w:noProof/>
        </w:rPr>
        <w:t xml:space="preserve">The results show a positive P10-P1 return spread of </w:t>
      </w:r>
      <w:r>
        <w:rPr>
          <w:noProof/>
        </w:rPr>
        <w:t>1.89</w:t>
      </w:r>
      <w:r w:rsidRPr="003421DB">
        <w:rPr>
          <w:noProof/>
        </w:rPr>
        <w:t xml:space="preserve">% per month in H/H state, suggesting that high volatility stocks remain overpriced compared with low volatility stocks when sentiment continues in a High state. However, the overpricing is corrected when sentiment transitions to the Low (H/L) state, where the P10-P1 spread turns negative, </w:t>
      </w:r>
      <w:r w:rsidR="006D43D4">
        <w:rPr>
          <w:noProof/>
        </w:rPr>
        <w:t>at</w:t>
      </w:r>
      <w:r w:rsidRPr="003421DB">
        <w:rPr>
          <w:noProof/>
        </w:rPr>
        <w:t xml:space="preserve"> -3.</w:t>
      </w:r>
      <w:r>
        <w:rPr>
          <w:noProof/>
        </w:rPr>
        <w:t>39</w:t>
      </w:r>
      <w:r w:rsidRPr="003421DB">
        <w:rPr>
          <w:noProof/>
        </w:rPr>
        <w:t xml:space="preserve">%. The </w:t>
      </w:r>
      <w:r w:rsidRPr="003421DB">
        <w:rPr>
          <w:i/>
          <w:noProof/>
        </w:rPr>
        <w:t>net</w:t>
      </w:r>
      <w:r w:rsidRPr="003421DB">
        <w:rPr>
          <w:noProof/>
        </w:rPr>
        <w:t xml:space="preserve"> effect is a negative P10-P1 spread following High sentiment states.</w:t>
      </w:r>
      <w:r w:rsidR="000B1687">
        <w:rPr>
          <w:noProof/>
        </w:rPr>
        <w:t xml:space="preserve"> </w:t>
      </w:r>
      <w:r w:rsidRPr="003421DB">
        <w:rPr>
          <w:noProof/>
        </w:rPr>
        <w:t>In contrast, high volatility stocks remain underpriced compared with low volatility stocks when sentiment continues in the Low state (L/L) with a negative P10-P1 spread of -1.</w:t>
      </w:r>
      <w:r w:rsidR="000B1687">
        <w:rPr>
          <w:noProof/>
        </w:rPr>
        <w:t>22</w:t>
      </w:r>
      <w:r w:rsidRPr="003421DB">
        <w:rPr>
          <w:noProof/>
        </w:rPr>
        <w:t xml:space="preserve">%. However the underpricing of high volatility stocks is corrected when sentiment transitions from High to Low (L/H), where P10-P1 turns positive </w:t>
      </w:r>
      <w:r w:rsidR="006D43D4">
        <w:rPr>
          <w:noProof/>
        </w:rPr>
        <w:t>at</w:t>
      </w:r>
      <w:r w:rsidRPr="003421DB">
        <w:rPr>
          <w:noProof/>
        </w:rPr>
        <w:t xml:space="preserve"> 3.</w:t>
      </w:r>
      <w:r w:rsidR="000B1687">
        <w:rPr>
          <w:noProof/>
        </w:rPr>
        <w:t>38</w:t>
      </w:r>
      <w:r w:rsidRPr="003421DB">
        <w:rPr>
          <w:noProof/>
        </w:rPr>
        <w:t>%.</w:t>
      </w:r>
      <w:r w:rsidR="000B1687" w:rsidRPr="000B1687">
        <w:rPr>
          <w:noProof/>
        </w:rPr>
        <w:t xml:space="preserve"> The </w:t>
      </w:r>
      <w:r w:rsidR="000B1687" w:rsidRPr="000B1687">
        <w:rPr>
          <w:i/>
          <w:noProof/>
        </w:rPr>
        <w:t>net</w:t>
      </w:r>
      <w:r w:rsidR="000B1687" w:rsidRPr="000B1687">
        <w:rPr>
          <w:noProof/>
        </w:rPr>
        <w:t xml:space="preserve"> effect is a </w:t>
      </w:r>
      <w:r w:rsidR="000B1687">
        <w:rPr>
          <w:noProof/>
        </w:rPr>
        <w:t xml:space="preserve">positive </w:t>
      </w:r>
      <w:r w:rsidR="000B1687" w:rsidRPr="000B1687">
        <w:rPr>
          <w:noProof/>
        </w:rPr>
        <w:t xml:space="preserve">P10-P1 spread following </w:t>
      </w:r>
      <w:r w:rsidR="000B1687">
        <w:rPr>
          <w:noProof/>
        </w:rPr>
        <w:t>Low</w:t>
      </w:r>
      <w:r w:rsidR="000B1687" w:rsidRPr="000B1687">
        <w:rPr>
          <w:noProof/>
        </w:rPr>
        <w:t xml:space="preserve"> sentiment states.</w:t>
      </w:r>
      <w:r w:rsidR="000B1687">
        <w:rPr>
          <w:noProof/>
        </w:rPr>
        <w:t xml:space="preserve"> </w:t>
      </w:r>
      <w:r w:rsidR="003B6C8F">
        <w:rPr>
          <w:noProof/>
        </w:rPr>
        <w:t xml:space="preserve">These results are </w:t>
      </w:r>
      <w:r w:rsidR="000B1687">
        <w:rPr>
          <w:noProof/>
        </w:rPr>
        <w:t xml:space="preserve">consistent </w:t>
      </w:r>
      <w:r w:rsidR="00E334DE">
        <w:rPr>
          <w:noProof/>
        </w:rPr>
        <w:t xml:space="preserve">with </w:t>
      </w:r>
      <w:r w:rsidR="002A14B8">
        <w:rPr>
          <w:noProof/>
        </w:rPr>
        <w:t xml:space="preserve">our first </w:t>
      </w:r>
      <w:r w:rsidR="003B6C8F">
        <w:rPr>
          <w:noProof/>
        </w:rPr>
        <w:lastRenderedPageBreak/>
        <w:t>hypothesis</w:t>
      </w:r>
      <w:r w:rsidR="002A14B8">
        <w:rPr>
          <w:noProof/>
        </w:rPr>
        <w:t xml:space="preserve">. </w:t>
      </w:r>
      <w:r w:rsidR="00E334DE">
        <w:rPr>
          <w:noProof/>
        </w:rPr>
        <w:t>Additionally, t</w:t>
      </w:r>
      <w:r w:rsidR="002A14B8">
        <w:rPr>
          <w:noProof/>
        </w:rPr>
        <w:t>he re</w:t>
      </w:r>
      <w:r w:rsidR="000B1687">
        <w:rPr>
          <w:noProof/>
        </w:rPr>
        <w:t xml:space="preserve">sults are also consistent with the view that sentiment is a contrarian </w:t>
      </w:r>
      <w:r w:rsidR="00B94A0F">
        <w:rPr>
          <w:noProof/>
        </w:rPr>
        <w:t>predictor of returns in the long-run</w:t>
      </w:r>
      <w:r w:rsidR="002A14B8">
        <w:rPr>
          <w:noProof/>
        </w:rPr>
        <w:t xml:space="preserve">. </w:t>
      </w:r>
    </w:p>
    <w:p w14:paraId="148B15BE" w14:textId="00709ECA" w:rsidR="005D7A35" w:rsidRPr="008026F8" w:rsidRDefault="005D7A35" w:rsidP="00C760BC">
      <w:pPr>
        <w:pStyle w:val="BodyText"/>
        <w:widowControl w:val="0"/>
        <w:spacing w:after="240" w:line="480" w:lineRule="auto"/>
        <w:rPr>
          <w:rFonts w:asciiTheme="minorHAnsi" w:eastAsia="Times New Roman" w:hAnsiTheme="minorHAnsi" w:cs="Arial"/>
          <w:b/>
          <w:sz w:val="28"/>
          <w:szCs w:val="28"/>
        </w:rPr>
      </w:pPr>
      <w:r w:rsidRPr="008026F8">
        <w:rPr>
          <w:rFonts w:asciiTheme="minorHAnsi" w:eastAsia="Times New Roman" w:hAnsiTheme="minorHAnsi" w:cs="Arial"/>
          <w:b/>
          <w:sz w:val="28"/>
          <w:szCs w:val="28"/>
        </w:rPr>
        <w:t>V</w:t>
      </w:r>
      <w:r w:rsidR="00D615B5">
        <w:rPr>
          <w:rFonts w:asciiTheme="minorHAnsi" w:eastAsia="Times New Roman" w:hAnsiTheme="minorHAnsi" w:cs="Arial"/>
          <w:b/>
          <w:sz w:val="28"/>
          <w:szCs w:val="28"/>
        </w:rPr>
        <w:t>I</w:t>
      </w:r>
      <w:r w:rsidRPr="008026F8">
        <w:rPr>
          <w:rFonts w:asciiTheme="minorHAnsi" w:eastAsia="Times New Roman" w:hAnsiTheme="minorHAnsi" w:cs="Arial"/>
          <w:b/>
          <w:sz w:val="28"/>
          <w:szCs w:val="28"/>
        </w:rPr>
        <w:t>. Conclusion</w:t>
      </w:r>
    </w:p>
    <w:p w14:paraId="36CDC5C8" w14:textId="51D9DEC9" w:rsidR="005D7A35" w:rsidRPr="00E65AA7" w:rsidRDefault="00D22527" w:rsidP="00C760BC">
      <w:pPr>
        <w:spacing w:line="480" w:lineRule="auto"/>
        <w:ind w:firstLine="720"/>
      </w:pPr>
      <w:hyperlink w:anchor="_ENREF_3" w:tooltip="Baker, 2006 #345" w:history="1">
        <w:r w:rsidR="006913E2" w:rsidRPr="00E65AA7">
          <w:fldChar w:fldCharType="begin">
            <w:fldData xml:space="preserve">PEVuZE5vdGU+PENpdGUgQXV0aG9yWWVhcj0iMSI+PEF1dGhvcj5CYWtlcjwvQXV0aG9yPjxZZWFy
PjIwMDY8L1llYXI+PFJlY051bT4zNDU8L1JlY051bT48RGlzcGxheVRleHQ+QmFrZXIgYW5kIFd1
cmdsZXIgKDIwMDYpPC9EaXNwbGF5VGV4dD48cmVjb3JkPjxyZWMtbnVtYmVyPjM0NTwvcmVjLW51
bWJlcj48Zm9yZWlnbi1rZXlzPjxrZXkgYXBwPSJFTiIgZGItaWQ9InZhZnpzOTlmcTBldzBzZWFz
ZHZ2dHh6dWZhdnhmd3h0eDJ0ciIgdGltZXN0YW1wPSIxNDQ5NzIyNTE4Ij4zNDU8L2tleT48L2Zv
cmVpZ24ta2V5cz48cmVmLXR5cGUgbmFtZT0iSm91cm5hbCBBcnRpY2xlIj4xNzwvcmVmLXR5cGU+
PGNvbnRyaWJ1dG9ycz48YXV0aG9ycz48YXV0aG9yPkJha2VyLCBNYWxjb2xtPC9hdXRob3I+PGF1
dGhvcj5XdXJnbGVyLCBKZWZmcmV5PC9hdXRob3I+PC9hdXRob3JzPjwvY29udHJpYnV0b3JzPjx0
aXRsZXM+PHRpdGxlPkludmVzdG9yIHNlbnRpbWVudCBhbmQgdGhlIGNyb3Nz4oCQc2VjdGlvbiBv
ZiBzdG9jayByZXR1cm5zPC90aXRsZT48c2Vjb25kYXJ5LXRpdGxlPlRoZSBKb3VybmFsIG9mIEZp
bmFuY2U8L3NlY29uZGFyeS10aXRsZT48L3RpdGxlcz48cGVyaW9kaWNhbD48ZnVsbC10aXRsZT5U
aGUgSm91cm5hbCBvZiBGaW5hbmNlPC9mdWxsLXRpdGxlPjwvcGVyaW9kaWNhbD48cGFnZXM+MTY0
NS0xNjgwPC9wYWdlcz48dm9sdW1lPjYxPC92b2x1bWU+PG51bWJlcj40PC9udW1iZXI+PGRhdGVz
Pjx5ZWFyPjIwMDY8L3llYXI+PC9kYXRlcz48aXNibj4xNTQwLTYyNjE8L2lzYm4+PHVybHM+PC91
cmxzPjwvcmVjb3JkPjwvQ2l0ZT48Q2l0ZSBBdXRob3JZZWFyPSIxIj48QXV0aG9yPkJha2VyPC9B
dXRob3I+PFllYXI+MjAwNjwvWWVhcj48UmVjTnVtPjM0NTwvUmVjTnVtPjxyZWNvcmQ+PHJlYy1u
dW1iZXI+MzQ1PC9yZWMtbnVtYmVyPjxmb3JlaWduLWtleXM+PGtleSBhcHA9IkVOIiBkYi1pZD0i
dmFmenM5OWZxMGV3MHNlYXNkdnZ0eHp1ZmF2eGZ3eHR4MnRyIiB0aW1lc3RhbXA9IjE0NDk3MjI1
MTgiPjM0NTwva2V5PjwvZm9yZWlnbi1rZXlzPjxyZWYtdHlwZSBuYW1lPSJKb3VybmFsIEFydGlj
bGUiPjE3PC9yZWYtdHlwZT48Y29udHJpYnV0b3JzPjxhdXRob3JzPjxhdXRob3I+QmFrZXIsIE1h
bGNvbG08L2F1dGhvcj48YXV0aG9yPld1cmdsZXIsIEplZmZyZXk8L2F1dGhvcj48L2F1dGhvcnM+
PC9jb250cmlidXRvcnM+PHRpdGxlcz48dGl0bGU+SW52ZXN0b3Igc2VudGltZW50IGFuZCB0aGUg
Y3Jvc3PigJBzZWN0aW9uIG9mIHN0b2NrIHJldHVybnM8L3RpdGxlPjxzZWNvbmRhcnktdGl0bGU+
VGhlIEpvdXJuYWwgb2YgRmluYW5jZTwvc2Vjb25kYXJ5LXRpdGxlPjwvdGl0bGVzPjxwZXJpb2Rp
Y2FsPjxmdWxsLXRpdGxlPlRoZSBKb3VybmFsIG9mIEZpbmFuY2U8L2Z1bGwtdGl0bGU+PC9wZXJp
b2RpY2FsPjxwYWdlcz4xNjQ1LTE2ODA8L3BhZ2VzPjx2b2x1bWU+NjE8L3ZvbHVtZT48bnVtYmVy
PjQ8L251bWJlcj48ZGF0ZXM+PHllYXI+MjAwNjwveWVhcj48L2RhdGVzPjxpc2JuPjE1NDAtNjI2
MTwvaXNibj48dXJscz48L3VybHM+PC9yZWNvcmQ+PC9DaXRlPjxDaXRlIEF1dGhvclllYXI9IjEi
PjxBdXRob3I+QmFrZXI8L0F1dGhvcj48WWVhcj4yMDA2PC9ZZWFyPjxSZWNOdW0+MzQ1PC9SZWNO
dW0+PHJlY29yZD48cmVjLW51bWJlcj4zNDU8L3JlYy1udW1iZXI+PGZvcmVpZ24ta2V5cz48a2V5
IGFwcD0iRU4iIGRiLWlkPSJ2YWZ6czk5ZnEwZXcwc2Vhc2R2dnR4enVmYXZ4Znd4dHgydHIiIHRp
bWVzdGFtcD0iMTQ0OTcyMjUxOCI+MzQ1PC9rZXk+PC9mb3JlaWduLWtleXM+PHJlZi10eXBlIG5h
bWU9IkpvdXJuYWwgQXJ0aWNsZSI+MTc8L3JlZi10eXBlPjxjb250cmlidXRvcnM+PGF1dGhvcnM+
PGF1dGhvcj5CYWtlciwgTWFsY29sbTwvYXV0aG9yPjxhdXRob3I+V3VyZ2xlciwgSmVmZnJleTwv
YXV0aG9yPjwvYXV0aG9ycz48L2NvbnRyaWJ1dG9ycz48dGl0bGVzPjx0aXRsZT5JbnZlc3RvciBz
ZW50aW1lbnQgYW5kIHRoZSBjcm9zc+KAkHNlY3Rpb24gb2Ygc3RvY2sgcmV0dXJuczwvdGl0bGU+
PHNlY29uZGFyeS10aXRsZT5UaGUgSm91cm5hbCBvZiBGaW5hbmNlPC9zZWNvbmRhcnktdGl0bGU+
PC90aXRsZXM+PHBlcmlvZGljYWw+PGZ1bGwtdGl0bGU+VGhlIEpvdXJuYWwgb2YgRmluYW5jZTwv
ZnVsbC10aXRsZT48L3BlcmlvZGljYWw+PHBhZ2VzPjE2NDUtMTY4MDwvcGFnZXM+PHZvbHVtZT42
MTwvdm9sdW1lPjxudW1iZXI+NDwvbnVtYmVyPjxkYXRlcz48eWVhcj4yMDA2PC95ZWFyPjwvZGF0
ZXM+PGlzYm4+MTU0MC02MjYxPC9pc2JuPjx1cmxzPjwvdXJscz48L3JlY29yZD48L0NpdGU+PENp
dGUgQXV0aG9yWWVhcj0iMSI+PEF1dGhvcj5CYWtlcjwvQXV0aG9yPjxZZWFyPjIwMDY8L1llYXI+
PFJlY051bT4zNDU8L1JlY051bT48cmVjb3JkPjxyZWMtbnVtYmVyPjM0NTwvcmVjLW51bWJlcj48
Zm9yZWlnbi1rZXlzPjxrZXkgYXBwPSJFTiIgZGItaWQ9InZhZnpzOTlmcTBldzBzZWFzZHZ2dHh6
dWZhdnhmd3h0eDJ0ciIgdGltZXN0YW1wPSIxNDQ5NzIyNTE4Ij4zNDU8L2tleT48L2ZvcmVpZ24t
a2V5cz48cmVmLXR5cGUgbmFtZT0iSm91cm5hbCBBcnRpY2xlIj4xNzwvcmVmLXR5cGU+PGNvbnRy
aWJ1dG9ycz48YXV0aG9ycz48YXV0aG9yPkJha2VyLCBNYWxjb2xtPC9hdXRob3I+PGF1dGhvcj5X
dXJnbGVyLCBKZWZmcmV5PC9hdXRob3I+PC9hdXRob3JzPjwvY29udHJpYnV0b3JzPjx0aXRsZXM+
PHRpdGxlPkludmVzdG9yIHNlbnRpbWVudCBhbmQgdGhlIGNyb3Nz4oCQc2VjdGlvbiBvZiBzdG9j
ayByZXR1cm5zPC90aXRsZT48c2Vjb25kYXJ5LXRpdGxlPlRoZSBKb3VybmFsIG9mIEZpbmFuY2U8
L3NlY29uZGFyeS10aXRsZT48L3RpdGxlcz48cGVyaW9kaWNhbD48ZnVsbC10aXRsZT5UaGUgSm91
cm5hbCBvZiBGaW5hbmNlPC9mdWxsLXRpdGxlPjwvcGVyaW9kaWNhbD48cGFnZXM+MTY0NS0xNjgw
PC9wYWdlcz48dm9sdW1lPjYxPC92b2x1bWU+PG51bWJlcj40PC9udW1iZXI+PGRhdGVzPjx5ZWFy
PjIwMDY8L3llYXI+PC9kYXRlcz48aXNibj4xNTQwLTYyNjE8L2lzYm4+PHVybHM+PC91cmxzPjwv
cmVjb3JkPjwvQ2l0ZT48Q2l0ZSBBdXRob3JZZWFyPSIxIj48QXV0aG9yPkJha2VyPC9BdXRob3I+
PFllYXI+MjAwNjwvWWVhcj48UmVjTnVtPjM0NTwvUmVjTnVtPjxyZWNvcmQ+PHJlYy1udW1iZXI+
MzQ1PC9yZWMtbnVtYmVyPjxmb3JlaWduLWtleXM+PGtleSBhcHA9IkVOIiBkYi1pZD0idmFmenM5
OWZxMGV3MHNlYXNkdnZ0eHp1ZmF2eGZ3eHR4MnRyIiB0aW1lc3RhbXA9IjE0NDk3MjI1MTgiPjM0
NTwva2V5PjwvZm9yZWlnbi1rZXlzPjxyZWYtdHlwZSBuYW1lPSJKb3VybmFsIEFydGljbGUiPjE3
PC9yZWYtdHlwZT48Y29udHJpYnV0b3JzPjxhdXRob3JzPjxhdXRob3I+QmFrZXIsIE1hbGNvbG08
L2F1dGhvcj48YXV0aG9yPld1cmdsZXIsIEplZmZyZXk8L2F1dGhvcj48L2F1dGhvcnM+PC9jb250
cmlidXRvcnM+PHRpdGxlcz48dGl0bGU+SW52ZXN0b3Igc2VudGltZW50IGFuZCB0aGUgY3Jvc3Pi
gJBzZWN0aW9uIG9mIHN0b2NrIHJldHVybnM8L3RpdGxlPjxzZWNvbmRhcnktdGl0bGU+VGhlIEpv
dXJuYWwgb2YgRmluYW5jZTwvc2Vjb25kYXJ5LXRpdGxlPjwvdGl0bGVzPjxwZXJpb2RpY2FsPjxm
dWxsLXRpdGxlPlRoZSBKb3VybmFsIG9mIEZpbmFuY2U8L2Z1bGwtdGl0bGU+PC9wZXJpb2RpY2Fs
PjxwYWdlcz4xNjQ1LTE2ODA8L3BhZ2VzPjx2b2x1bWU+NjE8L3ZvbHVtZT48bnVtYmVyPjQ8L251
bWJlcj48ZGF0ZXM+PHllYXI+MjAwNjwveWVhcj48L2RhdGVzPjxpc2JuPjE1NDAtNjI2MTwvaXNi
bj48dXJscz48L3VybHM+PC9yZWNvcmQ+PC9DaXRlPjxDaXRlIEF1dGhvclllYXI9IjEiPjxBdXRo
b3I+QmFrZXI8L0F1dGhvcj48WWVhcj4yMDA2PC9ZZWFyPjxSZWNOdW0+MzQ1PC9SZWNOdW0+PHJl
Y29yZD48cmVjLW51bWJlcj4zNDU8L3JlYy1udW1iZXI+PGZvcmVpZ24ta2V5cz48a2V5IGFwcD0i
RU4iIGRiLWlkPSJ2YWZ6czk5ZnEwZXcwc2Vhc2R2dnR4enVmYXZ4Znd4dHgydHIiIHRpbWVzdGFt
cD0iMTQ0OTcyMjUxOCI+MzQ1PC9rZXk+PC9mb3JlaWduLWtleXM+PHJlZi10eXBlIG5hbWU9Ikpv
dXJuYWwgQXJ0aWNsZSI+MTc8L3JlZi10eXBlPjxjb250cmlidXRvcnM+PGF1dGhvcnM+PGF1dGhv
cj5CYWtlciwgTWFsY29sbTwvYXV0aG9yPjxhdXRob3I+V3VyZ2xlciwgSmVmZnJleTwvYXV0aG9y
PjwvYXV0aG9ycz48L2NvbnRyaWJ1dG9ycz48dGl0bGVzPjx0aXRsZT5JbnZlc3RvciBzZW50aW1l
bnQgYW5kIHRoZSBjcm9zc+KAkHNlY3Rpb24gb2Ygc3RvY2sgcmV0dXJuczwvdGl0bGU+PHNlY29u
ZGFyeS10aXRsZT5UaGUgSm91cm5hbCBvZiBGaW5hbmNlPC9zZWNvbmRhcnktdGl0bGU+PC90aXRs
ZXM+PHBlcmlvZGljYWw+PGZ1bGwtdGl0bGU+VGhlIEpvdXJuYWwgb2YgRmluYW5jZTwvZnVsbC10
aXRsZT48L3BlcmlvZGljYWw+PHBhZ2VzPjE2NDUtMTY4MDwvcGFnZXM+PHZvbHVtZT42MTwvdm9s
dW1lPjxudW1iZXI+NDwvbnVtYmVyPjxkYXRlcz48eWVhcj4yMDA2PC95ZWFyPjwvZGF0ZXM+PGlz
Ym4+MTU0MC02MjYxPC9pc2JuPjx1cmxzPjwvdXJscz48L3JlY29yZD48L0NpdGU+PENpdGUgQXV0
aG9yWWVhcj0iMSI+PEF1dGhvcj5CYWtlcjwvQXV0aG9yPjxZZWFyPjIwMDY8L1llYXI+PFJlY051
bT4zNDU8L1JlY051bT48cmVjb3JkPjxyZWMtbnVtYmVyPjM0NTwvcmVjLW51bWJlcj48Zm9yZWln
bi1rZXlzPjxrZXkgYXBwPSJFTiIgZGItaWQ9InZhZnpzOTlmcTBldzBzZWFzZHZ2dHh6dWZhdnhm
d3h0eDJ0ciIgdGltZXN0YW1wPSIxNDQ5NzIyNTE4Ij4zNDU8L2tleT48L2ZvcmVpZ24ta2V5cz48
cmVmLXR5cGUgbmFtZT0iSm91cm5hbCBBcnRpY2xlIj4xNzwvcmVmLXR5cGU+PGNvbnRyaWJ1dG9y
cz48YXV0aG9ycz48YXV0aG9yPkJha2VyLCBNYWxjb2xtPC9hdXRob3I+PGF1dGhvcj5XdXJnbGVy
LCBKZWZmcmV5PC9hdXRob3I+PC9hdXRob3JzPjwvY29udHJpYnV0b3JzPjx0aXRsZXM+PHRpdGxl
PkludmVzdG9yIHNlbnRpbWVudCBhbmQgdGhlIGNyb3Nz4oCQc2VjdGlvbiBvZiBzdG9jayByZXR1
cm5zPC90aXRsZT48c2Vjb25kYXJ5LXRpdGxlPlRoZSBKb3VybmFsIG9mIEZpbmFuY2U8L3NlY29u
ZGFyeS10aXRsZT48L3RpdGxlcz48cGVyaW9kaWNhbD48ZnVsbC10aXRsZT5UaGUgSm91cm5hbCBv
ZiBGaW5hbmNlPC9mdWxsLXRpdGxlPjwvcGVyaW9kaWNhbD48cGFnZXM+MTY0NS0xNjgwPC9wYWdl
cz48dm9sdW1lPjYxPC92b2x1bWU+PG51bWJlcj40PC9udW1iZXI+PGRhdGVzPjx5ZWFyPjIwMDY8
L3llYXI+PC9kYXRlcz48aXNibj4xNTQwLTYyNjE8L2lzYm4+PHVybHM+PC91cmxzPjwvcmVjb3Jk
PjwvQ2l0ZT48Q2l0ZSBBdXRob3JZZWFyPSIxIj48QXV0aG9yPkJha2VyPC9BdXRob3I+PFllYXI+
MjAwNjwvWWVhcj48UmVjTnVtPjM0NTwvUmVjTnVtPjxyZWNvcmQ+PHJlYy1udW1iZXI+MzQ1PC9y
ZWMtbnVtYmVyPjxmb3JlaWduLWtleXM+PGtleSBhcHA9IkVOIiBkYi1pZD0idmFmenM5OWZxMGV3
MHNlYXNkdnZ0eHp1ZmF2eGZ3eHR4MnRyIiB0aW1lc3RhbXA9IjE0NDk3MjI1MTgiPjM0NTwva2V5
PjwvZm9yZWlnbi1rZXlzPjxyZWYtdHlwZSBuYW1lPSJKb3VybmFsIEFydGljbGUiPjE3PC9yZWYt
dHlwZT48Y29udHJpYnV0b3JzPjxhdXRob3JzPjxhdXRob3I+QmFrZXIsIE1hbGNvbG08L2F1dGhv
cj48YXV0aG9yPld1cmdsZXIsIEplZmZyZXk8L2F1dGhvcj48L2F1dGhvcnM+PC9jb250cmlidXRv
cnM+PHRpdGxlcz48dGl0bGU+SW52ZXN0b3Igc2VudGltZW50IGFuZCB0aGUgY3Jvc3PigJBzZWN0
aW9uIG9mIHN0b2NrIHJldHVybnM8L3RpdGxlPjxzZWNvbmRhcnktdGl0bGU+VGhlIEpvdXJuYWwg
b2YgRmluYW5jZTwvc2Vjb25kYXJ5LXRpdGxlPjwvdGl0bGVzPjxwZXJpb2RpY2FsPjxmdWxsLXRp
dGxlPlRoZSBKb3VybmFsIG9mIEZpbmFuY2U8L2Z1bGwtdGl0bGU+PC9wZXJpb2RpY2FsPjxwYWdl
cz4xNjQ1LTE2ODA8L3BhZ2VzPjx2b2x1bWU+NjE8L3ZvbHVtZT48bnVtYmVyPjQ8L251bWJlcj48
ZGF0ZXM+PHllYXI+MjAwNjwveWVhcj48L2RhdGVzPjxpc2JuPjE1NDAtNjI2MTwvaXNibj48dXJs
cz48L3VybHM+PC9yZWNvcmQ+PC9DaXRlPjwvRW5kTm90ZT5=
</w:fldData>
          </w:fldChar>
        </w:r>
        <w:r w:rsidR="006913E2">
          <w:instrText xml:space="preserve"> ADDIN EN.CITE </w:instrText>
        </w:r>
        <w:r w:rsidR="006913E2">
          <w:fldChar w:fldCharType="begin">
            <w:fldData xml:space="preserve">PEVuZE5vdGU+PENpdGUgQXV0aG9yWWVhcj0iMSI+PEF1dGhvcj5CYWtlcjwvQXV0aG9yPjxZZWFy
PjIwMDY8L1llYXI+PFJlY051bT4zNDU8L1JlY051bT48RGlzcGxheVRleHQ+QmFrZXIgYW5kIFd1
cmdsZXIgKDIwMDYpPC9EaXNwbGF5VGV4dD48cmVjb3JkPjxyZWMtbnVtYmVyPjM0NTwvcmVjLW51
bWJlcj48Zm9yZWlnbi1rZXlzPjxrZXkgYXBwPSJFTiIgZGItaWQ9InZhZnpzOTlmcTBldzBzZWFz
ZHZ2dHh6dWZhdnhmd3h0eDJ0ciIgdGltZXN0YW1wPSIxNDQ5NzIyNTE4Ij4zNDU8L2tleT48L2Zv
cmVpZ24ta2V5cz48cmVmLXR5cGUgbmFtZT0iSm91cm5hbCBBcnRpY2xlIj4xNzwvcmVmLXR5cGU+
PGNvbnRyaWJ1dG9ycz48YXV0aG9ycz48YXV0aG9yPkJha2VyLCBNYWxjb2xtPC9hdXRob3I+PGF1
dGhvcj5XdXJnbGVyLCBKZWZmcmV5PC9hdXRob3I+PC9hdXRob3JzPjwvY29udHJpYnV0b3JzPjx0
aXRsZXM+PHRpdGxlPkludmVzdG9yIHNlbnRpbWVudCBhbmQgdGhlIGNyb3Nz4oCQc2VjdGlvbiBv
ZiBzdG9jayByZXR1cm5zPC90aXRsZT48c2Vjb25kYXJ5LXRpdGxlPlRoZSBKb3VybmFsIG9mIEZp
bmFuY2U8L3NlY29uZGFyeS10aXRsZT48L3RpdGxlcz48cGVyaW9kaWNhbD48ZnVsbC10aXRsZT5U
aGUgSm91cm5hbCBvZiBGaW5hbmNlPC9mdWxsLXRpdGxlPjwvcGVyaW9kaWNhbD48cGFnZXM+MTY0
NS0xNjgwPC9wYWdlcz48dm9sdW1lPjYxPC92b2x1bWU+PG51bWJlcj40PC9udW1iZXI+PGRhdGVz
Pjx5ZWFyPjIwMDY8L3llYXI+PC9kYXRlcz48aXNibj4xNTQwLTYyNjE8L2lzYm4+PHVybHM+PC91
cmxzPjwvcmVjb3JkPjwvQ2l0ZT48Q2l0ZSBBdXRob3JZZWFyPSIxIj48QXV0aG9yPkJha2VyPC9B
dXRob3I+PFllYXI+MjAwNjwvWWVhcj48UmVjTnVtPjM0NTwvUmVjTnVtPjxyZWNvcmQ+PHJlYy1u
dW1iZXI+MzQ1PC9yZWMtbnVtYmVyPjxmb3JlaWduLWtleXM+PGtleSBhcHA9IkVOIiBkYi1pZD0i
dmFmenM5OWZxMGV3MHNlYXNkdnZ0eHp1ZmF2eGZ3eHR4MnRyIiB0aW1lc3RhbXA9IjE0NDk3MjI1
MTgiPjM0NTwva2V5PjwvZm9yZWlnbi1rZXlzPjxyZWYtdHlwZSBuYW1lPSJKb3VybmFsIEFydGlj
bGUiPjE3PC9yZWYtdHlwZT48Y29udHJpYnV0b3JzPjxhdXRob3JzPjxhdXRob3I+QmFrZXIsIE1h
bGNvbG08L2F1dGhvcj48YXV0aG9yPld1cmdsZXIsIEplZmZyZXk8L2F1dGhvcj48L2F1dGhvcnM+
PC9jb250cmlidXRvcnM+PHRpdGxlcz48dGl0bGU+SW52ZXN0b3Igc2VudGltZW50IGFuZCB0aGUg
Y3Jvc3PigJBzZWN0aW9uIG9mIHN0b2NrIHJldHVybnM8L3RpdGxlPjxzZWNvbmRhcnktdGl0bGU+
VGhlIEpvdXJuYWwgb2YgRmluYW5jZTwvc2Vjb25kYXJ5LXRpdGxlPjwvdGl0bGVzPjxwZXJpb2Rp
Y2FsPjxmdWxsLXRpdGxlPlRoZSBKb3VybmFsIG9mIEZpbmFuY2U8L2Z1bGwtdGl0bGU+PC9wZXJp
b2RpY2FsPjxwYWdlcz4xNjQ1LTE2ODA8L3BhZ2VzPjx2b2x1bWU+NjE8L3ZvbHVtZT48bnVtYmVy
PjQ8L251bWJlcj48ZGF0ZXM+PHllYXI+MjAwNjwveWVhcj48L2RhdGVzPjxpc2JuPjE1NDAtNjI2
MTwvaXNibj48dXJscz48L3VybHM+PC9yZWNvcmQ+PC9DaXRlPjxDaXRlIEF1dGhvclllYXI9IjEi
PjxBdXRob3I+QmFrZXI8L0F1dGhvcj48WWVhcj4yMDA2PC9ZZWFyPjxSZWNOdW0+MzQ1PC9SZWNO
dW0+PHJlY29yZD48cmVjLW51bWJlcj4zNDU8L3JlYy1udW1iZXI+PGZvcmVpZ24ta2V5cz48a2V5
IGFwcD0iRU4iIGRiLWlkPSJ2YWZ6czk5ZnEwZXcwc2Vhc2R2dnR4enVmYXZ4Znd4dHgydHIiIHRp
bWVzdGFtcD0iMTQ0OTcyMjUxOCI+MzQ1PC9rZXk+PC9mb3JlaWduLWtleXM+PHJlZi10eXBlIG5h
bWU9IkpvdXJuYWwgQXJ0aWNsZSI+MTc8L3JlZi10eXBlPjxjb250cmlidXRvcnM+PGF1dGhvcnM+
PGF1dGhvcj5CYWtlciwgTWFsY29sbTwvYXV0aG9yPjxhdXRob3I+V3VyZ2xlciwgSmVmZnJleTwv
YXV0aG9yPjwvYXV0aG9ycz48L2NvbnRyaWJ1dG9ycz48dGl0bGVzPjx0aXRsZT5JbnZlc3RvciBz
ZW50aW1lbnQgYW5kIHRoZSBjcm9zc+KAkHNlY3Rpb24gb2Ygc3RvY2sgcmV0dXJuczwvdGl0bGU+
PHNlY29uZGFyeS10aXRsZT5UaGUgSm91cm5hbCBvZiBGaW5hbmNlPC9zZWNvbmRhcnktdGl0bGU+
PC90aXRsZXM+PHBlcmlvZGljYWw+PGZ1bGwtdGl0bGU+VGhlIEpvdXJuYWwgb2YgRmluYW5jZTwv
ZnVsbC10aXRsZT48L3BlcmlvZGljYWw+PHBhZ2VzPjE2NDUtMTY4MDwvcGFnZXM+PHZvbHVtZT42
MTwvdm9sdW1lPjxudW1iZXI+NDwvbnVtYmVyPjxkYXRlcz48eWVhcj4yMDA2PC95ZWFyPjwvZGF0
ZXM+PGlzYm4+MTU0MC02MjYxPC9pc2JuPjx1cmxzPjwvdXJscz48L3JlY29yZD48L0NpdGU+PENp
dGUgQXV0aG9yWWVhcj0iMSI+PEF1dGhvcj5CYWtlcjwvQXV0aG9yPjxZZWFyPjIwMDY8L1llYXI+
PFJlY051bT4zNDU8L1JlY051bT48cmVjb3JkPjxyZWMtbnVtYmVyPjM0NTwvcmVjLW51bWJlcj48
Zm9yZWlnbi1rZXlzPjxrZXkgYXBwPSJFTiIgZGItaWQ9InZhZnpzOTlmcTBldzBzZWFzZHZ2dHh6
dWZhdnhmd3h0eDJ0ciIgdGltZXN0YW1wPSIxNDQ5NzIyNTE4Ij4zNDU8L2tleT48L2ZvcmVpZ24t
a2V5cz48cmVmLXR5cGUgbmFtZT0iSm91cm5hbCBBcnRpY2xlIj4xNzwvcmVmLXR5cGU+PGNvbnRy
aWJ1dG9ycz48YXV0aG9ycz48YXV0aG9yPkJha2VyLCBNYWxjb2xtPC9hdXRob3I+PGF1dGhvcj5X
dXJnbGVyLCBKZWZmcmV5PC9hdXRob3I+PC9hdXRob3JzPjwvY29udHJpYnV0b3JzPjx0aXRsZXM+
PHRpdGxlPkludmVzdG9yIHNlbnRpbWVudCBhbmQgdGhlIGNyb3Nz4oCQc2VjdGlvbiBvZiBzdG9j
ayByZXR1cm5zPC90aXRsZT48c2Vjb25kYXJ5LXRpdGxlPlRoZSBKb3VybmFsIG9mIEZpbmFuY2U8
L3NlY29uZGFyeS10aXRsZT48L3RpdGxlcz48cGVyaW9kaWNhbD48ZnVsbC10aXRsZT5UaGUgSm91
cm5hbCBvZiBGaW5hbmNlPC9mdWxsLXRpdGxlPjwvcGVyaW9kaWNhbD48cGFnZXM+MTY0NS0xNjgw
PC9wYWdlcz48dm9sdW1lPjYxPC92b2x1bWU+PG51bWJlcj40PC9udW1iZXI+PGRhdGVzPjx5ZWFy
PjIwMDY8L3llYXI+PC9kYXRlcz48aXNibj4xNTQwLTYyNjE8L2lzYm4+PHVybHM+PC91cmxzPjwv
cmVjb3JkPjwvQ2l0ZT48Q2l0ZSBBdXRob3JZZWFyPSIxIj48QXV0aG9yPkJha2VyPC9BdXRob3I+
PFllYXI+MjAwNjwvWWVhcj48UmVjTnVtPjM0NTwvUmVjTnVtPjxyZWNvcmQ+PHJlYy1udW1iZXI+
MzQ1PC9yZWMtbnVtYmVyPjxmb3JlaWduLWtleXM+PGtleSBhcHA9IkVOIiBkYi1pZD0idmFmenM5
OWZxMGV3MHNlYXNkdnZ0eHp1ZmF2eGZ3eHR4MnRyIiB0aW1lc3RhbXA9IjE0NDk3MjI1MTgiPjM0
NTwva2V5PjwvZm9yZWlnbi1rZXlzPjxyZWYtdHlwZSBuYW1lPSJKb3VybmFsIEFydGljbGUiPjE3
PC9yZWYtdHlwZT48Y29udHJpYnV0b3JzPjxhdXRob3JzPjxhdXRob3I+QmFrZXIsIE1hbGNvbG08
L2F1dGhvcj48YXV0aG9yPld1cmdsZXIsIEplZmZyZXk8L2F1dGhvcj48L2F1dGhvcnM+PC9jb250
cmlidXRvcnM+PHRpdGxlcz48dGl0bGU+SW52ZXN0b3Igc2VudGltZW50IGFuZCB0aGUgY3Jvc3Pi
gJBzZWN0aW9uIG9mIHN0b2NrIHJldHVybnM8L3RpdGxlPjxzZWNvbmRhcnktdGl0bGU+VGhlIEpv
dXJuYWwgb2YgRmluYW5jZTwvc2Vjb25kYXJ5LXRpdGxlPjwvdGl0bGVzPjxwZXJpb2RpY2FsPjxm
dWxsLXRpdGxlPlRoZSBKb3VybmFsIG9mIEZpbmFuY2U8L2Z1bGwtdGl0bGU+PC9wZXJpb2RpY2Fs
PjxwYWdlcz4xNjQ1LTE2ODA8L3BhZ2VzPjx2b2x1bWU+NjE8L3ZvbHVtZT48bnVtYmVyPjQ8L251
bWJlcj48ZGF0ZXM+PHllYXI+MjAwNjwveWVhcj48L2RhdGVzPjxpc2JuPjE1NDAtNjI2MTwvaXNi
bj48dXJscz48L3VybHM+PC9yZWNvcmQ+PC9DaXRlPjxDaXRlIEF1dGhvclllYXI9IjEiPjxBdXRo
b3I+QmFrZXI8L0F1dGhvcj48WWVhcj4yMDA2PC9ZZWFyPjxSZWNOdW0+MzQ1PC9SZWNOdW0+PHJl
Y29yZD48cmVjLW51bWJlcj4zNDU8L3JlYy1udW1iZXI+PGZvcmVpZ24ta2V5cz48a2V5IGFwcD0i
RU4iIGRiLWlkPSJ2YWZ6czk5ZnEwZXcwc2Vhc2R2dnR4enVmYXZ4Znd4dHgydHIiIHRpbWVzdGFt
cD0iMTQ0OTcyMjUxOCI+MzQ1PC9rZXk+PC9mb3JlaWduLWtleXM+PHJlZi10eXBlIG5hbWU9Ikpv
dXJuYWwgQXJ0aWNsZSI+MTc8L3JlZi10eXBlPjxjb250cmlidXRvcnM+PGF1dGhvcnM+PGF1dGhv
cj5CYWtlciwgTWFsY29sbTwvYXV0aG9yPjxhdXRob3I+V3VyZ2xlciwgSmVmZnJleTwvYXV0aG9y
PjwvYXV0aG9ycz48L2NvbnRyaWJ1dG9ycz48dGl0bGVzPjx0aXRsZT5JbnZlc3RvciBzZW50aW1l
bnQgYW5kIHRoZSBjcm9zc+KAkHNlY3Rpb24gb2Ygc3RvY2sgcmV0dXJuczwvdGl0bGU+PHNlY29u
ZGFyeS10aXRsZT5UaGUgSm91cm5hbCBvZiBGaW5hbmNlPC9zZWNvbmRhcnktdGl0bGU+PC90aXRs
ZXM+PHBlcmlvZGljYWw+PGZ1bGwtdGl0bGU+VGhlIEpvdXJuYWwgb2YgRmluYW5jZTwvZnVsbC10
aXRsZT48L3BlcmlvZGljYWw+PHBhZ2VzPjE2NDUtMTY4MDwvcGFnZXM+PHZvbHVtZT42MTwvdm9s
dW1lPjxudW1iZXI+NDwvbnVtYmVyPjxkYXRlcz48eWVhcj4yMDA2PC95ZWFyPjwvZGF0ZXM+PGlz
Ym4+MTU0MC02MjYxPC9pc2JuPjx1cmxzPjwvdXJscz48L3JlY29yZD48L0NpdGU+PENpdGUgQXV0
aG9yWWVhcj0iMSI+PEF1dGhvcj5CYWtlcjwvQXV0aG9yPjxZZWFyPjIwMDY8L1llYXI+PFJlY051
bT4zNDU8L1JlY051bT48cmVjb3JkPjxyZWMtbnVtYmVyPjM0NTwvcmVjLW51bWJlcj48Zm9yZWln
bi1rZXlzPjxrZXkgYXBwPSJFTiIgZGItaWQ9InZhZnpzOTlmcTBldzBzZWFzZHZ2dHh6dWZhdnhm
d3h0eDJ0ciIgdGltZXN0YW1wPSIxNDQ5NzIyNTE4Ij4zNDU8L2tleT48L2ZvcmVpZ24ta2V5cz48
cmVmLXR5cGUgbmFtZT0iSm91cm5hbCBBcnRpY2xlIj4xNzwvcmVmLXR5cGU+PGNvbnRyaWJ1dG9y
cz48YXV0aG9ycz48YXV0aG9yPkJha2VyLCBNYWxjb2xtPC9hdXRob3I+PGF1dGhvcj5XdXJnbGVy
LCBKZWZmcmV5PC9hdXRob3I+PC9hdXRob3JzPjwvY29udHJpYnV0b3JzPjx0aXRsZXM+PHRpdGxl
PkludmVzdG9yIHNlbnRpbWVudCBhbmQgdGhlIGNyb3Nz4oCQc2VjdGlvbiBvZiBzdG9jayByZXR1
cm5zPC90aXRsZT48c2Vjb25kYXJ5LXRpdGxlPlRoZSBKb3VybmFsIG9mIEZpbmFuY2U8L3NlY29u
ZGFyeS10aXRsZT48L3RpdGxlcz48cGVyaW9kaWNhbD48ZnVsbC10aXRsZT5UaGUgSm91cm5hbCBv
ZiBGaW5hbmNlPC9mdWxsLXRpdGxlPjwvcGVyaW9kaWNhbD48cGFnZXM+MTY0NS0xNjgwPC9wYWdl
cz48dm9sdW1lPjYxPC92b2x1bWU+PG51bWJlcj40PC9udW1iZXI+PGRhdGVzPjx5ZWFyPjIwMDY8
L3llYXI+PC9kYXRlcz48aXNibj4xNTQwLTYyNjE8L2lzYm4+PHVybHM+PC91cmxzPjwvcmVjb3Jk
PjwvQ2l0ZT48Q2l0ZSBBdXRob3JZZWFyPSIxIj48QXV0aG9yPkJha2VyPC9BdXRob3I+PFllYXI+
MjAwNjwvWWVhcj48UmVjTnVtPjM0NTwvUmVjTnVtPjxyZWNvcmQ+PHJlYy1udW1iZXI+MzQ1PC9y
ZWMtbnVtYmVyPjxmb3JlaWduLWtleXM+PGtleSBhcHA9IkVOIiBkYi1pZD0idmFmenM5OWZxMGV3
MHNlYXNkdnZ0eHp1ZmF2eGZ3eHR4MnRyIiB0aW1lc3RhbXA9IjE0NDk3MjI1MTgiPjM0NTwva2V5
PjwvZm9yZWlnbi1rZXlzPjxyZWYtdHlwZSBuYW1lPSJKb3VybmFsIEFydGljbGUiPjE3PC9yZWYt
dHlwZT48Y29udHJpYnV0b3JzPjxhdXRob3JzPjxhdXRob3I+QmFrZXIsIE1hbGNvbG08L2F1dGhv
cj48YXV0aG9yPld1cmdsZXIsIEplZmZyZXk8L2F1dGhvcj48L2F1dGhvcnM+PC9jb250cmlidXRv
cnM+PHRpdGxlcz48dGl0bGU+SW52ZXN0b3Igc2VudGltZW50IGFuZCB0aGUgY3Jvc3PigJBzZWN0
aW9uIG9mIHN0b2NrIHJldHVybnM8L3RpdGxlPjxzZWNvbmRhcnktdGl0bGU+VGhlIEpvdXJuYWwg
b2YgRmluYW5jZTwvc2Vjb25kYXJ5LXRpdGxlPjwvdGl0bGVzPjxwZXJpb2RpY2FsPjxmdWxsLXRp
dGxlPlRoZSBKb3VybmFsIG9mIEZpbmFuY2U8L2Z1bGwtdGl0bGU+PC9wZXJpb2RpY2FsPjxwYWdl
cz4xNjQ1LTE2ODA8L3BhZ2VzPjx2b2x1bWU+NjE8L3ZvbHVtZT48bnVtYmVyPjQ8L251bWJlcj48
ZGF0ZXM+PHllYXI+MjAwNjwveWVhcj48L2RhdGVzPjxpc2JuPjE1NDAtNjI2MTwvaXNibj48dXJs
cz48L3VybHM+PC9yZWNvcmQ+PC9DaXRlPjwvRW5kTm90ZT5=
</w:fldData>
          </w:fldChar>
        </w:r>
        <w:r w:rsidR="006913E2">
          <w:instrText xml:space="preserve"> ADDIN EN.CITE.DATA </w:instrText>
        </w:r>
        <w:r w:rsidR="006913E2">
          <w:fldChar w:fldCharType="end"/>
        </w:r>
        <w:r w:rsidR="006913E2" w:rsidRPr="00E65AA7">
          <w:fldChar w:fldCharType="separate"/>
        </w:r>
        <w:r w:rsidR="006913E2">
          <w:rPr>
            <w:noProof/>
          </w:rPr>
          <w:t>Baker and Wurgler (2006)</w:t>
        </w:r>
        <w:r w:rsidR="006913E2" w:rsidRPr="00E65AA7">
          <w:fldChar w:fldCharType="end"/>
        </w:r>
      </w:hyperlink>
      <w:r w:rsidR="005D7A35" w:rsidRPr="00E65AA7">
        <w:t xml:space="preserve"> present evidence that the cross-section of expected stock returns is conditioned by investor sentiment. </w:t>
      </w:r>
      <w:proofErr w:type="gramStart"/>
      <w:r w:rsidR="005D7A35" w:rsidRPr="00E65AA7">
        <w:t>In particular, they</w:t>
      </w:r>
      <w:proofErr w:type="gramEnd"/>
      <w:r w:rsidR="005D7A35" w:rsidRPr="00E65AA7">
        <w:t xml:space="preserve"> find that hard to value and difficult to arbitrage stocks earn relatively lower (higher) returns following high (low) sentiment periods, suggesting that hard to value and difficult to arbitrage stocks are relatively overpriced (</w:t>
      </w:r>
      <w:proofErr w:type="spellStart"/>
      <w:r w:rsidR="005D7A35" w:rsidRPr="00E65AA7">
        <w:t>underpriced</w:t>
      </w:r>
      <w:proofErr w:type="spellEnd"/>
      <w:r w:rsidR="005D7A35" w:rsidRPr="00E65AA7">
        <w:t xml:space="preserve">) in high (low) sentiment periods. </w:t>
      </w:r>
    </w:p>
    <w:p w14:paraId="0FBDE4CA" w14:textId="0D9AD02C" w:rsidR="00A349CC" w:rsidRPr="00A349CC" w:rsidRDefault="005D7A35" w:rsidP="00A349CC">
      <w:pPr>
        <w:spacing w:line="480" w:lineRule="auto"/>
        <w:ind w:firstLine="720"/>
      </w:pPr>
      <w:r w:rsidRPr="00E65AA7">
        <w:t xml:space="preserve">We extend Baker and </w:t>
      </w:r>
      <w:proofErr w:type="spellStart"/>
      <w:r w:rsidRPr="00E65AA7">
        <w:t>Wurgler</w:t>
      </w:r>
      <w:r w:rsidR="008D5A2B">
        <w:t>’s</w:t>
      </w:r>
      <w:proofErr w:type="spellEnd"/>
      <w:r w:rsidR="00155CA0">
        <w:t xml:space="preserve"> </w:t>
      </w:r>
      <w:r w:rsidRPr="00E65AA7">
        <w:t>(2006</w:t>
      </w:r>
      <w:r w:rsidR="00367A42">
        <w:t>, 2007</w:t>
      </w:r>
      <w:r w:rsidRPr="00E65AA7">
        <w:t xml:space="preserve">) </w:t>
      </w:r>
      <w:r w:rsidR="008D5A2B">
        <w:t xml:space="preserve">findings </w:t>
      </w:r>
      <w:r w:rsidRPr="00E65AA7">
        <w:t xml:space="preserve">by conditioning the cross-section of expected stock returns on investor sentiment dynamics. </w:t>
      </w:r>
      <w:r w:rsidR="00AF6B3E">
        <w:t>W</w:t>
      </w:r>
      <w:r w:rsidR="00AF6B3E" w:rsidRPr="00AF6B3E">
        <w:t xml:space="preserve">e </w:t>
      </w:r>
      <w:r w:rsidR="00037FEC">
        <w:t>show that the mispricing of hard to value and hard to arbitrage stocks relative to easy to value and easy to arbitrage stocks worsens with sentiment continuation</w:t>
      </w:r>
      <w:r w:rsidR="00D41050">
        <w:t>s</w:t>
      </w:r>
      <w:r w:rsidR="00037FEC">
        <w:t xml:space="preserve"> but is corrected with sentiment transitions</w:t>
      </w:r>
      <w:r w:rsidR="00D01BD1">
        <w:t>,</w:t>
      </w:r>
      <w:r w:rsidR="00037FEC">
        <w:t xml:space="preserve"> </w:t>
      </w:r>
      <w:r w:rsidR="009E0E72">
        <w:t>consistent with the</w:t>
      </w:r>
      <w:r w:rsidR="00037FEC">
        <w:t xml:space="preserve"> view that the mispricing of these stocks is sentiment-driven</w:t>
      </w:r>
      <w:r w:rsidR="00AF6B3E" w:rsidRPr="00AF6B3E">
        <w:t xml:space="preserve">. </w:t>
      </w:r>
      <w:r w:rsidR="00265EAD" w:rsidRPr="00265EAD">
        <w:t>We show that the unconditional contrarian return predictability of sentiment is mainly due to the returns of stocks in sentiment transitions</w:t>
      </w:r>
      <w:r w:rsidR="00265EAD">
        <w:t>. Our</w:t>
      </w:r>
      <w:r w:rsidR="00AF6B3E" w:rsidRPr="00AF6B3E">
        <w:t xml:space="preserve"> results also </w:t>
      </w:r>
      <w:r w:rsidR="00265EAD">
        <w:t>suggest</w:t>
      </w:r>
      <w:r w:rsidR="00AF6B3E" w:rsidRPr="00AF6B3E">
        <w:t xml:space="preserve"> that </w:t>
      </w:r>
      <w:r w:rsidR="00265EAD" w:rsidRPr="00265EAD">
        <w:rPr>
          <w:i/>
        </w:rPr>
        <w:t>ex post</w:t>
      </w:r>
      <w:r w:rsidR="008D5A2B">
        <w:t xml:space="preserve">, </w:t>
      </w:r>
      <w:r w:rsidR="00AF6B3E" w:rsidRPr="00AF6B3E">
        <w:t xml:space="preserve">sentiment is </w:t>
      </w:r>
      <w:r w:rsidR="00265EAD">
        <w:t xml:space="preserve">a </w:t>
      </w:r>
      <w:r w:rsidR="00AF6B3E" w:rsidRPr="00AF6B3E">
        <w:t xml:space="preserve">momentum predictor when subsequent sentiment continues in the same state </w:t>
      </w:r>
      <w:r w:rsidR="00265EAD">
        <w:t>and a contrarian predictor when sentiment transitions to a different state, which</w:t>
      </w:r>
      <w:r w:rsidR="00AF6B3E" w:rsidRPr="00AF6B3E">
        <w:t xml:space="preserve"> highlights noise trader risk and the difficulty of trading on sentiment-induced mispricing in the short-run.</w:t>
      </w:r>
      <w:r w:rsidR="00A349CC" w:rsidRPr="00A349CC">
        <w:t xml:space="preserve"> </w:t>
      </w:r>
    </w:p>
    <w:p w14:paraId="0EBB486D" w14:textId="6FD414D9" w:rsidR="00820635" w:rsidRDefault="008D5A2B" w:rsidP="00C02DF4">
      <w:pPr>
        <w:spacing w:line="480" w:lineRule="auto"/>
        <w:ind w:firstLine="720"/>
      </w:pPr>
      <w:r>
        <w:t xml:space="preserve">In as </w:t>
      </w:r>
      <w:r>
        <w:t>much as high MAX stocks are hard to value and difficult to arbitrage, w</w:t>
      </w:r>
      <w:r w:rsidR="00AF6B3E" w:rsidRPr="00AF6B3E">
        <w:t>e show th</w:t>
      </w:r>
      <w:r w:rsidR="00D01BD1">
        <w:t>at the MAX effect is conditioned by sentiment dynamics</w:t>
      </w:r>
      <w:r w:rsidR="009E0E72">
        <w:t>,</w:t>
      </w:r>
      <w:r w:rsidR="003E032C" w:rsidRPr="003E032C">
        <w:t xml:space="preserve"> providing further support to the view tha</w:t>
      </w:r>
      <w:r w:rsidR="009E0E72">
        <w:t>t the MAX effect is a sentiment-</w:t>
      </w:r>
      <w:r w:rsidR="003E032C" w:rsidRPr="003E032C">
        <w:t>driven mispricing</w:t>
      </w:r>
      <w:r w:rsidR="00AF6B3E" w:rsidRPr="00AF6B3E">
        <w:t xml:space="preserve">. </w:t>
      </w:r>
      <w:r w:rsidR="003E032C" w:rsidRPr="003E032C">
        <w:t xml:space="preserve">Prior studies </w:t>
      </w:r>
      <w:r>
        <w:t>find</w:t>
      </w:r>
      <w:r w:rsidR="003E032C" w:rsidRPr="003E032C">
        <w:t xml:space="preserve"> that the </w:t>
      </w:r>
      <w:r w:rsidR="003E032C">
        <w:t xml:space="preserve">negative </w:t>
      </w:r>
      <w:r w:rsidR="003E032C" w:rsidRPr="003E032C">
        <w:t xml:space="preserve">MAX effect is non-existent following Low sentiment states. </w:t>
      </w:r>
      <w:r>
        <w:t>In contrast</w:t>
      </w:r>
      <w:r w:rsidR="009E0E72">
        <w:t>,</w:t>
      </w:r>
      <w:r>
        <w:t xml:space="preserve"> w</w:t>
      </w:r>
      <w:r w:rsidR="00D01BD1" w:rsidRPr="00D01BD1">
        <w:t xml:space="preserve">e </w:t>
      </w:r>
      <w:r w:rsidR="00D41050">
        <w:t xml:space="preserve">present new evidence </w:t>
      </w:r>
      <w:r w:rsidR="003E032C">
        <w:t>that the MAX effect is negative</w:t>
      </w:r>
      <w:r w:rsidR="00D01BD1" w:rsidRPr="00D01BD1">
        <w:t xml:space="preserve"> when sentiment transitions from a High to a Low state or when sentiment continues to be Low</w:t>
      </w:r>
      <w:r w:rsidR="003E032C">
        <w:t xml:space="preserve">; but it is positive </w:t>
      </w:r>
      <w:r w:rsidR="00D01BD1" w:rsidRPr="00D01BD1">
        <w:t xml:space="preserve">when sentiment continues to be High or when it transitions from a Low to a High state. </w:t>
      </w:r>
      <w:r w:rsidR="003E032C">
        <w:t xml:space="preserve">Our results </w:t>
      </w:r>
      <w:r w:rsidR="00D34DB1">
        <w:t xml:space="preserve">indicate </w:t>
      </w:r>
      <w:r w:rsidR="00D01BD1" w:rsidRPr="00D01BD1">
        <w:t xml:space="preserve">that </w:t>
      </w:r>
      <w:r w:rsidR="00B2659A">
        <w:t xml:space="preserve">the </w:t>
      </w:r>
      <w:r w:rsidR="00D01BD1" w:rsidRPr="00D01BD1">
        <w:lastRenderedPageBreak/>
        <w:t xml:space="preserve">absence </w:t>
      </w:r>
      <w:r w:rsidR="003E032C">
        <w:t xml:space="preserve">of a negative MAX effect following Low sentiment states </w:t>
      </w:r>
      <w:r w:rsidR="00D01BD1" w:rsidRPr="00D01BD1">
        <w:t>is due to the completely offsetting negative and positive MAX effects when sentiment, respectively continues in a Low state or transitions from a High to a Low state.</w:t>
      </w:r>
      <w:r w:rsidR="00CE28A9">
        <w:t xml:space="preserve"> </w:t>
      </w:r>
      <w:r w:rsidR="00F11496">
        <w:t xml:space="preserve">Overall, </w:t>
      </w:r>
      <w:r w:rsidR="00D34DB1">
        <w:t>our</w:t>
      </w:r>
      <w:r w:rsidR="00F11496">
        <w:t xml:space="preserve"> results suggest that a better understanding of </w:t>
      </w:r>
      <w:r w:rsidR="00C02DF4">
        <w:t xml:space="preserve">the drivers of investor </w:t>
      </w:r>
      <w:r w:rsidR="00F11496">
        <w:t xml:space="preserve">sentiment dynamics in global financial markets is a </w:t>
      </w:r>
      <w:r w:rsidR="00C02DF4">
        <w:t>productive</w:t>
      </w:r>
      <w:r w:rsidR="00F11496" w:rsidRPr="00F11496">
        <w:t xml:space="preserve"> avenue for future work</w:t>
      </w:r>
      <w:r w:rsidR="00F11496">
        <w:t>.</w:t>
      </w:r>
    </w:p>
    <w:p w14:paraId="58FBA218" w14:textId="63875F08" w:rsidR="00A349CC" w:rsidRDefault="00A349CC" w:rsidP="00A349CC">
      <w:pPr>
        <w:widowControl w:val="0"/>
        <w:spacing w:line="480" w:lineRule="auto"/>
        <w:rPr>
          <w:noProof/>
        </w:rPr>
      </w:pPr>
    </w:p>
    <w:p w14:paraId="10B74752" w14:textId="786BF55A" w:rsidR="00491CEC" w:rsidRDefault="00491CEC" w:rsidP="00491CEC">
      <w:pPr>
        <w:widowControl w:val="0"/>
        <w:spacing w:line="480" w:lineRule="auto"/>
        <w:ind w:firstLine="720"/>
        <w:rPr>
          <w:noProof/>
        </w:rPr>
      </w:pPr>
    </w:p>
    <w:p w14:paraId="3B6BDC6A" w14:textId="77777777" w:rsidR="00820635" w:rsidRDefault="00820635">
      <w:pPr>
        <w:spacing w:after="120"/>
        <w:rPr>
          <w:noProof/>
        </w:rPr>
      </w:pPr>
      <w:r>
        <w:rPr>
          <w:noProof/>
        </w:rPr>
        <w:br w:type="page"/>
      </w:r>
    </w:p>
    <w:bookmarkEnd w:id="1"/>
    <w:p w14:paraId="1A50E10A" w14:textId="77777777" w:rsidR="006913E2" w:rsidRPr="006913E2" w:rsidRDefault="00122F66" w:rsidP="006913E2">
      <w:pPr>
        <w:pStyle w:val="EndNoteBibliographyTitle"/>
        <w:rPr>
          <w:b/>
          <w:sz w:val="32"/>
        </w:rPr>
      </w:pPr>
      <w:r w:rsidRPr="00E65AA7">
        <w:lastRenderedPageBreak/>
        <w:fldChar w:fldCharType="begin"/>
      </w:r>
      <w:r w:rsidRPr="00E65AA7">
        <w:instrText xml:space="preserve"> ADDIN EN.REFLIST </w:instrText>
      </w:r>
      <w:r w:rsidRPr="00E65AA7">
        <w:fldChar w:fldCharType="separate"/>
      </w:r>
      <w:r w:rsidR="00C6621C" w:rsidRPr="00E65AA7">
        <w:fldChar w:fldCharType="begin"/>
      </w:r>
      <w:r w:rsidR="00C6621C" w:rsidRPr="00E65AA7">
        <w:instrText xml:space="preserve"> ADDIN EN.REFLIST </w:instrText>
      </w:r>
      <w:r w:rsidR="00C6621C" w:rsidRPr="00E65AA7">
        <w:fldChar w:fldCharType="separate"/>
      </w:r>
      <w:r w:rsidR="006913E2" w:rsidRPr="006913E2">
        <w:rPr>
          <w:b/>
          <w:sz w:val="32"/>
        </w:rPr>
        <w:t>References</w:t>
      </w:r>
    </w:p>
    <w:p w14:paraId="4CA50E99" w14:textId="77777777" w:rsidR="006913E2" w:rsidRPr="006913E2" w:rsidRDefault="006913E2" w:rsidP="006913E2">
      <w:pPr>
        <w:pStyle w:val="EndNoteBibliographyTitle"/>
        <w:rPr>
          <w:b/>
          <w:sz w:val="32"/>
        </w:rPr>
      </w:pPr>
    </w:p>
    <w:p w14:paraId="18B45BF7" w14:textId="77777777" w:rsidR="006913E2" w:rsidRPr="006913E2" w:rsidRDefault="006913E2" w:rsidP="006913E2">
      <w:pPr>
        <w:pStyle w:val="EndNoteBibliography"/>
        <w:ind w:left="720" w:hanging="720"/>
      </w:pPr>
      <w:bookmarkStart w:id="3" w:name="_ENREF_1"/>
      <w:r w:rsidRPr="006913E2">
        <w:t xml:space="preserve">Avramov, D., Chordia, T., Jostova, G., &amp; Philipov, A. (2013). Anomalies and financial distress. </w:t>
      </w:r>
      <w:r w:rsidRPr="006913E2">
        <w:rPr>
          <w:i/>
        </w:rPr>
        <w:t>Journal of Financial Economics, 108</w:t>
      </w:r>
      <w:r w:rsidRPr="006913E2">
        <w:t>, 139-159.</w:t>
      </w:r>
      <w:bookmarkEnd w:id="3"/>
    </w:p>
    <w:p w14:paraId="20EDB195" w14:textId="77777777" w:rsidR="006913E2" w:rsidRPr="006913E2" w:rsidRDefault="006913E2" w:rsidP="006913E2">
      <w:pPr>
        <w:pStyle w:val="EndNoteBibliography"/>
        <w:ind w:left="720" w:hanging="720"/>
      </w:pPr>
      <w:bookmarkStart w:id="4" w:name="_ENREF_2"/>
      <w:r w:rsidRPr="006913E2">
        <w:t xml:space="preserve">Baker, M., &amp; Stein, J. C. (2004). Market liquidity as a sentiment indicator. </w:t>
      </w:r>
      <w:r w:rsidRPr="006913E2">
        <w:rPr>
          <w:i/>
        </w:rPr>
        <w:t>Journal of Financial Markets, 7</w:t>
      </w:r>
      <w:r w:rsidRPr="006913E2">
        <w:t>, 271-299.</w:t>
      </w:r>
      <w:bookmarkEnd w:id="4"/>
    </w:p>
    <w:p w14:paraId="0F0F31AA" w14:textId="77777777" w:rsidR="006913E2" w:rsidRPr="006913E2" w:rsidRDefault="006913E2" w:rsidP="006913E2">
      <w:pPr>
        <w:pStyle w:val="EndNoteBibliography"/>
        <w:ind w:left="720" w:hanging="720"/>
      </w:pPr>
      <w:bookmarkStart w:id="5" w:name="_ENREF_3"/>
      <w:r w:rsidRPr="006913E2">
        <w:rPr>
          <w:rFonts w:hint="eastAsia"/>
        </w:rPr>
        <w:t>Baker, M., &amp; Wurgler, J. (2006). Investor sentiment and the cross</w:t>
      </w:r>
      <w:r w:rsidRPr="006913E2">
        <w:rPr>
          <w:rFonts w:hint="eastAsia"/>
        </w:rPr>
        <w:t>‐</w:t>
      </w:r>
      <w:r w:rsidRPr="006913E2">
        <w:rPr>
          <w:rFonts w:hint="eastAsia"/>
        </w:rPr>
        <w:t xml:space="preserve">section of stock returns. </w:t>
      </w:r>
      <w:r w:rsidRPr="006913E2">
        <w:rPr>
          <w:rFonts w:hint="eastAsia"/>
          <w:i/>
        </w:rPr>
        <w:t>The Journal of Finance, 61</w:t>
      </w:r>
      <w:r w:rsidRPr="006913E2">
        <w:rPr>
          <w:rFonts w:hint="eastAsia"/>
        </w:rPr>
        <w:t>, 1645-1680.</w:t>
      </w:r>
      <w:bookmarkEnd w:id="5"/>
    </w:p>
    <w:p w14:paraId="2ABACE72" w14:textId="77777777" w:rsidR="006913E2" w:rsidRPr="006913E2" w:rsidRDefault="006913E2" w:rsidP="006913E2">
      <w:pPr>
        <w:pStyle w:val="EndNoteBibliography"/>
        <w:ind w:left="720" w:hanging="720"/>
      </w:pPr>
      <w:bookmarkStart w:id="6" w:name="_ENREF_4"/>
      <w:r w:rsidRPr="006913E2">
        <w:t>Baker, M., &amp; Wurgler, J. (2007). Investor sentiment in the stock market. In: National Bureau of Economic Research Cambridge, Mass., USA.</w:t>
      </w:r>
      <w:bookmarkEnd w:id="6"/>
    </w:p>
    <w:p w14:paraId="0D047961" w14:textId="77777777" w:rsidR="006913E2" w:rsidRPr="006913E2" w:rsidRDefault="006913E2" w:rsidP="006913E2">
      <w:pPr>
        <w:pStyle w:val="EndNoteBibliography"/>
        <w:ind w:left="720" w:hanging="720"/>
      </w:pPr>
      <w:bookmarkStart w:id="7" w:name="_ENREF_5"/>
      <w:r w:rsidRPr="006913E2">
        <w:t xml:space="preserve">Baker, M., Wurgler, J., &amp; Yuan, Y. (2012). Global, local, and contagious investor sentiment. </w:t>
      </w:r>
      <w:r w:rsidRPr="006913E2">
        <w:rPr>
          <w:i/>
        </w:rPr>
        <w:t>Journal of Financial Economics, 104</w:t>
      </w:r>
      <w:r w:rsidRPr="006913E2">
        <w:t>, 272-287.</w:t>
      </w:r>
      <w:bookmarkEnd w:id="7"/>
    </w:p>
    <w:p w14:paraId="2BFD4A55" w14:textId="77777777" w:rsidR="006913E2" w:rsidRPr="006913E2" w:rsidRDefault="006913E2" w:rsidP="006913E2">
      <w:pPr>
        <w:pStyle w:val="EndNoteBibliography"/>
        <w:ind w:left="720" w:hanging="720"/>
      </w:pPr>
      <w:bookmarkStart w:id="8" w:name="_ENREF_6"/>
      <w:r w:rsidRPr="006913E2">
        <w:t xml:space="preserve">Bali, T. G., Cakici, N., &amp; Whitelaw, R. F. (2011). Maxing out: Stocks as lotteries and the cross-section of expected returns. </w:t>
      </w:r>
      <w:r w:rsidRPr="006913E2">
        <w:rPr>
          <w:i/>
        </w:rPr>
        <w:t>Journal of Financial Economics, 99</w:t>
      </w:r>
      <w:r w:rsidRPr="006913E2">
        <w:t>, 427-446.</w:t>
      </w:r>
      <w:bookmarkEnd w:id="8"/>
    </w:p>
    <w:p w14:paraId="7AA15168" w14:textId="77777777" w:rsidR="006913E2" w:rsidRPr="006913E2" w:rsidRDefault="006913E2" w:rsidP="006913E2">
      <w:pPr>
        <w:pStyle w:val="EndNoteBibliography"/>
        <w:ind w:left="720" w:hanging="720"/>
      </w:pPr>
      <w:bookmarkStart w:id="9" w:name="_ENREF_7"/>
      <w:r w:rsidRPr="006913E2">
        <w:t xml:space="preserve">Barberis, N., Shleifer, A., &amp; Vishny, R. (1998). A model of investor sentiment. </w:t>
      </w:r>
      <w:r w:rsidRPr="006913E2">
        <w:rPr>
          <w:i/>
        </w:rPr>
        <w:t>Journal of Financial Economics, 49</w:t>
      </w:r>
      <w:r w:rsidRPr="006913E2">
        <w:t>, 307-343.</w:t>
      </w:r>
      <w:bookmarkEnd w:id="9"/>
    </w:p>
    <w:p w14:paraId="6FB9CEFF" w14:textId="77777777" w:rsidR="006913E2" w:rsidRPr="006913E2" w:rsidRDefault="006913E2" w:rsidP="006913E2">
      <w:pPr>
        <w:pStyle w:val="EndNoteBibliography"/>
        <w:ind w:left="720" w:hanging="720"/>
      </w:pPr>
      <w:bookmarkStart w:id="10" w:name="_ENREF_8"/>
      <w:r w:rsidRPr="006913E2">
        <w:t xml:space="preserve">Berger, D., &amp; Turtle, H. J. (2015). Sentiment bubbles. </w:t>
      </w:r>
      <w:r w:rsidRPr="006913E2">
        <w:rPr>
          <w:i/>
        </w:rPr>
        <w:t>Journal of Financial Markets, 23</w:t>
      </w:r>
      <w:r w:rsidRPr="006913E2">
        <w:t>, 59-74.</w:t>
      </w:r>
      <w:bookmarkEnd w:id="10"/>
    </w:p>
    <w:p w14:paraId="2AD66A0C" w14:textId="77777777" w:rsidR="006913E2" w:rsidRPr="006913E2" w:rsidRDefault="006913E2" w:rsidP="006913E2">
      <w:pPr>
        <w:pStyle w:val="EndNoteBibliography"/>
        <w:ind w:left="720" w:hanging="720"/>
      </w:pPr>
      <w:bookmarkStart w:id="11" w:name="_ENREF_9"/>
      <w:r w:rsidRPr="006913E2">
        <w:t xml:space="preserve">Brown, G. W., &amp; Cliff, M. T. (2004). Investor sentiment and the near-term stock market. </w:t>
      </w:r>
      <w:r w:rsidRPr="006913E2">
        <w:rPr>
          <w:i/>
        </w:rPr>
        <w:t>Journal of Empirical Finance, 11</w:t>
      </w:r>
      <w:r w:rsidRPr="006913E2">
        <w:t>, 1-27.</w:t>
      </w:r>
      <w:bookmarkEnd w:id="11"/>
    </w:p>
    <w:p w14:paraId="297E0667" w14:textId="77777777" w:rsidR="006913E2" w:rsidRPr="006913E2" w:rsidRDefault="006913E2" w:rsidP="006913E2">
      <w:pPr>
        <w:pStyle w:val="EndNoteBibliography"/>
        <w:ind w:left="720" w:hanging="720"/>
      </w:pPr>
      <w:bookmarkStart w:id="12" w:name="_ENREF_10"/>
      <w:r w:rsidRPr="006913E2">
        <w:t xml:space="preserve">Brown, G. W., &amp; Cliff, M. T. (2005). Investor sentiment and asset valuation. </w:t>
      </w:r>
      <w:r w:rsidRPr="006913E2">
        <w:rPr>
          <w:i/>
        </w:rPr>
        <w:t>The Journal of Business, 78</w:t>
      </w:r>
      <w:r w:rsidRPr="006913E2">
        <w:t>, 405-440.</w:t>
      </w:r>
      <w:bookmarkEnd w:id="12"/>
    </w:p>
    <w:p w14:paraId="3D6EE95A" w14:textId="77777777" w:rsidR="006913E2" w:rsidRPr="006913E2" w:rsidRDefault="006913E2" w:rsidP="006913E2">
      <w:pPr>
        <w:pStyle w:val="EndNoteBibliography"/>
        <w:ind w:left="720" w:hanging="720"/>
      </w:pPr>
      <w:bookmarkStart w:id="13" w:name="_ENREF_11"/>
      <w:r w:rsidRPr="006913E2">
        <w:t xml:space="preserve">Campbell, J. Y., &amp; Shiller, R. J. (1988). The dividend-price ratio and expectations of future dividends and discount factors. </w:t>
      </w:r>
      <w:r w:rsidRPr="006913E2">
        <w:rPr>
          <w:i/>
        </w:rPr>
        <w:t>The Review of Financial Studies, 1</w:t>
      </w:r>
      <w:r w:rsidRPr="006913E2">
        <w:t>, 195-228.</w:t>
      </w:r>
      <w:bookmarkEnd w:id="13"/>
    </w:p>
    <w:p w14:paraId="35388A1A" w14:textId="77777777" w:rsidR="006913E2" w:rsidRPr="006913E2" w:rsidRDefault="006913E2" w:rsidP="006913E2">
      <w:pPr>
        <w:pStyle w:val="EndNoteBibliography"/>
        <w:ind w:left="720" w:hanging="720"/>
      </w:pPr>
      <w:bookmarkStart w:id="14" w:name="_ENREF_12"/>
      <w:r w:rsidRPr="006913E2">
        <w:t xml:space="preserve">Chen, J., Hong, H., &amp; Stein, J. C. (2002). Breadth of ownership and stock returns. </w:t>
      </w:r>
      <w:r w:rsidRPr="006913E2">
        <w:rPr>
          <w:i/>
        </w:rPr>
        <w:t>Journal of Financial Economics, 66</w:t>
      </w:r>
      <w:r w:rsidRPr="006913E2">
        <w:t>, 171-205.</w:t>
      </w:r>
      <w:bookmarkEnd w:id="14"/>
    </w:p>
    <w:p w14:paraId="6B1AF030" w14:textId="77777777" w:rsidR="006913E2" w:rsidRPr="006913E2" w:rsidRDefault="006913E2" w:rsidP="006913E2">
      <w:pPr>
        <w:pStyle w:val="EndNoteBibliography"/>
        <w:ind w:left="720" w:hanging="720"/>
      </w:pPr>
      <w:bookmarkStart w:id="15" w:name="_ENREF_13"/>
      <w:r w:rsidRPr="006913E2">
        <w:t xml:space="preserve">Clarke, R. G., &amp; Statman, M. (1998). Bullish or bearish? </w:t>
      </w:r>
      <w:r w:rsidRPr="006913E2">
        <w:rPr>
          <w:i/>
        </w:rPr>
        <w:t>Financial Analysts Journal, 54</w:t>
      </w:r>
      <w:r w:rsidRPr="006913E2">
        <w:t>, 63-72.</w:t>
      </w:r>
      <w:bookmarkEnd w:id="15"/>
    </w:p>
    <w:p w14:paraId="732B10F8" w14:textId="77777777" w:rsidR="006913E2" w:rsidRPr="006913E2" w:rsidRDefault="006913E2" w:rsidP="006913E2">
      <w:pPr>
        <w:pStyle w:val="EndNoteBibliography"/>
        <w:ind w:left="720" w:hanging="720"/>
      </w:pPr>
      <w:bookmarkStart w:id="16" w:name="_ENREF_14"/>
      <w:r w:rsidRPr="006913E2">
        <w:t xml:space="preserve">D’avolio, G. (2002). The market for borrowing stock. </w:t>
      </w:r>
      <w:r w:rsidRPr="006913E2">
        <w:rPr>
          <w:i/>
        </w:rPr>
        <w:t>Journal of Financial Economics, 66</w:t>
      </w:r>
      <w:r w:rsidRPr="006913E2">
        <w:t>, 271-306.</w:t>
      </w:r>
      <w:bookmarkEnd w:id="16"/>
    </w:p>
    <w:p w14:paraId="11BABA93" w14:textId="77777777" w:rsidR="006913E2" w:rsidRPr="006913E2" w:rsidRDefault="006913E2" w:rsidP="006913E2">
      <w:pPr>
        <w:pStyle w:val="EndNoteBibliography"/>
        <w:ind w:left="720" w:hanging="720"/>
      </w:pPr>
      <w:bookmarkStart w:id="17" w:name="_ENREF_15"/>
      <w:r w:rsidRPr="006913E2">
        <w:t xml:space="preserve">De Long, J. B., Shleifer, A., Summers, L. H., &amp; Waldmann, R. J. (1990). Noise trader risk in financial markets. </w:t>
      </w:r>
      <w:r w:rsidRPr="006913E2">
        <w:rPr>
          <w:i/>
        </w:rPr>
        <w:t>Journal of political Economy, 98</w:t>
      </w:r>
      <w:r w:rsidRPr="006913E2">
        <w:t>, 703-738.</w:t>
      </w:r>
      <w:bookmarkEnd w:id="17"/>
    </w:p>
    <w:p w14:paraId="73EA64D3" w14:textId="77777777" w:rsidR="006913E2" w:rsidRPr="006913E2" w:rsidRDefault="006913E2" w:rsidP="006913E2">
      <w:pPr>
        <w:pStyle w:val="EndNoteBibliography"/>
        <w:ind w:left="720" w:hanging="720"/>
      </w:pPr>
      <w:bookmarkStart w:id="18" w:name="_ENREF_16"/>
      <w:r w:rsidRPr="006913E2">
        <w:lastRenderedPageBreak/>
        <w:t xml:space="preserve">Diether, K. B., Malloy, C. J., &amp; Scherbina, A. (2002). Differences of opinion and the cross section of stock returns. </w:t>
      </w:r>
      <w:r w:rsidRPr="006913E2">
        <w:rPr>
          <w:i/>
        </w:rPr>
        <w:t>The Journal of Finance, 57</w:t>
      </w:r>
      <w:r w:rsidRPr="006913E2">
        <w:t>, 2113-2141.</w:t>
      </w:r>
      <w:bookmarkEnd w:id="18"/>
    </w:p>
    <w:p w14:paraId="40583F7C" w14:textId="77777777" w:rsidR="006913E2" w:rsidRPr="006913E2" w:rsidRDefault="006913E2" w:rsidP="006913E2">
      <w:pPr>
        <w:pStyle w:val="EndNoteBibliography"/>
        <w:ind w:left="720" w:hanging="720"/>
      </w:pPr>
      <w:bookmarkStart w:id="19" w:name="_ENREF_17"/>
      <w:r w:rsidRPr="006913E2">
        <w:t xml:space="preserve">Duffie, D., Garleanu, N., &amp; Pedersen, L. H. (2002). Securities lending, shorting, and pricing. </w:t>
      </w:r>
      <w:r w:rsidRPr="006913E2">
        <w:rPr>
          <w:i/>
        </w:rPr>
        <w:t>Journal of Financial Economics, 66</w:t>
      </w:r>
      <w:r w:rsidRPr="006913E2">
        <w:t>, 307-339.</w:t>
      </w:r>
      <w:bookmarkEnd w:id="19"/>
    </w:p>
    <w:p w14:paraId="78F30DD1" w14:textId="77777777" w:rsidR="006913E2" w:rsidRPr="006913E2" w:rsidRDefault="006913E2" w:rsidP="006913E2">
      <w:pPr>
        <w:pStyle w:val="EndNoteBibliography"/>
        <w:ind w:left="720" w:hanging="720"/>
      </w:pPr>
      <w:bookmarkStart w:id="20" w:name="_ENREF_18"/>
      <w:r w:rsidRPr="006913E2">
        <w:t xml:space="preserve">Fama, E. F. (1965). The behavior of stock-market prices. </w:t>
      </w:r>
      <w:r w:rsidRPr="006913E2">
        <w:rPr>
          <w:i/>
        </w:rPr>
        <w:t>The Journal of Business, 38</w:t>
      </w:r>
      <w:r w:rsidRPr="006913E2">
        <w:t>, 34-105.</w:t>
      </w:r>
      <w:bookmarkEnd w:id="20"/>
    </w:p>
    <w:p w14:paraId="2894E503" w14:textId="77777777" w:rsidR="006913E2" w:rsidRPr="006913E2" w:rsidRDefault="006913E2" w:rsidP="006913E2">
      <w:pPr>
        <w:pStyle w:val="EndNoteBibliography"/>
        <w:ind w:left="720" w:hanging="720"/>
      </w:pPr>
      <w:bookmarkStart w:id="21" w:name="_ENREF_19"/>
      <w:r w:rsidRPr="006913E2">
        <w:t xml:space="preserve">Fama, E. F., &amp; French, K. R. (1988). Permanent and temporary components of stock prices. </w:t>
      </w:r>
      <w:r w:rsidRPr="006913E2">
        <w:rPr>
          <w:i/>
        </w:rPr>
        <w:t>The Journal of Political Economy</w:t>
      </w:r>
      <w:r w:rsidRPr="006913E2">
        <w:t>, 246-273.</w:t>
      </w:r>
      <w:bookmarkEnd w:id="21"/>
    </w:p>
    <w:p w14:paraId="73A7FED8" w14:textId="77777777" w:rsidR="006913E2" w:rsidRPr="006913E2" w:rsidRDefault="006913E2" w:rsidP="006913E2">
      <w:pPr>
        <w:pStyle w:val="EndNoteBibliography"/>
        <w:ind w:left="720" w:hanging="720"/>
      </w:pPr>
      <w:bookmarkStart w:id="22" w:name="_ENREF_20"/>
      <w:r w:rsidRPr="006913E2">
        <w:t xml:space="preserve">Fama, E. F., &amp; French, K. R. (1989). Business conditions and expected returns on stocks and bonds. </w:t>
      </w:r>
      <w:r w:rsidRPr="006913E2">
        <w:rPr>
          <w:i/>
        </w:rPr>
        <w:t>Journal of Financial Economics, 25</w:t>
      </w:r>
      <w:r w:rsidRPr="006913E2">
        <w:t>, 23-49.</w:t>
      </w:r>
      <w:bookmarkEnd w:id="22"/>
    </w:p>
    <w:p w14:paraId="0CAC1B8D" w14:textId="77777777" w:rsidR="006913E2" w:rsidRPr="006913E2" w:rsidRDefault="006913E2" w:rsidP="006913E2">
      <w:pPr>
        <w:pStyle w:val="EndNoteBibliography"/>
        <w:ind w:left="720" w:hanging="720"/>
      </w:pPr>
      <w:bookmarkStart w:id="23" w:name="_ENREF_21"/>
      <w:r w:rsidRPr="006913E2">
        <w:t xml:space="preserve">Figlewski, S. (1981). The informational effects of restrictions on short sales: Some empirical evidence. </w:t>
      </w:r>
      <w:r w:rsidRPr="006913E2">
        <w:rPr>
          <w:i/>
        </w:rPr>
        <w:t>Journal of Financial and Quantitative Analysis, 16</w:t>
      </w:r>
      <w:r w:rsidRPr="006913E2">
        <w:t>, 463-476.</w:t>
      </w:r>
      <w:bookmarkEnd w:id="23"/>
    </w:p>
    <w:p w14:paraId="5D3FD635" w14:textId="77777777" w:rsidR="006913E2" w:rsidRPr="006913E2" w:rsidRDefault="006913E2" w:rsidP="006913E2">
      <w:pPr>
        <w:pStyle w:val="EndNoteBibliography"/>
        <w:ind w:left="720" w:hanging="720"/>
      </w:pPr>
      <w:bookmarkStart w:id="24" w:name="_ENREF_22"/>
      <w:r w:rsidRPr="006913E2">
        <w:t xml:space="preserve">Fisher, K. L., &amp; Statman, M. (2000). Investor sentiment and stock returns. </w:t>
      </w:r>
      <w:r w:rsidRPr="006913E2">
        <w:rPr>
          <w:i/>
        </w:rPr>
        <w:t>Financial Analysts Journal, 56</w:t>
      </w:r>
      <w:r w:rsidRPr="006913E2">
        <w:t>.</w:t>
      </w:r>
      <w:bookmarkEnd w:id="24"/>
    </w:p>
    <w:p w14:paraId="0D0D8AAA" w14:textId="77777777" w:rsidR="006913E2" w:rsidRPr="006913E2" w:rsidRDefault="006913E2" w:rsidP="006913E2">
      <w:pPr>
        <w:pStyle w:val="EndNoteBibliography"/>
        <w:ind w:left="720" w:hanging="720"/>
      </w:pPr>
      <w:bookmarkStart w:id="25" w:name="_ENREF_23"/>
      <w:r w:rsidRPr="006913E2">
        <w:t xml:space="preserve">Fong, W. M., &amp; Toh, B. (2014). Investor sentiment and the MAX effect. </w:t>
      </w:r>
      <w:r w:rsidRPr="006913E2">
        <w:rPr>
          <w:i/>
        </w:rPr>
        <w:t>Journal of Banking &amp; Finance, 46</w:t>
      </w:r>
      <w:r w:rsidRPr="006913E2">
        <w:t>, 190-201.</w:t>
      </w:r>
      <w:bookmarkEnd w:id="25"/>
    </w:p>
    <w:p w14:paraId="2941A3DF" w14:textId="77777777" w:rsidR="006913E2" w:rsidRPr="006913E2" w:rsidRDefault="006913E2" w:rsidP="006913E2">
      <w:pPr>
        <w:pStyle w:val="EndNoteBibliography"/>
        <w:ind w:left="720" w:hanging="720"/>
      </w:pPr>
      <w:bookmarkStart w:id="26" w:name="_ENREF_24"/>
      <w:r w:rsidRPr="006913E2">
        <w:t xml:space="preserve">Han, X., &amp; Li, Y. (2017). Can investor sentiment be a momentum time-series predictor? Evidence from China. </w:t>
      </w:r>
      <w:r w:rsidRPr="006913E2">
        <w:rPr>
          <w:i/>
        </w:rPr>
        <w:t>Journal of Empirical Finance, 42</w:t>
      </w:r>
      <w:r w:rsidRPr="006913E2">
        <w:t>, 212-239.</w:t>
      </w:r>
      <w:bookmarkEnd w:id="26"/>
    </w:p>
    <w:p w14:paraId="4AE3C631" w14:textId="77777777" w:rsidR="006913E2" w:rsidRPr="006913E2" w:rsidRDefault="006913E2" w:rsidP="006913E2">
      <w:pPr>
        <w:pStyle w:val="EndNoteBibliography"/>
        <w:ind w:left="720" w:hanging="720"/>
      </w:pPr>
      <w:bookmarkStart w:id="27" w:name="_ENREF_25"/>
      <w:r w:rsidRPr="006913E2">
        <w:t xml:space="preserve">Huang, D., Jiang, F., Tu, J., &amp; Zhou, G. (2014). Investor sentiment aligned: A powerful predictor of stock returns. </w:t>
      </w:r>
      <w:r w:rsidRPr="006913E2">
        <w:rPr>
          <w:i/>
        </w:rPr>
        <w:t>The Review of Financial Studies, 28</w:t>
      </w:r>
      <w:r w:rsidRPr="006913E2">
        <w:t>, 791-837.</w:t>
      </w:r>
      <w:bookmarkEnd w:id="27"/>
    </w:p>
    <w:p w14:paraId="692AB641" w14:textId="77777777" w:rsidR="006913E2" w:rsidRPr="006913E2" w:rsidRDefault="006913E2" w:rsidP="006913E2">
      <w:pPr>
        <w:pStyle w:val="EndNoteBibliography"/>
        <w:ind w:left="720" w:hanging="720"/>
      </w:pPr>
      <w:bookmarkStart w:id="28" w:name="_ENREF_26"/>
      <w:r w:rsidRPr="006913E2">
        <w:t xml:space="preserve">Jacobs, H. (2015). What explains the dynamics of 100 anomalies? </w:t>
      </w:r>
      <w:r w:rsidRPr="006913E2">
        <w:rPr>
          <w:i/>
        </w:rPr>
        <w:t>Journal of Banking &amp; Finance, 57</w:t>
      </w:r>
      <w:r w:rsidRPr="006913E2">
        <w:t>, 65-85.</w:t>
      </w:r>
      <w:bookmarkEnd w:id="28"/>
    </w:p>
    <w:p w14:paraId="36ABBAE0" w14:textId="77777777" w:rsidR="006913E2" w:rsidRPr="006913E2" w:rsidRDefault="006913E2" w:rsidP="006913E2">
      <w:pPr>
        <w:pStyle w:val="EndNoteBibliography"/>
        <w:ind w:left="720" w:hanging="720"/>
      </w:pPr>
      <w:bookmarkStart w:id="29" w:name="_ENREF_27"/>
      <w:r w:rsidRPr="006913E2">
        <w:t xml:space="preserve">Keynes, J. M. (1936). </w:t>
      </w:r>
      <w:r w:rsidRPr="006913E2">
        <w:rPr>
          <w:i/>
        </w:rPr>
        <w:t>General theory of employment, interest and money</w:t>
      </w:r>
      <w:r w:rsidRPr="006913E2">
        <w:t>: Macmillan, London.</w:t>
      </w:r>
      <w:bookmarkEnd w:id="29"/>
    </w:p>
    <w:p w14:paraId="64E103B6" w14:textId="77777777" w:rsidR="006913E2" w:rsidRPr="006913E2" w:rsidRDefault="006913E2" w:rsidP="006913E2">
      <w:pPr>
        <w:pStyle w:val="EndNoteBibliography"/>
        <w:ind w:left="720" w:hanging="720"/>
      </w:pPr>
      <w:bookmarkStart w:id="30" w:name="_ENREF_28"/>
      <w:r w:rsidRPr="006913E2">
        <w:t xml:space="preserve">Kling, G., &amp; Gao, L. (2008). Chinese institutional investors’ sentiment. </w:t>
      </w:r>
      <w:r w:rsidRPr="006913E2">
        <w:rPr>
          <w:i/>
        </w:rPr>
        <w:t>Journal of International Financial Markets, Institutions and Money, 18</w:t>
      </w:r>
      <w:r w:rsidRPr="006913E2">
        <w:t>, 374-387.</w:t>
      </w:r>
      <w:bookmarkEnd w:id="30"/>
    </w:p>
    <w:p w14:paraId="7E5545C4" w14:textId="77777777" w:rsidR="006913E2" w:rsidRPr="006913E2" w:rsidRDefault="006913E2" w:rsidP="006913E2">
      <w:pPr>
        <w:pStyle w:val="EndNoteBibliography"/>
        <w:ind w:left="720" w:hanging="720"/>
      </w:pPr>
      <w:bookmarkStart w:id="31" w:name="_ENREF_29"/>
      <w:r w:rsidRPr="006913E2">
        <w:t xml:space="preserve">Kurov, A. (2010). Investor sentiment and the stock market’s reaction to monetary policy. </w:t>
      </w:r>
      <w:r w:rsidRPr="006913E2">
        <w:rPr>
          <w:i/>
        </w:rPr>
        <w:t>Journal of Banking &amp; Finance, 34</w:t>
      </w:r>
      <w:r w:rsidRPr="006913E2">
        <w:t>, 139-149.</w:t>
      </w:r>
      <w:bookmarkEnd w:id="31"/>
    </w:p>
    <w:p w14:paraId="3CFBA34D" w14:textId="77777777" w:rsidR="006913E2" w:rsidRPr="006913E2" w:rsidRDefault="006913E2" w:rsidP="006913E2">
      <w:pPr>
        <w:pStyle w:val="EndNoteBibliography"/>
        <w:ind w:left="720" w:hanging="720"/>
      </w:pPr>
      <w:bookmarkStart w:id="32" w:name="_ENREF_30"/>
      <w:r w:rsidRPr="006913E2">
        <w:t xml:space="preserve">Lamont, O. A., &amp; Stein, J. C. (2004). Aggregate Short Interest and Market Valuations. </w:t>
      </w:r>
      <w:r w:rsidRPr="006913E2">
        <w:rPr>
          <w:i/>
        </w:rPr>
        <w:t>The American Economic Review, 94</w:t>
      </w:r>
      <w:r w:rsidRPr="006913E2">
        <w:t>, 29.</w:t>
      </w:r>
      <w:bookmarkEnd w:id="32"/>
    </w:p>
    <w:p w14:paraId="56F1B740" w14:textId="77777777" w:rsidR="006913E2" w:rsidRPr="006913E2" w:rsidRDefault="006913E2" w:rsidP="006913E2">
      <w:pPr>
        <w:pStyle w:val="EndNoteBibliography"/>
        <w:ind w:left="720" w:hanging="720"/>
      </w:pPr>
      <w:bookmarkStart w:id="33" w:name="_ENREF_31"/>
      <w:r w:rsidRPr="006913E2">
        <w:t xml:space="preserve">Miller, E. M. (1977). Risk, uncertainty, and divergence of opinion. </w:t>
      </w:r>
      <w:r w:rsidRPr="006913E2">
        <w:rPr>
          <w:i/>
        </w:rPr>
        <w:t>The Journal of Finance, 32</w:t>
      </w:r>
      <w:r w:rsidRPr="006913E2">
        <w:t>, 1151-1168.</w:t>
      </w:r>
      <w:bookmarkEnd w:id="33"/>
    </w:p>
    <w:p w14:paraId="611C39A2" w14:textId="77777777" w:rsidR="006913E2" w:rsidRPr="006913E2" w:rsidRDefault="006913E2" w:rsidP="006913E2">
      <w:pPr>
        <w:pStyle w:val="EndNoteBibliography"/>
        <w:ind w:left="720" w:hanging="720"/>
      </w:pPr>
      <w:bookmarkStart w:id="34" w:name="_ENREF_32"/>
      <w:r w:rsidRPr="006913E2">
        <w:t xml:space="preserve">Nagel, S. (2005). Short sales, institutional investors and the cross-section of stock returns. </w:t>
      </w:r>
      <w:r w:rsidRPr="006913E2">
        <w:rPr>
          <w:i/>
        </w:rPr>
        <w:t>Journal of Financial Economics, 78</w:t>
      </w:r>
      <w:r w:rsidRPr="006913E2">
        <w:t>, 277-309.</w:t>
      </w:r>
      <w:bookmarkEnd w:id="34"/>
    </w:p>
    <w:p w14:paraId="7ABB2F3C" w14:textId="77777777" w:rsidR="006913E2" w:rsidRPr="006913E2" w:rsidRDefault="006913E2" w:rsidP="006913E2">
      <w:pPr>
        <w:pStyle w:val="EndNoteBibliography"/>
        <w:ind w:left="720" w:hanging="720"/>
      </w:pPr>
      <w:bookmarkStart w:id="35" w:name="_ENREF_33"/>
      <w:r w:rsidRPr="006913E2">
        <w:lastRenderedPageBreak/>
        <w:t xml:space="preserve">Ofek, E., Richardson, M., &amp; Whitelaw, R. F. (2004). Limited arbitrage and short sales restrictions: Evidence from the options markets. </w:t>
      </w:r>
      <w:r w:rsidRPr="006913E2">
        <w:rPr>
          <w:i/>
        </w:rPr>
        <w:t>Journal of Financial Economics, 74</w:t>
      </w:r>
      <w:r w:rsidRPr="006913E2">
        <w:t>, 305-342.</w:t>
      </w:r>
      <w:bookmarkEnd w:id="35"/>
    </w:p>
    <w:p w14:paraId="51EDE6D6" w14:textId="77777777" w:rsidR="006913E2" w:rsidRPr="006913E2" w:rsidRDefault="006913E2" w:rsidP="006913E2">
      <w:pPr>
        <w:pStyle w:val="EndNoteBibliography"/>
        <w:ind w:left="720" w:hanging="720"/>
      </w:pPr>
      <w:bookmarkStart w:id="36" w:name="_ENREF_34"/>
      <w:r w:rsidRPr="006913E2">
        <w:t xml:space="preserve">Pontiff, J. (1996). Costly arbitrage: Evidence from closed-end funds. </w:t>
      </w:r>
      <w:r w:rsidRPr="006913E2">
        <w:rPr>
          <w:i/>
        </w:rPr>
        <w:t>The Quarterly Journal of Economics, 111</w:t>
      </w:r>
      <w:r w:rsidRPr="006913E2">
        <w:t>, 1135-1151.</w:t>
      </w:r>
      <w:bookmarkEnd w:id="36"/>
    </w:p>
    <w:p w14:paraId="49171D67" w14:textId="77777777" w:rsidR="006913E2" w:rsidRPr="006913E2" w:rsidRDefault="006913E2" w:rsidP="006913E2">
      <w:pPr>
        <w:pStyle w:val="EndNoteBibliography"/>
        <w:ind w:left="720" w:hanging="720"/>
      </w:pPr>
      <w:bookmarkStart w:id="37" w:name="_ENREF_35"/>
      <w:r w:rsidRPr="006913E2">
        <w:t xml:space="preserve">Poterba, J. M., &amp; Summers, L. H. (1988). Mean reversion in stock prices: Evidence and implications. </w:t>
      </w:r>
      <w:r w:rsidRPr="006913E2">
        <w:rPr>
          <w:i/>
        </w:rPr>
        <w:t>Journal of Financial Economics, 22</w:t>
      </w:r>
      <w:r w:rsidRPr="006913E2">
        <w:t>, 27-59.</w:t>
      </w:r>
      <w:bookmarkEnd w:id="37"/>
    </w:p>
    <w:p w14:paraId="3E1B1BA4" w14:textId="77777777" w:rsidR="006913E2" w:rsidRPr="006913E2" w:rsidRDefault="006913E2" w:rsidP="006913E2">
      <w:pPr>
        <w:pStyle w:val="EndNoteBibliography"/>
        <w:ind w:left="720" w:hanging="720"/>
      </w:pPr>
      <w:bookmarkStart w:id="38" w:name="_ENREF_36"/>
      <w:r w:rsidRPr="006913E2">
        <w:t xml:space="preserve">Scheinkman, J. A., &amp; Xiong, W. (2003). Overconfidence and speculative bubbles. </w:t>
      </w:r>
      <w:r w:rsidRPr="006913E2">
        <w:rPr>
          <w:i/>
        </w:rPr>
        <w:t>Journal of political Economy, 111</w:t>
      </w:r>
      <w:r w:rsidRPr="006913E2">
        <w:t>, 1183-1220.</w:t>
      </w:r>
      <w:bookmarkEnd w:id="38"/>
    </w:p>
    <w:p w14:paraId="44519905" w14:textId="77777777" w:rsidR="006913E2" w:rsidRPr="006913E2" w:rsidRDefault="006913E2" w:rsidP="006913E2">
      <w:pPr>
        <w:pStyle w:val="EndNoteBibliography"/>
        <w:ind w:left="720" w:hanging="720"/>
      </w:pPr>
      <w:bookmarkStart w:id="39" w:name="_ENREF_37"/>
      <w:r w:rsidRPr="006913E2">
        <w:t xml:space="preserve">Schmeling, M. (2009). Investor sentiment and stock returns: Some international evidence. </w:t>
      </w:r>
      <w:r w:rsidRPr="006913E2">
        <w:rPr>
          <w:i/>
        </w:rPr>
        <w:t>Journal of Empirical Finance, 16</w:t>
      </w:r>
      <w:r w:rsidRPr="006913E2">
        <w:t>, 394-408.</w:t>
      </w:r>
      <w:bookmarkEnd w:id="39"/>
    </w:p>
    <w:p w14:paraId="7CC73538" w14:textId="77777777" w:rsidR="006913E2" w:rsidRPr="006913E2" w:rsidRDefault="006913E2" w:rsidP="006913E2">
      <w:pPr>
        <w:pStyle w:val="EndNoteBibliography"/>
        <w:ind w:left="720" w:hanging="720"/>
      </w:pPr>
      <w:bookmarkStart w:id="40" w:name="_ENREF_38"/>
      <w:r w:rsidRPr="006913E2">
        <w:t xml:space="preserve">Shiller, R. J. (1981). Do Stock Prices Move Too Much to be Justified by Subsequent Changes in Dividends? </w:t>
      </w:r>
      <w:r w:rsidRPr="006913E2">
        <w:rPr>
          <w:i/>
        </w:rPr>
        <w:t>The American Economic Review, 71</w:t>
      </w:r>
      <w:r w:rsidRPr="006913E2">
        <w:t>, 421-436.</w:t>
      </w:r>
      <w:bookmarkEnd w:id="40"/>
    </w:p>
    <w:p w14:paraId="07A78041" w14:textId="77777777" w:rsidR="006913E2" w:rsidRPr="006913E2" w:rsidRDefault="006913E2" w:rsidP="006913E2">
      <w:pPr>
        <w:pStyle w:val="EndNoteBibliography"/>
        <w:ind w:left="720" w:hanging="720"/>
      </w:pPr>
      <w:bookmarkStart w:id="41" w:name="_ENREF_39"/>
      <w:r w:rsidRPr="006913E2">
        <w:t xml:space="preserve">Shleifer, A., &amp; Vishny, R. W. (1997). The limits of arbitrage. </w:t>
      </w:r>
      <w:r w:rsidRPr="006913E2">
        <w:rPr>
          <w:i/>
        </w:rPr>
        <w:t>The Journal of Finance, 52</w:t>
      </w:r>
      <w:r w:rsidRPr="006913E2">
        <w:t>, 35-55.</w:t>
      </w:r>
      <w:bookmarkEnd w:id="41"/>
    </w:p>
    <w:p w14:paraId="72E2A262" w14:textId="77777777" w:rsidR="006913E2" w:rsidRPr="006913E2" w:rsidRDefault="006913E2" w:rsidP="006913E2">
      <w:pPr>
        <w:pStyle w:val="EndNoteBibliography"/>
        <w:ind w:left="720" w:hanging="720"/>
      </w:pPr>
      <w:bookmarkStart w:id="42" w:name="_ENREF_40"/>
      <w:r w:rsidRPr="006913E2">
        <w:t xml:space="preserve">Simon, D. P., &amp; Wiggins, R. A. (2001). S&amp;P futures returns and contrary sentiment indicators. </w:t>
      </w:r>
      <w:r w:rsidRPr="006913E2">
        <w:rPr>
          <w:i/>
        </w:rPr>
        <w:t>Journal of Futures Markets, 21</w:t>
      </w:r>
      <w:r w:rsidRPr="006913E2">
        <w:t>, 447-462.</w:t>
      </w:r>
      <w:bookmarkEnd w:id="42"/>
    </w:p>
    <w:p w14:paraId="36E218F9" w14:textId="77777777" w:rsidR="006913E2" w:rsidRPr="006913E2" w:rsidRDefault="006913E2" w:rsidP="006913E2">
      <w:pPr>
        <w:pStyle w:val="EndNoteBibliography"/>
        <w:ind w:left="720" w:hanging="720"/>
      </w:pPr>
      <w:bookmarkStart w:id="43" w:name="_ENREF_41"/>
      <w:r w:rsidRPr="006913E2">
        <w:t xml:space="preserve">Smales, L. A. (2017). The importance of fear: investor sentiment and stock market returns. </w:t>
      </w:r>
      <w:r w:rsidRPr="006913E2">
        <w:rPr>
          <w:i/>
        </w:rPr>
        <w:t>Applied Economics</w:t>
      </w:r>
      <w:r w:rsidRPr="006913E2">
        <w:t>, 1-27.</w:t>
      </w:r>
      <w:bookmarkEnd w:id="43"/>
    </w:p>
    <w:p w14:paraId="584EE05A" w14:textId="77777777" w:rsidR="006913E2" w:rsidRPr="006913E2" w:rsidRDefault="006913E2" w:rsidP="006913E2">
      <w:pPr>
        <w:pStyle w:val="EndNoteBibliography"/>
        <w:ind w:left="720" w:hanging="720"/>
      </w:pPr>
      <w:bookmarkStart w:id="44" w:name="_ENREF_42"/>
      <w:r w:rsidRPr="006913E2">
        <w:t xml:space="preserve">Stambaugh, R. F., Yu, J., &amp; Yuan, Y. (2012). The short of it: Investor sentiment and anomalies. </w:t>
      </w:r>
      <w:r w:rsidRPr="006913E2">
        <w:rPr>
          <w:i/>
        </w:rPr>
        <w:t>Journal of Financial Economics, 104</w:t>
      </w:r>
      <w:r w:rsidRPr="006913E2">
        <w:t>, 288-302.</w:t>
      </w:r>
      <w:bookmarkEnd w:id="44"/>
    </w:p>
    <w:p w14:paraId="50CE9609" w14:textId="77777777" w:rsidR="006913E2" w:rsidRPr="006913E2" w:rsidRDefault="006913E2" w:rsidP="006913E2">
      <w:pPr>
        <w:pStyle w:val="EndNoteBibliography"/>
        <w:ind w:left="720" w:hanging="720"/>
      </w:pPr>
      <w:bookmarkStart w:id="45" w:name="_ENREF_43"/>
      <w:r w:rsidRPr="006913E2">
        <w:t xml:space="preserve">Warther, V. A. (1995). Aggregate mutual fund flows and security returns. </w:t>
      </w:r>
      <w:r w:rsidRPr="006913E2">
        <w:rPr>
          <w:i/>
        </w:rPr>
        <w:t>Journal of Financial Economics, 39</w:t>
      </w:r>
      <w:r w:rsidRPr="006913E2">
        <w:t>, 209-235.</w:t>
      </w:r>
      <w:bookmarkEnd w:id="45"/>
    </w:p>
    <w:p w14:paraId="6ED3CD47" w14:textId="77777777" w:rsidR="006913E2" w:rsidRPr="006913E2" w:rsidRDefault="006913E2" w:rsidP="006913E2">
      <w:pPr>
        <w:pStyle w:val="EndNoteBibliography"/>
        <w:ind w:left="720" w:hanging="720"/>
      </w:pPr>
      <w:bookmarkStart w:id="46" w:name="_ENREF_44"/>
      <w:r w:rsidRPr="006913E2">
        <w:t xml:space="preserve">Whaley, R. E. (2000). The investor fear gauge. </w:t>
      </w:r>
      <w:r w:rsidRPr="006913E2">
        <w:rPr>
          <w:i/>
        </w:rPr>
        <w:t>The Journal of Portfolio Management, 26</w:t>
      </w:r>
      <w:r w:rsidRPr="006913E2">
        <w:t>, 12-17.</w:t>
      </w:r>
      <w:bookmarkEnd w:id="46"/>
    </w:p>
    <w:p w14:paraId="4772B8E8" w14:textId="77777777" w:rsidR="006913E2" w:rsidRPr="006913E2" w:rsidRDefault="006913E2" w:rsidP="006913E2">
      <w:pPr>
        <w:pStyle w:val="EndNoteBibliography"/>
        <w:ind w:left="720" w:hanging="720"/>
      </w:pPr>
      <w:bookmarkStart w:id="47" w:name="_ENREF_45"/>
      <w:r w:rsidRPr="006913E2">
        <w:t xml:space="preserve">Wurgler, J., &amp; Zhuravskaya, E. (2002). Does Arbitrage Flatten Demand Curves for Stocks? </w:t>
      </w:r>
      <w:r w:rsidRPr="006913E2">
        <w:rPr>
          <w:i/>
        </w:rPr>
        <w:t>The Journal of Business, 75</w:t>
      </w:r>
      <w:r w:rsidRPr="006913E2">
        <w:t>, 583-608.</w:t>
      </w:r>
      <w:bookmarkEnd w:id="47"/>
    </w:p>
    <w:p w14:paraId="4D1FF02E" w14:textId="4E7707CA" w:rsidR="00FD2861" w:rsidRPr="00E65AA7" w:rsidRDefault="00C6621C" w:rsidP="00E1587F">
      <w:pPr>
        <w:spacing w:after="240"/>
        <w:jc w:val="both"/>
        <w:rPr>
          <w:sz w:val="20"/>
          <w:szCs w:val="20"/>
        </w:rPr>
      </w:pPr>
      <w:r w:rsidRPr="00E65AA7">
        <w:fldChar w:fldCharType="end"/>
      </w:r>
      <w:r w:rsidR="00122F66" w:rsidRPr="00E65AA7">
        <w:fldChar w:fldCharType="end"/>
      </w:r>
      <w:r w:rsidRPr="00E65AA7">
        <w:br w:type="page"/>
      </w:r>
      <w:r w:rsidR="006854CF" w:rsidRPr="00E65AA7">
        <w:rPr>
          <w:b/>
          <w:sz w:val="20"/>
          <w:szCs w:val="20"/>
        </w:rPr>
        <w:lastRenderedPageBreak/>
        <w:t xml:space="preserve">Table 1: Predictions of </w:t>
      </w:r>
      <w:r w:rsidR="00DA24E4" w:rsidRPr="00E65AA7">
        <w:rPr>
          <w:b/>
          <w:sz w:val="20"/>
          <w:szCs w:val="20"/>
        </w:rPr>
        <w:t>returns of hard to value firms</w:t>
      </w:r>
      <w:r w:rsidR="006854CF" w:rsidRPr="00E65AA7">
        <w:rPr>
          <w:b/>
          <w:sz w:val="20"/>
          <w:szCs w:val="20"/>
        </w:rPr>
        <w:t xml:space="preserve"> under different </w:t>
      </w:r>
      <w:r w:rsidR="00DA24E4" w:rsidRPr="00E65AA7">
        <w:rPr>
          <w:b/>
          <w:sz w:val="20"/>
          <w:szCs w:val="20"/>
        </w:rPr>
        <w:t>sentiment states</w:t>
      </w:r>
      <w:r w:rsidR="00A21127" w:rsidRPr="00E65AA7">
        <w:rPr>
          <w:b/>
          <w:sz w:val="20"/>
          <w:szCs w:val="20"/>
        </w:rPr>
        <w:t xml:space="preserve">. </w:t>
      </w:r>
      <w:r w:rsidR="006003D9" w:rsidRPr="00E65AA7">
        <w:rPr>
          <w:sz w:val="20"/>
          <w:szCs w:val="20"/>
        </w:rPr>
        <w:t xml:space="preserve">This table </w:t>
      </w:r>
      <w:r w:rsidR="006003D9" w:rsidRPr="00E65AA7">
        <w:rPr>
          <w:noProof/>
          <w:sz w:val="20"/>
          <w:szCs w:val="20"/>
        </w:rPr>
        <w:t>summarises</w:t>
      </w:r>
      <w:r w:rsidR="006003D9" w:rsidRPr="00E65AA7">
        <w:rPr>
          <w:sz w:val="20"/>
          <w:szCs w:val="20"/>
        </w:rPr>
        <w:t xml:space="preserve"> the hy</w:t>
      </w:r>
      <w:r w:rsidR="00B4752E">
        <w:rPr>
          <w:sz w:val="20"/>
          <w:szCs w:val="20"/>
        </w:rPr>
        <w:t>pothesis presented in section I</w:t>
      </w:r>
      <w:r w:rsidR="006003D9" w:rsidRPr="00E65AA7">
        <w:rPr>
          <w:sz w:val="20"/>
          <w:szCs w:val="20"/>
        </w:rPr>
        <w:t xml:space="preserve">. Panel </w:t>
      </w:r>
      <w:r w:rsidR="006435F1">
        <w:rPr>
          <w:sz w:val="20"/>
          <w:szCs w:val="20"/>
        </w:rPr>
        <w:t>A</w:t>
      </w:r>
      <w:r w:rsidR="006003D9" w:rsidRPr="00E65AA7">
        <w:rPr>
          <w:sz w:val="20"/>
          <w:szCs w:val="20"/>
        </w:rPr>
        <w:t xml:space="preserve"> </w:t>
      </w:r>
      <w:r w:rsidR="006003D9" w:rsidRPr="00E65AA7">
        <w:rPr>
          <w:noProof/>
          <w:sz w:val="20"/>
          <w:szCs w:val="20"/>
        </w:rPr>
        <w:t>hypothesises</w:t>
      </w:r>
      <w:r w:rsidR="006003D9" w:rsidRPr="00E65AA7">
        <w:rPr>
          <w:sz w:val="20"/>
          <w:szCs w:val="20"/>
        </w:rPr>
        <w:t xml:space="preserve"> the impact of both lagged and </w:t>
      </w:r>
      <w:r w:rsidR="004A421C">
        <w:rPr>
          <w:sz w:val="20"/>
          <w:szCs w:val="20"/>
        </w:rPr>
        <w:t>subsequent</w:t>
      </w:r>
      <w:r w:rsidR="006003D9" w:rsidRPr="00E65AA7">
        <w:rPr>
          <w:sz w:val="20"/>
          <w:szCs w:val="20"/>
        </w:rPr>
        <w:t xml:space="preserve"> </w:t>
      </w:r>
      <w:r w:rsidR="00EE48E7" w:rsidRPr="00E65AA7">
        <w:rPr>
          <w:sz w:val="20"/>
          <w:szCs w:val="20"/>
        </w:rPr>
        <w:t>sentiment</w:t>
      </w:r>
      <w:r w:rsidR="009620A9" w:rsidRPr="00E65AA7">
        <w:rPr>
          <w:sz w:val="20"/>
          <w:szCs w:val="20"/>
        </w:rPr>
        <w:t xml:space="preserve"> </w:t>
      </w:r>
      <w:r w:rsidR="006003D9" w:rsidRPr="00E65AA7">
        <w:rPr>
          <w:rFonts w:hint="eastAsia"/>
          <w:sz w:val="20"/>
          <w:szCs w:val="20"/>
        </w:rPr>
        <w:t>on the cross-sectional returns of firm characteristics.</w:t>
      </w:r>
      <w:r w:rsidR="00CB2C72">
        <w:rPr>
          <w:sz w:val="20"/>
          <w:szCs w:val="20"/>
        </w:rPr>
        <w:t xml:space="preserve"> Panel </w:t>
      </w:r>
      <w:r w:rsidR="006435F1">
        <w:rPr>
          <w:sz w:val="20"/>
          <w:szCs w:val="20"/>
        </w:rPr>
        <w:t>B</w:t>
      </w:r>
      <w:r w:rsidR="00CB2C72" w:rsidRPr="00E65AA7">
        <w:rPr>
          <w:sz w:val="20"/>
          <w:szCs w:val="20"/>
        </w:rPr>
        <w:t xml:space="preserve"> </w:t>
      </w:r>
      <w:r w:rsidR="00CB2C72" w:rsidRPr="00E65AA7">
        <w:rPr>
          <w:noProof/>
          <w:sz w:val="20"/>
          <w:szCs w:val="20"/>
        </w:rPr>
        <w:t>hypothesises</w:t>
      </w:r>
      <w:r w:rsidR="00CB2C72" w:rsidRPr="00E65AA7">
        <w:rPr>
          <w:sz w:val="20"/>
          <w:szCs w:val="20"/>
        </w:rPr>
        <w:t xml:space="preserve"> the impact of both lagged and </w:t>
      </w:r>
      <w:r w:rsidR="0080663E" w:rsidRPr="0080663E">
        <w:rPr>
          <w:sz w:val="20"/>
          <w:szCs w:val="20"/>
        </w:rPr>
        <w:t>subsequent</w:t>
      </w:r>
      <w:r w:rsidR="00CB2C72" w:rsidRPr="00E65AA7">
        <w:rPr>
          <w:sz w:val="20"/>
          <w:szCs w:val="20"/>
        </w:rPr>
        <w:t xml:space="preserve"> sentiment </w:t>
      </w:r>
      <w:r w:rsidR="00CB2C72" w:rsidRPr="00E65AA7">
        <w:rPr>
          <w:rFonts w:hint="eastAsia"/>
          <w:sz w:val="20"/>
          <w:szCs w:val="20"/>
        </w:rPr>
        <w:t xml:space="preserve">on the </w:t>
      </w:r>
      <w:r w:rsidR="00CB2C72">
        <w:rPr>
          <w:sz w:val="20"/>
          <w:szCs w:val="20"/>
        </w:rPr>
        <w:t>future returns of stocks sorted on maximum daily returns over the past one month</w:t>
      </w:r>
      <w:r w:rsidR="00CB2C72" w:rsidRPr="00E65AA7">
        <w:rPr>
          <w:rFonts w:hint="eastAsia"/>
          <w:sz w:val="20"/>
          <w:szCs w:val="20"/>
        </w:rPr>
        <w:t>.</w:t>
      </w:r>
      <w:r w:rsidR="00591173">
        <w:rPr>
          <w:rFonts w:hint="eastAsia"/>
          <w:sz w:val="20"/>
          <w:szCs w:val="20"/>
        </w:rPr>
        <w:t xml:space="preserve"> </w:t>
      </w:r>
      <w:r w:rsidR="00EE48E7" w:rsidRPr="00E65AA7">
        <w:rPr>
          <w:rFonts w:hint="eastAsia"/>
          <w:sz w:val="20"/>
          <w:szCs w:val="20"/>
        </w:rPr>
        <w:t xml:space="preserve">We define the </w:t>
      </w:r>
      <w:r w:rsidR="0080663E">
        <w:rPr>
          <w:sz w:val="20"/>
          <w:szCs w:val="20"/>
        </w:rPr>
        <w:t>subsequent</w:t>
      </w:r>
      <w:r w:rsidR="00AD1B7C" w:rsidRPr="00E65AA7">
        <w:rPr>
          <w:rFonts w:hint="eastAsia"/>
          <w:sz w:val="20"/>
          <w:szCs w:val="20"/>
        </w:rPr>
        <w:t xml:space="preserve"> sentiment</w:t>
      </w:r>
      <w:r w:rsidR="00026422" w:rsidRPr="00E65AA7">
        <w:rPr>
          <w:sz w:val="20"/>
          <w:szCs w:val="20"/>
        </w:rPr>
        <w:t xml:space="preserve"> </w:t>
      </w:r>
      <w:r w:rsidR="006003D9" w:rsidRPr="00E65AA7">
        <w:rPr>
          <w:rFonts w:hint="eastAsia"/>
          <w:sz w:val="20"/>
          <w:szCs w:val="20"/>
        </w:rPr>
        <w:t xml:space="preserve">based on </w:t>
      </w:r>
      <w:r w:rsidR="00EE48E7" w:rsidRPr="00E65AA7">
        <w:rPr>
          <w:rFonts w:hint="eastAsia"/>
          <w:sz w:val="20"/>
          <w:szCs w:val="20"/>
        </w:rPr>
        <w:t xml:space="preserve">Baker and </w:t>
      </w:r>
      <w:proofErr w:type="spellStart"/>
      <w:r w:rsidR="00EE48E7" w:rsidRPr="00E65AA7">
        <w:rPr>
          <w:rFonts w:hint="eastAsia"/>
          <w:sz w:val="20"/>
          <w:szCs w:val="20"/>
        </w:rPr>
        <w:t>Wurgler</w:t>
      </w:r>
      <w:proofErr w:type="spellEnd"/>
      <w:r w:rsidR="00EE48E7" w:rsidRPr="00E65AA7">
        <w:rPr>
          <w:rFonts w:hint="eastAsia"/>
          <w:sz w:val="20"/>
          <w:szCs w:val="20"/>
        </w:rPr>
        <w:t xml:space="preserve"> (</w:t>
      </w:r>
      <w:r w:rsidR="00A97B2D">
        <w:rPr>
          <w:sz w:val="20"/>
          <w:szCs w:val="20"/>
        </w:rPr>
        <w:t xml:space="preserve">2006, </w:t>
      </w:r>
      <w:r w:rsidR="00EE48E7" w:rsidRPr="00E65AA7">
        <w:rPr>
          <w:rFonts w:hint="eastAsia"/>
          <w:sz w:val="20"/>
          <w:szCs w:val="20"/>
        </w:rPr>
        <w:t xml:space="preserve">2007) </w:t>
      </w:r>
      <w:r w:rsidR="00EE48E7" w:rsidRPr="00E65AA7">
        <w:rPr>
          <w:sz w:val="20"/>
          <w:szCs w:val="20"/>
        </w:rPr>
        <w:t xml:space="preserve">sentiment </w:t>
      </w:r>
      <w:r w:rsidR="00A97B2D">
        <w:rPr>
          <w:sz w:val="20"/>
          <w:szCs w:val="20"/>
        </w:rPr>
        <w:t xml:space="preserve">levels and sentiment </w:t>
      </w:r>
      <w:r w:rsidR="00EE48E7" w:rsidRPr="00E65AA7">
        <w:rPr>
          <w:sz w:val="20"/>
          <w:szCs w:val="20"/>
        </w:rPr>
        <w:t>changes index</w:t>
      </w:r>
      <w:r w:rsidR="004E787D" w:rsidRPr="00E65AA7">
        <w:rPr>
          <w:sz w:val="20"/>
          <w:szCs w:val="20"/>
        </w:rPr>
        <w:t xml:space="preserve">, </w:t>
      </w:r>
      <w:r w:rsidR="00EE48E7" w:rsidRPr="00E65AA7">
        <w:rPr>
          <w:sz w:val="20"/>
          <w:szCs w:val="20"/>
        </w:rPr>
        <w:t>changes</w:t>
      </w:r>
      <w:r w:rsidR="00EE48E7" w:rsidRPr="00E65AA7">
        <w:rPr>
          <w:rFonts w:hint="eastAsia"/>
          <w:sz w:val="20"/>
          <w:szCs w:val="20"/>
        </w:rPr>
        <w:t xml:space="preserve"> </w:t>
      </w:r>
      <w:r w:rsidR="00EE48E7" w:rsidRPr="00E65AA7">
        <w:rPr>
          <w:sz w:val="20"/>
          <w:szCs w:val="20"/>
        </w:rPr>
        <w:t xml:space="preserve">in </w:t>
      </w:r>
      <w:r w:rsidR="00EE48E7" w:rsidRPr="00E65AA7">
        <w:rPr>
          <w:rFonts w:hint="eastAsia"/>
          <w:sz w:val="20"/>
          <w:szCs w:val="20"/>
        </w:rPr>
        <w:t>VIX</w:t>
      </w:r>
      <w:r w:rsidR="00EE48E7" w:rsidRPr="00E65AA7">
        <w:rPr>
          <w:sz w:val="20"/>
          <w:szCs w:val="20"/>
        </w:rPr>
        <w:t xml:space="preserve"> (</w:t>
      </w:r>
      <w:r w:rsidR="00EE48E7" w:rsidRPr="00E65AA7">
        <w:rPr>
          <w:rFonts w:hint="eastAsia"/>
          <w:sz w:val="20"/>
          <w:szCs w:val="20"/>
        </w:rPr>
        <w:t>▲</w:t>
      </w:r>
      <w:r w:rsidR="00EE48E7" w:rsidRPr="00E65AA7">
        <w:rPr>
          <w:rFonts w:hint="eastAsia"/>
          <w:sz w:val="20"/>
          <w:szCs w:val="20"/>
        </w:rPr>
        <w:t>VIX</w:t>
      </w:r>
      <w:r w:rsidR="00EE48E7" w:rsidRPr="00E65AA7">
        <w:rPr>
          <w:sz w:val="20"/>
          <w:szCs w:val="20"/>
        </w:rPr>
        <w:t>)</w:t>
      </w:r>
      <w:r w:rsidR="00EE48E7" w:rsidRPr="00E65AA7">
        <w:rPr>
          <w:rFonts w:hint="eastAsia"/>
          <w:sz w:val="20"/>
          <w:szCs w:val="20"/>
        </w:rPr>
        <w:t xml:space="preserve">, </w:t>
      </w:r>
      <w:r w:rsidR="00EE48E7" w:rsidRPr="00E65AA7">
        <w:rPr>
          <w:sz w:val="20"/>
          <w:szCs w:val="20"/>
        </w:rPr>
        <w:t>changes</w:t>
      </w:r>
      <w:r w:rsidR="00EE48E7" w:rsidRPr="00E65AA7">
        <w:rPr>
          <w:rFonts w:hint="eastAsia"/>
          <w:sz w:val="20"/>
          <w:szCs w:val="20"/>
        </w:rPr>
        <w:t xml:space="preserve"> </w:t>
      </w:r>
      <w:r w:rsidR="00EE48E7" w:rsidRPr="00E65AA7">
        <w:rPr>
          <w:sz w:val="20"/>
          <w:szCs w:val="20"/>
        </w:rPr>
        <w:t xml:space="preserve">in </w:t>
      </w:r>
      <w:r w:rsidR="006003D9" w:rsidRPr="00E65AA7">
        <w:rPr>
          <w:rFonts w:hint="eastAsia"/>
          <w:sz w:val="20"/>
          <w:szCs w:val="20"/>
        </w:rPr>
        <w:t>P/C ratio</w:t>
      </w:r>
      <w:r w:rsidR="00EC61AC" w:rsidRPr="00E65AA7">
        <w:rPr>
          <w:sz w:val="20"/>
          <w:szCs w:val="20"/>
        </w:rPr>
        <w:t xml:space="preserve"> (</w:t>
      </w:r>
      <w:r w:rsidR="00EC61AC" w:rsidRPr="00E65AA7">
        <w:rPr>
          <w:rFonts w:hint="eastAsia"/>
          <w:sz w:val="20"/>
          <w:szCs w:val="20"/>
        </w:rPr>
        <w:t>▲</w:t>
      </w:r>
      <w:r w:rsidR="00EC61AC" w:rsidRPr="00E65AA7">
        <w:rPr>
          <w:rFonts w:hint="eastAsia"/>
          <w:sz w:val="20"/>
          <w:szCs w:val="20"/>
        </w:rPr>
        <w:t>P/C</w:t>
      </w:r>
      <w:r w:rsidR="00EC61AC" w:rsidRPr="00E65AA7">
        <w:rPr>
          <w:sz w:val="20"/>
          <w:szCs w:val="20"/>
        </w:rPr>
        <w:t>)</w:t>
      </w:r>
      <w:r w:rsidR="00EE48E7" w:rsidRPr="00E65AA7">
        <w:rPr>
          <w:sz w:val="20"/>
          <w:szCs w:val="20"/>
        </w:rPr>
        <w:t>, and bull-bear spread (BBS)</w:t>
      </w:r>
      <w:r w:rsidR="006003D9" w:rsidRPr="00E65AA7">
        <w:rPr>
          <w:rFonts w:hint="eastAsia"/>
          <w:sz w:val="20"/>
          <w:szCs w:val="20"/>
        </w:rPr>
        <w:t xml:space="preserve"> in month </w:t>
      </w:r>
      <w:r w:rsidR="004E2A76" w:rsidRPr="00E65AA7">
        <w:rPr>
          <w:rFonts w:hint="eastAsia"/>
          <w:i/>
          <w:sz w:val="20"/>
          <w:szCs w:val="20"/>
        </w:rPr>
        <w:t>t</w:t>
      </w:r>
      <w:r w:rsidR="006003D9" w:rsidRPr="00E65AA7">
        <w:rPr>
          <w:rFonts w:hint="eastAsia"/>
          <w:sz w:val="20"/>
          <w:szCs w:val="20"/>
        </w:rPr>
        <w:t xml:space="preserve">. We define lagged sentiment based on </w:t>
      </w:r>
      <w:r w:rsidR="00EE48E7" w:rsidRPr="00E65AA7">
        <w:rPr>
          <w:sz w:val="20"/>
          <w:szCs w:val="20"/>
        </w:rPr>
        <w:t xml:space="preserve">sentiment </w:t>
      </w:r>
      <w:r w:rsidR="0080663E">
        <w:rPr>
          <w:sz w:val="20"/>
          <w:szCs w:val="20"/>
        </w:rPr>
        <w:t>levels</w:t>
      </w:r>
      <w:r w:rsidR="00EE48E7" w:rsidRPr="00E65AA7">
        <w:rPr>
          <w:sz w:val="20"/>
          <w:szCs w:val="20"/>
        </w:rPr>
        <w:t xml:space="preserve"> index</w:t>
      </w:r>
      <w:r w:rsidR="004E787D" w:rsidRPr="00E65AA7">
        <w:rPr>
          <w:sz w:val="20"/>
          <w:szCs w:val="20"/>
        </w:rPr>
        <w:t xml:space="preserve"> in month </w:t>
      </w:r>
      <w:r w:rsidR="004E2A76" w:rsidRPr="00E65AA7">
        <w:rPr>
          <w:i/>
          <w:sz w:val="20"/>
          <w:szCs w:val="20"/>
        </w:rPr>
        <w:t>t</w:t>
      </w:r>
      <w:r w:rsidR="004E787D" w:rsidRPr="00E65AA7">
        <w:rPr>
          <w:sz w:val="20"/>
          <w:szCs w:val="20"/>
        </w:rPr>
        <w:t>-1</w:t>
      </w:r>
      <w:r w:rsidR="006003D9" w:rsidRPr="00E65AA7">
        <w:rPr>
          <w:rFonts w:hint="eastAsia"/>
          <w:sz w:val="20"/>
          <w:szCs w:val="20"/>
        </w:rPr>
        <w:t xml:space="preserve">, </w:t>
      </w:r>
      <w:r w:rsidR="006003D9" w:rsidRPr="00E65AA7">
        <w:rPr>
          <w:rFonts w:hint="eastAsia"/>
          <w:sz w:val="20"/>
          <w:szCs w:val="20"/>
        </w:rPr>
        <w:t>▲</w:t>
      </w:r>
      <w:r w:rsidR="006003D9" w:rsidRPr="00E65AA7">
        <w:rPr>
          <w:rFonts w:hint="eastAsia"/>
          <w:sz w:val="20"/>
          <w:szCs w:val="20"/>
        </w:rPr>
        <w:t xml:space="preserve">VIX in month </w:t>
      </w:r>
      <w:r w:rsidR="004E2A76" w:rsidRPr="00E65AA7">
        <w:rPr>
          <w:rFonts w:hint="eastAsia"/>
          <w:i/>
          <w:sz w:val="20"/>
          <w:szCs w:val="20"/>
        </w:rPr>
        <w:t>t</w:t>
      </w:r>
      <w:r w:rsidR="00EE48E7" w:rsidRPr="00E65AA7">
        <w:rPr>
          <w:rFonts w:hint="eastAsia"/>
          <w:sz w:val="20"/>
          <w:szCs w:val="20"/>
        </w:rPr>
        <w:t>-1,</w:t>
      </w:r>
      <w:r w:rsidR="006003D9" w:rsidRPr="00E65AA7">
        <w:rPr>
          <w:rFonts w:hint="eastAsia"/>
          <w:sz w:val="20"/>
          <w:szCs w:val="20"/>
        </w:rPr>
        <w:t xml:space="preserve"> </w:t>
      </w:r>
      <w:r w:rsidR="006003D9" w:rsidRPr="00E65AA7">
        <w:rPr>
          <w:rFonts w:hint="eastAsia"/>
          <w:sz w:val="20"/>
          <w:szCs w:val="20"/>
        </w:rPr>
        <w:t>▲</w:t>
      </w:r>
      <w:r w:rsidR="006003D9" w:rsidRPr="00E65AA7">
        <w:rPr>
          <w:rFonts w:hint="eastAsia"/>
          <w:sz w:val="20"/>
          <w:szCs w:val="20"/>
        </w:rPr>
        <w:t xml:space="preserve">P/C ratio in month </w:t>
      </w:r>
      <w:r w:rsidR="004E2A76" w:rsidRPr="00E65AA7">
        <w:rPr>
          <w:rFonts w:hint="eastAsia"/>
          <w:i/>
          <w:sz w:val="20"/>
          <w:szCs w:val="20"/>
        </w:rPr>
        <w:t>t</w:t>
      </w:r>
      <w:r w:rsidR="00DE1CB1" w:rsidRPr="00E65AA7">
        <w:rPr>
          <w:sz w:val="20"/>
          <w:szCs w:val="20"/>
        </w:rPr>
        <w:t>-1</w:t>
      </w:r>
      <w:r w:rsidR="00EE48E7" w:rsidRPr="00E65AA7">
        <w:rPr>
          <w:sz w:val="20"/>
          <w:szCs w:val="20"/>
        </w:rPr>
        <w:t xml:space="preserve">, and BBS in month </w:t>
      </w:r>
      <w:r w:rsidR="00EE48E7" w:rsidRPr="00E65AA7">
        <w:rPr>
          <w:i/>
          <w:sz w:val="20"/>
          <w:szCs w:val="20"/>
        </w:rPr>
        <w:t>t</w:t>
      </w:r>
      <w:r w:rsidR="00EE48E7" w:rsidRPr="00E65AA7">
        <w:rPr>
          <w:sz w:val="20"/>
          <w:szCs w:val="20"/>
        </w:rPr>
        <w:t>-1</w:t>
      </w:r>
      <w:r w:rsidR="006003D9" w:rsidRPr="00E65AA7">
        <w:rPr>
          <w:rFonts w:hint="eastAsia"/>
          <w:sz w:val="20"/>
          <w:szCs w:val="20"/>
        </w:rPr>
        <w:t xml:space="preserve">. </w:t>
      </w:r>
      <w:r w:rsidR="004E5434" w:rsidRPr="00E65AA7">
        <w:rPr>
          <w:sz w:val="20"/>
          <w:szCs w:val="20"/>
        </w:rPr>
        <w:t>High</w:t>
      </w:r>
      <w:r w:rsidR="004E5434" w:rsidRPr="00E65AA7">
        <w:rPr>
          <w:rFonts w:hint="eastAsia"/>
          <w:sz w:val="20"/>
          <w:szCs w:val="20"/>
        </w:rPr>
        <w:t xml:space="preserve"> (Low</w:t>
      </w:r>
      <w:r w:rsidR="006003D9" w:rsidRPr="00E65AA7">
        <w:rPr>
          <w:rFonts w:hint="eastAsia"/>
          <w:sz w:val="20"/>
          <w:szCs w:val="20"/>
        </w:rPr>
        <w:t>) sentiment s</w:t>
      </w:r>
      <w:r w:rsidR="007E54E1" w:rsidRPr="00E65AA7">
        <w:rPr>
          <w:sz w:val="20"/>
          <w:szCs w:val="20"/>
        </w:rPr>
        <w:t>t</w:t>
      </w:r>
      <w:r w:rsidR="006003D9" w:rsidRPr="00E65AA7">
        <w:rPr>
          <w:rFonts w:hint="eastAsia"/>
          <w:sz w:val="20"/>
          <w:szCs w:val="20"/>
        </w:rPr>
        <w:t xml:space="preserve">ates </w:t>
      </w:r>
      <w:r w:rsidR="006003D9" w:rsidRPr="00E65AA7">
        <w:rPr>
          <w:rFonts w:hint="eastAsia"/>
          <w:noProof/>
          <w:sz w:val="20"/>
          <w:szCs w:val="20"/>
        </w:rPr>
        <w:t>are based</w:t>
      </w:r>
      <w:r w:rsidR="006003D9" w:rsidRPr="00E65AA7">
        <w:rPr>
          <w:rFonts w:hint="eastAsia"/>
          <w:sz w:val="20"/>
          <w:szCs w:val="20"/>
        </w:rPr>
        <w:t xml:space="preserve"> on </w:t>
      </w:r>
      <w:r w:rsidR="004E5434" w:rsidRPr="00E65AA7">
        <w:rPr>
          <w:sz w:val="20"/>
          <w:szCs w:val="20"/>
        </w:rPr>
        <w:t xml:space="preserve">sentiment increases (decreases) in month </w:t>
      </w:r>
      <w:r w:rsidR="004E5434" w:rsidRPr="00E65AA7">
        <w:rPr>
          <w:i/>
          <w:sz w:val="20"/>
          <w:szCs w:val="20"/>
        </w:rPr>
        <w:t>t</w:t>
      </w:r>
      <w:r w:rsidR="006003D9" w:rsidRPr="00E65AA7">
        <w:rPr>
          <w:rFonts w:hint="eastAsia"/>
          <w:sz w:val="20"/>
          <w:szCs w:val="20"/>
        </w:rPr>
        <w:t xml:space="preserve">. </w:t>
      </w:r>
      <w:r w:rsidR="00C41F48" w:rsidRPr="00E65AA7">
        <w:rPr>
          <w:sz w:val="20"/>
          <w:szCs w:val="20"/>
        </w:rPr>
        <w:t>H</w:t>
      </w:r>
      <w:r w:rsidR="00C41F48" w:rsidRPr="00E65AA7">
        <w:rPr>
          <w:rFonts w:hint="eastAsia"/>
          <w:sz w:val="20"/>
          <w:szCs w:val="20"/>
        </w:rPr>
        <w:t>/H</w:t>
      </w:r>
      <w:r w:rsidR="006003D9" w:rsidRPr="00E65AA7">
        <w:rPr>
          <w:rFonts w:hint="eastAsia"/>
          <w:sz w:val="20"/>
          <w:szCs w:val="20"/>
        </w:rPr>
        <w:t xml:space="preserve"> (</w:t>
      </w:r>
      <w:r w:rsidR="00C41F48" w:rsidRPr="00E65AA7">
        <w:rPr>
          <w:rFonts w:hint="eastAsia"/>
          <w:sz w:val="20"/>
          <w:szCs w:val="20"/>
        </w:rPr>
        <w:t>L/L</w:t>
      </w:r>
      <w:r w:rsidR="006003D9" w:rsidRPr="00E65AA7">
        <w:rPr>
          <w:rFonts w:hint="eastAsia"/>
          <w:sz w:val="20"/>
          <w:szCs w:val="20"/>
        </w:rPr>
        <w:t xml:space="preserve">) sentiment states </w:t>
      </w:r>
      <w:r w:rsidR="006003D9" w:rsidRPr="00E65AA7">
        <w:rPr>
          <w:rFonts w:hint="eastAsia"/>
          <w:noProof/>
          <w:sz w:val="20"/>
          <w:szCs w:val="20"/>
        </w:rPr>
        <w:t xml:space="preserve">are </w:t>
      </w:r>
      <w:r w:rsidR="00C41F48" w:rsidRPr="00E65AA7">
        <w:rPr>
          <w:noProof/>
          <w:sz w:val="20"/>
          <w:szCs w:val="20"/>
        </w:rPr>
        <w:t>identified when subsequent sentiment continues to increase (decrease) following High (Low) sentiment state.</w:t>
      </w:r>
      <w:r w:rsidR="006003D9" w:rsidRPr="00E65AA7">
        <w:rPr>
          <w:sz w:val="20"/>
          <w:szCs w:val="20"/>
        </w:rPr>
        <w:t xml:space="preserve"> </w:t>
      </w:r>
      <w:r w:rsidR="00C41F48" w:rsidRPr="00E65AA7">
        <w:rPr>
          <w:sz w:val="20"/>
          <w:szCs w:val="20"/>
        </w:rPr>
        <w:t>H/L</w:t>
      </w:r>
      <w:r w:rsidR="006003D9" w:rsidRPr="00E65AA7">
        <w:rPr>
          <w:sz w:val="20"/>
          <w:szCs w:val="20"/>
        </w:rPr>
        <w:t xml:space="preserve"> (</w:t>
      </w:r>
      <w:r w:rsidR="00C41F48" w:rsidRPr="00E65AA7">
        <w:rPr>
          <w:sz w:val="20"/>
          <w:szCs w:val="20"/>
        </w:rPr>
        <w:t>L/H</w:t>
      </w:r>
      <w:r w:rsidR="006003D9" w:rsidRPr="00E65AA7">
        <w:rPr>
          <w:sz w:val="20"/>
          <w:szCs w:val="20"/>
        </w:rPr>
        <w:t xml:space="preserve">) states </w:t>
      </w:r>
      <w:r w:rsidR="006003D9" w:rsidRPr="00E65AA7">
        <w:rPr>
          <w:noProof/>
          <w:sz w:val="20"/>
          <w:szCs w:val="20"/>
        </w:rPr>
        <w:t xml:space="preserve">are </w:t>
      </w:r>
      <w:r w:rsidR="00304399" w:rsidRPr="00E65AA7">
        <w:rPr>
          <w:noProof/>
          <w:sz w:val="20"/>
          <w:szCs w:val="20"/>
        </w:rPr>
        <w:t>identified when subsequent sentiment decreases (increases) following High (Low) sentiment state.</w:t>
      </w:r>
    </w:p>
    <w:tbl>
      <w:tblPr>
        <w:tblW w:w="5000" w:type="pct"/>
        <w:tblLook w:val="04A0" w:firstRow="1" w:lastRow="0" w:firstColumn="1" w:lastColumn="0" w:noHBand="0" w:noVBand="1"/>
      </w:tblPr>
      <w:tblGrid>
        <w:gridCol w:w="5014"/>
        <w:gridCol w:w="1004"/>
        <w:gridCol w:w="1004"/>
        <w:gridCol w:w="1004"/>
        <w:gridCol w:w="1000"/>
      </w:tblGrid>
      <w:tr w:rsidR="00FD2861" w:rsidRPr="00E65AA7" w14:paraId="1ACB5A25" w14:textId="77777777" w:rsidTr="005E3379">
        <w:trPr>
          <w:trHeight w:hRule="exact" w:val="340"/>
        </w:trPr>
        <w:tc>
          <w:tcPr>
            <w:tcW w:w="5000" w:type="pct"/>
            <w:gridSpan w:val="5"/>
            <w:tcBorders>
              <w:top w:val="single" w:sz="4" w:space="0" w:color="auto"/>
              <w:left w:val="nil"/>
              <w:bottom w:val="single" w:sz="4" w:space="0" w:color="auto"/>
              <w:right w:val="nil"/>
            </w:tcBorders>
            <w:shd w:val="clear" w:color="auto" w:fill="auto"/>
            <w:vAlign w:val="center"/>
            <w:hideMark/>
          </w:tcPr>
          <w:p w14:paraId="1BF4D63B" w14:textId="2F6E46BA"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 xml:space="preserve">Panel </w:t>
            </w:r>
            <w:r w:rsidR="006435F1">
              <w:rPr>
                <w:rFonts w:eastAsia="Times New Roman"/>
                <w:color w:val="000000"/>
                <w:sz w:val="20"/>
                <w:szCs w:val="20"/>
                <w:lang w:eastAsia="en-MY"/>
              </w:rPr>
              <w:t>A</w:t>
            </w:r>
            <w:r w:rsidRPr="00E65AA7">
              <w:rPr>
                <w:rFonts w:eastAsia="Times New Roman"/>
                <w:color w:val="000000"/>
                <w:sz w:val="20"/>
                <w:szCs w:val="20"/>
                <w:lang w:eastAsia="en-MY"/>
              </w:rPr>
              <w:t>:</w:t>
            </w:r>
            <w:r w:rsidR="00D109CD">
              <w:rPr>
                <w:rFonts w:eastAsia="Times New Roman"/>
                <w:color w:val="000000"/>
                <w:sz w:val="20"/>
                <w:szCs w:val="20"/>
                <w:lang w:eastAsia="en-MY"/>
              </w:rPr>
              <w:t xml:space="preserve"> </w:t>
            </w:r>
            <w:r w:rsidR="0050583D" w:rsidRPr="00E65AA7">
              <w:rPr>
                <w:rFonts w:eastAsia="Times New Roman"/>
                <w:color w:val="000000"/>
                <w:sz w:val="20"/>
                <w:szCs w:val="20"/>
                <w:lang w:eastAsia="en-MY"/>
              </w:rPr>
              <w:t>Sentiment</w:t>
            </w:r>
            <w:r w:rsidR="00CF76B5" w:rsidRPr="00E65AA7">
              <w:rPr>
                <w:rFonts w:eastAsia="Times New Roman"/>
                <w:color w:val="000000"/>
                <w:sz w:val="20"/>
                <w:szCs w:val="20"/>
                <w:lang w:eastAsia="en-MY"/>
              </w:rPr>
              <w:t xml:space="preserve"> </w:t>
            </w:r>
            <w:r w:rsidR="00D109CD">
              <w:rPr>
                <w:rFonts w:eastAsia="Times New Roman"/>
                <w:color w:val="000000"/>
                <w:sz w:val="20"/>
                <w:szCs w:val="20"/>
                <w:lang w:eastAsia="en-MY"/>
              </w:rPr>
              <w:t>Dynamics</w:t>
            </w:r>
            <w:r w:rsidR="005E3379" w:rsidRPr="00E65AA7">
              <w:rPr>
                <w:rFonts w:eastAsia="Times New Roman"/>
                <w:color w:val="000000"/>
                <w:sz w:val="20"/>
                <w:szCs w:val="20"/>
                <w:lang w:eastAsia="en-MY"/>
              </w:rPr>
              <w:t xml:space="preserve"> and</w:t>
            </w:r>
            <w:r w:rsidR="00C92090" w:rsidRPr="00E65AA7">
              <w:rPr>
                <w:rFonts w:eastAsia="Times New Roman"/>
                <w:color w:val="000000"/>
                <w:sz w:val="20"/>
                <w:szCs w:val="20"/>
                <w:lang w:eastAsia="en-MY"/>
              </w:rPr>
              <w:t xml:space="preserve"> Returns</w:t>
            </w:r>
            <w:r w:rsidR="0057427F" w:rsidRPr="00E65AA7">
              <w:rPr>
                <w:rFonts w:eastAsia="Times New Roman"/>
                <w:color w:val="000000"/>
                <w:sz w:val="20"/>
                <w:szCs w:val="20"/>
                <w:lang w:eastAsia="en-MY"/>
              </w:rPr>
              <w:t xml:space="preserve"> on</w:t>
            </w:r>
            <w:r w:rsidR="00C92090" w:rsidRPr="00E65AA7">
              <w:rPr>
                <w:rFonts w:eastAsia="Times New Roman"/>
                <w:color w:val="000000"/>
                <w:sz w:val="20"/>
                <w:szCs w:val="20"/>
                <w:lang w:eastAsia="en-MY"/>
              </w:rPr>
              <w:t xml:space="preserve"> Hard-Minus-Easy to Value Stocks (HME)</w:t>
            </w:r>
          </w:p>
        </w:tc>
      </w:tr>
      <w:tr w:rsidR="00FD2861" w:rsidRPr="00E65AA7" w14:paraId="7328EE4E" w14:textId="77777777" w:rsidTr="005E3379">
        <w:trPr>
          <w:trHeight w:hRule="exact" w:val="340"/>
        </w:trPr>
        <w:tc>
          <w:tcPr>
            <w:tcW w:w="2778" w:type="pct"/>
            <w:tcBorders>
              <w:top w:val="single" w:sz="4" w:space="0" w:color="auto"/>
              <w:left w:val="nil"/>
              <w:right w:val="nil"/>
            </w:tcBorders>
            <w:shd w:val="clear" w:color="auto" w:fill="auto"/>
            <w:vAlign w:val="center"/>
            <w:hideMark/>
          </w:tcPr>
          <w:p w14:paraId="064E0693" w14:textId="55EE5987" w:rsidR="00FD2861" w:rsidRPr="00E65AA7" w:rsidRDefault="0050583D" w:rsidP="00361C09">
            <w:pPr>
              <w:jc w:val="both"/>
              <w:rPr>
                <w:rFonts w:eastAsia="Times New Roman"/>
                <w:color w:val="000000"/>
                <w:sz w:val="20"/>
                <w:szCs w:val="20"/>
                <w:lang w:eastAsia="en-MY"/>
              </w:rPr>
            </w:pPr>
            <w:r w:rsidRPr="00E65AA7">
              <w:rPr>
                <w:rFonts w:eastAsia="Times New Roman"/>
                <w:color w:val="000000"/>
                <w:sz w:val="20"/>
                <w:szCs w:val="20"/>
                <w:lang w:eastAsia="en-MY"/>
              </w:rPr>
              <w:t>Sentiment</w:t>
            </w:r>
          </w:p>
        </w:tc>
        <w:tc>
          <w:tcPr>
            <w:tcW w:w="556" w:type="pct"/>
            <w:tcBorders>
              <w:top w:val="single" w:sz="4" w:space="0" w:color="auto"/>
              <w:left w:val="nil"/>
              <w:right w:val="nil"/>
            </w:tcBorders>
            <w:shd w:val="clear" w:color="auto" w:fill="auto"/>
            <w:vAlign w:val="center"/>
            <w:hideMark/>
          </w:tcPr>
          <w:p w14:paraId="7A5EF3AA" w14:textId="474A3261" w:rsidR="00FD2861" w:rsidRPr="00E65AA7" w:rsidRDefault="00831E61" w:rsidP="00361C09">
            <w:pPr>
              <w:jc w:val="both"/>
              <w:rPr>
                <w:rFonts w:eastAsia="Times New Roman"/>
                <w:color w:val="000000"/>
                <w:sz w:val="20"/>
                <w:szCs w:val="20"/>
                <w:lang w:eastAsia="en-MY"/>
              </w:rPr>
            </w:pPr>
            <w:r w:rsidRPr="00E65AA7">
              <w:rPr>
                <w:rFonts w:eastAsia="Times New Roman"/>
                <w:color w:val="000000"/>
                <w:sz w:val="20"/>
                <w:szCs w:val="20"/>
                <w:lang w:eastAsia="en-MY"/>
              </w:rPr>
              <w:t>H</w:t>
            </w:r>
            <w:r w:rsidR="00F306DD" w:rsidRPr="00E65AA7">
              <w:rPr>
                <w:rFonts w:eastAsia="Times New Roman"/>
                <w:color w:val="000000"/>
                <w:sz w:val="20"/>
                <w:szCs w:val="20"/>
                <w:lang w:eastAsia="en-MY"/>
              </w:rPr>
              <w:t>/</w:t>
            </w:r>
            <w:r w:rsidRPr="00E65AA7">
              <w:rPr>
                <w:rFonts w:eastAsia="Times New Roman"/>
                <w:color w:val="000000"/>
                <w:sz w:val="20"/>
                <w:szCs w:val="20"/>
                <w:lang w:eastAsia="en-MY"/>
              </w:rPr>
              <w:t>H</w:t>
            </w:r>
          </w:p>
        </w:tc>
        <w:tc>
          <w:tcPr>
            <w:tcW w:w="556" w:type="pct"/>
            <w:tcBorders>
              <w:top w:val="single" w:sz="4" w:space="0" w:color="auto"/>
              <w:left w:val="nil"/>
              <w:right w:val="nil"/>
            </w:tcBorders>
            <w:shd w:val="clear" w:color="auto" w:fill="auto"/>
            <w:vAlign w:val="center"/>
            <w:hideMark/>
          </w:tcPr>
          <w:p w14:paraId="27B6BECA" w14:textId="226B25EC" w:rsidR="00FD2861" w:rsidRPr="00E65AA7" w:rsidRDefault="00C41A6A" w:rsidP="00361C09">
            <w:pPr>
              <w:jc w:val="both"/>
              <w:rPr>
                <w:rFonts w:eastAsia="Times New Roman"/>
                <w:color w:val="000000"/>
                <w:sz w:val="20"/>
                <w:szCs w:val="20"/>
                <w:lang w:eastAsia="en-MY"/>
              </w:rPr>
            </w:pPr>
            <w:r w:rsidRPr="00E65AA7">
              <w:rPr>
                <w:rFonts w:eastAsia="Times New Roman"/>
                <w:color w:val="000000"/>
                <w:sz w:val="20"/>
                <w:szCs w:val="20"/>
                <w:lang w:eastAsia="en-MY"/>
              </w:rPr>
              <w:t>H</w:t>
            </w:r>
            <w:r w:rsidR="00F306DD" w:rsidRPr="00E65AA7">
              <w:rPr>
                <w:rFonts w:eastAsia="Times New Roman"/>
                <w:color w:val="000000"/>
                <w:sz w:val="20"/>
                <w:szCs w:val="20"/>
                <w:lang w:eastAsia="en-MY"/>
              </w:rPr>
              <w:t>/</w:t>
            </w:r>
            <w:r w:rsidRPr="00E65AA7">
              <w:rPr>
                <w:rFonts w:eastAsia="Times New Roman"/>
                <w:color w:val="000000"/>
                <w:sz w:val="20"/>
                <w:szCs w:val="20"/>
                <w:lang w:eastAsia="en-MY"/>
              </w:rPr>
              <w:t>L</w:t>
            </w:r>
          </w:p>
        </w:tc>
        <w:tc>
          <w:tcPr>
            <w:tcW w:w="556" w:type="pct"/>
            <w:tcBorders>
              <w:top w:val="single" w:sz="4" w:space="0" w:color="auto"/>
              <w:left w:val="nil"/>
              <w:right w:val="nil"/>
            </w:tcBorders>
            <w:shd w:val="clear" w:color="auto" w:fill="auto"/>
            <w:vAlign w:val="center"/>
            <w:hideMark/>
          </w:tcPr>
          <w:p w14:paraId="28C212F1" w14:textId="69293CE7" w:rsidR="00FD2861" w:rsidRPr="00E65AA7" w:rsidRDefault="00C41A6A" w:rsidP="00361C09">
            <w:pPr>
              <w:jc w:val="both"/>
              <w:rPr>
                <w:rFonts w:eastAsia="Times New Roman"/>
                <w:color w:val="000000"/>
                <w:sz w:val="20"/>
                <w:szCs w:val="20"/>
                <w:lang w:eastAsia="en-MY"/>
              </w:rPr>
            </w:pPr>
            <w:r w:rsidRPr="00E65AA7">
              <w:rPr>
                <w:rFonts w:eastAsia="Times New Roman"/>
                <w:color w:val="000000"/>
                <w:sz w:val="20"/>
                <w:szCs w:val="20"/>
                <w:lang w:eastAsia="en-MY"/>
              </w:rPr>
              <w:t>L/H</w:t>
            </w:r>
          </w:p>
        </w:tc>
        <w:tc>
          <w:tcPr>
            <w:tcW w:w="554" w:type="pct"/>
            <w:tcBorders>
              <w:top w:val="single" w:sz="4" w:space="0" w:color="auto"/>
              <w:left w:val="nil"/>
              <w:right w:val="nil"/>
            </w:tcBorders>
            <w:shd w:val="clear" w:color="auto" w:fill="auto"/>
            <w:vAlign w:val="center"/>
            <w:hideMark/>
          </w:tcPr>
          <w:p w14:paraId="385D6CEF" w14:textId="3999412F" w:rsidR="00FD2861" w:rsidRPr="00E65AA7" w:rsidRDefault="00C41A6A" w:rsidP="00361C09">
            <w:pPr>
              <w:jc w:val="both"/>
              <w:rPr>
                <w:rFonts w:eastAsia="Times New Roman"/>
                <w:color w:val="000000"/>
                <w:sz w:val="20"/>
                <w:szCs w:val="20"/>
                <w:lang w:eastAsia="en-MY"/>
              </w:rPr>
            </w:pPr>
            <w:r w:rsidRPr="00E65AA7">
              <w:rPr>
                <w:rFonts w:eastAsia="Times New Roman"/>
                <w:color w:val="000000"/>
                <w:sz w:val="20"/>
                <w:szCs w:val="20"/>
                <w:lang w:eastAsia="en-MY"/>
              </w:rPr>
              <w:t>L/L</w:t>
            </w:r>
          </w:p>
        </w:tc>
      </w:tr>
      <w:tr w:rsidR="00FD2861" w:rsidRPr="00E65AA7" w14:paraId="7ED51E78" w14:textId="77777777" w:rsidTr="005E3379">
        <w:trPr>
          <w:trHeight w:hRule="exact" w:val="340"/>
        </w:trPr>
        <w:tc>
          <w:tcPr>
            <w:tcW w:w="2778" w:type="pct"/>
            <w:tcBorders>
              <w:top w:val="nil"/>
              <w:left w:val="nil"/>
              <w:bottom w:val="single" w:sz="4" w:space="0" w:color="auto"/>
              <w:right w:val="nil"/>
            </w:tcBorders>
            <w:shd w:val="clear" w:color="auto" w:fill="auto"/>
            <w:vAlign w:val="center"/>
            <w:hideMark/>
          </w:tcPr>
          <w:p w14:paraId="044B0C3E" w14:textId="7ABD2C85"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HME Premium</w:t>
            </w:r>
          </w:p>
        </w:tc>
        <w:tc>
          <w:tcPr>
            <w:tcW w:w="556" w:type="pct"/>
            <w:tcBorders>
              <w:top w:val="nil"/>
              <w:left w:val="nil"/>
              <w:bottom w:val="single" w:sz="4" w:space="0" w:color="auto"/>
              <w:right w:val="nil"/>
            </w:tcBorders>
            <w:shd w:val="clear" w:color="auto" w:fill="auto"/>
            <w:vAlign w:val="center"/>
            <w:hideMark/>
          </w:tcPr>
          <w:p w14:paraId="4E215B33" w14:textId="53A127A6"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Positive</w:t>
            </w:r>
          </w:p>
        </w:tc>
        <w:tc>
          <w:tcPr>
            <w:tcW w:w="556" w:type="pct"/>
            <w:tcBorders>
              <w:top w:val="nil"/>
              <w:left w:val="nil"/>
              <w:bottom w:val="single" w:sz="4" w:space="0" w:color="auto"/>
              <w:right w:val="nil"/>
            </w:tcBorders>
            <w:shd w:val="clear" w:color="auto" w:fill="auto"/>
            <w:vAlign w:val="center"/>
            <w:hideMark/>
          </w:tcPr>
          <w:p w14:paraId="70B4819A" w14:textId="4FCC360F"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Negative</w:t>
            </w:r>
          </w:p>
        </w:tc>
        <w:tc>
          <w:tcPr>
            <w:tcW w:w="556" w:type="pct"/>
            <w:tcBorders>
              <w:top w:val="nil"/>
              <w:left w:val="nil"/>
              <w:bottom w:val="single" w:sz="4" w:space="0" w:color="auto"/>
              <w:right w:val="nil"/>
            </w:tcBorders>
            <w:shd w:val="clear" w:color="auto" w:fill="auto"/>
            <w:vAlign w:val="center"/>
            <w:hideMark/>
          </w:tcPr>
          <w:p w14:paraId="57DCD520" w14:textId="11593FD8"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Positive</w:t>
            </w:r>
          </w:p>
        </w:tc>
        <w:tc>
          <w:tcPr>
            <w:tcW w:w="554" w:type="pct"/>
            <w:tcBorders>
              <w:top w:val="nil"/>
              <w:left w:val="nil"/>
              <w:bottom w:val="single" w:sz="4" w:space="0" w:color="auto"/>
              <w:right w:val="nil"/>
            </w:tcBorders>
            <w:shd w:val="clear" w:color="auto" w:fill="auto"/>
            <w:vAlign w:val="center"/>
            <w:hideMark/>
          </w:tcPr>
          <w:p w14:paraId="4DE900EB" w14:textId="30524694" w:rsidR="00FD2861" w:rsidRPr="00E65AA7" w:rsidRDefault="00FD2861" w:rsidP="00361C09">
            <w:pPr>
              <w:jc w:val="both"/>
              <w:rPr>
                <w:rFonts w:eastAsia="Times New Roman"/>
                <w:color w:val="000000"/>
                <w:sz w:val="20"/>
                <w:szCs w:val="20"/>
                <w:lang w:eastAsia="en-MY"/>
              </w:rPr>
            </w:pPr>
            <w:r w:rsidRPr="00E65AA7">
              <w:rPr>
                <w:rFonts w:eastAsia="Times New Roman"/>
                <w:color w:val="000000"/>
                <w:sz w:val="20"/>
                <w:szCs w:val="20"/>
                <w:lang w:eastAsia="en-MY"/>
              </w:rPr>
              <w:t>Negative</w:t>
            </w:r>
          </w:p>
        </w:tc>
      </w:tr>
    </w:tbl>
    <w:p w14:paraId="129EF7F4" w14:textId="36ECAF7B" w:rsidR="00391A95" w:rsidRPr="00E65AA7" w:rsidRDefault="00391A95" w:rsidP="00361C09">
      <w:pPr>
        <w:spacing w:after="120"/>
        <w:jc w:val="both"/>
        <w:rPr>
          <w:rFonts w:eastAsia="Times New Roman"/>
          <w:b/>
          <w:bCs/>
          <w:noProof/>
          <w:szCs w:val="20"/>
          <w:lang w:eastAsia="en-AU"/>
        </w:rPr>
      </w:pPr>
    </w:p>
    <w:tbl>
      <w:tblPr>
        <w:tblW w:w="5000" w:type="pct"/>
        <w:tblLook w:val="04A0" w:firstRow="1" w:lastRow="0" w:firstColumn="1" w:lastColumn="0" w:noHBand="0" w:noVBand="1"/>
      </w:tblPr>
      <w:tblGrid>
        <w:gridCol w:w="5014"/>
        <w:gridCol w:w="1004"/>
        <w:gridCol w:w="1004"/>
        <w:gridCol w:w="1004"/>
        <w:gridCol w:w="1000"/>
      </w:tblGrid>
      <w:tr w:rsidR="001C4DE6" w:rsidRPr="00E65AA7" w14:paraId="7131FDF8" w14:textId="77777777" w:rsidTr="007D14B2">
        <w:trPr>
          <w:trHeight w:hRule="exact" w:val="340"/>
        </w:trPr>
        <w:tc>
          <w:tcPr>
            <w:tcW w:w="5000" w:type="pct"/>
            <w:gridSpan w:val="5"/>
            <w:tcBorders>
              <w:top w:val="single" w:sz="4" w:space="0" w:color="auto"/>
              <w:left w:val="nil"/>
              <w:bottom w:val="single" w:sz="4" w:space="0" w:color="auto"/>
              <w:right w:val="nil"/>
            </w:tcBorders>
            <w:shd w:val="clear" w:color="auto" w:fill="auto"/>
            <w:vAlign w:val="center"/>
            <w:hideMark/>
          </w:tcPr>
          <w:p w14:paraId="70F13959" w14:textId="246D0A0F" w:rsidR="001C4DE6" w:rsidRPr="00E65AA7" w:rsidRDefault="001C4DE6" w:rsidP="007D14B2">
            <w:pPr>
              <w:jc w:val="both"/>
              <w:rPr>
                <w:rFonts w:eastAsia="Times New Roman"/>
                <w:color w:val="000000"/>
                <w:sz w:val="20"/>
                <w:szCs w:val="20"/>
                <w:lang w:eastAsia="en-MY"/>
              </w:rPr>
            </w:pPr>
            <w:r>
              <w:rPr>
                <w:rFonts w:eastAsia="Times New Roman"/>
                <w:color w:val="000000"/>
                <w:sz w:val="20"/>
                <w:szCs w:val="20"/>
                <w:lang w:eastAsia="en-MY"/>
              </w:rPr>
              <w:t xml:space="preserve">Panel </w:t>
            </w:r>
            <w:r w:rsidR="006435F1">
              <w:rPr>
                <w:rFonts w:eastAsia="Times New Roman"/>
                <w:color w:val="000000"/>
                <w:sz w:val="20"/>
                <w:szCs w:val="20"/>
                <w:lang w:eastAsia="en-MY"/>
              </w:rPr>
              <w:t>B</w:t>
            </w:r>
            <w:r w:rsidRPr="00E65AA7">
              <w:rPr>
                <w:rFonts w:eastAsia="Times New Roman"/>
                <w:color w:val="000000"/>
                <w:sz w:val="20"/>
                <w:szCs w:val="20"/>
                <w:lang w:eastAsia="en-MY"/>
              </w:rPr>
              <w:t>: Sentiment</w:t>
            </w:r>
            <w:r w:rsidR="00D109CD">
              <w:rPr>
                <w:rFonts w:eastAsia="Times New Roman"/>
                <w:color w:val="000000"/>
                <w:sz w:val="20"/>
                <w:szCs w:val="20"/>
                <w:lang w:eastAsia="en-MY"/>
              </w:rPr>
              <w:t xml:space="preserve"> Dynamics</w:t>
            </w:r>
            <w:r w:rsidRPr="00E65AA7">
              <w:rPr>
                <w:rFonts w:eastAsia="Times New Roman"/>
                <w:color w:val="000000"/>
                <w:sz w:val="20"/>
                <w:szCs w:val="20"/>
                <w:lang w:eastAsia="en-MY"/>
              </w:rPr>
              <w:t xml:space="preserve"> and </w:t>
            </w:r>
            <w:r w:rsidR="00C860E6">
              <w:rPr>
                <w:rFonts w:eastAsia="Times New Roman"/>
                <w:color w:val="000000"/>
                <w:sz w:val="20"/>
                <w:szCs w:val="20"/>
                <w:lang w:eastAsia="en-MY"/>
              </w:rPr>
              <w:t xml:space="preserve">Future </w:t>
            </w:r>
            <w:r w:rsidRPr="00E65AA7">
              <w:rPr>
                <w:rFonts w:eastAsia="Times New Roman"/>
                <w:color w:val="000000"/>
                <w:sz w:val="20"/>
                <w:szCs w:val="20"/>
                <w:lang w:eastAsia="en-MY"/>
              </w:rPr>
              <w:t xml:space="preserve">Returns </w:t>
            </w:r>
            <w:r w:rsidR="00C860E6">
              <w:rPr>
                <w:rFonts w:eastAsia="Times New Roman"/>
                <w:color w:val="000000"/>
                <w:sz w:val="20"/>
                <w:szCs w:val="20"/>
                <w:lang w:eastAsia="en-MY"/>
              </w:rPr>
              <w:t>of Stocks Sorted on Extreme Daily Returns</w:t>
            </w:r>
          </w:p>
        </w:tc>
      </w:tr>
      <w:tr w:rsidR="001C4DE6" w:rsidRPr="00E65AA7" w14:paraId="7B90CDC7" w14:textId="77777777" w:rsidTr="007D14B2">
        <w:trPr>
          <w:trHeight w:hRule="exact" w:val="340"/>
        </w:trPr>
        <w:tc>
          <w:tcPr>
            <w:tcW w:w="2778" w:type="pct"/>
            <w:tcBorders>
              <w:top w:val="single" w:sz="4" w:space="0" w:color="auto"/>
              <w:left w:val="nil"/>
              <w:right w:val="nil"/>
            </w:tcBorders>
            <w:shd w:val="clear" w:color="auto" w:fill="auto"/>
            <w:vAlign w:val="center"/>
            <w:hideMark/>
          </w:tcPr>
          <w:p w14:paraId="25E91000"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Sentiment</w:t>
            </w:r>
          </w:p>
        </w:tc>
        <w:tc>
          <w:tcPr>
            <w:tcW w:w="556" w:type="pct"/>
            <w:tcBorders>
              <w:top w:val="single" w:sz="4" w:space="0" w:color="auto"/>
              <w:left w:val="nil"/>
              <w:right w:val="nil"/>
            </w:tcBorders>
            <w:shd w:val="clear" w:color="auto" w:fill="auto"/>
            <w:vAlign w:val="center"/>
            <w:hideMark/>
          </w:tcPr>
          <w:p w14:paraId="7917A20B"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H/H</w:t>
            </w:r>
          </w:p>
        </w:tc>
        <w:tc>
          <w:tcPr>
            <w:tcW w:w="556" w:type="pct"/>
            <w:tcBorders>
              <w:top w:val="single" w:sz="4" w:space="0" w:color="auto"/>
              <w:left w:val="nil"/>
              <w:right w:val="nil"/>
            </w:tcBorders>
            <w:shd w:val="clear" w:color="auto" w:fill="auto"/>
            <w:vAlign w:val="center"/>
            <w:hideMark/>
          </w:tcPr>
          <w:p w14:paraId="1AB07C3B"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H/L</w:t>
            </w:r>
          </w:p>
        </w:tc>
        <w:tc>
          <w:tcPr>
            <w:tcW w:w="556" w:type="pct"/>
            <w:tcBorders>
              <w:top w:val="single" w:sz="4" w:space="0" w:color="auto"/>
              <w:left w:val="nil"/>
              <w:right w:val="nil"/>
            </w:tcBorders>
            <w:shd w:val="clear" w:color="auto" w:fill="auto"/>
            <w:vAlign w:val="center"/>
            <w:hideMark/>
          </w:tcPr>
          <w:p w14:paraId="7F9A9D33"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L/H</w:t>
            </w:r>
          </w:p>
        </w:tc>
        <w:tc>
          <w:tcPr>
            <w:tcW w:w="554" w:type="pct"/>
            <w:tcBorders>
              <w:top w:val="single" w:sz="4" w:space="0" w:color="auto"/>
              <w:left w:val="nil"/>
              <w:right w:val="nil"/>
            </w:tcBorders>
            <w:shd w:val="clear" w:color="auto" w:fill="auto"/>
            <w:vAlign w:val="center"/>
            <w:hideMark/>
          </w:tcPr>
          <w:p w14:paraId="698DAF73"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L/L</w:t>
            </w:r>
          </w:p>
        </w:tc>
      </w:tr>
      <w:tr w:rsidR="001C4DE6" w:rsidRPr="00E65AA7" w14:paraId="50CC2B3A" w14:textId="77777777" w:rsidTr="007D14B2">
        <w:trPr>
          <w:trHeight w:hRule="exact" w:val="340"/>
        </w:trPr>
        <w:tc>
          <w:tcPr>
            <w:tcW w:w="2778" w:type="pct"/>
            <w:tcBorders>
              <w:top w:val="nil"/>
              <w:left w:val="nil"/>
              <w:bottom w:val="single" w:sz="4" w:space="0" w:color="auto"/>
              <w:right w:val="nil"/>
            </w:tcBorders>
            <w:shd w:val="clear" w:color="auto" w:fill="auto"/>
            <w:vAlign w:val="center"/>
            <w:hideMark/>
          </w:tcPr>
          <w:p w14:paraId="7D3346EC" w14:textId="226A8828" w:rsidR="001C4DE6" w:rsidRPr="00E65AA7" w:rsidRDefault="00C860E6" w:rsidP="007D14B2">
            <w:pPr>
              <w:jc w:val="both"/>
              <w:rPr>
                <w:rFonts w:eastAsia="Times New Roman"/>
                <w:color w:val="000000"/>
                <w:sz w:val="20"/>
                <w:szCs w:val="20"/>
                <w:lang w:eastAsia="en-MY"/>
              </w:rPr>
            </w:pPr>
            <w:r>
              <w:rPr>
                <w:rFonts w:eastAsia="Times New Roman"/>
                <w:color w:val="000000"/>
                <w:sz w:val="20"/>
                <w:szCs w:val="20"/>
                <w:lang w:eastAsia="en-MY"/>
              </w:rPr>
              <w:t>MAX Effect</w:t>
            </w:r>
          </w:p>
        </w:tc>
        <w:tc>
          <w:tcPr>
            <w:tcW w:w="556" w:type="pct"/>
            <w:tcBorders>
              <w:top w:val="nil"/>
              <w:left w:val="nil"/>
              <w:bottom w:val="single" w:sz="4" w:space="0" w:color="auto"/>
              <w:right w:val="nil"/>
            </w:tcBorders>
            <w:shd w:val="clear" w:color="auto" w:fill="auto"/>
            <w:vAlign w:val="center"/>
            <w:hideMark/>
          </w:tcPr>
          <w:p w14:paraId="3334C0D9"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Positive</w:t>
            </w:r>
          </w:p>
        </w:tc>
        <w:tc>
          <w:tcPr>
            <w:tcW w:w="556" w:type="pct"/>
            <w:tcBorders>
              <w:top w:val="nil"/>
              <w:left w:val="nil"/>
              <w:bottom w:val="single" w:sz="4" w:space="0" w:color="auto"/>
              <w:right w:val="nil"/>
            </w:tcBorders>
            <w:shd w:val="clear" w:color="auto" w:fill="auto"/>
            <w:vAlign w:val="center"/>
            <w:hideMark/>
          </w:tcPr>
          <w:p w14:paraId="09D71B14"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Negative</w:t>
            </w:r>
          </w:p>
        </w:tc>
        <w:tc>
          <w:tcPr>
            <w:tcW w:w="556" w:type="pct"/>
            <w:tcBorders>
              <w:top w:val="nil"/>
              <w:left w:val="nil"/>
              <w:bottom w:val="single" w:sz="4" w:space="0" w:color="auto"/>
              <w:right w:val="nil"/>
            </w:tcBorders>
            <w:shd w:val="clear" w:color="auto" w:fill="auto"/>
            <w:vAlign w:val="center"/>
            <w:hideMark/>
          </w:tcPr>
          <w:p w14:paraId="1C36845E"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Positive</w:t>
            </w:r>
          </w:p>
        </w:tc>
        <w:tc>
          <w:tcPr>
            <w:tcW w:w="554" w:type="pct"/>
            <w:tcBorders>
              <w:top w:val="nil"/>
              <w:left w:val="nil"/>
              <w:bottom w:val="single" w:sz="4" w:space="0" w:color="auto"/>
              <w:right w:val="nil"/>
            </w:tcBorders>
            <w:shd w:val="clear" w:color="auto" w:fill="auto"/>
            <w:vAlign w:val="center"/>
            <w:hideMark/>
          </w:tcPr>
          <w:p w14:paraId="7280C32B" w14:textId="77777777" w:rsidR="001C4DE6" w:rsidRPr="00E65AA7" w:rsidRDefault="001C4DE6" w:rsidP="007D14B2">
            <w:pPr>
              <w:jc w:val="both"/>
              <w:rPr>
                <w:rFonts w:eastAsia="Times New Roman"/>
                <w:color w:val="000000"/>
                <w:sz w:val="20"/>
                <w:szCs w:val="20"/>
                <w:lang w:eastAsia="en-MY"/>
              </w:rPr>
            </w:pPr>
            <w:r w:rsidRPr="00E65AA7">
              <w:rPr>
                <w:rFonts w:eastAsia="Times New Roman"/>
                <w:color w:val="000000"/>
                <w:sz w:val="20"/>
                <w:szCs w:val="20"/>
                <w:lang w:eastAsia="en-MY"/>
              </w:rPr>
              <w:t>Negative</w:t>
            </w:r>
          </w:p>
        </w:tc>
      </w:tr>
    </w:tbl>
    <w:p w14:paraId="524DC4DD" w14:textId="77777777" w:rsidR="001C4DE6" w:rsidRPr="00E65AA7" w:rsidRDefault="001C4DE6" w:rsidP="00361C09">
      <w:pPr>
        <w:spacing w:after="120"/>
        <w:jc w:val="both"/>
        <w:rPr>
          <w:rFonts w:eastAsia="Times New Roman"/>
          <w:b/>
          <w:bCs/>
          <w:noProof/>
          <w:szCs w:val="20"/>
          <w:lang w:eastAsia="en-AU"/>
        </w:rPr>
        <w:sectPr w:rsidR="001C4DE6" w:rsidRPr="00E65AA7" w:rsidSect="008026F8">
          <w:footerReference w:type="default" r:id="rId10"/>
          <w:type w:val="continuous"/>
          <w:pgSz w:w="11906" w:h="16838" w:code="9"/>
          <w:pgMar w:top="1440" w:right="1440" w:bottom="1440" w:left="1440" w:header="709" w:footer="709" w:gutter="0"/>
          <w:cols w:space="708"/>
          <w:docGrid w:linePitch="360"/>
        </w:sectPr>
      </w:pPr>
    </w:p>
    <w:p w14:paraId="4F01457B" w14:textId="3F91C7E7" w:rsidR="00022CB9" w:rsidRPr="00E65AA7" w:rsidRDefault="00A96AAF" w:rsidP="00361C09">
      <w:pPr>
        <w:tabs>
          <w:tab w:val="left" w:pos="2041"/>
        </w:tabs>
        <w:spacing w:after="120"/>
        <w:jc w:val="both"/>
        <w:rPr>
          <w:rFonts w:eastAsia="Times New Roman"/>
          <w:bCs/>
          <w:noProof/>
          <w:sz w:val="20"/>
          <w:szCs w:val="20"/>
          <w:lang w:eastAsia="en-AU"/>
        </w:rPr>
      </w:pPr>
      <w:r w:rsidRPr="00E65AA7">
        <w:rPr>
          <w:b/>
          <w:sz w:val="20"/>
          <w:szCs w:val="20"/>
        </w:rPr>
        <w:lastRenderedPageBreak/>
        <w:t xml:space="preserve">Table </w:t>
      </w:r>
      <w:r w:rsidR="00925F9B" w:rsidRPr="00E65AA7">
        <w:rPr>
          <w:b/>
          <w:sz w:val="20"/>
          <w:szCs w:val="20"/>
        </w:rPr>
        <w:t>2</w:t>
      </w:r>
      <w:r w:rsidRPr="00E65AA7">
        <w:rPr>
          <w:b/>
          <w:sz w:val="20"/>
          <w:szCs w:val="20"/>
        </w:rPr>
        <w:t xml:space="preserve">: </w:t>
      </w:r>
      <w:r w:rsidR="007F588F" w:rsidRPr="00E65AA7">
        <w:rPr>
          <w:b/>
          <w:sz w:val="20"/>
          <w:szCs w:val="20"/>
        </w:rPr>
        <w:t>Summary Statistics and</w:t>
      </w:r>
      <w:r w:rsidR="002B2A3A" w:rsidRPr="00E65AA7">
        <w:rPr>
          <w:b/>
          <w:sz w:val="20"/>
          <w:szCs w:val="20"/>
        </w:rPr>
        <w:t xml:space="preserve"> Correlation Matrix of Investor</w:t>
      </w:r>
      <w:r w:rsidR="007F588F" w:rsidRPr="00E65AA7">
        <w:rPr>
          <w:b/>
          <w:sz w:val="20"/>
          <w:szCs w:val="20"/>
        </w:rPr>
        <w:t xml:space="preserve"> Sentiment Proxies</w:t>
      </w:r>
      <w:r w:rsidR="00F73390" w:rsidRPr="00E65AA7">
        <w:rPr>
          <w:b/>
          <w:sz w:val="20"/>
          <w:szCs w:val="20"/>
        </w:rPr>
        <w:t xml:space="preserve">, 1964 to 2014. </w:t>
      </w:r>
      <w:r w:rsidR="00022CB9" w:rsidRPr="00E65AA7">
        <w:rPr>
          <w:rFonts w:eastAsia="Times New Roman"/>
          <w:bCs/>
          <w:noProof/>
          <w:sz w:val="20"/>
          <w:szCs w:val="20"/>
          <w:lang w:eastAsia="en-AU"/>
        </w:rPr>
        <w:t>This table reports summary stati</w:t>
      </w:r>
      <w:r w:rsidR="000214FD" w:rsidRPr="00E65AA7">
        <w:rPr>
          <w:rFonts w:eastAsia="Times New Roman"/>
          <w:bCs/>
          <w:noProof/>
          <w:sz w:val="20"/>
          <w:szCs w:val="20"/>
          <w:lang w:eastAsia="en-AU"/>
        </w:rPr>
        <w:t>s</w:t>
      </w:r>
      <w:r w:rsidR="00022CB9" w:rsidRPr="00E65AA7">
        <w:rPr>
          <w:rFonts w:eastAsia="Times New Roman"/>
          <w:bCs/>
          <w:noProof/>
          <w:sz w:val="20"/>
          <w:szCs w:val="20"/>
          <w:lang w:eastAsia="en-AU"/>
        </w:rPr>
        <w:t xml:space="preserve">tics and correlation </w:t>
      </w:r>
      <w:r w:rsidR="002E00A3" w:rsidRPr="00E65AA7">
        <w:rPr>
          <w:rFonts w:eastAsia="Times New Roman"/>
          <w:bCs/>
          <w:noProof/>
          <w:sz w:val="20"/>
          <w:szCs w:val="20"/>
          <w:lang w:eastAsia="en-AU"/>
        </w:rPr>
        <w:t>coefficients</w:t>
      </w:r>
      <w:r w:rsidR="00996DA3" w:rsidRPr="00E65AA7">
        <w:rPr>
          <w:rFonts w:eastAsia="Times New Roman"/>
          <w:bCs/>
          <w:noProof/>
          <w:sz w:val="20"/>
          <w:szCs w:val="20"/>
          <w:lang w:eastAsia="en-AU"/>
        </w:rPr>
        <w:t xml:space="preserve"> of </w:t>
      </w:r>
      <w:r w:rsidR="00A63F4A" w:rsidRPr="00E65AA7">
        <w:rPr>
          <w:rFonts w:eastAsia="Times New Roman"/>
          <w:bCs/>
          <w:noProof/>
          <w:sz w:val="20"/>
          <w:szCs w:val="20"/>
          <w:lang w:eastAsia="en-AU"/>
        </w:rPr>
        <w:t xml:space="preserve">CRSP </w:t>
      </w:r>
      <w:r w:rsidR="00996DA3" w:rsidRPr="00E65AA7">
        <w:rPr>
          <w:rFonts w:eastAsia="Times New Roman"/>
          <w:bCs/>
          <w:noProof/>
          <w:sz w:val="20"/>
          <w:szCs w:val="20"/>
          <w:lang w:eastAsia="en-AU"/>
        </w:rPr>
        <w:t>value-weighted market returns and</w:t>
      </w:r>
      <w:r w:rsidR="00FD7B76" w:rsidRPr="00E65AA7">
        <w:rPr>
          <w:rFonts w:eastAsia="Times New Roman"/>
          <w:bCs/>
          <w:noProof/>
          <w:sz w:val="20"/>
          <w:szCs w:val="20"/>
          <w:lang w:eastAsia="en-AU"/>
        </w:rPr>
        <w:t xml:space="preserve"> </w:t>
      </w:r>
      <w:r w:rsidR="00022CB9" w:rsidRPr="00E65AA7">
        <w:rPr>
          <w:rFonts w:eastAsia="Times New Roman"/>
          <w:bCs/>
          <w:noProof/>
          <w:sz w:val="20"/>
          <w:szCs w:val="20"/>
          <w:lang w:eastAsia="en-AU"/>
        </w:rPr>
        <w:t xml:space="preserve">investor sentiment </w:t>
      </w:r>
      <w:r w:rsidR="00996DA3" w:rsidRPr="00E65AA7">
        <w:rPr>
          <w:rFonts w:eastAsia="Times New Roman"/>
          <w:bCs/>
          <w:noProof/>
          <w:sz w:val="20"/>
          <w:szCs w:val="20"/>
          <w:lang w:eastAsia="en-AU"/>
        </w:rPr>
        <w:t>proxies</w:t>
      </w:r>
      <w:r w:rsidR="00022CB9" w:rsidRPr="00E65AA7">
        <w:rPr>
          <w:rFonts w:eastAsia="Times New Roman"/>
          <w:bCs/>
          <w:noProof/>
          <w:sz w:val="20"/>
          <w:szCs w:val="20"/>
          <w:lang w:eastAsia="en-AU"/>
        </w:rPr>
        <w:t xml:space="preserve">.VW Ret </w:t>
      </w:r>
      <w:r w:rsidR="00925F9B" w:rsidRPr="00E65AA7">
        <w:rPr>
          <w:rFonts w:eastAsia="Times New Roman"/>
          <w:bCs/>
          <w:noProof/>
          <w:sz w:val="20"/>
          <w:szCs w:val="20"/>
          <w:lang w:eastAsia="en-AU"/>
        </w:rPr>
        <w:t>is</w:t>
      </w:r>
      <w:r w:rsidR="00022CB9" w:rsidRPr="00E65AA7">
        <w:rPr>
          <w:rFonts w:eastAsia="Times New Roman"/>
          <w:bCs/>
          <w:noProof/>
          <w:sz w:val="20"/>
          <w:szCs w:val="20"/>
          <w:lang w:eastAsia="en-AU"/>
        </w:rPr>
        <w:t xml:space="preserve"> the CRSP Value-weighted monthly returns in percentage</w:t>
      </w:r>
      <w:r w:rsidR="0073333E" w:rsidRPr="00E65AA7">
        <w:rPr>
          <w:rFonts w:eastAsia="Times New Roman"/>
          <w:bCs/>
          <w:noProof/>
          <w:sz w:val="20"/>
          <w:szCs w:val="20"/>
          <w:lang w:eastAsia="en-AU"/>
        </w:rPr>
        <w:t>;</w:t>
      </w:r>
      <w:r w:rsidR="00022CB9" w:rsidRPr="00E65AA7">
        <w:rPr>
          <w:rFonts w:eastAsia="Times New Roman"/>
          <w:bCs/>
          <w:noProof/>
          <w:sz w:val="20"/>
          <w:szCs w:val="20"/>
          <w:lang w:eastAsia="en-AU"/>
        </w:rPr>
        <w:t xml:space="preserve"> </w:t>
      </w:r>
      <w:r w:rsidR="006E3B3D" w:rsidRPr="00E65AA7">
        <w:rPr>
          <w:sz w:val="20"/>
          <w:szCs w:val="20"/>
        </w:rPr>
        <w:t>▲STM</w:t>
      </w:r>
      <w:r w:rsidR="006E3B3D" w:rsidRPr="00E65AA7">
        <w:rPr>
          <w:rFonts w:eastAsia="Times New Roman"/>
          <w:bCs/>
          <w:noProof/>
          <w:sz w:val="20"/>
          <w:szCs w:val="20"/>
          <w:lang w:eastAsia="en-AU"/>
        </w:rPr>
        <w:t xml:space="preserve"> is the Baker and Wurgler sentiment changes index</w:t>
      </w:r>
      <w:r w:rsidR="00996DA3" w:rsidRPr="00E65AA7">
        <w:rPr>
          <w:rFonts w:eastAsia="Times New Roman"/>
          <w:bCs/>
          <w:noProof/>
          <w:sz w:val="20"/>
          <w:szCs w:val="20"/>
          <w:lang w:eastAsia="en-AU"/>
        </w:rPr>
        <w:t xml:space="preserve">. </w:t>
      </w:r>
      <w:r w:rsidR="006E3B3D" w:rsidRPr="00E65AA7">
        <w:rPr>
          <w:rFonts w:eastAsia="Times New Roman"/>
          <w:bCs/>
          <w:noProof/>
          <w:sz w:val="20"/>
          <w:szCs w:val="20"/>
          <w:lang w:eastAsia="en-AU"/>
        </w:rPr>
        <w:t>STM</w:t>
      </w:r>
      <w:r w:rsidR="00497D64" w:rsidRPr="00E65AA7">
        <w:rPr>
          <w:rFonts w:eastAsia="Times New Roman"/>
          <w:bCs/>
          <w:noProof/>
          <w:sz w:val="20"/>
          <w:szCs w:val="20"/>
          <w:lang w:eastAsia="en-AU"/>
        </w:rPr>
        <w:t xml:space="preserve"> is the Baker and Wurgler </w:t>
      </w:r>
      <w:r w:rsidR="006E3B3D" w:rsidRPr="00E65AA7">
        <w:rPr>
          <w:rFonts w:eastAsia="Times New Roman"/>
          <w:bCs/>
          <w:noProof/>
          <w:sz w:val="20"/>
          <w:szCs w:val="20"/>
          <w:lang w:eastAsia="en-AU"/>
        </w:rPr>
        <w:t xml:space="preserve">sentiment levels </w:t>
      </w:r>
      <w:r w:rsidR="00497D64" w:rsidRPr="00E65AA7">
        <w:rPr>
          <w:rFonts w:eastAsia="Times New Roman"/>
          <w:bCs/>
          <w:noProof/>
          <w:sz w:val="20"/>
          <w:szCs w:val="20"/>
          <w:lang w:eastAsia="en-AU"/>
        </w:rPr>
        <w:t xml:space="preserve">index. </w:t>
      </w:r>
      <w:r w:rsidR="00022CB9" w:rsidRPr="00E65AA7">
        <w:rPr>
          <w:rFonts w:eastAsia="Times New Roman"/>
          <w:bCs/>
          <w:noProof/>
          <w:sz w:val="20"/>
          <w:szCs w:val="20"/>
          <w:lang w:eastAsia="en-AU"/>
        </w:rPr>
        <w:t xml:space="preserve">VIX </w:t>
      </w:r>
      <w:r w:rsidR="00925F9B" w:rsidRPr="00E65AA7">
        <w:rPr>
          <w:rFonts w:eastAsia="Times New Roman"/>
          <w:bCs/>
          <w:noProof/>
          <w:sz w:val="20"/>
          <w:szCs w:val="20"/>
          <w:lang w:eastAsia="en-AU"/>
        </w:rPr>
        <w:t>is</w:t>
      </w:r>
      <w:r w:rsidR="00022CB9" w:rsidRPr="00E65AA7">
        <w:rPr>
          <w:rFonts w:eastAsia="Times New Roman"/>
          <w:bCs/>
          <w:noProof/>
          <w:sz w:val="20"/>
          <w:szCs w:val="20"/>
          <w:lang w:eastAsia="en-AU"/>
        </w:rPr>
        <w:t xml:space="preserve"> the CBOE implied volatility index, and </w:t>
      </w:r>
      <w:r w:rsidR="00047858" w:rsidRPr="00E65AA7">
        <w:rPr>
          <w:rFonts w:eastAsia="Times New Roman"/>
          <w:bCs/>
          <w:noProof/>
          <w:sz w:val="20"/>
          <w:szCs w:val="20"/>
          <w:lang w:eastAsia="en-AU"/>
        </w:rPr>
        <w:t xml:space="preserve">the </w:t>
      </w:r>
      <w:r w:rsidR="00022CB9" w:rsidRPr="00E65AA7">
        <w:rPr>
          <w:rFonts w:eastAsia="Times New Roman"/>
          <w:bCs/>
          <w:noProof/>
          <w:sz w:val="20"/>
          <w:szCs w:val="20"/>
          <w:lang w:eastAsia="en-AU"/>
        </w:rPr>
        <w:t xml:space="preserve">Put-Call ratio </w:t>
      </w:r>
      <w:r w:rsidR="00925F9B" w:rsidRPr="00E65AA7">
        <w:rPr>
          <w:rFonts w:eastAsia="Times New Roman"/>
          <w:bCs/>
          <w:noProof/>
          <w:sz w:val="20"/>
          <w:szCs w:val="20"/>
          <w:lang w:eastAsia="en-AU"/>
        </w:rPr>
        <w:t>is</w:t>
      </w:r>
      <w:r w:rsidR="00022CB9" w:rsidRPr="00E65AA7">
        <w:rPr>
          <w:rFonts w:eastAsia="Times New Roman"/>
          <w:bCs/>
          <w:noProof/>
          <w:sz w:val="20"/>
          <w:szCs w:val="20"/>
          <w:lang w:eastAsia="en-AU"/>
        </w:rPr>
        <w:t xml:space="preserve"> the put to call ratio of CBOE options.</w:t>
      </w:r>
      <w:r w:rsidR="00E23488" w:rsidRPr="00E65AA7">
        <w:rPr>
          <w:rFonts w:eastAsia="Times New Roman"/>
          <w:bCs/>
          <w:noProof/>
          <w:sz w:val="20"/>
          <w:szCs w:val="20"/>
          <w:lang w:eastAsia="en-AU"/>
        </w:rPr>
        <w:t xml:space="preserve"> </w:t>
      </w:r>
      <w:r w:rsidR="00E97060" w:rsidRPr="00E65AA7">
        <w:rPr>
          <w:rFonts w:eastAsia="Times New Roman"/>
          <w:bCs/>
          <w:noProof/>
          <w:sz w:val="20"/>
          <w:szCs w:val="20"/>
          <w:lang w:eastAsia="en-AU"/>
        </w:rPr>
        <w:t xml:space="preserve">BBS is the average monthly bull-bear spread (%). </w:t>
      </w:r>
      <w:r w:rsidR="00E23488" w:rsidRPr="00E65AA7">
        <w:rPr>
          <w:rFonts w:eastAsia="Times New Roman"/>
          <w:bCs/>
          <w:noProof/>
          <w:sz w:val="20"/>
          <w:szCs w:val="20"/>
          <w:lang w:eastAsia="en-AU"/>
        </w:rPr>
        <w:t>The term a (b) indi</w:t>
      </w:r>
      <w:r w:rsidR="00047858" w:rsidRPr="00E65AA7">
        <w:rPr>
          <w:rFonts w:eastAsia="Times New Roman"/>
          <w:bCs/>
          <w:noProof/>
          <w:sz w:val="20"/>
          <w:szCs w:val="20"/>
          <w:lang w:eastAsia="en-AU"/>
        </w:rPr>
        <w:t>c</w:t>
      </w:r>
      <w:r w:rsidR="00E23488" w:rsidRPr="00E65AA7">
        <w:rPr>
          <w:rFonts w:eastAsia="Times New Roman"/>
          <w:bCs/>
          <w:noProof/>
          <w:sz w:val="20"/>
          <w:szCs w:val="20"/>
          <w:lang w:eastAsia="en-AU"/>
        </w:rPr>
        <w:t>ates a significant corr</w:t>
      </w:r>
      <w:r w:rsidR="00B63F8A" w:rsidRPr="00E65AA7">
        <w:rPr>
          <w:rFonts w:eastAsia="Times New Roman"/>
          <w:bCs/>
          <w:noProof/>
          <w:sz w:val="20"/>
          <w:szCs w:val="20"/>
          <w:lang w:eastAsia="en-AU"/>
        </w:rPr>
        <w:t>el</w:t>
      </w:r>
      <w:r w:rsidR="00E23488" w:rsidRPr="00E65AA7">
        <w:rPr>
          <w:rFonts w:eastAsia="Times New Roman"/>
          <w:bCs/>
          <w:noProof/>
          <w:sz w:val="20"/>
          <w:szCs w:val="20"/>
          <w:lang w:eastAsia="en-AU"/>
        </w:rPr>
        <w:t>ation coefficient at 99% (95%) confidence level.</w:t>
      </w:r>
    </w:p>
    <w:tbl>
      <w:tblPr>
        <w:tblW w:w="5000" w:type="pct"/>
        <w:tblBorders>
          <w:top w:val="single" w:sz="4" w:space="0" w:color="auto"/>
          <w:bottom w:val="single" w:sz="4" w:space="0" w:color="auto"/>
        </w:tblBorders>
        <w:tblLook w:val="04A0" w:firstRow="1" w:lastRow="0" w:firstColumn="1" w:lastColumn="0" w:noHBand="0" w:noVBand="1"/>
      </w:tblPr>
      <w:tblGrid>
        <w:gridCol w:w="1537"/>
        <w:gridCol w:w="1229"/>
        <w:gridCol w:w="1330"/>
        <w:gridCol w:w="1241"/>
        <w:gridCol w:w="1333"/>
        <w:gridCol w:w="1333"/>
        <w:gridCol w:w="1392"/>
        <w:gridCol w:w="1263"/>
        <w:gridCol w:w="1263"/>
        <w:gridCol w:w="1712"/>
        <w:gridCol w:w="1765"/>
      </w:tblGrid>
      <w:tr w:rsidR="007E5EE3" w:rsidRPr="00E65AA7" w14:paraId="28B00C95" w14:textId="77777777" w:rsidTr="005E3379">
        <w:trPr>
          <w:trHeight w:hRule="exact" w:val="340"/>
        </w:trPr>
        <w:tc>
          <w:tcPr>
            <w:tcW w:w="5000" w:type="pct"/>
            <w:gridSpan w:val="11"/>
            <w:tcBorders>
              <w:top w:val="single" w:sz="4" w:space="0" w:color="auto"/>
              <w:bottom w:val="single" w:sz="4" w:space="0" w:color="auto"/>
            </w:tcBorders>
            <w:shd w:val="clear" w:color="auto" w:fill="auto"/>
            <w:vAlign w:val="center"/>
          </w:tcPr>
          <w:p w14:paraId="04576AFD" w14:textId="68E847D0" w:rsidR="007E5EE3" w:rsidRPr="00E65AA7" w:rsidRDefault="008938FC" w:rsidP="00361C09">
            <w:pPr>
              <w:jc w:val="both"/>
              <w:rPr>
                <w:rFonts w:eastAsia="Times New Roman"/>
                <w:b/>
                <w:bCs/>
                <w:color w:val="000000"/>
                <w:sz w:val="20"/>
                <w:szCs w:val="20"/>
                <w:lang w:val="en-MY" w:eastAsia="en-MY"/>
              </w:rPr>
            </w:pPr>
            <w:r w:rsidRPr="00E65AA7">
              <w:rPr>
                <w:rFonts w:eastAsia="Times New Roman"/>
                <w:b/>
                <w:sz w:val="20"/>
                <w:szCs w:val="20"/>
                <w:lang w:val="en-MY" w:eastAsia="en-MY"/>
              </w:rPr>
              <w:t>Panel A</w:t>
            </w:r>
            <w:r w:rsidR="007E5EE3" w:rsidRPr="00E65AA7">
              <w:rPr>
                <w:rFonts w:eastAsia="Times New Roman"/>
                <w:b/>
                <w:sz w:val="20"/>
                <w:szCs w:val="20"/>
                <w:lang w:val="en-MY" w:eastAsia="en-MY"/>
              </w:rPr>
              <w:t xml:space="preserve">: </w:t>
            </w:r>
            <w:r w:rsidRPr="00E65AA7">
              <w:rPr>
                <w:rFonts w:eastAsia="Times New Roman"/>
                <w:b/>
                <w:sz w:val="20"/>
                <w:szCs w:val="20"/>
                <w:lang w:val="en-MY" w:eastAsia="en-MY"/>
              </w:rPr>
              <w:t xml:space="preserve">Summary </w:t>
            </w:r>
            <w:r w:rsidR="00A96AAF" w:rsidRPr="00E65AA7">
              <w:rPr>
                <w:rFonts w:eastAsia="Times New Roman"/>
                <w:b/>
                <w:sz w:val="20"/>
                <w:szCs w:val="20"/>
                <w:lang w:val="en-MY" w:eastAsia="en-MY"/>
              </w:rPr>
              <w:t>Statistics</w:t>
            </w:r>
          </w:p>
        </w:tc>
      </w:tr>
      <w:tr w:rsidR="007E5EE3" w:rsidRPr="00E65AA7" w14:paraId="11D95130" w14:textId="77777777" w:rsidTr="005E3379">
        <w:trPr>
          <w:trHeight w:hRule="exact" w:val="340"/>
        </w:trPr>
        <w:tc>
          <w:tcPr>
            <w:tcW w:w="499" w:type="pct"/>
            <w:tcBorders>
              <w:top w:val="single" w:sz="4" w:space="0" w:color="auto"/>
              <w:bottom w:val="single" w:sz="4" w:space="0" w:color="auto"/>
            </w:tcBorders>
            <w:shd w:val="clear" w:color="auto" w:fill="auto"/>
            <w:vAlign w:val="center"/>
            <w:hideMark/>
          </w:tcPr>
          <w:p w14:paraId="7B67DFAA" w14:textId="777777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Variable</w:t>
            </w:r>
          </w:p>
        </w:tc>
        <w:tc>
          <w:tcPr>
            <w:tcW w:w="399" w:type="pct"/>
            <w:tcBorders>
              <w:top w:val="single" w:sz="4" w:space="0" w:color="auto"/>
              <w:bottom w:val="single" w:sz="4" w:space="0" w:color="auto"/>
            </w:tcBorders>
            <w:shd w:val="clear" w:color="auto" w:fill="auto"/>
            <w:vAlign w:val="center"/>
            <w:hideMark/>
          </w:tcPr>
          <w:p w14:paraId="5AFC82A7" w14:textId="777777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N</w:t>
            </w:r>
          </w:p>
        </w:tc>
        <w:tc>
          <w:tcPr>
            <w:tcW w:w="432" w:type="pct"/>
            <w:tcBorders>
              <w:top w:val="single" w:sz="4" w:space="0" w:color="auto"/>
              <w:bottom w:val="single" w:sz="4" w:space="0" w:color="auto"/>
            </w:tcBorders>
            <w:shd w:val="clear" w:color="auto" w:fill="auto"/>
            <w:vAlign w:val="center"/>
            <w:hideMark/>
          </w:tcPr>
          <w:p w14:paraId="242D314A" w14:textId="777777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Mean</w:t>
            </w:r>
          </w:p>
        </w:tc>
        <w:tc>
          <w:tcPr>
            <w:tcW w:w="403" w:type="pct"/>
            <w:tcBorders>
              <w:top w:val="single" w:sz="4" w:space="0" w:color="auto"/>
              <w:bottom w:val="single" w:sz="4" w:space="0" w:color="auto"/>
            </w:tcBorders>
            <w:shd w:val="clear" w:color="auto" w:fill="auto"/>
            <w:vAlign w:val="center"/>
            <w:hideMark/>
          </w:tcPr>
          <w:p w14:paraId="74C89795" w14:textId="22976BC0"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Std Dev</w:t>
            </w:r>
          </w:p>
        </w:tc>
        <w:tc>
          <w:tcPr>
            <w:tcW w:w="433" w:type="pct"/>
            <w:tcBorders>
              <w:top w:val="single" w:sz="4" w:space="0" w:color="auto"/>
              <w:bottom w:val="single" w:sz="4" w:space="0" w:color="auto"/>
            </w:tcBorders>
            <w:shd w:val="clear" w:color="auto" w:fill="auto"/>
            <w:vAlign w:val="center"/>
            <w:hideMark/>
          </w:tcPr>
          <w:p w14:paraId="6F13E0E0" w14:textId="076DB3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10%</w:t>
            </w:r>
          </w:p>
        </w:tc>
        <w:tc>
          <w:tcPr>
            <w:tcW w:w="433" w:type="pct"/>
            <w:tcBorders>
              <w:top w:val="single" w:sz="4" w:space="0" w:color="auto"/>
              <w:bottom w:val="single" w:sz="4" w:space="0" w:color="auto"/>
            </w:tcBorders>
            <w:shd w:val="clear" w:color="auto" w:fill="auto"/>
            <w:vAlign w:val="center"/>
            <w:hideMark/>
          </w:tcPr>
          <w:p w14:paraId="68A6D4CD" w14:textId="57B2F538"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25%</w:t>
            </w:r>
          </w:p>
        </w:tc>
        <w:tc>
          <w:tcPr>
            <w:tcW w:w="452" w:type="pct"/>
            <w:tcBorders>
              <w:top w:val="single" w:sz="4" w:space="0" w:color="auto"/>
              <w:bottom w:val="single" w:sz="4" w:space="0" w:color="auto"/>
            </w:tcBorders>
            <w:shd w:val="clear" w:color="auto" w:fill="auto"/>
            <w:vAlign w:val="center"/>
            <w:hideMark/>
          </w:tcPr>
          <w:p w14:paraId="633EBE2C" w14:textId="3A04A05B"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Median</w:t>
            </w:r>
          </w:p>
        </w:tc>
        <w:tc>
          <w:tcPr>
            <w:tcW w:w="410" w:type="pct"/>
            <w:tcBorders>
              <w:top w:val="single" w:sz="4" w:space="0" w:color="auto"/>
              <w:bottom w:val="single" w:sz="4" w:space="0" w:color="auto"/>
            </w:tcBorders>
            <w:shd w:val="clear" w:color="auto" w:fill="auto"/>
            <w:vAlign w:val="center"/>
            <w:hideMark/>
          </w:tcPr>
          <w:p w14:paraId="791287EE" w14:textId="775AFCB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75%</w:t>
            </w:r>
          </w:p>
        </w:tc>
        <w:tc>
          <w:tcPr>
            <w:tcW w:w="410" w:type="pct"/>
            <w:tcBorders>
              <w:top w:val="single" w:sz="4" w:space="0" w:color="auto"/>
              <w:bottom w:val="single" w:sz="4" w:space="0" w:color="auto"/>
            </w:tcBorders>
            <w:shd w:val="clear" w:color="auto" w:fill="auto"/>
            <w:vAlign w:val="center"/>
            <w:hideMark/>
          </w:tcPr>
          <w:p w14:paraId="56F5AF85" w14:textId="2D6F8578"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90%</w:t>
            </w:r>
          </w:p>
        </w:tc>
        <w:tc>
          <w:tcPr>
            <w:tcW w:w="556" w:type="pct"/>
            <w:tcBorders>
              <w:top w:val="single" w:sz="4" w:space="0" w:color="auto"/>
              <w:bottom w:val="single" w:sz="4" w:space="0" w:color="auto"/>
            </w:tcBorders>
            <w:shd w:val="clear" w:color="auto" w:fill="auto"/>
            <w:vAlign w:val="center"/>
            <w:hideMark/>
          </w:tcPr>
          <w:p w14:paraId="2A5B571C" w14:textId="777777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Minimum</w:t>
            </w:r>
          </w:p>
        </w:tc>
        <w:tc>
          <w:tcPr>
            <w:tcW w:w="573" w:type="pct"/>
            <w:tcBorders>
              <w:top w:val="single" w:sz="4" w:space="0" w:color="auto"/>
              <w:bottom w:val="single" w:sz="4" w:space="0" w:color="auto"/>
            </w:tcBorders>
            <w:shd w:val="clear" w:color="auto" w:fill="auto"/>
            <w:vAlign w:val="center"/>
            <w:hideMark/>
          </w:tcPr>
          <w:p w14:paraId="0D29A631" w14:textId="77777777" w:rsidR="007E5EE3" w:rsidRPr="00E65AA7" w:rsidRDefault="007E5EE3" w:rsidP="00361C09">
            <w:pPr>
              <w:jc w:val="both"/>
              <w:rPr>
                <w:rFonts w:eastAsia="Times New Roman"/>
                <w:b/>
                <w:bCs/>
                <w:color w:val="000000"/>
                <w:sz w:val="20"/>
                <w:szCs w:val="20"/>
                <w:lang w:val="en-MY" w:eastAsia="en-MY"/>
              </w:rPr>
            </w:pPr>
            <w:r w:rsidRPr="00E65AA7">
              <w:rPr>
                <w:rFonts w:eastAsia="Times New Roman"/>
                <w:b/>
                <w:bCs/>
                <w:color w:val="000000"/>
                <w:sz w:val="20"/>
                <w:szCs w:val="20"/>
                <w:lang w:val="en-MY" w:eastAsia="en-MY"/>
              </w:rPr>
              <w:t>Maximum</w:t>
            </w:r>
          </w:p>
        </w:tc>
      </w:tr>
      <w:tr w:rsidR="00656060" w:rsidRPr="00E65AA7" w14:paraId="6B5577DA" w14:textId="77777777" w:rsidTr="005E3379">
        <w:trPr>
          <w:trHeight w:hRule="exact" w:val="340"/>
        </w:trPr>
        <w:tc>
          <w:tcPr>
            <w:tcW w:w="499" w:type="pct"/>
            <w:tcBorders>
              <w:top w:val="single" w:sz="4" w:space="0" w:color="auto"/>
              <w:bottom w:val="nil"/>
            </w:tcBorders>
            <w:shd w:val="clear" w:color="auto" w:fill="auto"/>
            <w:vAlign w:val="center"/>
            <w:hideMark/>
          </w:tcPr>
          <w:p w14:paraId="590C586E" w14:textId="7432B68B" w:rsidR="00656060" w:rsidRPr="00E65AA7" w:rsidRDefault="00656060" w:rsidP="00656060">
            <w:pPr>
              <w:jc w:val="both"/>
              <w:rPr>
                <w:rFonts w:eastAsia="Times New Roman"/>
                <w:b/>
                <w:bCs/>
                <w:color w:val="000000"/>
                <w:sz w:val="20"/>
                <w:szCs w:val="20"/>
                <w:lang w:val="en-MY" w:eastAsia="en-MY"/>
              </w:rPr>
            </w:pPr>
            <w:r w:rsidRPr="00E65AA7">
              <w:rPr>
                <w:rFonts w:eastAsia="Times New Roman"/>
                <w:color w:val="000000"/>
                <w:sz w:val="20"/>
                <w:szCs w:val="20"/>
                <w:lang w:val="en-MY" w:eastAsia="en-MY"/>
              </w:rPr>
              <w:t>VWRET (%)</w:t>
            </w:r>
          </w:p>
        </w:tc>
        <w:tc>
          <w:tcPr>
            <w:tcW w:w="399" w:type="pct"/>
            <w:tcBorders>
              <w:top w:val="single" w:sz="4" w:space="0" w:color="auto"/>
              <w:bottom w:val="nil"/>
            </w:tcBorders>
            <w:shd w:val="clear" w:color="auto" w:fill="auto"/>
            <w:vAlign w:val="center"/>
            <w:hideMark/>
          </w:tcPr>
          <w:p w14:paraId="49A9646E" w14:textId="72ED4534"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606</w:t>
            </w:r>
          </w:p>
        </w:tc>
        <w:tc>
          <w:tcPr>
            <w:tcW w:w="432" w:type="pct"/>
            <w:tcBorders>
              <w:top w:val="single" w:sz="4" w:space="0" w:color="auto"/>
              <w:bottom w:val="nil"/>
            </w:tcBorders>
            <w:shd w:val="clear" w:color="auto" w:fill="auto"/>
            <w:vAlign w:val="center"/>
            <w:hideMark/>
          </w:tcPr>
          <w:p w14:paraId="027E9C18" w14:textId="668169FD"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0.89</w:t>
            </w:r>
          </w:p>
        </w:tc>
        <w:tc>
          <w:tcPr>
            <w:tcW w:w="403" w:type="pct"/>
            <w:tcBorders>
              <w:top w:val="single" w:sz="4" w:space="0" w:color="auto"/>
              <w:bottom w:val="nil"/>
            </w:tcBorders>
            <w:shd w:val="clear" w:color="auto" w:fill="auto"/>
            <w:vAlign w:val="center"/>
            <w:hideMark/>
          </w:tcPr>
          <w:p w14:paraId="4E36E6D0" w14:textId="678F472A"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4.32</w:t>
            </w:r>
          </w:p>
        </w:tc>
        <w:tc>
          <w:tcPr>
            <w:tcW w:w="433" w:type="pct"/>
            <w:tcBorders>
              <w:top w:val="single" w:sz="4" w:space="0" w:color="auto"/>
              <w:bottom w:val="nil"/>
            </w:tcBorders>
            <w:shd w:val="clear" w:color="auto" w:fill="auto"/>
            <w:noWrap/>
            <w:vAlign w:val="center"/>
            <w:hideMark/>
          </w:tcPr>
          <w:p w14:paraId="3EA6EDD5" w14:textId="59EB0F8D"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-4.44</w:t>
            </w:r>
          </w:p>
        </w:tc>
        <w:tc>
          <w:tcPr>
            <w:tcW w:w="433" w:type="pct"/>
            <w:tcBorders>
              <w:top w:val="single" w:sz="4" w:space="0" w:color="auto"/>
              <w:bottom w:val="nil"/>
            </w:tcBorders>
            <w:shd w:val="clear" w:color="auto" w:fill="auto"/>
            <w:noWrap/>
            <w:vAlign w:val="center"/>
            <w:hideMark/>
          </w:tcPr>
          <w:p w14:paraId="24FEDC59" w14:textId="5A55FEED"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-1.56</w:t>
            </w:r>
          </w:p>
        </w:tc>
        <w:tc>
          <w:tcPr>
            <w:tcW w:w="452" w:type="pct"/>
            <w:tcBorders>
              <w:top w:val="single" w:sz="4" w:space="0" w:color="auto"/>
              <w:bottom w:val="nil"/>
            </w:tcBorders>
            <w:shd w:val="clear" w:color="auto" w:fill="auto"/>
            <w:vAlign w:val="center"/>
            <w:hideMark/>
          </w:tcPr>
          <w:p w14:paraId="6057FF3F" w14:textId="176CAAE9"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1.13</w:t>
            </w:r>
          </w:p>
        </w:tc>
        <w:tc>
          <w:tcPr>
            <w:tcW w:w="410" w:type="pct"/>
            <w:tcBorders>
              <w:top w:val="single" w:sz="4" w:space="0" w:color="auto"/>
              <w:bottom w:val="nil"/>
            </w:tcBorders>
            <w:shd w:val="clear" w:color="auto" w:fill="auto"/>
            <w:vAlign w:val="center"/>
            <w:hideMark/>
          </w:tcPr>
          <w:p w14:paraId="2AE80794" w14:textId="0403B024"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3.74</w:t>
            </w:r>
          </w:p>
        </w:tc>
        <w:tc>
          <w:tcPr>
            <w:tcW w:w="410" w:type="pct"/>
            <w:tcBorders>
              <w:top w:val="single" w:sz="4" w:space="0" w:color="auto"/>
              <w:bottom w:val="nil"/>
            </w:tcBorders>
            <w:shd w:val="clear" w:color="auto" w:fill="auto"/>
            <w:vAlign w:val="center"/>
            <w:hideMark/>
          </w:tcPr>
          <w:p w14:paraId="22777DA0" w14:textId="4EBB5109"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5.87</w:t>
            </w:r>
          </w:p>
        </w:tc>
        <w:tc>
          <w:tcPr>
            <w:tcW w:w="556" w:type="pct"/>
            <w:tcBorders>
              <w:top w:val="single" w:sz="4" w:space="0" w:color="auto"/>
              <w:bottom w:val="nil"/>
            </w:tcBorders>
            <w:shd w:val="clear" w:color="auto" w:fill="auto"/>
            <w:noWrap/>
            <w:vAlign w:val="center"/>
            <w:hideMark/>
          </w:tcPr>
          <w:p w14:paraId="5D1B3A31" w14:textId="16351DA4"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-21.58</w:t>
            </w:r>
          </w:p>
        </w:tc>
        <w:tc>
          <w:tcPr>
            <w:tcW w:w="573" w:type="pct"/>
            <w:tcBorders>
              <w:top w:val="single" w:sz="4" w:space="0" w:color="auto"/>
              <w:bottom w:val="nil"/>
            </w:tcBorders>
            <w:shd w:val="clear" w:color="auto" w:fill="auto"/>
            <w:vAlign w:val="center"/>
            <w:hideMark/>
          </w:tcPr>
          <w:p w14:paraId="7894462F" w14:textId="48495CE2"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16.81</w:t>
            </w:r>
          </w:p>
        </w:tc>
      </w:tr>
      <w:tr w:rsidR="002A4109" w:rsidRPr="00E65AA7" w14:paraId="65FD621F" w14:textId="77777777" w:rsidTr="005E3379">
        <w:trPr>
          <w:trHeight w:hRule="exact" w:val="340"/>
        </w:trPr>
        <w:tc>
          <w:tcPr>
            <w:tcW w:w="499" w:type="pct"/>
            <w:tcBorders>
              <w:top w:val="nil"/>
            </w:tcBorders>
            <w:shd w:val="clear" w:color="auto" w:fill="auto"/>
            <w:vAlign w:val="center"/>
          </w:tcPr>
          <w:p w14:paraId="521B3F99" w14:textId="59715DA2" w:rsidR="002A4109" w:rsidRPr="00E65AA7" w:rsidRDefault="00B06723" w:rsidP="002A4109">
            <w:pPr>
              <w:jc w:val="both"/>
              <w:rPr>
                <w:rFonts w:eastAsia="Times New Roman"/>
                <w:color w:val="000000"/>
                <w:sz w:val="20"/>
                <w:szCs w:val="20"/>
                <w:lang w:val="en-MY" w:eastAsia="en-MY"/>
              </w:rPr>
            </w:pPr>
            <w:r w:rsidRPr="00E65AA7">
              <w:rPr>
                <w:sz w:val="20"/>
                <w:szCs w:val="20"/>
              </w:rPr>
              <w:t>▲STM</w:t>
            </w:r>
          </w:p>
        </w:tc>
        <w:tc>
          <w:tcPr>
            <w:tcW w:w="399" w:type="pct"/>
            <w:tcBorders>
              <w:top w:val="nil"/>
            </w:tcBorders>
            <w:shd w:val="clear" w:color="auto" w:fill="auto"/>
            <w:vAlign w:val="center"/>
          </w:tcPr>
          <w:p w14:paraId="7A63ACBE" w14:textId="75B5FD2D"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593</w:t>
            </w:r>
          </w:p>
        </w:tc>
        <w:tc>
          <w:tcPr>
            <w:tcW w:w="432" w:type="pct"/>
            <w:tcBorders>
              <w:top w:val="nil"/>
            </w:tcBorders>
            <w:shd w:val="clear" w:color="auto" w:fill="auto"/>
            <w:vAlign w:val="center"/>
          </w:tcPr>
          <w:p w14:paraId="5CE6DEE5" w14:textId="6E37BF77"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0.00</w:t>
            </w:r>
          </w:p>
        </w:tc>
        <w:tc>
          <w:tcPr>
            <w:tcW w:w="403" w:type="pct"/>
            <w:tcBorders>
              <w:top w:val="nil"/>
            </w:tcBorders>
            <w:shd w:val="clear" w:color="auto" w:fill="auto"/>
            <w:vAlign w:val="center"/>
          </w:tcPr>
          <w:p w14:paraId="2001EA5C" w14:textId="3BBC8BD0"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1.00</w:t>
            </w:r>
          </w:p>
        </w:tc>
        <w:tc>
          <w:tcPr>
            <w:tcW w:w="433" w:type="pct"/>
            <w:tcBorders>
              <w:top w:val="nil"/>
            </w:tcBorders>
            <w:shd w:val="clear" w:color="auto" w:fill="auto"/>
            <w:noWrap/>
            <w:vAlign w:val="center"/>
          </w:tcPr>
          <w:p w14:paraId="048885DF" w14:textId="42649ABC"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-1.19</w:t>
            </w:r>
          </w:p>
        </w:tc>
        <w:tc>
          <w:tcPr>
            <w:tcW w:w="433" w:type="pct"/>
            <w:tcBorders>
              <w:top w:val="nil"/>
            </w:tcBorders>
            <w:shd w:val="clear" w:color="auto" w:fill="auto"/>
            <w:noWrap/>
            <w:vAlign w:val="center"/>
          </w:tcPr>
          <w:p w14:paraId="04846334" w14:textId="34352F0E"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-0.53</w:t>
            </w:r>
          </w:p>
        </w:tc>
        <w:tc>
          <w:tcPr>
            <w:tcW w:w="452" w:type="pct"/>
            <w:tcBorders>
              <w:top w:val="nil"/>
            </w:tcBorders>
            <w:shd w:val="clear" w:color="auto" w:fill="auto"/>
            <w:vAlign w:val="center"/>
          </w:tcPr>
          <w:p w14:paraId="65DE754A" w14:textId="08724742"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0.0</w:t>
            </w:r>
            <w:r w:rsidR="00F27887" w:rsidRPr="00E65AA7">
              <w:rPr>
                <w:rFonts w:eastAsia="Times New Roman"/>
                <w:color w:val="000000"/>
                <w:sz w:val="20"/>
                <w:szCs w:val="20"/>
                <w:lang w:val="en-MY" w:eastAsia="en-MY"/>
              </w:rPr>
              <w:t>0</w:t>
            </w:r>
          </w:p>
        </w:tc>
        <w:tc>
          <w:tcPr>
            <w:tcW w:w="410" w:type="pct"/>
            <w:tcBorders>
              <w:top w:val="nil"/>
            </w:tcBorders>
            <w:shd w:val="clear" w:color="auto" w:fill="auto"/>
            <w:vAlign w:val="center"/>
          </w:tcPr>
          <w:p w14:paraId="224688F4" w14:textId="1653FDD2" w:rsidR="002A4109" w:rsidRPr="00E65AA7" w:rsidRDefault="002A4109" w:rsidP="002A4109">
            <w:pPr>
              <w:jc w:val="both"/>
              <w:rPr>
                <w:color w:val="000000"/>
                <w:sz w:val="20"/>
                <w:szCs w:val="20"/>
              </w:rPr>
            </w:pPr>
            <w:r w:rsidRPr="00E65AA7">
              <w:rPr>
                <w:rFonts w:eastAsia="Times New Roman"/>
                <w:color w:val="000000"/>
                <w:sz w:val="20"/>
                <w:szCs w:val="20"/>
                <w:lang w:val="en-MY" w:eastAsia="en-MY"/>
              </w:rPr>
              <w:t>0.5</w:t>
            </w:r>
            <w:r w:rsidR="00F27887" w:rsidRPr="00E65AA7">
              <w:rPr>
                <w:rFonts w:eastAsia="Times New Roman"/>
                <w:color w:val="000000"/>
                <w:sz w:val="20"/>
                <w:szCs w:val="20"/>
                <w:lang w:val="en-MY" w:eastAsia="en-MY"/>
              </w:rPr>
              <w:t>5</w:t>
            </w:r>
          </w:p>
        </w:tc>
        <w:tc>
          <w:tcPr>
            <w:tcW w:w="410" w:type="pct"/>
            <w:tcBorders>
              <w:top w:val="nil"/>
            </w:tcBorders>
            <w:shd w:val="clear" w:color="auto" w:fill="auto"/>
            <w:vAlign w:val="center"/>
          </w:tcPr>
          <w:p w14:paraId="0700AFCB" w14:textId="106375A5" w:rsidR="002A4109" w:rsidRPr="00E65AA7" w:rsidRDefault="00F27887" w:rsidP="002A4109">
            <w:pPr>
              <w:jc w:val="both"/>
              <w:rPr>
                <w:color w:val="000000"/>
                <w:sz w:val="20"/>
                <w:szCs w:val="20"/>
              </w:rPr>
            </w:pPr>
            <w:r w:rsidRPr="00E65AA7">
              <w:rPr>
                <w:rFonts w:eastAsia="Times New Roman"/>
                <w:color w:val="000000"/>
                <w:sz w:val="20"/>
                <w:szCs w:val="20"/>
                <w:lang w:val="en-MY" w:eastAsia="en-MY"/>
              </w:rPr>
              <w:t>1.</w:t>
            </w:r>
            <w:r w:rsidR="002A4109" w:rsidRPr="00E65AA7">
              <w:rPr>
                <w:rFonts w:eastAsia="Times New Roman"/>
                <w:color w:val="000000"/>
                <w:sz w:val="20"/>
                <w:szCs w:val="20"/>
                <w:lang w:val="en-MY" w:eastAsia="en-MY"/>
              </w:rPr>
              <w:t>1</w:t>
            </w:r>
            <w:r w:rsidRPr="00E65AA7">
              <w:rPr>
                <w:rFonts w:eastAsia="Times New Roman"/>
                <w:color w:val="000000"/>
                <w:sz w:val="20"/>
                <w:szCs w:val="20"/>
                <w:lang w:val="en-MY" w:eastAsia="en-MY"/>
              </w:rPr>
              <w:t>0</w:t>
            </w:r>
          </w:p>
        </w:tc>
        <w:tc>
          <w:tcPr>
            <w:tcW w:w="556" w:type="pct"/>
            <w:tcBorders>
              <w:top w:val="nil"/>
            </w:tcBorders>
            <w:shd w:val="clear" w:color="auto" w:fill="auto"/>
            <w:noWrap/>
            <w:vAlign w:val="center"/>
          </w:tcPr>
          <w:p w14:paraId="4064A63C" w14:textId="1E8F6D05" w:rsidR="002A4109" w:rsidRPr="00E65AA7" w:rsidRDefault="00F27887" w:rsidP="002A4109">
            <w:pPr>
              <w:jc w:val="both"/>
              <w:rPr>
                <w:color w:val="000000"/>
                <w:sz w:val="20"/>
                <w:szCs w:val="20"/>
              </w:rPr>
            </w:pPr>
            <w:r w:rsidRPr="00E65AA7">
              <w:rPr>
                <w:rFonts w:eastAsia="Times New Roman"/>
                <w:color w:val="000000"/>
                <w:sz w:val="20"/>
                <w:szCs w:val="20"/>
                <w:lang w:val="en-MY" w:eastAsia="en-MY"/>
              </w:rPr>
              <w:t>-3.53</w:t>
            </w:r>
          </w:p>
        </w:tc>
        <w:tc>
          <w:tcPr>
            <w:tcW w:w="573" w:type="pct"/>
            <w:tcBorders>
              <w:top w:val="nil"/>
            </w:tcBorders>
            <w:shd w:val="clear" w:color="auto" w:fill="auto"/>
            <w:vAlign w:val="center"/>
          </w:tcPr>
          <w:p w14:paraId="704A1B12" w14:textId="62285A70" w:rsidR="002A4109" w:rsidRPr="00E65AA7" w:rsidRDefault="008B36FC" w:rsidP="002A4109">
            <w:pPr>
              <w:jc w:val="both"/>
              <w:rPr>
                <w:color w:val="000000"/>
                <w:sz w:val="20"/>
                <w:szCs w:val="20"/>
              </w:rPr>
            </w:pPr>
            <w:r w:rsidRPr="00E65AA7">
              <w:rPr>
                <w:color w:val="000000"/>
                <w:sz w:val="20"/>
                <w:szCs w:val="20"/>
              </w:rPr>
              <w:t>4.37</w:t>
            </w:r>
          </w:p>
        </w:tc>
      </w:tr>
      <w:tr w:rsidR="00656060" w:rsidRPr="00E65AA7" w14:paraId="6C7557CC" w14:textId="77777777" w:rsidTr="005E3379">
        <w:trPr>
          <w:trHeight w:hRule="exact" w:val="340"/>
        </w:trPr>
        <w:tc>
          <w:tcPr>
            <w:tcW w:w="499" w:type="pct"/>
            <w:shd w:val="clear" w:color="auto" w:fill="auto"/>
            <w:vAlign w:val="center"/>
          </w:tcPr>
          <w:p w14:paraId="23FEFC7D" w14:textId="380C35D0" w:rsidR="00656060" w:rsidRPr="00E65AA7" w:rsidRDefault="00B06723"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STM</w:t>
            </w:r>
          </w:p>
        </w:tc>
        <w:tc>
          <w:tcPr>
            <w:tcW w:w="399" w:type="pct"/>
            <w:shd w:val="clear" w:color="auto" w:fill="auto"/>
            <w:vAlign w:val="center"/>
          </w:tcPr>
          <w:p w14:paraId="08291E68" w14:textId="0B98043A"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594</w:t>
            </w:r>
          </w:p>
        </w:tc>
        <w:tc>
          <w:tcPr>
            <w:tcW w:w="432" w:type="pct"/>
            <w:shd w:val="clear" w:color="auto" w:fill="auto"/>
            <w:vAlign w:val="center"/>
          </w:tcPr>
          <w:p w14:paraId="2C802AD6" w14:textId="722AAC37"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0.00</w:t>
            </w:r>
          </w:p>
        </w:tc>
        <w:tc>
          <w:tcPr>
            <w:tcW w:w="403" w:type="pct"/>
            <w:shd w:val="clear" w:color="auto" w:fill="auto"/>
            <w:vAlign w:val="center"/>
          </w:tcPr>
          <w:p w14:paraId="4BF83047" w14:textId="770BB310"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1.0</w:t>
            </w:r>
            <w:r w:rsidR="002A4109" w:rsidRPr="00E65AA7">
              <w:rPr>
                <w:rFonts w:eastAsia="Times New Roman"/>
                <w:color w:val="000000"/>
                <w:sz w:val="20"/>
                <w:szCs w:val="20"/>
                <w:lang w:val="en-MY" w:eastAsia="en-MY"/>
              </w:rPr>
              <w:t>0</w:t>
            </w:r>
          </w:p>
        </w:tc>
        <w:tc>
          <w:tcPr>
            <w:tcW w:w="433" w:type="pct"/>
            <w:shd w:val="clear" w:color="auto" w:fill="auto"/>
            <w:noWrap/>
            <w:vAlign w:val="center"/>
          </w:tcPr>
          <w:p w14:paraId="0B60FA26" w14:textId="5BA0CAEA"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-1.48</w:t>
            </w:r>
          </w:p>
        </w:tc>
        <w:tc>
          <w:tcPr>
            <w:tcW w:w="433" w:type="pct"/>
            <w:shd w:val="clear" w:color="auto" w:fill="auto"/>
            <w:noWrap/>
            <w:vAlign w:val="center"/>
          </w:tcPr>
          <w:p w14:paraId="22693BEE" w14:textId="76D6F9CD"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-0.55</w:t>
            </w:r>
          </w:p>
        </w:tc>
        <w:tc>
          <w:tcPr>
            <w:tcW w:w="452" w:type="pct"/>
            <w:shd w:val="clear" w:color="auto" w:fill="auto"/>
            <w:vAlign w:val="center"/>
          </w:tcPr>
          <w:p w14:paraId="3A2CCED0" w14:textId="3FEC1A91"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0.05</w:t>
            </w:r>
          </w:p>
        </w:tc>
        <w:tc>
          <w:tcPr>
            <w:tcW w:w="410" w:type="pct"/>
            <w:shd w:val="clear" w:color="auto" w:fill="auto"/>
            <w:vAlign w:val="center"/>
          </w:tcPr>
          <w:p w14:paraId="6406C1A0" w14:textId="7ECD6107"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0.53</w:t>
            </w:r>
          </w:p>
        </w:tc>
        <w:tc>
          <w:tcPr>
            <w:tcW w:w="410" w:type="pct"/>
            <w:shd w:val="clear" w:color="auto" w:fill="auto"/>
            <w:vAlign w:val="center"/>
          </w:tcPr>
          <w:p w14:paraId="723EFC93" w14:textId="11187686"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1.01</w:t>
            </w:r>
          </w:p>
        </w:tc>
        <w:tc>
          <w:tcPr>
            <w:tcW w:w="556" w:type="pct"/>
            <w:shd w:val="clear" w:color="auto" w:fill="auto"/>
            <w:noWrap/>
            <w:vAlign w:val="center"/>
          </w:tcPr>
          <w:p w14:paraId="756C915B" w14:textId="58B6416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-2.33</w:t>
            </w:r>
          </w:p>
        </w:tc>
        <w:tc>
          <w:tcPr>
            <w:tcW w:w="573" w:type="pct"/>
            <w:shd w:val="clear" w:color="auto" w:fill="auto"/>
            <w:vAlign w:val="center"/>
          </w:tcPr>
          <w:p w14:paraId="611136EF" w14:textId="0D29C530"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3.08</w:t>
            </w:r>
          </w:p>
        </w:tc>
      </w:tr>
      <w:tr w:rsidR="00656060" w:rsidRPr="00E65AA7" w14:paraId="6BB7947D" w14:textId="77777777" w:rsidTr="005E3379">
        <w:trPr>
          <w:trHeight w:hRule="exact" w:val="340"/>
        </w:trPr>
        <w:tc>
          <w:tcPr>
            <w:tcW w:w="499" w:type="pct"/>
            <w:shd w:val="clear" w:color="auto" w:fill="auto"/>
            <w:vAlign w:val="center"/>
            <w:hideMark/>
          </w:tcPr>
          <w:p w14:paraId="5FB31238" w14:textId="0B75EF95" w:rsidR="00656060" w:rsidRPr="00E65AA7" w:rsidRDefault="00656060" w:rsidP="00656060">
            <w:pPr>
              <w:jc w:val="both"/>
              <w:rPr>
                <w:rFonts w:eastAsia="Times New Roman"/>
                <w:b/>
                <w:bCs/>
                <w:color w:val="000000"/>
                <w:sz w:val="20"/>
                <w:szCs w:val="20"/>
                <w:lang w:val="en-MY" w:eastAsia="en-MY"/>
              </w:rPr>
            </w:pPr>
            <w:r w:rsidRPr="00E65AA7">
              <w:rPr>
                <w:rFonts w:eastAsia="Times New Roman"/>
                <w:color w:val="000000"/>
                <w:sz w:val="20"/>
                <w:szCs w:val="20"/>
                <w:lang w:val="en-MY" w:eastAsia="en-MY"/>
              </w:rPr>
              <w:t>VIX</w:t>
            </w:r>
          </w:p>
        </w:tc>
        <w:tc>
          <w:tcPr>
            <w:tcW w:w="399" w:type="pct"/>
            <w:shd w:val="clear" w:color="auto" w:fill="auto"/>
            <w:vAlign w:val="center"/>
            <w:hideMark/>
          </w:tcPr>
          <w:p w14:paraId="73CEDF42" w14:textId="0B358685"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300</w:t>
            </w:r>
          </w:p>
        </w:tc>
        <w:tc>
          <w:tcPr>
            <w:tcW w:w="432" w:type="pct"/>
            <w:shd w:val="clear" w:color="auto" w:fill="auto"/>
            <w:vAlign w:val="center"/>
            <w:hideMark/>
          </w:tcPr>
          <w:p w14:paraId="6257DCE9" w14:textId="1952EB3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19.96</w:t>
            </w:r>
          </w:p>
        </w:tc>
        <w:tc>
          <w:tcPr>
            <w:tcW w:w="403" w:type="pct"/>
            <w:shd w:val="clear" w:color="auto" w:fill="auto"/>
            <w:vAlign w:val="center"/>
            <w:hideMark/>
          </w:tcPr>
          <w:p w14:paraId="5FC2D340" w14:textId="2E10EAAD"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7.74</w:t>
            </w:r>
          </w:p>
        </w:tc>
        <w:tc>
          <w:tcPr>
            <w:tcW w:w="433" w:type="pct"/>
            <w:shd w:val="clear" w:color="auto" w:fill="auto"/>
            <w:vAlign w:val="center"/>
            <w:hideMark/>
          </w:tcPr>
          <w:p w14:paraId="0F60EC1C" w14:textId="77715C31"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12.35</w:t>
            </w:r>
          </w:p>
        </w:tc>
        <w:tc>
          <w:tcPr>
            <w:tcW w:w="433" w:type="pct"/>
            <w:shd w:val="clear" w:color="auto" w:fill="auto"/>
            <w:vAlign w:val="center"/>
            <w:hideMark/>
          </w:tcPr>
          <w:p w14:paraId="144EA326" w14:textId="1437630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14.20</w:t>
            </w:r>
          </w:p>
        </w:tc>
        <w:tc>
          <w:tcPr>
            <w:tcW w:w="452" w:type="pct"/>
            <w:shd w:val="clear" w:color="auto" w:fill="auto"/>
            <w:vAlign w:val="center"/>
            <w:hideMark/>
          </w:tcPr>
          <w:p w14:paraId="27D5AC64" w14:textId="4BDB2FB4"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17.80</w:t>
            </w:r>
          </w:p>
        </w:tc>
        <w:tc>
          <w:tcPr>
            <w:tcW w:w="410" w:type="pct"/>
            <w:shd w:val="clear" w:color="auto" w:fill="auto"/>
            <w:vAlign w:val="center"/>
            <w:hideMark/>
          </w:tcPr>
          <w:p w14:paraId="4B434C06" w14:textId="54E948C0"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23.67</w:t>
            </w:r>
          </w:p>
        </w:tc>
        <w:tc>
          <w:tcPr>
            <w:tcW w:w="410" w:type="pct"/>
            <w:shd w:val="clear" w:color="auto" w:fill="auto"/>
            <w:vAlign w:val="center"/>
            <w:hideMark/>
          </w:tcPr>
          <w:p w14:paraId="6FC857E5" w14:textId="448C9942"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28.97</w:t>
            </w:r>
          </w:p>
        </w:tc>
        <w:tc>
          <w:tcPr>
            <w:tcW w:w="556" w:type="pct"/>
            <w:shd w:val="clear" w:color="auto" w:fill="auto"/>
            <w:vAlign w:val="center"/>
            <w:hideMark/>
          </w:tcPr>
          <w:p w14:paraId="73E0E499" w14:textId="1B62703E"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10.82</w:t>
            </w:r>
          </w:p>
        </w:tc>
        <w:tc>
          <w:tcPr>
            <w:tcW w:w="573" w:type="pct"/>
            <w:shd w:val="clear" w:color="auto" w:fill="auto"/>
            <w:vAlign w:val="center"/>
            <w:hideMark/>
          </w:tcPr>
          <w:p w14:paraId="15AEBDE4" w14:textId="76303FB5"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62.64</w:t>
            </w:r>
          </w:p>
        </w:tc>
      </w:tr>
      <w:tr w:rsidR="00656060" w:rsidRPr="00E65AA7" w14:paraId="2F7E1DE0" w14:textId="77777777" w:rsidTr="005E3379">
        <w:trPr>
          <w:trHeight w:hRule="exact" w:val="340"/>
        </w:trPr>
        <w:tc>
          <w:tcPr>
            <w:tcW w:w="499" w:type="pct"/>
            <w:shd w:val="clear" w:color="auto" w:fill="auto"/>
            <w:vAlign w:val="center"/>
            <w:hideMark/>
          </w:tcPr>
          <w:p w14:paraId="7CC8763E" w14:textId="57957067" w:rsidR="00656060" w:rsidRPr="00E65AA7" w:rsidRDefault="00656060" w:rsidP="00656060">
            <w:pPr>
              <w:jc w:val="both"/>
              <w:rPr>
                <w:rFonts w:eastAsia="Times New Roman"/>
                <w:b/>
                <w:bCs/>
                <w:color w:val="000000"/>
                <w:sz w:val="20"/>
                <w:szCs w:val="20"/>
                <w:lang w:val="en-MY" w:eastAsia="en-MY"/>
              </w:rPr>
            </w:pPr>
            <w:r w:rsidRPr="00E65AA7">
              <w:rPr>
                <w:rFonts w:eastAsia="Times New Roman"/>
                <w:color w:val="000000"/>
                <w:sz w:val="20"/>
                <w:szCs w:val="20"/>
                <w:lang w:val="en-MY" w:eastAsia="en-MY"/>
              </w:rPr>
              <w:t>Put-Call</w:t>
            </w:r>
          </w:p>
        </w:tc>
        <w:tc>
          <w:tcPr>
            <w:tcW w:w="399" w:type="pct"/>
            <w:shd w:val="clear" w:color="auto" w:fill="auto"/>
            <w:vAlign w:val="center"/>
            <w:hideMark/>
          </w:tcPr>
          <w:p w14:paraId="316D2C06" w14:textId="52D8A0E0"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232</w:t>
            </w:r>
          </w:p>
        </w:tc>
        <w:tc>
          <w:tcPr>
            <w:tcW w:w="432" w:type="pct"/>
            <w:shd w:val="clear" w:color="auto" w:fill="auto"/>
            <w:vAlign w:val="center"/>
            <w:hideMark/>
          </w:tcPr>
          <w:p w14:paraId="443EB3A0" w14:textId="3AB5DB62"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0.83</w:t>
            </w:r>
          </w:p>
        </w:tc>
        <w:tc>
          <w:tcPr>
            <w:tcW w:w="403" w:type="pct"/>
            <w:shd w:val="clear" w:color="auto" w:fill="auto"/>
            <w:vAlign w:val="center"/>
            <w:hideMark/>
          </w:tcPr>
          <w:p w14:paraId="347DEBF9" w14:textId="4AD299E3"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0.16</w:t>
            </w:r>
          </w:p>
        </w:tc>
        <w:tc>
          <w:tcPr>
            <w:tcW w:w="433" w:type="pct"/>
            <w:shd w:val="clear" w:color="auto" w:fill="auto"/>
            <w:vAlign w:val="center"/>
            <w:hideMark/>
          </w:tcPr>
          <w:p w14:paraId="29F39874" w14:textId="51230BDA"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0.62</w:t>
            </w:r>
          </w:p>
        </w:tc>
        <w:tc>
          <w:tcPr>
            <w:tcW w:w="433" w:type="pct"/>
            <w:shd w:val="clear" w:color="auto" w:fill="auto"/>
            <w:vAlign w:val="center"/>
            <w:hideMark/>
          </w:tcPr>
          <w:p w14:paraId="012C6C31" w14:textId="06FD87AB"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0.72</w:t>
            </w:r>
          </w:p>
        </w:tc>
        <w:tc>
          <w:tcPr>
            <w:tcW w:w="452" w:type="pct"/>
            <w:shd w:val="clear" w:color="auto" w:fill="auto"/>
            <w:vAlign w:val="center"/>
            <w:hideMark/>
          </w:tcPr>
          <w:p w14:paraId="203F434F" w14:textId="091C3C47"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0.84</w:t>
            </w:r>
          </w:p>
        </w:tc>
        <w:tc>
          <w:tcPr>
            <w:tcW w:w="410" w:type="pct"/>
            <w:shd w:val="clear" w:color="auto" w:fill="auto"/>
            <w:vAlign w:val="center"/>
            <w:hideMark/>
          </w:tcPr>
          <w:p w14:paraId="3605E752" w14:textId="2D93D87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0.92</w:t>
            </w:r>
          </w:p>
        </w:tc>
        <w:tc>
          <w:tcPr>
            <w:tcW w:w="410" w:type="pct"/>
            <w:shd w:val="clear" w:color="auto" w:fill="auto"/>
            <w:vAlign w:val="center"/>
            <w:hideMark/>
          </w:tcPr>
          <w:p w14:paraId="1B880DEB" w14:textId="48915F4D"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1.02</w:t>
            </w:r>
          </w:p>
        </w:tc>
        <w:tc>
          <w:tcPr>
            <w:tcW w:w="556" w:type="pct"/>
            <w:shd w:val="clear" w:color="auto" w:fill="auto"/>
            <w:vAlign w:val="center"/>
            <w:hideMark/>
          </w:tcPr>
          <w:p w14:paraId="4D8AB95A" w14:textId="42D4EAA5"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0.44</w:t>
            </w:r>
          </w:p>
        </w:tc>
        <w:tc>
          <w:tcPr>
            <w:tcW w:w="573" w:type="pct"/>
            <w:shd w:val="clear" w:color="auto" w:fill="auto"/>
            <w:vAlign w:val="center"/>
            <w:hideMark/>
          </w:tcPr>
          <w:p w14:paraId="5DF58863" w14:textId="4B1830C2"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1.21</w:t>
            </w:r>
          </w:p>
        </w:tc>
      </w:tr>
      <w:tr w:rsidR="00656060" w:rsidRPr="00E65AA7" w14:paraId="33D9D1B5" w14:textId="77777777" w:rsidTr="005E3379">
        <w:trPr>
          <w:trHeight w:hRule="exact" w:val="340"/>
        </w:trPr>
        <w:tc>
          <w:tcPr>
            <w:tcW w:w="499" w:type="pct"/>
            <w:shd w:val="clear" w:color="auto" w:fill="auto"/>
            <w:vAlign w:val="center"/>
          </w:tcPr>
          <w:p w14:paraId="76E18F49" w14:textId="56A93FFD"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BBS (%)</w:t>
            </w:r>
          </w:p>
        </w:tc>
        <w:tc>
          <w:tcPr>
            <w:tcW w:w="399" w:type="pct"/>
            <w:shd w:val="clear" w:color="auto" w:fill="auto"/>
            <w:vAlign w:val="center"/>
          </w:tcPr>
          <w:p w14:paraId="4642E4C5" w14:textId="07C644D6"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330</w:t>
            </w:r>
          </w:p>
        </w:tc>
        <w:tc>
          <w:tcPr>
            <w:tcW w:w="432" w:type="pct"/>
            <w:shd w:val="clear" w:color="auto" w:fill="auto"/>
            <w:vAlign w:val="center"/>
          </w:tcPr>
          <w:p w14:paraId="0F4F4026" w14:textId="55FD7072"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8.57</w:t>
            </w:r>
          </w:p>
        </w:tc>
        <w:tc>
          <w:tcPr>
            <w:tcW w:w="403" w:type="pct"/>
            <w:shd w:val="clear" w:color="auto" w:fill="auto"/>
            <w:vAlign w:val="center"/>
          </w:tcPr>
          <w:p w14:paraId="6E5C9877" w14:textId="18FD312E"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15.27</w:t>
            </w:r>
          </w:p>
        </w:tc>
        <w:tc>
          <w:tcPr>
            <w:tcW w:w="433" w:type="pct"/>
            <w:shd w:val="clear" w:color="auto" w:fill="auto"/>
            <w:vAlign w:val="center"/>
          </w:tcPr>
          <w:p w14:paraId="715202F1" w14:textId="778F1384"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-10.60</w:t>
            </w:r>
          </w:p>
        </w:tc>
        <w:tc>
          <w:tcPr>
            <w:tcW w:w="433" w:type="pct"/>
            <w:shd w:val="clear" w:color="auto" w:fill="auto"/>
            <w:vAlign w:val="center"/>
          </w:tcPr>
          <w:p w14:paraId="7247BF2D" w14:textId="008FA8B7"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-1.81</w:t>
            </w:r>
          </w:p>
        </w:tc>
        <w:tc>
          <w:tcPr>
            <w:tcW w:w="452" w:type="pct"/>
            <w:shd w:val="clear" w:color="auto" w:fill="auto"/>
            <w:vAlign w:val="center"/>
          </w:tcPr>
          <w:p w14:paraId="457E0347" w14:textId="435D28C2"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9.43</w:t>
            </w:r>
          </w:p>
        </w:tc>
        <w:tc>
          <w:tcPr>
            <w:tcW w:w="410" w:type="pct"/>
            <w:shd w:val="clear" w:color="auto" w:fill="auto"/>
            <w:vAlign w:val="center"/>
          </w:tcPr>
          <w:p w14:paraId="0E50A438" w14:textId="33DE9672"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18.75</w:t>
            </w:r>
          </w:p>
        </w:tc>
        <w:tc>
          <w:tcPr>
            <w:tcW w:w="410" w:type="pct"/>
            <w:shd w:val="clear" w:color="auto" w:fill="auto"/>
            <w:vAlign w:val="center"/>
          </w:tcPr>
          <w:p w14:paraId="46B8C1A0" w14:textId="5F092740"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28.90</w:t>
            </w:r>
          </w:p>
        </w:tc>
        <w:tc>
          <w:tcPr>
            <w:tcW w:w="556" w:type="pct"/>
            <w:shd w:val="clear" w:color="auto" w:fill="auto"/>
            <w:vAlign w:val="center"/>
          </w:tcPr>
          <w:p w14:paraId="38E8E354" w14:textId="40BB673C"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-41.00</w:t>
            </w:r>
          </w:p>
        </w:tc>
        <w:tc>
          <w:tcPr>
            <w:tcW w:w="573" w:type="pct"/>
            <w:shd w:val="clear" w:color="auto" w:fill="auto"/>
            <w:vAlign w:val="center"/>
          </w:tcPr>
          <w:p w14:paraId="5965DCF0" w14:textId="35614D94"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50.47</w:t>
            </w:r>
          </w:p>
        </w:tc>
      </w:tr>
    </w:tbl>
    <w:p w14:paraId="5389B0FE" w14:textId="77777777" w:rsidR="007E5EE3" w:rsidRPr="00E65AA7" w:rsidRDefault="007E5EE3" w:rsidP="00A21127">
      <w:pPr>
        <w:jc w:val="both"/>
        <w:rPr>
          <w:rFonts w:eastAsia="Times New Roman"/>
          <w:b/>
          <w:bCs/>
          <w:noProof/>
          <w:szCs w:val="20"/>
          <w:lang w:eastAsia="en-AU"/>
        </w:rPr>
      </w:pPr>
    </w:p>
    <w:tbl>
      <w:tblPr>
        <w:tblW w:w="5000" w:type="pct"/>
        <w:tblBorders>
          <w:top w:val="single" w:sz="4" w:space="0" w:color="auto"/>
          <w:bottom w:val="single" w:sz="4" w:space="0" w:color="auto"/>
        </w:tblBorders>
        <w:tblLook w:val="04A0" w:firstRow="1" w:lastRow="0" w:firstColumn="1" w:lastColumn="0" w:noHBand="0" w:noVBand="1"/>
      </w:tblPr>
      <w:tblGrid>
        <w:gridCol w:w="2518"/>
        <w:gridCol w:w="2642"/>
        <w:gridCol w:w="2307"/>
        <w:gridCol w:w="1879"/>
        <w:gridCol w:w="1879"/>
        <w:gridCol w:w="2553"/>
        <w:gridCol w:w="1620"/>
      </w:tblGrid>
      <w:tr w:rsidR="00164974" w:rsidRPr="00E65AA7" w14:paraId="49EA1ED7" w14:textId="77777777" w:rsidTr="008D7A0B">
        <w:trPr>
          <w:trHeight w:hRule="exact" w:val="340"/>
        </w:trPr>
        <w:tc>
          <w:tcPr>
            <w:tcW w:w="5000" w:type="pct"/>
            <w:gridSpan w:val="7"/>
            <w:tcBorders>
              <w:top w:val="single" w:sz="4" w:space="0" w:color="auto"/>
              <w:bottom w:val="single" w:sz="4" w:space="0" w:color="auto"/>
            </w:tcBorders>
            <w:vAlign w:val="center"/>
          </w:tcPr>
          <w:p w14:paraId="3CD17108" w14:textId="5041084E" w:rsidR="00164974" w:rsidRPr="00E65AA7" w:rsidRDefault="00164974" w:rsidP="00164974">
            <w:pPr>
              <w:rPr>
                <w:rFonts w:eastAsia="Times New Roman"/>
                <w:b/>
                <w:color w:val="000000"/>
                <w:sz w:val="20"/>
                <w:szCs w:val="20"/>
                <w:lang w:val="en-MY" w:eastAsia="en-MY"/>
              </w:rPr>
            </w:pPr>
            <w:r w:rsidRPr="00E65AA7">
              <w:rPr>
                <w:rFonts w:eastAsia="Times New Roman"/>
                <w:b/>
                <w:sz w:val="20"/>
                <w:szCs w:val="20"/>
                <w:lang w:val="en-MY" w:eastAsia="en-MY"/>
              </w:rPr>
              <w:t>Panel B: Pearson Correlation Coefficients</w:t>
            </w:r>
          </w:p>
        </w:tc>
      </w:tr>
      <w:tr w:rsidR="00656060" w:rsidRPr="00E65AA7" w14:paraId="497E9D90" w14:textId="77777777" w:rsidTr="008D7A0B">
        <w:trPr>
          <w:trHeight w:hRule="exact" w:val="340"/>
        </w:trPr>
        <w:tc>
          <w:tcPr>
            <w:tcW w:w="818" w:type="pct"/>
            <w:tcBorders>
              <w:top w:val="single" w:sz="4" w:space="0" w:color="auto"/>
              <w:bottom w:val="single" w:sz="4" w:space="0" w:color="auto"/>
            </w:tcBorders>
            <w:shd w:val="clear" w:color="auto" w:fill="auto"/>
            <w:noWrap/>
            <w:vAlign w:val="center"/>
            <w:hideMark/>
          </w:tcPr>
          <w:p w14:paraId="4E12D890" w14:textId="77777777" w:rsidR="00656060" w:rsidRPr="00E65AA7" w:rsidRDefault="00656060" w:rsidP="00656060">
            <w:pPr>
              <w:jc w:val="both"/>
              <w:rPr>
                <w:rFonts w:eastAsia="Times New Roman"/>
                <w:b/>
                <w:sz w:val="20"/>
                <w:szCs w:val="20"/>
                <w:lang w:val="en-MY" w:eastAsia="en-MY"/>
              </w:rPr>
            </w:pPr>
          </w:p>
        </w:tc>
        <w:tc>
          <w:tcPr>
            <w:tcW w:w="858" w:type="pct"/>
            <w:tcBorders>
              <w:top w:val="single" w:sz="4" w:space="0" w:color="auto"/>
              <w:bottom w:val="single" w:sz="4" w:space="0" w:color="auto"/>
            </w:tcBorders>
            <w:shd w:val="clear" w:color="auto" w:fill="auto"/>
            <w:noWrap/>
            <w:vAlign w:val="center"/>
            <w:hideMark/>
          </w:tcPr>
          <w:p w14:paraId="440AFB0E" w14:textId="367BE1FD" w:rsidR="00656060" w:rsidRPr="00E65AA7" w:rsidRDefault="00656060" w:rsidP="00656060">
            <w:pPr>
              <w:jc w:val="both"/>
              <w:rPr>
                <w:rFonts w:eastAsia="Times New Roman"/>
                <w:b/>
                <w:color w:val="000000"/>
                <w:sz w:val="20"/>
                <w:szCs w:val="20"/>
                <w:lang w:val="en-MY" w:eastAsia="en-MY"/>
              </w:rPr>
            </w:pPr>
            <w:r w:rsidRPr="00E65AA7">
              <w:rPr>
                <w:rFonts w:eastAsia="Times New Roman"/>
                <w:b/>
                <w:color w:val="000000"/>
                <w:sz w:val="20"/>
                <w:szCs w:val="20"/>
                <w:lang w:val="en-MY" w:eastAsia="en-MY"/>
              </w:rPr>
              <w:t>VWRET</w:t>
            </w:r>
          </w:p>
        </w:tc>
        <w:tc>
          <w:tcPr>
            <w:tcW w:w="749" w:type="pct"/>
            <w:tcBorders>
              <w:top w:val="single" w:sz="4" w:space="0" w:color="auto"/>
              <w:bottom w:val="single" w:sz="4" w:space="0" w:color="auto"/>
            </w:tcBorders>
            <w:shd w:val="clear" w:color="auto" w:fill="auto"/>
            <w:noWrap/>
            <w:vAlign w:val="center"/>
            <w:hideMark/>
          </w:tcPr>
          <w:p w14:paraId="744E33C1" w14:textId="2D46D05F" w:rsidR="00656060" w:rsidRPr="00E65AA7" w:rsidRDefault="00B06723" w:rsidP="00656060">
            <w:pPr>
              <w:jc w:val="both"/>
              <w:rPr>
                <w:rFonts w:eastAsia="Times New Roman"/>
                <w:b/>
                <w:color w:val="000000"/>
                <w:sz w:val="20"/>
                <w:szCs w:val="20"/>
                <w:lang w:val="en-MY" w:eastAsia="en-MY"/>
              </w:rPr>
            </w:pPr>
            <w:r w:rsidRPr="00E65AA7">
              <w:rPr>
                <w:b/>
                <w:sz w:val="20"/>
                <w:szCs w:val="20"/>
              </w:rPr>
              <w:t>▲STM</w:t>
            </w:r>
          </w:p>
        </w:tc>
        <w:tc>
          <w:tcPr>
            <w:tcW w:w="610" w:type="pct"/>
            <w:tcBorders>
              <w:top w:val="single" w:sz="4" w:space="0" w:color="auto"/>
              <w:bottom w:val="single" w:sz="4" w:space="0" w:color="auto"/>
            </w:tcBorders>
            <w:vAlign w:val="center"/>
          </w:tcPr>
          <w:p w14:paraId="4C0BB1FE" w14:textId="5EFDA250" w:rsidR="00656060" w:rsidRPr="00E65AA7" w:rsidRDefault="00B06723" w:rsidP="00656060">
            <w:pPr>
              <w:jc w:val="both"/>
              <w:rPr>
                <w:rFonts w:eastAsia="Times New Roman"/>
                <w:b/>
                <w:color w:val="000000"/>
                <w:sz w:val="20"/>
                <w:szCs w:val="20"/>
                <w:lang w:val="en-MY" w:eastAsia="en-MY"/>
              </w:rPr>
            </w:pPr>
            <w:r w:rsidRPr="00E65AA7">
              <w:rPr>
                <w:b/>
                <w:sz w:val="20"/>
                <w:szCs w:val="20"/>
              </w:rPr>
              <w:t>STM</w:t>
            </w:r>
          </w:p>
        </w:tc>
        <w:tc>
          <w:tcPr>
            <w:tcW w:w="610" w:type="pct"/>
            <w:tcBorders>
              <w:top w:val="single" w:sz="4" w:space="0" w:color="auto"/>
              <w:bottom w:val="single" w:sz="4" w:space="0" w:color="auto"/>
            </w:tcBorders>
            <w:vAlign w:val="center"/>
          </w:tcPr>
          <w:p w14:paraId="5839223E" w14:textId="56E44D69" w:rsidR="00656060" w:rsidRPr="00E65AA7" w:rsidRDefault="00656060" w:rsidP="00656060">
            <w:pPr>
              <w:jc w:val="both"/>
              <w:rPr>
                <w:rFonts w:eastAsia="Times New Roman"/>
                <w:b/>
                <w:color w:val="000000"/>
                <w:sz w:val="20"/>
                <w:szCs w:val="20"/>
                <w:lang w:val="en-MY" w:eastAsia="en-MY"/>
              </w:rPr>
            </w:pPr>
            <w:r w:rsidRPr="00E65AA7">
              <w:rPr>
                <w:rFonts w:eastAsia="Times New Roman"/>
                <w:b/>
                <w:color w:val="000000"/>
                <w:sz w:val="20"/>
                <w:szCs w:val="20"/>
                <w:lang w:val="en-MY" w:eastAsia="en-MY"/>
              </w:rPr>
              <w:t>VIX</w:t>
            </w:r>
          </w:p>
        </w:tc>
        <w:tc>
          <w:tcPr>
            <w:tcW w:w="829" w:type="pct"/>
            <w:tcBorders>
              <w:top w:val="single" w:sz="4" w:space="0" w:color="auto"/>
              <w:bottom w:val="single" w:sz="4" w:space="0" w:color="auto"/>
            </w:tcBorders>
            <w:shd w:val="clear" w:color="auto" w:fill="auto"/>
            <w:noWrap/>
            <w:vAlign w:val="center"/>
            <w:hideMark/>
          </w:tcPr>
          <w:p w14:paraId="772473FD" w14:textId="6FD9DC88" w:rsidR="00656060" w:rsidRPr="00E65AA7" w:rsidRDefault="00656060" w:rsidP="00656060">
            <w:pPr>
              <w:jc w:val="both"/>
              <w:rPr>
                <w:rFonts w:eastAsia="Times New Roman"/>
                <w:b/>
                <w:color w:val="000000"/>
                <w:sz w:val="20"/>
                <w:szCs w:val="20"/>
                <w:lang w:val="en-MY" w:eastAsia="en-MY"/>
              </w:rPr>
            </w:pPr>
            <w:r w:rsidRPr="00E65AA7">
              <w:rPr>
                <w:rFonts w:eastAsia="Times New Roman"/>
                <w:b/>
                <w:color w:val="000000"/>
                <w:sz w:val="20"/>
                <w:szCs w:val="20"/>
                <w:lang w:val="en-MY" w:eastAsia="en-MY"/>
              </w:rPr>
              <w:t>Put-Call</w:t>
            </w:r>
          </w:p>
        </w:tc>
        <w:tc>
          <w:tcPr>
            <w:tcW w:w="525" w:type="pct"/>
            <w:tcBorders>
              <w:top w:val="single" w:sz="4" w:space="0" w:color="auto"/>
              <w:bottom w:val="single" w:sz="4" w:space="0" w:color="auto"/>
            </w:tcBorders>
            <w:shd w:val="clear" w:color="auto" w:fill="auto"/>
            <w:noWrap/>
            <w:vAlign w:val="center"/>
            <w:hideMark/>
          </w:tcPr>
          <w:p w14:paraId="4C829AEF" w14:textId="3397FFDF" w:rsidR="00656060" w:rsidRPr="00E65AA7" w:rsidRDefault="00656060" w:rsidP="00656060">
            <w:pPr>
              <w:jc w:val="both"/>
              <w:rPr>
                <w:rFonts w:eastAsia="Times New Roman"/>
                <w:b/>
                <w:color w:val="000000"/>
                <w:sz w:val="20"/>
                <w:szCs w:val="20"/>
                <w:lang w:val="en-MY" w:eastAsia="en-MY"/>
              </w:rPr>
            </w:pPr>
            <w:r w:rsidRPr="00E65AA7">
              <w:rPr>
                <w:rFonts w:eastAsia="Times New Roman"/>
                <w:b/>
                <w:color w:val="000000"/>
                <w:sz w:val="20"/>
                <w:szCs w:val="20"/>
                <w:lang w:val="en-MY" w:eastAsia="en-MY"/>
              </w:rPr>
              <w:t>BBS</w:t>
            </w:r>
          </w:p>
        </w:tc>
      </w:tr>
      <w:tr w:rsidR="00656060" w:rsidRPr="00E65AA7" w14:paraId="59C85692" w14:textId="77777777" w:rsidTr="008D7A0B">
        <w:trPr>
          <w:trHeight w:hRule="exact" w:val="340"/>
        </w:trPr>
        <w:tc>
          <w:tcPr>
            <w:tcW w:w="818" w:type="pct"/>
            <w:tcBorders>
              <w:top w:val="single" w:sz="4" w:space="0" w:color="auto"/>
            </w:tcBorders>
            <w:shd w:val="clear" w:color="auto" w:fill="auto"/>
            <w:noWrap/>
            <w:vAlign w:val="center"/>
            <w:hideMark/>
          </w:tcPr>
          <w:p w14:paraId="196F75E1" w14:textId="52DC914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VWRET</w:t>
            </w:r>
          </w:p>
        </w:tc>
        <w:tc>
          <w:tcPr>
            <w:tcW w:w="858" w:type="pct"/>
            <w:tcBorders>
              <w:top w:val="single" w:sz="4" w:space="0" w:color="auto"/>
            </w:tcBorders>
            <w:shd w:val="clear" w:color="auto" w:fill="auto"/>
            <w:noWrap/>
            <w:vAlign w:val="center"/>
            <w:hideMark/>
          </w:tcPr>
          <w:p w14:paraId="640A0709" w14:textId="317A340F"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w:t>
            </w:r>
          </w:p>
        </w:tc>
        <w:tc>
          <w:tcPr>
            <w:tcW w:w="749" w:type="pct"/>
            <w:tcBorders>
              <w:top w:val="single" w:sz="4" w:space="0" w:color="auto"/>
            </w:tcBorders>
            <w:shd w:val="clear" w:color="auto" w:fill="auto"/>
            <w:noWrap/>
            <w:vAlign w:val="center"/>
            <w:hideMark/>
          </w:tcPr>
          <w:p w14:paraId="6FBCDD5A" w14:textId="77777777" w:rsidR="00656060" w:rsidRPr="00E65AA7" w:rsidRDefault="00656060" w:rsidP="00656060">
            <w:pPr>
              <w:jc w:val="both"/>
              <w:rPr>
                <w:rFonts w:eastAsia="Times New Roman"/>
                <w:color w:val="000000"/>
                <w:sz w:val="20"/>
                <w:szCs w:val="20"/>
                <w:lang w:val="en-MY" w:eastAsia="en-MY"/>
              </w:rPr>
            </w:pPr>
          </w:p>
        </w:tc>
        <w:tc>
          <w:tcPr>
            <w:tcW w:w="610" w:type="pct"/>
            <w:tcBorders>
              <w:top w:val="single" w:sz="4" w:space="0" w:color="auto"/>
            </w:tcBorders>
            <w:vAlign w:val="center"/>
          </w:tcPr>
          <w:p w14:paraId="729714A7" w14:textId="77777777" w:rsidR="00656060" w:rsidRPr="00E65AA7" w:rsidRDefault="00656060" w:rsidP="00656060">
            <w:pPr>
              <w:jc w:val="both"/>
              <w:rPr>
                <w:rFonts w:eastAsia="Times New Roman"/>
                <w:sz w:val="20"/>
                <w:szCs w:val="20"/>
                <w:lang w:val="en-MY" w:eastAsia="en-MY"/>
              </w:rPr>
            </w:pPr>
          </w:p>
        </w:tc>
        <w:tc>
          <w:tcPr>
            <w:tcW w:w="610" w:type="pct"/>
            <w:tcBorders>
              <w:top w:val="single" w:sz="4" w:space="0" w:color="auto"/>
            </w:tcBorders>
            <w:vAlign w:val="center"/>
          </w:tcPr>
          <w:p w14:paraId="0EC3ACD2" w14:textId="77B840B3" w:rsidR="00656060" w:rsidRPr="00E65AA7" w:rsidRDefault="00656060" w:rsidP="00656060">
            <w:pPr>
              <w:jc w:val="both"/>
              <w:rPr>
                <w:rFonts w:eastAsia="Times New Roman"/>
                <w:sz w:val="20"/>
                <w:szCs w:val="20"/>
                <w:lang w:val="en-MY" w:eastAsia="en-MY"/>
              </w:rPr>
            </w:pPr>
          </w:p>
        </w:tc>
        <w:tc>
          <w:tcPr>
            <w:tcW w:w="829" w:type="pct"/>
            <w:tcBorders>
              <w:top w:val="single" w:sz="4" w:space="0" w:color="auto"/>
            </w:tcBorders>
            <w:shd w:val="clear" w:color="auto" w:fill="auto"/>
            <w:noWrap/>
            <w:vAlign w:val="center"/>
            <w:hideMark/>
          </w:tcPr>
          <w:p w14:paraId="3B84B3EA" w14:textId="22E38DCD" w:rsidR="00656060" w:rsidRPr="00E65AA7" w:rsidRDefault="00656060" w:rsidP="00656060">
            <w:pPr>
              <w:jc w:val="both"/>
              <w:rPr>
                <w:rFonts w:eastAsia="Times New Roman"/>
                <w:sz w:val="20"/>
                <w:szCs w:val="20"/>
                <w:lang w:val="en-MY" w:eastAsia="en-MY"/>
              </w:rPr>
            </w:pPr>
          </w:p>
        </w:tc>
        <w:tc>
          <w:tcPr>
            <w:tcW w:w="525" w:type="pct"/>
            <w:tcBorders>
              <w:top w:val="single" w:sz="4" w:space="0" w:color="auto"/>
            </w:tcBorders>
            <w:shd w:val="clear" w:color="auto" w:fill="auto"/>
            <w:noWrap/>
            <w:vAlign w:val="center"/>
            <w:hideMark/>
          </w:tcPr>
          <w:p w14:paraId="6CF6F956" w14:textId="77777777" w:rsidR="00656060" w:rsidRPr="00E65AA7" w:rsidRDefault="00656060" w:rsidP="00656060">
            <w:pPr>
              <w:jc w:val="both"/>
              <w:rPr>
                <w:rFonts w:eastAsia="Times New Roman"/>
                <w:sz w:val="20"/>
                <w:szCs w:val="20"/>
                <w:lang w:val="en-MY" w:eastAsia="en-MY"/>
              </w:rPr>
            </w:pPr>
          </w:p>
        </w:tc>
      </w:tr>
      <w:tr w:rsidR="00B06723" w:rsidRPr="00E65AA7" w14:paraId="15D8ADBD" w14:textId="77777777" w:rsidTr="008D7A0B">
        <w:trPr>
          <w:trHeight w:hRule="exact" w:val="340"/>
        </w:trPr>
        <w:tc>
          <w:tcPr>
            <w:tcW w:w="818" w:type="pct"/>
            <w:shd w:val="clear" w:color="auto" w:fill="auto"/>
            <w:noWrap/>
            <w:vAlign w:val="center"/>
            <w:hideMark/>
          </w:tcPr>
          <w:p w14:paraId="75AE0277" w14:textId="3B1ADD8D" w:rsidR="00B06723" w:rsidRPr="00E65AA7" w:rsidRDefault="00B06723" w:rsidP="00B06723">
            <w:pPr>
              <w:jc w:val="both"/>
              <w:rPr>
                <w:rFonts w:eastAsia="Times New Roman"/>
                <w:color w:val="000000"/>
                <w:sz w:val="20"/>
                <w:szCs w:val="20"/>
                <w:lang w:val="en-MY" w:eastAsia="en-MY"/>
              </w:rPr>
            </w:pPr>
            <w:r w:rsidRPr="00E65AA7">
              <w:rPr>
                <w:sz w:val="20"/>
                <w:szCs w:val="20"/>
              </w:rPr>
              <w:t>▲STM</w:t>
            </w:r>
          </w:p>
        </w:tc>
        <w:tc>
          <w:tcPr>
            <w:tcW w:w="858" w:type="pct"/>
            <w:shd w:val="clear" w:color="auto" w:fill="auto"/>
            <w:noWrap/>
            <w:vAlign w:val="center"/>
            <w:hideMark/>
          </w:tcPr>
          <w:p w14:paraId="2FA190DC" w14:textId="53C86536" w:rsidR="00B06723" w:rsidRPr="00E65AA7" w:rsidRDefault="00B06723" w:rsidP="00B06723">
            <w:pPr>
              <w:jc w:val="both"/>
              <w:rPr>
                <w:rFonts w:eastAsia="Times New Roman"/>
                <w:color w:val="000000"/>
                <w:sz w:val="20"/>
                <w:szCs w:val="20"/>
                <w:lang w:val="en-MY" w:eastAsia="en-MY"/>
              </w:rPr>
            </w:pPr>
            <w:r w:rsidRPr="00E65AA7">
              <w:rPr>
                <w:color w:val="000000"/>
                <w:sz w:val="20"/>
                <w:szCs w:val="20"/>
              </w:rPr>
              <w:t>0.1</w:t>
            </w:r>
            <w:r w:rsidR="008D7A0B" w:rsidRPr="00E65AA7">
              <w:rPr>
                <w:color w:val="000000"/>
                <w:sz w:val="20"/>
                <w:szCs w:val="20"/>
              </w:rPr>
              <w:t>9</w:t>
            </w:r>
            <w:r w:rsidRPr="00E65AA7">
              <w:rPr>
                <w:color w:val="000000"/>
                <w:sz w:val="20"/>
                <w:szCs w:val="20"/>
                <w:vertAlign w:val="superscript"/>
              </w:rPr>
              <w:t>a</w:t>
            </w:r>
          </w:p>
        </w:tc>
        <w:tc>
          <w:tcPr>
            <w:tcW w:w="749" w:type="pct"/>
            <w:shd w:val="clear" w:color="auto" w:fill="auto"/>
            <w:noWrap/>
            <w:vAlign w:val="center"/>
            <w:hideMark/>
          </w:tcPr>
          <w:p w14:paraId="643F04B0" w14:textId="7692EE52" w:rsidR="00B06723" w:rsidRPr="00E65AA7" w:rsidRDefault="00B06723" w:rsidP="00B06723">
            <w:pPr>
              <w:jc w:val="both"/>
              <w:rPr>
                <w:rFonts w:eastAsia="Times New Roman"/>
                <w:color w:val="000000"/>
                <w:sz w:val="20"/>
                <w:szCs w:val="20"/>
                <w:lang w:val="en-MY" w:eastAsia="en-MY"/>
              </w:rPr>
            </w:pPr>
            <w:r w:rsidRPr="00E65AA7">
              <w:rPr>
                <w:color w:val="000000"/>
                <w:sz w:val="20"/>
                <w:szCs w:val="20"/>
              </w:rPr>
              <w:t>1</w:t>
            </w:r>
          </w:p>
        </w:tc>
        <w:tc>
          <w:tcPr>
            <w:tcW w:w="610" w:type="pct"/>
            <w:vAlign w:val="center"/>
          </w:tcPr>
          <w:p w14:paraId="06E9D0F1" w14:textId="77777777" w:rsidR="00B06723" w:rsidRPr="00E65AA7" w:rsidRDefault="00B06723" w:rsidP="00B06723">
            <w:pPr>
              <w:jc w:val="both"/>
              <w:rPr>
                <w:rFonts w:eastAsia="Times New Roman"/>
                <w:color w:val="000000"/>
                <w:sz w:val="20"/>
                <w:szCs w:val="20"/>
                <w:lang w:val="en-MY" w:eastAsia="en-MY"/>
              </w:rPr>
            </w:pPr>
          </w:p>
        </w:tc>
        <w:tc>
          <w:tcPr>
            <w:tcW w:w="610" w:type="pct"/>
            <w:vAlign w:val="center"/>
          </w:tcPr>
          <w:p w14:paraId="6966E52F" w14:textId="29002DCD" w:rsidR="00B06723" w:rsidRPr="00E65AA7" w:rsidRDefault="00B06723" w:rsidP="00B06723">
            <w:pPr>
              <w:jc w:val="both"/>
              <w:rPr>
                <w:rFonts w:eastAsia="Times New Roman"/>
                <w:color w:val="000000"/>
                <w:sz w:val="20"/>
                <w:szCs w:val="20"/>
                <w:lang w:val="en-MY" w:eastAsia="en-MY"/>
              </w:rPr>
            </w:pPr>
          </w:p>
        </w:tc>
        <w:tc>
          <w:tcPr>
            <w:tcW w:w="829" w:type="pct"/>
            <w:shd w:val="clear" w:color="auto" w:fill="auto"/>
            <w:noWrap/>
            <w:vAlign w:val="center"/>
            <w:hideMark/>
          </w:tcPr>
          <w:p w14:paraId="60A3B9B0" w14:textId="03C9A260" w:rsidR="00B06723" w:rsidRPr="00E65AA7" w:rsidRDefault="00B06723" w:rsidP="00B06723">
            <w:pPr>
              <w:jc w:val="both"/>
              <w:rPr>
                <w:rFonts w:eastAsia="Times New Roman"/>
                <w:color w:val="000000"/>
                <w:sz w:val="20"/>
                <w:szCs w:val="20"/>
                <w:lang w:val="en-MY" w:eastAsia="en-MY"/>
              </w:rPr>
            </w:pPr>
          </w:p>
        </w:tc>
        <w:tc>
          <w:tcPr>
            <w:tcW w:w="525" w:type="pct"/>
            <w:shd w:val="clear" w:color="auto" w:fill="auto"/>
            <w:noWrap/>
            <w:vAlign w:val="center"/>
            <w:hideMark/>
          </w:tcPr>
          <w:p w14:paraId="04178868" w14:textId="77777777" w:rsidR="00B06723" w:rsidRPr="00E65AA7" w:rsidRDefault="00B06723" w:rsidP="00B06723">
            <w:pPr>
              <w:jc w:val="both"/>
              <w:rPr>
                <w:rFonts w:eastAsia="Times New Roman"/>
                <w:sz w:val="20"/>
                <w:szCs w:val="20"/>
                <w:lang w:val="en-MY" w:eastAsia="en-MY"/>
              </w:rPr>
            </w:pPr>
          </w:p>
        </w:tc>
      </w:tr>
      <w:tr w:rsidR="00B06723" w:rsidRPr="00E65AA7" w14:paraId="06BB6B89" w14:textId="77777777" w:rsidTr="008D7A0B">
        <w:trPr>
          <w:trHeight w:hRule="exact" w:val="340"/>
        </w:trPr>
        <w:tc>
          <w:tcPr>
            <w:tcW w:w="818" w:type="pct"/>
            <w:shd w:val="clear" w:color="auto" w:fill="auto"/>
            <w:noWrap/>
            <w:vAlign w:val="center"/>
          </w:tcPr>
          <w:p w14:paraId="4B033B96" w14:textId="2009E116" w:rsidR="00B06723" w:rsidRPr="00E65AA7" w:rsidRDefault="00B06723" w:rsidP="00B06723">
            <w:pPr>
              <w:jc w:val="both"/>
              <w:rPr>
                <w:rFonts w:eastAsia="Times New Roman"/>
                <w:color w:val="000000"/>
                <w:sz w:val="20"/>
                <w:szCs w:val="20"/>
                <w:lang w:val="en-MY" w:eastAsia="en-MY"/>
              </w:rPr>
            </w:pPr>
            <w:r w:rsidRPr="00E65AA7">
              <w:rPr>
                <w:rFonts w:eastAsia="Times New Roman"/>
                <w:color w:val="000000"/>
                <w:sz w:val="20"/>
                <w:szCs w:val="20"/>
                <w:lang w:val="en-MY" w:eastAsia="en-MY"/>
              </w:rPr>
              <w:t>STM</w:t>
            </w:r>
          </w:p>
        </w:tc>
        <w:tc>
          <w:tcPr>
            <w:tcW w:w="858" w:type="pct"/>
            <w:shd w:val="clear" w:color="auto" w:fill="auto"/>
            <w:noWrap/>
            <w:vAlign w:val="center"/>
          </w:tcPr>
          <w:p w14:paraId="5611C50E" w14:textId="5C08A9EE" w:rsidR="00B06723" w:rsidRPr="00E65AA7" w:rsidRDefault="00B06723" w:rsidP="00B06723">
            <w:pPr>
              <w:jc w:val="both"/>
              <w:rPr>
                <w:rFonts w:eastAsia="Times New Roman"/>
                <w:color w:val="000000"/>
                <w:sz w:val="20"/>
                <w:szCs w:val="20"/>
                <w:vertAlign w:val="superscript"/>
                <w:lang w:val="en-MY" w:eastAsia="en-MY"/>
              </w:rPr>
            </w:pPr>
            <w:r w:rsidRPr="00E65AA7">
              <w:rPr>
                <w:color w:val="000000"/>
                <w:sz w:val="20"/>
                <w:szCs w:val="20"/>
              </w:rPr>
              <w:t>-0.05</w:t>
            </w:r>
          </w:p>
        </w:tc>
        <w:tc>
          <w:tcPr>
            <w:tcW w:w="749" w:type="pct"/>
            <w:shd w:val="clear" w:color="auto" w:fill="auto"/>
            <w:noWrap/>
            <w:vAlign w:val="center"/>
          </w:tcPr>
          <w:p w14:paraId="02C18295" w14:textId="581AD18F" w:rsidR="00B06723" w:rsidRPr="00E65AA7" w:rsidRDefault="008D7A0B" w:rsidP="00B06723">
            <w:pPr>
              <w:jc w:val="both"/>
              <w:rPr>
                <w:rFonts w:eastAsia="Times New Roman"/>
                <w:color w:val="000000"/>
                <w:sz w:val="20"/>
                <w:szCs w:val="20"/>
                <w:lang w:val="en-MY" w:eastAsia="en-MY"/>
              </w:rPr>
            </w:pPr>
            <w:r w:rsidRPr="00E65AA7">
              <w:rPr>
                <w:color w:val="000000"/>
                <w:sz w:val="20"/>
                <w:szCs w:val="20"/>
              </w:rPr>
              <w:t>-0.1</w:t>
            </w:r>
            <w:r w:rsidR="002F43C9" w:rsidRPr="00E65AA7">
              <w:rPr>
                <w:color w:val="000000"/>
                <w:sz w:val="20"/>
                <w:szCs w:val="20"/>
              </w:rPr>
              <w:t>4</w:t>
            </w:r>
            <w:r w:rsidRPr="00E65AA7">
              <w:rPr>
                <w:color w:val="000000"/>
                <w:sz w:val="20"/>
                <w:szCs w:val="20"/>
                <w:vertAlign w:val="superscript"/>
              </w:rPr>
              <w:t>a</w:t>
            </w:r>
          </w:p>
        </w:tc>
        <w:tc>
          <w:tcPr>
            <w:tcW w:w="610" w:type="pct"/>
            <w:vAlign w:val="center"/>
          </w:tcPr>
          <w:p w14:paraId="54BB2F19" w14:textId="5B70C4D5" w:rsidR="00B06723" w:rsidRPr="00E65AA7" w:rsidRDefault="00B06723" w:rsidP="00B06723">
            <w:pPr>
              <w:jc w:val="both"/>
              <w:rPr>
                <w:rFonts w:eastAsia="Times New Roman"/>
                <w:color w:val="000000"/>
                <w:sz w:val="20"/>
                <w:szCs w:val="20"/>
                <w:lang w:val="en-MY" w:eastAsia="en-MY"/>
              </w:rPr>
            </w:pPr>
            <w:r w:rsidRPr="00E65AA7">
              <w:rPr>
                <w:color w:val="000000"/>
                <w:sz w:val="20"/>
                <w:szCs w:val="20"/>
              </w:rPr>
              <w:t>1</w:t>
            </w:r>
          </w:p>
        </w:tc>
        <w:tc>
          <w:tcPr>
            <w:tcW w:w="610" w:type="pct"/>
            <w:vAlign w:val="center"/>
          </w:tcPr>
          <w:p w14:paraId="2C0AA8EE" w14:textId="77777777" w:rsidR="00B06723" w:rsidRPr="00E65AA7" w:rsidRDefault="00B06723" w:rsidP="00B06723">
            <w:pPr>
              <w:jc w:val="both"/>
              <w:rPr>
                <w:rFonts w:eastAsia="Times New Roman"/>
                <w:color w:val="000000"/>
                <w:sz w:val="20"/>
                <w:szCs w:val="20"/>
                <w:lang w:val="en-MY" w:eastAsia="en-MY"/>
              </w:rPr>
            </w:pPr>
          </w:p>
        </w:tc>
        <w:tc>
          <w:tcPr>
            <w:tcW w:w="829" w:type="pct"/>
            <w:shd w:val="clear" w:color="auto" w:fill="auto"/>
            <w:noWrap/>
            <w:vAlign w:val="center"/>
          </w:tcPr>
          <w:p w14:paraId="2FFF6A95" w14:textId="77777777" w:rsidR="00B06723" w:rsidRPr="00E65AA7" w:rsidRDefault="00B06723" w:rsidP="00B06723">
            <w:pPr>
              <w:jc w:val="both"/>
              <w:rPr>
                <w:rFonts w:eastAsia="Times New Roman"/>
                <w:color w:val="000000"/>
                <w:sz w:val="20"/>
                <w:szCs w:val="20"/>
                <w:lang w:val="en-MY" w:eastAsia="en-MY"/>
              </w:rPr>
            </w:pPr>
          </w:p>
        </w:tc>
        <w:tc>
          <w:tcPr>
            <w:tcW w:w="525" w:type="pct"/>
            <w:shd w:val="clear" w:color="auto" w:fill="auto"/>
            <w:noWrap/>
            <w:vAlign w:val="center"/>
          </w:tcPr>
          <w:p w14:paraId="74A8B1D7" w14:textId="77777777" w:rsidR="00B06723" w:rsidRPr="00E65AA7" w:rsidRDefault="00B06723" w:rsidP="00B06723">
            <w:pPr>
              <w:jc w:val="both"/>
              <w:rPr>
                <w:rFonts w:eastAsia="Times New Roman"/>
                <w:sz w:val="20"/>
                <w:szCs w:val="20"/>
                <w:lang w:val="en-MY" w:eastAsia="en-MY"/>
              </w:rPr>
            </w:pPr>
          </w:p>
        </w:tc>
      </w:tr>
      <w:tr w:rsidR="00656060" w:rsidRPr="00E65AA7" w14:paraId="1C7D04E6" w14:textId="77777777" w:rsidTr="008D7A0B">
        <w:trPr>
          <w:trHeight w:hRule="exact" w:val="340"/>
        </w:trPr>
        <w:tc>
          <w:tcPr>
            <w:tcW w:w="818" w:type="pct"/>
            <w:shd w:val="clear" w:color="auto" w:fill="auto"/>
            <w:noWrap/>
            <w:vAlign w:val="center"/>
          </w:tcPr>
          <w:p w14:paraId="7305B8CF" w14:textId="69F3F292"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VIX</w:t>
            </w:r>
          </w:p>
        </w:tc>
        <w:tc>
          <w:tcPr>
            <w:tcW w:w="858" w:type="pct"/>
            <w:shd w:val="clear" w:color="auto" w:fill="auto"/>
            <w:noWrap/>
            <w:vAlign w:val="center"/>
          </w:tcPr>
          <w:p w14:paraId="3D8FD310" w14:textId="7A8C1003"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-0.26</w:t>
            </w:r>
            <w:r w:rsidRPr="00E65AA7">
              <w:rPr>
                <w:color w:val="000000"/>
                <w:sz w:val="20"/>
                <w:szCs w:val="20"/>
                <w:vertAlign w:val="superscript"/>
              </w:rPr>
              <w:t>a</w:t>
            </w:r>
          </w:p>
        </w:tc>
        <w:tc>
          <w:tcPr>
            <w:tcW w:w="749" w:type="pct"/>
            <w:shd w:val="clear" w:color="auto" w:fill="auto"/>
            <w:noWrap/>
            <w:vAlign w:val="center"/>
          </w:tcPr>
          <w:p w14:paraId="51A0DC03" w14:textId="078DD643" w:rsidR="00656060" w:rsidRPr="00E65AA7" w:rsidRDefault="002F43C9" w:rsidP="00656060">
            <w:pPr>
              <w:jc w:val="both"/>
              <w:rPr>
                <w:rFonts w:eastAsia="Times New Roman"/>
                <w:color w:val="000000"/>
                <w:sz w:val="20"/>
                <w:szCs w:val="20"/>
                <w:vertAlign w:val="superscript"/>
                <w:lang w:val="en-MY" w:eastAsia="en-MY"/>
              </w:rPr>
            </w:pPr>
            <w:r w:rsidRPr="00E65AA7">
              <w:rPr>
                <w:color w:val="000000"/>
                <w:sz w:val="20"/>
                <w:szCs w:val="20"/>
              </w:rPr>
              <w:t>-0.08</w:t>
            </w:r>
          </w:p>
        </w:tc>
        <w:tc>
          <w:tcPr>
            <w:tcW w:w="610" w:type="pct"/>
            <w:vAlign w:val="center"/>
          </w:tcPr>
          <w:p w14:paraId="232538B5" w14:textId="2F56919E"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-0.16</w:t>
            </w:r>
            <w:r w:rsidRPr="00E65AA7">
              <w:rPr>
                <w:color w:val="000000"/>
                <w:sz w:val="20"/>
                <w:szCs w:val="20"/>
                <w:vertAlign w:val="superscript"/>
              </w:rPr>
              <w:t>a</w:t>
            </w:r>
          </w:p>
        </w:tc>
        <w:tc>
          <w:tcPr>
            <w:tcW w:w="610" w:type="pct"/>
            <w:vAlign w:val="center"/>
          </w:tcPr>
          <w:p w14:paraId="65FD3485" w14:textId="249DEE87"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w:t>
            </w:r>
          </w:p>
        </w:tc>
        <w:tc>
          <w:tcPr>
            <w:tcW w:w="829" w:type="pct"/>
            <w:shd w:val="clear" w:color="auto" w:fill="auto"/>
            <w:noWrap/>
            <w:vAlign w:val="center"/>
          </w:tcPr>
          <w:p w14:paraId="3DD4B812" w14:textId="77777777" w:rsidR="00656060" w:rsidRPr="00E65AA7" w:rsidRDefault="00656060" w:rsidP="00656060">
            <w:pPr>
              <w:jc w:val="both"/>
              <w:rPr>
                <w:rFonts w:eastAsia="Times New Roman"/>
                <w:color w:val="000000"/>
                <w:sz w:val="20"/>
                <w:szCs w:val="20"/>
                <w:lang w:val="en-MY" w:eastAsia="en-MY"/>
              </w:rPr>
            </w:pPr>
          </w:p>
        </w:tc>
        <w:tc>
          <w:tcPr>
            <w:tcW w:w="525" w:type="pct"/>
            <w:shd w:val="clear" w:color="auto" w:fill="auto"/>
            <w:noWrap/>
            <w:vAlign w:val="center"/>
          </w:tcPr>
          <w:p w14:paraId="24A657A4" w14:textId="77777777" w:rsidR="00656060" w:rsidRPr="00E65AA7" w:rsidRDefault="00656060" w:rsidP="00656060">
            <w:pPr>
              <w:jc w:val="both"/>
              <w:rPr>
                <w:rFonts w:eastAsia="Times New Roman"/>
                <w:sz w:val="20"/>
                <w:szCs w:val="20"/>
                <w:lang w:val="en-MY" w:eastAsia="en-MY"/>
              </w:rPr>
            </w:pPr>
          </w:p>
        </w:tc>
      </w:tr>
      <w:tr w:rsidR="00656060" w:rsidRPr="00E65AA7" w14:paraId="747CB06E" w14:textId="77777777" w:rsidTr="008D7A0B">
        <w:trPr>
          <w:trHeight w:hRule="exact" w:val="340"/>
        </w:trPr>
        <w:tc>
          <w:tcPr>
            <w:tcW w:w="818" w:type="pct"/>
            <w:shd w:val="clear" w:color="auto" w:fill="auto"/>
            <w:noWrap/>
            <w:vAlign w:val="center"/>
            <w:hideMark/>
          </w:tcPr>
          <w:p w14:paraId="348DE8BA" w14:textId="4523C859"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Put-Call</w:t>
            </w:r>
          </w:p>
        </w:tc>
        <w:tc>
          <w:tcPr>
            <w:tcW w:w="858" w:type="pct"/>
            <w:shd w:val="clear" w:color="auto" w:fill="auto"/>
            <w:noWrap/>
            <w:vAlign w:val="center"/>
            <w:hideMark/>
          </w:tcPr>
          <w:p w14:paraId="432602D5" w14:textId="444E4C72"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-0.25</w:t>
            </w:r>
            <w:r w:rsidRPr="00E65AA7">
              <w:rPr>
                <w:color w:val="000000"/>
                <w:sz w:val="20"/>
                <w:szCs w:val="20"/>
                <w:vertAlign w:val="superscript"/>
              </w:rPr>
              <w:t>a</w:t>
            </w:r>
          </w:p>
        </w:tc>
        <w:tc>
          <w:tcPr>
            <w:tcW w:w="749" w:type="pct"/>
            <w:shd w:val="clear" w:color="auto" w:fill="auto"/>
            <w:noWrap/>
            <w:vAlign w:val="center"/>
            <w:hideMark/>
          </w:tcPr>
          <w:p w14:paraId="2447885C" w14:textId="5E4F6510" w:rsidR="00656060" w:rsidRPr="00E65AA7" w:rsidRDefault="008B7240" w:rsidP="00656060">
            <w:pPr>
              <w:jc w:val="both"/>
              <w:rPr>
                <w:rFonts w:eastAsia="Times New Roman"/>
                <w:color w:val="000000"/>
                <w:sz w:val="20"/>
                <w:szCs w:val="20"/>
                <w:vertAlign w:val="superscript"/>
                <w:lang w:val="en-MY" w:eastAsia="en-MY"/>
              </w:rPr>
            </w:pPr>
            <w:r w:rsidRPr="00E65AA7">
              <w:rPr>
                <w:color w:val="000000"/>
                <w:sz w:val="20"/>
                <w:szCs w:val="20"/>
              </w:rPr>
              <w:t>-0.1</w:t>
            </w:r>
            <w:r w:rsidR="00656060" w:rsidRPr="00E65AA7">
              <w:rPr>
                <w:color w:val="000000"/>
                <w:sz w:val="20"/>
                <w:szCs w:val="20"/>
              </w:rPr>
              <w:t>2</w:t>
            </w:r>
          </w:p>
        </w:tc>
        <w:tc>
          <w:tcPr>
            <w:tcW w:w="610" w:type="pct"/>
            <w:vAlign w:val="center"/>
          </w:tcPr>
          <w:p w14:paraId="7616C52C" w14:textId="36644265"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-0.29</w:t>
            </w:r>
            <w:r w:rsidRPr="00E65AA7">
              <w:rPr>
                <w:color w:val="000000"/>
                <w:sz w:val="20"/>
                <w:szCs w:val="20"/>
                <w:vertAlign w:val="superscript"/>
              </w:rPr>
              <w:t>a</w:t>
            </w:r>
          </w:p>
        </w:tc>
        <w:tc>
          <w:tcPr>
            <w:tcW w:w="610" w:type="pct"/>
            <w:vAlign w:val="center"/>
          </w:tcPr>
          <w:p w14:paraId="7D4413D3" w14:textId="14450426"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0.03</w:t>
            </w:r>
          </w:p>
        </w:tc>
        <w:tc>
          <w:tcPr>
            <w:tcW w:w="829" w:type="pct"/>
            <w:shd w:val="clear" w:color="auto" w:fill="auto"/>
            <w:noWrap/>
            <w:vAlign w:val="center"/>
            <w:hideMark/>
          </w:tcPr>
          <w:p w14:paraId="6747093C" w14:textId="0752A089"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w:t>
            </w:r>
          </w:p>
        </w:tc>
        <w:tc>
          <w:tcPr>
            <w:tcW w:w="525" w:type="pct"/>
            <w:shd w:val="clear" w:color="auto" w:fill="auto"/>
            <w:noWrap/>
            <w:vAlign w:val="center"/>
            <w:hideMark/>
          </w:tcPr>
          <w:p w14:paraId="2B3A3E81" w14:textId="77777777" w:rsidR="00656060" w:rsidRPr="00E65AA7" w:rsidRDefault="00656060" w:rsidP="00656060">
            <w:pPr>
              <w:jc w:val="both"/>
              <w:rPr>
                <w:rFonts w:eastAsia="Times New Roman"/>
                <w:color w:val="000000"/>
                <w:sz w:val="20"/>
                <w:szCs w:val="20"/>
                <w:lang w:val="en-MY" w:eastAsia="en-MY"/>
              </w:rPr>
            </w:pPr>
          </w:p>
        </w:tc>
      </w:tr>
      <w:tr w:rsidR="00656060" w:rsidRPr="00E65AA7" w14:paraId="52A54C97" w14:textId="77777777" w:rsidTr="008D7A0B">
        <w:trPr>
          <w:trHeight w:hRule="exact" w:val="340"/>
        </w:trPr>
        <w:tc>
          <w:tcPr>
            <w:tcW w:w="818" w:type="pct"/>
            <w:shd w:val="clear" w:color="auto" w:fill="auto"/>
            <w:noWrap/>
            <w:vAlign w:val="center"/>
            <w:hideMark/>
          </w:tcPr>
          <w:p w14:paraId="6E89566E" w14:textId="0785338F" w:rsidR="00656060" w:rsidRPr="00E65AA7" w:rsidRDefault="00656060" w:rsidP="00656060">
            <w:pPr>
              <w:jc w:val="both"/>
              <w:rPr>
                <w:rFonts w:eastAsia="Times New Roman"/>
                <w:color w:val="000000"/>
                <w:sz w:val="20"/>
                <w:szCs w:val="20"/>
                <w:lang w:val="en-MY" w:eastAsia="en-MY"/>
              </w:rPr>
            </w:pPr>
            <w:r w:rsidRPr="00E65AA7">
              <w:rPr>
                <w:rFonts w:eastAsia="Times New Roman"/>
                <w:color w:val="000000"/>
                <w:sz w:val="20"/>
                <w:szCs w:val="20"/>
                <w:lang w:val="en-MY" w:eastAsia="en-MY"/>
              </w:rPr>
              <w:t>BBS</w:t>
            </w:r>
          </w:p>
        </w:tc>
        <w:tc>
          <w:tcPr>
            <w:tcW w:w="858" w:type="pct"/>
            <w:shd w:val="clear" w:color="auto" w:fill="auto"/>
            <w:noWrap/>
            <w:vAlign w:val="center"/>
            <w:hideMark/>
          </w:tcPr>
          <w:p w14:paraId="25C5BE83" w14:textId="5306EADF"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0.19</w:t>
            </w:r>
            <w:r w:rsidRPr="00E65AA7">
              <w:rPr>
                <w:color w:val="000000"/>
                <w:sz w:val="20"/>
                <w:szCs w:val="20"/>
                <w:vertAlign w:val="superscript"/>
              </w:rPr>
              <w:t>a</w:t>
            </w:r>
          </w:p>
        </w:tc>
        <w:tc>
          <w:tcPr>
            <w:tcW w:w="749" w:type="pct"/>
            <w:shd w:val="clear" w:color="auto" w:fill="auto"/>
            <w:noWrap/>
            <w:vAlign w:val="center"/>
            <w:hideMark/>
          </w:tcPr>
          <w:p w14:paraId="2E2A6781" w14:textId="6A4AC627" w:rsidR="00656060" w:rsidRPr="00E65AA7" w:rsidRDefault="008B7240" w:rsidP="00656060">
            <w:pPr>
              <w:jc w:val="both"/>
              <w:rPr>
                <w:rFonts w:eastAsia="Times New Roman"/>
                <w:color w:val="000000"/>
                <w:sz w:val="20"/>
                <w:szCs w:val="20"/>
                <w:vertAlign w:val="superscript"/>
                <w:lang w:val="en-MY" w:eastAsia="en-MY"/>
              </w:rPr>
            </w:pPr>
            <w:r w:rsidRPr="00E65AA7">
              <w:rPr>
                <w:color w:val="000000"/>
                <w:sz w:val="20"/>
                <w:szCs w:val="20"/>
              </w:rPr>
              <w:t>0.06</w:t>
            </w:r>
          </w:p>
        </w:tc>
        <w:tc>
          <w:tcPr>
            <w:tcW w:w="610" w:type="pct"/>
            <w:vAlign w:val="center"/>
          </w:tcPr>
          <w:p w14:paraId="57D2791F" w14:textId="039DD0BD"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0.16</w:t>
            </w:r>
            <w:r w:rsidRPr="00E65AA7">
              <w:rPr>
                <w:color w:val="000000"/>
                <w:sz w:val="20"/>
                <w:szCs w:val="20"/>
                <w:vertAlign w:val="superscript"/>
              </w:rPr>
              <w:t>a</w:t>
            </w:r>
          </w:p>
        </w:tc>
        <w:tc>
          <w:tcPr>
            <w:tcW w:w="610" w:type="pct"/>
            <w:vAlign w:val="center"/>
          </w:tcPr>
          <w:p w14:paraId="64B56444" w14:textId="186F98BC" w:rsidR="00656060" w:rsidRPr="00E65AA7" w:rsidRDefault="00656060" w:rsidP="00656060">
            <w:pPr>
              <w:jc w:val="both"/>
              <w:rPr>
                <w:rFonts w:eastAsia="Times New Roman"/>
                <w:color w:val="000000"/>
                <w:sz w:val="20"/>
                <w:szCs w:val="20"/>
                <w:vertAlign w:val="superscript"/>
                <w:lang w:val="en-MY" w:eastAsia="en-MY"/>
              </w:rPr>
            </w:pPr>
            <w:r w:rsidRPr="00E65AA7">
              <w:rPr>
                <w:color w:val="000000"/>
                <w:sz w:val="20"/>
                <w:szCs w:val="20"/>
              </w:rPr>
              <w:t>-0.30</w:t>
            </w:r>
            <w:r w:rsidRPr="00E65AA7">
              <w:rPr>
                <w:color w:val="000000"/>
                <w:sz w:val="20"/>
                <w:szCs w:val="20"/>
                <w:vertAlign w:val="superscript"/>
              </w:rPr>
              <w:t>a</w:t>
            </w:r>
          </w:p>
        </w:tc>
        <w:tc>
          <w:tcPr>
            <w:tcW w:w="829" w:type="pct"/>
            <w:shd w:val="clear" w:color="auto" w:fill="auto"/>
            <w:noWrap/>
            <w:vAlign w:val="center"/>
            <w:hideMark/>
          </w:tcPr>
          <w:p w14:paraId="2BD19762" w14:textId="084C7211"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-0.59</w:t>
            </w:r>
            <w:r w:rsidRPr="00E65AA7">
              <w:rPr>
                <w:color w:val="000000"/>
                <w:sz w:val="20"/>
                <w:szCs w:val="20"/>
                <w:vertAlign w:val="superscript"/>
              </w:rPr>
              <w:t>a</w:t>
            </w:r>
          </w:p>
        </w:tc>
        <w:tc>
          <w:tcPr>
            <w:tcW w:w="525" w:type="pct"/>
            <w:shd w:val="clear" w:color="auto" w:fill="auto"/>
            <w:noWrap/>
            <w:vAlign w:val="center"/>
            <w:hideMark/>
          </w:tcPr>
          <w:p w14:paraId="22A94413" w14:textId="3516BEE5" w:rsidR="00656060" w:rsidRPr="00E65AA7" w:rsidRDefault="00656060" w:rsidP="00656060">
            <w:pPr>
              <w:jc w:val="both"/>
              <w:rPr>
                <w:rFonts w:eastAsia="Times New Roman"/>
                <w:color w:val="000000"/>
                <w:sz w:val="20"/>
                <w:szCs w:val="20"/>
                <w:lang w:val="en-MY" w:eastAsia="en-MY"/>
              </w:rPr>
            </w:pPr>
            <w:r w:rsidRPr="00E65AA7">
              <w:rPr>
                <w:color w:val="000000"/>
                <w:sz w:val="20"/>
                <w:szCs w:val="20"/>
              </w:rPr>
              <w:t>1</w:t>
            </w:r>
          </w:p>
        </w:tc>
      </w:tr>
    </w:tbl>
    <w:p w14:paraId="64D6D063" w14:textId="6A7FCE9E" w:rsidR="00290982" w:rsidRPr="00E65AA7" w:rsidRDefault="00290982" w:rsidP="00361C09">
      <w:pPr>
        <w:spacing w:after="120"/>
        <w:jc w:val="both"/>
        <w:rPr>
          <w:rFonts w:eastAsia="Times New Roman"/>
          <w:b/>
          <w:bCs/>
          <w:noProof/>
          <w:szCs w:val="20"/>
          <w:lang w:eastAsia="en-AU"/>
        </w:rPr>
      </w:pPr>
    </w:p>
    <w:p w14:paraId="44266315" w14:textId="518AE6AD" w:rsidR="00290982" w:rsidRPr="00E65AA7" w:rsidRDefault="00290982" w:rsidP="00361C09">
      <w:pPr>
        <w:spacing w:after="120"/>
        <w:rPr>
          <w:rFonts w:eastAsia="Times New Roman"/>
          <w:b/>
          <w:bCs/>
          <w:noProof/>
          <w:szCs w:val="20"/>
          <w:lang w:eastAsia="en-AU"/>
        </w:rPr>
      </w:pPr>
      <w:r w:rsidRPr="00E65AA7">
        <w:rPr>
          <w:rFonts w:eastAsia="Times New Roman"/>
          <w:b/>
          <w:bCs/>
          <w:noProof/>
          <w:szCs w:val="20"/>
          <w:lang w:eastAsia="en-AU"/>
        </w:rPr>
        <w:br w:type="page"/>
      </w:r>
    </w:p>
    <w:p w14:paraId="58C06CF6" w14:textId="77777777" w:rsidR="00340081" w:rsidRPr="00E65AA7" w:rsidRDefault="00340081" w:rsidP="00361C09">
      <w:pPr>
        <w:spacing w:after="120"/>
        <w:rPr>
          <w:rFonts w:eastAsia="Times New Roman"/>
          <w:b/>
          <w:bCs/>
          <w:noProof/>
          <w:szCs w:val="20"/>
          <w:lang w:eastAsia="en-AU"/>
        </w:rPr>
      </w:pPr>
    </w:p>
    <w:p w14:paraId="06CC8868" w14:textId="63393B2C" w:rsidR="00105988" w:rsidRPr="00E65AA7" w:rsidRDefault="00105988" w:rsidP="00361C09">
      <w:pPr>
        <w:pStyle w:val="BodyText"/>
        <w:spacing w:after="240"/>
        <w:rPr>
          <w:sz w:val="20"/>
          <w:szCs w:val="20"/>
        </w:rPr>
      </w:pPr>
      <w:bookmarkStart w:id="48" w:name="_Toc350205567"/>
      <w:r w:rsidRPr="00E65AA7">
        <w:rPr>
          <w:b/>
          <w:sz w:val="20"/>
          <w:szCs w:val="20"/>
        </w:rPr>
        <w:t xml:space="preserve">Table 3: </w:t>
      </w:r>
      <w:bookmarkEnd w:id="48"/>
      <w:r w:rsidRPr="00E65AA7">
        <w:rPr>
          <w:b/>
          <w:sz w:val="20"/>
          <w:szCs w:val="20"/>
        </w:rPr>
        <w:t>Summary Statistics</w:t>
      </w:r>
      <w:r w:rsidR="00C7703C" w:rsidRPr="00E65AA7">
        <w:rPr>
          <w:b/>
          <w:sz w:val="20"/>
          <w:szCs w:val="20"/>
        </w:rPr>
        <w:t>,</w:t>
      </w:r>
      <w:r w:rsidRPr="00E65AA7">
        <w:rPr>
          <w:b/>
          <w:sz w:val="20"/>
          <w:szCs w:val="20"/>
        </w:rPr>
        <w:t xml:space="preserve"> 1964 to 2014.</w:t>
      </w:r>
      <w:r w:rsidRPr="00E65AA7">
        <w:rPr>
          <w:sz w:val="20"/>
          <w:szCs w:val="20"/>
        </w:rPr>
        <w:t xml:space="preserve"> Panel A reports Monthly Returns and Momentum Returns. Momentum Returns (MOM) is the cumulative return </w:t>
      </w:r>
      <w:r w:rsidR="0073333E" w:rsidRPr="00E65AA7">
        <w:rPr>
          <w:noProof/>
          <w:sz w:val="20"/>
          <w:szCs w:val="20"/>
        </w:rPr>
        <w:t>for</w:t>
      </w:r>
      <w:r w:rsidRPr="00E65AA7">
        <w:rPr>
          <w:noProof/>
          <w:sz w:val="20"/>
          <w:szCs w:val="20"/>
        </w:rPr>
        <w:t xml:space="preserve"> eleven</w:t>
      </w:r>
      <w:r w:rsidR="00C7703C" w:rsidRPr="00E65AA7">
        <w:rPr>
          <w:sz w:val="20"/>
          <w:szCs w:val="20"/>
        </w:rPr>
        <w:t xml:space="preserve"> </w:t>
      </w:r>
      <w:r w:rsidRPr="00E65AA7">
        <w:rPr>
          <w:sz w:val="20"/>
          <w:szCs w:val="20"/>
        </w:rPr>
        <w:t>month</w:t>
      </w:r>
      <w:r w:rsidR="00C7703C" w:rsidRPr="00E65AA7">
        <w:rPr>
          <w:sz w:val="20"/>
          <w:szCs w:val="20"/>
        </w:rPr>
        <w:t>s</w:t>
      </w:r>
      <w:r w:rsidRPr="00E65AA7">
        <w:rPr>
          <w:sz w:val="20"/>
          <w:szCs w:val="20"/>
        </w:rPr>
        <w:t xml:space="preserve"> between </w:t>
      </w:r>
      <w:r w:rsidR="004E2A76" w:rsidRPr="00E65AA7">
        <w:rPr>
          <w:i/>
          <w:sz w:val="20"/>
          <w:szCs w:val="20"/>
        </w:rPr>
        <w:t>t</w:t>
      </w:r>
      <w:r w:rsidRPr="00E65AA7">
        <w:rPr>
          <w:sz w:val="20"/>
          <w:szCs w:val="20"/>
        </w:rPr>
        <w:t xml:space="preserve">-12 to </w:t>
      </w:r>
      <w:r w:rsidR="004E2A76" w:rsidRPr="00E65AA7">
        <w:rPr>
          <w:i/>
          <w:sz w:val="20"/>
          <w:szCs w:val="20"/>
        </w:rPr>
        <w:t>t</w:t>
      </w:r>
      <w:r w:rsidRPr="00E65AA7">
        <w:rPr>
          <w:sz w:val="20"/>
          <w:szCs w:val="20"/>
        </w:rPr>
        <w:t>-2</w:t>
      </w:r>
      <w:r w:rsidR="00C7703C" w:rsidRPr="00E65AA7">
        <w:rPr>
          <w:sz w:val="20"/>
          <w:szCs w:val="20"/>
        </w:rPr>
        <w:t>.</w:t>
      </w:r>
      <w:r w:rsidRPr="00E65AA7">
        <w:rPr>
          <w:sz w:val="20"/>
          <w:szCs w:val="20"/>
        </w:rPr>
        <w:t xml:space="preserve"> Panel B reports </w:t>
      </w:r>
      <w:r w:rsidR="00AB25D3" w:rsidRPr="00E65AA7">
        <w:rPr>
          <w:sz w:val="20"/>
          <w:szCs w:val="20"/>
        </w:rPr>
        <w:t>Volatility</w:t>
      </w:r>
      <w:r w:rsidR="004E716D" w:rsidRPr="00E65AA7">
        <w:rPr>
          <w:sz w:val="20"/>
          <w:szCs w:val="20"/>
        </w:rPr>
        <w:t>,</w:t>
      </w:r>
      <w:r w:rsidR="00AB25D3" w:rsidRPr="00E65AA7">
        <w:rPr>
          <w:sz w:val="20"/>
          <w:szCs w:val="20"/>
        </w:rPr>
        <w:t xml:space="preserve"> </w:t>
      </w:r>
      <w:r w:rsidR="004E716D" w:rsidRPr="00E65AA7">
        <w:rPr>
          <w:sz w:val="20"/>
          <w:szCs w:val="20"/>
        </w:rPr>
        <w:t>Age</w:t>
      </w:r>
      <w:r w:rsidR="00AB25D3" w:rsidRPr="00E65AA7">
        <w:rPr>
          <w:sz w:val="20"/>
          <w:szCs w:val="20"/>
        </w:rPr>
        <w:t xml:space="preserve"> and Size </w:t>
      </w:r>
      <w:r w:rsidRPr="00E65AA7">
        <w:rPr>
          <w:sz w:val="20"/>
          <w:szCs w:val="20"/>
        </w:rPr>
        <w:t xml:space="preserve">variables. </w:t>
      </w:r>
      <w:r w:rsidR="00E1412E" w:rsidRPr="00E65AA7">
        <w:rPr>
          <w:sz w:val="20"/>
          <w:szCs w:val="20"/>
        </w:rPr>
        <w:t xml:space="preserve">Volatility is the annual standard deviation of monthly returns from CRSP for the 12-month period ending in the June </w:t>
      </w:r>
      <w:r w:rsidR="00C4534A">
        <w:rPr>
          <w:noProof/>
          <w:sz w:val="20"/>
          <w:szCs w:val="20"/>
        </w:rPr>
        <w:t>of year</w:t>
      </w:r>
      <w:r w:rsidR="00E1412E" w:rsidRPr="00E65AA7">
        <w:rPr>
          <w:sz w:val="20"/>
          <w:szCs w:val="20"/>
        </w:rPr>
        <w:t xml:space="preserve"> </w:t>
      </w:r>
      <w:r w:rsidR="00E1412E" w:rsidRPr="00E65AA7">
        <w:rPr>
          <w:i/>
          <w:sz w:val="20"/>
          <w:szCs w:val="20"/>
        </w:rPr>
        <w:t>t</w:t>
      </w:r>
      <w:r w:rsidR="00E1412E" w:rsidRPr="00E65AA7">
        <w:rPr>
          <w:sz w:val="20"/>
          <w:szCs w:val="20"/>
        </w:rPr>
        <w:t xml:space="preserve">. </w:t>
      </w:r>
      <w:r w:rsidRPr="00E65AA7">
        <w:rPr>
          <w:sz w:val="20"/>
          <w:szCs w:val="20"/>
        </w:rPr>
        <w:t xml:space="preserve">Age is the number of years between the firm’s first appearance on CRSP and month </w:t>
      </w:r>
      <w:r w:rsidR="004E2A76" w:rsidRPr="00E65AA7">
        <w:rPr>
          <w:i/>
          <w:sz w:val="20"/>
          <w:szCs w:val="20"/>
        </w:rPr>
        <w:t>t</w:t>
      </w:r>
      <w:r w:rsidRPr="00E65AA7">
        <w:rPr>
          <w:sz w:val="20"/>
          <w:szCs w:val="20"/>
        </w:rPr>
        <w:t xml:space="preserve">. Market equity (ME) is price times shares outstanding from CRSP in June </w:t>
      </w:r>
      <w:r w:rsidR="0087668B">
        <w:rPr>
          <w:noProof/>
          <w:sz w:val="20"/>
          <w:szCs w:val="20"/>
        </w:rPr>
        <w:t>of year</w:t>
      </w:r>
      <w:r w:rsidRPr="00E65AA7">
        <w:rPr>
          <w:sz w:val="20"/>
          <w:szCs w:val="20"/>
        </w:rPr>
        <w:t xml:space="preserve"> </w:t>
      </w:r>
      <w:r w:rsidR="004E2A76" w:rsidRPr="00E65AA7">
        <w:rPr>
          <w:i/>
          <w:sz w:val="20"/>
          <w:szCs w:val="20"/>
        </w:rPr>
        <w:t>t</w:t>
      </w:r>
      <w:r w:rsidRPr="00E65AA7">
        <w:rPr>
          <w:sz w:val="20"/>
          <w:szCs w:val="20"/>
        </w:rPr>
        <w:t xml:space="preserve">. Panel C </w:t>
      </w:r>
      <w:r w:rsidR="005F30C6" w:rsidRPr="00E65AA7">
        <w:rPr>
          <w:sz w:val="20"/>
          <w:szCs w:val="20"/>
        </w:rPr>
        <w:t>reports Profitability</w:t>
      </w:r>
      <w:r w:rsidRPr="00E65AA7">
        <w:rPr>
          <w:sz w:val="20"/>
          <w:szCs w:val="20"/>
        </w:rPr>
        <w:t xml:space="preserve"> variables</w:t>
      </w:r>
      <w:r w:rsidR="005F30C6" w:rsidRPr="00E65AA7">
        <w:rPr>
          <w:sz w:val="20"/>
          <w:szCs w:val="20"/>
        </w:rPr>
        <w:t>. The Earnings to Book Equity (</w:t>
      </w:r>
      <w:r w:rsidRPr="00E65AA7">
        <w:rPr>
          <w:sz w:val="20"/>
          <w:szCs w:val="20"/>
        </w:rPr>
        <w:t xml:space="preserve">E+/BEt-1) </w:t>
      </w:r>
      <w:r w:rsidRPr="00E65AA7">
        <w:rPr>
          <w:noProof/>
          <w:sz w:val="20"/>
          <w:szCs w:val="20"/>
        </w:rPr>
        <w:t>is defined</w:t>
      </w:r>
      <w:r w:rsidRPr="00E65AA7">
        <w:rPr>
          <w:sz w:val="20"/>
          <w:szCs w:val="20"/>
        </w:rPr>
        <w:t xml:space="preserve"> for firms with positive earnings. Earnings (E+) </w:t>
      </w:r>
      <w:r w:rsidRPr="00E65AA7">
        <w:rPr>
          <w:noProof/>
          <w:sz w:val="20"/>
          <w:szCs w:val="20"/>
        </w:rPr>
        <w:t>is defined</w:t>
      </w:r>
      <w:r w:rsidRPr="00E65AA7">
        <w:rPr>
          <w:sz w:val="20"/>
          <w:szCs w:val="20"/>
        </w:rPr>
        <w:t xml:space="preserve"> as income before extraordinary item (item 18) plus income statement deferred taxes (item 50) minus preferred dividends (item (19). Book equity (BE) </w:t>
      </w:r>
      <w:r w:rsidRPr="00E65AA7">
        <w:rPr>
          <w:noProof/>
          <w:sz w:val="20"/>
          <w:szCs w:val="20"/>
        </w:rPr>
        <w:t>is defined</w:t>
      </w:r>
      <w:r w:rsidRPr="00E65AA7">
        <w:rPr>
          <w:sz w:val="20"/>
          <w:szCs w:val="20"/>
        </w:rPr>
        <w:t xml:space="preserve"> as shareholders’ equity (Item 60) plus balance sheet deferred taxes (Item 35). We also repo</w:t>
      </w:r>
      <w:r w:rsidR="004A0D4C" w:rsidRPr="00E65AA7">
        <w:rPr>
          <w:sz w:val="20"/>
          <w:szCs w:val="20"/>
        </w:rPr>
        <w:t>rt an indicator variable (E&gt;0</w:t>
      </w:r>
      <w:r w:rsidRPr="00E65AA7">
        <w:rPr>
          <w:sz w:val="20"/>
          <w:szCs w:val="20"/>
        </w:rPr>
        <w:t xml:space="preserve">) equal to one for firms with positive earnings. Panel D reports dividend variables. Dividends to equity (D) are dividends per share at the </w:t>
      </w:r>
      <w:r w:rsidR="005F30C6" w:rsidRPr="00E65AA7">
        <w:rPr>
          <w:sz w:val="20"/>
          <w:szCs w:val="20"/>
        </w:rPr>
        <w:t>ex-date</w:t>
      </w:r>
      <w:r w:rsidRPr="00E65AA7">
        <w:rPr>
          <w:sz w:val="20"/>
          <w:szCs w:val="20"/>
        </w:rPr>
        <w:t xml:space="preserve"> (Item 26) times shares outstanding (Item 25) divided by Book Equity. We also repo</w:t>
      </w:r>
      <w:r w:rsidR="00371BE7" w:rsidRPr="00E65AA7">
        <w:rPr>
          <w:sz w:val="20"/>
          <w:szCs w:val="20"/>
        </w:rPr>
        <w:t>rt an indicator variable (D&gt;0</w:t>
      </w:r>
      <w:r w:rsidRPr="00E65AA7">
        <w:rPr>
          <w:sz w:val="20"/>
          <w:szCs w:val="20"/>
        </w:rPr>
        <w:t xml:space="preserve">) equal to one for firms with positive dividends. Panel E shows tangibility variables. </w:t>
      </w:r>
      <w:r w:rsidRPr="00E65AA7">
        <w:rPr>
          <w:noProof/>
          <w:sz w:val="20"/>
          <w:szCs w:val="20"/>
        </w:rPr>
        <w:t>Plant, property, and equipment (Item 7) and research and development (Item 46) are scaled by assets</w:t>
      </w:r>
      <w:r w:rsidRPr="00E65AA7">
        <w:rPr>
          <w:sz w:val="20"/>
          <w:szCs w:val="20"/>
        </w:rPr>
        <w:t xml:space="preserve"> </w:t>
      </w:r>
      <w:r w:rsidR="00D11C05" w:rsidRPr="00E65AA7">
        <w:rPr>
          <w:noProof/>
          <w:sz w:val="20"/>
          <w:szCs w:val="20"/>
        </w:rPr>
        <w:t>(item 6</w:t>
      </w:r>
      <w:r w:rsidRPr="00E65AA7">
        <w:rPr>
          <w:sz w:val="20"/>
          <w:szCs w:val="20"/>
        </w:rPr>
        <w:t xml:space="preserve">). We record research and development (RD) from 1972 when it is widely available. We set RD to zero if there is a missing value. In Panels C through </w:t>
      </w:r>
      <w:r w:rsidR="00796CBD" w:rsidRPr="00E65AA7">
        <w:rPr>
          <w:sz w:val="20"/>
          <w:szCs w:val="20"/>
        </w:rPr>
        <w:t>E</w:t>
      </w:r>
      <w:r w:rsidRPr="00E65AA7">
        <w:rPr>
          <w:sz w:val="20"/>
          <w:szCs w:val="20"/>
        </w:rPr>
        <w:t xml:space="preserve">, accounting data from the fiscal year </w:t>
      </w:r>
      <w:r w:rsidRPr="00E65AA7">
        <w:rPr>
          <w:noProof/>
          <w:sz w:val="20"/>
          <w:szCs w:val="20"/>
        </w:rPr>
        <w:t xml:space="preserve">ending in </w:t>
      </w:r>
      <w:r w:rsidR="004E2A76" w:rsidRPr="00E65AA7">
        <w:rPr>
          <w:i/>
          <w:noProof/>
          <w:sz w:val="20"/>
          <w:szCs w:val="20"/>
        </w:rPr>
        <w:t>t</w:t>
      </w:r>
      <w:r w:rsidRPr="00E65AA7">
        <w:rPr>
          <w:noProof/>
          <w:sz w:val="20"/>
          <w:szCs w:val="20"/>
        </w:rPr>
        <w:t>-1 are matched to monthly returns</w:t>
      </w:r>
      <w:r w:rsidRPr="00E65AA7">
        <w:rPr>
          <w:sz w:val="20"/>
          <w:szCs w:val="20"/>
        </w:rPr>
        <w:t xml:space="preserve"> from July of year </w:t>
      </w:r>
      <w:r w:rsidR="004E2A76" w:rsidRPr="00E65AA7">
        <w:rPr>
          <w:i/>
          <w:sz w:val="20"/>
          <w:szCs w:val="20"/>
        </w:rPr>
        <w:t>t</w:t>
      </w:r>
      <w:r w:rsidRPr="00E65AA7">
        <w:rPr>
          <w:sz w:val="20"/>
          <w:szCs w:val="20"/>
        </w:rPr>
        <w:t xml:space="preserve"> through June of </w:t>
      </w:r>
      <w:r w:rsidRPr="00E65AA7">
        <w:rPr>
          <w:noProof/>
          <w:sz w:val="20"/>
          <w:szCs w:val="20"/>
        </w:rPr>
        <w:t xml:space="preserve">year </w:t>
      </w:r>
      <w:r w:rsidR="004E2A76" w:rsidRPr="00E65AA7">
        <w:rPr>
          <w:i/>
          <w:noProof/>
          <w:sz w:val="20"/>
          <w:szCs w:val="20"/>
        </w:rPr>
        <w:t>t</w:t>
      </w:r>
      <w:r w:rsidRPr="00E65AA7">
        <w:rPr>
          <w:noProof/>
          <w:sz w:val="20"/>
          <w:szCs w:val="20"/>
        </w:rPr>
        <w:t>+1. All variables are Winsorized at</w:t>
      </w:r>
      <w:r w:rsidRPr="00E65AA7">
        <w:rPr>
          <w:sz w:val="20"/>
          <w:szCs w:val="20"/>
        </w:rPr>
        <w:t xml:space="preserve"> 99.5 and 0.5 percent.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1256"/>
        <w:gridCol w:w="1189"/>
        <w:gridCol w:w="1220"/>
        <w:gridCol w:w="1340"/>
        <w:gridCol w:w="1340"/>
        <w:gridCol w:w="1198"/>
        <w:gridCol w:w="1340"/>
        <w:gridCol w:w="1340"/>
        <w:gridCol w:w="1472"/>
        <w:gridCol w:w="1521"/>
      </w:tblGrid>
      <w:tr w:rsidR="00105988" w:rsidRPr="00E65AA7" w14:paraId="71EB03F3" w14:textId="77777777" w:rsidTr="005E3379">
        <w:trPr>
          <w:trHeight w:hRule="exact" w:val="340"/>
          <w:jc w:val="center"/>
        </w:trPr>
        <w:tc>
          <w:tcPr>
            <w:tcW w:w="709" w:type="pct"/>
            <w:tcBorders>
              <w:top w:val="single" w:sz="4" w:space="0" w:color="auto"/>
              <w:bottom w:val="single" w:sz="4" w:space="0" w:color="auto"/>
            </w:tcBorders>
          </w:tcPr>
          <w:p w14:paraId="6F99B454" w14:textId="77777777" w:rsidR="00105988" w:rsidRPr="00E65AA7" w:rsidRDefault="00105988" w:rsidP="00361C09"/>
        </w:tc>
        <w:tc>
          <w:tcPr>
            <w:tcW w:w="408" w:type="pct"/>
            <w:tcBorders>
              <w:top w:val="single" w:sz="4" w:space="0" w:color="auto"/>
              <w:bottom w:val="single" w:sz="4" w:space="0" w:color="auto"/>
            </w:tcBorders>
          </w:tcPr>
          <w:p w14:paraId="76A7DD58" w14:textId="77777777" w:rsidR="00105988" w:rsidRPr="00E65AA7" w:rsidRDefault="00105988" w:rsidP="00361C09">
            <w:pPr>
              <w:jc w:val="center"/>
              <w:rPr>
                <w:b/>
                <w:bCs/>
                <w:color w:val="000000"/>
              </w:rPr>
            </w:pPr>
            <w:r w:rsidRPr="00E65AA7">
              <w:rPr>
                <w:b/>
                <w:bCs/>
                <w:color w:val="000000"/>
              </w:rPr>
              <w:t>N</w:t>
            </w:r>
          </w:p>
        </w:tc>
        <w:tc>
          <w:tcPr>
            <w:tcW w:w="386" w:type="pct"/>
            <w:tcBorders>
              <w:top w:val="single" w:sz="4" w:space="0" w:color="auto"/>
              <w:bottom w:val="single" w:sz="4" w:space="0" w:color="auto"/>
            </w:tcBorders>
          </w:tcPr>
          <w:p w14:paraId="20E3694A" w14:textId="77777777" w:rsidR="00105988" w:rsidRPr="00E65AA7" w:rsidRDefault="00105988" w:rsidP="00361C09">
            <w:pPr>
              <w:jc w:val="center"/>
              <w:rPr>
                <w:b/>
                <w:bCs/>
                <w:color w:val="000000"/>
              </w:rPr>
            </w:pPr>
            <w:r w:rsidRPr="00E65AA7">
              <w:rPr>
                <w:b/>
                <w:bCs/>
                <w:color w:val="000000"/>
              </w:rPr>
              <w:t>Mean</w:t>
            </w:r>
          </w:p>
        </w:tc>
        <w:tc>
          <w:tcPr>
            <w:tcW w:w="396" w:type="pct"/>
            <w:tcBorders>
              <w:top w:val="single" w:sz="4" w:space="0" w:color="auto"/>
              <w:bottom w:val="single" w:sz="4" w:space="0" w:color="auto"/>
            </w:tcBorders>
          </w:tcPr>
          <w:p w14:paraId="4F4AFA26" w14:textId="77777777" w:rsidR="00105988" w:rsidRPr="00E65AA7" w:rsidRDefault="00105988" w:rsidP="00361C09">
            <w:pPr>
              <w:jc w:val="center"/>
              <w:rPr>
                <w:b/>
                <w:bCs/>
                <w:color w:val="000000"/>
              </w:rPr>
            </w:pPr>
            <w:r w:rsidRPr="00E65AA7">
              <w:rPr>
                <w:b/>
                <w:bCs/>
                <w:color w:val="000000"/>
              </w:rPr>
              <w:t>Std Dev</w:t>
            </w:r>
          </w:p>
        </w:tc>
        <w:tc>
          <w:tcPr>
            <w:tcW w:w="435" w:type="pct"/>
            <w:tcBorders>
              <w:top w:val="single" w:sz="4" w:space="0" w:color="auto"/>
              <w:bottom w:val="single" w:sz="4" w:space="0" w:color="auto"/>
            </w:tcBorders>
          </w:tcPr>
          <w:p w14:paraId="0A6B5B79" w14:textId="77777777" w:rsidR="00105988" w:rsidRPr="00E65AA7" w:rsidRDefault="00105988" w:rsidP="00361C09">
            <w:pPr>
              <w:jc w:val="center"/>
              <w:rPr>
                <w:b/>
                <w:bCs/>
                <w:color w:val="000000"/>
              </w:rPr>
            </w:pPr>
            <w:r w:rsidRPr="00E65AA7">
              <w:rPr>
                <w:b/>
                <w:bCs/>
                <w:color w:val="000000"/>
              </w:rPr>
              <w:t xml:space="preserve">10th </w:t>
            </w:r>
            <w:r w:rsidRPr="00E65AA7">
              <w:rPr>
                <w:b/>
                <w:bCs/>
                <w:noProof/>
                <w:color w:val="000000"/>
              </w:rPr>
              <w:t>Pctl</w:t>
            </w:r>
          </w:p>
        </w:tc>
        <w:tc>
          <w:tcPr>
            <w:tcW w:w="435" w:type="pct"/>
            <w:tcBorders>
              <w:top w:val="single" w:sz="4" w:space="0" w:color="auto"/>
              <w:bottom w:val="single" w:sz="4" w:space="0" w:color="auto"/>
            </w:tcBorders>
          </w:tcPr>
          <w:p w14:paraId="53A0F85D" w14:textId="77777777" w:rsidR="00105988" w:rsidRPr="00E65AA7" w:rsidRDefault="00105988" w:rsidP="00361C09">
            <w:pPr>
              <w:jc w:val="center"/>
              <w:rPr>
                <w:b/>
                <w:bCs/>
                <w:color w:val="000000"/>
              </w:rPr>
            </w:pPr>
            <w:r w:rsidRPr="00E65AA7">
              <w:rPr>
                <w:b/>
                <w:bCs/>
                <w:color w:val="000000"/>
              </w:rPr>
              <w:t xml:space="preserve">25th </w:t>
            </w:r>
            <w:r w:rsidRPr="00E65AA7">
              <w:rPr>
                <w:b/>
                <w:bCs/>
                <w:noProof/>
                <w:color w:val="000000"/>
              </w:rPr>
              <w:t>Pctl</w:t>
            </w:r>
          </w:p>
        </w:tc>
        <w:tc>
          <w:tcPr>
            <w:tcW w:w="389" w:type="pct"/>
            <w:tcBorders>
              <w:top w:val="single" w:sz="4" w:space="0" w:color="auto"/>
              <w:bottom w:val="single" w:sz="4" w:space="0" w:color="auto"/>
            </w:tcBorders>
          </w:tcPr>
          <w:p w14:paraId="6164E598" w14:textId="77777777" w:rsidR="00105988" w:rsidRPr="00E65AA7" w:rsidRDefault="00105988" w:rsidP="00361C09">
            <w:pPr>
              <w:jc w:val="center"/>
              <w:rPr>
                <w:b/>
                <w:bCs/>
                <w:color w:val="000000"/>
              </w:rPr>
            </w:pPr>
            <w:r w:rsidRPr="00E65AA7">
              <w:rPr>
                <w:b/>
                <w:bCs/>
                <w:color w:val="000000"/>
              </w:rPr>
              <w:t>Median</w:t>
            </w:r>
          </w:p>
        </w:tc>
        <w:tc>
          <w:tcPr>
            <w:tcW w:w="435" w:type="pct"/>
            <w:tcBorders>
              <w:top w:val="single" w:sz="4" w:space="0" w:color="auto"/>
              <w:bottom w:val="single" w:sz="4" w:space="0" w:color="auto"/>
            </w:tcBorders>
          </w:tcPr>
          <w:p w14:paraId="76C8E1F1" w14:textId="77777777" w:rsidR="00105988" w:rsidRPr="00E65AA7" w:rsidRDefault="00105988" w:rsidP="00361C09">
            <w:pPr>
              <w:jc w:val="center"/>
              <w:rPr>
                <w:b/>
                <w:bCs/>
                <w:color w:val="000000"/>
              </w:rPr>
            </w:pPr>
            <w:r w:rsidRPr="00E65AA7">
              <w:rPr>
                <w:b/>
                <w:bCs/>
                <w:color w:val="000000"/>
              </w:rPr>
              <w:t xml:space="preserve">75th </w:t>
            </w:r>
            <w:r w:rsidRPr="00E65AA7">
              <w:rPr>
                <w:b/>
                <w:bCs/>
                <w:noProof/>
                <w:color w:val="000000"/>
              </w:rPr>
              <w:t>Pctl</w:t>
            </w:r>
          </w:p>
        </w:tc>
        <w:tc>
          <w:tcPr>
            <w:tcW w:w="435" w:type="pct"/>
            <w:tcBorders>
              <w:top w:val="single" w:sz="4" w:space="0" w:color="auto"/>
              <w:bottom w:val="single" w:sz="4" w:space="0" w:color="auto"/>
            </w:tcBorders>
          </w:tcPr>
          <w:p w14:paraId="1390BFB5" w14:textId="77777777" w:rsidR="00105988" w:rsidRPr="00E65AA7" w:rsidRDefault="00105988" w:rsidP="00361C09">
            <w:pPr>
              <w:jc w:val="center"/>
              <w:rPr>
                <w:b/>
                <w:bCs/>
                <w:color w:val="000000"/>
              </w:rPr>
            </w:pPr>
            <w:r w:rsidRPr="00E65AA7">
              <w:rPr>
                <w:b/>
                <w:bCs/>
                <w:color w:val="000000"/>
              </w:rPr>
              <w:t xml:space="preserve">90th </w:t>
            </w:r>
            <w:r w:rsidRPr="00E65AA7">
              <w:rPr>
                <w:b/>
                <w:bCs/>
                <w:noProof/>
                <w:color w:val="000000"/>
              </w:rPr>
              <w:t>Pctl</w:t>
            </w:r>
          </w:p>
        </w:tc>
        <w:tc>
          <w:tcPr>
            <w:tcW w:w="478" w:type="pct"/>
            <w:tcBorders>
              <w:top w:val="single" w:sz="4" w:space="0" w:color="auto"/>
              <w:bottom w:val="single" w:sz="4" w:space="0" w:color="auto"/>
            </w:tcBorders>
          </w:tcPr>
          <w:p w14:paraId="33173E9F" w14:textId="77777777" w:rsidR="00105988" w:rsidRPr="00E65AA7" w:rsidRDefault="00105988" w:rsidP="00361C09">
            <w:pPr>
              <w:jc w:val="center"/>
              <w:rPr>
                <w:b/>
                <w:bCs/>
                <w:color w:val="000000"/>
              </w:rPr>
            </w:pPr>
            <w:r w:rsidRPr="00E65AA7">
              <w:rPr>
                <w:b/>
                <w:bCs/>
                <w:color w:val="000000"/>
              </w:rPr>
              <w:t>Minimum</w:t>
            </w:r>
          </w:p>
        </w:tc>
        <w:tc>
          <w:tcPr>
            <w:tcW w:w="494" w:type="pct"/>
            <w:tcBorders>
              <w:top w:val="single" w:sz="4" w:space="0" w:color="auto"/>
              <w:bottom w:val="single" w:sz="4" w:space="0" w:color="auto"/>
            </w:tcBorders>
          </w:tcPr>
          <w:p w14:paraId="1DCA38A0" w14:textId="77777777" w:rsidR="00105988" w:rsidRPr="00E65AA7" w:rsidRDefault="00105988" w:rsidP="00361C09">
            <w:pPr>
              <w:jc w:val="center"/>
              <w:rPr>
                <w:b/>
                <w:bCs/>
                <w:color w:val="000000"/>
              </w:rPr>
            </w:pPr>
            <w:r w:rsidRPr="00E65AA7">
              <w:rPr>
                <w:b/>
                <w:bCs/>
                <w:color w:val="000000"/>
              </w:rPr>
              <w:t>Maximum</w:t>
            </w:r>
          </w:p>
        </w:tc>
      </w:tr>
      <w:tr w:rsidR="00105988" w:rsidRPr="00E65AA7" w14:paraId="00578B33" w14:textId="77777777" w:rsidTr="005E3379">
        <w:trPr>
          <w:trHeight w:hRule="exact" w:val="340"/>
          <w:jc w:val="center"/>
        </w:trPr>
        <w:tc>
          <w:tcPr>
            <w:tcW w:w="5000" w:type="pct"/>
            <w:gridSpan w:val="11"/>
            <w:tcBorders>
              <w:top w:val="single" w:sz="4" w:space="0" w:color="auto"/>
              <w:bottom w:val="single" w:sz="4" w:space="0" w:color="auto"/>
            </w:tcBorders>
          </w:tcPr>
          <w:p w14:paraId="60037976" w14:textId="77777777" w:rsidR="00105988" w:rsidRPr="00E65AA7" w:rsidRDefault="00105988" w:rsidP="00361C09">
            <w:pPr>
              <w:jc w:val="center"/>
              <w:rPr>
                <w:b/>
                <w:bCs/>
                <w:color w:val="000000"/>
              </w:rPr>
            </w:pPr>
            <w:r w:rsidRPr="00E65AA7">
              <w:rPr>
                <w:b/>
                <w:bCs/>
                <w:color w:val="000000"/>
              </w:rPr>
              <w:t>Panel A: Monthly Returns and Momentum Returns</w:t>
            </w:r>
          </w:p>
        </w:tc>
      </w:tr>
      <w:tr w:rsidR="005B4546" w:rsidRPr="00E65AA7" w14:paraId="4BA41AAE" w14:textId="77777777" w:rsidTr="005E3379">
        <w:trPr>
          <w:trHeight w:hRule="exact" w:val="340"/>
          <w:jc w:val="center"/>
        </w:trPr>
        <w:tc>
          <w:tcPr>
            <w:tcW w:w="709" w:type="pct"/>
            <w:tcBorders>
              <w:top w:val="single" w:sz="4" w:space="0" w:color="auto"/>
            </w:tcBorders>
          </w:tcPr>
          <w:p w14:paraId="3983C326" w14:textId="77777777" w:rsidR="005B4546" w:rsidRPr="00E65AA7" w:rsidRDefault="005B4546" w:rsidP="005B4546">
            <w:pPr>
              <w:rPr>
                <w:bCs/>
                <w:color w:val="000000"/>
              </w:rPr>
            </w:pPr>
            <w:r w:rsidRPr="00E65AA7">
              <w:rPr>
                <w:bCs/>
                <w:color w:val="000000"/>
              </w:rPr>
              <w:t>Ret (%)</w:t>
            </w:r>
          </w:p>
        </w:tc>
        <w:tc>
          <w:tcPr>
            <w:tcW w:w="408" w:type="pct"/>
            <w:tcBorders>
              <w:top w:val="single" w:sz="4" w:space="0" w:color="auto"/>
            </w:tcBorders>
          </w:tcPr>
          <w:p w14:paraId="0EE25550" w14:textId="28B8AC3F" w:rsidR="005B4546" w:rsidRPr="00E65AA7" w:rsidRDefault="005B4546" w:rsidP="005B4546">
            <w:pPr>
              <w:jc w:val="right"/>
              <w:rPr>
                <w:color w:val="000000"/>
              </w:rPr>
            </w:pPr>
            <w:r w:rsidRPr="00F4235E">
              <w:t>2443552</w:t>
            </w:r>
          </w:p>
        </w:tc>
        <w:tc>
          <w:tcPr>
            <w:tcW w:w="386" w:type="pct"/>
            <w:tcBorders>
              <w:top w:val="single" w:sz="4" w:space="0" w:color="auto"/>
            </w:tcBorders>
          </w:tcPr>
          <w:p w14:paraId="1BEF8B06" w14:textId="6280FE8A" w:rsidR="005B4546" w:rsidRPr="00E65AA7" w:rsidRDefault="005B4546" w:rsidP="005B4546">
            <w:pPr>
              <w:jc w:val="right"/>
              <w:rPr>
                <w:color w:val="000000"/>
              </w:rPr>
            </w:pPr>
            <w:r w:rsidRPr="00F4235E">
              <w:t>1.37</w:t>
            </w:r>
          </w:p>
        </w:tc>
        <w:tc>
          <w:tcPr>
            <w:tcW w:w="396" w:type="pct"/>
            <w:tcBorders>
              <w:top w:val="single" w:sz="4" w:space="0" w:color="auto"/>
            </w:tcBorders>
          </w:tcPr>
          <w:p w14:paraId="4FB5180E" w14:textId="05209C2B" w:rsidR="005B4546" w:rsidRPr="00E65AA7" w:rsidRDefault="005B4546" w:rsidP="005B4546">
            <w:pPr>
              <w:jc w:val="right"/>
              <w:rPr>
                <w:color w:val="000000"/>
              </w:rPr>
            </w:pPr>
            <w:r w:rsidRPr="00F4235E">
              <w:t>17.8</w:t>
            </w:r>
          </w:p>
        </w:tc>
        <w:tc>
          <w:tcPr>
            <w:tcW w:w="435" w:type="pct"/>
            <w:tcBorders>
              <w:top w:val="single" w:sz="4" w:space="0" w:color="auto"/>
            </w:tcBorders>
          </w:tcPr>
          <w:p w14:paraId="7168B7BC" w14:textId="456947D7" w:rsidR="005B4546" w:rsidRPr="00E65AA7" w:rsidRDefault="005B4546" w:rsidP="005B4546">
            <w:pPr>
              <w:jc w:val="right"/>
              <w:rPr>
                <w:color w:val="000000"/>
              </w:rPr>
            </w:pPr>
            <w:r w:rsidRPr="00F4235E">
              <w:t>-14.75</w:t>
            </w:r>
          </w:p>
        </w:tc>
        <w:tc>
          <w:tcPr>
            <w:tcW w:w="435" w:type="pct"/>
            <w:tcBorders>
              <w:top w:val="single" w:sz="4" w:space="0" w:color="auto"/>
            </w:tcBorders>
          </w:tcPr>
          <w:p w14:paraId="595DA1A7" w14:textId="5F466945" w:rsidR="005B4546" w:rsidRPr="00E65AA7" w:rsidRDefault="005B4546" w:rsidP="005B4546">
            <w:pPr>
              <w:jc w:val="right"/>
              <w:rPr>
                <w:color w:val="000000"/>
              </w:rPr>
            </w:pPr>
            <w:r w:rsidRPr="00F4235E">
              <w:t>-6.38</w:t>
            </w:r>
          </w:p>
        </w:tc>
        <w:tc>
          <w:tcPr>
            <w:tcW w:w="389" w:type="pct"/>
            <w:tcBorders>
              <w:top w:val="single" w:sz="4" w:space="0" w:color="auto"/>
            </w:tcBorders>
          </w:tcPr>
          <w:p w14:paraId="780F7555" w14:textId="5D45BA8B" w:rsidR="005B4546" w:rsidRPr="00E65AA7" w:rsidRDefault="005B4546" w:rsidP="005B4546">
            <w:pPr>
              <w:jc w:val="right"/>
              <w:rPr>
                <w:color w:val="000000"/>
              </w:rPr>
            </w:pPr>
            <w:r w:rsidRPr="00F4235E">
              <w:t>0</w:t>
            </w:r>
            <w:r w:rsidR="00C65DC1">
              <w:t>.00</w:t>
            </w:r>
          </w:p>
        </w:tc>
        <w:tc>
          <w:tcPr>
            <w:tcW w:w="435" w:type="pct"/>
            <w:tcBorders>
              <w:top w:val="single" w:sz="4" w:space="0" w:color="auto"/>
            </w:tcBorders>
          </w:tcPr>
          <w:p w14:paraId="04152CC7" w14:textId="2968FBDD" w:rsidR="005B4546" w:rsidRPr="00E65AA7" w:rsidRDefault="005B4546" w:rsidP="005B4546">
            <w:pPr>
              <w:jc w:val="right"/>
              <w:rPr>
                <w:color w:val="000000"/>
              </w:rPr>
            </w:pPr>
            <w:r w:rsidRPr="00F4235E">
              <w:t>7.26</w:t>
            </w:r>
          </w:p>
        </w:tc>
        <w:tc>
          <w:tcPr>
            <w:tcW w:w="435" w:type="pct"/>
            <w:tcBorders>
              <w:top w:val="single" w:sz="4" w:space="0" w:color="auto"/>
            </w:tcBorders>
          </w:tcPr>
          <w:p w14:paraId="3B637B2D" w14:textId="12997E9E" w:rsidR="005B4546" w:rsidRPr="00E65AA7" w:rsidRDefault="005B4546" w:rsidP="005B4546">
            <w:pPr>
              <w:jc w:val="right"/>
              <w:rPr>
                <w:color w:val="000000"/>
              </w:rPr>
            </w:pPr>
            <w:r w:rsidRPr="00F4235E">
              <w:t>17.19</w:t>
            </w:r>
          </w:p>
        </w:tc>
        <w:tc>
          <w:tcPr>
            <w:tcW w:w="478" w:type="pct"/>
            <w:tcBorders>
              <w:top w:val="single" w:sz="4" w:space="0" w:color="auto"/>
            </w:tcBorders>
          </w:tcPr>
          <w:p w14:paraId="72793F9E" w14:textId="4CCA6A10" w:rsidR="005B4546" w:rsidRPr="00E65AA7" w:rsidRDefault="005B4546" w:rsidP="005B4546">
            <w:pPr>
              <w:jc w:val="right"/>
              <w:rPr>
                <w:color w:val="000000"/>
              </w:rPr>
            </w:pPr>
            <w:r w:rsidRPr="00F4235E">
              <w:t>-98.13</w:t>
            </w:r>
          </w:p>
        </w:tc>
        <w:tc>
          <w:tcPr>
            <w:tcW w:w="494" w:type="pct"/>
            <w:tcBorders>
              <w:top w:val="single" w:sz="4" w:space="0" w:color="auto"/>
            </w:tcBorders>
          </w:tcPr>
          <w:p w14:paraId="308A7B2C" w14:textId="054CE8EE" w:rsidR="005B4546" w:rsidRPr="00E65AA7" w:rsidRDefault="005B4546" w:rsidP="005B4546">
            <w:pPr>
              <w:jc w:val="right"/>
              <w:rPr>
                <w:color w:val="000000"/>
              </w:rPr>
            </w:pPr>
            <w:r w:rsidRPr="00F4235E">
              <w:t>2400</w:t>
            </w:r>
          </w:p>
        </w:tc>
      </w:tr>
      <w:tr w:rsidR="005B4546" w:rsidRPr="00E65AA7" w14:paraId="46770EFE" w14:textId="77777777" w:rsidTr="00CE0B17">
        <w:trPr>
          <w:trHeight w:hRule="exact" w:val="340"/>
          <w:jc w:val="center"/>
        </w:trPr>
        <w:tc>
          <w:tcPr>
            <w:tcW w:w="709" w:type="pct"/>
            <w:tcBorders>
              <w:bottom w:val="single" w:sz="4" w:space="0" w:color="auto"/>
            </w:tcBorders>
          </w:tcPr>
          <w:p w14:paraId="71A05AED" w14:textId="77777777" w:rsidR="005B4546" w:rsidRPr="00E65AA7" w:rsidRDefault="005B4546" w:rsidP="005B4546">
            <w:pPr>
              <w:rPr>
                <w:bCs/>
                <w:color w:val="000000"/>
              </w:rPr>
            </w:pPr>
            <w:r w:rsidRPr="00E65AA7">
              <w:rPr>
                <w:bCs/>
                <w:color w:val="000000"/>
              </w:rPr>
              <w:t>MOM</w:t>
            </w:r>
            <w:r w:rsidRPr="00E65AA7">
              <w:rPr>
                <w:bCs/>
                <w:color w:val="000000"/>
                <w:vertAlign w:val="subscript"/>
              </w:rPr>
              <w:t xml:space="preserve">t-1 </w:t>
            </w:r>
            <w:r w:rsidRPr="00E65AA7">
              <w:rPr>
                <w:bCs/>
                <w:color w:val="000000"/>
              </w:rPr>
              <w:t>(%)</w:t>
            </w:r>
          </w:p>
        </w:tc>
        <w:tc>
          <w:tcPr>
            <w:tcW w:w="408" w:type="pct"/>
            <w:tcBorders>
              <w:bottom w:val="single" w:sz="4" w:space="0" w:color="auto"/>
            </w:tcBorders>
          </w:tcPr>
          <w:p w14:paraId="2FCD2E82" w14:textId="305D8F54" w:rsidR="005B4546" w:rsidRPr="00E65AA7" w:rsidRDefault="005B4546" w:rsidP="005B4546">
            <w:pPr>
              <w:jc w:val="right"/>
              <w:rPr>
                <w:color w:val="000000"/>
              </w:rPr>
            </w:pPr>
            <w:r w:rsidRPr="00F4235E">
              <w:t>2443552</w:t>
            </w:r>
          </w:p>
        </w:tc>
        <w:tc>
          <w:tcPr>
            <w:tcW w:w="386" w:type="pct"/>
            <w:tcBorders>
              <w:bottom w:val="single" w:sz="4" w:space="0" w:color="auto"/>
            </w:tcBorders>
          </w:tcPr>
          <w:p w14:paraId="6D7E072B" w14:textId="75F7F7A0" w:rsidR="005B4546" w:rsidRPr="00E65AA7" w:rsidRDefault="005B4546" w:rsidP="005B4546">
            <w:pPr>
              <w:jc w:val="right"/>
              <w:rPr>
                <w:color w:val="000000"/>
              </w:rPr>
            </w:pPr>
            <w:r w:rsidRPr="00F4235E">
              <w:t>14.25</w:t>
            </w:r>
          </w:p>
        </w:tc>
        <w:tc>
          <w:tcPr>
            <w:tcW w:w="396" w:type="pct"/>
            <w:tcBorders>
              <w:bottom w:val="single" w:sz="4" w:space="0" w:color="auto"/>
            </w:tcBorders>
          </w:tcPr>
          <w:p w14:paraId="16E5E393" w14:textId="6DF271CC" w:rsidR="005B4546" w:rsidRPr="00E65AA7" w:rsidRDefault="005B4546" w:rsidP="005B4546">
            <w:pPr>
              <w:jc w:val="right"/>
              <w:rPr>
                <w:color w:val="000000"/>
              </w:rPr>
            </w:pPr>
            <w:r w:rsidRPr="00F4235E">
              <w:t>62.18</w:t>
            </w:r>
          </w:p>
        </w:tc>
        <w:tc>
          <w:tcPr>
            <w:tcW w:w="435" w:type="pct"/>
            <w:tcBorders>
              <w:bottom w:val="single" w:sz="4" w:space="0" w:color="auto"/>
            </w:tcBorders>
          </w:tcPr>
          <w:p w14:paraId="0C58480F" w14:textId="0D1F22C1" w:rsidR="005B4546" w:rsidRPr="00E65AA7" w:rsidRDefault="005B4546" w:rsidP="005B4546">
            <w:pPr>
              <w:jc w:val="right"/>
              <w:rPr>
                <w:color w:val="000000"/>
              </w:rPr>
            </w:pPr>
            <w:r w:rsidRPr="00F4235E">
              <w:t>-44.74</w:t>
            </w:r>
          </w:p>
        </w:tc>
        <w:tc>
          <w:tcPr>
            <w:tcW w:w="435" w:type="pct"/>
            <w:tcBorders>
              <w:bottom w:val="single" w:sz="4" w:space="0" w:color="auto"/>
            </w:tcBorders>
          </w:tcPr>
          <w:p w14:paraId="31D13021" w14:textId="4CB01B50" w:rsidR="005B4546" w:rsidRPr="00E65AA7" w:rsidRDefault="005B4546" w:rsidP="005B4546">
            <w:pPr>
              <w:jc w:val="right"/>
              <w:rPr>
                <w:color w:val="000000"/>
              </w:rPr>
            </w:pPr>
            <w:r w:rsidRPr="00F4235E">
              <w:t>-19.83</w:t>
            </w:r>
          </w:p>
        </w:tc>
        <w:tc>
          <w:tcPr>
            <w:tcW w:w="389" w:type="pct"/>
            <w:tcBorders>
              <w:bottom w:val="single" w:sz="4" w:space="0" w:color="auto"/>
            </w:tcBorders>
          </w:tcPr>
          <w:p w14:paraId="4130432C" w14:textId="04A00467" w:rsidR="005B4546" w:rsidRPr="00E65AA7" w:rsidRDefault="005B4546" w:rsidP="005B4546">
            <w:pPr>
              <w:jc w:val="right"/>
              <w:rPr>
                <w:color w:val="000000"/>
              </w:rPr>
            </w:pPr>
            <w:r w:rsidRPr="00F4235E">
              <w:t>5.81</w:t>
            </w:r>
          </w:p>
        </w:tc>
        <w:tc>
          <w:tcPr>
            <w:tcW w:w="435" w:type="pct"/>
            <w:tcBorders>
              <w:bottom w:val="single" w:sz="4" w:space="0" w:color="auto"/>
            </w:tcBorders>
          </w:tcPr>
          <w:p w14:paraId="738DB903" w14:textId="5F923D50" w:rsidR="005B4546" w:rsidRPr="00E65AA7" w:rsidRDefault="005B4546" w:rsidP="005B4546">
            <w:pPr>
              <w:jc w:val="right"/>
              <w:rPr>
                <w:color w:val="000000"/>
              </w:rPr>
            </w:pPr>
            <w:r w:rsidRPr="00F4235E">
              <w:t>34</w:t>
            </w:r>
          </w:p>
        </w:tc>
        <w:tc>
          <w:tcPr>
            <w:tcW w:w="435" w:type="pct"/>
            <w:tcBorders>
              <w:bottom w:val="single" w:sz="4" w:space="0" w:color="auto"/>
            </w:tcBorders>
          </w:tcPr>
          <w:p w14:paraId="1EFF939D" w14:textId="2A662977" w:rsidR="005B4546" w:rsidRPr="00E65AA7" w:rsidRDefault="005B4546" w:rsidP="005B4546">
            <w:pPr>
              <w:jc w:val="right"/>
              <w:rPr>
                <w:color w:val="000000"/>
              </w:rPr>
            </w:pPr>
            <w:r w:rsidRPr="00F4235E">
              <w:t>73.49</w:t>
            </w:r>
          </w:p>
        </w:tc>
        <w:tc>
          <w:tcPr>
            <w:tcW w:w="478" w:type="pct"/>
            <w:tcBorders>
              <w:bottom w:val="single" w:sz="4" w:space="0" w:color="auto"/>
            </w:tcBorders>
          </w:tcPr>
          <w:p w14:paraId="4DCEBAB0" w14:textId="4FAD5397" w:rsidR="005B4546" w:rsidRPr="00E65AA7" w:rsidRDefault="005B4546" w:rsidP="005B4546">
            <w:pPr>
              <w:jc w:val="right"/>
              <w:rPr>
                <w:color w:val="000000"/>
              </w:rPr>
            </w:pPr>
            <w:r w:rsidRPr="00F4235E">
              <w:t>-98.18</w:t>
            </w:r>
          </w:p>
        </w:tc>
        <w:tc>
          <w:tcPr>
            <w:tcW w:w="494" w:type="pct"/>
            <w:tcBorders>
              <w:bottom w:val="single" w:sz="4" w:space="0" w:color="auto"/>
            </w:tcBorders>
          </w:tcPr>
          <w:p w14:paraId="0EDCC4D0" w14:textId="300D9E1C" w:rsidR="005B4546" w:rsidRPr="00E65AA7" w:rsidRDefault="005B4546" w:rsidP="005B4546">
            <w:pPr>
              <w:jc w:val="right"/>
              <w:rPr>
                <w:color w:val="000000"/>
              </w:rPr>
            </w:pPr>
            <w:r w:rsidRPr="00F4235E">
              <w:t>1601.23</w:t>
            </w:r>
          </w:p>
        </w:tc>
      </w:tr>
      <w:tr w:rsidR="00105988" w:rsidRPr="00E65AA7" w14:paraId="35FC8BA1" w14:textId="77777777" w:rsidTr="00CE0B17">
        <w:trPr>
          <w:trHeight w:hRule="exact" w:val="340"/>
          <w:jc w:val="center"/>
        </w:trPr>
        <w:tc>
          <w:tcPr>
            <w:tcW w:w="5000" w:type="pct"/>
            <w:gridSpan w:val="11"/>
            <w:tcBorders>
              <w:top w:val="single" w:sz="4" w:space="0" w:color="auto"/>
              <w:bottom w:val="single" w:sz="4" w:space="0" w:color="auto"/>
            </w:tcBorders>
          </w:tcPr>
          <w:p w14:paraId="6086FF49" w14:textId="5E9DA59F" w:rsidR="00105988" w:rsidRPr="00E65AA7" w:rsidRDefault="008137A0" w:rsidP="008137A0">
            <w:pPr>
              <w:jc w:val="center"/>
              <w:rPr>
                <w:b/>
              </w:rPr>
            </w:pPr>
            <w:r w:rsidRPr="00E65AA7">
              <w:rPr>
                <w:b/>
                <w:bCs/>
                <w:color w:val="000000"/>
              </w:rPr>
              <w:t>Panel B: Age,</w:t>
            </w:r>
            <w:r w:rsidR="00105988" w:rsidRPr="00E65AA7">
              <w:rPr>
                <w:b/>
                <w:bCs/>
                <w:color w:val="000000"/>
              </w:rPr>
              <w:t xml:space="preserve"> Market Equity</w:t>
            </w:r>
            <w:r w:rsidRPr="00E65AA7">
              <w:rPr>
                <w:b/>
                <w:bCs/>
                <w:color w:val="000000"/>
              </w:rPr>
              <w:t>, and Volatility</w:t>
            </w:r>
          </w:p>
        </w:tc>
      </w:tr>
      <w:tr w:rsidR="00ED3BC6" w:rsidRPr="00E65AA7" w14:paraId="4EEA6586" w14:textId="77777777" w:rsidTr="00CE0B17">
        <w:trPr>
          <w:trHeight w:hRule="exact" w:val="340"/>
          <w:jc w:val="center"/>
        </w:trPr>
        <w:tc>
          <w:tcPr>
            <w:tcW w:w="709" w:type="pct"/>
            <w:tcBorders>
              <w:top w:val="single" w:sz="4" w:space="0" w:color="auto"/>
            </w:tcBorders>
          </w:tcPr>
          <w:p w14:paraId="63263A98" w14:textId="1C5AAE6F" w:rsidR="00ED3BC6" w:rsidRPr="00E65AA7" w:rsidRDefault="00ED3BC6" w:rsidP="00ED3BC6">
            <w:pPr>
              <w:rPr>
                <w:bCs/>
                <w:color w:val="000000"/>
              </w:rPr>
            </w:pPr>
            <w:r w:rsidRPr="00E65AA7">
              <w:rPr>
                <w:bCs/>
                <w:color w:val="000000"/>
              </w:rPr>
              <w:t>Volatility</w:t>
            </w:r>
            <w:r w:rsidRPr="00E65AA7">
              <w:rPr>
                <w:bCs/>
                <w:color w:val="000000"/>
                <w:vertAlign w:val="subscript"/>
              </w:rPr>
              <w:t xml:space="preserve">t-1 </w:t>
            </w:r>
            <w:r w:rsidRPr="00E65AA7">
              <w:rPr>
                <w:bCs/>
                <w:color w:val="000000"/>
              </w:rPr>
              <w:t>(%)</w:t>
            </w:r>
          </w:p>
        </w:tc>
        <w:tc>
          <w:tcPr>
            <w:tcW w:w="408" w:type="pct"/>
            <w:tcBorders>
              <w:top w:val="single" w:sz="4" w:space="0" w:color="auto"/>
            </w:tcBorders>
          </w:tcPr>
          <w:p w14:paraId="4CA2BB26" w14:textId="29D9FCCD" w:rsidR="00ED3BC6" w:rsidRPr="00E65AA7" w:rsidRDefault="00ED3BC6" w:rsidP="00ED3BC6">
            <w:pPr>
              <w:jc w:val="right"/>
              <w:rPr>
                <w:color w:val="000000"/>
              </w:rPr>
            </w:pPr>
            <w:r w:rsidRPr="00144790">
              <w:t>2443552</w:t>
            </w:r>
          </w:p>
        </w:tc>
        <w:tc>
          <w:tcPr>
            <w:tcW w:w="386" w:type="pct"/>
            <w:tcBorders>
              <w:top w:val="single" w:sz="4" w:space="0" w:color="auto"/>
            </w:tcBorders>
          </w:tcPr>
          <w:p w14:paraId="19F28A28" w14:textId="3560FB6A" w:rsidR="00ED3BC6" w:rsidRPr="00E65AA7" w:rsidRDefault="00ED3BC6" w:rsidP="00ED3BC6">
            <w:pPr>
              <w:jc w:val="right"/>
              <w:rPr>
                <w:color w:val="000000"/>
              </w:rPr>
            </w:pPr>
            <w:r w:rsidRPr="00174930">
              <w:t>13.79</w:t>
            </w:r>
          </w:p>
        </w:tc>
        <w:tc>
          <w:tcPr>
            <w:tcW w:w="396" w:type="pct"/>
            <w:tcBorders>
              <w:top w:val="single" w:sz="4" w:space="0" w:color="auto"/>
            </w:tcBorders>
          </w:tcPr>
          <w:p w14:paraId="08AAE2D9" w14:textId="00370363" w:rsidR="00ED3BC6" w:rsidRPr="00E65AA7" w:rsidRDefault="00ED3BC6" w:rsidP="00ED3BC6">
            <w:pPr>
              <w:jc w:val="right"/>
              <w:rPr>
                <w:color w:val="000000"/>
              </w:rPr>
            </w:pPr>
            <w:r w:rsidRPr="00174930">
              <w:t>9.37</w:t>
            </w:r>
          </w:p>
        </w:tc>
        <w:tc>
          <w:tcPr>
            <w:tcW w:w="435" w:type="pct"/>
            <w:tcBorders>
              <w:top w:val="single" w:sz="4" w:space="0" w:color="auto"/>
            </w:tcBorders>
          </w:tcPr>
          <w:p w14:paraId="1ECD48CB" w14:textId="0FC02205" w:rsidR="00ED3BC6" w:rsidRPr="00E65AA7" w:rsidRDefault="00ED3BC6" w:rsidP="00ED3BC6">
            <w:pPr>
              <w:jc w:val="right"/>
              <w:rPr>
                <w:color w:val="000000"/>
              </w:rPr>
            </w:pPr>
            <w:r w:rsidRPr="00174930">
              <w:t>5.41</w:t>
            </w:r>
          </w:p>
        </w:tc>
        <w:tc>
          <w:tcPr>
            <w:tcW w:w="435" w:type="pct"/>
            <w:tcBorders>
              <w:top w:val="single" w:sz="4" w:space="0" w:color="auto"/>
            </w:tcBorders>
          </w:tcPr>
          <w:p w14:paraId="446E62CC" w14:textId="05856AF4" w:rsidR="00ED3BC6" w:rsidRPr="00E65AA7" w:rsidRDefault="00ED3BC6" w:rsidP="00ED3BC6">
            <w:pPr>
              <w:jc w:val="right"/>
              <w:rPr>
                <w:color w:val="000000"/>
              </w:rPr>
            </w:pPr>
            <w:r w:rsidRPr="00174930">
              <w:t>7.7</w:t>
            </w:r>
          </w:p>
        </w:tc>
        <w:tc>
          <w:tcPr>
            <w:tcW w:w="389" w:type="pct"/>
            <w:tcBorders>
              <w:top w:val="single" w:sz="4" w:space="0" w:color="auto"/>
            </w:tcBorders>
          </w:tcPr>
          <w:p w14:paraId="59D0F7C9" w14:textId="36A4037C" w:rsidR="00ED3BC6" w:rsidRPr="00E65AA7" w:rsidRDefault="00ED3BC6" w:rsidP="00ED3BC6">
            <w:pPr>
              <w:jc w:val="right"/>
              <w:rPr>
                <w:color w:val="000000"/>
              </w:rPr>
            </w:pPr>
            <w:r w:rsidRPr="00174930">
              <w:t>11.44</w:t>
            </w:r>
          </w:p>
        </w:tc>
        <w:tc>
          <w:tcPr>
            <w:tcW w:w="435" w:type="pct"/>
            <w:tcBorders>
              <w:top w:val="single" w:sz="4" w:space="0" w:color="auto"/>
            </w:tcBorders>
          </w:tcPr>
          <w:p w14:paraId="40BEC564" w14:textId="5A52A27B" w:rsidR="00ED3BC6" w:rsidRPr="00E65AA7" w:rsidRDefault="00ED3BC6" w:rsidP="00ED3BC6">
            <w:pPr>
              <w:jc w:val="right"/>
              <w:rPr>
                <w:color w:val="000000"/>
              </w:rPr>
            </w:pPr>
            <w:r w:rsidRPr="00174930">
              <w:t>17.03</w:t>
            </w:r>
          </w:p>
        </w:tc>
        <w:tc>
          <w:tcPr>
            <w:tcW w:w="435" w:type="pct"/>
            <w:tcBorders>
              <w:top w:val="single" w:sz="4" w:space="0" w:color="auto"/>
            </w:tcBorders>
          </w:tcPr>
          <w:p w14:paraId="71A77254" w14:textId="655B7855" w:rsidR="00ED3BC6" w:rsidRPr="00E65AA7" w:rsidRDefault="00ED3BC6" w:rsidP="00ED3BC6">
            <w:pPr>
              <w:jc w:val="right"/>
              <w:rPr>
                <w:color w:val="000000"/>
              </w:rPr>
            </w:pPr>
            <w:r w:rsidRPr="00174930">
              <w:t>24.5</w:t>
            </w:r>
          </w:p>
        </w:tc>
        <w:tc>
          <w:tcPr>
            <w:tcW w:w="478" w:type="pct"/>
            <w:tcBorders>
              <w:top w:val="single" w:sz="4" w:space="0" w:color="auto"/>
            </w:tcBorders>
          </w:tcPr>
          <w:p w14:paraId="3FD9FB06" w14:textId="660404C9" w:rsidR="00ED3BC6" w:rsidRPr="00E65AA7" w:rsidRDefault="00ED3BC6" w:rsidP="00ED3BC6">
            <w:pPr>
              <w:jc w:val="right"/>
              <w:rPr>
                <w:color w:val="000000"/>
              </w:rPr>
            </w:pPr>
            <w:r w:rsidRPr="00174930">
              <w:t>1.22</w:t>
            </w:r>
          </w:p>
        </w:tc>
        <w:tc>
          <w:tcPr>
            <w:tcW w:w="494" w:type="pct"/>
            <w:tcBorders>
              <w:top w:val="single" w:sz="4" w:space="0" w:color="auto"/>
            </w:tcBorders>
          </w:tcPr>
          <w:p w14:paraId="287FEE6C" w14:textId="6C1E92B8" w:rsidR="00ED3BC6" w:rsidRPr="00E65AA7" w:rsidRDefault="00ED3BC6" w:rsidP="00ED3BC6">
            <w:pPr>
              <w:jc w:val="right"/>
              <w:rPr>
                <w:color w:val="000000"/>
              </w:rPr>
            </w:pPr>
            <w:r w:rsidRPr="00174930">
              <w:t>102.44</w:t>
            </w:r>
          </w:p>
        </w:tc>
      </w:tr>
      <w:tr w:rsidR="005B4546" w:rsidRPr="00E65AA7" w14:paraId="558A7E5E" w14:textId="77777777" w:rsidTr="00CE0B17">
        <w:trPr>
          <w:trHeight w:hRule="exact" w:val="340"/>
          <w:jc w:val="center"/>
        </w:trPr>
        <w:tc>
          <w:tcPr>
            <w:tcW w:w="709" w:type="pct"/>
          </w:tcPr>
          <w:p w14:paraId="34857FD9" w14:textId="77777777" w:rsidR="005B4546" w:rsidRPr="00E65AA7" w:rsidRDefault="005B4546" w:rsidP="005B4546">
            <w:pPr>
              <w:rPr>
                <w:bCs/>
                <w:color w:val="000000"/>
              </w:rPr>
            </w:pPr>
            <w:r w:rsidRPr="00E65AA7">
              <w:rPr>
                <w:bCs/>
                <w:color w:val="000000"/>
              </w:rPr>
              <w:t xml:space="preserve">Firm </w:t>
            </w:r>
            <w:proofErr w:type="spellStart"/>
            <w:r w:rsidRPr="00E65AA7">
              <w:rPr>
                <w:bCs/>
                <w:color w:val="000000"/>
              </w:rPr>
              <w:t>Age</w:t>
            </w:r>
            <w:r w:rsidRPr="00E65AA7">
              <w:rPr>
                <w:bCs/>
                <w:color w:val="000000"/>
                <w:vertAlign w:val="subscript"/>
              </w:rPr>
              <w:t>t</w:t>
            </w:r>
            <w:proofErr w:type="spellEnd"/>
            <w:r w:rsidRPr="00E65AA7">
              <w:rPr>
                <w:bCs/>
                <w:color w:val="000000"/>
                <w:vertAlign w:val="subscript"/>
              </w:rPr>
              <w:t xml:space="preserve"> </w:t>
            </w:r>
            <w:r w:rsidRPr="00E65AA7">
              <w:rPr>
                <w:bCs/>
                <w:color w:val="000000"/>
              </w:rPr>
              <w:t>(Years)</w:t>
            </w:r>
          </w:p>
        </w:tc>
        <w:tc>
          <w:tcPr>
            <w:tcW w:w="408" w:type="pct"/>
          </w:tcPr>
          <w:p w14:paraId="008671F1" w14:textId="270B8C5C" w:rsidR="005B4546" w:rsidRPr="00E65AA7" w:rsidRDefault="005B4546" w:rsidP="005B4546">
            <w:pPr>
              <w:jc w:val="right"/>
              <w:rPr>
                <w:color w:val="000000"/>
              </w:rPr>
            </w:pPr>
            <w:r w:rsidRPr="00144790">
              <w:t>2443552</w:t>
            </w:r>
          </w:p>
        </w:tc>
        <w:tc>
          <w:tcPr>
            <w:tcW w:w="386" w:type="pct"/>
          </w:tcPr>
          <w:p w14:paraId="40CDD051" w14:textId="075DC1CE" w:rsidR="005B4546" w:rsidRPr="00E65AA7" w:rsidRDefault="005B4546" w:rsidP="005B4546">
            <w:pPr>
              <w:jc w:val="right"/>
              <w:rPr>
                <w:color w:val="000000"/>
              </w:rPr>
            </w:pPr>
            <w:r w:rsidRPr="00144790">
              <w:t>14.69</w:t>
            </w:r>
          </w:p>
        </w:tc>
        <w:tc>
          <w:tcPr>
            <w:tcW w:w="396" w:type="pct"/>
          </w:tcPr>
          <w:p w14:paraId="32BD7BE2" w14:textId="7008D4DD" w:rsidR="005B4546" w:rsidRPr="00E65AA7" w:rsidRDefault="005B4546" w:rsidP="005B4546">
            <w:pPr>
              <w:jc w:val="right"/>
              <w:rPr>
                <w:color w:val="000000"/>
              </w:rPr>
            </w:pPr>
            <w:r w:rsidRPr="00144790">
              <w:t>14.11</w:t>
            </w:r>
          </w:p>
        </w:tc>
        <w:tc>
          <w:tcPr>
            <w:tcW w:w="435" w:type="pct"/>
          </w:tcPr>
          <w:p w14:paraId="2A4664D8" w14:textId="79192A73" w:rsidR="005B4546" w:rsidRPr="00E65AA7" w:rsidRDefault="005B4546" w:rsidP="005B4546">
            <w:pPr>
              <w:jc w:val="right"/>
              <w:rPr>
                <w:color w:val="000000"/>
              </w:rPr>
            </w:pPr>
            <w:r w:rsidRPr="00144790">
              <w:t>2.83</w:t>
            </w:r>
          </w:p>
        </w:tc>
        <w:tc>
          <w:tcPr>
            <w:tcW w:w="435" w:type="pct"/>
          </w:tcPr>
          <w:p w14:paraId="699780D7" w14:textId="717FEED2" w:rsidR="005B4546" w:rsidRPr="00E65AA7" w:rsidRDefault="005B4546" w:rsidP="005B4546">
            <w:pPr>
              <w:jc w:val="right"/>
              <w:rPr>
                <w:color w:val="000000"/>
              </w:rPr>
            </w:pPr>
            <w:r w:rsidRPr="00144790">
              <w:t>4.92</w:t>
            </w:r>
          </w:p>
        </w:tc>
        <w:tc>
          <w:tcPr>
            <w:tcW w:w="389" w:type="pct"/>
          </w:tcPr>
          <w:p w14:paraId="7436B828" w14:textId="34A9DBD5" w:rsidR="005B4546" w:rsidRPr="00E65AA7" w:rsidRDefault="005B4546" w:rsidP="005B4546">
            <w:pPr>
              <w:jc w:val="right"/>
              <w:rPr>
                <w:color w:val="000000"/>
              </w:rPr>
            </w:pPr>
            <w:r w:rsidRPr="00144790">
              <w:t>9.83</w:t>
            </w:r>
          </w:p>
        </w:tc>
        <w:tc>
          <w:tcPr>
            <w:tcW w:w="435" w:type="pct"/>
          </w:tcPr>
          <w:p w14:paraId="7243C0A1" w14:textId="41BFFB41" w:rsidR="005B4546" w:rsidRPr="00E65AA7" w:rsidRDefault="005B4546" w:rsidP="005B4546">
            <w:pPr>
              <w:jc w:val="right"/>
              <w:rPr>
                <w:color w:val="000000"/>
              </w:rPr>
            </w:pPr>
            <w:r w:rsidRPr="00144790">
              <w:t>19.08</w:t>
            </w:r>
          </w:p>
        </w:tc>
        <w:tc>
          <w:tcPr>
            <w:tcW w:w="435" w:type="pct"/>
          </w:tcPr>
          <w:p w14:paraId="2C41C21F" w14:textId="6B77FC74" w:rsidR="005B4546" w:rsidRPr="00E65AA7" w:rsidRDefault="005B4546" w:rsidP="005B4546">
            <w:pPr>
              <w:jc w:val="right"/>
              <w:rPr>
                <w:color w:val="000000"/>
              </w:rPr>
            </w:pPr>
            <w:r w:rsidRPr="00144790">
              <w:t>34.25</w:t>
            </w:r>
          </w:p>
        </w:tc>
        <w:tc>
          <w:tcPr>
            <w:tcW w:w="478" w:type="pct"/>
          </w:tcPr>
          <w:p w14:paraId="71C0ECCF" w14:textId="6CDD322B" w:rsidR="005B4546" w:rsidRPr="00E65AA7" w:rsidRDefault="005B4546" w:rsidP="005B4546">
            <w:pPr>
              <w:jc w:val="right"/>
              <w:rPr>
                <w:color w:val="000000"/>
              </w:rPr>
            </w:pPr>
            <w:r w:rsidRPr="00144790">
              <w:t>1.67</w:t>
            </w:r>
          </w:p>
        </w:tc>
        <w:tc>
          <w:tcPr>
            <w:tcW w:w="494" w:type="pct"/>
          </w:tcPr>
          <w:p w14:paraId="1149C154" w14:textId="68065181" w:rsidR="005B4546" w:rsidRPr="00E65AA7" w:rsidRDefault="005B4546" w:rsidP="005B4546">
            <w:pPr>
              <w:jc w:val="right"/>
              <w:rPr>
                <w:color w:val="000000"/>
              </w:rPr>
            </w:pPr>
            <w:r w:rsidRPr="00144790">
              <w:t>89</w:t>
            </w:r>
          </w:p>
        </w:tc>
      </w:tr>
      <w:tr w:rsidR="005B4546" w:rsidRPr="00E65AA7" w14:paraId="066194BA" w14:textId="77777777" w:rsidTr="003F55C1">
        <w:trPr>
          <w:trHeight w:hRule="exact" w:val="340"/>
          <w:jc w:val="center"/>
        </w:trPr>
        <w:tc>
          <w:tcPr>
            <w:tcW w:w="709" w:type="pct"/>
          </w:tcPr>
          <w:p w14:paraId="076FE369" w14:textId="77777777" w:rsidR="005B4546" w:rsidRPr="00E65AA7" w:rsidRDefault="005B4546" w:rsidP="005B4546">
            <w:pPr>
              <w:rPr>
                <w:bCs/>
                <w:color w:val="000000"/>
              </w:rPr>
            </w:pPr>
            <w:r w:rsidRPr="00E65AA7">
              <w:rPr>
                <w:bCs/>
                <w:color w:val="000000"/>
              </w:rPr>
              <w:t>ME</w:t>
            </w:r>
            <w:r w:rsidRPr="00E65AA7">
              <w:rPr>
                <w:bCs/>
                <w:color w:val="000000"/>
                <w:vertAlign w:val="subscript"/>
              </w:rPr>
              <w:t xml:space="preserve">t-1 </w:t>
            </w:r>
            <w:r w:rsidRPr="00E65AA7">
              <w:rPr>
                <w:bCs/>
                <w:color w:val="000000"/>
              </w:rPr>
              <w:t>($M)</w:t>
            </w:r>
          </w:p>
        </w:tc>
        <w:tc>
          <w:tcPr>
            <w:tcW w:w="408" w:type="pct"/>
          </w:tcPr>
          <w:p w14:paraId="6A73EAD0" w14:textId="03A58C19" w:rsidR="005B4546" w:rsidRPr="00E65AA7" w:rsidRDefault="005B4546" w:rsidP="005B4546">
            <w:pPr>
              <w:jc w:val="right"/>
              <w:rPr>
                <w:color w:val="000000"/>
              </w:rPr>
            </w:pPr>
            <w:r w:rsidRPr="00144790">
              <w:t>2443552</w:t>
            </w:r>
          </w:p>
        </w:tc>
        <w:tc>
          <w:tcPr>
            <w:tcW w:w="386" w:type="pct"/>
          </w:tcPr>
          <w:p w14:paraId="7C042C30" w14:textId="6C97BC03" w:rsidR="005B4546" w:rsidRPr="00E65AA7" w:rsidRDefault="005B4546" w:rsidP="005B4546">
            <w:pPr>
              <w:jc w:val="right"/>
              <w:rPr>
                <w:color w:val="000000"/>
              </w:rPr>
            </w:pPr>
            <w:r w:rsidRPr="00144790">
              <w:t>1249.32</w:t>
            </w:r>
          </w:p>
        </w:tc>
        <w:tc>
          <w:tcPr>
            <w:tcW w:w="396" w:type="pct"/>
          </w:tcPr>
          <w:p w14:paraId="47202C97" w14:textId="795D9027" w:rsidR="005B4546" w:rsidRPr="00E65AA7" w:rsidRDefault="005B4546" w:rsidP="005B4546">
            <w:pPr>
              <w:jc w:val="right"/>
              <w:rPr>
                <w:color w:val="000000"/>
              </w:rPr>
            </w:pPr>
            <w:r w:rsidRPr="00144790">
              <w:t>6337.03</w:t>
            </w:r>
          </w:p>
        </w:tc>
        <w:tc>
          <w:tcPr>
            <w:tcW w:w="435" w:type="pct"/>
          </w:tcPr>
          <w:p w14:paraId="385B8023" w14:textId="088D8FEC" w:rsidR="005B4546" w:rsidRPr="00E65AA7" w:rsidRDefault="005B4546" w:rsidP="005B4546">
            <w:pPr>
              <w:jc w:val="right"/>
              <w:rPr>
                <w:color w:val="000000"/>
              </w:rPr>
            </w:pPr>
            <w:r w:rsidRPr="00144790">
              <w:t>6.8</w:t>
            </w:r>
          </w:p>
        </w:tc>
        <w:tc>
          <w:tcPr>
            <w:tcW w:w="435" w:type="pct"/>
          </w:tcPr>
          <w:p w14:paraId="294F8C0B" w14:textId="0AE2E51C" w:rsidR="005B4546" w:rsidRPr="00E65AA7" w:rsidRDefault="005B4546" w:rsidP="005B4546">
            <w:pPr>
              <w:jc w:val="right"/>
              <w:rPr>
                <w:color w:val="000000"/>
              </w:rPr>
            </w:pPr>
            <w:r w:rsidRPr="00144790">
              <w:t>20.32</w:t>
            </w:r>
          </w:p>
        </w:tc>
        <w:tc>
          <w:tcPr>
            <w:tcW w:w="389" w:type="pct"/>
          </w:tcPr>
          <w:p w14:paraId="6BBC46DA" w14:textId="5BEB1692" w:rsidR="005B4546" w:rsidRPr="00E65AA7" w:rsidRDefault="005B4546" w:rsidP="005B4546">
            <w:pPr>
              <w:jc w:val="right"/>
              <w:rPr>
                <w:color w:val="000000"/>
              </w:rPr>
            </w:pPr>
            <w:r w:rsidRPr="00144790">
              <w:t>82.6</w:t>
            </w:r>
          </w:p>
        </w:tc>
        <w:tc>
          <w:tcPr>
            <w:tcW w:w="435" w:type="pct"/>
          </w:tcPr>
          <w:p w14:paraId="30F716A0" w14:textId="45E96280" w:rsidR="005B4546" w:rsidRPr="00E65AA7" w:rsidRDefault="005B4546" w:rsidP="005B4546">
            <w:pPr>
              <w:jc w:val="right"/>
              <w:rPr>
                <w:color w:val="000000"/>
              </w:rPr>
            </w:pPr>
            <w:r w:rsidRPr="00144790">
              <w:t>427.11</w:t>
            </w:r>
          </w:p>
        </w:tc>
        <w:tc>
          <w:tcPr>
            <w:tcW w:w="435" w:type="pct"/>
          </w:tcPr>
          <w:p w14:paraId="122BD4AA" w14:textId="08538076" w:rsidR="005B4546" w:rsidRPr="00E65AA7" w:rsidRDefault="005B4546" w:rsidP="005B4546">
            <w:pPr>
              <w:jc w:val="right"/>
              <w:rPr>
                <w:color w:val="000000"/>
              </w:rPr>
            </w:pPr>
            <w:r w:rsidRPr="00144790">
              <w:t>1841.21</w:t>
            </w:r>
          </w:p>
        </w:tc>
        <w:tc>
          <w:tcPr>
            <w:tcW w:w="478" w:type="pct"/>
          </w:tcPr>
          <w:p w14:paraId="368A3DBF" w14:textId="24FBCFF2" w:rsidR="005B4546" w:rsidRPr="00E65AA7" w:rsidRDefault="005B4546" w:rsidP="005B4546">
            <w:pPr>
              <w:jc w:val="right"/>
              <w:rPr>
                <w:color w:val="000000"/>
              </w:rPr>
            </w:pPr>
            <w:r w:rsidRPr="00144790">
              <w:t>0.38</w:t>
            </w:r>
          </w:p>
        </w:tc>
        <w:tc>
          <w:tcPr>
            <w:tcW w:w="494" w:type="pct"/>
          </w:tcPr>
          <w:p w14:paraId="706FA6DE" w14:textId="2800377D" w:rsidR="005B4546" w:rsidRPr="00E65AA7" w:rsidRDefault="005B4546" w:rsidP="005B4546">
            <w:pPr>
              <w:jc w:val="right"/>
              <w:rPr>
                <w:color w:val="000000"/>
              </w:rPr>
            </w:pPr>
            <w:r w:rsidRPr="00144790">
              <w:t>163312.94</w:t>
            </w:r>
          </w:p>
        </w:tc>
      </w:tr>
      <w:tr w:rsidR="00105988" w:rsidRPr="00E65AA7" w14:paraId="7962234D" w14:textId="77777777" w:rsidTr="003F55C1">
        <w:trPr>
          <w:trHeight w:hRule="exact" w:val="340"/>
          <w:jc w:val="center"/>
        </w:trPr>
        <w:tc>
          <w:tcPr>
            <w:tcW w:w="5000" w:type="pct"/>
            <w:gridSpan w:val="11"/>
            <w:tcBorders>
              <w:top w:val="single" w:sz="4" w:space="0" w:color="auto"/>
              <w:bottom w:val="single" w:sz="4" w:space="0" w:color="auto"/>
            </w:tcBorders>
          </w:tcPr>
          <w:p w14:paraId="689363A2" w14:textId="77777777" w:rsidR="00105988" w:rsidRPr="00E65AA7" w:rsidRDefault="00105988" w:rsidP="00361C09">
            <w:pPr>
              <w:jc w:val="center"/>
              <w:rPr>
                <w:b/>
              </w:rPr>
            </w:pPr>
            <w:r w:rsidRPr="00E65AA7">
              <w:rPr>
                <w:b/>
                <w:bCs/>
                <w:color w:val="000000"/>
              </w:rPr>
              <w:t>Panel C: Profitability</w:t>
            </w:r>
          </w:p>
        </w:tc>
      </w:tr>
      <w:tr w:rsidR="00BA77AF" w:rsidRPr="00E65AA7" w14:paraId="24FECA82" w14:textId="77777777" w:rsidTr="005E3379">
        <w:trPr>
          <w:trHeight w:hRule="exact" w:val="340"/>
          <w:jc w:val="center"/>
        </w:trPr>
        <w:tc>
          <w:tcPr>
            <w:tcW w:w="709" w:type="pct"/>
            <w:tcBorders>
              <w:top w:val="single" w:sz="4" w:space="0" w:color="auto"/>
            </w:tcBorders>
          </w:tcPr>
          <w:p w14:paraId="44F13EED" w14:textId="77777777" w:rsidR="00BA77AF" w:rsidRPr="00E65AA7" w:rsidRDefault="00BA77AF" w:rsidP="00BA77AF">
            <w:pPr>
              <w:rPr>
                <w:bCs/>
                <w:color w:val="000000"/>
              </w:rPr>
            </w:pPr>
            <w:r w:rsidRPr="00E65AA7">
              <w:rPr>
                <w:bCs/>
                <w:color w:val="000000"/>
              </w:rPr>
              <w:t>E+/BE</w:t>
            </w:r>
            <w:r w:rsidRPr="00E65AA7">
              <w:rPr>
                <w:bCs/>
                <w:color w:val="000000"/>
                <w:vertAlign w:val="subscript"/>
              </w:rPr>
              <w:t>t-1</w:t>
            </w:r>
            <w:r w:rsidRPr="00E65AA7">
              <w:rPr>
                <w:bCs/>
                <w:color w:val="000000"/>
              </w:rPr>
              <w:t xml:space="preserve"> (%)</w:t>
            </w:r>
          </w:p>
        </w:tc>
        <w:tc>
          <w:tcPr>
            <w:tcW w:w="408" w:type="pct"/>
            <w:tcBorders>
              <w:top w:val="single" w:sz="4" w:space="0" w:color="auto"/>
            </w:tcBorders>
          </w:tcPr>
          <w:p w14:paraId="7607F0F9" w14:textId="56A14126" w:rsidR="00BA77AF" w:rsidRPr="00E65AA7" w:rsidRDefault="00E87AA8" w:rsidP="00BA77AF">
            <w:pPr>
              <w:jc w:val="right"/>
              <w:rPr>
                <w:color w:val="000000"/>
              </w:rPr>
            </w:pPr>
            <w:r>
              <w:t>2339038</w:t>
            </w:r>
          </w:p>
        </w:tc>
        <w:tc>
          <w:tcPr>
            <w:tcW w:w="386" w:type="pct"/>
            <w:tcBorders>
              <w:top w:val="single" w:sz="4" w:space="0" w:color="auto"/>
            </w:tcBorders>
          </w:tcPr>
          <w:p w14:paraId="29B4695C" w14:textId="77E809CE" w:rsidR="00BA77AF" w:rsidRPr="00E65AA7" w:rsidRDefault="00BA77AF" w:rsidP="00BA77AF">
            <w:pPr>
              <w:jc w:val="right"/>
              <w:rPr>
                <w:color w:val="000000"/>
              </w:rPr>
            </w:pPr>
            <w:r w:rsidRPr="007634CC">
              <w:t>10.6</w:t>
            </w:r>
            <w:r w:rsidR="00A74204">
              <w:t>7</w:t>
            </w:r>
          </w:p>
        </w:tc>
        <w:tc>
          <w:tcPr>
            <w:tcW w:w="396" w:type="pct"/>
            <w:tcBorders>
              <w:top w:val="single" w:sz="4" w:space="0" w:color="auto"/>
            </w:tcBorders>
          </w:tcPr>
          <w:p w14:paraId="093AAD4A" w14:textId="3EFAB4BF" w:rsidR="00BA77AF" w:rsidRPr="00E65AA7" w:rsidRDefault="00BA77AF" w:rsidP="00BA77AF">
            <w:pPr>
              <w:jc w:val="right"/>
              <w:rPr>
                <w:color w:val="000000"/>
              </w:rPr>
            </w:pPr>
            <w:r w:rsidRPr="007634CC">
              <w:t>13.</w:t>
            </w:r>
            <w:r w:rsidR="00A74204">
              <w:t>49</w:t>
            </w:r>
          </w:p>
        </w:tc>
        <w:tc>
          <w:tcPr>
            <w:tcW w:w="435" w:type="pct"/>
            <w:tcBorders>
              <w:top w:val="single" w:sz="4" w:space="0" w:color="auto"/>
            </w:tcBorders>
          </w:tcPr>
          <w:p w14:paraId="2B16B292" w14:textId="58005581" w:rsidR="00BA77AF" w:rsidRPr="00E65AA7" w:rsidRDefault="00BA77AF" w:rsidP="00BA77AF">
            <w:pPr>
              <w:jc w:val="right"/>
              <w:rPr>
                <w:color w:val="000000"/>
              </w:rPr>
            </w:pPr>
            <w:r w:rsidRPr="007634CC">
              <w:t>0.00</w:t>
            </w:r>
          </w:p>
        </w:tc>
        <w:tc>
          <w:tcPr>
            <w:tcW w:w="435" w:type="pct"/>
            <w:tcBorders>
              <w:top w:val="single" w:sz="4" w:space="0" w:color="auto"/>
            </w:tcBorders>
          </w:tcPr>
          <w:p w14:paraId="20CD57D8" w14:textId="35487227" w:rsidR="00BA77AF" w:rsidRPr="00E65AA7" w:rsidRDefault="00BA77AF" w:rsidP="00BA77AF">
            <w:pPr>
              <w:jc w:val="right"/>
              <w:rPr>
                <w:color w:val="000000"/>
              </w:rPr>
            </w:pPr>
            <w:r w:rsidRPr="007634CC">
              <w:t>0.1</w:t>
            </w:r>
            <w:r w:rsidR="00A74204">
              <w:t>3</w:t>
            </w:r>
          </w:p>
        </w:tc>
        <w:tc>
          <w:tcPr>
            <w:tcW w:w="389" w:type="pct"/>
            <w:tcBorders>
              <w:top w:val="single" w:sz="4" w:space="0" w:color="auto"/>
            </w:tcBorders>
          </w:tcPr>
          <w:p w14:paraId="00AFB3EB" w14:textId="6FBFDA89" w:rsidR="00BA77AF" w:rsidRPr="00E65AA7" w:rsidRDefault="00BA77AF" w:rsidP="00BA77AF">
            <w:pPr>
              <w:jc w:val="right"/>
              <w:rPr>
                <w:color w:val="000000"/>
              </w:rPr>
            </w:pPr>
            <w:r w:rsidRPr="007634CC">
              <w:t>9.2</w:t>
            </w:r>
            <w:r w:rsidR="00A74204">
              <w:t>6</w:t>
            </w:r>
          </w:p>
        </w:tc>
        <w:tc>
          <w:tcPr>
            <w:tcW w:w="435" w:type="pct"/>
            <w:tcBorders>
              <w:top w:val="single" w:sz="4" w:space="0" w:color="auto"/>
            </w:tcBorders>
          </w:tcPr>
          <w:p w14:paraId="6F95E58E" w14:textId="3E247A2E" w:rsidR="00BA77AF" w:rsidRPr="00E65AA7" w:rsidRDefault="00A74204" w:rsidP="00BA77AF">
            <w:pPr>
              <w:jc w:val="right"/>
              <w:rPr>
                <w:color w:val="000000"/>
              </w:rPr>
            </w:pPr>
            <w:r>
              <w:t>15.10</w:t>
            </w:r>
          </w:p>
        </w:tc>
        <w:tc>
          <w:tcPr>
            <w:tcW w:w="435" w:type="pct"/>
            <w:tcBorders>
              <w:top w:val="single" w:sz="4" w:space="0" w:color="auto"/>
            </w:tcBorders>
          </w:tcPr>
          <w:p w14:paraId="649478B6" w14:textId="447B956D" w:rsidR="00BA77AF" w:rsidRPr="00E65AA7" w:rsidRDefault="00BA77AF" w:rsidP="00BA77AF">
            <w:pPr>
              <w:jc w:val="right"/>
              <w:rPr>
                <w:color w:val="000000"/>
              </w:rPr>
            </w:pPr>
            <w:r w:rsidRPr="007634CC">
              <w:t>21.</w:t>
            </w:r>
            <w:r w:rsidR="00FA2E13">
              <w:t>78</w:t>
            </w:r>
          </w:p>
        </w:tc>
        <w:tc>
          <w:tcPr>
            <w:tcW w:w="478" w:type="pct"/>
            <w:tcBorders>
              <w:top w:val="single" w:sz="4" w:space="0" w:color="auto"/>
            </w:tcBorders>
          </w:tcPr>
          <w:p w14:paraId="2EE7DAB9" w14:textId="35F17D35" w:rsidR="00BA77AF" w:rsidRPr="00E65AA7" w:rsidRDefault="00BA77AF" w:rsidP="00BA77AF">
            <w:pPr>
              <w:jc w:val="right"/>
              <w:rPr>
                <w:color w:val="000000"/>
              </w:rPr>
            </w:pPr>
            <w:r w:rsidRPr="007634CC">
              <w:t>0.00</w:t>
            </w:r>
          </w:p>
        </w:tc>
        <w:tc>
          <w:tcPr>
            <w:tcW w:w="494" w:type="pct"/>
            <w:tcBorders>
              <w:top w:val="single" w:sz="4" w:space="0" w:color="auto"/>
            </w:tcBorders>
          </w:tcPr>
          <w:p w14:paraId="0FBEC7AC" w14:textId="6B0C77C6" w:rsidR="00BA77AF" w:rsidRPr="00E65AA7" w:rsidRDefault="00BA77AF" w:rsidP="00BA77AF">
            <w:pPr>
              <w:jc w:val="right"/>
              <w:rPr>
                <w:color w:val="000000"/>
              </w:rPr>
            </w:pPr>
            <w:r w:rsidRPr="007634CC">
              <w:t>412.26</w:t>
            </w:r>
          </w:p>
        </w:tc>
      </w:tr>
      <w:tr w:rsidR="00BA77AF" w:rsidRPr="00E65AA7" w14:paraId="0BBA5A4E" w14:textId="77777777" w:rsidTr="005E3379">
        <w:trPr>
          <w:trHeight w:hRule="exact" w:val="340"/>
          <w:jc w:val="center"/>
        </w:trPr>
        <w:tc>
          <w:tcPr>
            <w:tcW w:w="709" w:type="pct"/>
            <w:tcBorders>
              <w:bottom w:val="single" w:sz="4" w:space="0" w:color="auto"/>
            </w:tcBorders>
          </w:tcPr>
          <w:p w14:paraId="5DAB9978" w14:textId="77777777" w:rsidR="00BA77AF" w:rsidRPr="00E65AA7" w:rsidRDefault="00BA77AF" w:rsidP="00BA77AF">
            <w:pPr>
              <w:rPr>
                <w:bCs/>
                <w:color w:val="000000"/>
                <w:vertAlign w:val="subscript"/>
              </w:rPr>
            </w:pPr>
            <w:r w:rsidRPr="00E65AA7">
              <w:rPr>
                <w:bCs/>
                <w:color w:val="000000"/>
              </w:rPr>
              <w:t>E&gt;0</w:t>
            </w:r>
            <w:r w:rsidRPr="00E65AA7">
              <w:rPr>
                <w:bCs/>
                <w:color w:val="000000"/>
                <w:vertAlign w:val="subscript"/>
              </w:rPr>
              <w:t>t-1</w:t>
            </w:r>
          </w:p>
        </w:tc>
        <w:tc>
          <w:tcPr>
            <w:tcW w:w="408" w:type="pct"/>
            <w:tcBorders>
              <w:bottom w:val="single" w:sz="4" w:space="0" w:color="auto"/>
            </w:tcBorders>
          </w:tcPr>
          <w:p w14:paraId="1B2B6BEF" w14:textId="75A536C2" w:rsidR="00BA77AF" w:rsidRPr="00E65AA7" w:rsidRDefault="00E87AA8" w:rsidP="00BA77AF">
            <w:pPr>
              <w:jc w:val="right"/>
              <w:rPr>
                <w:color w:val="000000"/>
              </w:rPr>
            </w:pPr>
            <w:r>
              <w:t>2339038</w:t>
            </w:r>
          </w:p>
        </w:tc>
        <w:tc>
          <w:tcPr>
            <w:tcW w:w="386" w:type="pct"/>
            <w:tcBorders>
              <w:bottom w:val="single" w:sz="4" w:space="0" w:color="auto"/>
            </w:tcBorders>
          </w:tcPr>
          <w:p w14:paraId="6BD87368" w14:textId="30A9970E" w:rsidR="00BA77AF" w:rsidRPr="00E65AA7" w:rsidRDefault="00BA77AF" w:rsidP="00BA77AF">
            <w:pPr>
              <w:jc w:val="right"/>
              <w:rPr>
                <w:color w:val="000000"/>
              </w:rPr>
            </w:pPr>
            <w:r w:rsidRPr="007634CC">
              <w:t>0.75</w:t>
            </w:r>
          </w:p>
        </w:tc>
        <w:tc>
          <w:tcPr>
            <w:tcW w:w="396" w:type="pct"/>
            <w:tcBorders>
              <w:bottom w:val="single" w:sz="4" w:space="0" w:color="auto"/>
            </w:tcBorders>
          </w:tcPr>
          <w:p w14:paraId="69D056D6" w14:textId="37B18B5A" w:rsidR="00BA77AF" w:rsidRPr="00E65AA7" w:rsidRDefault="00BA77AF" w:rsidP="00BA77AF">
            <w:pPr>
              <w:jc w:val="right"/>
              <w:rPr>
                <w:color w:val="000000"/>
              </w:rPr>
            </w:pPr>
            <w:r w:rsidRPr="007634CC">
              <w:t>0.43</w:t>
            </w:r>
          </w:p>
        </w:tc>
        <w:tc>
          <w:tcPr>
            <w:tcW w:w="435" w:type="pct"/>
            <w:tcBorders>
              <w:bottom w:val="single" w:sz="4" w:space="0" w:color="auto"/>
            </w:tcBorders>
          </w:tcPr>
          <w:p w14:paraId="78A04BE5" w14:textId="5DEF0C49" w:rsidR="00BA77AF" w:rsidRPr="00E65AA7" w:rsidRDefault="00BA77AF" w:rsidP="00BA77AF">
            <w:pPr>
              <w:jc w:val="right"/>
              <w:rPr>
                <w:color w:val="000000"/>
              </w:rPr>
            </w:pPr>
            <w:r w:rsidRPr="007634CC">
              <w:t>0.00</w:t>
            </w:r>
          </w:p>
        </w:tc>
        <w:tc>
          <w:tcPr>
            <w:tcW w:w="435" w:type="pct"/>
            <w:tcBorders>
              <w:bottom w:val="single" w:sz="4" w:space="0" w:color="auto"/>
            </w:tcBorders>
          </w:tcPr>
          <w:p w14:paraId="388C8F92" w14:textId="2FF3334C" w:rsidR="00BA77AF" w:rsidRPr="00E65AA7" w:rsidRDefault="00BA77AF" w:rsidP="00BA77AF">
            <w:pPr>
              <w:jc w:val="right"/>
              <w:rPr>
                <w:color w:val="000000"/>
              </w:rPr>
            </w:pPr>
            <w:r w:rsidRPr="007634CC">
              <w:t>1.00</w:t>
            </w:r>
          </w:p>
        </w:tc>
        <w:tc>
          <w:tcPr>
            <w:tcW w:w="389" w:type="pct"/>
            <w:tcBorders>
              <w:bottom w:val="single" w:sz="4" w:space="0" w:color="auto"/>
            </w:tcBorders>
          </w:tcPr>
          <w:p w14:paraId="036CA5CA" w14:textId="478F2FBF" w:rsidR="00BA77AF" w:rsidRPr="00E65AA7" w:rsidRDefault="00BA77AF" w:rsidP="00BA77AF">
            <w:pPr>
              <w:jc w:val="right"/>
              <w:rPr>
                <w:color w:val="000000"/>
              </w:rPr>
            </w:pPr>
            <w:r w:rsidRPr="007634CC">
              <w:t>1.00</w:t>
            </w:r>
          </w:p>
        </w:tc>
        <w:tc>
          <w:tcPr>
            <w:tcW w:w="435" w:type="pct"/>
            <w:tcBorders>
              <w:bottom w:val="single" w:sz="4" w:space="0" w:color="auto"/>
            </w:tcBorders>
          </w:tcPr>
          <w:p w14:paraId="7A20F060" w14:textId="19CAC142" w:rsidR="00BA77AF" w:rsidRPr="00E65AA7" w:rsidRDefault="00BA77AF" w:rsidP="00BA77AF">
            <w:pPr>
              <w:jc w:val="right"/>
              <w:rPr>
                <w:color w:val="000000"/>
              </w:rPr>
            </w:pPr>
            <w:r w:rsidRPr="007634CC">
              <w:t>1.00</w:t>
            </w:r>
          </w:p>
        </w:tc>
        <w:tc>
          <w:tcPr>
            <w:tcW w:w="435" w:type="pct"/>
            <w:tcBorders>
              <w:bottom w:val="single" w:sz="4" w:space="0" w:color="auto"/>
            </w:tcBorders>
          </w:tcPr>
          <w:p w14:paraId="5CB28357" w14:textId="3F45B6F7" w:rsidR="00BA77AF" w:rsidRPr="00E65AA7" w:rsidRDefault="00BA77AF" w:rsidP="00BA77AF">
            <w:pPr>
              <w:jc w:val="right"/>
              <w:rPr>
                <w:color w:val="000000"/>
              </w:rPr>
            </w:pPr>
            <w:r w:rsidRPr="007634CC">
              <w:t>1.00</w:t>
            </w:r>
          </w:p>
        </w:tc>
        <w:tc>
          <w:tcPr>
            <w:tcW w:w="478" w:type="pct"/>
            <w:tcBorders>
              <w:bottom w:val="single" w:sz="4" w:space="0" w:color="auto"/>
            </w:tcBorders>
          </w:tcPr>
          <w:p w14:paraId="4765932C" w14:textId="5072F55E" w:rsidR="00BA77AF" w:rsidRPr="00E65AA7" w:rsidRDefault="00BA77AF" w:rsidP="00BA77AF">
            <w:pPr>
              <w:jc w:val="right"/>
              <w:rPr>
                <w:color w:val="000000"/>
              </w:rPr>
            </w:pPr>
            <w:r w:rsidRPr="007634CC">
              <w:t>0.00</w:t>
            </w:r>
          </w:p>
        </w:tc>
        <w:tc>
          <w:tcPr>
            <w:tcW w:w="494" w:type="pct"/>
            <w:tcBorders>
              <w:bottom w:val="single" w:sz="4" w:space="0" w:color="auto"/>
            </w:tcBorders>
          </w:tcPr>
          <w:p w14:paraId="1ECBCE69" w14:textId="4970565F" w:rsidR="00BA77AF" w:rsidRPr="00E65AA7" w:rsidRDefault="00BA77AF" w:rsidP="00BA77AF">
            <w:pPr>
              <w:jc w:val="right"/>
              <w:rPr>
                <w:color w:val="000000"/>
              </w:rPr>
            </w:pPr>
            <w:r w:rsidRPr="007634CC">
              <w:t>1.00</w:t>
            </w:r>
          </w:p>
        </w:tc>
      </w:tr>
      <w:tr w:rsidR="00105988" w:rsidRPr="00E65AA7" w14:paraId="0106C38A" w14:textId="77777777" w:rsidTr="005E3379">
        <w:trPr>
          <w:trHeight w:hRule="exact" w:val="340"/>
          <w:jc w:val="center"/>
        </w:trPr>
        <w:tc>
          <w:tcPr>
            <w:tcW w:w="5000" w:type="pct"/>
            <w:gridSpan w:val="11"/>
            <w:tcBorders>
              <w:top w:val="single" w:sz="4" w:space="0" w:color="auto"/>
              <w:bottom w:val="single" w:sz="4" w:space="0" w:color="auto"/>
            </w:tcBorders>
          </w:tcPr>
          <w:p w14:paraId="072712BE" w14:textId="77777777" w:rsidR="00105988" w:rsidRPr="00E65AA7" w:rsidRDefault="00105988" w:rsidP="00361C09">
            <w:pPr>
              <w:jc w:val="center"/>
              <w:rPr>
                <w:b/>
              </w:rPr>
            </w:pPr>
            <w:r w:rsidRPr="00E65AA7">
              <w:rPr>
                <w:b/>
                <w:bCs/>
                <w:color w:val="000000"/>
              </w:rPr>
              <w:t>Panel D: Dividend Policy</w:t>
            </w:r>
          </w:p>
        </w:tc>
      </w:tr>
      <w:tr w:rsidR="000F4008" w:rsidRPr="00E65AA7" w14:paraId="1758BC5C" w14:textId="77777777" w:rsidTr="005E3379">
        <w:trPr>
          <w:trHeight w:hRule="exact" w:val="340"/>
          <w:jc w:val="center"/>
        </w:trPr>
        <w:tc>
          <w:tcPr>
            <w:tcW w:w="709" w:type="pct"/>
            <w:tcBorders>
              <w:top w:val="single" w:sz="4" w:space="0" w:color="auto"/>
            </w:tcBorders>
          </w:tcPr>
          <w:p w14:paraId="7B8847AA" w14:textId="77777777" w:rsidR="000F4008" w:rsidRPr="00E65AA7" w:rsidRDefault="000F4008" w:rsidP="000F4008">
            <w:pPr>
              <w:rPr>
                <w:bCs/>
                <w:color w:val="000000"/>
              </w:rPr>
            </w:pPr>
            <w:r w:rsidRPr="00E65AA7">
              <w:rPr>
                <w:bCs/>
                <w:color w:val="000000"/>
              </w:rPr>
              <w:t>D/BE</w:t>
            </w:r>
            <w:r w:rsidRPr="00E65AA7">
              <w:rPr>
                <w:bCs/>
                <w:color w:val="000000"/>
                <w:vertAlign w:val="subscript"/>
              </w:rPr>
              <w:t>t-1</w:t>
            </w:r>
            <w:r w:rsidRPr="00E65AA7">
              <w:rPr>
                <w:bCs/>
                <w:color w:val="000000"/>
              </w:rPr>
              <w:t xml:space="preserve"> (%)</w:t>
            </w:r>
          </w:p>
        </w:tc>
        <w:tc>
          <w:tcPr>
            <w:tcW w:w="408" w:type="pct"/>
            <w:tcBorders>
              <w:top w:val="single" w:sz="4" w:space="0" w:color="auto"/>
            </w:tcBorders>
          </w:tcPr>
          <w:p w14:paraId="3632505A" w14:textId="443C33C0" w:rsidR="000F4008" w:rsidRPr="00E65AA7" w:rsidRDefault="000F4008" w:rsidP="000F4008">
            <w:pPr>
              <w:jc w:val="right"/>
              <w:rPr>
                <w:color w:val="000000"/>
              </w:rPr>
            </w:pPr>
            <w:r w:rsidRPr="004F0AC7">
              <w:t>2325229</w:t>
            </w:r>
          </w:p>
        </w:tc>
        <w:tc>
          <w:tcPr>
            <w:tcW w:w="386" w:type="pct"/>
            <w:tcBorders>
              <w:top w:val="single" w:sz="4" w:space="0" w:color="auto"/>
            </w:tcBorders>
          </w:tcPr>
          <w:p w14:paraId="43415AFF" w14:textId="3B0626AA" w:rsidR="000F4008" w:rsidRPr="00E65AA7" w:rsidRDefault="000F4008" w:rsidP="000F4008">
            <w:pPr>
              <w:jc w:val="right"/>
              <w:rPr>
                <w:color w:val="000000"/>
              </w:rPr>
            </w:pPr>
            <w:r w:rsidRPr="004F0AC7">
              <w:t>2.17</w:t>
            </w:r>
          </w:p>
        </w:tc>
        <w:tc>
          <w:tcPr>
            <w:tcW w:w="396" w:type="pct"/>
            <w:tcBorders>
              <w:top w:val="single" w:sz="4" w:space="0" w:color="auto"/>
            </w:tcBorders>
          </w:tcPr>
          <w:p w14:paraId="3D4CBB5C" w14:textId="61699D1A" w:rsidR="000F4008" w:rsidRPr="00E65AA7" w:rsidRDefault="000F4008" w:rsidP="000F4008">
            <w:pPr>
              <w:jc w:val="right"/>
              <w:rPr>
                <w:color w:val="000000"/>
              </w:rPr>
            </w:pPr>
            <w:r w:rsidRPr="004F0AC7">
              <w:t>5.16</w:t>
            </w:r>
          </w:p>
        </w:tc>
        <w:tc>
          <w:tcPr>
            <w:tcW w:w="435" w:type="pct"/>
            <w:tcBorders>
              <w:top w:val="single" w:sz="4" w:space="0" w:color="auto"/>
            </w:tcBorders>
          </w:tcPr>
          <w:p w14:paraId="43BC8047" w14:textId="05EED817" w:rsidR="000F4008" w:rsidRPr="00E65AA7" w:rsidRDefault="000F4008" w:rsidP="000F4008">
            <w:pPr>
              <w:jc w:val="right"/>
              <w:rPr>
                <w:color w:val="000000"/>
              </w:rPr>
            </w:pPr>
            <w:r w:rsidRPr="004F0AC7">
              <w:t>0.00</w:t>
            </w:r>
          </w:p>
        </w:tc>
        <w:tc>
          <w:tcPr>
            <w:tcW w:w="435" w:type="pct"/>
            <w:tcBorders>
              <w:top w:val="single" w:sz="4" w:space="0" w:color="auto"/>
            </w:tcBorders>
          </w:tcPr>
          <w:p w14:paraId="3192050D" w14:textId="7B3D0969" w:rsidR="000F4008" w:rsidRPr="00E65AA7" w:rsidRDefault="000F4008" w:rsidP="000F4008">
            <w:pPr>
              <w:jc w:val="right"/>
              <w:rPr>
                <w:color w:val="000000"/>
              </w:rPr>
            </w:pPr>
            <w:r w:rsidRPr="004F0AC7">
              <w:t>0.00</w:t>
            </w:r>
          </w:p>
        </w:tc>
        <w:tc>
          <w:tcPr>
            <w:tcW w:w="389" w:type="pct"/>
            <w:tcBorders>
              <w:top w:val="single" w:sz="4" w:space="0" w:color="auto"/>
            </w:tcBorders>
          </w:tcPr>
          <w:p w14:paraId="49D894B8" w14:textId="40C19390" w:rsidR="000F4008" w:rsidRPr="00E65AA7" w:rsidRDefault="000F4008" w:rsidP="000F4008">
            <w:pPr>
              <w:jc w:val="right"/>
              <w:rPr>
                <w:color w:val="000000"/>
              </w:rPr>
            </w:pPr>
            <w:r w:rsidRPr="004F0AC7">
              <w:t>0.00</w:t>
            </w:r>
          </w:p>
        </w:tc>
        <w:tc>
          <w:tcPr>
            <w:tcW w:w="435" w:type="pct"/>
            <w:tcBorders>
              <w:top w:val="single" w:sz="4" w:space="0" w:color="auto"/>
            </w:tcBorders>
          </w:tcPr>
          <w:p w14:paraId="14CE3E3F" w14:textId="0296FD65" w:rsidR="000F4008" w:rsidRPr="00E65AA7" w:rsidRDefault="000F4008" w:rsidP="000F4008">
            <w:pPr>
              <w:jc w:val="right"/>
              <w:rPr>
                <w:color w:val="000000"/>
              </w:rPr>
            </w:pPr>
            <w:r w:rsidRPr="004F0AC7">
              <w:t>3.39</w:t>
            </w:r>
          </w:p>
        </w:tc>
        <w:tc>
          <w:tcPr>
            <w:tcW w:w="435" w:type="pct"/>
            <w:tcBorders>
              <w:top w:val="single" w:sz="4" w:space="0" w:color="auto"/>
            </w:tcBorders>
          </w:tcPr>
          <w:p w14:paraId="4736C3D7" w14:textId="593B7273" w:rsidR="000F4008" w:rsidRPr="00E65AA7" w:rsidRDefault="000F4008" w:rsidP="000F4008">
            <w:pPr>
              <w:jc w:val="right"/>
              <w:rPr>
                <w:color w:val="000000"/>
              </w:rPr>
            </w:pPr>
            <w:r w:rsidRPr="004F0AC7">
              <w:t>5.93</w:t>
            </w:r>
          </w:p>
        </w:tc>
        <w:tc>
          <w:tcPr>
            <w:tcW w:w="478" w:type="pct"/>
            <w:tcBorders>
              <w:top w:val="single" w:sz="4" w:space="0" w:color="auto"/>
            </w:tcBorders>
          </w:tcPr>
          <w:p w14:paraId="1B03D77D" w14:textId="70FA748B" w:rsidR="000F4008" w:rsidRPr="00E65AA7" w:rsidRDefault="000F4008" w:rsidP="000F4008">
            <w:pPr>
              <w:jc w:val="right"/>
              <w:rPr>
                <w:color w:val="000000"/>
              </w:rPr>
            </w:pPr>
            <w:r w:rsidRPr="004F0AC7">
              <w:t>0.00</w:t>
            </w:r>
          </w:p>
        </w:tc>
        <w:tc>
          <w:tcPr>
            <w:tcW w:w="494" w:type="pct"/>
            <w:tcBorders>
              <w:top w:val="single" w:sz="4" w:space="0" w:color="auto"/>
            </w:tcBorders>
          </w:tcPr>
          <w:p w14:paraId="7D6E9BB7" w14:textId="25357123" w:rsidR="000F4008" w:rsidRPr="00E65AA7" w:rsidRDefault="000F4008" w:rsidP="000F4008">
            <w:pPr>
              <w:jc w:val="right"/>
              <w:rPr>
                <w:color w:val="000000"/>
              </w:rPr>
            </w:pPr>
            <w:r w:rsidRPr="004F0AC7">
              <w:t>202.49</w:t>
            </w:r>
          </w:p>
        </w:tc>
      </w:tr>
      <w:tr w:rsidR="000F4008" w:rsidRPr="00E65AA7" w14:paraId="4988DC5C" w14:textId="77777777" w:rsidTr="005E3379">
        <w:trPr>
          <w:trHeight w:hRule="exact" w:val="340"/>
          <w:jc w:val="center"/>
        </w:trPr>
        <w:tc>
          <w:tcPr>
            <w:tcW w:w="709" w:type="pct"/>
            <w:tcBorders>
              <w:bottom w:val="single" w:sz="4" w:space="0" w:color="auto"/>
            </w:tcBorders>
          </w:tcPr>
          <w:p w14:paraId="423ED915" w14:textId="77777777" w:rsidR="000F4008" w:rsidRPr="00E65AA7" w:rsidRDefault="000F4008" w:rsidP="000F4008">
            <w:pPr>
              <w:rPr>
                <w:bCs/>
                <w:color w:val="000000"/>
                <w:vertAlign w:val="subscript"/>
              </w:rPr>
            </w:pPr>
            <w:r w:rsidRPr="00E65AA7">
              <w:rPr>
                <w:bCs/>
                <w:color w:val="000000"/>
              </w:rPr>
              <w:t>D&gt;0</w:t>
            </w:r>
            <w:r w:rsidRPr="00E65AA7">
              <w:rPr>
                <w:bCs/>
                <w:color w:val="000000"/>
                <w:vertAlign w:val="subscript"/>
              </w:rPr>
              <w:t>t-1</w:t>
            </w:r>
          </w:p>
        </w:tc>
        <w:tc>
          <w:tcPr>
            <w:tcW w:w="408" w:type="pct"/>
            <w:tcBorders>
              <w:bottom w:val="single" w:sz="4" w:space="0" w:color="auto"/>
            </w:tcBorders>
          </w:tcPr>
          <w:p w14:paraId="001AD54C" w14:textId="17CA8B3D" w:rsidR="000F4008" w:rsidRPr="00E65AA7" w:rsidRDefault="000F4008" w:rsidP="000F4008">
            <w:pPr>
              <w:jc w:val="right"/>
              <w:rPr>
                <w:color w:val="000000"/>
              </w:rPr>
            </w:pPr>
            <w:r w:rsidRPr="004F0AC7">
              <w:t>2325229</w:t>
            </w:r>
          </w:p>
        </w:tc>
        <w:tc>
          <w:tcPr>
            <w:tcW w:w="386" w:type="pct"/>
            <w:tcBorders>
              <w:bottom w:val="single" w:sz="4" w:space="0" w:color="auto"/>
            </w:tcBorders>
          </w:tcPr>
          <w:p w14:paraId="20756FD8" w14:textId="1DD503AC" w:rsidR="000F4008" w:rsidRPr="00E65AA7" w:rsidRDefault="000F4008" w:rsidP="000F4008">
            <w:pPr>
              <w:jc w:val="right"/>
              <w:rPr>
                <w:color w:val="000000"/>
              </w:rPr>
            </w:pPr>
            <w:r w:rsidRPr="004F0AC7">
              <w:t>0.46</w:t>
            </w:r>
          </w:p>
        </w:tc>
        <w:tc>
          <w:tcPr>
            <w:tcW w:w="396" w:type="pct"/>
            <w:tcBorders>
              <w:bottom w:val="single" w:sz="4" w:space="0" w:color="auto"/>
            </w:tcBorders>
          </w:tcPr>
          <w:p w14:paraId="545083E4" w14:textId="1AD45C53" w:rsidR="000F4008" w:rsidRPr="00E65AA7" w:rsidRDefault="000F4008" w:rsidP="000F4008">
            <w:pPr>
              <w:jc w:val="right"/>
              <w:rPr>
                <w:color w:val="000000"/>
              </w:rPr>
            </w:pPr>
            <w:r w:rsidRPr="004F0AC7">
              <w:t>0.50</w:t>
            </w:r>
          </w:p>
        </w:tc>
        <w:tc>
          <w:tcPr>
            <w:tcW w:w="435" w:type="pct"/>
            <w:tcBorders>
              <w:bottom w:val="single" w:sz="4" w:space="0" w:color="auto"/>
            </w:tcBorders>
          </w:tcPr>
          <w:p w14:paraId="2FE0A290" w14:textId="2F56D4AA" w:rsidR="000F4008" w:rsidRPr="00E65AA7" w:rsidRDefault="000F4008" w:rsidP="000F4008">
            <w:pPr>
              <w:jc w:val="right"/>
              <w:rPr>
                <w:color w:val="000000"/>
              </w:rPr>
            </w:pPr>
            <w:r w:rsidRPr="004F0AC7">
              <w:t>0.00</w:t>
            </w:r>
          </w:p>
        </w:tc>
        <w:tc>
          <w:tcPr>
            <w:tcW w:w="435" w:type="pct"/>
            <w:tcBorders>
              <w:bottom w:val="single" w:sz="4" w:space="0" w:color="auto"/>
            </w:tcBorders>
          </w:tcPr>
          <w:p w14:paraId="57C934E5" w14:textId="18604DC9" w:rsidR="000F4008" w:rsidRPr="00E65AA7" w:rsidRDefault="000F4008" w:rsidP="000F4008">
            <w:pPr>
              <w:jc w:val="right"/>
              <w:rPr>
                <w:color w:val="000000"/>
              </w:rPr>
            </w:pPr>
            <w:r w:rsidRPr="004F0AC7">
              <w:t>0.00</w:t>
            </w:r>
          </w:p>
        </w:tc>
        <w:tc>
          <w:tcPr>
            <w:tcW w:w="389" w:type="pct"/>
            <w:tcBorders>
              <w:bottom w:val="single" w:sz="4" w:space="0" w:color="auto"/>
            </w:tcBorders>
          </w:tcPr>
          <w:p w14:paraId="5CFF1313" w14:textId="05832AF9" w:rsidR="000F4008" w:rsidRPr="00E65AA7" w:rsidRDefault="000F4008" w:rsidP="000F4008">
            <w:pPr>
              <w:jc w:val="right"/>
              <w:rPr>
                <w:color w:val="000000"/>
              </w:rPr>
            </w:pPr>
            <w:r w:rsidRPr="004F0AC7">
              <w:t>0.00</w:t>
            </w:r>
          </w:p>
        </w:tc>
        <w:tc>
          <w:tcPr>
            <w:tcW w:w="435" w:type="pct"/>
            <w:tcBorders>
              <w:bottom w:val="single" w:sz="4" w:space="0" w:color="auto"/>
            </w:tcBorders>
          </w:tcPr>
          <w:p w14:paraId="408BB098" w14:textId="6BA2F2C6" w:rsidR="000F4008" w:rsidRPr="00E65AA7" w:rsidRDefault="000F4008" w:rsidP="000F4008">
            <w:pPr>
              <w:jc w:val="right"/>
              <w:rPr>
                <w:color w:val="000000"/>
              </w:rPr>
            </w:pPr>
            <w:r w:rsidRPr="004F0AC7">
              <w:t>1.00</w:t>
            </w:r>
          </w:p>
        </w:tc>
        <w:tc>
          <w:tcPr>
            <w:tcW w:w="435" w:type="pct"/>
            <w:tcBorders>
              <w:bottom w:val="single" w:sz="4" w:space="0" w:color="auto"/>
            </w:tcBorders>
          </w:tcPr>
          <w:p w14:paraId="4A029840" w14:textId="2B9D94B8" w:rsidR="000F4008" w:rsidRPr="00E65AA7" w:rsidRDefault="000F4008" w:rsidP="000F4008">
            <w:pPr>
              <w:jc w:val="right"/>
              <w:rPr>
                <w:color w:val="000000"/>
              </w:rPr>
            </w:pPr>
            <w:r w:rsidRPr="004F0AC7">
              <w:t>1.00</w:t>
            </w:r>
          </w:p>
        </w:tc>
        <w:tc>
          <w:tcPr>
            <w:tcW w:w="478" w:type="pct"/>
            <w:tcBorders>
              <w:bottom w:val="single" w:sz="4" w:space="0" w:color="auto"/>
            </w:tcBorders>
          </w:tcPr>
          <w:p w14:paraId="6097B1B4" w14:textId="788B2A60" w:rsidR="000F4008" w:rsidRPr="00E65AA7" w:rsidRDefault="000F4008" w:rsidP="000F4008">
            <w:pPr>
              <w:jc w:val="right"/>
              <w:rPr>
                <w:color w:val="000000"/>
              </w:rPr>
            </w:pPr>
            <w:r w:rsidRPr="004F0AC7">
              <w:t>0.00</w:t>
            </w:r>
          </w:p>
        </w:tc>
        <w:tc>
          <w:tcPr>
            <w:tcW w:w="494" w:type="pct"/>
            <w:tcBorders>
              <w:bottom w:val="single" w:sz="4" w:space="0" w:color="auto"/>
            </w:tcBorders>
          </w:tcPr>
          <w:p w14:paraId="36893A28" w14:textId="3B6E3F4C" w:rsidR="000F4008" w:rsidRPr="00E65AA7" w:rsidRDefault="000F4008" w:rsidP="000F4008">
            <w:pPr>
              <w:jc w:val="right"/>
              <w:rPr>
                <w:color w:val="000000"/>
              </w:rPr>
            </w:pPr>
            <w:r w:rsidRPr="004F0AC7">
              <w:t>1.00</w:t>
            </w:r>
          </w:p>
        </w:tc>
      </w:tr>
      <w:tr w:rsidR="00355411" w:rsidRPr="00E65AA7" w14:paraId="7800597C" w14:textId="77777777" w:rsidTr="005E3379">
        <w:trPr>
          <w:trHeight w:hRule="exact" w:val="340"/>
          <w:jc w:val="center"/>
        </w:trPr>
        <w:tc>
          <w:tcPr>
            <w:tcW w:w="5000" w:type="pct"/>
            <w:gridSpan w:val="11"/>
            <w:tcBorders>
              <w:top w:val="single" w:sz="4" w:space="0" w:color="auto"/>
              <w:bottom w:val="single" w:sz="4" w:space="0" w:color="auto"/>
            </w:tcBorders>
          </w:tcPr>
          <w:p w14:paraId="62D3F239" w14:textId="77777777" w:rsidR="00355411" w:rsidRPr="00E65AA7" w:rsidRDefault="00355411" w:rsidP="009A61F3">
            <w:pPr>
              <w:jc w:val="center"/>
            </w:pPr>
            <w:r w:rsidRPr="00E65AA7">
              <w:rPr>
                <w:b/>
                <w:bCs/>
                <w:color w:val="000000"/>
              </w:rPr>
              <w:t>Panel E: Tangibility</w:t>
            </w:r>
          </w:p>
        </w:tc>
      </w:tr>
      <w:tr w:rsidR="001174B9" w:rsidRPr="00E65AA7" w14:paraId="4F504A5D" w14:textId="77777777" w:rsidTr="005E3379">
        <w:trPr>
          <w:trHeight w:hRule="exact" w:val="340"/>
          <w:jc w:val="center"/>
        </w:trPr>
        <w:tc>
          <w:tcPr>
            <w:tcW w:w="709" w:type="pct"/>
            <w:tcBorders>
              <w:top w:val="single" w:sz="4" w:space="0" w:color="auto"/>
            </w:tcBorders>
          </w:tcPr>
          <w:p w14:paraId="4075CFA6" w14:textId="77777777" w:rsidR="001174B9" w:rsidRPr="00E65AA7" w:rsidRDefault="001174B9" w:rsidP="001174B9">
            <w:pPr>
              <w:rPr>
                <w:bCs/>
                <w:color w:val="000000"/>
              </w:rPr>
            </w:pPr>
            <w:r w:rsidRPr="00E65AA7">
              <w:rPr>
                <w:bCs/>
                <w:color w:val="000000"/>
              </w:rPr>
              <w:t>PPE/Assets (%)</w:t>
            </w:r>
          </w:p>
        </w:tc>
        <w:tc>
          <w:tcPr>
            <w:tcW w:w="408" w:type="pct"/>
            <w:tcBorders>
              <w:top w:val="single" w:sz="4" w:space="0" w:color="auto"/>
            </w:tcBorders>
          </w:tcPr>
          <w:p w14:paraId="02ABF8D6" w14:textId="7517657D" w:rsidR="001174B9" w:rsidRPr="00E65AA7" w:rsidRDefault="001174B9" w:rsidP="001174B9">
            <w:pPr>
              <w:jc w:val="right"/>
              <w:rPr>
                <w:color w:val="000000"/>
              </w:rPr>
            </w:pPr>
            <w:r w:rsidRPr="004719E7">
              <w:t>2227469</w:t>
            </w:r>
          </w:p>
        </w:tc>
        <w:tc>
          <w:tcPr>
            <w:tcW w:w="386" w:type="pct"/>
            <w:tcBorders>
              <w:top w:val="single" w:sz="4" w:space="0" w:color="auto"/>
            </w:tcBorders>
          </w:tcPr>
          <w:p w14:paraId="1A75E1F1" w14:textId="3A9EDD51" w:rsidR="001174B9" w:rsidRPr="00E65AA7" w:rsidRDefault="001174B9" w:rsidP="001174B9">
            <w:pPr>
              <w:jc w:val="right"/>
              <w:rPr>
                <w:color w:val="000000"/>
              </w:rPr>
            </w:pPr>
            <w:r w:rsidRPr="004719E7">
              <w:t>52.88</w:t>
            </w:r>
          </w:p>
        </w:tc>
        <w:tc>
          <w:tcPr>
            <w:tcW w:w="396" w:type="pct"/>
            <w:tcBorders>
              <w:top w:val="single" w:sz="4" w:space="0" w:color="auto"/>
            </w:tcBorders>
          </w:tcPr>
          <w:p w14:paraId="376996DF" w14:textId="5D1BBF2C" w:rsidR="001174B9" w:rsidRPr="00E65AA7" w:rsidRDefault="001174B9" w:rsidP="001174B9">
            <w:pPr>
              <w:jc w:val="right"/>
              <w:rPr>
                <w:color w:val="000000"/>
              </w:rPr>
            </w:pPr>
            <w:r w:rsidRPr="004719E7">
              <w:t>39.53</w:t>
            </w:r>
          </w:p>
        </w:tc>
        <w:tc>
          <w:tcPr>
            <w:tcW w:w="435" w:type="pct"/>
            <w:tcBorders>
              <w:top w:val="single" w:sz="4" w:space="0" w:color="auto"/>
            </w:tcBorders>
          </w:tcPr>
          <w:p w14:paraId="68CDBBF5" w14:textId="6FD945C4" w:rsidR="001174B9" w:rsidRPr="00E65AA7" w:rsidRDefault="001174B9" w:rsidP="001174B9">
            <w:pPr>
              <w:jc w:val="right"/>
              <w:rPr>
                <w:color w:val="000000"/>
              </w:rPr>
            </w:pPr>
            <w:r w:rsidRPr="004719E7">
              <w:t>9.16</w:t>
            </w:r>
          </w:p>
        </w:tc>
        <w:tc>
          <w:tcPr>
            <w:tcW w:w="435" w:type="pct"/>
            <w:tcBorders>
              <w:top w:val="single" w:sz="4" w:space="0" w:color="auto"/>
            </w:tcBorders>
          </w:tcPr>
          <w:p w14:paraId="37B082C4" w14:textId="743504CA" w:rsidR="001174B9" w:rsidRPr="00E65AA7" w:rsidRDefault="001174B9" w:rsidP="001174B9">
            <w:pPr>
              <w:jc w:val="right"/>
              <w:rPr>
                <w:color w:val="000000"/>
              </w:rPr>
            </w:pPr>
            <w:r w:rsidRPr="004719E7">
              <w:t>22.48</w:t>
            </w:r>
          </w:p>
        </w:tc>
        <w:tc>
          <w:tcPr>
            <w:tcW w:w="389" w:type="pct"/>
            <w:tcBorders>
              <w:top w:val="single" w:sz="4" w:space="0" w:color="auto"/>
            </w:tcBorders>
          </w:tcPr>
          <w:p w14:paraId="09956E1A" w14:textId="425A5080" w:rsidR="001174B9" w:rsidRPr="00E65AA7" w:rsidRDefault="001174B9" w:rsidP="001174B9">
            <w:pPr>
              <w:jc w:val="right"/>
              <w:rPr>
                <w:color w:val="000000"/>
              </w:rPr>
            </w:pPr>
            <w:r w:rsidRPr="004719E7">
              <w:t>44.90</w:t>
            </w:r>
          </w:p>
        </w:tc>
        <w:tc>
          <w:tcPr>
            <w:tcW w:w="435" w:type="pct"/>
            <w:tcBorders>
              <w:top w:val="single" w:sz="4" w:space="0" w:color="auto"/>
            </w:tcBorders>
          </w:tcPr>
          <w:p w14:paraId="44AD8734" w14:textId="2C027D7F" w:rsidR="001174B9" w:rsidRPr="00E65AA7" w:rsidRDefault="001174B9" w:rsidP="001174B9">
            <w:pPr>
              <w:jc w:val="right"/>
              <w:rPr>
                <w:color w:val="000000"/>
              </w:rPr>
            </w:pPr>
            <w:r w:rsidRPr="004719E7">
              <w:t>76.32</w:t>
            </w:r>
          </w:p>
        </w:tc>
        <w:tc>
          <w:tcPr>
            <w:tcW w:w="435" w:type="pct"/>
            <w:tcBorders>
              <w:top w:val="single" w:sz="4" w:space="0" w:color="auto"/>
            </w:tcBorders>
          </w:tcPr>
          <w:p w14:paraId="5028B2BA" w14:textId="5564ED48" w:rsidR="001174B9" w:rsidRPr="00E65AA7" w:rsidRDefault="001174B9" w:rsidP="001174B9">
            <w:pPr>
              <w:jc w:val="right"/>
              <w:rPr>
                <w:color w:val="000000"/>
              </w:rPr>
            </w:pPr>
            <w:r w:rsidRPr="004719E7">
              <w:t>107.28</w:t>
            </w:r>
          </w:p>
        </w:tc>
        <w:tc>
          <w:tcPr>
            <w:tcW w:w="478" w:type="pct"/>
            <w:tcBorders>
              <w:top w:val="single" w:sz="4" w:space="0" w:color="auto"/>
            </w:tcBorders>
          </w:tcPr>
          <w:p w14:paraId="445D656F" w14:textId="568B9BCF" w:rsidR="001174B9" w:rsidRPr="00E65AA7" w:rsidRDefault="001174B9" w:rsidP="001174B9">
            <w:pPr>
              <w:jc w:val="right"/>
              <w:rPr>
                <w:color w:val="000000"/>
              </w:rPr>
            </w:pPr>
            <w:r w:rsidRPr="004719E7">
              <w:t>0.00</w:t>
            </w:r>
          </w:p>
        </w:tc>
        <w:tc>
          <w:tcPr>
            <w:tcW w:w="494" w:type="pct"/>
            <w:tcBorders>
              <w:top w:val="single" w:sz="4" w:space="0" w:color="auto"/>
            </w:tcBorders>
          </w:tcPr>
          <w:p w14:paraId="4E092153" w14:textId="2865F8D2" w:rsidR="001174B9" w:rsidRPr="00E65AA7" w:rsidRDefault="001174B9" w:rsidP="001174B9">
            <w:pPr>
              <w:jc w:val="right"/>
              <w:rPr>
                <w:color w:val="000000"/>
              </w:rPr>
            </w:pPr>
            <w:r w:rsidRPr="004719E7">
              <w:t>495.94</w:t>
            </w:r>
          </w:p>
        </w:tc>
      </w:tr>
      <w:tr w:rsidR="003F7633" w:rsidRPr="00E65AA7" w14:paraId="44BB9223" w14:textId="77777777" w:rsidTr="005E3379">
        <w:trPr>
          <w:trHeight w:hRule="exact" w:val="340"/>
          <w:jc w:val="center"/>
        </w:trPr>
        <w:tc>
          <w:tcPr>
            <w:tcW w:w="709" w:type="pct"/>
            <w:tcBorders>
              <w:bottom w:val="single" w:sz="4" w:space="0" w:color="auto"/>
            </w:tcBorders>
          </w:tcPr>
          <w:p w14:paraId="5641AA20" w14:textId="77777777" w:rsidR="003F7633" w:rsidRPr="00E65AA7" w:rsidRDefault="003F7633" w:rsidP="003F7633">
            <w:pPr>
              <w:rPr>
                <w:bCs/>
                <w:color w:val="000000"/>
              </w:rPr>
            </w:pPr>
            <w:r w:rsidRPr="00E65AA7">
              <w:rPr>
                <w:bCs/>
                <w:color w:val="000000"/>
              </w:rPr>
              <w:t>RD/Assets (%)</w:t>
            </w:r>
          </w:p>
        </w:tc>
        <w:tc>
          <w:tcPr>
            <w:tcW w:w="408" w:type="pct"/>
            <w:tcBorders>
              <w:bottom w:val="single" w:sz="4" w:space="0" w:color="auto"/>
            </w:tcBorders>
          </w:tcPr>
          <w:p w14:paraId="30286D62" w14:textId="53F6808D" w:rsidR="003F7633" w:rsidRPr="00E65AA7" w:rsidRDefault="003F7633" w:rsidP="003F7633">
            <w:pPr>
              <w:jc w:val="right"/>
              <w:rPr>
                <w:color w:val="000000"/>
              </w:rPr>
            </w:pPr>
            <w:r w:rsidRPr="00A61FD4">
              <w:t>2271358</w:t>
            </w:r>
          </w:p>
        </w:tc>
        <w:tc>
          <w:tcPr>
            <w:tcW w:w="386" w:type="pct"/>
            <w:tcBorders>
              <w:bottom w:val="single" w:sz="4" w:space="0" w:color="auto"/>
            </w:tcBorders>
          </w:tcPr>
          <w:p w14:paraId="19F927B0" w14:textId="6C071739" w:rsidR="003F7633" w:rsidRPr="00E65AA7" w:rsidRDefault="003F7633" w:rsidP="003F7633">
            <w:pPr>
              <w:jc w:val="right"/>
              <w:rPr>
                <w:color w:val="000000"/>
              </w:rPr>
            </w:pPr>
            <w:r w:rsidRPr="00A61FD4">
              <w:t>3.86</w:t>
            </w:r>
          </w:p>
        </w:tc>
        <w:tc>
          <w:tcPr>
            <w:tcW w:w="396" w:type="pct"/>
            <w:tcBorders>
              <w:bottom w:val="single" w:sz="4" w:space="0" w:color="auto"/>
            </w:tcBorders>
          </w:tcPr>
          <w:p w14:paraId="067451AC" w14:textId="57171AEA" w:rsidR="003F7633" w:rsidRPr="00E65AA7" w:rsidRDefault="003F7633" w:rsidP="003F7633">
            <w:pPr>
              <w:jc w:val="right"/>
              <w:rPr>
                <w:color w:val="000000"/>
              </w:rPr>
            </w:pPr>
            <w:r w:rsidRPr="00A61FD4">
              <w:t>10.95</w:t>
            </w:r>
          </w:p>
        </w:tc>
        <w:tc>
          <w:tcPr>
            <w:tcW w:w="435" w:type="pct"/>
            <w:tcBorders>
              <w:bottom w:val="single" w:sz="4" w:space="0" w:color="auto"/>
            </w:tcBorders>
          </w:tcPr>
          <w:p w14:paraId="376DF8F2" w14:textId="6D8CE3AA" w:rsidR="003F7633" w:rsidRPr="00E65AA7" w:rsidRDefault="003F7633" w:rsidP="003F7633">
            <w:pPr>
              <w:jc w:val="right"/>
              <w:rPr>
                <w:color w:val="000000"/>
              </w:rPr>
            </w:pPr>
            <w:r w:rsidRPr="00A61FD4">
              <w:t>0.00</w:t>
            </w:r>
          </w:p>
        </w:tc>
        <w:tc>
          <w:tcPr>
            <w:tcW w:w="435" w:type="pct"/>
            <w:tcBorders>
              <w:bottom w:val="single" w:sz="4" w:space="0" w:color="auto"/>
            </w:tcBorders>
          </w:tcPr>
          <w:p w14:paraId="10F41E01" w14:textId="1214C204" w:rsidR="003F7633" w:rsidRPr="00E65AA7" w:rsidRDefault="003F7633" w:rsidP="003F7633">
            <w:pPr>
              <w:jc w:val="right"/>
              <w:rPr>
                <w:color w:val="000000"/>
              </w:rPr>
            </w:pPr>
            <w:r w:rsidRPr="00A61FD4">
              <w:t>0.00</w:t>
            </w:r>
          </w:p>
        </w:tc>
        <w:tc>
          <w:tcPr>
            <w:tcW w:w="389" w:type="pct"/>
            <w:tcBorders>
              <w:bottom w:val="single" w:sz="4" w:space="0" w:color="auto"/>
            </w:tcBorders>
          </w:tcPr>
          <w:p w14:paraId="002FC7C9" w14:textId="2E76EBBE" w:rsidR="003F7633" w:rsidRPr="00E65AA7" w:rsidRDefault="003F7633" w:rsidP="003F7633">
            <w:pPr>
              <w:jc w:val="right"/>
              <w:rPr>
                <w:color w:val="000000"/>
              </w:rPr>
            </w:pPr>
            <w:r w:rsidRPr="00A61FD4">
              <w:t>0.00</w:t>
            </w:r>
          </w:p>
        </w:tc>
        <w:tc>
          <w:tcPr>
            <w:tcW w:w="435" w:type="pct"/>
            <w:tcBorders>
              <w:bottom w:val="single" w:sz="4" w:space="0" w:color="auto"/>
            </w:tcBorders>
          </w:tcPr>
          <w:p w14:paraId="44101F12" w14:textId="35C1ADE6" w:rsidR="003F7633" w:rsidRPr="00E65AA7" w:rsidRDefault="003F7633" w:rsidP="003F7633">
            <w:pPr>
              <w:jc w:val="right"/>
              <w:rPr>
                <w:color w:val="000000"/>
              </w:rPr>
            </w:pPr>
            <w:r w:rsidRPr="00A61FD4">
              <w:t>2.77</w:t>
            </w:r>
          </w:p>
        </w:tc>
        <w:tc>
          <w:tcPr>
            <w:tcW w:w="435" w:type="pct"/>
            <w:tcBorders>
              <w:bottom w:val="single" w:sz="4" w:space="0" w:color="auto"/>
            </w:tcBorders>
          </w:tcPr>
          <w:p w14:paraId="3984C018" w14:textId="4675525B" w:rsidR="003F7633" w:rsidRPr="00E65AA7" w:rsidRDefault="003F7633" w:rsidP="003F7633">
            <w:pPr>
              <w:jc w:val="right"/>
              <w:rPr>
                <w:color w:val="000000"/>
              </w:rPr>
            </w:pPr>
            <w:r w:rsidRPr="00A61FD4">
              <w:t>11.31</w:t>
            </w:r>
          </w:p>
        </w:tc>
        <w:tc>
          <w:tcPr>
            <w:tcW w:w="478" w:type="pct"/>
            <w:tcBorders>
              <w:bottom w:val="single" w:sz="4" w:space="0" w:color="auto"/>
            </w:tcBorders>
          </w:tcPr>
          <w:p w14:paraId="34CA36AE" w14:textId="7DE6ADDB" w:rsidR="003F7633" w:rsidRPr="00E65AA7" w:rsidRDefault="003F7633" w:rsidP="003F7633">
            <w:pPr>
              <w:jc w:val="right"/>
              <w:rPr>
                <w:color w:val="000000"/>
              </w:rPr>
            </w:pPr>
            <w:r w:rsidRPr="00A61FD4">
              <w:t>0.00</w:t>
            </w:r>
          </w:p>
        </w:tc>
        <w:tc>
          <w:tcPr>
            <w:tcW w:w="494" w:type="pct"/>
            <w:tcBorders>
              <w:bottom w:val="single" w:sz="4" w:space="0" w:color="auto"/>
            </w:tcBorders>
          </w:tcPr>
          <w:p w14:paraId="4CA08282" w14:textId="01727AC3" w:rsidR="003F7633" w:rsidRPr="00E65AA7" w:rsidRDefault="003F7633" w:rsidP="003F7633">
            <w:pPr>
              <w:jc w:val="right"/>
              <w:rPr>
                <w:color w:val="000000"/>
              </w:rPr>
            </w:pPr>
            <w:r w:rsidRPr="00A61FD4">
              <w:t>279.66</w:t>
            </w:r>
          </w:p>
        </w:tc>
      </w:tr>
    </w:tbl>
    <w:p w14:paraId="54EB8948" w14:textId="77777777" w:rsidR="00105988" w:rsidRPr="00E65AA7" w:rsidRDefault="00105988" w:rsidP="00361C09">
      <w:r w:rsidRPr="00E65AA7">
        <w:br w:type="page"/>
      </w:r>
    </w:p>
    <w:p w14:paraId="73838B56" w14:textId="5797B31C" w:rsidR="001C2A6B" w:rsidRPr="00E65AA7" w:rsidRDefault="001C2A6B" w:rsidP="00081B01">
      <w:pPr>
        <w:spacing w:after="120"/>
      </w:pPr>
      <w:r w:rsidRPr="00E65AA7">
        <w:rPr>
          <w:b/>
          <w:sz w:val="20"/>
          <w:szCs w:val="20"/>
        </w:rPr>
        <w:lastRenderedPageBreak/>
        <w:t xml:space="preserve">Table </w:t>
      </w:r>
      <w:r w:rsidR="003F2D69">
        <w:rPr>
          <w:b/>
          <w:sz w:val="20"/>
          <w:szCs w:val="20"/>
        </w:rPr>
        <w:t>4</w:t>
      </w:r>
      <w:r w:rsidRPr="00E65AA7">
        <w:rPr>
          <w:b/>
          <w:sz w:val="20"/>
          <w:szCs w:val="20"/>
        </w:rPr>
        <w:t xml:space="preserve">: Monthly Returns </w:t>
      </w:r>
      <w:r w:rsidR="00CA2087">
        <w:rPr>
          <w:b/>
          <w:sz w:val="20"/>
          <w:szCs w:val="20"/>
        </w:rPr>
        <w:t>of Characteristic-sorted Portfolios conditioned on Sentiment Dynamics</w:t>
      </w:r>
      <w:r w:rsidRPr="00E65AA7">
        <w:rPr>
          <w:b/>
          <w:sz w:val="20"/>
          <w:szCs w:val="20"/>
        </w:rPr>
        <w:t xml:space="preserve">, 1964 to 2014. </w:t>
      </w:r>
      <w:r w:rsidR="00C00660" w:rsidRPr="00E65AA7">
        <w:rPr>
          <w:noProof/>
          <w:sz w:val="20"/>
          <w:szCs w:val="20"/>
        </w:rPr>
        <w:t xml:space="preserve">In each month </w:t>
      </w:r>
      <w:r w:rsidR="00C00660" w:rsidRPr="00E65AA7">
        <w:rPr>
          <w:i/>
          <w:noProof/>
          <w:sz w:val="20"/>
          <w:szCs w:val="20"/>
        </w:rPr>
        <w:t>t</w:t>
      </w:r>
      <w:r w:rsidR="00C00660" w:rsidRPr="00E65AA7">
        <w:rPr>
          <w:noProof/>
          <w:sz w:val="20"/>
          <w:szCs w:val="20"/>
        </w:rPr>
        <w:t>, we form decile portfolios according to the NYSE breakpoints of volatility, fir</w:t>
      </w:r>
      <w:r w:rsidR="001C7F35">
        <w:rPr>
          <w:noProof/>
          <w:sz w:val="20"/>
          <w:szCs w:val="20"/>
        </w:rPr>
        <w:t>m age, equity (ME), earnings-</w:t>
      </w:r>
      <w:r w:rsidR="00C00660" w:rsidRPr="00E65AA7">
        <w:rPr>
          <w:noProof/>
          <w:sz w:val="20"/>
          <w:szCs w:val="20"/>
        </w:rPr>
        <w:t>book ratio for profitable firms (E+/BE), dividend-book ratio for dividend payers (D/BE), fixed assets (PPE/A) and research and development (RD/A).</w:t>
      </w:r>
      <w:r w:rsidR="00C00660" w:rsidRPr="00E65AA7">
        <w:rPr>
          <w:sz w:val="20"/>
          <w:szCs w:val="20"/>
        </w:rPr>
        <w:t xml:space="preserve"> We also calculate portfolio returns of unprofitable firms, non-dividend paying firms, zero PP&amp;E firms, and firms with zero R&amp;D expenses. We report average portfolio returns based on sentiment dynamics. We define H/H (L/L) sentiment state if STM in month </w:t>
      </w:r>
      <w:r w:rsidR="00C00660" w:rsidRPr="00E65AA7">
        <w:rPr>
          <w:i/>
          <w:sz w:val="20"/>
          <w:szCs w:val="20"/>
        </w:rPr>
        <w:t>t</w:t>
      </w:r>
      <w:r w:rsidR="00BC7CAC" w:rsidRPr="00E65AA7">
        <w:rPr>
          <w:i/>
          <w:sz w:val="20"/>
          <w:szCs w:val="20"/>
        </w:rPr>
        <w:t>-1</w:t>
      </w:r>
      <w:r w:rsidR="002B3783" w:rsidRPr="00E65AA7">
        <w:rPr>
          <w:sz w:val="20"/>
          <w:szCs w:val="20"/>
        </w:rPr>
        <w:t xml:space="preserve"> and ▲STM in month </w:t>
      </w:r>
      <w:r w:rsidR="00C00660" w:rsidRPr="00E65AA7">
        <w:rPr>
          <w:i/>
          <w:sz w:val="20"/>
          <w:szCs w:val="20"/>
        </w:rPr>
        <w:t>t</w:t>
      </w:r>
      <w:r w:rsidR="00C00660" w:rsidRPr="00E65AA7">
        <w:rPr>
          <w:sz w:val="20"/>
          <w:szCs w:val="20"/>
        </w:rPr>
        <w:t xml:space="preserve"> are positive (negative). Furthermore, we classify H/L (L/H) sentiment state if STM in month </w:t>
      </w:r>
      <w:r w:rsidR="00C00660" w:rsidRPr="00E65AA7">
        <w:rPr>
          <w:i/>
          <w:sz w:val="20"/>
          <w:szCs w:val="20"/>
        </w:rPr>
        <w:t>t</w:t>
      </w:r>
      <w:r w:rsidR="00C00660" w:rsidRPr="00E65AA7">
        <w:rPr>
          <w:sz w:val="20"/>
          <w:szCs w:val="20"/>
        </w:rPr>
        <w:t xml:space="preserve">-1 is positive (negative) and ▲STM in month </w:t>
      </w:r>
      <w:r w:rsidR="00C00660" w:rsidRPr="00E65AA7">
        <w:rPr>
          <w:i/>
          <w:sz w:val="20"/>
          <w:szCs w:val="20"/>
        </w:rPr>
        <w:t>t</w:t>
      </w:r>
      <w:r w:rsidR="00C00660" w:rsidRPr="00E65AA7">
        <w:rPr>
          <w:sz w:val="20"/>
          <w:szCs w:val="20"/>
        </w:rPr>
        <w:t xml:space="preserve"> is negative (positive). We report average monthly returns in percentage and </w:t>
      </w:r>
      <w:r w:rsidR="00C00660" w:rsidRPr="00E65AA7">
        <w:rPr>
          <w:i/>
          <w:sz w:val="20"/>
          <w:szCs w:val="20"/>
        </w:rPr>
        <w:t>t</w:t>
      </w:r>
      <w:r w:rsidR="00C00660" w:rsidRPr="00E65AA7">
        <w:rPr>
          <w:sz w:val="20"/>
          <w:szCs w:val="20"/>
        </w:rPr>
        <w:t>-statistics in parenthesis.</w:t>
      </w:r>
    </w:p>
    <w:tbl>
      <w:tblPr>
        <w:tblW w:w="5000" w:type="pct"/>
        <w:tblLook w:val="04A0" w:firstRow="1" w:lastRow="0" w:firstColumn="1" w:lastColumn="0" w:noHBand="0" w:noVBand="1"/>
      </w:tblPr>
      <w:tblGrid>
        <w:gridCol w:w="1347"/>
        <w:gridCol w:w="620"/>
        <w:gridCol w:w="916"/>
        <w:gridCol w:w="967"/>
        <w:gridCol w:w="1062"/>
        <w:gridCol w:w="1059"/>
        <w:gridCol w:w="1056"/>
        <w:gridCol w:w="1056"/>
        <w:gridCol w:w="1056"/>
        <w:gridCol w:w="1056"/>
        <w:gridCol w:w="1056"/>
        <w:gridCol w:w="1056"/>
        <w:gridCol w:w="1056"/>
        <w:gridCol w:w="1019"/>
        <w:gridCol w:w="1016"/>
      </w:tblGrid>
      <w:tr w:rsidR="009771CF" w:rsidRPr="00E65AA7" w14:paraId="4CB457FC" w14:textId="0664C8A0" w:rsidTr="009771CF">
        <w:trPr>
          <w:trHeight w:hRule="exact" w:val="255"/>
        </w:trPr>
        <w:tc>
          <w:tcPr>
            <w:tcW w:w="437" w:type="pct"/>
            <w:tcBorders>
              <w:top w:val="single" w:sz="4" w:space="0" w:color="auto"/>
              <w:left w:val="nil"/>
              <w:bottom w:val="single" w:sz="4" w:space="0" w:color="auto"/>
              <w:right w:val="nil"/>
            </w:tcBorders>
            <w:shd w:val="clear" w:color="auto" w:fill="auto"/>
            <w:noWrap/>
            <w:vAlign w:val="center"/>
            <w:hideMark/>
          </w:tcPr>
          <w:p w14:paraId="0697932F" w14:textId="352BBACE" w:rsidR="009771CF" w:rsidRPr="00E65AA7" w:rsidRDefault="009771CF" w:rsidP="00E72DFE">
            <w:pPr>
              <w:rPr>
                <w:rFonts w:eastAsia="Times New Roman"/>
                <w:b/>
                <w:color w:val="000000"/>
                <w:sz w:val="20"/>
                <w:szCs w:val="20"/>
                <w:lang w:eastAsia="en-MY"/>
              </w:rPr>
            </w:pPr>
            <w:r w:rsidRPr="00E65AA7">
              <w:rPr>
                <w:rFonts w:eastAsia="Times New Roman"/>
                <w:b/>
                <w:color w:val="000000"/>
                <w:sz w:val="20"/>
                <w:szCs w:val="20"/>
                <w:lang w:eastAsia="en-MY"/>
              </w:rPr>
              <w:t>Sentiment</w:t>
            </w:r>
          </w:p>
        </w:tc>
        <w:tc>
          <w:tcPr>
            <w:tcW w:w="201" w:type="pct"/>
            <w:tcBorders>
              <w:top w:val="single" w:sz="4" w:space="0" w:color="auto"/>
              <w:left w:val="nil"/>
              <w:bottom w:val="single" w:sz="4" w:space="0" w:color="auto"/>
              <w:right w:val="nil"/>
            </w:tcBorders>
            <w:vAlign w:val="center"/>
          </w:tcPr>
          <w:p w14:paraId="7FF6337C"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N</w:t>
            </w:r>
          </w:p>
        </w:tc>
        <w:tc>
          <w:tcPr>
            <w:tcW w:w="297" w:type="pct"/>
            <w:tcBorders>
              <w:top w:val="single" w:sz="4" w:space="0" w:color="auto"/>
              <w:left w:val="nil"/>
              <w:bottom w:val="single" w:sz="4" w:space="0" w:color="auto"/>
              <w:right w:val="nil"/>
            </w:tcBorders>
            <w:shd w:val="clear" w:color="auto" w:fill="auto"/>
            <w:noWrap/>
            <w:vAlign w:val="center"/>
            <w:hideMark/>
          </w:tcPr>
          <w:p w14:paraId="23220BD8"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≤0</w:t>
            </w:r>
          </w:p>
        </w:tc>
        <w:tc>
          <w:tcPr>
            <w:tcW w:w="314" w:type="pct"/>
            <w:tcBorders>
              <w:top w:val="single" w:sz="4" w:space="0" w:color="auto"/>
              <w:left w:val="nil"/>
              <w:bottom w:val="single" w:sz="4" w:space="0" w:color="auto"/>
              <w:right w:val="nil"/>
            </w:tcBorders>
            <w:shd w:val="clear" w:color="auto" w:fill="auto"/>
            <w:vAlign w:val="center"/>
            <w:hideMark/>
          </w:tcPr>
          <w:p w14:paraId="6C2D113E"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45" w:type="pct"/>
            <w:tcBorders>
              <w:top w:val="single" w:sz="4" w:space="0" w:color="auto"/>
              <w:left w:val="nil"/>
              <w:bottom w:val="single" w:sz="4" w:space="0" w:color="auto"/>
              <w:right w:val="nil"/>
            </w:tcBorders>
            <w:shd w:val="clear" w:color="auto" w:fill="auto"/>
            <w:vAlign w:val="center"/>
            <w:hideMark/>
          </w:tcPr>
          <w:p w14:paraId="17FB6512"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44" w:type="pct"/>
            <w:tcBorders>
              <w:top w:val="single" w:sz="4" w:space="0" w:color="auto"/>
              <w:left w:val="nil"/>
              <w:bottom w:val="single" w:sz="4" w:space="0" w:color="auto"/>
              <w:right w:val="nil"/>
            </w:tcBorders>
            <w:shd w:val="clear" w:color="auto" w:fill="auto"/>
            <w:vAlign w:val="center"/>
            <w:hideMark/>
          </w:tcPr>
          <w:p w14:paraId="22612C99"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43" w:type="pct"/>
            <w:tcBorders>
              <w:top w:val="single" w:sz="4" w:space="0" w:color="auto"/>
              <w:left w:val="nil"/>
              <w:bottom w:val="single" w:sz="4" w:space="0" w:color="auto"/>
              <w:right w:val="nil"/>
            </w:tcBorders>
            <w:shd w:val="clear" w:color="auto" w:fill="auto"/>
            <w:vAlign w:val="center"/>
            <w:hideMark/>
          </w:tcPr>
          <w:p w14:paraId="04F8A0E2"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43" w:type="pct"/>
            <w:tcBorders>
              <w:top w:val="single" w:sz="4" w:space="0" w:color="auto"/>
              <w:left w:val="nil"/>
              <w:bottom w:val="single" w:sz="4" w:space="0" w:color="auto"/>
              <w:right w:val="nil"/>
            </w:tcBorders>
            <w:shd w:val="clear" w:color="auto" w:fill="auto"/>
            <w:vAlign w:val="center"/>
            <w:hideMark/>
          </w:tcPr>
          <w:p w14:paraId="5140B386"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43" w:type="pct"/>
            <w:tcBorders>
              <w:top w:val="single" w:sz="4" w:space="0" w:color="auto"/>
              <w:left w:val="nil"/>
              <w:bottom w:val="single" w:sz="4" w:space="0" w:color="auto"/>
              <w:right w:val="nil"/>
            </w:tcBorders>
            <w:shd w:val="clear" w:color="auto" w:fill="auto"/>
            <w:vAlign w:val="center"/>
            <w:hideMark/>
          </w:tcPr>
          <w:p w14:paraId="3A340913"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43" w:type="pct"/>
            <w:tcBorders>
              <w:top w:val="single" w:sz="4" w:space="0" w:color="auto"/>
              <w:left w:val="nil"/>
              <w:bottom w:val="single" w:sz="4" w:space="0" w:color="auto"/>
              <w:right w:val="nil"/>
            </w:tcBorders>
            <w:shd w:val="clear" w:color="auto" w:fill="auto"/>
            <w:vAlign w:val="center"/>
            <w:hideMark/>
          </w:tcPr>
          <w:p w14:paraId="794CFF3B"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43" w:type="pct"/>
            <w:tcBorders>
              <w:top w:val="single" w:sz="4" w:space="0" w:color="auto"/>
              <w:left w:val="nil"/>
              <w:bottom w:val="single" w:sz="4" w:space="0" w:color="auto"/>
              <w:right w:val="nil"/>
            </w:tcBorders>
            <w:shd w:val="clear" w:color="auto" w:fill="auto"/>
            <w:vAlign w:val="center"/>
            <w:hideMark/>
          </w:tcPr>
          <w:p w14:paraId="19E878C4"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43" w:type="pct"/>
            <w:tcBorders>
              <w:top w:val="single" w:sz="4" w:space="0" w:color="auto"/>
              <w:left w:val="nil"/>
              <w:bottom w:val="single" w:sz="4" w:space="0" w:color="auto"/>
              <w:right w:val="nil"/>
            </w:tcBorders>
            <w:shd w:val="clear" w:color="auto" w:fill="auto"/>
            <w:vAlign w:val="center"/>
            <w:hideMark/>
          </w:tcPr>
          <w:p w14:paraId="066DB446"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43" w:type="pct"/>
            <w:tcBorders>
              <w:top w:val="single" w:sz="4" w:space="0" w:color="auto"/>
              <w:left w:val="nil"/>
              <w:bottom w:val="single" w:sz="4" w:space="0" w:color="auto"/>
              <w:right w:val="nil"/>
            </w:tcBorders>
            <w:shd w:val="clear" w:color="auto" w:fill="auto"/>
            <w:vAlign w:val="center"/>
            <w:hideMark/>
          </w:tcPr>
          <w:p w14:paraId="39A99654" w14:textId="77777777"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331" w:type="pct"/>
            <w:tcBorders>
              <w:top w:val="single" w:sz="4" w:space="0" w:color="auto"/>
              <w:left w:val="nil"/>
              <w:bottom w:val="single" w:sz="4" w:space="0" w:color="auto"/>
              <w:right w:val="nil"/>
            </w:tcBorders>
            <w:shd w:val="clear" w:color="auto" w:fill="auto"/>
            <w:vAlign w:val="center"/>
            <w:hideMark/>
          </w:tcPr>
          <w:p w14:paraId="39F8F77F" w14:textId="513C3675" w:rsidR="009771CF" w:rsidRPr="00E65AA7" w:rsidRDefault="009771CF"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Pr>
                <w:rFonts w:eastAsia="Times New Roman"/>
                <w:b/>
                <w:bCs/>
                <w:color w:val="000000"/>
                <w:sz w:val="20"/>
                <w:szCs w:val="20"/>
                <w:lang w:eastAsia="en-MY"/>
              </w:rPr>
              <w:t>0-P1</w:t>
            </w:r>
          </w:p>
        </w:tc>
        <w:tc>
          <w:tcPr>
            <w:tcW w:w="330" w:type="pct"/>
            <w:tcBorders>
              <w:top w:val="single" w:sz="4" w:space="0" w:color="auto"/>
              <w:left w:val="nil"/>
              <w:bottom w:val="single" w:sz="4" w:space="0" w:color="auto"/>
              <w:right w:val="nil"/>
            </w:tcBorders>
          </w:tcPr>
          <w:p w14:paraId="63714677" w14:textId="5A14900D" w:rsidR="009771CF" w:rsidRPr="00E65AA7" w:rsidRDefault="00E6777E"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≤0</w:t>
            </w:r>
            <w:r>
              <w:rPr>
                <w:rFonts w:eastAsia="Times New Roman"/>
                <w:b/>
                <w:bCs/>
                <w:color w:val="000000"/>
                <w:sz w:val="20"/>
                <w:szCs w:val="20"/>
                <w:lang w:eastAsia="en-MY"/>
              </w:rPr>
              <w:t xml:space="preserve"> - </w:t>
            </w:r>
            <w:r w:rsidRPr="00E65AA7">
              <w:rPr>
                <w:rFonts w:eastAsia="Times New Roman"/>
                <w:b/>
                <w:bCs/>
                <w:color w:val="000000"/>
                <w:sz w:val="20"/>
                <w:szCs w:val="20"/>
                <w:lang w:eastAsia="en-MY"/>
              </w:rPr>
              <w:t>≥0</w:t>
            </w:r>
          </w:p>
        </w:tc>
      </w:tr>
      <w:tr w:rsidR="009771CF" w:rsidRPr="00E65AA7" w14:paraId="28AB85FC" w14:textId="77777777" w:rsidTr="009771CF">
        <w:trPr>
          <w:trHeight w:hRule="exact" w:val="255"/>
        </w:trPr>
        <w:tc>
          <w:tcPr>
            <w:tcW w:w="5000" w:type="pct"/>
            <w:gridSpan w:val="15"/>
            <w:tcBorders>
              <w:top w:val="single" w:sz="4" w:space="0" w:color="auto"/>
              <w:left w:val="nil"/>
              <w:bottom w:val="single" w:sz="4" w:space="0" w:color="auto"/>
              <w:right w:val="nil"/>
            </w:tcBorders>
            <w:shd w:val="clear" w:color="auto" w:fill="auto"/>
            <w:noWrap/>
            <w:vAlign w:val="center"/>
          </w:tcPr>
          <w:p w14:paraId="5A487489" w14:textId="3C771AD9" w:rsidR="009771CF" w:rsidRPr="00E65AA7" w:rsidRDefault="00AE0B69" w:rsidP="0044114D">
            <w:pPr>
              <w:jc w:val="center"/>
              <w:rPr>
                <w:rFonts w:eastAsia="Times New Roman"/>
                <w:b/>
                <w:bCs/>
                <w:color w:val="000000"/>
                <w:sz w:val="20"/>
                <w:szCs w:val="20"/>
                <w:lang w:eastAsia="en-MY"/>
              </w:rPr>
            </w:pPr>
            <w:r>
              <w:rPr>
                <w:rFonts w:eastAsia="Times New Roman"/>
                <w:b/>
                <w:bCs/>
                <w:color w:val="000000"/>
                <w:sz w:val="20"/>
                <w:szCs w:val="20"/>
                <w:lang w:eastAsia="en-MY"/>
              </w:rPr>
              <w:t>Panel A: Volatility</w:t>
            </w:r>
          </w:p>
        </w:tc>
      </w:tr>
      <w:tr w:rsidR="009771CF" w:rsidRPr="00E65AA7" w14:paraId="1380C062" w14:textId="0BA920BF" w:rsidTr="009771CF">
        <w:trPr>
          <w:trHeight w:hRule="exact" w:val="255"/>
        </w:trPr>
        <w:tc>
          <w:tcPr>
            <w:tcW w:w="437" w:type="pct"/>
            <w:vMerge w:val="restart"/>
            <w:tcBorders>
              <w:top w:val="single" w:sz="4" w:space="0" w:color="auto"/>
              <w:left w:val="nil"/>
              <w:bottom w:val="nil"/>
              <w:right w:val="nil"/>
            </w:tcBorders>
            <w:shd w:val="clear" w:color="auto" w:fill="auto"/>
            <w:vAlign w:val="center"/>
            <w:hideMark/>
          </w:tcPr>
          <w:p w14:paraId="45FC2702" w14:textId="4F11755B" w:rsidR="009771CF" w:rsidRPr="00E65AA7" w:rsidRDefault="009771CF" w:rsidP="00FA42FD">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01" w:type="pct"/>
            <w:vMerge w:val="restart"/>
            <w:tcBorders>
              <w:top w:val="single" w:sz="4" w:space="0" w:color="auto"/>
              <w:left w:val="nil"/>
              <w:right w:val="nil"/>
            </w:tcBorders>
            <w:vAlign w:val="center"/>
          </w:tcPr>
          <w:p w14:paraId="757155D5" w14:textId="77777777" w:rsidR="009771CF" w:rsidRPr="00E65AA7" w:rsidRDefault="009771CF" w:rsidP="00FA42FD">
            <w:pPr>
              <w:jc w:val="center"/>
              <w:rPr>
                <w:rFonts w:eastAsia="Times New Roman"/>
                <w:color w:val="000000"/>
                <w:sz w:val="20"/>
                <w:szCs w:val="20"/>
                <w:lang w:eastAsia="en-MY"/>
              </w:rPr>
            </w:pPr>
            <w:r w:rsidRPr="00E65AA7">
              <w:rPr>
                <w:rFonts w:eastAsia="Times New Roman"/>
                <w:color w:val="000000"/>
                <w:sz w:val="20"/>
                <w:szCs w:val="20"/>
                <w:lang w:eastAsia="en-MY"/>
              </w:rPr>
              <w:t>152</w:t>
            </w:r>
          </w:p>
        </w:tc>
        <w:tc>
          <w:tcPr>
            <w:tcW w:w="297" w:type="pct"/>
            <w:tcBorders>
              <w:top w:val="single" w:sz="4" w:space="0" w:color="auto"/>
              <w:left w:val="nil"/>
              <w:bottom w:val="nil"/>
              <w:right w:val="nil"/>
            </w:tcBorders>
            <w:shd w:val="clear" w:color="auto" w:fill="auto"/>
            <w:noWrap/>
            <w:vAlign w:val="center"/>
          </w:tcPr>
          <w:p w14:paraId="17F6D1FB" w14:textId="77777777" w:rsidR="009771CF" w:rsidRPr="00E65AA7" w:rsidRDefault="009771CF" w:rsidP="00FA42FD">
            <w:pPr>
              <w:jc w:val="center"/>
              <w:rPr>
                <w:rFonts w:eastAsia="Times New Roman"/>
                <w:color w:val="000000"/>
                <w:sz w:val="20"/>
                <w:szCs w:val="20"/>
                <w:lang w:eastAsia="en-MY"/>
              </w:rPr>
            </w:pPr>
          </w:p>
        </w:tc>
        <w:tc>
          <w:tcPr>
            <w:tcW w:w="314" w:type="pct"/>
            <w:tcBorders>
              <w:top w:val="single" w:sz="4" w:space="0" w:color="auto"/>
              <w:left w:val="nil"/>
              <w:bottom w:val="nil"/>
              <w:right w:val="nil"/>
            </w:tcBorders>
            <w:shd w:val="clear" w:color="auto" w:fill="auto"/>
            <w:noWrap/>
            <w:vAlign w:val="center"/>
            <w:hideMark/>
          </w:tcPr>
          <w:p w14:paraId="72E23890" w14:textId="22E37E19" w:rsidR="009771CF" w:rsidRPr="00E65AA7" w:rsidRDefault="009771CF" w:rsidP="00FA42FD">
            <w:pPr>
              <w:jc w:val="center"/>
              <w:rPr>
                <w:color w:val="000000"/>
                <w:sz w:val="20"/>
                <w:szCs w:val="20"/>
              </w:rPr>
            </w:pPr>
            <w:r>
              <w:rPr>
                <w:color w:val="000000"/>
                <w:sz w:val="20"/>
                <w:szCs w:val="20"/>
              </w:rPr>
              <w:t>1.63</w:t>
            </w:r>
          </w:p>
        </w:tc>
        <w:tc>
          <w:tcPr>
            <w:tcW w:w="345" w:type="pct"/>
            <w:tcBorders>
              <w:top w:val="single" w:sz="4" w:space="0" w:color="auto"/>
              <w:left w:val="nil"/>
              <w:bottom w:val="nil"/>
              <w:right w:val="nil"/>
            </w:tcBorders>
            <w:shd w:val="clear" w:color="auto" w:fill="auto"/>
            <w:noWrap/>
            <w:vAlign w:val="center"/>
            <w:hideMark/>
          </w:tcPr>
          <w:p w14:paraId="6BA0D6DC" w14:textId="3DAE2079" w:rsidR="009771CF" w:rsidRPr="00E65AA7" w:rsidRDefault="009771CF" w:rsidP="00FA42FD">
            <w:pPr>
              <w:jc w:val="center"/>
              <w:rPr>
                <w:color w:val="000000"/>
                <w:sz w:val="20"/>
                <w:szCs w:val="20"/>
              </w:rPr>
            </w:pPr>
            <w:r>
              <w:rPr>
                <w:color w:val="000000"/>
                <w:sz w:val="20"/>
                <w:szCs w:val="20"/>
              </w:rPr>
              <w:t>1.94</w:t>
            </w:r>
          </w:p>
        </w:tc>
        <w:tc>
          <w:tcPr>
            <w:tcW w:w="344" w:type="pct"/>
            <w:tcBorders>
              <w:top w:val="single" w:sz="4" w:space="0" w:color="auto"/>
              <w:left w:val="nil"/>
              <w:bottom w:val="nil"/>
              <w:right w:val="nil"/>
            </w:tcBorders>
            <w:shd w:val="clear" w:color="auto" w:fill="auto"/>
            <w:noWrap/>
            <w:vAlign w:val="center"/>
            <w:hideMark/>
          </w:tcPr>
          <w:p w14:paraId="145F9B27" w14:textId="68A422B0" w:rsidR="009771CF" w:rsidRPr="00E65AA7" w:rsidRDefault="009771CF" w:rsidP="00FA42FD">
            <w:pPr>
              <w:jc w:val="center"/>
              <w:rPr>
                <w:color w:val="000000"/>
                <w:sz w:val="20"/>
                <w:szCs w:val="20"/>
              </w:rPr>
            </w:pPr>
            <w:r>
              <w:rPr>
                <w:color w:val="000000"/>
                <w:sz w:val="20"/>
                <w:szCs w:val="20"/>
              </w:rPr>
              <w:t>2.04</w:t>
            </w:r>
          </w:p>
        </w:tc>
        <w:tc>
          <w:tcPr>
            <w:tcW w:w="343" w:type="pct"/>
            <w:tcBorders>
              <w:top w:val="single" w:sz="4" w:space="0" w:color="auto"/>
              <w:left w:val="nil"/>
              <w:bottom w:val="nil"/>
              <w:right w:val="nil"/>
            </w:tcBorders>
            <w:shd w:val="clear" w:color="auto" w:fill="auto"/>
            <w:noWrap/>
            <w:vAlign w:val="center"/>
            <w:hideMark/>
          </w:tcPr>
          <w:p w14:paraId="32CFE9EE" w14:textId="00011DA6" w:rsidR="009771CF" w:rsidRPr="00E65AA7" w:rsidRDefault="009771CF" w:rsidP="00FA42FD">
            <w:pPr>
              <w:jc w:val="center"/>
              <w:rPr>
                <w:color w:val="000000"/>
                <w:sz w:val="20"/>
                <w:szCs w:val="20"/>
              </w:rPr>
            </w:pPr>
            <w:r>
              <w:rPr>
                <w:color w:val="000000"/>
                <w:sz w:val="20"/>
                <w:szCs w:val="20"/>
              </w:rPr>
              <w:t>2.19</w:t>
            </w:r>
          </w:p>
        </w:tc>
        <w:tc>
          <w:tcPr>
            <w:tcW w:w="343" w:type="pct"/>
            <w:tcBorders>
              <w:top w:val="single" w:sz="4" w:space="0" w:color="auto"/>
              <w:left w:val="nil"/>
              <w:bottom w:val="nil"/>
              <w:right w:val="nil"/>
            </w:tcBorders>
            <w:shd w:val="clear" w:color="auto" w:fill="auto"/>
            <w:noWrap/>
            <w:vAlign w:val="center"/>
            <w:hideMark/>
          </w:tcPr>
          <w:p w14:paraId="6D4E233A" w14:textId="017EBB3F" w:rsidR="009771CF" w:rsidRPr="00E65AA7" w:rsidRDefault="009771CF" w:rsidP="00FA42FD">
            <w:pPr>
              <w:jc w:val="center"/>
              <w:rPr>
                <w:color w:val="000000"/>
                <w:sz w:val="20"/>
                <w:szCs w:val="20"/>
              </w:rPr>
            </w:pPr>
            <w:r>
              <w:rPr>
                <w:color w:val="000000"/>
                <w:sz w:val="20"/>
                <w:szCs w:val="20"/>
              </w:rPr>
              <w:t>2.44</w:t>
            </w:r>
          </w:p>
        </w:tc>
        <w:tc>
          <w:tcPr>
            <w:tcW w:w="343" w:type="pct"/>
            <w:tcBorders>
              <w:top w:val="single" w:sz="4" w:space="0" w:color="auto"/>
              <w:left w:val="nil"/>
              <w:bottom w:val="nil"/>
              <w:right w:val="nil"/>
            </w:tcBorders>
            <w:shd w:val="clear" w:color="auto" w:fill="auto"/>
            <w:noWrap/>
            <w:vAlign w:val="center"/>
            <w:hideMark/>
          </w:tcPr>
          <w:p w14:paraId="69AA6B1E" w14:textId="7F88EBE0" w:rsidR="009771CF" w:rsidRPr="00E65AA7" w:rsidRDefault="009771CF" w:rsidP="00FA42FD">
            <w:pPr>
              <w:jc w:val="center"/>
              <w:rPr>
                <w:color w:val="000000"/>
                <w:sz w:val="20"/>
                <w:szCs w:val="20"/>
              </w:rPr>
            </w:pPr>
            <w:r>
              <w:rPr>
                <w:color w:val="000000"/>
                <w:sz w:val="20"/>
                <w:szCs w:val="20"/>
              </w:rPr>
              <w:t>2.44</w:t>
            </w:r>
          </w:p>
        </w:tc>
        <w:tc>
          <w:tcPr>
            <w:tcW w:w="343" w:type="pct"/>
            <w:tcBorders>
              <w:top w:val="single" w:sz="4" w:space="0" w:color="auto"/>
              <w:left w:val="nil"/>
              <w:bottom w:val="nil"/>
              <w:right w:val="nil"/>
            </w:tcBorders>
            <w:shd w:val="clear" w:color="auto" w:fill="auto"/>
            <w:noWrap/>
            <w:vAlign w:val="center"/>
            <w:hideMark/>
          </w:tcPr>
          <w:p w14:paraId="49DC5243" w14:textId="6EFE0D41" w:rsidR="009771CF" w:rsidRPr="00E65AA7" w:rsidRDefault="009771CF" w:rsidP="00FA42FD">
            <w:pPr>
              <w:jc w:val="center"/>
              <w:rPr>
                <w:color w:val="000000"/>
                <w:sz w:val="20"/>
                <w:szCs w:val="20"/>
              </w:rPr>
            </w:pPr>
            <w:r>
              <w:rPr>
                <w:color w:val="000000"/>
                <w:sz w:val="20"/>
                <w:szCs w:val="20"/>
              </w:rPr>
              <w:t>2.72</w:t>
            </w:r>
          </w:p>
        </w:tc>
        <w:tc>
          <w:tcPr>
            <w:tcW w:w="343" w:type="pct"/>
            <w:tcBorders>
              <w:top w:val="single" w:sz="4" w:space="0" w:color="auto"/>
              <w:left w:val="nil"/>
              <w:bottom w:val="nil"/>
              <w:right w:val="nil"/>
            </w:tcBorders>
            <w:shd w:val="clear" w:color="auto" w:fill="auto"/>
            <w:noWrap/>
            <w:vAlign w:val="center"/>
            <w:hideMark/>
          </w:tcPr>
          <w:p w14:paraId="244CB18D" w14:textId="39D8E9BF" w:rsidR="009771CF" w:rsidRPr="00E65AA7" w:rsidRDefault="009771CF" w:rsidP="00FA42FD">
            <w:pPr>
              <w:jc w:val="center"/>
              <w:rPr>
                <w:color w:val="000000"/>
                <w:sz w:val="20"/>
                <w:szCs w:val="20"/>
              </w:rPr>
            </w:pPr>
            <w:r>
              <w:rPr>
                <w:color w:val="000000"/>
                <w:sz w:val="20"/>
                <w:szCs w:val="20"/>
              </w:rPr>
              <w:t>2.84</w:t>
            </w:r>
          </w:p>
        </w:tc>
        <w:tc>
          <w:tcPr>
            <w:tcW w:w="343" w:type="pct"/>
            <w:tcBorders>
              <w:top w:val="single" w:sz="4" w:space="0" w:color="auto"/>
              <w:left w:val="nil"/>
              <w:bottom w:val="nil"/>
              <w:right w:val="nil"/>
            </w:tcBorders>
            <w:shd w:val="clear" w:color="auto" w:fill="auto"/>
            <w:noWrap/>
            <w:vAlign w:val="center"/>
            <w:hideMark/>
          </w:tcPr>
          <w:p w14:paraId="2D444691" w14:textId="060918E9" w:rsidR="009771CF" w:rsidRPr="00E65AA7" w:rsidRDefault="009771CF" w:rsidP="00FA42FD">
            <w:pPr>
              <w:jc w:val="center"/>
              <w:rPr>
                <w:color w:val="000000"/>
                <w:sz w:val="20"/>
                <w:szCs w:val="20"/>
              </w:rPr>
            </w:pPr>
            <w:r>
              <w:rPr>
                <w:color w:val="000000"/>
                <w:sz w:val="20"/>
                <w:szCs w:val="20"/>
              </w:rPr>
              <w:t>3.02</w:t>
            </w:r>
          </w:p>
        </w:tc>
        <w:tc>
          <w:tcPr>
            <w:tcW w:w="343" w:type="pct"/>
            <w:tcBorders>
              <w:top w:val="single" w:sz="4" w:space="0" w:color="auto"/>
              <w:left w:val="nil"/>
              <w:bottom w:val="nil"/>
              <w:right w:val="nil"/>
            </w:tcBorders>
            <w:shd w:val="clear" w:color="auto" w:fill="auto"/>
            <w:noWrap/>
            <w:vAlign w:val="center"/>
            <w:hideMark/>
          </w:tcPr>
          <w:p w14:paraId="2F53E212" w14:textId="6B11F963" w:rsidR="009771CF" w:rsidRPr="00E65AA7" w:rsidRDefault="009771CF" w:rsidP="00FA42FD">
            <w:pPr>
              <w:jc w:val="center"/>
              <w:rPr>
                <w:color w:val="000000"/>
                <w:sz w:val="20"/>
                <w:szCs w:val="20"/>
              </w:rPr>
            </w:pPr>
            <w:r>
              <w:rPr>
                <w:color w:val="000000"/>
                <w:sz w:val="20"/>
                <w:szCs w:val="20"/>
              </w:rPr>
              <w:t>3.33</w:t>
            </w:r>
          </w:p>
        </w:tc>
        <w:tc>
          <w:tcPr>
            <w:tcW w:w="331" w:type="pct"/>
            <w:tcBorders>
              <w:top w:val="single" w:sz="4" w:space="0" w:color="auto"/>
              <w:left w:val="nil"/>
              <w:bottom w:val="nil"/>
              <w:right w:val="nil"/>
            </w:tcBorders>
            <w:shd w:val="clear" w:color="auto" w:fill="auto"/>
            <w:noWrap/>
            <w:vAlign w:val="center"/>
            <w:hideMark/>
          </w:tcPr>
          <w:p w14:paraId="4014ABA0" w14:textId="2DC3DD8C" w:rsidR="009771CF" w:rsidRPr="00E65AA7" w:rsidRDefault="009771CF" w:rsidP="00FA42FD">
            <w:pPr>
              <w:jc w:val="center"/>
              <w:rPr>
                <w:color w:val="000000"/>
                <w:sz w:val="20"/>
                <w:szCs w:val="20"/>
              </w:rPr>
            </w:pPr>
            <w:r>
              <w:rPr>
                <w:color w:val="000000"/>
                <w:sz w:val="20"/>
                <w:szCs w:val="20"/>
              </w:rPr>
              <w:t>1.70</w:t>
            </w:r>
          </w:p>
        </w:tc>
        <w:tc>
          <w:tcPr>
            <w:tcW w:w="330" w:type="pct"/>
            <w:tcBorders>
              <w:top w:val="single" w:sz="4" w:space="0" w:color="auto"/>
              <w:left w:val="nil"/>
              <w:bottom w:val="nil"/>
              <w:right w:val="nil"/>
            </w:tcBorders>
          </w:tcPr>
          <w:p w14:paraId="7259E6DF" w14:textId="77777777" w:rsidR="009771CF" w:rsidRDefault="009771CF" w:rsidP="00FA42FD">
            <w:pPr>
              <w:jc w:val="center"/>
              <w:rPr>
                <w:color w:val="000000"/>
                <w:sz w:val="20"/>
                <w:szCs w:val="20"/>
              </w:rPr>
            </w:pPr>
          </w:p>
        </w:tc>
      </w:tr>
      <w:tr w:rsidR="009771CF" w:rsidRPr="00E65AA7" w14:paraId="2B60360A" w14:textId="7DFAEEA5" w:rsidTr="009771CF">
        <w:trPr>
          <w:trHeight w:hRule="exact" w:val="255"/>
        </w:trPr>
        <w:tc>
          <w:tcPr>
            <w:tcW w:w="437" w:type="pct"/>
            <w:vMerge/>
            <w:tcBorders>
              <w:top w:val="nil"/>
              <w:left w:val="nil"/>
              <w:bottom w:val="nil"/>
              <w:right w:val="nil"/>
            </w:tcBorders>
            <w:vAlign w:val="center"/>
            <w:hideMark/>
          </w:tcPr>
          <w:p w14:paraId="24BEEE97" w14:textId="77777777" w:rsidR="009771CF" w:rsidRPr="00E65AA7" w:rsidRDefault="009771CF" w:rsidP="00FA42FD">
            <w:pPr>
              <w:rPr>
                <w:rFonts w:eastAsia="Times New Roman"/>
                <w:b/>
                <w:color w:val="000000"/>
                <w:sz w:val="20"/>
                <w:szCs w:val="20"/>
                <w:lang w:eastAsia="en-MY"/>
              </w:rPr>
            </w:pPr>
          </w:p>
        </w:tc>
        <w:tc>
          <w:tcPr>
            <w:tcW w:w="201" w:type="pct"/>
            <w:vMerge/>
            <w:tcBorders>
              <w:left w:val="nil"/>
              <w:bottom w:val="nil"/>
              <w:right w:val="nil"/>
            </w:tcBorders>
            <w:vAlign w:val="center"/>
          </w:tcPr>
          <w:p w14:paraId="4BD3EE26" w14:textId="77777777" w:rsidR="009771CF" w:rsidRPr="00E65AA7" w:rsidRDefault="009771CF" w:rsidP="00FA42FD">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tcPr>
          <w:p w14:paraId="1C63F2BC" w14:textId="77777777" w:rsidR="009771CF" w:rsidRPr="00E65AA7" w:rsidRDefault="009771CF" w:rsidP="00FA42FD">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4163E259" w14:textId="64A7F28E" w:rsidR="009771CF" w:rsidRPr="00E65AA7" w:rsidRDefault="009771CF" w:rsidP="00FA42FD">
            <w:pPr>
              <w:jc w:val="center"/>
              <w:rPr>
                <w:color w:val="000000"/>
                <w:sz w:val="20"/>
                <w:szCs w:val="20"/>
              </w:rPr>
            </w:pPr>
            <w:r>
              <w:rPr>
                <w:color w:val="000000"/>
                <w:sz w:val="20"/>
                <w:szCs w:val="20"/>
              </w:rPr>
              <w:t>(8.12)</w:t>
            </w:r>
          </w:p>
        </w:tc>
        <w:tc>
          <w:tcPr>
            <w:tcW w:w="345" w:type="pct"/>
            <w:tcBorders>
              <w:top w:val="nil"/>
              <w:left w:val="nil"/>
              <w:bottom w:val="nil"/>
              <w:right w:val="nil"/>
            </w:tcBorders>
            <w:shd w:val="clear" w:color="auto" w:fill="auto"/>
            <w:noWrap/>
            <w:vAlign w:val="center"/>
            <w:hideMark/>
          </w:tcPr>
          <w:p w14:paraId="2FEF582F" w14:textId="1E685E4F" w:rsidR="009771CF" w:rsidRPr="00E65AA7" w:rsidRDefault="009771CF" w:rsidP="00FA42FD">
            <w:pPr>
              <w:jc w:val="center"/>
              <w:rPr>
                <w:color w:val="000000"/>
                <w:sz w:val="20"/>
                <w:szCs w:val="20"/>
              </w:rPr>
            </w:pPr>
            <w:r>
              <w:rPr>
                <w:color w:val="000000"/>
                <w:sz w:val="20"/>
                <w:szCs w:val="20"/>
              </w:rPr>
              <w:t>(8.16)</w:t>
            </w:r>
          </w:p>
        </w:tc>
        <w:tc>
          <w:tcPr>
            <w:tcW w:w="344" w:type="pct"/>
            <w:tcBorders>
              <w:top w:val="nil"/>
              <w:left w:val="nil"/>
              <w:bottom w:val="nil"/>
              <w:right w:val="nil"/>
            </w:tcBorders>
            <w:shd w:val="clear" w:color="auto" w:fill="auto"/>
            <w:noWrap/>
            <w:vAlign w:val="center"/>
            <w:hideMark/>
          </w:tcPr>
          <w:p w14:paraId="0C16D37A" w14:textId="2B636B63" w:rsidR="009771CF" w:rsidRPr="00E65AA7" w:rsidRDefault="009771CF" w:rsidP="00FA42FD">
            <w:pPr>
              <w:jc w:val="center"/>
              <w:rPr>
                <w:color w:val="000000"/>
                <w:sz w:val="20"/>
                <w:szCs w:val="20"/>
              </w:rPr>
            </w:pPr>
            <w:r>
              <w:rPr>
                <w:color w:val="000000"/>
                <w:sz w:val="20"/>
                <w:szCs w:val="20"/>
              </w:rPr>
              <w:t>(7.85)</w:t>
            </w:r>
          </w:p>
        </w:tc>
        <w:tc>
          <w:tcPr>
            <w:tcW w:w="343" w:type="pct"/>
            <w:tcBorders>
              <w:top w:val="nil"/>
              <w:left w:val="nil"/>
              <w:bottom w:val="nil"/>
              <w:right w:val="nil"/>
            </w:tcBorders>
            <w:shd w:val="clear" w:color="auto" w:fill="auto"/>
            <w:noWrap/>
            <w:vAlign w:val="center"/>
            <w:hideMark/>
          </w:tcPr>
          <w:p w14:paraId="62BB9EF9" w14:textId="580C5701" w:rsidR="009771CF" w:rsidRPr="00E65AA7" w:rsidRDefault="009771CF" w:rsidP="00FA42FD">
            <w:pPr>
              <w:jc w:val="center"/>
              <w:rPr>
                <w:color w:val="000000"/>
                <w:sz w:val="20"/>
                <w:szCs w:val="20"/>
              </w:rPr>
            </w:pPr>
            <w:r>
              <w:rPr>
                <w:color w:val="000000"/>
                <w:sz w:val="20"/>
                <w:szCs w:val="20"/>
              </w:rPr>
              <w:t>(7.76)</w:t>
            </w:r>
          </w:p>
        </w:tc>
        <w:tc>
          <w:tcPr>
            <w:tcW w:w="343" w:type="pct"/>
            <w:tcBorders>
              <w:top w:val="nil"/>
              <w:left w:val="nil"/>
              <w:bottom w:val="nil"/>
              <w:right w:val="nil"/>
            </w:tcBorders>
            <w:shd w:val="clear" w:color="auto" w:fill="auto"/>
            <w:noWrap/>
            <w:vAlign w:val="center"/>
            <w:hideMark/>
          </w:tcPr>
          <w:p w14:paraId="52CEA460" w14:textId="05487997" w:rsidR="009771CF" w:rsidRPr="00E65AA7" w:rsidRDefault="009771CF" w:rsidP="00FA42FD">
            <w:pPr>
              <w:jc w:val="center"/>
              <w:rPr>
                <w:color w:val="000000"/>
                <w:sz w:val="20"/>
                <w:szCs w:val="20"/>
              </w:rPr>
            </w:pPr>
            <w:r>
              <w:rPr>
                <w:color w:val="000000"/>
                <w:sz w:val="20"/>
                <w:szCs w:val="20"/>
              </w:rPr>
              <w:t>(7.98)</w:t>
            </w:r>
          </w:p>
        </w:tc>
        <w:tc>
          <w:tcPr>
            <w:tcW w:w="343" w:type="pct"/>
            <w:tcBorders>
              <w:top w:val="nil"/>
              <w:left w:val="nil"/>
              <w:bottom w:val="nil"/>
              <w:right w:val="nil"/>
            </w:tcBorders>
            <w:shd w:val="clear" w:color="auto" w:fill="auto"/>
            <w:noWrap/>
            <w:vAlign w:val="center"/>
            <w:hideMark/>
          </w:tcPr>
          <w:p w14:paraId="5C84E29F" w14:textId="23F94FAC" w:rsidR="009771CF" w:rsidRPr="00E65AA7" w:rsidRDefault="009771CF" w:rsidP="00FA42FD">
            <w:pPr>
              <w:jc w:val="center"/>
              <w:rPr>
                <w:color w:val="000000"/>
                <w:sz w:val="20"/>
                <w:szCs w:val="20"/>
              </w:rPr>
            </w:pPr>
            <w:r>
              <w:rPr>
                <w:color w:val="000000"/>
                <w:sz w:val="20"/>
                <w:szCs w:val="20"/>
              </w:rPr>
              <w:t>(7.31)</w:t>
            </w:r>
          </w:p>
        </w:tc>
        <w:tc>
          <w:tcPr>
            <w:tcW w:w="343" w:type="pct"/>
            <w:tcBorders>
              <w:top w:val="nil"/>
              <w:left w:val="nil"/>
              <w:bottom w:val="nil"/>
              <w:right w:val="nil"/>
            </w:tcBorders>
            <w:shd w:val="clear" w:color="auto" w:fill="auto"/>
            <w:noWrap/>
            <w:vAlign w:val="center"/>
            <w:hideMark/>
          </w:tcPr>
          <w:p w14:paraId="70F6CF3E" w14:textId="719A7857" w:rsidR="009771CF" w:rsidRPr="00E65AA7" w:rsidRDefault="009771CF" w:rsidP="00FA42FD">
            <w:pPr>
              <w:jc w:val="center"/>
              <w:rPr>
                <w:color w:val="000000"/>
                <w:sz w:val="20"/>
                <w:szCs w:val="20"/>
              </w:rPr>
            </w:pPr>
            <w:r>
              <w:rPr>
                <w:color w:val="000000"/>
                <w:sz w:val="20"/>
                <w:szCs w:val="20"/>
              </w:rPr>
              <w:t>(7.38)</w:t>
            </w:r>
          </w:p>
        </w:tc>
        <w:tc>
          <w:tcPr>
            <w:tcW w:w="343" w:type="pct"/>
            <w:tcBorders>
              <w:top w:val="nil"/>
              <w:left w:val="nil"/>
              <w:bottom w:val="nil"/>
              <w:right w:val="nil"/>
            </w:tcBorders>
            <w:shd w:val="clear" w:color="auto" w:fill="auto"/>
            <w:noWrap/>
            <w:vAlign w:val="center"/>
            <w:hideMark/>
          </w:tcPr>
          <w:p w14:paraId="4779636D" w14:textId="15251BF8" w:rsidR="009771CF" w:rsidRPr="00E65AA7" w:rsidRDefault="009771CF" w:rsidP="00FA42FD">
            <w:pPr>
              <w:jc w:val="center"/>
              <w:rPr>
                <w:color w:val="000000"/>
                <w:sz w:val="20"/>
                <w:szCs w:val="20"/>
              </w:rPr>
            </w:pPr>
            <w:r>
              <w:rPr>
                <w:color w:val="000000"/>
                <w:sz w:val="20"/>
                <w:szCs w:val="20"/>
              </w:rPr>
              <w:t>(7.01)</w:t>
            </w:r>
          </w:p>
        </w:tc>
        <w:tc>
          <w:tcPr>
            <w:tcW w:w="343" w:type="pct"/>
            <w:tcBorders>
              <w:top w:val="nil"/>
              <w:left w:val="nil"/>
              <w:bottom w:val="nil"/>
              <w:right w:val="nil"/>
            </w:tcBorders>
            <w:shd w:val="clear" w:color="auto" w:fill="auto"/>
            <w:noWrap/>
            <w:vAlign w:val="center"/>
            <w:hideMark/>
          </w:tcPr>
          <w:p w14:paraId="16E827A3" w14:textId="062519F7" w:rsidR="009771CF" w:rsidRPr="00E65AA7" w:rsidRDefault="009771CF" w:rsidP="00FA42FD">
            <w:pPr>
              <w:jc w:val="center"/>
              <w:rPr>
                <w:color w:val="000000"/>
                <w:sz w:val="20"/>
                <w:szCs w:val="20"/>
              </w:rPr>
            </w:pPr>
            <w:r>
              <w:rPr>
                <w:color w:val="000000"/>
                <w:sz w:val="20"/>
                <w:szCs w:val="20"/>
              </w:rPr>
              <w:t>(6.25)</w:t>
            </w:r>
          </w:p>
        </w:tc>
        <w:tc>
          <w:tcPr>
            <w:tcW w:w="343" w:type="pct"/>
            <w:tcBorders>
              <w:top w:val="nil"/>
              <w:left w:val="nil"/>
              <w:bottom w:val="nil"/>
              <w:right w:val="nil"/>
            </w:tcBorders>
            <w:shd w:val="clear" w:color="auto" w:fill="auto"/>
            <w:noWrap/>
            <w:vAlign w:val="center"/>
            <w:hideMark/>
          </w:tcPr>
          <w:p w14:paraId="6345664A" w14:textId="3CCF68D0" w:rsidR="009771CF" w:rsidRPr="00E65AA7" w:rsidRDefault="009771CF" w:rsidP="00FA42FD">
            <w:pPr>
              <w:jc w:val="center"/>
              <w:rPr>
                <w:color w:val="000000"/>
                <w:sz w:val="20"/>
                <w:szCs w:val="20"/>
              </w:rPr>
            </w:pPr>
            <w:r>
              <w:rPr>
                <w:color w:val="000000"/>
                <w:sz w:val="20"/>
                <w:szCs w:val="20"/>
              </w:rPr>
              <w:t>(5.16)</w:t>
            </w:r>
          </w:p>
        </w:tc>
        <w:tc>
          <w:tcPr>
            <w:tcW w:w="331" w:type="pct"/>
            <w:tcBorders>
              <w:top w:val="nil"/>
              <w:left w:val="nil"/>
              <w:bottom w:val="nil"/>
              <w:right w:val="nil"/>
            </w:tcBorders>
            <w:shd w:val="clear" w:color="auto" w:fill="auto"/>
            <w:noWrap/>
            <w:vAlign w:val="center"/>
            <w:hideMark/>
          </w:tcPr>
          <w:p w14:paraId="7872090F" w14:textId="7748334E" w:rsidR="009771CF" w:rsidRPr="00E65AA7" w:rsidRDefault="009771CF" w:rsidP="00FA42FD">
            <w:pPr>
              <w:jc w:val="center"/>
              <w:rPr>
                <w:color w:val="000000"/>
                <w:sz w:val="20"/>
                <w:szCs w:val="20"/>
              </w:rPr>
            </w:pPr>
            <w:r>
              <w:rPr>
                <w:color w:val="000000"/>
                <w:sz w:val="20"/>
                <w:szCs w:val="20"/>
              </w:rPr>
              <w:t>(2.99)</w:t>
            </w:r>
          </w:p>
        </w:tc>
        <w:tc>
          <w:tcPr>
            <w:tcW w:w="330" w:type="pct"/>
            <w:tcBorders>
              <w:top w:val="nil"/>
              <w:left w:val="nil"/>
              <w:bottom w:val="nil"/>
              <w:right w:val="nil"/>
            </w:tcBorders>
          </w:tcPr>
          <w:p w14:paraId="1EA2370A" w14:textId="77777777" w:rsidR="009771CF" w:rsidRDefault="009771CF" w:rsidP="00FA42FD">
            <w:pPr>
              <w:jc w:val="center"/>
              <w:rPr>
                <w:color w:val="000000"/>
                <w:sz w:val="20"/>
                <w:szCs w:val="20"/>
              </w:rPr>
            </w:pPr>
          </w:p>
        </w:tc>
      </w:tr>
      <w:tr w:rsidR="009771CF" w:rsidRPr="00E65AA7" w14:paraId="188E7238" w14:textId="5026414A"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7135CBA7" w14:textId="4785E26F" w:rsidR="009771CF" w:rsidRPr="00E65AA7" w:rsidRDefault="009771CF" w:rsidP="00FA42FD">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01" w:type="pct"/>
            <w:vMerge w:val="restart"/>
            <w:tcBorders>
              <w:top w:val="nil"/>
              <w:left w:val="nil"/>
              <w:right w:val="nil"/>
            </w:tcBorders>
            <w:vAlign w:val="center"/>
          </w:tcPr>
          <w:p w14:paraId="37D2B35D" w14:textId="77777777" w:rsidR="009771CF" w:rsidRPr="00E65AA7" w:rsidRDefault="009771CF" w:rsidP="00FA42FD">
            <w:pPr>
              <w:jc w:val="center"/>
              <w:rPr>
                <w:rFonts w:eastAsia="Times New Roman"/>
                <w:color w:val="000000"/>
                <w:sz w:val="20"/>
                <w:szCs w:val="20"/>
                <w:lang w:eastAsia="en-MY"/>
              </w:rPr>
            </w:pPr>
            <w:r w:rsidRPr="00E65AA7">
              <w:rPr>
                <w:rFonts w:eastAsia="Times New Roman"/>
                <w:color w:val="000000"/>
                <w:sz w:val="20"/>
                <w:szCs w:val="20"/>
                <w:lang w:eastAsia="en-MY"/>
              </w:rPr>
              <w:t>170</w:t>
            </w:r>
          </w:p>
        </w:tc>
        <w:tc>
          <w:tcPr>
            <w:tcW w:w="297" w:type="pct"/>
            <w:tcBorders>
              <w:top w:val="nil"/>
              <w:left w:val="nil"/>
              <w:bottom w:val="nil"/>
              <w:right w:val="nil"/>
            </w:tcBorders>
            <w:shd w:val="clear" w:color="auto" w:fill="auto"/>
            <w:noWrap/>
            <w:vAlign w:val="center"/>
          </w:tcPr>
          <w:p w14:paraId="2937CDA1" w14:textId="77777777" w:rsidR="009771CF" w:rsidRPr="00E65AA7" w:rsidRDefault="009771CF" w:rsidP="00FA42FD">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5CD860F8" w14:textId="1F347F05" w:rsidR="009771CF" w:rsidRPr="00E65AA7" w:rsidRDefault="009771CF" w:rsidP="00FA42FD">
            <w:pPr>
              <w:jc w:val="center"/>
              <w:rPr>
                <w:color w:val="000000"/>
                <w:sz w:val="20"/>
                <w:szCs w:val="20"/>
              </w:rPr>
            </w:pPr>
            <w:r>
              <w:rPr>
                <w:color w:val="000000"/>
                <w:sz w:val="20"/>
                <w:szCs w:val="20"/>
              </w:rPr>
              <w:t>0.95</w:t>
            </w:r>
          </w:p>
        </w:tc>
        <w:tc>
          <w:tcPr>
            <w:tcW w:w="345" w:type="pct"/>
            <w:tcBorders>
              <w:top w:val="nil"/>
              <w:left w:val="nil"/>
              <w:bottom w:val="nil"/>
              <w:right w:val="nil"/>
            </w:tcBorders>
            <w:shd w:val="clear" w:color="auto" w:fill="auto"/>
            <w:noWrap/>
            <w:vAlign w:val="center"/>
            <w:hideMark/>
          </w:tcPr>
          <w:p w14:paraId="740CEEDF" w14:textId="748584B2" w:rsidR="009771CF" w:rsidRPr="00E65AA7" w:rsidRDefault="009771CF" w:rsidP="00FA42FD">
            <w:pPr>
              <w:jc w:val="center"/>
              <w:rPr>
                <w:color w:val="000000"/>
                <w:sz w:val="20"/>
                <w:szCs w:val="20"/>
              </w:rPr>
            </w:pPr>
            <w:r>
              <w:rPr>
                <w:color w:val="000000"/>
                <w:sz w:val="20"/>
                <w:szCs w:val="20"/>
              </w:rPr>
              <w:t>0.67</w:t>
            </w:r>
          </w:p>
        </w:tc>
        <w:tc>
          <w:tcPr>
            <w:tcW w:w="344" w:type="pct"/>
            <w:tcBorders>
              <w:top w:val="nil"/>
              <w:left w:val="nil"/>
              <w:bottom w:val="nil"/>
              <w:right w:val="nil"/>
            </w:tcBorders>
            <w:shd w:val="clear" w:color="auto" w:fill="auto"/>
            <w:noWrap/>
            <w:vAlign w:val="center"/>
            <w:hideMark/>
          </w:tcPr>
          <w:p w14:paraId="2F34C69E" w14:textId="64FE3220" w:rsidR="009771CF" w:rsidRPr="00E65AA7" w:rsidRDefault="009771CF" w:rsidP="00FA42FD">
            <w:pPr>
              <w:jc w:val="center"/>
              <w:rPr>
                <w:color w:val="000000"/>
                <w:sz w:val="20"/>
                <w:szCs w:val="20"/>
              </w:rPr>
            </w:pPr>
            <w:r>
              <w:rPr>
                <w:color w:val="000000"/>
                <w:sz w:val="20"/>
                <w:szCs w:val="20"/>
              </w:rPr>
              <w:t>0.42</w:t>
            </w:r>
          </w:p>
        </w:tc>
        <w:tc>
          <w:tcPr>
            <w:tcW w:w="343" w:type="pct"/>
            <w:tcBorders>
              <w:top w:val="nil"/>
              <w:left w:val="nil"/>
              <w:bottom w:val="nil"/>
              <w:right w:val="nil"/>
            </w:tcBorders>
            <w:shd w:val="clear" w:color="auto" w:fill="auto"/>
            <w:noWrap/>
            <w:vAlign w:val="center"/>
            <w:hideMark/>
          </w:tcPr>
          <w:p w14:paraId="16B45A91" w14:textId="54007457" w:rsidR="009771CF" w:rsidRPr="00E65AA7" w:rsidRDefault="009771CF" w:rsidP="00FA42FD">
            <w:pPr>
              <w:jc w:val="center"/>
              <w:rPr>
                <w:color w:val="000000"/>
                <w:sz w:val="20"/>
                <w:szCs w:val="20"/>
              </w:rPr>
            </w:pPr>
            <w:r>
              <w:rPr>
                <w:color w:val="000000"/>
                <w:sz w:val="20"/>
                <w:szCs w:val="20"/>
              </w:rPr>
              <w:t>0.28</w:t>
            </w:r>
          </w:p>
        </w:tc>
        <w:tc>
          <w:tcPr>
            <w:tcW w:w="343" w:type="pct"/>
            <w:tcBorders>
              <w:top w:val="nil"/>
              <w:left w:val="nil"/>
              <w:bottom w:val="nil"/>
              <w:right w:val="nil"/>
            </w:tcBorders>
            <w:shd w:val="clear" w:color="auto" w:fill="auto"/>
            <w:noWrap/>
            <w:vAlign w:val="center"/>
            <w:hideMark/>
          </w:tcPr>
          <w:p w14:paraId="200324E0" w14:textId="2355B9A5" w:rsidR="009771CF" w:rsidRPr="00E65AA7" w:rsidRDefault="009771CF" w:rsidP="00FA42FD">
            <w:pPr>
              <w:jc w:val="center"/>
              <w:rPr>
                <w:color w:val="000000"/>
                <w:sz w:val="20"/>
                <w:szCs w:val="20"/>
              </w:rPr>
            </w:pPr>
            <w:r>
              <w:rPr>
                <w:color w:val="000000"/>
                <w:sz w:val="20"/>
                <w:szCs w:val="20"/>
              </w:rPr>
              <w:t>0.12</w:t>
            </w:r>
          </w:p>
        </w:tc>
        <w:tc>
          <w:tcPr>
            <w:tcW w:w="343" w:type="pct"/>
            <w:tcBorders>
              <w:top w:val="nil"/>
              <w:left w:val="nil"/>
              <w:bottom w:val="nil"/>
              <w:right w:val="nil"/>
            </w:tcBorders>
            <w:shd w:val="clear" w:color="auto" w:fill="auto"/>
            <w:noWrap/>
            <w:vAlign w:val="center"/>
            <w:hideMark/>
          </w:tcPr>
          <w:p w14:paraId="33AA61B1" w14:textId="18B7A727" w:rsidR="009771CF" w:rsidRPr="00E65AA7" w:rsidRDefault="009771CF" w:rsidP="00FA42FD">
            <w:pPr>
              <w:jc w:val="center"/>
              <w:rPr>
                <w:color w:val="000000"/>
                <w:sz w:val="20"/>
                <w:szCs w:val="20"/>
              </w:rPr>
            </w:pPr>
            <w:r>
              <w:rPr>
                <w:color w:val="000000"/>
                <w:sz w:val="20"/>
                <w:szCs w:val="20"/>
              </w:rPr>
              <w:t>-0.16</w:t>
            </w:r>
          </w:p>
        </w:tc>
        <w:tc>
          <w:tcPr>
            <w:tcW w:w="343" w:type="pct"/>
            <w:tcBorders>
              <w:top w:val="nil"/>
              <w:left w:val="nil"/>
              <w:bottom w:val="nil"/>
              <w:right w:val="nil"/>
            </w:tcBorders>
            <w:shd w:val="clear" w:color="auto" w:fill="auto"/>
            <w:noWrap/>
            <w:vAlign w:val="center"/>
            <w:hideMark/>
          </w:tcPr>
          <w:p w14:paraId="2A72A59C" w14:textId="4AA1F6DC" w:rsidR="009771CF" w:rsidRPr="00E65AA7" w:rsidRDefault="009771CF" w:rsidP="00FA42FD">
            <w:pPr>
              <w:jc w:val="center"/>
              <w:rPr>
                <w:color w:val="000000"/>
                <w:sz w:val="20"/>
                <w:szCs w:val="20"/>
              </w:rPr>
            </w:pPr>
            <w:r>
              <w:rPr>
                <w:color w:val="000000"/>
                <w:sz w:val="20"/>
                <w:szCs w:val="20"/>
              </w:rPr>
              <w:t>-0.43</w:t>
            </w:r>
          </w:p>
        </w:tc>
        <w:tc>
          <w:tcPr>
            <w:tcW w:w="343" w:type="pct"/>
            <w:tcBorders>
              <w:top w:val="nil"/>
              <w:left w:val="nil"/>
              <w:bottom w:val="nil"/>
              <w:right w:val="nil"/>
            </w:tcBorders>
            <w:shd w:val="clear" w:color="auto" w:fill="auto"/>
            <w:noWrap/>
            <w:vAlign w:val="center"/>
            <w:hideMark/>
          </w:tcPr>
          <w:p w14:paraId="0B481124" w14:textId="7FFBA238" w:rsidR="009771CF" w:rsidRPr="00E65AA7" w:rsidRDefault="009771CF" w:rsidP="00FA42FD">
            <w:pPr>
              <w:jc w:val="center"/>
              <w:rPr>
                <w:color w:val="000000"/>
                <w:sz w:val="20"/>
                <w:szCs w:val="20"/>
              </w:rPr>
            </w:pPr>
            <w:r>
              <w:rPr>
                <w:color w:val="000000"/>
                <w:sz w:val="20"/>
                <w:szCs w:val="20"/>
              </w:rPr>
              <w:t>-0.86</w:t>
            </w:r>
          </w:p>
        </w:tc>
        <w:tc>
          <w:tcPr>
            <w:tcW w:w="343" w:type="pct"/>
            <w:tcBorders>
              <w:top w:val="nil"/>
              <w:left w:val="nil"/>
              <w:bottom w:val="nil"/>
              <w:right w:val="nil"/>
            </w:tcBorders>
            <w:shd w:val="clear" w:color="auto" w:fill="auto"/>
            <w:noWrap/>
            <w:vAlign w:val="center"/>
            <w:hideMark/>
          </w:tcPr>
          <w:p w14:paraId="66C63FC8" w14:textId="41C59D31" w:rsidR="009771CF" w:rsidRPr="00E65AA7" w:rsidRDefault="009771CF" w:rsidP="00FA42FD">
            <w:pPr>
              <w:jc w:val="center"/>
              <w:rPr>
                <w:color w:val="000000"/>
                <w:sz w:val="20"/>
                <w:szCs w:val="20"/>
              </w:rPr>
            </w:pPr>
            <w:r>
              <w:rPr>
                <w:color w:val="000000"/>
                <w:sz w:val="20"/>
                <w:szCs w:val="20"/>
              </w:rPr>
              <w:t>-1.13</w:t>
            </w:r>
          </w:p>
        </w:tc>
        <w:tc>
          <w:tcPr>
            <w:tcW w:w="343" w:type="pct"/>
            <w:tcBorders>
              <w:top w:val="nil"/>
              <w:left w:val="nil"/>
              <w:bottom w:val="nil"/>
              <w:right w:val="nil"/>
            </w:tcBorders>
            <w:shd w:val="clear" w:color="auto" w:fill="auto"/>
            <w:noWrap/>
            <w:vAlign w:val="center"/>
            <w:hideMark/>
          </w:tcPr>
          <w:p w14:paraId="5E89D437" w14:textId="1E5965AA" w:rsidR="009771CF" w:rsidRPr="00E65AA7" w:rsidRDefault="009771CF" w:rsidP="00FA42FD">
            <w:pPr>
              <w:jc w:val="center"/>
              <w:rPr>
                <w:color w:val="000000"/>
                <w:sz w:val="20"/>
                <w:szCs w:val="20"/>
              </w:rPr>
            </w:pPr>
            <w:r>
              <w:rPr>
                <w:color w:val="000000"/>
                <w:sz w:val="20"/>
                <w:szCs w:val="20"/>
              </w:rPr>
              <w:t>-2.08</w:t>
            </w:r>
          </w:p>
        </w:tc>
        <w:tc>
          <w:tcPr>
            <w:tcW w:w="331" w:type="pct"/>
            <w:tcBorders>
              <w:top w:val="nil"/>
              <w:left w:val="nil"/>
              <w:bottom w:val="nil"/>
              <w:right w:val="nil"/>
            </w:tcBorders>
            <w:shd w:val="clear" w:color="auto" w:fill="auto"/>
            <w:noWrap/>
            <w:vAlign w:val="center"/>
            <w:hideMark/>
          </w:tcPr>
          <w:p w14:paraId="689F25C8" w14:textId="53911C61" w:rsidR="009771CF" w:rsidRPr="00E65AA7" w:rsidRDefault="009771CF" w:rsidP="00FA42FD">
            <w:pPr>
              <w:jc w:val="center"/>
              <w:rPr>
                <w:color w:val="000000"/>
                <w:sz w:val="20"/>
                <w:szCs w:val="20"/>
              </w:rPr>
            </w:pPr>
            <w:r>
              <w:rPr>
                <w:color w:val="000000"/>
                <w:sz w:val="20"/>
                <w:szCs w:val="20"/>
              </w:rPr>
              <w:t>-3.03</w:t>
            </w:r>
          </w:p>
        </w:tc>
        <w:tc>
          <w:tcPr>
            <w:tcW w:w="330" w:type="pct"/>
            <w:tcBorders>
              <w:top w:val="nil"/>
              <w:left w:val="nil"/>
              <w:bottom w:val="nil"/>
              <w:right w:val="nil"/>
            </w:tcBorders>
          </w:tcPr>
          <w:p w14:paraId="66A398BC" w14:textId="77777777" w:rsidR="009771CF" w:rsidRDefault="009771CF" w:rsidP="00FA42FD">
            <w:pPr>
              <w:jc w:val="center"/>
              <w:rPr>
                <w:color w:val="000000"/>
                <w:sz w:val="20"/>
                <w:szCs w:val="20"/>
              </w:rPr>
            </w:pPr>
          </w:p>
        </w:tc>
      </w:tr>
      <w:tr w:rsidR="009771CF" w:rsidRPr="00E65AA7" w14:paraId="2832896F" w14:textId="2D2750DF" w:rsidTr="009771CF">
        <w:trPr>
          <w:trHeight w:hRule="exact" w:val="255"/>
        </w:trPr>
        <w:tc>
          <w:tcPr>
            <w:tcW w:w="437" w:type="pct"/>
            <w:vMerge/>
            <w:tcBorders>
              <w:top w:val="nil"/>
              <w:left w:val="nil"/>
              <w:bottom w:val="nil"/>
              <w:right w:val="nil"/>
            </w:tcBorders>
            <w:vAlign w:val="center"/>
            <w:hideMark/>
          </w:tcPr>
          <w:p w14:paraId="133B6739" w14:textId="77777777" w:rsidR="009771CF" w:rsidRPr="00E65AA7" w:rsidRDefault="009771CF" w:rsidP="00FA42FD">
            <w:pPr>
              <w:rPr>
                <w:rFonts w:eastAsia="Times New Roman"/>
                <w:b/>
                <w:color w:val="000000"/>
                <w:sz w:val="20"/>
                <w:szCs w:val="20"/>
                <w:lang w:eastAsia="en-MY"/>
              </w:rPr>
            </w:pPr>
          </w:p>
        </w:tc>
        <w:tc>
          <w:tcPr>
            <w:tcW w:w="201" w:type="pct"/>
            <w:vMerge/>
            <w:tcBorders>
              <w:left w:val="nil"/>
              <w:bottom w:val="nil"/>
              <w:right w:val="nil"/>
            </w:tcBorders>
            <w:vAlign w:val="center"/>
          </w:tcPr>
          <w:p w14:paraId="68F3B0F9" w14:textId="77777777" w:rsidR="009771CF" w:rsidRPr="00E65AA7" w:rsidRDefault="009771CF" w:rsidP="00FA42FD">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tcPr>
          <w:p w14:paraId="67D9344B" w14:textId="77777777" w:rsidR="009771CF" w:rsidRPr="00E65AA7" w:rsidRDefault="009771CF" w:rsidP="00FA42FD">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12B81A69" w14:textId="282A3A1C" w:rsidR="009771CF" w:rsidRPr="00E65AA7" w:rsidRDefault="009771CF" w:rsidP="00FA42FD">
            <w:pPr>
              <w:jc w:val="center"/>
              <w:rPr>
                <w:color w:val="000000"/>
                <w:sz w:val="20"/>
                <w:szCs w:val="20"/>
              </w:rPr>
            </w:pPr>
            <w:r>
              <w:rPr>
                <w:color w:val="000000"/>
                <w:sz w:val="20"/>
                <w:szCs w:val="20"/>
              </w:rPr>
              <w:t>(3.99)</w:t>
            </w:r>
          </w:p>
        </w:tc>
        <w:tc>
          <w:tcPr>
            <w:tcW w:w="345" w:type="pct"/>
            <w:tcBorders>
              <w:top w:val="nil"/>
              <w:left w:val="nil"/>
              <w:bottom w:val="nil"/>
              <w:right w:val="nil"/>
            </w:tcBorders>
            <w:shd w:val="clear" w:color="auto" w:fill="auto"/>
            <w:noWrap/>
            <w:vAlign w:val="center"/>
            <w:hideMark/>
          </w:tcPr>
          <w:p w14:paraId="3BD9D69B" w14:textId="72FD81E6" w:rsidR="009771CF" w:rsidRPr="00E65AA7" w:rsidRDefault="009771CF" w:rsidP="00FA42FD">
            <w:pPr>
              <w:jc w:val="center"/>
              <w:rPr>
                <w:color w:val="000000"/>
                <w:sz w:val="20"/>
                <w:szCs w:val="20"/>
              </w:rPr>
            </w:pPr>
            <w:r>
              <w:rPr>
                <w:color w:val="000000"/>
                <w:sz w:val="20"/>
                <w:szCs w:val="20"/>
              </w:rPr>
              <w:t>(2.33)</w:t>
            </w:r>
          </w:p>
        </w:tc>
        <w:tc>
          <w:tcPr>
            <w:tcW w:w="344" w:type="pct"/>
            <w:tcBorders>
              <w:top w:val="nil"/>
              <w:left w:val="nil"/>
              <w:bottom w:val="nil"/>
              <w:right w:val="nil"/>
            </w:tcBorders>
            <w:shd w:val="clear" w:color="auto" w:fill="auto"/>
            <w:noWrap/>
            <w:vAlign w:val="center"/>
            <w:hideMark/>
          </w:tcPr>
          <w:p w14:paraId="2F0AD572" w14:textId="3792E5A3" w:rsidR="009771CF" w:rsidRPr="00E65AA7" w:rsidRDefault="009771CF" w:rsidP="00FA42FD">
            <w:pPr>
              <w:jc w:val="center"/>
              <w:rPr>
                <w:color w:val="000000"/>
                <w:sz w:val="20"/>
                <w:szCs w:val="20"/>
              </w:rPr>
            </w:pPr>
            <w:r>
              <w:rPr>
                <w:color w:val="000000"/>
                <w:sz w:val="20"/>
                <w:szCs w:val="20"/>
              </w:rPr>
              <w:t>(1.36)</w:t>
            </w:r>
          </w:p>
        </w:tc>
        <w:tc>
          <w:tcPr>
            <w:tcW w:w="343" w:type="pct"/>
            <w:tcBorders>
              <w:top w:val="nil"/>
              <w:left w:val="nil"/>
              <w:bottom w:val="nil"/>
              <w:right w:val="nil"/>
            </w:tcBorders>
            <w:shd w:val="clear" w:color="auto" w:fill="auto"/>
            <w:noWrap/>
            <w:vAlign w:val="center"/>
            <w:hideMark/>
          </w:tcPr>
          <w:p w14:paraId="4DAB47C9" w14:textId="70AA3856" w:rsidR="009771CF" w:rsidRPr="00E65AA7" w:rsidRDefault="009771CF" w:rsidP="00FA42FD">
            <w:pPr>
              <w:jc w:val="center"/>
              <w:rPr>
                <w:color w:val="000000"/>
                <w:sz w:val="20"/>
                <w:szCs w:val="20"/>
              </w:rPr>
            </w:pPr>
            <w:r>
              <w:rPr>
                <w:color w:val="000000"/>
                <w:sz w:val="20"/>
                <w:szCs w:val="20"/>
              </w:rPr>
              <w:t>(0.82)</w:t>
            </w:r>
          </w:p>
        </w:tc>
        <w:tc>
          <w:tcPr>
            <w:tcW w:w="343" w:type="pct"/>
            <w:tcBorders>
              <w:top w:val="nil"/>
              <w:left w:val="nil"/>
              <w:bottom w:val="nil"/>
              <w:right w:val="nil"/>
            </w:tcBorders>
            <w:shd w:val="clear" w:color="auto" w:fill="auto"/>
            <w:noWrap/>
            <w:vAlign w:val="center"/>
            <w:hideMark/>
          </w:tcPr>
          <w:p w14:paraId="3EEDCDE6" w14:textId="31BCF29D" w:rsidR="009771CF" w:rsidRPr="00E65AA7" w:rsidRDefault="009771CF" w:rsidP="00FA42FD">
            <w:pPr>
              <w:jc w:val="center"/>
              <w:rPr>
                <w:color w:val="000000"/>
                <w:sz w:val="20"/>
                <w:szCs w:val="20"/>
              </w:rPr>
            </w:pPr>
            <w:r>
              <w:rPr>
                <w:color w:val="000000"/>
                <w:sz w:val="20"/>
                <w:szCs w:val="20"/>
              </w:rPr>
              <w:t>(0.34)</w:t>
            </w:r>
          </w:p>
        </w:tc>
        <w:tc>
          <w:tcPr>
            <w:tcW w:w="343" w:type="pct"/>
            <w:tcBorders>
              <w:top w:val="nil"/>
              <w:left w:val="nil"/>
              <w:bottom w:val="nil"/>
              <w:right w:val="nil"/>
            </w:tcBorders>
            <w:shd w:val="clear" w:color="auto" w:fill="auto"/>
            <w:noWrap/>
            <w:vAlign w:val="center"/>
            <w:hideMark/>
          </w:tcPr>
          <w:p w14:paraId="4400CF44" w14:textId="7686F21B" w:rsidR="009771CF" w:rsidRPr="00E65AA7" w:rsidRDefault="009771CF" w:rsidP="00FA42FD">
            <w:pPr>
              <w:jc w:val="center"/>
              <w:rPr>
                <w:color w:val="000000"/>
                <w:sz w:val="20"/>
                <w:szCs w:val="20"/>
              </w:rPr>
            </w:pPr>
            <w:r>
              <w:rPr>
                <w:color w:val="000000"/>
                <w:sz w:val="20"/>
                <w:szCs w:val="20"/>
              </w:rPr>
              <w:t>(-0.43)</w:t>
            </w:r>
          </w:p>
        </w:tc>
        <w:tc>
          <w:tcPr>
            <w:tcW w:w="343" w:type="pct"/>
            <w:tcBorders>
              <w:top w:val="nil"/>
              <w:left w:val="nil"/>
              <w:bottom w:val="nil"/>
              <w:right w:val="nil"/>
            </w:tcBorders>
            <w:shd w:val="clear" w:color="auto" w:fill="auto"/>
            <w:noWrap/>
            <w:vAlign w:val="center"/>
            <w:hideMark/>
          </w:tcPr>
          <w:p w14:paraId="6E1C2DF4" w14:textId="35B60D7F" w:rsidR="009771CF" w:rsidRPr="00E65AA7" w:rsidRDefault="009771CF" w:rsidP="00FA42FD">
            <w:pPr>
              <w:jc w:val="center"/>
              <w:rPr>
                <w:color w:val="000000"/>
                <w:sz w:val="20"/>
                <w:szCs w:val="20"/>
              </w:rPr>
            </w:pPr>
            <w:r>
              <w:rPr>
                <w:color w:val="000000"/>
                <w:sz w:val="20"/>
                <w:szCs w:val="20"/>
              </w:rPr>
              <w:t>(-1.05)</w:t>
            </w:r>
          </w:p>
        </w:tc>
        <w:tc>
          <w:tcPr>
            <w:tcW w:w="343" w:type="pct"/>
            <w:tcBorders>
              <w:top w:val="nil"/>
              <w:left w:val="nil"/>
              <w:bottom w:val="nil"/>
              <w:right w:val="nil"/>
            </w:tcBorders>
            <w:shd w:val="clear" w:color="auto" w:fill="auto"/>
            <w:noWrap/>
            <w:vAlign w:val="center"/>
            <w:hideMark/>
          </w:tcPr>
          <w:p w14:paraId="4A1BEA11" w14:textId="772960D3" w:rsidR="009771CF" w:rsidRPr="00E65AA7" w:rsidRDefault="009771CF" w:rsidP="00FA42FD">
            <w:pPr>
              <w:jc w:val="center"/>
              <w:rPr>
                <w:color w:val="000000"/>
                <w:sz w:val="20"/>
                <w:szCs w:val="20"/>
              </w:rPr>
            </w:pPr>
            <w:r>
              <w:rPr>
                <w:color w:val="000000"/>
                <w:sz w:val="20"/>
                <w:szCs w:val="20"/>
              </w:rPr>
              <w:t>(-2.02)</w:t>
            </w:r>
          </w:p>
        </w:tc>
        <w:tc>
          <w:tcPr>
            <w:tcW w:w="343" w:type="pct"/>
            <w:tcBorders>
              <w:top w:val="nil"/>
              <w:left w:val="nil"/>
              <w:bottom w:val="nil"/>
              <w:right w:val="nil"/>
            </w:tcBorders>
            <w:shd w:val="clear" w:color="auto" w:fill="auto"/>
            <w:noWrap/>
            <w:vAlign w:val="center"/>
            <w:hideMark/>
          </w:tcPr>
          <w:p w14:paraId="2BEF74E7" w14:textId="56A6388C" w:rsidR="009771CF" w:rsidRPr="00E65AA7" w:rsidRDefault="009771CF" w:rsidP="00FA42FD">
            <w:pPr>
              <w:jc w:val="center"/>
              <w:rPr>
                <w:color w:val="000000"/>
                <w:sz w:val="20"/>
                <w:szCs w:val="20"/>
              </w:rPr>
            </w:pPr>
            <w:r>
              <w:rPr>
                <w:color w:val="000000"/>
                <w:sz w:val="20"/>
                <w:szCs w:val="20"/>
              </w:rPr>
              <w:t>(-2.35)</w:t>
            </w:r>
          </w:p>
        </w:tc>
        <w:tc>
          <w:tcPr>
            <w:tcW w:w="343" w:type="pct"/>
            <w:tcBorders>
              <w:top w:val="nil"/>
              <w:left w:val="nil"/>
              <w:bottom w:val="nil"/>
              <w:right w:val="nil"/>
            </w:tcBorders>
            <w:shd w:val="clear" w:color="auto" w:fill="auto"/>
            <w:noWrap/>
            <w:vAlign w:val="center"/>
            <w:hideMark/>
          </w:tcPr>
          <w:p w14:paraId="1C649CE2" w14:textId="0484380A" w:rsidR="009771CF" w:rsidRPr="00E65AA7" w:rsidRDefault="009771CF" w:rsidP="00FA42FD">
            <w:pPr>
              <w:jc w:val="center"/>
              <w:rPr>
                <w:color w:val="000000"/>
                <w:sz w:val="20"/>
                <w:szCs w:val="20"/>
              </w:rPr>
            </w:pPr>
            <w:r>
              <w:rPr>
                <w:color w:val="000000"/>
                <w:sz w:val="20"/>
                <w:szCs w:val="20"/>
              </w:rPr>
              <w:t>(-3.55)</w:t>
            </w:r>
          </w:p>
        </w:tc>
        <w:tc>
          <w:tcPr>
            <w:tcW w:w="331" w:type="pct"/>
            <w:tcBorders>
              <w:top w:val="nil"/>
              <w:left w:val="nil"/>
              <w:bottom w:val="nil"/>
              <w:right w:val="nil"/>
            </w:tcBorders>
            <w:shd w:val="clear" w:color="auto" w:fill="auto"/>
            <w:noWrap/>
            <w:vAlign w:val="center"/>
            <w:hideMark/>
          </w:tcPr>
          <w:p w14:paraId="5AE35135" w14:textId="7ABFF0AE" w:rsidR="009771CF" w:rsidRPr="00E65AA7" w:rsidRDefault="009771CF" w:rsidP="00FA42FD">
            <w:pPr>
              <w:jc w:val="center"/>
              <w:rPr>
                <w:color w:val="000000"/>
                <w:sz w:val="20"/>
                <w:szCs w:val="20"/>
              </w:rPr>
            </w:pPr>
            <w:r>
              <w:rPr>
                <w:color w:val="000000"/>
                <w:sz w:val="20"/>
                <w:szCs w:val="20"/>
              </w:rPr>
              <w:t>(-6.52)</w:t>
            </w:r>
          </w:p>
        </w:tc>
        <w:tc>
          <w:tcPr>
            <w:tcW w:w="330" w:type="pct"/>
            <w:tcBorders>
              <w:top w:val="nil"/>
              <w:left w:val="nil"/>
              <w:bottom w:val="nil"/>
              <w:right w:val="nil"/>
            </w:tcBorders>
          </w:tcPr>
          <w:p w14:paraId="5856360E" w14:textId="77777777" w:rsidR="009771CF" w:rsidRDefault="009771CF" w:rsidP="00FA42FD">
            <w:pPr>
              <w:jc w:val="center"/>
              <w:rPr>
                <w:color w:val="000000"/>
                <w:sz w:val="20"/>
                <w:szCs w:val="20"/>
              </w:rPr>
            </w:pPr>
          </w:p>
        </w:tc>
      </w:tr>
      <w:tr w:rsidR="009771CF" w:rsidRPr="00E65AA7" w14:paraId="6BC4054D" w14:textId="7E649604"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66BC8B33" w14:textId="4E4E21D5" w:rsidR="009771CF" w:rsidRPr="00E65AA7" w:rsidRDefault="009771CF" w:rsidP="00FA42FD">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01" w:type="pct"/>
            <w:vMerge w:val="restart"/>
            <w:tcBorders>
              <w:top w:val="nil"/>
              <w:left w:val="nil"/>
              <w:right w:val="nil"/>
            </w:tcBorders>
            <w:vAlign w:val="center"/>
          </w:tcPr>
          <w:p w14:paraId="6A352081" w14:textId="77777777" w:rsidR="009771CF" w:rsidRPr="00E65AA7" w:rsidRDefault="009771CF" w:rsidP="00FA42FD">
            <w:pPr>
              <w:jc w:val="center"/>
              <w:rPr>
                <w:rFonts w:eastAsia="Times New Roman"/>
                <w:color w:val="000000"/>
                <w:sz w:val="20"/>
                <w:szCs w:val="20"/>
                <w:lang w:eastAsia="en-MY"/>
              </w:rPr>
            </w:pPr>
            <w:r w:rsidRPr="00E65AA7">
              <w:rPr>
                <w:rFonts w:eastAsia="Times New Roman"/>
                <w:color w:val="000000"/>
                <w:sz w:val="20"/>
                <w:szCs w:val="20"/>
                <w:lang w:eastAsia="en-MY"/>
              </w:rPr>
              <w:t>124</w:t>
            </w:r>
          </w:p>
        </w:tc>
        <w:tc>
          <w:tcPr>
            <w:tcW w:w="297" w:type="pct"/>
            <w:tcBorders>
              <w:top w:val="nil"/>
              <w:left w:val="nil"/>
              <w:bottom w:val="nil"/>
              <w:right w:val="nil"/>
            </w:tcBorders>
            <w:shd w:val="clear" w:color="auto" w:fill="auto"/>
            <w:noWrap/>
            <w:vAlign w:val="center"/>
          </w:tcPr>
          <w:p w14:paraId="132CF42B" w14:textId="77777777" w:rsidR="009771CF" w:rsidRPr="00E65AA7" w:rsidRDefault="009771CF" w:rsidP="00FA42FD">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3E9FE066" w14:textId="670A4D99" w:rsidR="009771CF" w:rsidRPr="00E65AA7" w:rsidRDefault="009771CF" w:rsidP="00FA42FD">
            <w:pPr>
              <w:jc w:val="center"/>
              <w:rPr>
                <w:color w:val="000000"/>
                <w:sz w:val="20"/>
                <w:szCs w:val="20"/>
              </w:rPr>
            </w:pPr>
            <w:r>
              <w:rPr>
                <w:color w:val="000000"/>
                <w:sz w:val="20"/>
                <w:szCs w:val="20"/>
              </w:rPr>
              <w:t>0.52</w:t>
            </w:r>
          </w:p>
        </w:tc>
        <w:tc>
          <w:tcPr>
            <w:tcW w:w="345" w:type="pct"/>
            <w:tcBorders>
              <w:top w:val="nil"/>
              <w:left w:val="nil"/>
              <w:bottom w:val="nil"/>
              <w:right w:val="nil"/>
            </w:tcBorders>
            <w:shd w:val="clear" w:color="auto" w:fill="auto"/>
            <w:noWrap/>
            <w:vAlign w:val="center"/>
            <w:hideMark/>
          </w:tcPr>
          <w:p w14:paraId="16708D89" w14:textId="404A2AB8" w:rsidR="009771CF" w:rsidRPr="00E65AA7" w:rsidRDefault="009771CF" w:rsidP="00FA42FD">
            <w:pPr>
              <w:jc w:val="center"/>
              <w:rPr>
                <w:color w:val="000000"/>
                <w:sz w:val="20"/>
                <w:szCs w:val="20"/>
              </w:rPr>
            </w:pPr>
            <w:r>
              <w:rPr>
                <w:color w:val="000000"/>
                <w:sz w:val="20"/>
                <w:szCs w:val="20"/>
              </w:rPr>
              <w:t>0.43</w:t>
            </w:r>
          </w:p>
        </w:tc>
        <w:tc>
          <w:tcPr>
            <w:tcW w:w="344" w:type="pct"/>
            <w:tcBorders>
              <w:top w:val="nil"/>
              <w:left w:val="nil"/>
              <w:bottom w:val="nil"/>
              <w:right w:val="nil"/>
            </w:tcBorders>
            <w:shd w:val="clear" w:color="auto" w:fill="auto"/>
            <w:noWrap/>
            <w:vAlign w:val="center"/>
            <w:hideMark/>
          </w:tcPr>
          <w:p w14:paraId="76F28A7F" w14:textId="09FBA2AC" w:rsidR="009771CF" w:rsidRPr="00E65AA7" w:rsidRDefault="009771CF" w:rsidP="00FA42FD">
            <w:pPr>
              <w:jc w:val="center"/>
              <w:rPr>
                <w:color w:val="000000"/>
                <w:sz w:val="20"/>
                <w:szCs w:val="20"/>
              </w:rPr>
            </w:pPr>
            <w:r>
              <w:rPr>
                <w:color w:val="000000"/>
                <w:sz w:val="20"/>
                <w:szCs w:val="20"/>
              </w:rPr>
              <w:t>0.12</w:t>
            </w:r>
          </w:p>
        </w:tc>
        <w:tc>
          <w:tcPr>
            <w:tcW w:w="343" w:type="pct"/>
            <w:tcBorders>
              <w:top w:val="nil"/>
              <w:left w:val="nil"/>
              <w:bottom w:val="nil"/>
              <w:right w:val="nil"/>
            </w:tcBorders>
            <w:shd w:val="clear" w:color="auto" w:fill="auto"/>
            <w:noWrap/>
            <w:vAlign w:val="center"/>
            <w:hideMark/>
          </w:tcPr>
          <w:p w14:paraId="51B82026" w14:textId="2A4ACAA9" w:rsidR="009771CF" w:rsidRPr="00E65AA7" w:rsidRDefault="009771CF" w:rsidP="00FA42FD">
            <w:pPr>
              <w:jc w:val="center"/>
              <w:rPr>
                <w:color w:val="000000"/>
                <w:sz w:val="20"/>
                <w:szCs w:val="20"/>
              </w:rPr>
            </w:pPr>
            <w:r>
              <w:rPr>
                <w:color w:val="000000"/>
                <w:sz w:val="20"/>
                <w:szCs w:val="20"/>
              </w:rPr>
              <w:t>0.07</w:t>
            </w:r>
          </w:p>
        </w:tc>
        <w:tc>
          <w:tcPr>
            <w:tcW w:w="343" w:type="pct"/>
            <w:tcBorders>
              <w:top w:val="nil"/>
              <w:left w:val="nil"/>
              <w:bottom w:val="nil"/>
              <w:right w:val="nil"/>
            </w:tcBorders>
            <w:shd w:val="clear" w:color="auto" w:fill="auto"/>
            <w:noWrap/>
            <w:vAlign w:val="center"/>
            <w:hideMark/>
          </w:tcPr>
          <w:p w14:paraId="1FB62EF1" w14:textId="41D0A140" w:rsidR="009771CF" w:rsidRPr="00E65AA7" w:rsidRDefault="009771CF" w:rsidP="00FA42FD">
            <w:pPr>
              <w:jc w:val="center"/>
              <w:rPr>
                <w:color w:val="000000"/>
                <w:sz w:val="20"/>
                <w:szCs w:val="20"/>
              </w:rPr>
            </w:pPr>
            <w:r>
              <w:rPr>
                <w:color w:val="000000"/>
                <w:sz w:val="20"/>
                <w:szCs w:val="20"/>
              </w:rPr>
              <w:t>-0.07</w:t>
            </w:r>
          </w:p>
        </w:tc>
        <w:tc>
          <w:tcPr>
            <w:tcW w:w="343" w:type="pct"/>
            <w:tcBorders>
              <w:top w:val="nil"/>
              <w:left w:val="nil"/>
              <w:bottom w:val="nil"/>
              <w:right w:val="nil"/>
            </w:tcBorders>
            <w:shd w:val="clear" w:color="auto" w:fill="auto"/>
            <w:noWrap/>
            <w:vAlign w:val="center"/>
            <w:hideMark/>
          </w:tcPr>
          <w:p w14:paraId="2B33A4ED" w14:textId="17195784" w:rsidR="009771CF" w:rsidRPr="00E65AA7" w:rsidRDefault="009771CF" w:rsidP="00FA42FD">
            <w:pPr>
              <w:jc w:val="center"/>
              <w:rPr>
                <w:color w:val="000000"/>
                <w:sz w:val="20"/>
                <w:szCs w:val="20"/>
              </w:rPr>
            </w:pPr>
            <w:r>
              <w:rPr>
                <w:color w:val="000000"/>
                <w:sz w:val="20"/>
                <w:szCs w:val="20"/>
              </w:rPr>
              <w:t>-0.05</w:t>
            </w:r>
          </w:p>
        </w:tc>
        <w:tc>
          <w:tcPr>
            <w:tcW w:w="343" w:type="pct"/>
            <w:tcBorders>
              <w:top w:val="nil"/>
              <w:left w:val="nil"/>
              <w:bottom w:val="nil"/>
              <w:right w:val="nil"/>
            </w:tcBorders>
            <w:shd w:val="clear" w:color="auto" w:fill="auto"/>
            <w:noWrap/>
            <w:vAlign w:val="center"/>
            <w:hideMark/>
          </w:tcPr>
          <w:p w14:paraId="774AD59C" w14:textId="0C152B90" w:rsidR="009771CF" w:rsidRPr="00E65AA7" w:rsidRDefault="009771CF" w:rsidP="00FA42FD">
            <w:pPr>
              <w:jc w:val="center"/>
              <w:rPr>
                <w:color w:val="000000"/>
                <w:sz w:val="20"/>
                <w:szCs w:val="20"/>
              </w:rPr>
            </w:pPr>
            <w:r>
              <w:rPr>
                <w:color w:val="000000"/>
                <w:sz w:val="20"/>
                <w:szCs w:val="20"/>
              </w:rPr>
              <w:t>-0.35</w:t>
            </w:r>
          </w:p>
        </w:tc>
        <w:tc>
          <w:tcPr>
            <w:tcW w:w="343" w:type="pct"/>
            <w:tcBorders>
              <w:top w:val="nil"/>
              <w:left w:val="nil"/>
              <w:bottom w:val="nil"/>
              <w:right w:val="nil"/>
            </w:tcBorders>
            <w:shd w:val="clear" w:color="auto" w:fill="auto"/>
            <w:noWrap/>
            <w:vAlign w:val="center"/>
            <w:hideMark/>
          </w:tcPr>
          <w:p w14:paraId="0CF1C6BF" w14:textId="41864E09" w:rsidR="009771CF" w:rsidRPr="00E65AA7" w:rsidRDefault="009771CF" w:rsidP="00FA42FD">
            <w:pPr>
              <w:jc w:val="center"/>
              <w:rPr>
                <w:color w:val="000000"/>
                <w:sz w:val="20"/>
                <w:szCs w:val="20"/>
              </w:rPr>
            </w:pPr>
            <w:r>
              <w:rPr>
                <w:color w:val="000000"/>
                <w:sz w:val="20"/>
                <w:szCs w:val="20"/>
              </w:rPr>
              <w:t>-0.44</w:t>
            </w:r>
          </w:p>
        </w:tc>
        <w:tc>
          <w:tcPr>
            <w:tcW w:w="343" w:type="pct"/>
            <w:tcBorders>
              <w:top w:val="nil"/>
              <w:left w:val="nil"/>
              <w:bottom w:val="nil"/>
              <w:right w:val="nil"/>
            </w:tcBorders>
            <w:shd w:val="clear" w:color="auto" w:fill="auto"/>
            <w:noWrap/>
            <w:vAlign w:val="center"/>
            <w:hideMark/>
          </w:tcPr>
          <w:p w14:paraId="326257A4" w14:textId="561151A3" w:rsidR="009771CF" w:rsidRPr="00E65AA7" w:rsidRDefault="009771CF" w:rsidP="00FA42FD">
            <w:pPr>
              <w:jc w:val="center"/>
              <w:rPr>
                <w:color w:val="000000"/>
                <w:sz w:val="20"/>
                <w:szCs w:val="20"/>
              </w:rPr>
            </w:pPr>
            <w:r>
              <w:rPr>
                <w:color w:val="000000"/>
                <w:sz w:val="20"/>
                <w:szCs w:val="20"/>
              </w:rPr>
              <w:t>-0.60</w:t>
            </w:r>
          </w:p>
        </w:tc>
        <w:tc>
          <w:tcPr>
            <w:tcW w:w="343" w:type="pct"/>
            <w:tcBorders>
              <w:top w:val="nil"/>
              <w:left w:val="nil"/>
              <w:bottom w:val="nil"/>
              <w:right w:val="nil"/>
            </w:tcBorders>
            <w:shd w:val="clear" w:color="auto" w:fill="auto"/>
            <w:noWrap/>
            <w:vAlign w:val="center"/>
            <w:hideMark/>
          </w:tcPr>
          <w:p w14:paraId="01C908A5" w14:textId="4D387B5C" w:rsidR="009771CF" w:rsidRPr="00E65AA7" w:rsidRDefault="009771CF" w:rsidP="00FA42FD">
            <w:pPr>
              <w:jc w:val="center"/>
              <w:rPr>
                <w:color w:val="000000"/>
                <w:sz w:val="20"/>
                <w:szCs w:val="20"/>
              </w:rPr>
            </w:pPr>
            <w:r>
              <w:rPr>
                <w:color w:val="000000"/>
                <w:sz w:val="20"/>
                <w:szCs w:val="20"/>
              </w:rPr>
              <w:t>-1.06</w:t>
            </w:r>
          </w:p>
        </w:tc>
        <w:tc>
          <w:tcPr>
            <w:tcW w:w="331" w:type="pct"/>
            <w:tcBorders>
              <w:top w:val="nil"/>
              <w:left w:val="nil"/>
              <w:bottom w:val="nil"/>
              <w:right w:val="nil"/>
            </w:tcBorders>
            <w:shd w:val="clear" w:color="auto" w:fill="auto"/>
            <w:noWrap/>
            <w:vAlign w:val="center"/>
            <w:hideMark/>
          </w:tcPr>
          <w:p w14:paraId="185D6228" w14:textId="0065AE4B" w:rsidR="009771CF" w:rsidRPr="00E65AA7" w:rsidRDefault="009771CF" w:rsidP="00FA42FD">
            <w:pPr>
              <w:jc w:val="center"/>
              <w:rPr>
                <w:color w:val="000000"/>
                <w:sz w:val="20"/>
                <w:szCs w:val="20"/>
              </w:rPr>
            </w:pPr>
            <w:r>
              <w:rPr>
                <w:color w:val="000000"/>
                <w:sz w:val="20"/>
                <w:szCs w:val="20"/>
              </w:rPr>
              <w:t>-1.58</w:t>
            </w:r>
          </w:p>
        </w:tc>
        <w:tc>
          <w:tcPr>
            <w:tcW w:w="330" w:type="pct"/>
            <w:tcBorders>
              <w:top w:val="nil"/>
              <w:left w:val="nil"/>
              <w:bottom w:val="nil"/>
              <w:right w:val="nil"/>
            </w:tcBorders>
          </w:tcPr>
          <w:p w14:paraId="73DC1CF9" w14:textId="77777777" w:rsidR="009771CF" w:rsidRDefault="009771CF" w:rsidP="00FA42FD">
            <w:pPr>
              <w:jc w:val="center"/>
              <w:rPr>
                <w:color w:val="000000"/>
                <w:sz w:val="20"/>
                <w:szCs w:val="20"/>
              </w:rPr>
            </w:pPr>
          </w:p>
        </w:tc>
      </w:tr>
      <w:tr w:rsidR="009771CF" w:rsidRPr="00E65AA7" w14:paraId="1C03F00E" w14:textId="5E5070AB" w:rsidTr="009771CF">
        <w:trPr>
          <w:trHeight w:hRule="exact" w:val="255"/>
        </w:trPr>
        <w:tc>
          <w:tcPr>
            <w:tcW w:w="437" w:type="pct"/>
            <w:vMerge/>
            <w:tcBorders>
              <w:top w:val="nil"/>
              <w:left w:val="nil"/>
              <w:right w:val="nil"/>
            </w:tcBorders>
            <w:vAlign w:val="center"/>
            <w:hideMark/>
          </w:tcPr>
          <w:p w14:paraId="2205194B" w14:textId="77777777" w:rsidR="009771CF" w:rsidRPr="00E65AA7" w:rsidRDefault="009771CF" w:rsidP="00FA42FD">
            <w:pPr>
              <w:rPr>
                <w:rFonts w:eastAsia="Times New Roman"/>
                <w:color w:val="000000"/>
                <w:sz w:val="20"/>
                <w:szCs w:val="20"/>
                <w:lang w:eastAsia="en-MY"/>
              </w:rPr>
            </w:pPr>
          </w:p>
        </w:tc>
        <w:tc>
          <w:tcPr>
            <w:tcW w:w="201" w:type="pct"/>
            <w:vMerge/>
            <w:tcBorders>
              <w:left w:val="nil"/>
              <w:right w:val="nil"/>
            </w:tcBorders>
            <w:vAlign w:val="center"/>
          </w:tcPr>
          <w:p w14:paraId="38A81947" w14:textId="77777777" w:rsidR="009771CF" w:rsidRPr="00E65AA7" w:rsidRDefault="009771CF" w:rsidP="00FA42FD">
            <w:pPr>
              <w:jc w:val="center"/>
              <w:rPr>
                <w:rFonts w:eastAsia="Times New Roman"/>
                <w:sz w:val="20"/>
                <w:szCs w:val="20"/>
                <w:lang w:eastAsia="en-MY"/>
              </w:rPr>
            </w:pPr>
          </w:p>
        </w:tc>
        <w:tc>
          <w:tcPr>
            <w:tcW w:w="297" w:type="pct"/>
            <w:tcBorders>
              <w:top w:val="nil"/>
              <w:left w:val="nil"/>
              <w:right w:val="nil"/>
            </w:tcBorders>
            <w:shd w:val="clear" w:color="auto" w:fill="auto"/>
            <w:noWrap/>
            <w:vAlign w:val="center"/>
          </w:tcPr>
          <w:p w14:paraId="23DE9A20" w14:textId="77777777" w:rsidR="009771CF" w:rsidRPr="00E65AA7" w:rsidRDefault="009771CF" w:rsidP="00FA42FD">
            <w:pPr>
              <w:jc w:val="center"/>
              <w:rPr>
                <w:rFonts w:eastAsia="Times New Roman"/>
                <w:sz w:val="20"/>
                <w:szCs w:val="20"/>
                <w:lang w:eastAsia="en-MY"/>
              </w:rPr>
            </w:pPr>
          </w:p>
        </w:tc>
        <w:tc>
          <w:tcPr>
            <w:tcW w:w="314" w:type="pct"/>
            <w:tcBorders>
              <w:top w:val="nil"/>
              <w:left w:val="nil"/>
              <w:right w:val="nil"/>
            </w:tcBorders>
            <w:shd w:val="clear" w:color="auto" w:fill="auto"/>
            <w:noWrap/>
            <w:vAlign w:val="center"/>
            <w:hideMark/>
          </w:tcPr>
          <w:p w14:paraId="2DCB9598" w14:textId="32FD21EF" w:rsidR="009771CF" w:rsidRPr="00E65AA7" w:rsidRDefault="009771CF" w:rsidP="00FA42FD">
            <w:pPr>
              <w:jc w:val="center"/>
              <w:rPr>
                <w:color w:val="000000"/>
                <w:sz w:val="20"/>
                <w:szCs w:val="20"/>
              </w:rPr>
            </w:pPr>
            <w:r>
              <w:rPr>
                <w:color w:val="000000"/>
                <w:sz w:val="20"/>
                <w:szCs w:val="20"/>
              </w:rPr>
              <w:t>(1.77)</w:t>
            </w:r>
          </w:p>
        </w:tc>
        <w:tc>
          <w:tcPr>
            <w:tcW w:w="345" w:type="pct"/>
            <w:tcBorders>
              <w:top w:val="nil"/>
              <w:left w:val="nil"/>
              <w:right w:val="nil"/>
            </w:tcBorders>
            <w:shd w:val="clear" w:color="auto" w:fill="auto"/>
            <w:noWrap/>
            <w:vAlign w:val="center"/>
            <w:hideMark/>
          </w:tcPr>
          <w:p w14:paraId="7636A522" w14:textId="3D7F7E31" w:rsidR="009771CF" w:rsidRPr="00E65AA7" w:rsidRDefault="009771CF" w:rsidP="00FA42FD">
            <w:pPr>
              <w:jc w:val="center"/>
              <w:rPr>
                <w:color w:val="000000"/>
                <w:sz w:val="20"/>
                <w:szCs w:val="20"/>
              </w:rPr>
            </w:pPr>
            <w:r>
              <w:rPr>
                <w:color w:val="000000"/>
                <w:sz w:val="20"/>
                <w:szCs w:val="20"/>
              </w:rPr>
              <w:t>(1.14)</w:t>
            </w:r>
          </w:p>
        </w:tc>
        <w:tc>
          <w:tcPr>
            <w:tcW w:w="344" w:type="pct"/>
            <w:tcBorders>
              <w:top w:val="nil"/>
              <w:left w:val="nil"/>
              <w:right w:val="nil"/>
            </w:tcBorders>
            <w:shd w:val="clear" w:color="auto" w:fill="auto"/>
            <w:noWrap/>
            <w:vAlign w:val="center"/>
            <w:hideMark/>
          </w:tcPr>
          <w:p w14:paraId="2969FD0B" w14:textId="589F85C1" w:rsidR="009771CF" w:rsidRPr="00E65AA7" w:rsidRDefault="009771CF" w:rsidP="00FA42FD">
            <w:pPr>
              <w:jc w:val="center"/>
              <w:rPr>
                <w:color w:val="000000"/>
                <w:sz w:val="20"/>
                <w:szCs w:val="20"/>
              </w:rPr>
            </w:pPr>
            <w:r>
              <w:rPr>
                <w:color w:val="000000"/>
                <w:sz w:val="20"/>
                <w:szCs w:val="20"/>
              </w:rPr>
              <w:t>(0.28)</w:t>
            </w:r>
          </w:p>
        </w:tc>
        <w:tc>
          <w:tcPr>
            <w:tcW w:w="343" w:type="pct"/>
            <w:tcBorders>
              <w:top w:val="nil"/>
              <w:left w:val="nil"/>
              <w:right w:val="nil"/>
            </w:tcBorders>
            <w:shd w:val="clear" w:color="auto" w:fill="auto"/>
            <w:noWrap/>
            <w:vAlign w:val="center"/>
            <w:hideMark/>
          </w:tcPr>
          <w:p w14:paraId="621D53DA" w14:textId="42DB5700" w:rsidR="009771CF" w:rsidRPr="00E65AA7" w:rsidRDefault="009771CF" w:rsidP="00FA42FD">
            <w:pPr>
              <w:jc w:val="center"/>
              <w:rPr>
                <w:color w:val="000000"/>
                <w:sz w:val="20"/>
                <w:szCs w:val="20"/>
              </w:rPr>
            </w:pPr>
            <w:r>
              <w:rPr>
                <w:color w:val="000000"/>
                <w:sz w:val="20"/>
                <w:szCs w:val="20"/>
              </w:rPr>
              <w:t>(0.15)</w:t>
            </w:r>
          </w:p>
        </w:tc>
        <w:tc>
          <w:tcPr>
            <w:tcW w:w="343" w:type="pct"/>
            <w:tcBorders>
              <w:top w:val="nil"/>
              <w:left w:val="nil"/>
              <w:right w:val="nil"/>
            </w:tcBorders>
            <w:shd w:val="clear" w:color="auto" w:fill="auto"/>
            <w:noWrap/>
            <w:vAlign w:val="center"/>
            <w:hideMark/>
          </w:tcPr>
          <w:p w14:paraId="1A26CFA1" w14:textId="2EFB9CB5" w:rsidR="009771CF" w:rsidRPr="00E65AA7" w:rsidRDefault="009771CF" w:rsidP="00FA42FD">
            <w:pPr>
              <w:jc w:val="center"/>
              <w:rPr>
                <w:color w:val="000000"/>
                <w:sz w:val="20"/>
                <w:szCs w:val="20"/>
              </w:rPr>
            </w:pPr>
            <w:r>
              <w:rPr>
                <w:color w:val="000000"/>
                <w:sz w:val="20"/>
                <w:szCs w:val="20"/>
              </w:rPr>
              <w:t>(-0.13)</w:t>
            </w:r>
          </w:p>
        </w:tc>
        <w:tc>
          <w:tcPr>
            <w:tcW w:w="343" w:type="pct"/>
            <w:tcBorders>
              <w:top w:val="nil"/>
              <w:left w:val="nil"/>
              <w:right w:val="nil"/>
            </w:tcBorders>
            <w:shd w:val="clear" w:color="auto" w:fill="auto"/>
            <w:noWrap/>
            <w:vAlign w:val="center"/>
            <w:hideMark/>
          </w:tcPr>
          <w:p w14:paraId="5DF80983" w14:textId="5B8C7F64" w:rsidR="009771CF" w:rsidRPr="00E65AA7" w:rsidRDefault="009771CF" w:rsidP="00FA42FD">
            <w:pPr>
              <w:jc w:val="center"/>
              <w:rPr>
                <w:color w:val="000000"/>
                <w:sz w:val="20"/>
                <w:szCs w:val="20"/>
              </w:rPr>
            </w:pPr>
            <w:r>
              <w:rPr>
                <w:color w:val="000000"/>
                <w:sz w:val="20"/>
                <w:szCs w:val="20"/>
              </w:rPr>
              <w:t>(-0.1</w:t>
            </w:r>
            <w:r w:rsidR="005A7441">
              <w:rPr>
                <w:color w:val="000000"/>
                <w:sz w:val="20"/>
                <w:szCs w:val="20"/>
              </w:rPr>
              <w:t>0</w:t>
            </w:r>
            <w:r>
              <w:rPr>
                <w:color w:val="000000"/>
                <w:sz w:val="20"/>
                <w:szCs w:val="20"/>
              </w:rPr>
              <w:t>)</w:t>
            </w:r>
          </w:p>
        </w:tc>
        <w:tc>
          <w:tcPr>
            <w:tcW w:w="343" w:type="pct"/>
            <w:tcBorders>
              <w:top w:val="nil"/>
              <w:left w:val="nil"/>
              <w:right w:val="nil"/>
            </w:tcBorders>
            <w:shd w:val="clear" w:color="auto" w:fill="auto"/>
            <w:noWrap/>
            <w:vAlign w:val="center"/>
            <w:hideMark/>
          </w:tcPr>
          <w:p w14:paraId="0F91BF02" w14:textId="4BCC242E" w:rsidR="009771CF" w:rsidRPr="00E65AA7" w:rsidRDefault="009771CF" w:rsidP="00FA42FD">
            <w:pPr>
              <w:jc w:val="center"/>
              <w:rPr>
                <w:color w:val="000000"/>
                <w:sz w:val="20"/>
                <w:szCs w:val="20"/>
              </w:rPr>
            </w:pPr>
            <w:r>
              <w:rPr>
                <w:color w:val="000000"/>
                <w:sz w:val="20"/>
                <w:szCs w:val="20"/>
              </w:rPr>
              <w:t>(-0.62)</w:t>
            </w:r>
          </w:p>
        </w:tc>
        <w:tc>
          <w:tcPr>
            <w:tcW w:w="343" w:type="pct"/>
            <w:tcBorders>
              <w:top w:val="nil"/>
              <w:left w:val="nil"/>
              <w:right w:val="nil"/>
            </w:tcBorders>
            <w:shd w:val="clear" w:color="auto" w:fill="auto"/>
            <w:noWrap/>
            <w:vAlign w:val="center"/>
            <w:hideMark/>
          </w:tcPr>
          <w:p w14:paraId="65597017" w14:textId="73393598" w:rsidR="009771CF" w:rsidRPr="00E65AA7" w:rsidRDefault="009771CF" w:rsidP="00FA42FD">
            <w:pPr>
              <w:jc w:val="center"/>
              <w:rPr>
                <w:color w:val="000000"/>
                <w:sz w:val="20"/>
                <w:szCs w:val="20"/>
              </w:rPr>
            </w:pPr>
            <w:r>
              <w:rPr>
                <w:color w:val="000000"/>
                <w:sz w:val="20"/>
                <w:szCs w:val="20"/>
              </w:rPr>
              <w:t>(-0.72)</w:t>
            </w:r>
          </w:p>
        </w:tc>
        <w:tc>
          <w:tcPr>
            <w:tcW w:w="343" w:type="pct"/>
            <w:tcBorders>
              <w:top w:val="nil"/>
              <w:left w:val="nil"/>
              <w:right w:val="nil"/>
            </w:tcBorders>
            <w:shd w:val="clear" w:color="auto" w:fill="auto"/>
            <w:noWrap/>
            <w:vAlign w:val="center"/>
            <w:hideMark/>
          </w:tcPr>
          <w:p w14:paraId="332DFD52" w14:textId="7DF992E5" w:rsidR="009771CF" w:rsidRPr="00E65AA7" w:rsidRDefault="009771CF" w:rsidP="00FA42FD">
            <w:pPr>
              <w:jc w:val="center"/>
              <w:rPr>
                <w:color w:val="000000"/>
                <w:sz w:val="20"/>
                <w:szCs w:val="20"/>
              </w:rPr>
            </w:pPr>
            <w:r>
              <w:rPr>
                <w:color w:val="000000"/>
                <w:sz w:val="20"/>
                <w:szCs w:val="20"/>
              </w:rPr>
              <w:t>(-0.9</w:t>
            </w:r>
            <w:r w:rsidR="005A7441">
              <w:rPr>
                <w:color w:val="000000"/>
                <w:sz w:val="20"/>
                <w:szCs w:val="20"/>
              </w:rPr>
              <w:t>0</w:t>
            </w:r>
            <w:r>
              <w:rPr>
                <w:color w:val="000000"/>
                <w:sz w:val="20"/>
                <w:szCs w:val="20"/>
              </w:rPr>
              <w:t>)</w:t>
            </w:r>
          </w:p>
        </w:tc>
        <w:tc>
          <w:tcPr>
            <w:tcW w:w="343" w:type="pct"/>
            <w:tcBorders>
              <w:top w:val="nil"/>
              <w:left w:val="nil"/>
              <w:right w:val="nil"/>
            </w:tcBorders>
            <w:shd w:val="clear" w:color="auto" w:fill="auto"/>
            <w:noWrap/>
            <w:vAlign w:val="center"/>
            <w:hideMark/>
          </w:tcPr>
          <w:p w14:paraId="065BF9E6" w14:textId="24E21C61" w:rsidR="009771CF" w:rsidRPr="00E65AA7" w:rsidRDefault="009771CF" w:rsidP="00FA42FD">
            <w:pPr>
              <w:jc w:val="center"/>
              <w:rPr>
                <w:color w:val="000000"/>
                <w:sz w:val="20"/>
                <w:szCs w:val="20"/>
              </w:rPr>
            </w:pPr>
            <w:r>
              <w:rPr>
                <w:color w:val="000000"/>
                <w:sz w:val="20"/>
                <w:szCs w:val="20"/>
              </w:rPr>
              <w:t>(-1.42)</w:t>
            </w:r>
          </w:p>
        </w:tc>
        <w:tc>
          <w:tcPr>
            <w:tcW w:w="331" w:type="pct"/>
            <w:tcBorders>
              <w:top w:val="nil"/>
              <w:left w:val="nil"/>
              <w:right w:val="nil"/>
            </w:tcBorders>
            <w:shd w:val="clear" w:color="auto" w:fill="auto"/>
            <w:noWrap/>
            <w:vAlign w:val="center"/>
            <w:hideMark/>
          </w:tcPr>
          <w:p w14:paraId="118EAE7F" w14:textId="48B27876" w:rsidR="009771CF" w:rsidRPr="00E65AA7" w:rsidRDefault="009771CF" w:rsidP="00FA42FD">
            <w:pPr>
              <w:jc w:val="center"/>
              <w:rPr>
                <w:color w:val="000000"/>
                <w:sz w:val="20"/>
                <w:szCs w:val="20"/>
              </w:rPr>
            </w:pPr>
            <w:r>
              <w:rPr>
                <w:color w:val="000000"/>
                <w:sz w:val="20"/>
                <w:szCs w:val="20"/>
              </w:rPr>
              <w:t>(-2.95)</w:t>
            </w:r>
          </w:p>
        </w:tc>
        <w:tc>
          <w:tcPr>
            <w:tcW w:w="330" w:type="pct"/>
            <w:tcBorders>
              <w:top w:val="nil"/>
              <w:left w:val="nil"/>
              <w:right w:val="nil"/>
            </w:tcBorders>
          </w:tcPr>
          <w:p w14:paraId="4EFF45D5" w14:textId="77777777" w:rsidR="009771CF" w:rsidRDefault="009771CF" w:rsidP="00FA42FD">
            <w:pPr>
              <w:jc w:val="center"/>
              <w:rPr>
                <w:color w:val="000000"/>
                <w:sz w:val="20"/>
                <w:szCs w:val="20"/>
              </w:rPr>
            </w:pPr>
          </w:p>
        </w:tc>
      </w:tr>
      <w:tr w:rsidR="009771CF" w:rsidRPr="00E65AA7" w14:paraId="5B6A3267" w14:textId="3226E3EE" w:rsidTr="009771CF">
        <w:trPr>
          <w:trHeight w:hRule="exact" w:val="255"/>
        </w:trPr>
        <w:tc>
          <w:tcPr>
            <w:tcW w:w="437" w:type="pct"/>
            <w:vMerge w:val="restart"/>
            <w:tcBorders>
              <w:top w:val="nil"/>
              <w:left w:val="nil"/>
              <w:right w:val="nil"/>
            </w:tcBorders>
            <w:vAlign w:val="center"/>
          </w:tcPr>
          <w:p w14:paraId="1C6A8B73" w14:textId="1899ED13" w:rsidR="009771CF" w:rsidRPr="00E65AA7" w:rsidRDefault="009771CF" w:rsidP="00FA42FD">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01" w:type="pct"/>
            <w:vMerge w:val="restart"/>
            <w:tcBorders>
              <w:top w:val="nil"/>
              <w:left w:val="nil"/>
              <w:right w:val="nil"/>
            </w:tcBorders>
            <w:vAlign w:val="center"/>
          </w:tcPr>
          <w:p w14:paraId="3E746D5B" w14:textId="77777777" w:rsidR="009771CF" w:rsidRPr="00E65AA7" w:rsidRDefault="009771CF" w:rsidP="00FA42FD">
            <w:pPr>
              <w:jc w:val="center"/>
              <w:rPr>
                <w:rFonts w:eastAsia="Times New Roman"/>
                <w:color w:val="000000"/>
                <w:sz w:val="20"/>
                <w:szCs w:val="20"/>
                <w:lang w:eastAsia="en-MY"/>
              </w:rPr>
            </w:pPr>
            <w:r w:rsidRPr="00E65AA7">
              <w:rPr>
                <w:rFonts w:eastAsia="Times New Roman"/>
                <w:color w:val="000000"/>
                <w:sz w:val="20"/>
                <w:szCs w:val="20"/>
                <w:lang w:eastAsia="en-MY"/>
              </w:rPr>
              <w:t>147</w:t>
            </w:r>
          </w:p>
        </w:tc>
        <w:tc>
          <w:tcPr>
            <w:tcW w:w="297" w:type="pct"/>
            <w:tcBorders>
              <w:top w:val="nil"/>
              <w:left w:val="nil"/>
              <w:right w:val="nil"/>
            </w:tcBorders>
            <w:shd w:val="clear" w:color="auto" w:fill="auto"/>
            <w:noWrap/>
            <w:vAlign w:val="center"/>
          </w:tcPr>
          <w:p w14:paraId="139406D7" w14:textId="77777777" w:rsidR="009771CF" w:rsidRPr="00E65AA7" w:rsidRDefault="009771CF" w:rsidP="00FA42FD">
            <w:pPr>
              <w:jc w:val="center"/>
              <w:rPr>
                <w:rFonts w:eastAsia="Times New Roman"/>
                <w:color w:val="000000"/>
                <w:sz w:val="20"/>
                <w:szCs w:val="20"/>
                <w:lang w:eastAsia="en-MY"/>
              </w:rPr>
            </w:pPr>
          </w:p>
        </w:tc>
        <w:tc>
          <w:tcPr>
            <w:tcW w:w="314" w:type="pct"/>
            <w:tcBorders>
              <w:top w:val="nil"/>
              <w:left w:val="nil"/>
              <w:right w:val="nil"/>
            </w:tcBorders>
            <w:shd w:val="clear" w:color="auto" w:fill="auto"/>
            <w:noWrap/>
            <w:vAlign w:val="center"/>
          </w:tcPr>
          <w:p w14:paraId="30D72439" w14:textId="5B0C6E33" w:rsidR="009771CF" w:rsidRPr="00E65AA7" w:rsidRDefault="009771CF" w:rsidP="00FA42FD">
            <w:pPr>
              <w:jc w:val="center"/>
              <w:rPr>
                <w:color w:val="000000"/>
                <w:sz w:val="20"/>
                <w:szCs w:val="20"/>
              </w:rPr>
            </w:pPr>
            <w:r>
              <w:rPr>
                <w:color w:val="000000"/>
                <w:sz w:val="20"/>
                <w:szCs w:val="20"/>
              </w:rPr>
              <w:t>1.39</w:t>
            </w:r>
          </w:p>
        </w:tc>
        <w:tc>
          <w:tcPr>
            <w:tcW w:w="345" w:type="pct"/>
            <w:tcBorders>
              <w:top w:val="nil"/>
              <w:left w:val="nil"/>
              <w:right w:val="nil"/>
            </w:tcBorders>
            <w:shd w:val="clear" w:color="auto" w:fill="auto"/>
            <w:noWrap/>
            <w:vAlign w:val="center"/>
          </w:tcPr>
          <w:p w14:paraId="48956870" w14:textId="3C04B71D" w:rsidR="009771CF" w:rsidRPr="00E65AA7" w:rsidRDefault="009771CF" w:rsidP="00FA42FD">
            <w:pPr>
              <w:jc w:val="center"/>
              <w:rPr>
                <w:color w:val="000000"/>
                <w:sz w:val="20"/>
                <w:szCs w:val="20"/>
              </w:rPr>
            </w:pPr>
            <w:r>
              <w:rPr>
                <w:color w:val="000000"/>
                <w:sz w:val="20"/>
                <w:szCs w:val="20"/>
              </w:rPr>
              <w:t>1.75</w:t>
            </w:r>
          </w:p>
        </w:tc>
        <w:tc>
          <w:tcPr>
            <w:tcW w:w="344" w:type="pct"/>
            <w:tcBorders>
              <w:top w:val="nil"/>
              <w:left w:val="nil"/>
              <w:right w:val="nil"/>
            </w:tcBorders>
            <w:shd w:val="clear" w:color="auto" w:fill="auto"/>
            <w:noWrap/>
            <w:vAlign w:val="center"/>
          </w:tcPr>
          <w:p w14:paraId="26D46057" w14:textId="1E61D268" w:rsidR="009771CF" w:rsidRPr="00E65AA7" w:rsidRDefault="009771CF" w:rsidP="00FA42FD">
            <w:pPr>
              <w:jc w:val="center"/>
              <w:rPr>
                <w:color w:val="000000"/>
                <w:sz w:val="20"/>
                <w:szCs w:val="20"/>
              </w:rPr>
            </w:pPr>
            <w:r>
              <w:rPr>
                <w:color w:val="000000"/>
                <w:sz w:val="20"/>
                <w:szCs w:val="20"/>
              </w:rPr>
              <w:t>2.16</w:t>
            </w:r>
          </w:p>
        </w:tc>
        <w:tc>
          <w:tcPr>
            <w:tcW w:w="343" w:type="pct"/>
            <w:tcBorders>
              <w:top w:val="nil"/>
              <w:left w:val="nil"/>
              <w:right w:val="nil"/>
            </w:tcBorders>
            <w:shd w:val="clear" w:color="auto" w:fill="auto"/>
            <w:noWrap/>
            <w:vAlign w:val="center"/>
          </w:tcPr>
          <w:p w14:paraId="3C80A04E" w14:textId="6B8354AF" w:rsidR="009771CF" w:rsidRPr="00E65AA7" w:rsidRDefault="009771CF" w:rsidP="00FA42FD">
            <w:pPr>
              <w:jc w:val="center"/>
              <w:rPr>
                <w:color w:val="000000"/>
                <w:sz w:val="20"/>
                <w:szCs w:val="20"/>
              </w:rPr>
            </w:pPr>
            <w:r>
              <w:rPr>
                <w:color w:val="000000"/>
                <w:sz w:val="20"/>
                <w:szCs w:val="20"/>
              </w:rPr>
              <w:t>2.38</w:t>
            </w:r>
          </w:p>
        </w:tc>
        <w:tc>
          <w:tcPr>
            <w:tcW w:w="343" w:type="pct"/>
            <w:tcBorders>
              <w:top w:val="nil"/>
              <w:left w:val="nil"/>
              <w:right w:val="nil"/>
            </w:tcBorders>
            <w:shd w:val="clear" w:color="auto" w:fill="auto"/>
            <w:noWrap/>
            <w:vAlign w:val="center"/>
          </w:tcPr>
          <w:p w14:paraId="2D929ABE" w14:textId="54D37AB1" w:rsidR="009771CF" w:rsidRPr="00E65AA7" w:rsidRDefault="009771CF" w:rsidP="00FA42FD">
            <w:pPr>
              <w:jc w:val="center"/>
              <w:rPr>
                <w:color w:val="000000"/>
                <w:sz w:val="20"/>
                <w:szCs w:val="20"/>
              </w:rPr>
            </w:pPr>
            <w:r>
              <w:rPr>
                <w:color w:val="000000"/>
                <w:sz w:val="20"/>
                <w:szCs w:val="20"/>
              </w:rPr>
              <w:t>2.75</w:t>
            </w:r>
          </w:p>
        </w:tc>
        <w:tc>
          <w:tcPr>
            <w:tcW w:w="343" w:type="pct"/>
            <w:tcBorders>
              <w:top w:val="nil"/>
              <w:left w:val="nil"/>
              <w:right w:val="nil"/>
            </w:tcBorders>
            <w:shd w:val="clear" w:color="auto" w:fill="auto"/>
            <w:noWrap/>
            <w:vAlign w:val="center"/>
          </w:tcPr>
          <w:p w14:paraId="6C472CA9" w14:textId="155D56FB" w:rsidR="009771CF" w:rsidRPr="00E65AA7" w:rsidRDefault="009771CF" w:rsidP="00FA42FD">
            <w:pPr>
              <w:jc w:val="center"/>
              <w:rPr>
                <w:color w:val="000000"/>
                <w:sz w:val="20"/>
                <w:szCs w:val="20"/>
              </w:rPr>
            </w:pPr>
            <w:r>
              <w:rPr>
                <w:color w:val="000000"/>
                <w:sz w:val="20"/>
                <w:szCs w:val="20"/>
              </w:rPr>
              <w:t>2.93</w:t>
            </w:r>
          </w:p>
        </w:tc>
        <w:tc>
          <w:tcPr>
            <w:tcW w:w="343" w:type="pct"/>
            <w:tcBorders>
              <w:top w:val="nil"/>
              <w:left w:val="nil"/>
              <w:right w:val="nil"/>
            </w:tcBorders>
            <w:shd w:val="clear" w:color="auto" w:fill="auto"/>
            <w:noWrap/>
            <w:vAlign w:val="center"/>
          </w:tcPr>
          <w:p w14:paraId="01892DBC" w14:textId="4EC007CC" w:rsidR="009771CF" w:rsidRPr="00E65AA7" w:rsidRDefault="009771CF" w:rsidP="00FA42FD">
            <w:pPr>
              <w:jc w:val="center"/>
              <w:rPr>
                <w:color w:val="000000"/>
                <w:sz w:val="20"/>
                <w:szCs w:val="20"/>
              </w:rPr>
            </w:pPr>
            <w:r>
              <w:rPr>
                <w:color w:val="000000"/>
                <w:sz w:val="20"/>
                <w:szCs w:val="20"/>
              </w:rPr>
              <w:t>3.42</w:t>
            </w:r>
          </w:p>
        </w:tc>
        <w:tc>
          <w:tcPr>
            <w:tcW w:w="343" w:type="pct"/>
            <w:tcBorders>
              <w:top w:val="nil"/>
              <w:left w:val="nil"/>
              <w:right w:val="nil"/>
            </w:tcBorders>
            <w:shd w:val="clear" w:color="auto" w:fill="auto"/>
            <w:noWrap/>
            <w:vAlign w:val="center"/>
          </w:tcPr>
          <w:p w14:paraId="06AC2CCA" w14:textId="3EAFBB1D" w:rsidR="009771CF" w:rsidRPr="00E65AA7" w:rsidRDefault="009771CF" w:rsidP="00FA42FD">
            <w:pPr>
              <w:jc w:val="center"/>
              <w:rPr>
                <w:color w:val="000000"/>
                <w:sz w:val="20"/>
                <w:szCs w:val="20"/>
              </w:rPr>
            </w:pPr>
            <w:r>
              <w:rPr>
                <w:color w:val="000000"/>
                <w:sz w:val="20"/>
                <w:szCs w:val="20"/>
              </w:rPr>
              <w:t>3.83</w:t>
            </w:r>
          </w:p>
        </w:tc>
        <w:tc>
          <w:tcPr>
            <w:tcW w:w="343" w:type="pct"/>
            <w:tcBorders>
              <w:top w:val="nil"/>
              <w:left w:val="nil"/>
              <w:right w:val="nil"/>
            </w:tcBorders>
            <w:shd w:val="clear" w:color="auto" w:fill="auto"/>
            <w:noWrap/>
            <w:vAlign w:val="center"/>
          </w:tcPr>
          <w:p w14:paraId="163EEA4C" w14:textId="778D1485" w:rsidR="009771CF" w:rsidRPr="00E65AA7" w:rsidRDefault="009771CF" w:rsidP="00FA42FD">
            <w:pPr>
              <w:jc w:val="center"/>
              <w:rPr>
                <w:color w:val="000000"/>
                <w:sz w:val="20"/>
                <w:szCs w:val="20"/>
              </w:rPr>
            </w:pPr>
            <w:r>
              <w:rPr>
                <w:color w:val="000000"/>
                <w:sz w:val="20"/>
                <w:szCs w:val="20"/>
              </w:rPr>
              <w:t>4.35</w:t>
            </w:r>
          </w:p>
        </w:tc>
        <w:tc>
          <w:tcPr>
            <w:tcW w:w="343" w:type="pct"/>
            <w:tcBorders>
              <w:top w:val="nil"/>
              <w:left w:val="nil"/>
              <w:right w:val="nil"/>
            </w:tcBorders>
            <w:shd w:val="clear" w:color="auto" w:fill="auto"/>
            <w:noWrap/>
            <w:vAlign w:val="center"/>
          </w:tcPr>
          <w:p w14:paraId="06AF2B55" w14:textId="47DA8DC2" w:rsidR="009771CF" w:rsidRPr="00E65AA7" w:rsidRDefault="009771CF" w:rsidP="00FA42FD">
            <w:pPr>
              <w:jc w:val="center"/>
              <w:rPr>
                <w:color w:val="000000"/>
                <w:sz w:val="20"/>
                <w:szCs w:val="20"/>
              </w:rPr>
            </w:pPr>
            <w:r>
              <w:rPr>
                <w:color w:val="000000"/>
                <w:sz w:val="20"/>
                <w:szCs w:val="20"/>
              </w:rPr>
              <w:t>5.30</w:t>
            </w:r>
          </w:p>
        </w:tc>
        <w:tc>
          <w:tcPr>
            <w:tcW w:w="331" w:type="pct"/>
            <w:tcBorders>
              <w:top w:val="nil"/>
              <w:left w:val="nil"/>
              <w:right w:val="nil"/>
            </w:tcBorders>
            <w:shd w:val="clear" w:color="auto" w:fill="auto"/>
            <w:noWrap/>
            <w:vAlign w:val="center"/>
          </w:tcPr>
          <w:p w14:paraId="091E232D" w14:textId="2904F1FF" w:rsidR="009771CF" w:rsidRPr="00E65AA7" w:rsidRDefault="009771CF" w:rsidP="00FA42FD">
            <w:pPr>
              <w:jc w:val="center"/>
              <w:rPr>
                <w:color w:val="000000"/>
                <w:sz w:val="20"/>
                <w:szCs w:val="20"/>
              </w:rPr>
            </w:pPr>
            <w:r>
              <w:rPr>
                <w:color w:val="000000"/>
                <w:sz w:val="20"/>
                <w:szCs w:val="20"/>
              </w:rPr>
              <w:t>3.92</w:t>
            </w:r>
          </w:p>
        </w:tc>
        <w:tc>
          <w:tcPr>
            <w:tcW w:w="330" w:type="pct"/>
            <w:tcBorders>
              <w:top w:val="nil"/>
              <w:left w:val="nil"/>
              <w:right w:val="nil"/>
            </w:tcBorders>
          </w:tcPr>
          <w:p w14:paraId="1902FC5A" w14:textId="77777777" w:rsidR="009771CF" w:rsidRDefault="009771CF" w:rsidP="00FA42FD">
            <w:pPr>
              <w:jc w:val="center"/>
              <w:rPr>
                <w:color w:val="000000"/>
                <w:sz w:val="20"/>
                <w:szCs w:val="20"/>
              </w:rPr>
            </w:pPr>
          </w:p>
        </w:tc>
      </w:tr>
      <w:tr w:rsidR="009771CF" w:rsidRPr="00E65AA7" w14:paraId="7DFC6254" w14:textId="2297C8D6" w:rsidTr="009771CF">
        <w:trPr>
          <w:trHeight w:hRule="exact" w:val="255"/>
        </w:trPr>
        <w:tc>
          <w:tcPr>
            <w:tcW w:w="437" w:type="pct"/>
            <w:vMerge/>
            <w:tcBorders>
              <w:left w:val="nil"/>
              <w:bottom w:val="single" w:sz="4" w:space="0" w:color="auto"/>
              <w:right w:val="nil"/>
            </w:tcBorders>
            <w:vAlign w:val="center"/>
          </w:tcPr>
          <w:p w14:paraId="24198A28" w14:textId="77777777" w:rsidR="009771CF" w:rsidRPr="00E65AA7" w:rsidRDefault="009771CF" w:rsidP="00FA42FD">
            <w:pPr>
              <w:rPr>
                <w:rFonts w:eastAsia="Times New Roman"/>
                <w:color w:val="000000"/>
                <w:sz w:val="20"/>
                <w:szCs w:val="20"/>
                <w:lang w:eastAsia="en-MY"/>
              </w:rPr>
            </w:pPr>
          </w:p>
        </w:tc>
        <w:tc>
          <w:tcPr>
            <w:tcW w:w="201" w:type="pct"/>
            <w:vMerge/>
            <w:tcBorders>
              <w:left w:val="nil"/>
              <w:bottom w:val="single" w:sz="4" w:space="0" w:color="auto"/>
              <w:right w:val="nil"/>
            </w:tcBorders>
          </w:tcPr>
          <w:p w14:paraId="02D5EC10" w14:textId="77777777" w:rsidR="009771CF" w:rsidRPr="00E65AA7" w:rsidRDefault="009771CF" w:rsidP="00FA42FD">
            <w:pPr>
              <w:jc w:val="center"/>
              <w:rPr>
                <w:rFonts w:eastAsia="Times New Roman"/>
                <w:sz w:val="20"/>
                <w:szCs w:val="20"/>
                <w:lang w:eastAsia="en-MY"/>
              </w:rPr>
            </w:pPr>
          </w:p>
        </w:tc>
        <w:tc>
          <w:tcPr>
            <w:tcW w:w="297" w:type="pct"/>
            <w:tcBorders>
              <w:left w:val="nil"/>
              <w:bottom w:val="single" w:sz="4" w:space="0" w:color="auto"/>
              <w:right w:val="nil"/>
            </w:tcBorders>
            <w:shd w:val="clear" w:color="auto" w:fill="auto"/>
            <w:noWrap/>
            <w:vAlign w:val="center"/>
          </w:tcPr>
          <w:p w14:paraId="63CDD8E2" w14:textId="77777777" w:rsidR="009771CF" w:rsidRPr="00E65AA7" w:rsidRDefault="009771CF" w:rsidP="00FA42FD">
            <w:pPr>
              <w:jc w:val="center"/>
              <w:rPr>
                <w:rFonts w:eastAsia="Times New Roman"/>
                <w:sz w:val="20"/>
                <w:szCs w:val="20"/>
                <w:lang w:eastAsia="en-MY"/>
              </w:rPr>
            </w:pPr>
          </w:p>
        </w:tc>
        <w:tc>
          <w:tcPr>
            <w:tcW w:w="314" w:type="pct"/>
            <w:tcBorders>
              <w:left w:val="nil"/>
              <w:bottom w:val="single" w:sz="4" w:space="0" w:color="auto"/>
              <w:right w:val="nil"/>
            </w:tcBorders>
            <w:shd w:val="clear" w:color="auto" w:fill="auto"/>
            <w:noWrap/>
            <w:vAlign w:val="center"/>
          </w:tcPr>
          <w:p w14:paraId="6B064359" w14:textId="3A1C6B87" w:rsidR="009771CF" w:rsidRPr="00E65AA7" w:rsidRDefault="009771CF" w:rsidP="00FA42FD">
            <w:pPr>
              <w:jc w:val="center"/>
              <w:rPr>
                <w:color w:val="000000"/>
                <w:sz w:val="20"/>
                <w:szCs w:val="20"/>
              </w:rPr>
            </w:pPr>
            <w:r>
              <w:rPr>
                <w:color w:val="000000"/>
                <w:sz w:val="20"/>
                <w:szCs w:val="20"/>
              </w:rPr>
              <w:t>(5.14)</w:t>
            </w:r>
          </w:p>
        </w:tc>
        <w:tc>
          <w:tcPr>
            <w:tcW w:w="345" w:type="pct"/>
            <w:tcBorders>
              <w:left w:val="nil"/>
              <w:bottom w:val="single" w:sz="4" w:space="0" w:color="auto"/>
              <w:right w:val="nil"/>
            </w:tcBorders>
            <w:shd w:val="clear" w:color="auto" w:fill="auto"/>
            <w:noWrap/>
            <w:vAlign w:val="center"/>
          </w:tcPr>
          <w:p w14:paraId="6A5297BA" w14:textId="4FECF19A" w:rsidR="009771CF" w:rsidRPr="00E65AA7" w:rsidRDefault="009771CF" w:rsidP="00FA42FD">
            <w:pPr>
              <w:jc w:val="center"/>
              <w:rPr>
                <w:color w:val="000000"/>
                <w:sz w:val="20"/>
                <w:szCs w:val="20"/>
              </w:rPr>
            </w:pPr>
            <w:r>
              <w:rPr>
                <w:color w:val="000000"/>
                <w:sz w:val="20"/>
                <w:szCs w:val="20"/>
              </w:rPr>
              <w:t>(5.36)</w:t>
            </w:r>
          </w:p>
        </w:tc>
        <w:tc>
          <w:tcPr>
            <w:tcW w:w="344" w:type="pct"/>
            <w:tcBorders>
              <w:left w:val="nil"/>
              <w:bottom w:val="single" w:sz="4" w:space="0" w:color="auto"/>
              <w:right w:val="nil"/>
            </w:tcBorders>
            <w:shd w:val="clear" w:color="auto" w:fill="auto"/>
            <w:noWrap/>
            <w:vAlign w:val="center"/>
          </w:tcPr>
          <w:p w14:paraId="7D93B812" w14:textId="489BD6DE" w:rsidR="009771CF" w:rsidRPr="00E65AA7" w:rsidRDefault="009771CF" w:rsidP="00FA42FD">
            <w:pPr>
              <w:jc w:val="center"/>
              <w:rPr>
                <w:color w:val="000000"/>
                <w:sz w:val="20"/>
                <w:szCs w:val="20"/>
              </w:rPr>
            </w:pPr>
            <w:r>
              <w:rPr>
                <w:color w:val="000000"/>
                <w:sz w:val="20"/>
                <w:szCs w:val="20"/>
              </w:rPr>
              <w:t>(5.69)</w:t>
            </w:r>
          </w:p>
        </w:tc>
        <w:tc>
          <w:tcPr>
            <w:tcW w:w="343" w:type="pct"/>
            <w:tcBorders>
              <w:left w:val="nil"/>
              <w:bottom w:val="single" w:sz="4" w:space="0" w:color="auto"/>
              <w:right w:val="nil"/>
            </w:tcBorders>
            <w:shd w:val="clear" w:color="auto" w:fill="auto"/>
            <w:noWrap/>
            <w:vAlign w:val="center"/>
          </w:tcPr>
          <w:p w14:paraId="27099442" w14:textId="0B37C9E6" w:rsidR="009771CF" w:rsidRPr="00E65AA7" w:rsidRDefault="009771CF" w:rsidP="00FA42FD">
            <w:pPr>
              <w:jc w:val="center"/>
              <w:rPr>
                <w:color w:val="000000"/>
                <w:sz w:val="20"/>
                <w:szCs w:val="20"/>
              </w:rPr>
            </w:pPr>
            <w:r>
              <w:rPr>
                <w:color w:val="000000"/>
                <w:sz w:val="20"/>
                <w:szCs w:val="20"/>
              </w:rPr>
              <w:t>(5.92)</w:t>
            </w:r>
          </w:p>
        </w:tc>
        <w:tc>
          <w:tcPr>
            <w:tcW w:w="343" w:type="pct"/>
            <w:tcBorders>
              <w:left w:val="nil"/>
              <w:bottom w:val="single" w:sz="4" w:space="0" w:color="auto"/>
              <w:right w:val="nil"/>
            </w:tcBorders>
            <w:shd w:val="clear" w:color="auto" w:fill="auto"/>
            <w:noWrap/>
            <w:vAlign w:val="center"/>
          </w:tcPr>
          <w:p w14:paraId="35897C6C" w14:textId="707F77AE" w:rsidR="009771CF" w:rsidRPr="00E65AA7" w:rsidRDefault="009771CF" w:rsidP="00FA42FD">
            <w:pPr>
              <w:jc w:val="center"/>
              <w:rPr>
                <w:color w:val="000000"/>
                <w:sz w:val="20"/>
                <w:szCs w:val="20"/>
              </w:rPr>
            </w:pPr>
            <w:r>
              <w:rPr>
                <w:color w:val="000000"/>
                <w:sz w:val="20"/>
                <w:szCs w:val="20"/>
              </w:rPr>
              <w:t>(6.21)</w:t>
            </w:r>
          </w:p>
        </w:tc>
        <w:tc>
          <w:tcPr>
            <w:tcW w:w="343" w:type="pct"/>
            <w:tcBorders>
              <w:left w:val="nil"/>
              <w:bottom w:val="single" w:sz="4" w:space="0" w:color="auto"/>
              <w:right w:val="nil"/>
            </w:tcBorders>
            <w:shd w:val="clear" w:color="auto" w:fill="auto"/>
            <w:noWrap/>
            <w:vAlign w:val="center"/>
          </w:tcPr>
          <w:p w14:paraId="767709E8" w14:textId="7A97A6B4" w:rsidR="009771CF" w:rsidRPr="00E65AA7" w:rsidRDefault="009771CF" w:rsidP="00FA42FD">
            <w:pPr>
              <w:jc w:val="center"/>
              <w:rPr>
                <w:color w:val="000000"/>
                <w:sz w:val="20"/>
                <w:szCs w:val="20"/>
              </w:rPr>
            </w:pPr>
            <w:r>
              <w:rPr>
                <w:color w:val="000000"/>
                <w:sz w:val="20"/>
                <w:szCs w:val="20"/>
              </w:rPr>
              <w:t>(6.08)</w:t>
            </w:r>
          </w:p>
        </w:tc>
        <w:tc>
          <w:tcPr>
            <w:tcW w:w="343" w:type="pct"/>
            <w:tcBorders>
              <w:left w:val="nil"/>
              <w:bottom w:val="single" w:sz="4" w:space="0" w:color="auto"/>
              <w:right w:val="nil"/>
            </w:tcBorders>
            <w:shd w:val="clear" w:color="auto" w:fill="auto"/>
            <w:noWrap/>
            <w:vAlign w:val="center"/>
          </w:tcPr>
          <w:p w14:paraId="4FC3FED8" w14:textId="771C1119" w:rsidR="009771CF" w:rsidRPr="00E65AA7" w:rsidRDefault="009771CF" w:rsidP="00FA42FD">
            <w:pPr>
              <w:jc w:val="center"/>
              <w:rPr>
                <w:color w:val="000000"/>
                <w:sz w:val="20"/>
                <w:szCs w:val="20"/>
              </w:rPr>
            </w:pPr>
            <w:r>
              <w:rPr>
                <w:color w:val="000000"/>
                <w:sz w:val="20"/>
                <w:szCs w:val="20"/>
              </w:rPr>
              <w:t>(6.64)</w:t>
            </w:r>
          </w:p>
        </w:tc>
        <w:tc>
          <w:tcPr>
            <w:tcW w:w="343" w:type="pct"/>
            <w:tcBorders>
              <w:left w:val="nil"/>
              <w:bottom w:val="single" w:sz="4" w:space="0" w:color="auto"/>
              <w:right w:val="nil"/>
            </w:tcBorders>
            <w:shd w:val="clear" w:color="auto" w:fill="auto"/>
            <w:noWrap/>
            <w:vAlign w:val="center"/>
          </w:tcPr>
          <w:p w14:paraId="2D147E29" w14:textId="5A459105" w:rsidR="009771CF" w:rsidRPr="00E65AA7" w:rsidRDefault="009771CF" w:rsidP="00FA42FD">
            <w:pPr>
              <w:jc w:val="center"/>
              <w:rPr>
                <w:color w:val="000000"/>
                <w:sz w:val="20"/>
                <w:szCs w:val="20"/>
              </w:rPr>
            </w:pPr>
            <w:r>
              <w:rPr>
                <w:color w:val="000000"/>
                <w:sz w:val="20"/>
                <w:szCs w:val="20"/>
              </w:rPr>
              <w:t>(6.85)</w:t>
            </w:r>
          </w:p>
        </w:tc>
        <w:tc>
          <w:tcPr>
            <w:tcW w:w="343" w:type="pct"/>
            <w:tcBorders>
              <w:left w:val="nil"/>
              <w:bottom w:val="single" w:sz="4" w:space="0" w:color="auto"/>
              <w:right w:val="nil"/>
            </w:tcBorders>
            <w:shd w:val="clear" w:color="auto" w:fill="auto"/>
            <w:noWrap/>
            <w:vAlign w:val="center"/>
          </w:tcPr>
          <w:p w14:paraId="0638AEA2" w14:textId="611EF9B1" w:rsidR="009771CF" w:rsidRPr="00E65AA7" w:rsidRDefault="009771CF" w:rsidP="00FA42FD">
            <w:pPr>
              <w:jc w:val="center"/>
              <w:rPr>
                <w:color w:val="000000"/>
                <w:sz w:val="20"/>
                <w:szCs w:val="20"/>
              </w:rPr>
            </w:pPr>
            <w:r>
              <w:rPr>
                <w:color w:val="000000"/>
                <w:sz w:val="20"/>
                <w:szCs w:val="20"/>
              </w:rPr>
              <w:t>(7.18)</w:t>
            </w:r>
          </w:p>
        </w:tc>
        <w:tc>
          <w:tcPr>
            <w:tcW w:w="343" w:type="pct"/>
            <w:tcBorders>
              <w:left w:val="nil"/>
              <w:bottom w:val="single" w:sz="4" w:space="0" w:color="auto"/>
              <w:right w:val="nil"/>
            </w:tcBorders>
            <w:shd w:val="clear" w:color="auto" w:fill="auto"/>
            <w:noWrap/>
            <w:vAlign w:val="center"/>
          </w:tcPr>
          <w:p w14:paraId="4790381F" w14:textId="37E8EAB0" w:rsidR="009771CF" w:rsidRPr="00E65AA7" w:rsidRDefault="009771CF" w:rsidP="00FA42FD">
            <w:pPr>
              <w:jc w:val="center"/>
              <w:rPr>
                <w:color w:val="000000"/>
                <w:sz w:val="20"/>
                <w:szCs w:val="20"/>
              </w:rPr>
            </w:pPr>
            <w:r>
              <w:rPr>
                <w:color w:val="000000"/>
                <w:sz w:val="20"/>
                <w:szCs w:val="20"/>
              </w:rPr>
              <w:t>(7.25)</w:t>
            </w:r>
          </w:p>
        </w:tc>
        <w:tc>
          <w:tcPr>
            <w:tcW w:w="331" w:type="pct"/>
            <w:tcBorders>
              <w:left w:val="nil"/>
              <w:bottom w:val="single" w:sz="4" w:space="0" w:color="auto"/>
              <w:right w:val="nil"/>
            </w:tcBorders>
            <w:shd w:val="clear" w:color="auto" w:fill="auto"/>
            <w:noWrap/>
            <w:vAlign w:val="center"/>
          </w:tcPr>
          <w:p w14:paraId="02C5CABE" w14:textId="3C5109A7" w:rsidR="009771CF" w:rsidRPr="00E65AA7" w:rsidRDefault="009771CF" w:rsidP="00FA42FD">
            <w:pPr>
              <w:jc w:val="center"/>
              <w:rPr>
                <w:color w:val="000000"/>
                <w:sz w:val="20"/>
                <w:szCs w:val="20"/>
              </w:rPr>
            </w:pPr>
            <w:r>
              <w:rPr>
                <w:color w:val="000000"/>
                <w:sz w:val="20"/>
                <w:szCs w:val="20"/>
              </w:rPr>
              <w:t>(6.97)</w:t>
            </w:r>
          </w:p>
        </w:tc>
        <w:tc>
          <w:tcPr>
            <w:tcW w:w="330" w:type="pct"/>
            <w:tcBorders>
              <w:left w:val="nil"/>
              <w:bottom w:val="single" w:sz="4" w:space="0" w:color="auto"/>
              <w:right w:val="nil"/>
            </w:tcBorders>
          </w:tcPr>
          <w:p w14:paraId="34007FCD" w14:textId="77777777" w:rsidR="009771CF" w:rsidRDefault="009771CF" w:rsidP="00FA42FD">
            <w:pPr>
              <w:jc w:val="center"/>
              <w:rPr>
                <w:color w:val="000000"/>
                <w:sz w:val="20"/>
                <w:szCs w:val="20"/>
              </w:rPr>
            </w:pPr>
          </w:p>
        </w:tc>
      </w:tr>
      <w:tr w:rsidR="009771CF" w:rsidRPr="00E65AA7" w14:paraId="12D4179D" w14:textId="77777777" w:rsidTr="009771CF">
        <w:trPr>
          <w:trHeight w:hRule="exact" w:val="255"/>
        </w:trPr>
        <w:tc>
          <w:tcPr>
            <w:tcW w:w="5000" w:type="pct"/>
            <w:gridSpan w:val="15"/>
            <w:tcBorders>
              <w:left w:val="nil"/>
              <w:bottom w:val="single" w:sz="4" w:space="0" w:color="auto"/>
              <w:right w:val="nil"/>
            </w:tcBorders>
            <w:vAlign w:val="center"/>
          </w:tcPr>
          <w:p w14:paraId="23767786" w14:textId="42F7FCFC" w:rsidR="009771CF" w:rsidRDefault="00D37107" w:rsidP="00FA42FD">
            <w:pPr>
              <w:jc w:val="center"/>
              <w:rPr>
                <w:color w:val="000000"/>
                <w:sz w:val="20"/>
                <w:szCs w:val="20"/>
              </w:rPr>
            </w:pPr>
            <w:r>
              <w:rPr>
                <w:rFonts w:eastAsia="Times New Roman"/>
                <w:b/>
                <w:bCs/>
                <w:color w:val="000000"/>
                <w:sz w:val="20"/>
                <w:szCs w:val="20"/>
                <w:lang w:eastAsia="en-MY"/>
              </w:rPr>
              <w:t>Panel B</w:t>
            </w:r>
            <w:r w:rsidR="009771CF">
              <w:rPr>
                <w:rFonts w:eastAsia="Times New Roman"/>
                <w:b/>
                <w:bCs/>
                <w:color w:val="000000"/>
                <w:sz w:val="20"/>
                <w:szCs w:val="20"/>
                <w:lang w:eastAsia="en-MY"/>
              </w:rPr>
              <w:t>: Firm Age</w:t>
            </w:r>
          </w:p>
        </w:tc>
      </w:tr>
      <w:tr w:rsidR="009771CF" w:rsidRPr="00E65AA7" w14:paraId="3F9D7157" w14:textId="1233AEF2" w:rsidTr="009771CF">
        <w:trPr>
          <w:trHeight w:hRule="exact" w:val="255"/>
        </w:trPr>
        <w:tc>
          <w:tcPr>
            <w:tcW w:w="437" w:type="pct"/>
            <w:vMerge w:val="restart"/>
            <w:tcBorders>
              <w:top w:val="single" w:sz="4" w:space="0" w:color="auto"/>
              <w:left w:val="nil"/>
              <w:bottom w:val="nil"/>
              <w:right w:val="nil"/>
            </w:tcBorders>
            <w:shd w:val="clear" w:color="auto" w:fill="auto"/>
            <w:vAlign w:val="center"/>
            <w:hideMark/>
          </w:tcPr>
          <w:p w14:paraId="08F856B6" w14:textId="090DCE34" w:rsidR="009771CF" w:rsidRPr="00E65AA7" w:rsidRDefault="009771CF" w:rsidP="007D3CB0">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01" w:type="pct"/>
            <w:vMerge w:val="restart"/>
            <w:tcBorders>
              <w:top w:val="single" w:sz="4" w:space="0" w:color="auto"/>
              <w:left w:val="nil"/>
              <w:right w:val="nil"/>
            </w:tcBorders>
            <w:vAlign w:val="center"/>
          </w:tcPr>
          <w:p w14:paraId="3A2338A5" w14:textId="77777777" w:rsidR="009771CF" w:rsidRPr="00E65AA7" w:rsidRDefault="009771CF" w:rsidP="007D3CB0">
            <w:pPr>
              <w:jc w:val="center"/>
              <w:rPr>
                <w:rFonts w:eastAsia="Times New Roman"/>
                <w:color w:val="000000"/>
                <w:sz w:val="20"/>
                <w:szCs w:val="20"/>
                <w:lang w:eastAsia="en-MY"/>
              </w:rPr>
            </w:pPr>
            <w:r w:rsidRPr="00E65AA7">
              <w:rPr>
                <w:rFonts w:eastAsia="Times New Roman"/>
                <w:color w:val="000000"/>
                <w:sz w:val="20"/>
                <w:szCs w:val="20"/>
                <w:lang w:eastAsia="en-MY"/>
              </w:rPr>
              <w:t>152</w:t>
            </w:r>
          </w:p>
        </w:tc>
        <w:tc>
          <w:tcPr>
            <w:tcW w:w="297" w:type="pct"/>
            <w:tcBorders>
              <w:top w:val="single" w:sz="4" w:space="0" w:color="auto"/>
              <w:left w:val="nil"/>
              <w:bottom w:val="nil"/>
              <w:right w:val="nil"/>
            </w:tcBorders>
            <w:shd w:val="clear" w:color="auto" w:fill="auto"/>
            <w:noWrap/>
            <w:vAlign w:val="center"/>
            <w:hideMark/>
          </w:tcPr>
          <w:p w14:paraId="7440D214" w14:textId="77777777" w:rsidR="009771CF" w:rsidRPr="00E65AA7" w:rsidRDefault="009771CF" w:rsidP="007D3CB0">
            <w:pPr>
              <w:jc w:val="center"/>
              <w:rPr>
                <w:rFonts w:eastAsia="Times New Roman"/>
                <w:color w:val="000000"/>
                <w:sz w:val="20"/>
                <w:szCs w:val="20"/>
                <w:lang w:eastAsia="en-MY"/>
              </w:rPr>
            </w:pPr>
          </w:p>
        </w:tc>
        <w:tc>
          <w:tcPr>
            <w:tcW w:w="314" w:type="pct"/>
            <w:tcBorders>
              <w:top w:val="single" w:sz="4" w:space="0" w:color="auto"/>
              <w:left w:val="nil"/>
              <w:bottom w:val="nil"/>
              <w:right w:val="nil"/>
            </w:tcBorders>
            <w:shd w:val="clear" w:color="auto" w:fill="auto"/>
            <w:noWrap/>
            <w:vAlign w:val="center"/>
            <w:hideMark/>
          </w:tcPr>
          <w:p w14:paraId="75C835AF" w14:textId="3DB51FB1" w:rsidR="009771CF" w:rsidRPr="00E65AA7" w:rsidRDefault="009771CF" w:rsidP="007D3CB0">
            <w:pPr>
              <w:jc w:val="center"/>
              <w:rPr>
                <w:color w:val="000000"/>
                <w:sz w:val="20"/>
                <w:szCs w:val="20"/>
              </w:rPr>
            </w:pPr>
            <w:r>
              <w:rPr>
                <w:color w:val="000000"/>
                <w:sz w:val="20"/>
                <w:szCs w:val="20"/>
              </w:rPr>
              <w:t>2.99</w:t>
            </w:r>
          </w:p>
        </w:tc>
        <w:tc>
          <w:tcPr>
            <w:tcW w:w="345" w:type="pct"/>
            <w:tcBorders>
              <w:top w:val="single" w:sz="4" w:space="0" w:color="auto"/>
              <w:left w:val="nil"/>
              <w:bottom w:val="nil"/>
              <w:right w:val="nil"/>
            </w:tcBorders>
            <w:shd w:val="clear" w:color="auto" w:fill="auto"/>
            <w:noWrap/>
            <w:vAlign w:val="center"/>
            <w:hideMark/>
          </w:tcPr>
          <w:p w14:paraId="1CC0747C" w14:textId="1B1A8060" w:rsidR="009771CF" w:rsidRPr="00E65AA7" w:rsidRDefault="009771CF" w:rsidP="007D3CB0">
            <w:pPr>
              <w:jc w:val="center"/>
              <w:rPr>
                <w:color w:val="000000"/>
                <w:sz w:val="20"/>
                <w:szCs w:val="20"/>
              </w:rPr>
            </w:pPr>
            <w:r>
              <w:rPr>
                <w:color w:val="000000"/>
                <w:sz w:val="20"/>
                <w:szCs w:val="20"/>
              </w:rPr>
              <w:t>2.98</w:t>
            </w:r>
          </w:p>
        </w:tc>
        <w:tc>
          <w:tcPr>
            <w:tcW w:w="344" w:type="pct"/>
            <w:tcBorders>
              <w:top w:val="single" w:sz="4" w:space="0" w:color="auto"/>
              <w:left w:val="nil"/>
              <w:bottom w:val="nil"/>
              <w:right w:val="nil"/>
            </w:tcBorders>
            <w:shd w:val="clear" w:color="auto" w:fill="auto"/>
            <w:noWrap/>
            <w:vAlign w:val="center"/>
            <w:hideMark/>
          </w:tcPr>
          <w:p w14:paraId="1E4180E8" w14:textId="54246E1B" w:rsidR="009771CF" w:rsidRPr="00E65AA7" w:rsidRDefault="009771CF" w:rsidP="007D3CB0">
            <w:pPr>
              <w:jc w:val="center"/>
              <w:rPr>
                <w:color w:val="000000"/>
                <w:sz w:val="20"/>
                <w:szCs w:val="20"/>
              </w:rPr>
            </w:pPr>
            <w:r>
              <w:rPr>
                <w:color w:val="000000"/>
                <w:sz w:val="20"/>
                <w:szCs w:val="20"/>
              </w:rPr>
              <w:t>2.97</w:t>
            </w:r>
          </w:p>
        </w:tc>
        <w:tc>
          <w:tcPr>
            <w:tcW w:w="343" w:type="pct"/>
            <w:tcBorders>
              <w:top w:val="single" w:sz="4" w:space="0" w:color="auto"/>
              <w:left w:val="nil"/>
              <w:bottom w:val="nil"/>
              <w:right w:val="nil"/>
            </w:tcBorders>
            <w:shd w:val="clear" w:color="auto" w:fill="auto"/>
            <w:noWrap/>
            <w:vAlign w:val="center"/>
            <w:hideMark/>
          </w:tcPr>
          <w:p w14:paraId="51FAFF2D" w14:textId="793CCACD" w:rsidR="009771CF" w:rsidRPr="00E65AA7" w:rsidRDefault="009771CF" w:rsidP="007D3CB0">
            <w:pPr>
              <w:jc w:val="center"/>
              <w:rPr>
                <w:color w:val="000000"/>
                <w:sz w:val="20"/>
                <w:szCs w:val="20"/>
              </w:rPr>
            </w:pPr>
            <w:r>
              <w:rPr>
                <w:color w:val="000000"/>
                <w:sz w:val="20"/>
                <w:szCs w:val="20"/>
              </w:rPr>
              <w:t>2.83</w:t>
            </w:r>
          </w:p>
        </w:tc>
        <w:tc>
          <w:tcPr>
            <w:tcW w:w="343" w:type="pct"/>
            <w:tcBorders>
              <w:top w:val="single" w:sz="4" w:space="0" w:color="auto"/>
              <w:left w:val="nil"/>
              <w:bottom w:val="nil"/>
              <w:right w:val="nil"/>
            </w:tcBorders>
            <w:shd w:val="clear" w:color="auto" w:fill="auto"/>
            <w:noWrap/>
            <w:vAlign w:val="center"/>
            <w:hideMark/>
          </w:tcPr>
          <w:p w14:paraId="251C3259" w14:textId="40156682" w:rsidR="009771CF" w:rsidRPr="00E65AA7" w:rsidRDefault="009771CF" w:rsidP="007D3CB0">
            <w:pPr>
              <w:jc w:val="center"/>
              <w:rPr>
                <w:color w:val="000000"/>
                <w:sz w:val="20"/>
                <w:szCs w:val="20"/>
              </w:rPr>
            </w:pPr>
            <w:r>
              <w:rPr>
                <w:color w:val="000000"/>
                <w:sz w:val="20"/>
                <w:szCs w:val="20"/>
              </w:rPr>
              <w:t>2.49</w:t>
            </w:r>
          </w:p>
        </w:tc>
        <w:tc>
          <w:tcPr>
            <w:tcW w:w="343" w:type="pct"/>
            <w:tcBorders>
              <w:top w:val="single" w:sz="4" w:space="0" w:color="auto"/>
              <w:left w:val="nil"/>
              <w:bottom w:val="nil"/>
              <w:right w:val="nil"/>
            </w:tcBorders>
            <w:shd w:val="clear" w:color="auto" w:fill="auto"/>
            <w:noWrap/>
            <w:vAlign w:val="center"/>
            <w:hideMark/>
          </w:tcPr>
          <w:p w14:paraId="45C4415F" w14:textId="7853C2AF" w:rsidR="009771CF" w:rsidRPr="00E65AA7" w:rsidRDefault="009771CF" w:rsidP="007D3CB0">
            <w:pPr>
              <w:jc w:val="center"/>
              <w:rPr>
                <w:color w:val="000000"/>
                <w:sz w:val="20"/>
                <w:szCs w:val="20"/>
              </w:rPr>
            </w:pPr>
            <w:r>
              <w:rPr>
                <w:color w:val="000000"/>
                <w:sz w:val="20"/>
                <w:szCs w:val="20"/>
              </w:rPr>
              <w:t>2.45</w:t>
            </w:r>
          </w:p>
        </w:tc>
        <w:tc>
          <w:tcPr>
            <w:tcW w:w="343" w:type="pct"/>
            <w:tcBorders>
              <w:top w:val="single" w:sz="4" w:space="0" w:color="auto"/>
              <w:left w:val="nil"/>
              <w:bottom w:val="nil"/>
              <w:right w:val="nil"/>
            </w:tcBorders>
            <w:shd w:val="clear" w:color="auto" w:fill="auto"/>
            <w:noWrap/>
            <w:vAlign w:val="center"/>
            <w:hideMark/>
          </w:tcPr>
          <w:p w14:paraId="150CA677" w14:textId="55E3ED63" w:rsidR="009771CF" w:rsidRPr="00E65AA7" w:rsidRDefault="009771CF" w:rsidP="007D3CB0">
            <w:pPr>
              <w:jc w:val="center"/>
              <w:rPr>
                <w:color w:val="000000"/>
                <w:sz w:val="20"/>
                <w:szCs w:val="20"/>
              </w:rPr>
            </w:pPr>
            <w:r>
              <w:rPr>
                <w:color w:val="000000"/>
                <w:sz w:val="20"/>
                <w:szCs w:val="20"/>
              </w:rPr>
              <w:t>2.14</w:t>
            </w:r>
          </w:p>
        </w:tc>
        <w:tc>
          <w:tcPr>
            <w:tcW w:w="343" w:type="pct"/>
            <w:tcBorders>
              <w:top w:val="single" w:sz="4" w:space="0" w:color="auto"/>
              <w:left w:val="nil"/>
              <w:bottom w:val="nil"/>
              <w:right w:val="nil"/>
            </w:tcBorders>
            <w:shd w:val="clear" w:color="auto" w:fill="auto"/>
            <w:noWrap/>
            <w:vAlign w:val="center"/>
            <w:hideMark/>
          </w:tcPr>
          <w:p w14:paraId="215AEB9D" w14:textId="1817048A" w:rsidR="009771CF" w:rsidRPr="00E65AA7" w:rsidRDefault="009771CF" w:rsidP="007D3CB0">
            <w:pPr>
              <w:jc w:val="center"/>
              <w:rPr>
                <w:color w:val="000000"/>
                <w:sz w:val="20"/>
                <w:szCs w:val="20"/>
              </w:rPr>
            </w:pPr>
            <w:r>
              <w:rPr>
                <w:color w:val="000000"/>
                <w:sz w:val="20"/>
                <w:szCs w:val="20"/>
              </w:rPr>
              <w:t>2.00</w:t>
            </w:r>
          </w:p>
        </w:tc>
        <w:tc>
          <w:tcPr>
            <w:tcW w:w="343" w:type="pct"/>
            <w:tcBorders>
              <w:top w:val="single" w:sz="4" w:space="0" w:color="auto"/>
              <w:left w:val="nil"/>
              <w:bottom w:val="nil"/>
              <w:right w:val="nil"/>
            </w:tcBorders>
            <w:shd w:val="clear" w:color="auto" w:fill="auto"/>
            <w:noWrap/>
            <w:vAlign w:val="center"/>
            <w:hideMark/>
          </w:tcPr>
          <w:p w14:paraId="380DAB58" w14:textId="4E90F4C4" w:rsidR="009771CF" w:rsidRPr="00E65AA7" w:rsidRDefault="009771CF" w:rsidP="007D3CB0">
            <w:pPr>
              <w:jc w:val="center"/>
              <w:rPr>
                <w:color w:val="000000"/>
                <w:sz w:val="20"/>
                <w:szCs w:val="20"/>
              </w:rPr>
            </w:pPr>
            <w:r>
              <w:rPr>
                <w:color w:val="000000"/>
                <w:sz w:val="20"/>
                <w:szCs w:val="20"/>
              </w:rPr>
              <w:t>1.71</w:t>
            </w:r>
          </w:p>
        </w:tc>
        <w:tc>
          <w:tcPr>
            <w:tcW w:w="343" w:type="pct"/>
            <w:tcBorders>
              <w:top w:val="single" w:sz="4" w:space="0" w:color="auto"/>
              <w:left w:val="nil"/>
              <w:bottom w:val="nil"/>
              <w:right w:val="nil"/>
            </w:tcBorders>
            <w:shd w:val="clear" w:color="auto" w:fill="auto"/>
            <w:noWrap/>
            <w:vAlign w:val="center"/>
            <w:hideMark/>
          </w:tcPr>
          <w:p w14:paraId="7F73297B" w14:textId="7EC8D56A" w:rsidR="009771CF" w:rsidRPr="00E65AA7" w:rsidRDefault="009771CF" w:rsidP="007D3CB0">
            <w:pPr>
              <w:jc w:val="center"/>
              <w:rPr>
                <w:color w:val="000000"/>
                <w:sz w:val="20"/>
                <w:szCs w:val="20"/>
              </w:rPr>
            </w:pPr>
            <w:r>
              <w:rPr>
                <w:color w:val="000000"/>
                <w:sz w:val="20"/>
                <w:szCs w:val="20"/>
              </w:rPr>
              <w:t>2.12</w:t>
            </w:r>
          </w:p>
        </w:tc>
        <w:tc>
          <w:tcPr>
            <w:tcW w:w="331" w:type="pct"/>
            <w:tcBorders>
              <w:top w:val="single" w:sz="4" w:space="0" w:color="auto"/>
              <w:left w:val="nil"/>
              <w:bottom w:val="nil"/>
              <w:right w:val="nil"/>
            </w:tcBorders>
            <w:shd w:val="clear" w:color="auto" w:fill="auto"/>
            <w:noWrap/>
            <w:vAlign w:val="center"/>
            <w:hideMark/>
          </w:tcPr>
          <w:p w14:paraId="000B3DB6" w14:textId="18D9B86A" w:rsidR="009771CF" w:rsidRPr="00E65AA7" w:rsidRDefault="009771CF" w:rsidP="007D3CB0">
            <w:pPr>
              <w:jc w:val="center"/>
              <w:rPr>
                <w:color w:val="000000"/>
                <w:sz w:val="20"/>
                <w:szCs w:val="20"/>
              </w:rPr>
            </w:pPr>
            <w:r>
              <w:rPr>
                <w:color w:val="000000"/>
                <w:sz w:val="20"/>
                <w:szCs w:val="20"/>
              </w:rPr>
              <w:t>-0.87</w:t>
            </w:r>
          </w:p>
        </w:tc>
        <w:tc>
          <w:tcPr>
            <w:tcW w:w="330" w:type="pct"/>
            <w:tcBorders>
              <w:top w:val="single" w:sz="4" w:space="0" w:color="auto"/>
              <w:left w:val="nil"/>
              <w:bottom w:val="nil"/>
              <w:right w:val="nil"/>
            </w:tcBorders>
          </w:tcPr>
          <w:p w14:paraId="63CB3ABA" w14:textId="77777777" w:rsidR="009771CF" w:rsidRDefault="009771CF" w:rsidP="007D3CB0">
            <w:pPr>
              <w:jc w:val="center"/>
              <w:rPr>
                <w:color w:val="000000"/>
                <w:sz w:val="20"/>
                <w:szCs w:val="20"/>
              </w:rPr>
            </w:pPr>
          </w:p>
        </w:tc>
      </w:tr>
      <w:tr w:rsidR="009771CF" w:rsidRPr="00E65AA7" w14:paraId="197B654B" w14:textId="0698CFFC" w:rsidTr="009771CF">
        <w:trPr>
          <w:trHeight w:hRule="exact" w:val="255"/>
        </w:trPr>
        <w:tc>
          <w:tcPr>
            <w:tcW w:w="437" w:type="pct"/>
            <w:vMerge/>
            <w:tcBorders>
              <w:top w:val="nil"/>
              <w:left w:val="nil"/>
              <w:bottom w:val="nil"/>
              <w:right w:val="nil"/>
            </w:tcBorders>
            <w:vAlign w:val="center"/>
            <w:hideMark/>
          </w:tcPr>
          <w:p w14:paraId="49929377" w14:textId="77777777" w:rsidR="009771CF" w:rsidRPr="00E65AA7" w:rsidRDefault="009771CF" w:rsidP="007D3CB0">
            <w:pPr>
              <w:rPr>
                <w:rFonts w:eastAsia="Times New Roman"/>
                <w:b/>
                <w:color w:val="000000"/>
                <w:sz w:val="20"/>
                <w:szCs w:val="20"/>
                <w:lang w:eastAsia="en-MY"/>
              </w:rPr>
            </w:pPr>
          </w:p>
        </w:tc>
        <w:tc>
          <w:tcPr>
            <w:tcW w:w="201" w:type="pct"/>
            <w:vMerge/>
            <w:tcBorders>
              <w:left w:val="nil"/>
              <w:bottom w:val="nil"/>
              <w:right w:val="nil"/>
            </w:tcBorders>
            <w:vAlign w:val="center"/>
          </w:tcPr>
          <w:p w14:paraId="17301553" w14:textId="77777777" w:rsidR="009771CF" w:rsidRPr="00E65AA7" w:rsidRDefault="009771CF" w:rsidP="007D3CB0">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hideMark/>
          </w:tcPr>
          <w:p w14:paraId="2AAEC381" w14:textId="77777777" w:rsidR="009771CF" w:rsidRPr="00E65AA7" w:rsidRDefault="009771CF" w:rsidP="007D3CB0">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0D8F081A" w14:textId="66FC48FE" w:rsidR="009771CF" w:rsidRPr="00E65AA7" w:rsidRDefault="009771CF" w:rsidP="007D3CB0">
            <w:pPr>
              <w:jc w:val="center"/>
              <w:rPr>
                <w:color w:val="000000"/>
                <w:sz w:val="20"/>
                <w:szCs w:val="20"/>
              </w:rPr>
            </w:pPr>
            <w:r>
              <w:rPr>
                <w:color w:val="000000"/>
                <w:sz w:val="20"/>
                <w:szCs w:val="20"/>
              </w:rPr>
              <w:t>(6.11)</w:t>
            </w:r>
          </w:p>
        </w:tc>
        <w:tc>
          <w:tcPr>
            <w:tcW w:w="345" w:type="pct"/>
            <w:tcBorders>
              <w:top w:val="nil"/>
              <w:left w:val="nil"/>
              <w:bottom w:val="nil"/>
              <w:right w:val="nil"/>
            </w:tcBorders>
            <w:shd w:val="clear" w:color="auto" w:fill="auto"/>
            <w:noWrap/>
            <w:vAlign w:val="center"/>
            <w:hideMark/>
          </w:tcPr>
          <w:p w14:paraId="433697ED" w14:textId="637132B6" w:rsidR="009771CF" w:rsidRPr="00E65AA7" w:rsidRDefault="009771CF" w:rsidP="007D3CB0">
            <w:pPr>
              <w:jc w:val="center"/>
              <w:rPr>
                <w:color w:val="000000"/>
                <w:sz w:val="20"/>
                <w:szCs w:val="20"/>
              </w:rPr>
            </w:pPr>
            <w:r>
              <w:rPr>
                <w:color w:val="000000"/>
                <w:sz w:val="20"/>
                <w:szCs w:val="20"/>
              </w:rPr>
              <w:t>(6.23)</w:t>
            </w:r>
          </w:p>
        </w:tc>
        <w:tc>
          <w:tcPr>
            <w:tcW w:w="344" w:type="pct"/>
            <w:tcBorders>
              <w:top w:val="nil"/>
              <w:left w:val="nil"/>
              <w:bottom w:val="nil"/>
              <w:right w:val="nil"/>
            </w:tcBorders>
            <w:shd w:val="clear" w:color="auto" w:fill="auto"/>
            <w:noWrap/>
            <w:vAlign w:val="center"/>
            <w:hideMark/>
          </w:tcPr>
          <w:p w14:paraId="206F27B5" w14:textId="6220428D" w:rsidR="009771CF" w:rsidRPr="00E65AA7" w:rsidRDefault="009771CF" w:rsidP="007D3CB0">
            <w:pPr>
              <w:jc w:val="center"/>
              <w:rPr>
                <w:color w:val="000000"/>
                <w:sz w:val="20"/>
                <w:szCs w:val="20"/>
              </w:rPr>
            </w:pPr>
            <w:r>
              <w:rPr>
                <w:color w:val="000000"/>
                <w:sz w:val="20"/>
                <w:szCs w:val="20"/>
              </w:rPr>
              <w:t>(6.72)</w:t>
            </w:r>
          </w:p>
        </w:tc>
        <w:tc>
          <w:tcPr>
            <w:tcW w:w="343" w:type="pct"/>
            <w:tcBorders>
              <w:top w:val="nil"/>
              <w:left w:val="nil"/>
              <w:bottom w:val="nil"/>
              <w:right w:val="nil"/>
            </w:tcBorders>
            <w:shd w:val="clear" w:color="auto" w:fill="auto"/>
            <w:noWrap/>
            <w:vAlign w:val="center"/>
            <w:hideMark/>
          </w:tcPr>
          <w:p w14:paraId="6352FE9A" w14:textId="200706D3" w:rsidR="009771CF" w:rsidRPr="00E65AA7" w:rsidRDefault="009771CF" w:rsidP="007D3CB0">
            <w:pPr>
              <w:jc w:val="center"/>
              <w:rPr>
                <w:color w:val="000000"/>
                <w:sz w:val="20"/>
                <w:szCs w:val="20"/>
              </w:rPr>
            </w:pPr>
            <w:r>
              <w:rPr>
                <w:color w:val="000000"/>
                <w:sz w:val="20"/>
                <w:szCs w:val="20"/>
              </w:rPr>
              <w:t>(7.02)</w:t>
            </w:r>
          </w:p>
        </w:tc>
        <w:tc>
          <w:tcPr>
            <w:tcW w:w="343" w:type="pct"/>
            <w:tcBorders>
              <w:top w:val="nil"/>
              <w:left w:val="nil"/>
              <w:bottom w:val="nil"/>
              <w:right w:val="nil"/>
            </w:tcBorders>
            <w:shd w:val="clear" w:color="auto" w:fill="auto"/>
            <w:noWrap/>
            <w:vAlign w:val="center"/>
            <w:hideMark/>
          </w:tcPr>
          <w:p w14:paraId="01FE4E77" w14:textId="6187D2C6" w:rsidR="009771CF" w:rsidRPr="00E65AA7" w:rsidRDefault="009771CF" w:rsidP="007D3CB0">
            <w:pPr>
              <w:jc w:val="center"/>
              <w:rPr>
                <w:color w:val="000000"/>
                <w:sz w:val="20"/>
                <w:szCs w:val="20"/>
              </w:rPr>
            </w:pPr>
            <w:r>
              <w:rPr>
                <w:color w:val="000000"/>
                <w:sz w:val="20"/>
                <w:szCs w:val="20"/>
              </w:rPr>
              <w:t>(6.72)</w:t>
            </w:r>
          </w:p>
        </w:tc>
        <w:tc>
          <w:tcPr>
            <w:tcW w:w="343" w:type="pct"/>
            <w:tcBorders>
              <w:top w:val="nil"/>
              <w:left w:val="nil"/>
              <w:bottom w:val="nil"/>
              <w:right w:val="nil"/>
            </w:tcBorders>
            <w:shd w:val="clear" w:color="auto" w:fill="auto"/>
            <w:noWrap/>
            <w:vAlign w:val="center"/>
            <w:hideMark/>
          </w:tcPr>
          <w:p w14:paraId="1414C9A8" w14:textId="533BF0E4" w:rsidR="009771CF" w:rsidRPr="00E65AA7" w:rsidRDefault="009771CF" w:rsidP="007D3CB0">
            <w:pPr>
              <w:jc w:val="center"/>
              <w:rPr>
                <w:color w:val="000000"/>
                <w:sz w:val="20"/>
                <w:szCs w:val="20"/>
              </w:rPr>
            </w:pPr>
            <w:r>
              <w:rPr>
                <w:color w:val="000000"/>
                <w:sz w:val="20"/>
                <w:szCs w:val="20"/>
              </w:rPr>
              <w:t>(7.47)</w:t>
            </w:r>
          </w:p>
        </w:tc>
        <w:tc>
          <w:tcPr>
            <w:tcW w:w="343" w:type="pct"/>
            <w:tcBorders>
              <w:top w:val="nil"/>
              <w:left w:val="nil"/>
              <w:bottom w:val="nil"/>
              <w:right w:val="nil"/>
            </w:tcBorders>
            <w:shd w:val="clear" w:color="auto" w:fill="auto"/>
            <w:noWrap/>
            <w:vAlign w:val="center"/>
            <w:hideMark/>
          </w:tcPr>
          <w:p w14:paraId="7C88DBC4" w14:textId="1FB09A31" w:rsidR="009771CF" w:rsidRPr="00E65AA7" w:rsidRDefault="009771CF" w:rsidP="007D3CB0">
            <w:pPr>
              <w:jc w:val="center"/>
              <w:rPr>
                <w:color w:val="000000"/>
                <w:sz w:val="20"/>
                <w:szCs w:val="20"/>
              </w:rPr>
            </w:pPr>
            <w:r>
              <w:rPr>
                <w:color w:val="000000"/>
                <w:sz w:val="20"/>
                <w:szCs w:val="20"/>
              </w:rPr>
              <w:t>(6.89)</w:t>
            </w:r>
          </w:p>
        </w:tc>
        <w:tc>
          <w:tcPr>
            <w:tcW w:w="343" w:type="pct"/>
            <w:tcBorders>
              <w:top w:val="nil"/>
              <w:left w:val="nil"/>
              <w:bottom w:val="nil"/>
              <w:right w:val="nil"/>
            </w:tcBorders>
            <w:shd w:val="clear" w:color="auto" w:fill="auto"/>
            <w:noWrap/>
            <w:vAlign w:val="center"/>
            <w:hideMark/>
          </w:tcPr>
          <w:p w14:paraId="2963E5B7" w14:textId="180B340C" w:rsidR="009771CF" w:rsidRPr="00E65AA7" w:rsidRDefault="009771CF" w:rsidP="007D3CB0">
            <w:pPr>
              <w:jc w:val="center"/>
              <w:rPr>
                <w:color w:val="000000"/>
                <w:sz w:val="20"/>
                <w:szCs w:val="20"/>
              </w:rPr>
            </w:pPr>
            <w:r>
              <w:rPr>
                <w:color w:val="000000"/>
                <w:sz w:val="20"/>
                <w:szCs w:val="20"/>
              </w:rPr>
              <w:t>(6.17)</w:t>
            </w:r>
          </w:p>
        </w:tc>
        <w:tc>
          <w:tcPr>
            <w:tcW w:w="343" w:type="pct"/>
            <w:tcBorders>
              <w:top w:val="nil"/>
              <w:left w:val="nil"/>
              <w:bottom w:val="nil"/>
              <w:right w:val="nil"/>
            </w:tcBorders>
            <w:shd w:val="clear" w:color="auto" w:fill="auto"/>
            <w:noWrap/>
            <w:vAlign w:val="center"/>
            <w:hideMark/>
          </w:tcPr>
          <w:p w14:paraId="78706C87" w14:textId="2192409F" w:rsidR="009771CF" w:rsidRPr="00E65AA7" w:rsidRDefault="009771CF" w:rsidP="007D3CB0">
            <w:pPr>
              <w:jc w:val="center"/>
              <w:rPr>
                <w:color w:val="000000"/>
                <w:sz w:val="20"/>
                <w:szCs w:val="20"/>
              </w:rPr>
            </w:pPr>
            <w:r>
              <w:rPr>
                <w:color w:val="000000"/>
                <w:sz w:val="20"/>
                <w:szCs w:val="20"/>
              </w:rPr>
              <w:t>(5.7</w:t>
            </w:r>
            <w:r w:rsidR="006103D5">
              <w:rPr>
                <w:color w:val="000000"/>
                <w:sz w:val="20"/>
                <w:szCs w:val="20"/>
              </w:rPr>
              <w:t>0</w:t>
            </w:r>
            <w:r>
              <w:rPr>
                <w:color w:val="000000"/>
                <w:sz w:val="20"/>
                <w:szCs w:val="20"/>
              </w:rPr>
              <w:t>)</w:t>
            </w:r>
          </w:p>
        </w:tc>
        <w:tc>
          <w:tcPr>
            <w:tcW w:w="343" w:type="pct"/>
            <w:tcBorders>
              <w:top w:val="nil"/>
              <w:left w:val="nil"/>
              <w:bottom w:val="nil"/>
              <w:right w:val="nil"/>
            </w:tcBorders>
            <w:shd w:val="clear" w:color="auto" w:fill="auto"/>
            <w:noWrap/>
            <w:vAlign w:val="center"/>
            <w:hideMark/>
          </w:tcPr>
          <w:p w14:paraId="0C006916" w14:textId="32D9588D" w:rsidR="009771CF" w:rsidRPr="00E65AA7" w:rsidRDefault="009771CF" w:rsidP="007D3CB0">
            <w:pPr>
              <w:jc w:val="center"/>
              <w:rPr>
                <w:color w:val="000000"/>
                <w:sz w:val="20"/>
                <w:szCs w:val="20"/>
              </w:rPr>
            </w:pPr>
            <w:r>
              <w:rPr>
                <w:color w:val="000000"/>
                <w:sz w:val="20"/>
                <w:szCs w:val="20"/>
              </w:rPr>
              <w:t>(6.32)</w:t>
            </w:r>
          </w:p>
        </w:tc>
        <w:tc>
          <w:tcPr>
            <w:tcW w:w="331" w:type="pct"/>
            <w:tcBorders>
              <w:top w:val="nil"/>
              <w:left w:val="nil"/>
              <w:bottom w:val="nil"/>
              <w:right w:val="nil"/>
            </w:tcBorders>
            <w:shd w:val="clear" w:color="auto" w:fill="auto"/>
            <w:noWrap/>
            <w:vAlign w:val="center"/>
            <w:hideMark/>
          </w:tcPr>
          <w:p w14:paraId="06CC3628" w14:textId="26B2B766" w:rsidR="009771CF" w:rsidRPr="00E65AA7" w:rsidRDefault="009771CF" w:rsidP="007D3CB0">
            <w:pPr>
              <w:jc w:val="center"/>
              <w:rPr>
                <w:color w:val="000000"/>
                <w:sz w:val="20"/>
                <w:szCs w:val="20"/>
              </w:rPr>
            </w:pPr>
            <w:r>
              <w:rPr>
                <w:color w:val="000000"/>
                <w:sz w:val="20"/>
                <w:szCs w:val="20"/>
              </w:rPr>
              <w:t>(-2.30)</w:t>
            </w:r>
          </w:p>
        </w:tc>
        <w:tc>
          <w:tcPr>
            <w:tcW w:w="330" w:type="pct"/>
            <w:tcBorders>
              <w:top w:val="nil"/>
              <w:left w:val="nil"/>
              <w:bottom w:val="nil"/>
              <w:right w:val="nil"/>
            </w:tcBorders>
          </w:tcPr>
          <w:p w14:paraId="2F6FA4EE" w14:textId="77777777" w:rsidR="009771CF" w:rsidRDefault="009771CF" w:rsidP="007D3CB0">
            <w:pPr>
              <w:jc w:val="center"/>
              <w:rPr>
                <w:color w:val="000000"/>
                <w:sz w:val="20"/>
                <w:szCs w:val="20"/>
              </w:rPr>
            </w:pPr>
          </w:p>
        </w:tc>
      </w:tr>
      <w:tr w:rsidR="009771CF" w:rsidRPr="00E65AA7" w14:paraId="647E792A" w14:textId="691702A5"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76F0E7BF" w14:textId="37C82477" w:rsidR="009771CF" w:rsidRPr="00E65AA7" w:rsidRDefault="009771CF" w:rsidP="007D3CB0">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01" w:type="pct"/>
            <w:vMerge w:val="restart"/>
            <w:tcBorders>
              <w:top w:val="nil"/>
              <w:left w:val="nil"/>
              <w:right w:val="nil"/>
            </w:tcBorders>
            <w:vAlign w:val="center"/>
          </w:tcPr>
          <w:p w14:paraId="12F78606" w14:textId="77777777" w:rsidR="009771CF" w:rsidRPr="00E65AA7" w:rsidRDefault="009771CF" w:rsidP="007D3CB0">
            <w:pPr>
              <w:jc w:val="center"/>
              <w:rPr>
                <w:rFonts w:eastAsia="Times New Roman"/>
                <w:color w:val="000000"/>
                <w:sz w:val="20"/>
                <w:szCs w:val="20"/>
                <w:lang w:eastAsia="en-MY"/>
              </w:rPr>
            </w:pPr>
            <w:r w:rsidRPr="00E65AA7">
              <w:rPr>
                <w:rFonts w:eastAsia="Times New Roman"/>
                <w:color w:val="000000"/>
                <w:sz w:val="20"/>
                <w:szCs w:val="20"/>
                <w:lang w:eastAsia="en-MY"/>
              </w:rPr>
              <w:t>170</w:t>
            </w:r>
          </w:p>
        </w:tc>
        <w:tc>
          <w:tcPr>
            <w:tcW w:w="297" w:type="pct"/>
            <w:tcBorders>
              <w:top w:val="nil"/>
              <w:left w:val="nil"/>
              <w:bottom w:val="nil"/>
              <w:right w:val="nil"/>
            </w:tcBorders>
            <w:shd w:val="clear" w:color="auto" w:fill="auto"/>
            <w:noWrap/>
            <w:vAlign w:val="center"/>
            <w:hideMark/>
          </w:tcPr>
          <w:p w14:paraId="3CDD3C91" w14:textId="77777777" w:rsidR="009771CF" w:rsidRPr="00E65AA7" w:rsidRDefault="009771CF" w:rsidP="007D3CB0">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0E695CD9" w14:textId="0A91D77D" w:rsidR="009771CF" w:rsidRPr="00E65AA7" w:rsidRDefault="009771CF" w:rsidP="007D3CB0">
            <w:pPr>
              <w:jc w:val="center"/>
              <w:rPr>
                <w:color w:val="000000"/>
                <w:sz w:val="20"/>
                <w:szCs w:val="20"/>
              </w:rPr>
            </w:pPr>
            <w:r>
              <w:rPr>
                <w:color w:val="000000"/>
                <w:sz w:val="20"/>
                <w:szCs w:val="20"/>
              </w:rPr>
              <w:t>-1.74</w:t>
            </w:r>
          </w:p>
        </w:tc>
        <w:tc>
          <w:tcPr>
            <w:tcW w:w="345" w:type="pct"/>
            <w:tcBorders>
              <w:top w:val="nil"/>
              <w:left w:val="nil"/>
              <w:bottom w:val="nil"/>
              <w:right w:val="nil"/>
            </w:tcBorders>
            <w:shd w:val="clear" w:color="auto" w:fill="auto"/>
            <w:noWrap/>
            <w:vAlign w:val="center"/>
            <w:hideMark/>
          </w:tcPr>
          <w:p w14:paraId="7B1B9FF5" w14:textId="0075834A" w:rsidR="009771CF" w:rsidRPr="00E65AA7" w:rsidRDefault="009771CF" w:rsidP="007D3CB0">
            <w:pPr>
              <w:jc w:val="center"/>
              <w:rPr>
                <w:color w:val="000000"/>
                <w:sz w:val="20"/>
                <w:szCs w:val="20"/>
              </w:rPr>
            </w:pPr>
            <w:r>
              <w:rPr>
                <w:color w:val="000000"/>
                <w:sz w:val="20"/>
                <w:szCs w:val="20"/>
              </w:rPr>
              <w:t>-1.21</w:t>
            </w:r>
          </w:p>
        </w:tc>
        <w:tc>
          <w:tcPr>
            <w:tcW w:w="344" w:type="pct"/>
            <w:tcBorders>
              <w:top w:val="nil"/>
              <w:left w:val="nil"/>
              <w:bottom w:val="nil"/>
              <w:right w:val="nil"/>
            </w:tcBorders>
            <w:shd w:val="clear" w:color="auto" w:fill="auto"/>
            <w:noWrap/>
            <w:vAlign w:val="center"/>
            <w:hideMark/>
          </w:tcPr>
          <w:p w14:paraId="6DD483DF" w14:textId="544E8842" w:rsidR="009771CF" w:rsidRPr="00E65AA7" w:rsidRDefault="009771CF" w:rsidP="007D3CB0">
            <w:pPr>
              <w:jc w:val="center"/>
              <w:rPr>
                <w:color w:val="000000"/>
                <w:sz w:val="20"/>
                <w:szCs w:val="20"/>
              </w:rPr>
            </w:pPr>
            <w:r>
              <w:rPr>
                <w:color w:val="000000"/>
                <w:sz w:val="20"/>
                <w:szCs w:val="20"/>
              </w:rPr>
              <w:t>-0.84</w:t>
            </w:r>
          </w:p>
        </w:tc>
        <w:tc>
          <w:tcPr>
            <w:tcW w:w="343" w:type="pct"/>
            <w:tcBorders>
              <w:top w:val="nil"/>
              <w:left w:val="nil"/>
              <w:bottom w:val="nil"/>
              <w:right w:val="nil"/>
            </w:tcBorders>
            <w:shd w:val="clear" w:color="auto" w:fill="auto"/>
            <w:noWrap/>
            <w:vAlign w:val="center"/>
            <w:hideMark/>
          </w:tcPr>
          <w:p w14:paraId="0CD3E43F" w14:textId="7AA9A543" w:rsidR="009771CF" w:rsidRPr="00E65AA7" w:rsidRDefault="009771CF" w:rsidP="007D3CB0">
            <w:pPr>
              <w:jc w:val="center"/>
              <w:rPr>
                <w:color w:val="000000"/>
                <w:sz w:val="20"/>
                <w:szCs w:val="20"/>
              </w:rPr>
            </w:pPr>
            <w:r>
              <w:rPr>
                <w:color w:val="000000"/>
                <w:sz w:val="20"/>
                <w:szCs w:val="20"/>
              </w:rPr>
              <w:t>-0.38</w:t>
            </w:r>
          </w:p>
        </w:tc>
        <w:tc>
          <w:tcPr>
            <w:tcW w:w="343" w:type="pct"/>
            <w:tcBorders>
              <w:top w:val="nil"/>
              <w:left w:val="nil"/>
              <w:bottom w:val="nil"/>
              <w:right w:val="nil"/>
            </w:tcBorders>
            <w:shd w:val="clear" w:color="auto" w:fill="auto"/>
            <w:noWrap/>
            <w:vAlign w:val="center"/>
            <w:hideMark/>
          </w:tcPr>
          <w:p w14:paraId="37E7FD75" w14:textId="051CEAF9" w:rsidR="009771CF" w:rsidRPr="00E65AA7" w:rsidRDefault="009771CF" w:rsidP="007D3CB0">
            <w:pPr>
              <w:jc w:val="center"/>
              <w:rPr>
                <w:color w:val="000000"/>
                <w:sz w:val="20"/>
                <w:szCs w:val="20"/>
              </w:rPr>
            </w:pPr>
            <w:r>
              <w:rPr>
                <w:color w:val="000000"/>
                <w:sz w:val="20"/>
                <w:szCs w:val="20"/>
              </w:rPr>
              <w:t>-0.19</w:t>
            </w:r>
          </w:p>
        </w:tc>
        <w:tc>
          <w:tcPr>
            <w:tcW w:w="343" w:type="pct"/>
            <w:tcBorders>
              <w:top w:val="nil"/>
              <w:left w:val="nil"/>
              <w:bottom w:val="nil"/>
              <w:right w:val="nil"/>
            </w:tcBorders>
            <w:shd w:val="clear" w:color="auto" w:fill="auto"/>
            <w:noWrap/>
            <w:vAlign w:val="center"/>
            <w:hideMark/>
          </w:tcPr>
          <w:p w14:paraId="59F350A9" w14:textId="5C828524" w:rsidR="009771CF" w:rsidRPr="00E65AA7" w:rsidRDefault="009771CF" w:rsidP="007D3CB0">
            <w:pPr>
              <w:jc w:val="center"/>
              <w:rPr>
                <w:color w:val="000000"/>
                <w:sz w:val="20"/>
                <w:szCs w:val="20"/>
              </w:rPr>
            </w:pPr>
            <w:r>
              <w:rPr>
                <w:color w:val="000000"/>
                <w:sz w:val="20"/>
                <w:szCs w:val="20"/>
              </w:rPr>
              <w:t>-0.11</w:t>
            </w:r>
          </w:p>
        </w:tc>
        <w:tc>
          <w:tcPr>
            <w:tcW w:w="343" w:type="pct"/>
            <w:tcBorders>
              <w:top w:val="nil"/>
              <w:left w:val="nil"/>
              <w:bottom w:val="nil"/>
              <w:right w:val="nil"/>
            </w:tcBorders>
            <w:shd w:val="clear" w:color="auto" w:fill="auto"/>
            <w:noWrap/>
            <w:vAlign w:val="center"/>
            <w:hideMark/>
          </w:tcPr>
          <w:p w14:paraId="666A5775" w14:textId="600ED7C6" w:rsidR="009771CF" w:rsidRPr="00E65AA7" w:rsidRDefault="009771CF" w:rsidP="007D3CB0">
            <w:pPr>
              <w:jc w:val="center"/>
              <w:rPr>
                <w:color w:val="000000"/>
                <w:sz w:val="20"/>
                <w:szCs w:val="20"/>
              </w:rPr>
            </w:pPr>
            <w:r>
              <w:rPr>
                <w:color w:val="000000"/>
                <w:sz w:val="20"/>
                <w:szCs w:val="20"/>
              </w:rPr>
              <w:t>0.54</w:t>
            </w:r>
          </w:p>
        </w:tc>
        <w:tc>
          <w:tcPr>
            <w:tcW w:w="343" w:type="pct"/>
            <w:tcBorders>
              <w:top w:val="nil"/>
              <w:left w:val="nil"/>
              <w:bottom w:val="nil"/>
              <w:right w:val="nil"/>
            </w:tcBorders>
            <w:shd w:val="clear" w:color="auto" w:fill="auto"/>
            <w:noWrap/>
            <w:vAlign w:val="center"/>
            <w:hideMark/>
          </w:tcPr>
          <w:p w14:paraId="18AA0B35" w14:textId="1548F9E2" w:rsidR="009771CF" w:rsidRPr="00E65AA7" w:rsidRDefault="009771CF" w:rsidP="007D3CB0">
            <w:pPr>
              <w:jc w:val="center"/>
              <w:rPr>
                <w:color w:val="000000"/>
                <w:sz w:val="20"/>
                <w:szCs w:val="20"/>
              </w:rPr>
            </w:pPr>
            <w:r>
              <w:rPr>
                <w:color w:val="000000"/>
                <w:sz w:val="20"/>
                <w:szCs w:val="20"/>
              </w:rPr>
              <w:t>0.49</w:t>
            </w:r>
          </w:p>
        </w:tc>
        <w:tc>
          <w:tcPr>
            <w:tcW w:w="343" w:type="pct"/>
            <w:tcBorders>
              <w:top w:val="nil"/>
              <w:left w:val="nil"/>
              <w:bottom w:val="nil"/>
              <w:right w:val="nil"/>
            </w:tcBorders>
            <w:shd w:val="clear" w:color="auto" w:fill="auto"/>
            <w:noWrap/>
            <w:vAlign w:val="center"/>
            <w:hideMark/>
          </w:tcPr>
          <w:p w14:paraId="4E7CB2B7" w14:textId="452C657A" w:rsidR="009771CF" w:rsidRPr="00E65AA7" w:rsidRDefault="009771CF" w:rsidP="007D3CB0">
            <w:pPr>
              <w:jc w:val="center"/>
              <w:rPr>
                <w:color w:val="000000"/>
                <w:sz w:val="20"/>
                <w:szCs w:val="20"/>
              </w:rPr>
            </w:pPr>
            <w:r>
              <w:rPr>
                <w:color w:val="000000"/>
                <w:sz w:val="20"/>
                <w:szCs w:val="20"/>
              </w:rPr>
              <w:t>-0.18</w:t>
            </w:r>
          </w:p>
        </w:tc>
        <w:tc>
          <w:tcPr>
            <w:tcW w:w="343" w:type="pct"/>
            <w:tcBorders>
              <w:top w:val="nil"/>
              <w:left w:val="nil"/>
              <w:bottom w:val="nil"/>
              <w:right w:val="nil"/>
            </w:tcBorders>
            <w:shd w:val="clear" w:color="auto" w:fill="auto"/>
            <w:noWrap/>
            <w:vAlign w:val="center"/>
            <w:hideMark/>
          </w:tcPr>
          <w:p w14:paraId="20E0F4BE" w14:textId="04ACCB26" w:rsidR="009771CF" w:rsidRPr="00E65AA7" w:rsidRDefault="009771CF" w:rsidP="007D3CB0">
            <w:pPr>
              <w:jc w:val="center"/>
              <w:rPr>
                <w:color w:val="000000"/>
                <w:sz w:val="20"/>
                <w:szCs w:val="20"/>
              </w:rPr>
            </w:pPr>
            <w:r>
              <w:rPr>
                <w:color w:val="000000"/>
                <w:sz w:val="20"/>
                <w:szCs w:val="20"/>
              </w:rPr>
              <w:t>0.09</w:t>
            </w:r>
          </w:p>
        </w:tc>
        <w:tc>
          <w:tcPr>
            <w:tcW w:w="331" w:type="pct"/>
            <w:tcBorders>
              <w:top w:val="nil"/>
              <w:left w:val="nil"/>
              <w:bottom w:val="nil"/>
              <w:right w:val="nil"/>
            </w:tcBorders>
            <w:shd w:val="clear" w:color="auto" w:fill="auto"/>
            <w:noWrap/>
            <w:vAlign w:val="center"/>
            <w:hideMark/>
          </w:tcPr>
          <w:p w14:paraId="7119E3D4" w14:textId="1A898973" w:rsidR="009771CF" w:rsidRPr="00E65AA7" w:rsidRDefault="009771CF" w:rsidP="007D3CB0">
            <w:pPr>
              <w:jc w:val="center"/>
              <w:rPr>
                <w:color w:val="000000"/>
                <w:sz w:val="20"/>
                <w:szCs w:val="20"/>
              </w:rPr>
            </w:pPr>
            <w:r>
              <w:rPr>
                <w:color w:val="000000"/>
                <w:sz w:val="20"/>
                <w:szCs w:val="20"/>
              </w:rPr>
              <w:t>1.82</w:t>
            </w:r>
          </w:p>
        </w:tc>
        <w:tc>
          <w:tcPr>
            <w:tcW w:w="330" w:type="pct"/>
            <w:tcBorders>
              <w:top w:val="nil"/>
              <w:left w:val="nil"/>
              <w:bottom w:val="nil"/>
              <w:right w:val="nil"/>
            </w:tcBorders>
          </w:tcPr>
          <w:p w14:paraId="32CD5905" w14:textId="77777777" w:rsidR="009771CF" w:rsidRDefault="009771CF" w:rsidP="007D3CB0">
            <w:pPr>
              <w:jc w:val="center"/>
              <w:rPr>
                <w:color w:val="000000"/>
                <w:sz w:val="20"/>
                <w:szCs w:val="20"/>
              </w:rPr>
            </w:pPr>
          </w:p>
        </w:tc>
      </w:tr>
      <w:tr w:rsidR="009771CF" w:rsidRPr="00E65AA7" w14:paraId="6AE42C04" w14:textId="0ADCEFEF" w:rsidTr="009771CF">
        <w:trPr>
          <w:trHeight w:hRule="exact" w:val="255"/>
        </w:trPr>
        <w:tc>
          <w:tcPr>
            <w:tcW w:w="437" w:type="pct"/>
            <w:vMerge/>
            <w:tcBorders>
              <w:top w:val="nil"/>
              <w:left w:val="nil"/>
              <w:bottom w:val="nil"/>
              <w:right w:val="nil"/>
            </w:tcBorders>
            <w:vAlign w:val="center"/>
            <w:hideMark/>
          </w:tcPr>
          <w:p w14:paraId="57641466" w14:textId="77777777" w:rsidR="009771CF" w:rsidRPr="00E65AA7" w:rsidRDefault="009771CF" w:rsidP="007D3CB0">
            <w:pPr>
              <w:rPr>
                <w:rFonts w:eastAsia="Times New Roman"/>
                <w:b/>
                <w:color w:val="000000"/>
                <w:sz w:val="20"/>
                <w:szCs w:val="20"/>
                <w:lang w:eastAsia="en-MY"/>
              </w:rPr>
            </w:pPr>
          </w:p>
        </w:tc>
        <w:tc>
          <w:tcPr>
            <w:tcW w:w="201" w:type="pct"/>
            <w:vMerge/>
            <w:tcBorders>
              <w:left w:val="nil"/>
              <w:bottom w:val="nil"/>
              <w:right w:val="nil"/>
            </w:tcBorders>
            <w:vAlign w:val="center"/>
          </w:tcPr>
          <w:p w14:paraId="356F695E" w14:textId="77777777" w:rsidR="009771CF" w:rsidRPr="00E65AA7" w:rsidRDefault="009771CF" w:rsidP="007D3CB0">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hideMark/>
          </w:tcPr>
          <w:p w14:paraId="0E2A0C99" w14:textId="77777777" w:rsidR="009771CF" w:rsidRPr="00E65AA7" w:rsidRDefault="009771CF" w:rsidP="007D3CB0">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7E320E10" w14:textId="1199FCA9" w:rsidR="009771CF" w:rsidRPr="00E65AA7" w:rsidRDefault="009771CF" w:rsidP="007D3CB0">
            <w:pPr>
              <w:jc w:val="center"/>
              <w:rPr>
                <w:color w:val="000000"/>
                <w:sz w:val="20"/>
                <w:szCs w:val="20"/>
              </w:rPr>
            </w:pPr>
            <w:r>
              <w:rPr>
                <w:color w:val="000000"/>
                <w:sz w:val="20"/>
                <w:szCs w:val="20"/>
              </w:rPr>
              <w:t>(-3.58)</w:t>
            </w:r>
          </w:p>
        </w:tc>
        <w:tc>
          <w:tcPr>
            <w:tcW w:w="345" w:type="pct"/>
            <w:tcBorders>
              <w:top w:val="nil"/>
              <w:left w:val="nil"/>
              <w:bottom w:val="nil"/>
              <w:right w:val="nil"/>
            </w:tcBorders>
            <w:shd w:val="clear" w:color="auto" w:fill="auto"/>
            <w:noWrap/>
            <w:vAlign w:val="center"/>
            <w:hideMark/>
          </w:tcPr>
          <w:p w14:paraId="61527CC3" w14:textId="218A8A0C" w:rsidR="009771CF" w:rsidRPr="00E65AA7" w:rsidRDefault="009771CF" w:rsidP="007D3CB0">
            <w:pPr>
              <w:jc w:val="center"/>
              <w:rPr>
                <w:color w:val="000000"/>
                <w:sz w:val="20"/>
                <w:szCs w:val="20"/>
              </w:rPr>
            </w:pPr>
            <w:r>
              <w:rPr>
                <w:color w:val="000000"/>
                <w:sz w:val="20"/>
                <w:szCs w:val="20"/>
              </w:rPr>
              <w:t>(-2.56)</w:t>
            </w:r>
          </w:p>
        </w:tc>
        <w:tc>
          <w:tcPr>
            <w:tcW w:w="344" w:type="pct"/>
            <w:tcBorders>
              <w:top w:val="nil"/>
              <w:left w:val="nil"/>
              <w:bottom w:val="nil"/>
              <w:right w:val="nil"/>
            </w:tcBorders>
            <w:shd w:val="clear" w:color="auto" w:fill="auto"/>
            <w:noWrap/>
            <w:vAlign w:val="center"/>
            <w:hideMark/>
          </w:tcPr>
          <w:p w14:paraId="348935E8" w14:textId="2E712CAF" w:rsidR="009771CF" w:rsidRPr="00E65AA7" w:rsidRDefault="009771CF" w:rsidP="007D3CB0">
            <w:pPr>
              <w:jc w:val="center"/>
              <w:rPr>
                <w:color w:val="000000"/>
                <w:sz w:val="20"/>
                <w:szCs w:val="20"/>
              </w:rPr>
            </w:pPr>
            <w:r>
              <w:rPr>
                <w:color w:val="000000"/>
                <w:sz w:val="20"/>
                <w:szCs w:val="20"/>
              </w:rPr>
              <w:t>(-1.84)</w:t>
            </w:r>
          </w:p>
        </w:tc>
        <w:tc>
          <w:tcPr>
            <w:tcW w:w="343" w:type="pct"/>
            <w:tcBorders>
              <w:top w:val="nil"/>
              <w:left w:val="nil"/>
              <w:bottom w:val="nil"/>
              <w:right w:val="nil"/>
            </w:tcBorders>
            <w:shd w:val="clear" w:color="auto" w:fill="auto"/>
            <w:noWrap/>
            <w:vAlign w:val="center"/>
            <w:hideMark/>
          </w:tcPr>
          <w:p w14:paraId="0EE5E2CC" w14:textId="1D94E5E4" w:rsidR="009771CF" w:rsidRPr="00E65AA7" w:rsidRDefault="009771CF" w:rsidP="007D3CB0">
            <w:pPr>
              <w:jc w:val="center"/>
              <w:rPr>
                <w:color w:val="000000"/>
                <w:sz w:val="20"/>
                <w:szCs w:val="20"/>
              </w:rPr>
            </w:pPr>
            <w:r>
              <w:rPr>
                <w:color w:val="000000"/>
                <w:sz w:val="20"/>
                <w:szCs w:val="20"/>
              </w:rPr>
              <w:t>(-0.91)</w:t>
            </w:r>
          </w:p>
        </w:tc>
        <w:tc>
          <w:tcPr>
            <w:tcW w:w="343" w:type="pct"/>
            <w:tcBorders>
              <w:top w:val="nil"/>
              <w:left w:val="nil"/>
              <w:bottom w:val="nil"/>
              <w:right w:val="nil"/>
            </w:tcBorders>
            <w:shd w:val="clear" w:color="auto" w:fill="auto"/>
            <w:noWrap/>
            <w:vAlign w:val="center"/>
            <w:hideMark/>
          </w:tcPr>
          <w:p w14:paraId="243A5399" w14:textId="718D7AB2" w:rsidR="009771CF" w:rsidRPr="00E65AA7" w:rsidRDefault="009771CF" w:rsidP="007D3CB0">
            <w:pPr>
              <w:jc w:val="center"/>
              <w:rPr>
                <w:color w:val="000000"/>
                <w:sz w:val="20"/>
                <w:szCs w:val="20"/>
              </w:rPr>
            </w:pPr>
            <w:r>
              <w:rPr>
                <w:color w:val="000000"/>
                <w:sz w:val="20"/>
                <w:szCs w:val="20"/>
              </w:rPr>
              <w:t>(-0.47)</w:t>
            </w:r>
          </w:p>
        </w:tc>
        <w:tc>
          <w:tcPr>
            <w:tcW w:w="343" w:type="pct"/>
            <w:tcBorders>
              <w:top w:val="nil"/>
              <w:left w:val="nil"/>
              <w:bottom w:val="nil"/>
              <w:right w:val="nil"/>
            </w:tcBorders>
            <w:shd w:val="clear" w:color="auto" w:fill="auto"/>
            <w:noWrap/>
            <w:vAlign w:val="center"/>
            <w:hideMark/>
          </w:tcPr>
          <w:p w14:paraId="6CA5E3DB" w14:textId="7BA86F04" w:rsidR="009771CF" w:rsidRPr="00E65AA7" w:rsidRDefault="009771CF" w:rsidP="007D3CB0">
            <w:pPr>
              <w:jc w:val="center"/>
              <w:rPr>
                <w:color w:val="000000"/>
                <w:sz w:val="20"/>
                <w:szCs w:val="20"/>
              </w:rPr>
            </w:pPr>
            <w:r>
              <w:rPr>
                <w:color w:val="000000"/>
                <w:sz w:val="20"/>
                <w:szCs w:val="20"/>
              </w:rPr>
              <w:t>(-0.29)</w:t>
            </w:r>
          </w:p>
        </w:tc>
        <w:tc>
          <w:tcPr>
            <w:tcW w:w="343" w:type="pct"/>
            <w:tcBorders>
              <w:top w:val="nil"/>
              <w:left w:val="nil"/>
              <w:bottom w:val="nil"/>
              <w:right w:val="nil"/>
            </w:tcBorders>
            <w:shd w:val="clear" w:color="auto" w:fill="auto"/>
            <w:noWrap/>
            <w:vAlign w:val="center"/>
            <w:hideMark/>
          </w:tcPr>
          <w:p w14:paraId="33232924" w14:textId="33EAF2C7" w:rsidR="009771CF" w:rsidRPr="00E65AA7" w:rsidRDefault="009771CF" w:rsidP="007D3CB0">
            <w:pPr>
              <w:jc w:val="center"/>
              <w:rPr>
                <w:color w:val="000000"/>
                <w:sz w:val="20"/>
                <w:szCs w:val="20"/>
              </w:rPr>
            </w:pPr>
            <w:r>
              <w:rPr>
                <w:color w:val="000000"/>
                <w:sz w:val="20"/>
                <w:szCs w:val="20"/>
              </w:rPr>
              <w:t>(1.58)</w:t>
            </w:r>
          </w:p>
        </w:tc>
        <w:tc>
          <w:tcPr>
            <w:tcW w:w="343" w:type="pct"/>
            <w:tcBorders>
              <w:top w:val="nil"/>
              <w:left w:val="nil"/>
              <w:bottom w:val="nil"/>
              <w:right w:val="nil"/>
            </w:tcBorders>
            <w:shd w:val="clear" w:color="auto" w:fill="auto"/>
            <w:noWrap/>
            <w:vAlign w:val="center"/>
            <w:hideMark/>
          </w:tcPr>
          <w:p w14:paraId="66EE2929" w14:textId="1686F927" w:rsidR="009771CF" w:rsidRPr="00E65AA7" w:rsidRDefault="009771CF" w:rsidP="007D3CB0">
            <w:pPr>
              <w:jc w:val="center"/>
              <w:rPr>
                <w:color w:val="000000"/>
                <w:sz w:val="20"/>
                <w:szCs w:val="20"/>
              </w:rPr>
            </w:pPr>
            <w:r>
              <w:rPr>
                <w:color w:val="000000"/>
                <w:sz w:val="20"/>
                <w:szCs w:val="20"/>
              </w:rPr>
              <w:t>(1.21)</w:t>
            </w:r>
          </w:p>
        </w:tc>
        <w:tc>
          <w:tcPr>
            <w:tcW w:w="343" w:type="pct"/>
            <w:tcBorders>
              <w:top w:val="nil"/>
              <w:left w:val="nil"/>
              <w:bottom w:val="nil"/>
              <w:right w:val="nil"/>
            </w:tcBorders>
            <w:shd w:val="clear" w:color="auto" w:fill="auto"/>
            <w:noWrap/>
            <w:vAlign w:val="center"/>
            <w:hideMark/>
          </w:tcPr>
          <w:p w14:paraId="59ADF6FD" w14:textId="51F8C195" w:rsidR="009771CF" w:rsidRPr="00E65AA7" w:rsidRDefault="009771CF" w:rsidP="007D3CB0">
            <w:pPr>
              <w:jc w:val="center"/>
              <w:rPr>
                <w:color w:val="000000"/>
                <w:sz w:val="20"/>
                <w:szCs w:val="20"/>
              </w:rPr>
            </w:pPr>
            <w:r>
              <w:rPr>
                <w:color w:val="000000"/>
                <w:sz w:val="20"/>
                <w:szCs w:val="20"/>
              </w:rPr>
              <w:t>(-0.44)</w:t>
            </w:r>
          </w:p>
        </w:tc>
        <w:tc>
          <w:tcPr>
            <w:tcW w:w="343" w:type="pct"/>
            <w:tcBorders>
              <w:top w:val="nil"/>
              <w:left w:val="nil"/>
              <w:bottom w:val="nil"/>
              <w:right w:val="nil"/>
            </w:tcBorders>
            <w:shd w:val="clear" w:color="auto" w:fill="auto"/>
            <w:noWrap/>
            <w:vAlign w:val="center"/>
            <w:hideMark/>
          </w:tcPr>
          <w:p w14:paraId="01E933BC" w14:textId="31E3F8B9" w:rsidR="009771CF" w:rsidRPr="00E65AA7" w:rsidRDefault="009771CF" w:rsidP="007D3CB0">
            <w:pPr>
              <w:jc w:val="center"/>
              <w:rPr>
                <w:color w:val="000000"/>
                <w:sz w:val="20"/>
                <w:szCs w:val="20"/>
              </w:rPr>
            </w:pPr>
            <w:r>
              <w:rPr>
                <w:color w:val="000000"/>
                <w:sz w:val="20"/>
                <w:szCs w:val="20"/>
              </w:rPr>
              <w:t>(0.21)</w:t>
            </w:r>
          </w:p>
        </w:tc>
        <w:tc>
          <w:tcPr>
            <w:tcW w:w="331" w:type="pct"/>
            <w:tcBorders>
              <w:top w:val="nil"/>
              <w:left w:val="nil"/>
              <w:bottom w:val="nil"/>
              <w:right w:val="nil"/>
            </w:tcBorders>
            <w:shd w:val="clear" w:color="auto" w:fill="auto"/>
            <w:noWrap/>
            <w:vAlign w:val="center"/>
            <w:hideMark/>
          </w:tcPr>
          <w:p w14:paraId="6A727562" w14:textId="01D08267" w:rsidR="009771CF" w:rsidRPr="00E65AA7" w:rsidRDefault="009771CF" w:rsidP="007D3CB0">
            <w:pPr>
              <w:jc w:val="center"/>
              <w:rPr>
                <w:color w:val="000000"/>
                <w:sz w:val="20"/>
                <w:szCs w:val="20"/>
              </w:rPr>
            </w:pPr>
            <w:r>
              <w:rPr>
                <w:color w:val="000000"/>
                <w:sz w:val="20"/>
                <w:szCs w:val="20"/>
              </w:rPr>
              <w:t>(5.56)</w:t>
            </w:r>
          </w:p>
        </w:tc>
        <w:tc>
          <w:tcPr>
            <w:tcW w:w="330" w:type="pct"/>
            <w:tcBorders>
              <w:top w:val="nil"/>
              <w:left w:val="nil"/>
              <w:bottom w:val="nil"/>
              <w:right w:val="nil"/>
            </w:tcBorders>
          </w:tcPr>
          <w:p w14:paraId="58ED5281" w14:textId="77777777" w:rsidR="009771CF" w:rsidRDefault="009771CF" w:rsidP="007D3CB0">
            <w:pPr>
              <w:jc w:val="center"/>
              <w:rPr>
                <w:color w:val="000000"/>
                <w:sz w:val="20"/>
                <w:szCs w:val="20"/>
              </w:rPr>
            </w:pPr>
          </w:p>
        </w:tc>
      </w:tr>
      <w:tr w:rsidR="009771CF" w:rsidRPr="00E65AA7" w14:paraId="7BE0D0DF" w14:textId="2382FEEC"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25C8E9E3" w14:textId="18EE2E2D" w:rsidR="009771CF" w:rsidRPr="00E65AA7" w:rsidRDefault="009771CF" w:rsidP="007D3CB0">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01" w:type="pct"/>
            <w:vMerge w:val="restart"/>
            <w:tcBorders>
              <w:top w:val="nil"/>
              <w:left w:val="nil"/>
              <w:right w:val="nil"/>
            </w:tcBorders>
            <w:vAlign w:val="center"/>
          </w:tcPr>
          <w:p w14:paraId="27C1670F" w14:textId="77777777" w:rsidR="009771CF" w:rsidRPr="00E65AA7" w:rsidRDefault="009771CF" w:rsidP="007D3CB0">
            <w:pPr>
              <w:jc w:val="center"/>
              <w:rPr>
                <w:rFonts w:eastAsia="Times New Roman"/>
                <w:color w:val="000000"/>
                <w:sz w:val="20"/>
                <w:szCs w:val="20"/>
                <w:lang w:eastAsia="en-MY"/>
              </w:rPr>
            </w:pPr>
            <w:r w:rsidRPr="00E65AA7">
              <w:rPr>
                <w:rFonts w:eastAsia="Times New Roman"/>
                <w:color w:val="000000"/>
                <w:sz w:val="20"/>
                <w:szCs w:val="20"/>
                <w:lang w:eastAsia="en-MY"/>
              </w:rPr>
              <w:t>124</w:t>
            </w:r>
          </w:p>
        </w:tc>
        <w:tc>
          <w:tcPr>
            <w:tcW w:w="297" w:type="pct"/>
            <w:tcBorders>
              <w:top w:val="nil"/>
              <w:left w:val="nil"/>
              <w:bottom w:val="nil"/>
              <w:right w:val="nil"/>
            </w:tcBorders>
            <w:shd w:val="clear" w:color="auto" w:fill="auto"/>
            <w:noWrap/>
            <w:vAlign w:val="center"/>
            <w:hideMark/>
          </w:tcPr>
          <w:p w14:paraId="419B69C4" w14:textId="77777777" w:rsidR="009771CF" w:rsidRPr="00E65AA7" w:rsidRDefault="009771CF" w:rsidP="007D3CB0">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02354A57" w14:textId="73EEAE19" w:rsidR="009771CF" w:rsidRPr="00E65AA7" w:rsidRDefault="009771CF" w:rsidP="007D3CB0">
            <w:pPr>
              <w:jc w:val="center"/>
              <w:rPr>
                <w:color w:val="000000"/>
                <w:sz w:val="20"/>
                <w:szCs w:val="20"/>
              </w:rPr>
            </w:pPr>
            <w:r>
              <w:rPr>
                <w:color w:val="000000"/>
                <w:sz w:val="20"/>
                <w:szCs w:val="20"/>
              </w:rPr>
              <w:t>-0.80</w:t>
            </w:r>
          </w:p>
        </w:tc>
        <w:tc>
          <w:tcPr>
            <w:tcW w:w="345" w:type="pct"/>
            <w:tcBorders>
              <w:top w:val="nil"/>
              <w:left w:val="nil"/>
              <w:bottom w:val="nil"/>
              <w:right w:val="nil"/>
            </w:tcBorders>
            <w:shd w:val="clear" w:color="auto" w:fill="auto"/>
            <w:noWrap/>
            <w:vAlign w:val="center"/>
            <w:hideMark/>
          </w:tcPr>
          <w:p w14:paraId="51719FAE" w14:textId="783C07AE" w:rsidR="009771CF" w:rsidRPr="00E65AA7" w:rsidRDefault="009771CF" w:rsidP="007D3CB0">
            <w:pPr>
              <w:jc w:val="center"/>
              <w:rPr>
                <w:color w:val="000000"/>
                <w:sz w:val="20"/>
                <w:szCs w:val="20"/>
              </w:rPr>
            </w:pPr>
            <w:r>
              <w:rPr>
                <w:color w:val="000000"/>
                <w:sz w:val="20"/>
                <w:szCs w:val="20"/>
              </w:rPr>
              <w:t>-0.53</w:t>
            </w:r>
          </w:p>
        </w:tc>
        <w:tc>
          <w:tcPr>
            <w:tcW w:w="344" w:type="pct"/>
            <w:tcBorders>
              <w:top w:val="nil"/>
              <w:left w:val="nil"/>
              <w:bottom w:val="nil"/>
              <w:right w:val="nil"/>
            </w:tcBorders>
            <w:shd w:val="clear" w:color="auto" w:fill="auto"/>
            <w:noWrap/>
            <w:vAlign w:val="center"/>
            <w:hideMark/>
          </w:tcPr>
          <w:p w14:paraId="0F07B946" w14:textId="33C3D8FB" w:rsidR="009771CF" w:rsidRPr="00E65AA7" w:rsidRDefault="009771CF" w:rsidP="007D3CB0">
            <w:pPr>
              <w:jc w:val="center"/>
              <w:rPr>
                <w:color w:val="000000"/>
                <w:sz w:val="20"/>
                <w:szCs w:val="20"/>
              </w:rPr>
            </w:pPr>
            <w:r>
              <w:rPr>
                <w:color w:val="000000"/>
                <w:sz w:val="20"/>
                <w:szCs w:val="20"/>
              </w:rPr>
              <w:t>-0.30</w:t>
            </w:r>
          </w:p>
        </w:tc>
        <w:tc>
          <w:tcPr>
            <w:tcW w:w="343" w:type="pct"/>
            <w:tcBorders>
              <w:top w:val="nil"/>
              <w:left w:val="nil"/>
              <w:bottom w:val="nil"/>
              <w:right w:val="nil"/>
            </w:tcBorders>
            <w:shd w:val="clear" w:color="auto" w:fill="auto"/>
            <w:noWrap/>
            <w:vAlign w:val="center"/>
            <w:hideMark/>
          </w:tcPr>
          <w:p w14:paraId="365B5B7E" w14:textId="5C32B765" w:rsidR="009771CF" w:rsidRPr="00E65AA7" w:rsidRDefault="009771CF" w:rsidP="007D3CB0">
            <w:pPr>
              <w:jc w:val="center"/>
              <w:rPr>
                <w:color w:val="000000"/>
                <w:sz w:val="20"/>
                <w:szCs w:val="20"/>
              </w:rPr>
            </w:pPr>
            <w:r>
              <w:rPr>
                <w:color w:val="000000"/>
                <w:sz w:val="20"/>
                <w:szCs w:val="20"/>
              </w:rPr>
              <w:t>-0.26</w:t>
            </w:r>
          </w:p>
        </w:tc>
        <w:tc>
          <w:tcPr>
            <w:tcW w:w="343" w:type="pct"/>
            <w:tcBorders>
              <w:top w:val="nil"/>
              <w:left w:val="nil"/>
              <w:bottom w:val="nil"/>
              <w:right w:val="nil"/>
            </w:tcBorders>
            <w:shd w:val="clear" w:color="auto" w:fill="auto"/>
            <w:noWrap/>
            <w:vAlign w:val="center"/>
            <w:hideMark/>
          </w:tcPr>
          <w:p w14:paraId="69D1B8ED" w14:textId="7BFC12EB" w:rsidR="009771CF" w:rsidRPr="00E65AA7" w:rsidRDefault="009771CF" w:rsidP="007D3CB0">
            <w:pPr>
              <w:jc w:val="center"/>
              <w:rPr>
                <w:color w:val="000000"/>
                <w:sz w:val="20"/>
                <w:szCs w:val="20"/>
              </w:rPr>
            </w:pPr>
            <w:r>
              <w:rPr>
                <w:color w:val="000000"/>
                <w:sz w:val="20"/>
                <w:szCs w:val="20"/>
              </w:rPr>
              <w:t>-0.04</w:t>
            </w:r>
          </w:p>
        </w:tc>
        <w:tc>
          <w:tcPr>
            <w:tcW w:w="343" w:type="pct"/>
            <w:tcBorders>
              <w:top w:val="nil"/>
              <w:left w:val="nil"/>
              <w:bottom w:val="nil"/>
              <w:right w:val="nil"/>
            </w:tcBorders>
            <w:shd w:val="clear" w:color="auto" w:fill="auto"/>
            <w:noWrap/>
            <w:vAlign w:val="center"/>
            <w:hideMark/>
          </w:tcPr>
          <w:p w14:paraId="2DB0593B" w14:textId="00BD9BEB" w:rsidR="009771CF" w:rsidRPr="00E65AA7" w:rsidRDefault="009771CF" w:rsidP="007D3CB0">
            <w:pPr>
              <w:jc w:val="center"/>
              <w:rPr>
                <w:color w:val="000000"/>
                <w:sz w:val="20"/>
                <w:szCs w:val="20"/>
              </w:rPr>
            </w:pPr>
            <w:r>
              <w:rPr>
                <w:color w:val="000000"/>
                <w:sz w:val="20"/>
                <w:szCs w:val="20"/>
              </w:rPr>
              <w:t>0.07</w:t>
            </w:r>
          </w:p>
        </w:tc>
        <w:tc>
          <w:tcPr>
            <w:tcW w:w="343" w:type="pct"/>
            <w:tcBorders>
              <w:top w:val="nil"/>
              <w:left w:val="nil"/>
              <w:bottom w:val="nil"/>
              <w:right w:val="nil"/>
            </w:tcBorders>
            <w:shd w:val="clear" w:color="auto" w:fill="auto"/>
            <w:noWrap/>
            <w:vAlign w:val="center"/>
            <w:hideMark/>
          </w:tcPr>
          <w:p w14:paraId="615BECF2" w14:textId="4AF5CA28" w:rsidR="009771CF" w:rsidRPr="00E65AA7" w:rsidRDefault="009771CF" w:rsidP="007D3CB0">
            <w:pPr>
              <w:jc w:val="center"/>
              <w:rPr>
                <w:color w:val="000000"/>
                <w:sz w:val="20"/>
                <w:szCs w:val="20"/>
              </w:rPr>
            </w:pPr>
            <w:r>
              <w:rPr>
                <w:color w:val="000000"/>
                <w:sz w:val="20"/>
                <w:szCs w:val="20"/>
              </w:rPr>
              <w:t>0.02</w:t>
            </w:r>
          </w:p>
        </w:tc>
        <w:tc>
          <w:tcPr>
            <w:tcW w:w="343" w:type="pct"/>
            <w:tcBorders>
              <w:top w:val="nil"/>
              <w:left w:val="nil"/>
              <w:bottom w:val="nil"/>
              <w:right w:val="nil"/>
            </w:tcBorders>
            <w:shd w:val="clear" w:color="auto" w:fill="auto"/>
            <w:noWrap/>
            <w:vAlign w:val="center"/>
            <w:hideMark/>
          </w:tcPr>
          <w:p w14:paraId="1E9DE8D1" w14:textId="42ACB2F7" w:rsidR="009771CF" w:rsidRPr="00E65AA7" w:rsidRDefault="009771CF" w:rsidP="007D3CB0">
            <w:pPr>
              <w:jc w:val="center"/>
              <w:rPr>
                <w:color w:val="000000"/>
                <w:sz w:val="20"/>
                <w:szCs w:val="20"/>
              </w:rPr>
            </w:pPr>
            <w:r>
              <w:rPr>
                <w:color w:val="000000"/>
                <w:sz w:val="20"/>
                <w:szCs w:val="20"/>
              </w:rPr>
              <w:t>0.77</w:t>
            </w:r>
          </w:p>
        </w:tc>
        <w:tc>
          <w:tcPr>
            <w:tcW w:w="343" w:type="pct"/>
            <w:tcBorders>
              <w:top w:val="nil"/>
              <w:left w:val="nil"/>
              <w:bottom w:val="nil"/>
              <w:right w:val="nil"/>
            </w:tcBorders>
            <w:shd w:val="clear" w:color="auto" w:fill="auto"/>
            <w:noWrap/>
            <w:vAlign w:val="center"/>
            <w:hideMark/>
          </w:tcPr>
          <w:p w14:paraId="2AF958CB" w14:textId="06F94148" w:rsidR="009771CF" w:rsidRPr="00E65AA7" w:rsidRDefault="009771CF" w:rsidP="007D3CB0">
            <w:pPr>
              <w:jc w:val="center"/>
              <w:rPr>
                <w:color w:val="000000"/>
                <w:sz w:val="20"/>
                <w:szCs w:val="20"/>
              </w:rPr>
            </w:pPr>
            <w:r>
              <w:rPr>
                <w:color w:val="000000"/>
                <w:sz w:val="20"/>
                <w:szCs w:val="20"/>
              </w:rPr>
              <w:t>0.57</w:t>
            </w:r>
          </w:p>
        </w:tc>
        <w:tc>
          <w:tcPr>
            <w:tcW w:w="343" w:type="pct"/>
            <w:tcBorders>
              <w:top w:val="nil"/>
              <w:left w:val="nil"/>
              <w:bottom w:val="nil"/>
              <w:right w:val="nil"/>
            </w:tcBorders>
            <w:shd w:val="clear" w:color="auto" w:fill="auto"/>
            <w:noWrap/>
            <w:vAlign w:val="center"/>
            <w:hideMark/>
          </w:tcPr>
          <w:p w14:paraId="3AD0266F" w14:textId="6A3AA98F" w:rsidR="009771CF" w:rsidRPr="00E65AA7" w:rsidRDefault="009771CF" w:rsidP="007D3CB0">
            <w:pPr>
              <w:jc w:val="center"/>
              <w:rPr>
                <w:color w:val="000000"/>
                <w:sz w:val="20"/>
                <w:szCs w:val="20"/>
              </w:rPr>
            </w:pPr>
            <w:r>
              <w:rPr>
                <w:color w:val="000000"/>
                <w:sz w:val="20"/>
                <w:szCs w:val="20"/>
              </w:rPr>
              <w:t>-0.15</w:t>
            </w:r>
          </w:p>
        </w:tc>
        <w:tc>
          <w:tcPr>
            <w:tcW w:w="331" w:type="pct"/>
            <w:tcBorders>
              <w:top w:val="nil"/>
              <w:left w:val="nil"/>
              <w:bottom w:val="nil"/>
              <w:right w:val="nil"/>
            </w:tcBorders>
            <w:shd w:val="clear" w:color="auto" w:fill="auto"/>
            <w:noWrap/>
            <w:vAlign w:val="center"/>
            <w:hideMark/>
          </w:tcPr>
          <w:p w14:paraId="5E5F3D20" w14:textId="7E56F584" w:rsidR="009771CF" w:rsidRPr="00E65AA7" w:rsidRDefault="009771CF" w:rsidP="007D3CB0">
            <w:pPr>
              <w:jc w:val="center"/>
              <w:rPr>
                <w:color w:val="000000"/>
                <w:sz w:val="20"/>
                <w:szCs w:val="20"/>
              </w:rPr>
            </w:pPr>
            <w:r>
              <w:rPr>
                <w:color w:val="000000"/>
                <w:sz w:val="20"/>
                <w:szCs w:val="20"/>
              </w:rPr>
              <w:t>0.65</w:t>
            </w:r>
          </w:p>
        </w:tc>
        <w:tc>
          <w:tcPr>
            <w:tcW w:w="330" w:type="pct"/>
            <w:tcBorders>
              <w:top w:val="nil"/>
              <w:left w:val="nil"/>
              <w:bottom w:val="nil"/>
              <w:right w:val="nil"/>
            </w:tcBorders>
          </w:tcPr>
          <w:p w14:paraId="737A7853" w14:textId="77777777" w:rsidR="009771CF" w:rsidRDefault="009771CF" w:rsidP="007D3CB0">
            <w:pPr>
              <w:jc w:val="center"/>
              <w:rPr>
                <w:color w:val="000000"/>
                <w:sz w:val="20"/>
                <w:szCs w:val="20"/>
              </w:rPr>
            </w:pPr>
          </w:p>
        </w:tc>
      </w:tr>
      <w:tr w:rsidR="009771CF" w:rsidRPr="00E65AA7" w14:paraId="06F2FD64" w14:textId="3C670B21" w:rsidTr="009771CF">
        <w:trPr>
          <w:trHeight w:hRule="exact" w:val="255"/>
        </w:trPr>
        <w:tc>
          <w:tcPr>
            <w:tcW w:w="437" w:type="pct"/>
            <w:vMerge/>
            <w:tcBorders>
              <w:top w:val="nil"/>
              <w:left w:val="nil"/>
              <w:right w:val="nil"/>
            </w:tcBorders>
            <w:vAlign w:val="center"/>
            <w:hideMark/>
          </w:tcPr>
          <w:p w14:paraId="4BE45EEE" w14:textId="77777777" w:rsidR="009771CF" w:rsidRPr="00E65AA7" w:rsidRDefault="009771CF" w:rsidP="007D3CB0">
            <w:pPr>
              <w:rPr>
                <w:rFonts w:eastAsia="Times New Roman"/>
                <w:color w:val="000000"/>
                <w:sz w:val="20"/>
                <w:szCs w:val="20"/>
                <w:lang w:eastAsia="en-MY"/>
              </w:rPr>
            </w:pPr>
          </w:p>
        </w:tc>
        <w:tc>
          <w:tcPr>
            <w:tcW w:w="201" w:type="pct"/>
            <w:vMerge/>
            <w:tcBorders>
              <w:left w:val="nil"/>
              <w:right w:val="nil"/>
            </w:tcBorders>
            <w:vAlign w:val="center"/>
          </w:tcPr>
          <w:p w14:paraId="131ABBFC" w14:textId="77777777" w:rsidR="009771CF" w:rsidRPr="00E65AA7" w:rsidRDefault="009771CF" w:rsidP="007D3CB0">
            <w:pPr>
              <w:jc w:val="center"/>
              <w:rPr>
                <w:rFonts w:eastAsia="Times New Roman"/>
                <w:sz w:val="20"/>
                <w:szCs w:val="20"/>
                <w:lang w:eastAsia="en-MY"/>
              </w:rPr>
            </w:pPr>
          </w:p>
        </w:tc>
        <w:tc>
          <w:tcPr>
            <w:tcW w:w="297" w:type="pct"/>
            <w:tcBorders>
              <w:top w:val="nil"/>
              <w:left w:val="nil"/>
              <w:right w:val="nil"/>
            </w:tcBorders>
            <w:shd w:val="clear" w:color="auto" w:fill="auto"/>
            <w:noWrap/>
            <w:vAlign w:val="center"/>
            <w:hideMark/>
          </w:tcPr>
          <w:p w14:paraId="03AA7F21" w14:textId="77777777" w:rsidR="009771CF" w:rsidRPr="00E65AA7" w:rsidRDefault="009771CF" w:rsidP="007D3CB0">
            <w:pPr>
              <w:jc w:val="center"/>
              <w:rPr>
                <w:rFonts w:eastAsia="Times New Roman"/>
                <w:sz w:val="20"/>
                <w:szCs w:val="20"/>
                <w:lang w:eastAsia="en-MY"/>
              </w:rPr>
            </w:pPr>
          </w:p>
        </w:tc>
        <w:tc>
          <w:tcPr>
            <w:tcW w:w="314" w:type="pct"/>
            <w:tcBorders>
              <w:top w:val="nil"/>
              <w:left w:val="nil"/>
              <w:right w:val="nil"/>
            </w:tcBorders>
            <w:shd w:val="clear" w:color="auto" w:fill="auto"/>
            <w:noWrap/>
            <w:vAlign w:val="center"/>
            <w:hideMark/>
          </w:tcPr>
          <w:p w14:paraId="3EDBBA87" w14:textId="50C2DB6F" w:rsidR="009771CF" w:rsidRPr="00E65AA7" w:rsidRDefault="009771CF" w:rsidP="007D3CB0">
            <w:pPr>
              <w:jc w:val="center"/>
              <w:rPr>
                <w:color w:val="000000"/>
                <w:sz w:val="20"/>
                <w:szCs w:val="20"/>
              </w:rPr>
            </w:pPr>
            <w:r>
              <w:rPr>
                <w:color w:val="000000"/>
                <w:sz w:val="20"/>
                <w:szCs w:val="20"/>
              </w:rPr>
              <w:t>(-1.29)</w:t>
            </w:r>
          </w:p>
        </w:tc>
        <w:tc>
          <w:tcPr>
            <w:tcW w:w="345" w:type="pct"/>
            <w:tcBorders>
              <w:top w:val="nil"/>
              <w:left w:val="nil"/>
              <w:right w:val="nil"/>
            </w:tcBorders>
            <w:shd w:val="clear" w:color="auto" w:fill="auto"/>
            <w:noWrap/>
            <w:vAlign w:val="center"/>
            <w:hideMark/>
          </w:tcPr>
          <w:p w14:paraId="0E8FA6F6" w14:textId="018A3D27" w:rsidR="009771CF" w:rsidRPr="00E65AA7" w:rsidRDefault="009771CF" w:rsidP="007D3CB0">
            <w:pPr>
              <w:jc w:val="center"/>
              <w:rPr>
                <w:color w:val="000000"/>
                <w:sz w:val="20"/>
                <w:szCs w:val="20"/>
              </w:rPr>
            </w:pPr>
            <w:r>
              <w:rPr>
                <w:color w:val="000000"/>
                <w:sz w:val="20"/>
                <w:szCs w:val="20"/>
              </w:rPr>
              <w:t>(-0.89)</w:t>
            </w:r>
          </w:p>
        </w:tc>
        <w:tc>
          <w:tcPr>
            <w:tcW w:w="344" w:type="pct"/>
            <w:tcBorders>
              <w:top w:val="nil"/>
              <w:left w:val="nil"/>
              <w:right w:val="nil"/>
            </w:tcBorders>
            <w:shd w:val="clear" w:color="auto" w:fill="auto"/>
            <w:noWrap/>
            <w:vAlign w:val="center"/>
            <w:hideMark/>
          </w:tcPr>
          <w:p w14:paraId="3804DDA5" w14:textId="7B83D3AD" w:rsidR="009771CF" w:rsidRPr="00E65AA7" w:rsidRDefault="009771CF" w:rsidP="007D3CB0">
            <w:pPr>
              <w:jc w:val="center"/>
              <w:rPr>
                <w:color w:val="000000"/>
                <w:sz w:val="20"/>
                <w:szCs w:val="20"/>
              </w:rPr>
            </w:pPr>
            <w:r>
              <w:rPr>
                <w:color w:val="000000"/>
                <w:sz w:val="20"/>
                <w:szCs w:val="20"/>
              </w:rPr>
              <w:t>(-0.52)</w:t>
            </w:r>
          </w:p>
        </w:tc>
        <w:tc>
          <w:tcPr>
            <w:tcW w:w="343" w:type="pct"/>
            <w:tcBorders>
              <w:top w:val="nil"/>
              <w:left w:val="nil"/>
              <w:right w:val="nil"/>
            </w:tcBorders>
            <w:shd w:val="clear" w:color="auto" w:fill="auto"/>
            <w:noWrap/>
            <w:vAlign w:val="center"/>
            <w:hideMark/>
          </w:tcPr>
          <w:p w14:paraId="2DB7D836" w14:textId="7A2592E1" w:rsidR="009771CF" w:rsidRPr="00E65AA7" w:rsidRDefault="009771CF" w:rsidP="007D3CB0">
            <w:pPr>
              <w:jc w:val="center"/>
              <w:rPr>
                <w:color w:val="000000"/>
                <w:sz w:val="20"/>
                <w:szCs w:val="20"/>
              </w:rPr>
            </w:pPr>
            <w:r>
              <w:rPr>
                <w:color w:val="000000"/>
                <w:sz w:val="20"/>
                <w:szCs w:val="20"/>
              </w:rPr>
              <w:t>(-0.45)</w:t>
            </w:r>
          </w:p>
        </w:tc>
        <w:tc>
          <w:tcPr>
            <w:tcW w:w="343" w:type="pct"/>
            <w:tcBorders>
              <w:top w:val="nil"/>
              <w:left w:val="nil"/>
              <w:right w:val="nil"/>
            </w:tcBorders>
            <w:shd w:val="clear" w:color="auto" w:fill="auto"/>
            <w:noWrap/>
            <w:vAlign w:val="center"/>
            <w:hideMark/>
          </w:tcPr>
          <w:p w14:paraId="00EE5E39" w14:textId="7A3E8782" w:rsidR="009771CF" w:rsidRPr="00E65AA7" w:rsidRDefault="009771CF" w:rsidP="007D3CB0">
            <w:pPr>
              <w:jc w:val="center"/>
              <w:rPr>
                <w:color w:val="000000"/>
                <w:sz w:val="20"/>
                <w:szCs w:val="20"/>
              </w:rPr>
            </w:pPr>
            <w:r>
              <w:rPr>
                <w:color w:val="000000"/>
                <w:sz w:val="20"/>
                <w:szCs w:val="20"/>
              </w:rPr>
              <w:t>(-0.08)</w:t>
            </w:r>
          </w:p>
        </w:tc>
        <w:tc>
          <w:tcPr>
            <w:tcW w:w="343" w:type="pct"/>
            <w:tcBorders>
              <w:top w:val="nil"/>
              <w:left w:val="nil"/>
              <w:right w:val="nil"/>
            </w:tcBorders>
            <w:shd w:val="clear" w:color="auto" w:fill="auto"/>
            <w:noWrap/>
            <w:vAlign w:val="center"/>
            <w:hideMark/>
          </w:tcPr>
          <w:p w14:paraId="53A15293" w14:textId="23F232AD" w:rsidR="009771CF" w:rsidRPr="00E65AA7" w:rsidRDefault="009771CF" w:rsidP="007D3CB0">
            <w:pPr>
              <w:jc w:val="center"/>
              <w:rPr>
                <w:color w:val="000000"/>
                <w:sz w:val="20"/>
                <w:szCs w:val="20"/>
              </w:rPr>
            </w:pPr>
            <w:r>
              <w:rPr>
                <w:color w:val="000000"/>
                <w:sz w:val="20"/>
                <w:szCs w:val="20"/>
              </w:rPr>
              <w:t>(0.14)</w:t>
            </w:r>
          </w:p>
        </w:tc>
        <w:tc>
          <w:tcPr>
            <w:tcW w:w="343" w:type="pct"/>
            <w:tcBorders>
              <w:top w:val="nil"/>
              <w:left w:val="nil"/>
              <w:right w:val="nil"/>
            </w:tcBorders>
            <w:shd w:val="clear" w:color="auto" w:fill="auto"/>
            <w:noWrap/>
            <w:vAlign w:val="center"/>
            <w:hideMark/>
          </w:tcPr>
          <w:p w14:paraId="6EE9AF23" w14:textId="0C0E2BA5" w:rsidR="009771CF" w:rsidRPr="00E65AA7" w:rsidRDefault="009771CF" w:rsidP="007D3CB0">
            <w:pPr>
              <w:jc w:val="center"/>
              <w:rPr>
                <w:color w:val="000000"/>
                <w:sz w:val="20"/>
                <w:szCs w:val="20"/>
              </w:rPr>
            </w:pPr>
            <w:r>
              <w:rPr>
                <w:color w:val="000000"/>
                <w:sz w:val="20"/>
                <w:szCs w:val="20"/>
              </w:rPr>
              <w:t>(0.03)</w:t>
            </w:r>
          </w:p>
        </w:tc>
        <w:tc>
          <w:tcPr>
            <w:tcW w:w="343" w:type="pct"/>
            <w:tcBorders>
              <w:top w:val="nil"/>
              <w:left w:val="nil"/>
              <w:right w:val="nil"/>
            </w:tcBorders>
            <w:shd w:val="clear" w:color="auto" w:fill="auto"/>
            <w:noWrap/>
            <w:vAlign w:val="center"/>
            <w:hideMark/>
          </w:tcPr>
          <w:p w14:paraId="15F0BFF0" w14:textId="072F9D24" w:rsidR="009771CF" w:rsidRPr="00E65AA7" w:rsidRDefault="009771CF" w:rsidP="007D3CB0">
            <w:pPr>
              <w:jc w:val="center"/>
              <w:rPr>
                <w:color w:val="000000"/>
                <w:sz w:val="20"/>
                <w:szCs w:val="20"/>
              </w:rPr>
            </w:pPr>
            <w:r>
              <w:rPr>
                <w:color w:val="000000"/>
                <w:sz w:val="20"/>
                <w:szCs w:val="20"/>
              </w:rPr>
              <w:t>(1.01)</w:t>
            </w:r>
          </w:p>
        </w:tc>
        <w:tc>
          <w:tcPr>
            <w:tcW w:w="343" w:type="pct"/>
            <w:tcBorders>
              <w:top w:val="nil"/>
              <w:left w:val="nil"/>
              <w:right w:val="nil"/>
            </w:tcBorders>
            <w:shd w:val="clear" w:color="auto" w:fill="auto"/>
            <w:noWrap/>
            <w:vAlign w:val="center"/>
            <w:hideMark/>
          </w:tcPr>
          <w:p w14:paraId="50001528" w14:textId="113F175A" w:rsidR="009771CF" w:rsidRPr="00E65AA7" w:rsidRDefault="009771CF" w:rsidP="007D3CB0">
            <w:pPr>
              <w:jc w:val="center"/>
              <w:rPr>
                <w:color w:val="000000"/>
                <w:sz w:val="20"/>
                <w:szCs w:val="20"/>
              </w:rPr>
            </w:pPr>
            <w:r>
              <w:rPr>
                <w:color w:val="000000"/>
                <w:sz w:val="20"/>
                <w:szCs w:val="20"/>
              </w:rPr>
              <w:t>(0.79)</w:t>
            </w:r>
          </w:p>
        </w:tc>
        <w:tc>
          <w:tcPr>
            <w:tcW w:w="343" w:type="pct"/>
            <w:tcBorders>
              <w:top w:val="nil"/>
              <w:left w:val="nil"/>
              <w:right w:val="nil"/>
            </w:tcBorders>
            <w:shd w:val="clear" w:color="auto" w:fill="auto"/>
            <w:noWrap/>
            <w:vAlign w:val="center"/>
            <w:hideMark/>
          </w:tcPr>
          <w:p w14:paraId="2E387780" w14:textId="2009B3D6" w:rsidR="009771CF" w:rsidRPr="00E65AA7" w:rsidRDefault="009771CF" w:rsidP="007D3CB0">
            <w:pPr>
              <w:jc w:val="center"/>
              <w:rPr>
                <w:color w:val="000000"/>
                <w:sz w:val="20"/>
                <w:szCs w:val="20"/>
              </w:rPr>
            </w:pPr>
            <w:r>
              <w:rPr>
                <w:color w:val="000000"/>
                <w:sz w:val="20"/>
                <w:szCs w:val="20"/>
              </w:rPr>
              <w:t>(-0.28)</w:t>
            </w:r>
          </w:p>
        </w:tc>
        <w:tc>
          <w:tcPr>
            <w:tcW w:w="331" w:type="pct"/>
            <w:tcBorders>
              <w:top w:val="nil"/>
              <w:left w:val="nil"/>
              <w:right w:val="nil"/>
            </w:tcBorders>
            <w:shd w:val="clear" w:color="auto" w:fill="auto"/>
            <w:noWrap/>
            <w:vAlign w:val="center"/>
            <w:hideMark/>
          </w:tcPr>
          <w:p w14:paraId="474D266B" w14:textId="0123D41E" w:rsidR="009771CF" w:rsidRPr="00E65AA7" w:rsidRDefault="009771CF" w:rsidP="007D3CB0">
            <w:pPr>
              <w:jc w:val="center"/>
              <w:rPr>
                <w:color w:val="000000"/>
                <w:sz w:val="20"/>
                <w:szCs w:val="20"/>
              </w:rPr>
            </w:pPr>
            <w:r>
              <w:rPr>
                <w:color w:val="000000"/>
                <w:sz w:val="20"/>
                <w:szCs w:val="20"/>
              </w:rPr>
              <w:t>(2.56)</w:t>
            </w:r>
          </w:p>
        </w:tc>
        <w:tc>
          <w:tcPr>
            <w:tcW w:w="330" w:type="pct"/>
            <w:tcBorders>
              <w:top w:val="nil"/>
              <w:left w:val="nil"/>
              <w:right w:val="nil"/>
            </w:tcBorders>
          </w:tcPr>
          <w:p w14:paraId="5822B7F2" w14:textId="77777777" w:rsidR="009771CF" w:rsidRDefault="009771CF" w:rsidP="007D3CB0">
            <w:pPr>
              <w:jc w:val="center"/>
              <w:rPr>
                <w:color w:val="000000"/>
                <w:sz w:val="20"/>
                <w:szCs w:val="20"/>
              </w:rPr>
            </w:pPr>
          </w:p>
        </w:tc>
      </w:tr>
      <w:tr w:rsidR="009771CF" w:rsidRPr="00E65AA7" w14:paraId="13B81BE3" w14:textId="46F79947" w:rsidTr="009771CF">
        <w:trPr>
          <w:trHeight w:hRule="exact" w:val="255"/>
        </w:trPr>
        <w:tc>
          <w:tcPr>
            <w:tcW w:w="437" w:type="pct"/>
            <w:vMerge w:val="restart"/>
            <w:tcBorders>
              <w:top w:val="nil"/>
              <w:left w:val="nil"/>
              <w:right w:val="nil"/>
            </w:tcBorders>
            <w:vAlign w:val="center"/>
          </w:tcPr>
          <w:p w14:paraId="2C5E6D2A" w14:textId="5F767FE7" w:rsidR="009771CF" w:rsidRPr="00E65AA7" w:rsidRDefault="009771CF" w:rsidP="007D3CB0">
            <w:pPr>
              <w:rPr>
                <w:rFonts w:eastAsia="Times New Roman"/>
                <w:b/>
                <w:color w:val="000000"/>
                <w:sz w:val="20"/>
                <w:szCs w:val="20"/>
                <w:lang w:eastAsia="en-MY"/>
              </w:rPr>
            </w:pPr>
            <w:r w:rsidRPr="00E65AA7">
              <w:rPr>
                <w:rFonts w:eastAsia="Times New Roman"/>
                <w:b/>
                <w:sz w:val="20"/>
                <w:szCs w:val="20"/>
                <w:lang w:eastAsia="en-MY"/>
              </w:rPr>
              <w:t>L/H</w:t>
            </w:r>
          </w:p>
        </w:tc>
        <w:tc>
          <w:tcPr>
            <w:tcW w:w="201" w:type="pct"/>
            <w:vMerge w:val="restart"/>
            <w:tcBorders>
              <w:top w:val="nil"/>
              <w:left w:val="nil"/>
              <w:right w:val="nil"/>
            </w:tcBorders>
            <w:vAlign w:val="center"/>
          </w:tcPr>
          <w:p w14:paraId="3D8EB88D" w14:textId="77777777" w:rsidR="009771CF" w:rsidRPr="00E65AA7" w:rsidRDefault="009771CF" w:rsidP="007D3CB0">
            <w:pPr>
              <w:jc w:val="center"/>
              <w:rPr>
                <w:rFonts w:eastAsia="Times New Roman"/>
                <w:color w:val="000000"/>
                <w:sz w:val="20"/>
                <w:szCs w:val="20"/>
                <w:lang w:eastAsia="en-MY"/>
              </w:rPr>
            </w:pPr>
            <w:r w:rsidRPr="00E65AA7">
              <w:rPr>
                <w:rFonts w:eastAsia="Times New Roman"/>
                <w:color w:val="000000"/>
                <w:sz w:val="20"/>
                <w:szCs w:val="20"/>
                <w:lang w:eastAsia="en-MY"/>
              </w:rPr>
              <w:t>147</w:t>
            </w:r>
          </w:p>
        </w:tc>
        <w:tc>
          <w:tcPr>
            <w:tcW w:w="297" w:type="pct"/>
            <w:tcBorders>
              <w:top w:val="nil"/>
              <w:left w:val="nil"/>
              <w:right w:val="nil"/>
            </w:tcBorders>
            <w:shd w:val="clear" w:color="auto" w:fill="auto"/>
            <w:noWrap/>
            <w:vAlign w:val="center"/>
          </w:tcPr>
          <w:p w14:paraId="274AE053" w14:textId="77777777" w:rsidR="009771CF" w:rsidRPr="00E65AA7" w:rsidRDefault="009771CF" w:rsidP="007D3CB0">
            <w:pPr>
              <w:jc w:val="center"/>
              <w:rPr>
                <w:rFonts w:eastAsia="Times New Roman"/>
                <w:color w:val="000000"/>
                <w:sz w:val="20"/>
                <w:szCs w:val="20"/>
                <w:lang w:eastAsia="en-MY"/>
              </w:rPr>
            </w:pPr>
          </w:p>
        </w:tc>
        <w:tc>
          <w:tcPr>
            <w:tcW w:w="314" w:type="pct"/>
            <w:tcBorders>
              <w:top w:val="nil"/>
              <w:left w:val="nil"/>
              <w:right w:val="nil"/>
            </w:tcBorders>
            <w:shd w:val="clear" w:color="auto" w:fill="auto"/>
            <w:noWrap/>
            <w:vAlign w:val="center"/>
          </w:tcPr>
          <w:p w14:paraId="7E8CA797" w14:textId="070C30AE" w:rsidR="009771CF" w:rsidRPr="00E65AA7" w:rsidRDefault="009771CF" w:rsidP="007D3CB0">
            <w:pPr>
              <w:jc w:val="center"/>
              <w:rPr>
                <w:color w:val="000000"/>
                <w:sz w:val="20"/>
                <w:szCs w:val="20"/>
              </w:rPr>
            </w:pPr>
            <w:r>
              <w:rPr>
                <w:color w:val="000000"/>
                <w:sz w:val="20"/>
                <w:szCs w:val="20"/>
              </w:rPr>
              <w:t>4.17</w:t>
            </w:r>
          </w:p>
        </w:tc>
        <w:tc>
          <w:tcPr>
            <w:tcW w:w="345" w:type="pct"/>
            <w:tcBorders>
              <w:top w:val="nil"/>
              <w:left w:val="nil"/>
              <w:right w:val="nil"/>
            </w:tcBorders>
            <w:shd w:val="clear" w:color="auto" w:fill="auto"/>
            <w:noWrap/>
            <w:vAlign w:val="center"/>
          </w:tcPr>
          <w:p w14:paraId="75064B15" w14:textId="139E28C9" w:rsidR="009771CF" w:rsidRPr="00E65AA7" w:rsidRDefault="009771CF" w:rsidP="007D3CB0">
            <w:pPr>
              <w:jc w:val="center"/>
              <w:rPr>
                <w:color w:val="000000"/>
                <w:sz w:val="20"/>
                <w:szCs w:val="20"/>
              </w:rPr>
            </w:pPr>
            <w:r>
              <w:rPr>
                <w:color w:val="000000"/>
                <w:sz w:val="20"/>
                <w:szCs w:val="20"/>
              </w:rPr>
              <w:t>4.10</w:t>
            </w:r>
          </w:p>
        </w:tc>
        <w:tc>
          <w:tcPr>
            <w:tcW w:w="344" w:type="pct"/>
            <w:tcBorders>
              <w:top w:val="nil"/>
              <w:left w:val="nil"/>
              <w:right w:val="nil"/>
            </w:tcBorders>
            <w:shd w:val="clear" w:color="auto" w:fill="auto"/>
            <w:noWrap/>
            <w:vAlign w:val="center"/>
          </w:tcPr>
          <w:p w14:paraId="0D7B4EF5" w14:textId="5A9D68A1" w:rsidR="009771CF" w:rsidRPr="00E65AA7" w:rsidRDefault="009771CF" w:rsidP="007D3CB0">
            <w:pPr>
              <w:jc w:val="center"/>
              <w:rPr>
                <w:color w:val="000000"/>
                <w:sz w:val="20"/>
                <w:szCs w:val="20"/>
              </w:rPr>
            </w:pPr>
            <w:r>
              <w:rPr>
                <w:color w:val="000000"/>
                <w:sz w:val="20"/>
                <w:szCs w:val="20"/>
              </w:rPr>
              <w:t>3.83</w:t>
            </w:r>
          </w:p>
        </w:tc>
        <w:tc>
          <w:tcPr>
            <w:tcW w:w="343" w:type="pct"/>
            <w:tcBorders>
              <w:top w:val="nil"/>
              <w:left w:val="nil"/>
              <w:right w:val="nil"/>
            </w:tcBorders>
            <w:shd w:val="clear" w:color="auto" w:fill="auto"/>
            <w:noWrap/>
            <w:vAlign w:val="center"/>
          </w:tcPr>
          <w:p w14:paraId="4E90B6E3" w14:textId="6C6F6F3B" w:rsidR="009771CF" w:rsidRPr="00E65AA7" w:rsidRDefault="009771CF" w:rsidP="007D3CB0">
            <w:pPr>
              <w:jc w:val="center"/>
              <w:rPr>
                <w:color w:val="000000"/>
                <w:sz w:val="20"/>
                <w:szCs w:val="20"/>
              </w:rPr>
            </w:pPr>
            <w:r>
              <w:rPr>
                <w:color w:val="000000"/>
                <w:sz w:val="20"/>
                <w:szCs w:val="20"/>
              </w:rPr>
              <w:t>3.28</w:t>
            </w:r>
          </w:p>
        </w:tc>
        <w:tc>
          <w:tcPr>
            <w:tcW w:w="343" w:type="pct"/>
            <w:tcBorders>
              <w:top w:val="nil"/>
              <w:left w:val="nil"/>
              <w:right w:val="nil"/>
            </w:tcBorders>
            <w:shd w:val="clear" w:color="auto" w:fill="auto"/>
            <w:noWrap/>
            <w:vAlign w:val="center"/>
          </w:tcPr>
          <w:p w14:paraId="20C510E9" w14:textId="67811734" w:rsidR="009771CF" w:rsidRPr="00E65AA7" w:rsidRDefault="009771CF" w:rsidP="007D3CB0">
            <w:pPr>
              <w:jc w:val="center"/>
              <w:rPr>
                <w:color w:val="000000"/>
                <w:sz w:val="20"/>
                <w:szCs w:val="20"/>
              </w:rPr>
            </w:pPr>
            <w:r>
              <w:rPr>
                <w:color w:val="000000"/>
                <w:sz w:val="20"/>
                <w:szCs w:val="20"/>
              </w:rPr>
              <w:t>2.93</w:t>
            </w:r>
          </w:p>
        </w:tc>
        <w:tc>
          <w:tcPr>
            <w:tcW w:w="343" w:type="pct"/>
            <w:tcBorders>
              <w:top w:val="nil"/>
              <w:left w:val="nil"/>
              <w:right w:val="nil"/>
            </w:tcBorders>
            <w:shd w:val="clear" w:color="auto" w:fill="auto"/>
            <w:noWrap/>
            <w:vAlign w:val="center"/>
          </w:tcPr>
          <w:p w14:paraId="43268A71" w14:textId="410DEFCD" w:rsidR="009771CF" w:rsidRPr="00E65AA7" w:rsidRDefault="009771CF" w:rsidP="007D3CB0">
            <w:pPr>
              <w:jc w:val="center"/>
              <w:rPr>
                <w:color w:val="000000"/>
                <w:sz w:val="20"/>
                <w:szCs w:val="20"/>
              </w:rPr>
            </w:pPr>
            <w:r>
              <w:rPr>
                <w:color w:val="000000"/>
                <w:sz w:val="20"/>
                <w:szCs w:val="20"/>
              </w:rPr>
              <w:t>2.37</w:t>
            </w:r>
          </w:p>
        </w:tc>
        <w:tc>
          <w:tcPr>
            <w:tcW w:w="343" w:type="pct"/>
            <w:tcBorders>
              <w:top w:val="nil"/>
              <w:left w:val="nil"/>
              <w:right w:val="nil"/>
            </w:tcBorders>
            <w:shd w:val="clear" w:color="auto" w:fill="auto"/>
            <w:noWrap/>
            <w:vAlign w:val="center"/>
          </w:tcPr>
          <w:p w14:paraId="3899FC0D" w14:textId="1CB8055F" w:rsidR="009771CF" w:rsidRPr="00E65AA7" w:rsidRDefault="009771CF" w:rsidP="007D3CB0">
            <w:pPr>
              <w:jc w:val="center"/>
              <w:rPr>
                <w:color w:val="000000"/>
                <w:sz w:val="20"/>
                <w:szCs w:val="20"/>
              </w:rPr>
            </w:pPr>
            <w:r>
              <w:rPr>
                <w:color w:val="000000"/>
                <w:sz w:val="20"/>
                <w:szCs w:val="20"/>
              </w:rPr>
              <w:t>2.57</w:t>
            </w:r>
          </w:p>
        </w:tc>
        <w:tc>
          <w:tcPr>
            <w:tcW w:w="343" w:type="pct"/>
            <w:tcBorders>
              <w:top w:val="nil"/>
              <w:left w:val="nil"/>
              <w:right w:val="nil"/>
            </w:tcBorders>
            <w:shd w:val="clear" w:color="auto" w:fill="auto"/>
            <w:noWrap/>
            <w:vAlign w:val="center"/>
          </w:tcPr>
          <w:p w14:paraId="066740E3" w14:textId="180F8B29" w:rsidR="009771CF" w:rsidRPr="00E65AA7" w:rsidRDefault="009771CF" w:rsidP="007D3CB0">
            <w:pPr>
              <w:jc w:val="center"/>
              <w:rPr>
                <w:color w:val="000000"/>
                <w:sz w:val="20"/>
                <w:szCs w:val="20"/>
              </w:rPr>
            </w:pPr>
            <w:r>
              <w:rPr>
                <w:color w:val="000000"/>
                <w:sz w:val="20"/>
                <w:szCs w:val="20"/>
              </w:rPr>
              <w:t>2.22</w:t>
            </w:r>
          </w:p>
        </w:tc>
        <w:tc>
          <w:tcPr>
            <w:tcW w:w="343" w:type="pct"/>
            <w:tcBorders>
              <w:top w:val="nil"/>
              <w:left w:val="nil"/>
              <w:right w:val="nil"/>
            </w:tcBorders>
            <w:shd w:val="clear" w:color="auto" w:fill="auto"/>
            <w:noWrap/>
            <w:vAlign w:val="center"/>
          </w:tcPr>
          <w:p w14:paraId="423106DA" w14:textId="51D3724B" w:rsidR="009771CF" w:rsidRPr="00E65AA7" w:rsidRDefault="009771CF" w:rsidP="007D3CB0">
            <w:pPr>
              <w:jc w:val="center"/>
              <w:rPr>
                <w:color w:val="000000"/>
                <w:sz w:val="20"/>
                <w:szCs w:val="20"/>
              </w:rPr>
            </w:pPr>
            <w:r>
              <w:rPr>
                <w:color w:val="000000"/>
                <w:sz w:val="20"/>
                <w:szCs w:val="20"/>
              </w:rPr>
              <w:t>1.65</w:t>
            </w:r>
          </w:p>
        </w:tc>
        <w:tc>
          <w:tcPr>
            <w:tcW w:w="343" w:type="pct"/>
            <w:tcBorders>
              <w:top w:val="nil"/>
              <w:left w:val="nil"/>
              <w:right w:val="nil"/>
            </w:tcBorders>
            <w:shd w:val="clear" w:color="auto" w:fill="auto"/>
            <w:noWrap/>
            <w:vAlign w:val="center"/>
          </w:tcPr>
          <w:p w14:paraId="6DE0B07C" w14:textId="6E439C58" w:rsidR="009771CF" w:rsidRPr="00E65AA7" w:rsidRDefault="009771CF" w:rsidP="007D3CB0">
            <w:pPr>
              <w:jc w:val="center"/>
              <w:rPr>
                <w:color w:val="000000"/>
                <w:sz w:val="20"/>
                <w:szCs w:val="20"/>
              </w:rPr>
            </w:pPr>
            <w:r>
              <w:rPr>
                <w:color w:val="000000"/>
                <w:sz w:val="20"/>
                <w:szCs w:val="20"/>
              </w:rPr>
              <w:t>2.54</w:t>
            </w:r>
          </w:p>
        </w:tc>
        <w:tc>
          <w:tcPr>
            <w:tcW w:w="331" w:type="pct"/>
            <w:tcBorders>
              <w:top w:val="nil"/>
              <w:left w:val="nil"/>
              <w:right w:val="nil"/>
            </w:tcBorders>
            <w:shd w:val="clear" w:color="auto" w:fill="auto"/>
            <w:noWrap/>
            <w:vAlign w:val="center"/>
          </w:tcPr>
          <w:p w14:paraId="5FDF7656" w14:textId="007A88ED" w:rsidR="009771CF" w:rsidRPr="00E65AA7" w:rsidRDefault="009771CF" w:rsidP="007D3CB0">
            <w:pPr>
              <w:jc w:val="center"/>
              <w:rPr>
                <w:color w:val="000000"/>
                <w:sz w:val="20"/>
                <w:szCs w:val="20"/>
              </w:rPr>
            </w:pPr>
            <w:r>
              <w:rPr>
                <w:color w:val="000000"/>
                <w:sz w:val="20"/>
                <w:szCs w:val="20"/>
              </w:rPr>
              <w:t>-1.63</w:t>
            </w:r>
          </w:p>
        </w:tc>
        <w:tc>
          <w:tcPr>
            <w:tcW w:w="330" w:type="pct"/>
            <w:tcBorders>
              <w:top w:val="nil"/>
              <w:left w:val="nil"/>
              <w:right w:val="nil"/>
            </w:tcBorders>
          </w:tcPr>
          <w:p w14:paraId="23C014E2" w14:textId="77777777" w:rsidR="009771CF" w:rsidRDefault="009771CF" w:rsidP="007D3CB0">
            <w:pPr>
              <w:jc w:val="center"/>
              <w:rPr>
                <w:color w:val="000000"/>
                <w:sz w:val="20"/>
                <w:szCs w:val="20"/>
              </w:rPr>
            </w:pPr>
          </w:p>
        </w:tc>
      </w:tr>
      <w:tr w:rsidR="009771CF" w:rsidRPr="00E65AA7" w14:paraId="69CF5B01" w14:textId="1AEDDEA5" w:rsidTr="009771CF">
        <w:trPr>
          <w:trHeight w:hRule="exact" w:val="255"/>
        </w:trPr>
        <w:tc>
          <w:tcPr>
            <w:tcW w:w="437" w:type="pct"/>
            <w:vMerge/>
            <w:tcBorders>
              <w:left w:val="nil"/>
              <w:bottom w:val="single" w:sz="4" w:space="0" w:color="auto"/>
              <w:right w:val="nil"/>
            </w:tcBorders>
            <w:vAlign w:val="center"/>
          </w:tcPr>
          <w:p w14:paraId="75656D84" w14:textId="77777777" w:rsidR="009771CF" w:rsidRPr="00E65AA7" w:rsidRDefault="009771CF" w:rsidP="007D3CB0">
            <w:pPr>
              <w:rPr>
                <w:rFonts w:eastAsia="Times New Roman"/>
                <w:color w:val="000000"/>
                <w:sz w:val="20"/>
                <w:szCs w:val="20"/>
                <w:lang w:eastAsia="en-MY"/>
              </w:rPr>
            </w:pPr>
          </w:p>
        </w:tc>
        <w:tc>
          <w:tcPr>
            <w:tcW w:w="201" w:type="pct"/>
            <w:vMerge/>
            <w:tcBorders>
              <w:left w:val="nil"/>
              <w:bottom w:val="single" w:sz="4" w:space="0" w:color="auto"/>
              <w:right w:val="nil"/>
            </w:tcBorders>
          </w:tcPr>
          <w:p w14:paraId="4F274EDF" w14:textId="77777777" w:rsidR="009771CF" w:rsidRPr="00E65AA7" w:rsidRDefault="009771CF" w:rsidP="007D3CB0">
            <w:pPr>
              <w:jc w:val="center"/>
              <w:rPr>
                <w:rFonts w:eastAsia="Times New Roman"/>
                <w:sz w:val="20"/>
                <w:szCs w:val="20"/>
                <w:lang w:eastAsia="en-MY"/>
              </w:rPr>
            </w:pPr>
          </w:p>
        </w:tc>
        <w:tc>
          <w:tcPr>
            <w:tcW w:w="297" w:type="pct"/>
            <w:tcBorders>
              <w:left w:val="nil"/>
              <w:bottom w:val="single" w:sz="4" w:space="0" w:color="auto"/>
              <w:right w:val="nil"/>
            </w:tcBorders>
            <w:shd w:val="clear" w:color="auto" w:fill="auto"/>
            <w:noWrap/>
            <w:vAlign w:val="center"/>
          </w:tcPr>
          <w:p w14:paraId="3209ACD6" w14:textId="77777777" w:rsidR="009771CF" w:rsidRPr="00E65AA7" w:rsidRDefault="009771CF" w:rsidP="007D3CB0">
            <w:pPr>
              <w:jc w:val="center"/>
              <w:rPr>
                <w:rFonts w:eastAsia="Times New Roman"/>
                <w:sz w:val="20"/>
                <w:szCs w:val="20"/>
                <w:lang w:eastAsia="en-MY"/>
              </w:rPr>
            </w:pPr>
          </w:p>
        </w:tc>
        <w:tc>
          <w:tcPr>
            <w:tcW w:w="314" w:type="pct"/>
            <w:tcBorders>
              <w:left w:val="nil"/>
              <w:bottom w:val="single" w:sz="4" w:space="0" w:color="auto"/>
              <w:right w:val="nil"/>
            </w:tcBorders>
            <w:shd w:val="clear" w:color="auto" w:fill="auto"/>
            <w:noWrap/>
            <w:vAlign w:val="center"/>
          </w:tcPr>
          <w:p w14:paraId="38384FD4" w14:textId="1DD4AF9D" w:rsidR="009771CF" w:rsidRPr="00E65AA7" w:rsidRDefault="009771CF" w:rsidP="007D3CB0">
            <w:pPr>
              <w:jc w:val="center"/>
              <w:rPr>
                <w:color w:val="000000"/>
                <w:sz w:val="20"/>
                <w:szCs w:val="20"/>
              </w:rPr>
            </w:pPr>
            <w:r>
              <w:rPr>
                <w:color w:val="000000"/>
                <w:sz w:val="20"/>
                <w:szCs w:val="20"/>
              </w:rPr>
              <w:t>(7.4</w:t>
            </w:r>
            <w:r w:rsidR="006103D5">
              <w:rPr>
                <w:color w:val="000000"/>
                <w:sz w:val="20"/>
                <w:szCs w:val="20"/>
              </w:rPr>
              <w:t>0</w:t>
            </w:r>
            <w:r>
              <w:rPr>
                <w:color w:val="000000"/>
                <w:sz w:val="20"/>
                <w:szCs w:val="20"/>
              </w:rPr>
              <w:t>)</w:t>
            </w:r>
          </w:p>
        </w:tc>
        <w:tc>
          <w:tcPr>
            <w:tcW w:w="345" w:type="pct"/>
            <w:tcBorders>
              <w:left w:val="nil"/>
              <w:bottom w:val="single" w:sz="4" w:space="0" w:color="auto"/>
              <w:right w:val="nil"/>
            </w:tcBorders>
            <w:shd w:val="clear" w:color="auto" w:fill="auto"/>
            <w:noWrap/>
            <w:vAlign w:val="center"/>
          </w:tcPr>
          <w:p w14:paraId="635B59CC" w14:textId="4368C636" w:rsidR="009771CF" w:rsidRPr="00E65AA7" w:rsidRDefault="009771CF" w:rsidP="007D3CB0">
            <w:pPr>
              <w:jc w:val="center"/>
              <w:rPr>
                <w:color w:val="000000"/>
                <w:sz w:val="20"/>
                <w:szCs w:val="20"/>
              </w:rPr>
            </w:pPr>
            <w:r>
              <w:rPr>
                <w:color w:val="000000"/>
                <w:sz w:val="20"/>
                <w:szCs w:val="20"/>
              </w:rPr>
              <w:t>(7.39)</w:t>
            </w:r>
          </w:p>
        </w:tc>
        <w:tc>
          <w:tcPr>
            <w:tcW w:w="344" w:type="pct"/>
            <w:tcBorders>
              <w:left w:val="nil"/>
              <w:bottom w:val="single" w:sz="4" w:space="0" w:color="auto"/>
              <w:right w:val="nil"/>
            </w:tcBorders>
            <w:shd w:val="clear" w:color="auto" w:fill="auto"/>
            <w:noWrap/>
            <w:vAlign w:val="center"/>
          </w:tcPr>
          <w:p w14:paraId="4290C286" w14:textId="0DCF0A3E" w:rsidR="009771CF" w:rsidRPr="00E65AA7" w:rsidRDefault="009771CF" w:rsidP="007D3CB0">
            <w:pPr>
              <w:jc w:val="center"/>
              <w:rPr>
                <w:color w:val="000000"/>
                <w:sz w:val="20"/>
                <w:szCs w:val="20"/>
              </w:rPr>
            </w:pPr>
            <w:r>
              <w:rPr>
                <w:color w:val="000000"/>
                <w:sz w:val="20"/>
                <w:szCs w:val="20"/>
              </w:rPr>
              <w:t>(7.22)</w:t>
            </w:r>
          </w:p>
        </w:tc>
        <w:tc>
          <w:tcPr>
            <w:tcW w:w="343" w:type="pct"/>
            <w:tcBorders>
              <w:left w:val="nil"/>
              <w:bottom w:val="single" w:sz="4" w:space="0" w:color="auto"/>
              <w:right w:val="nil"/>
            </w:tcBorders>
            <w:shd w:val="clear" w:color="auto" w:fill="auto"/>
            <w:noWrap/>
            <w:vAlign w:val="center"/>
          </w:tcPr>
          <w:p w14:paraId="4683593C" w14:textId="5CC05C68" w:rsidR="009771CF" w:rsidRPr="00E65AA7" w:rsidRDefault="009771CF" w:rsidP="007D3CB0">
            <w:pPr>
              <w:jc w:val="center"/>
              <w:rPr>
                <w:color w:val="000000"/>
                <w:sz w:val="20"/>
                <w:szCs w:val="20"/>
              </w:rPr>
            </w:pPr>
            <w:r>
              <w:rPr>
                <w:color w:val="000000"/>
                <w:sz w:val="20"/>
                <w:szCs w:val="20"/>
              </w:rPr>
              <w:t>(6.38)</w:t>
            </w:r>
          </w:p>
        </w:tc>
        <w:tc>
          <w:tcPr>
            <w:tcW w:w="343" w:type="pct"/>
            <w:tcBorders>
              <w:left w:val="nil"/>
              <w:bottom w:val="single" w:sz="4" w:space="0" w:color="auto"/>
              <w:right w:val="nil"/>
            </w:tcBorders>
            <w:shd w:val="clear" w:color="auto" w:fill="auto"/>
            <w:noWrap/>
            <w:vAlign w:val="center"/>
          </w:tcPr>
          <w:p w14:paraId="3803225F" w14:textId="275A5AC6" w:rsidR="009771CF" w:rsidRPr="00E65AA7" w:rsidRDefault="009771CF" w:rsidP="007D3CB0">
            <w:pPr>
              <w:jc w:val="center"/>
              <w:rPr>
                <w:color w:val="000000"/>
                <w:sz w:val="20"/>
                <w:szCs w:val="20"/>
              </w:rPr>
            </w:pPr>
            <w:r>
              <w:rPr>
                <w:color w:val="000000"/>
                <w:sz w:val="20"/>
                <w:szCs w:val="20"/>
              </w:rPr>
              <w:t>(6.24)</w:t>
            </w:r>
          </w:p>
        </w:tc>
        <w:tc>
          <w:tcPr>
            <w:tcW w:w="343" w:type="pct"/>
            <w:tcBorders>
              <w:left w:val="nil"/>
              <w:bottom w:val="single" w:sz="4" w:space="0" w:color="auto"/>
              <w:right w:val="nil"/>
            </w:tcBorders>
            <w:shd w:val="clear" w:color="auto" w:fill="auto"/>
            <w:noWrap/>
            <w:vAlign w:val="center"/>
          </w:tcPr>
          <w:p w14:paraId="6B4A6C9A" w14:textId="057063C6" w:rsidR="009771CF" w:rsidRPr="00E65AA7" w:rsidRDefault="009771CF" w:rsidP="007D3CB0">
            <w:pPr>
              <w:jc w:val="center"/>
              <w:rPr>
                <w:color w:val="000000"/>
                <w:sz w:val="20"/>
                <w:szCs w:val="20"/>
              </w:rPr>
            </w:pPr>
            <w:r>
              <w:rPr>
                <w:color w:val="000000"/>
                <w:sz w:val="20"/>
                <w:szCs w:val="20"/>
              </w:rPr>
              <w:t>(5.09)</w:t>
            </w:r>
          </w:p>
        </w:tc>
        <w:tc>
          <w:tcPr>
            <w:tcW w:w="343" w:type="pct"/>
            <w:tcBorders>
              <w:left w:val="nil"/>
              <w:bottom w:val="single" w:sz="4" w:space="0" w:color="auto"/>
              <w:right w:val="nil"/>
            </w:tcBorders>
            <w:shd w:val="clear" w:color="auto" w:fill="auto"/>
            <w:noWrap/>
            <w:vAlign w:val="center"/>
          </w:tcPr>
          <w:p w14:paraId="213544D6" w14:textId="5FB03CC9" w:rsidR="009771CF" w:rsidRPr="00E65AA7" w:rsidRDefault="009771CF" w:rsidP="007D3CB0">
            <w:pPr>
              <w:jc w:val="center"/>
              <w:rPr>
                <w:color w:val="000000"/>
                <w:sz w:val="20"/>
                <w:szCs w:val="20"/>
              </w:rPr>
            </w:pPr>
            <w:r>
              <w:rPr>
                <w:color w:val="000000"/>
                <w:sz w:val="20"/>
                <w:szCs w:val="20"/>
              </w:rPr>
              <w:t>(4.83)</w:t>
            </w:r>
          </w:p>
        </w:tc>
        <w:tc>
          <w:tcPr>
            <w:tcW w:w="343" w:type="pct"/>
            <w:tcBorders>
              <w:left w:val="nil"/>
              <w:bottom w:val="single" w:sz="4" w:space="0" w:color="auto"/>
              <w:right w:val="nil"/>
            </w:tcBorders>
            <w:shd w:val="clear" w:color="auto" w:fill="auto"/>
            <w:noWrap/>
            <w:vAlign w:val="center"/>
          </w:tcPr>
          <w:p w14:paraId="139E8702" w14:textId="60D12937" w:rsidR="009771CF" w:rsidRPr="00E65AA7" w:rsidRDefault="009771CF" w:rsidP="007D3CB0">
            <w:pPr>
              <w:jc w:val="center"/>
              <w:rPr>
                <w:color w:val="000000"/>
                <w:sz w:val="20"/>
                <w:szCs w:val="20"/>
              </w:rPr>
            </w:pPr>
            <w:r>
              <w:rPr>
                <w:color w:val="000000"/>
                <w:sz w:val="20"/>
                <w:szCs w:val="20"/>
              </w:rPr>
              <w:t>(3.61)</w:t>
            </w:r>
          </w:p>
        </w:tc>
        <w:tc>
          <w:tcPr>
            <w:tcW w:w="343" w:type="pct"/>
            <w:tcBorders>
              <w:left w:val="nil"/>
              <w:bottom w:val="single" w:sz="4" w:space="0" w:color="auto"/>
              <w:right w:val="nil"/>
            </w:tcBorders>
            <w:shd w:val="clear" w:color="auto" w:fill="auto"/>
            <w:noWrap/>
            <w:vAlign w:val="center"/>
          </w:tcPr>
          <w:p w14:paraId="43AE1338" w14:textId="1C83D605" w:rsidR="009771CF" w:rsidRPr="00E65AA7" w:rsidRDefault="009771CF" w:rsidP="007D3CB0">
            <w:pPr>
              <w:jc w:val="center"/>
              <w:rPr>
                <w:color w:val="000000"/>
                <w:sz w:val="20"/>
                <w:szCs w:val="20"/>
              </w:rPr>
            </w:pPr>
            <w:r>
              <w:rPr>
                <w:color w:val="000000"/>
                <w:sz w:val="20"/>
                <w:szCs w:val="20"/>
              </w:rPr>
              <w:t>(2.89)</w:t>
            </w:r>
          </w:p>
        </w:tc>
        <w:tc>
          <w:tcPr>
            <w:tcW w:w="343" w:type="pct"/>
            <w:tcBorders>
              <w:left w:val="nil"/>
              <w:bottom w:val="single" w:sz="4" w:space="0" w:color="auto"/>
              <w:right w:val="nil"/>
            </w:tcBorders>
            <w:shd w:val="clear" w:color="auto" w:fill="auto"/>
            <w:noWrap/>
            <w:vAlign w:val="center"/>
          </w:tcPr>
          <w:p w14:paraId="08242DBA" w14:textId="532B9DC9" w:rsidR="009771CF" w:rsidRPr="00E65AA7" w:rsidRDefault="009771CF" w:rsidP="007D3CB0">
            <w:pPr>
              <w:jc w:val="center"/>
              <w:rPr>
                <w:color w:val="000000"/>
                <w:sz w:val="20"/>
                <w:szCs w:val="20"/>
              </w:rPr>
            </w:pPr>
            <w:r>
              <w:rPr>
                <w:color w:val="000000"/>
                <w:sz w:val="20"/>
                <w:szCs w:val="20"/>
              </w:rPr>
              <w:t>(5.21)</w:t>
            </w:r>
          </w:p>
        </w:tc>
        <w:tc>
          <w:tcPr>
            <w:tcW w:w="331" w:type="pct"/>
            <w:tcBorders>
              <w:left w:val="nil"/>
              <w:bottom w:val="single" w:sz="4" w:space="0" w:color="auto"/>
              <w:right w:val="nil"/>
            </w:tcBorders>
            <w:shd w:val="clear" w:color="auto" w:fill="auto"/>
            <w:noWrap/>
            <w:vAlign w:val="center"/>
          </w:tcPr>
          <w:p w14:paraId="6EFAFF00" w14:textId="71AFE49C" w:rsidR="009771CF" w:rsidRPr="00E65AA7" w:rsidRDefault="009771CF" w:rsidP="007D3CB0">
            <w:pPr>
              <w:jc w:val="center"/>
              <w:rPr>
                <w:color w:val="000000"/>
                <w:sz w:val="20"/>
                <w:szCs w:val="20"/>
              </w:rPr>
            </w:pPr>
            <w:r>
              <w:rPr>
                <w:color w:val="000000"/>
                <w:sz w:val="20"/>
                <w:szCs w:val="20"/>
              </w:rPr>
              <w:t>(-5.73)</w:t>
            </w:r>
          </w:p>
        </w:tc>
        <w:tc>
          <w:tcPr>
            <w:tcW w:w="330" w:type="pct"/>
            <w:tcBorders>
              <w:left w:val="nil"/>
              <w:bottom w:val="single" w:sz="4" w:space="0" w:color="auto"/>
              <w:right w:val="nil"/>
            </w:tcBorders>
          </w:tcPr>
          <w:p w14:paraId="328330CA" w14:textId="77777777" w:rsidR="009771CF" w:rsidRDefault="009771CF" w:rsidP="007D3CB0">
            <w:pPr>
              <w:jc w:val="center"/>
              <w:rPr>
                <w:color w:val="000000"/>
                <w:sz w:val="20"/>
                <w:szCs w:val="20"/>
              </w:rPr>
            </w:pPr>
          </w:p>
        </w:tc>
      </w:tr>
      <w:tr w:rsidR="00D37107" w:rsidRPr="00E65AA7" w14:paraId="5F41BF8A" w14:textId="77777777" w:rsidTr="00D37107">
        <w:trPr>
          <w:trHeight w:hRule="exact" w:val="255"/>
        </w:trPr>
        <w:tc>
          <w:tcPr>
            <w:tcW w:w="5000" w:type="pct"/>
            <w:gridSpan w:val="15"/>
            <w:tcBorders>
              <w:left w:val="nil"/>
              <w:bottom w:val="single" w:sz="4" w:space="0" w:color="auto"/>
              <w:right w:val="nil"/>
            </w:tcBorders>
            <w:vAlign w:val="center"/>
          </w:tcPr>
          <w:p w14:paraId="61AA59BE" w14:textId="6F0ECCF4" w:rsidR="00D37107" w:rsidRDefault="00D37107" w:rsidP="007D3CB0">
            <w:pPr>
              <w:jc w:val="center"/>
              <w:rPr>
                <w:color w:val="000000"/>
                <w:sz w:val="20"/>
                <w:szCs w:val="20"/>
              </w:rPr>
            </w:pPr>
            <w:r>
              <w:rPr>
                <w:rFonts w:eastAsia="Times New Roman"/>
                <w:b/>
                <w:bCs/>
                <w:color w:val="000000"/>
                <w:sz w:val="20"/>
                <w:szCs w:val="20"/>
                <w:lang w:eastAsia="en-MY"/>
              </w:rPr>
              <w:t>Panel C: E</w:t>
            </w:r>
            <w:r w:rsidRPr="00D37107">
              <w:rPr>
                <w:rFonts w:eastAsia="Times New Roman"/>
                <w:b/>
                <w:bCs/>
                <w:color w:val="000000"/>
                <w:sz w:val="20"/>
                <w:szCs w:val="20"/>
                <w:lang w:eastAsia="en-MY"/>
              </w:rPr>
              <w:t>quity (ME)</w:t>
            </w:r>
          </w:p>
        </w:tc>
      </w:tr>
      <w:tr w:rsidR="009771CF" w:rsidRPr="00E65AA7" w14:paraId="6727D3A0" w14:textId="6DF38ED8" w:rsidTr="009771CF">
        <w:trPr>
          <w:trHeight w:hRule="exact" w:val="255"/>
        </w:trPr>
        <w:tc>
          <w:tcPr>
            <w:tcW w:w="437" w:type="pct"/>
            <w:vMerge w:val="restart"/>
            <w:tcBorders>
              <w:top w:val="single" w:sz="4" w:space="0" w:color="auto"/>
              <w:left w:val="nil"/>
              <w:bottom w:val="nil"/>
              <w:right w:val="nil"/>
            </w:tcBorders>
            <w:shd w:val="clear" w:color="auto" w:fill="auto"/>
            <w:vAlign w:val="center"/>
            <w:hideMark/>
          </w:tcPr>
          <w:p w14:paraId="6D85BBA5" w14:textId="2D1885C4" w:rsidR="009771CF" w:rsidRPr="00E65AA7" w:rsidRDefault="009771CF" w:rsidP="00C46080">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01" w:type="pct"/>
            <w:vMerge w:val="restart"/>
            <w:tcBorders>
              <w:top w:val="single" w:sz="4" w:space="0" w:color="auto"/>
              <w:left w:val="nil"/>
              <w:right w:val="nil"/>
            </w:tcBorders>
            <w:vAlign w:val="center"/>
          </w:tcPr>
          <w:p w14:paraId="3E7C93DD" w14:textId="77777777" w:rsidR="009771CF" w:rsidRPr="00E65AA7" w:rsidRDefault="009771CF" w:rsidP="00C46080">
            <w:pPr>
              <w:jc w:val="center"/>
              <w:rPr>
                <w:rFonts w:eastAsia="Times New Roman"/>
                <w:color w:val="000000"/>
                <w:sz w:val="20"/>
                <w:szCs w:val="20"/>
                <w:lang w:eastAsia="en-MY"/>
              </w:rPr>
            </w:pPr>
            <w:r w:rsidRPr="00E65AA7">
              <w:rPr>
                <w:rFonts w:eastAsia="Times New Roman"/>
                <w:color w:val="000000"/>
                <w:sz w:val="20"/>
                <w:szCs w:val="20"/>
                <w:lang w:eastAsia="en-MY"/>
              </w:rPr>
              <w:t>152</w:t>
            </w:r>
          </w:p>
        </w:tc>
        <w:tc>
          <w:tcPr>
            <w:tcW w:w="297" w:type="pct"/>
            <w:tcBorders>
              <w:top w:val="single" w:sz="4" w:space="0" w:color="auto"/>
              <w:left w:val="nil"/>
              <w:bottom w:val="nil"/>
              <w:right w:val="nil"/>
            </w:tcBorders>
            <w:shd w:val="clear" w:color="auto" w:fill="auto"/>
            <w:noWrap/>
            <w:vAlign w:val="center"/>
            <w:hideMark/>
          </w:tcPr>
          <w:p w14:paraId="4C4166EB" w14:textId="77777777" w:rsidR="009771CF" w:rsidRPr="00E65AA7" w:rsidRDefault="009771CF" w:rsidP="00C46080">
            <w:pPr>
              <w:jc w:val="center"/>
              <w:rPr>
                <w:rFonts w:eastAsia="Times New Roman"/>
                <w:color w:val="000000"/>
                <w:sz w:val="20"/>
                <w:szCs w:val="20"/>
                <w:lang w:eastAsia="en-MY"/>
              </w:rPr>
            </w:pPr>
          </w:p>
        </w:tc>
        <w:tc>
          <w:tcPr>
            <w:tcW w:w="314" w:type="pct"/>
            <w:tcBorders>
              <w:top w:val="single" w:sz="4" w:space="0" w:color="auto"/>
              <w:left w:val="nil"/>
              <w:bottom w:val="nil"/>
              <w:right w:val="nil"/>
            </w:tcBorders>
            <w:shd w:val="clear" w:color="auto" w:fill="auto"/>
            <w:noWrap/>
            <w:vAlign w:val="center"/>
            <w:hideMark/>
          </w:tcPr>
          <w:p w14:paraId="041612DA" w14:textId="72FF4E7D" w:rsidR="009771CF" w:rsidRPr="00E65AA7" w:rsidRDefault="009771CF" w:rsidP="00C46080">
            <w:pPr>
              <w:jc w:val="center"/>
              <w:rPr>
                <w:color w:val="000000"/>
                <w:sz w:val="20"/>
                <w:szCs w:val="20"/>
              </w:rPr>
            </w:pPr>
            <w:r>
              <w:rPr>
                <w:color w:val="000000"/>
                <w:sz w:val="20"/>
                <w:szCs w:val="20"/>
              </w:rPr>
              <w:t>2.92</w:t>
            </w:r>
          </w:p>
        </w:tc>
        <w:tc>
          <w:tcPr>
            <w:tcW w:w="345" w:type="pct"/>
            <w:tcBorders>
              <w:top w:val="single" w:sz="4" w:space="0" w:color="auto"/>
              <w:left w:val="nil"/>
              <w:bottom w:val="nil"/>
              <w:right w:val="nil"/>
            </w:tcBorders>
            <w:shd w:val="clear" w:color="auto" w:fill="auto"/>
            <w:noWrap/>
            <w:vAlign w:val="center"/>
            <w:hideMark/>
          </w:tcPr>
          <w:p w14:paraId="5DDDE1A0" w14:textId="23103606" w:rsidR="009771CF" w:rsidRPr="00E65AA7" w:rsidRDefault="009771CF" w:rsidP="00C46080">
            <w:pPr>
              <w:jc w:val="center"/>
              <w:rPr>
                <w:color w:val="000000"/>
                <w:sz w:val="20"/>
                <w:szCs w:val="20"/>
              </w:rPr>
            </w:pPr>
            <w:r>
              <w:rPr>
                <w:color w:val="000000"/>
                <w:sz w:val="20"/>
                <w:szCs w:val="20"/>
              </w:rPr>
              <w:t>2.63</w:t>
            </w:r>
          </w:p>
        </w:tc>
        <w:tc>
          <w:tcPr>
            <w:tcW w:w="344" w:type="pct"/>
            <w:tcBorders>
              <w:top w:val="single" w:sz="4" w:space="0" w:color="auto"/>
              <w:left w:val="nil"/>
              <w:bottom w:val="nil"/>
              <w:right w:val="nil"/>
            </w:tcBorders>
            <w:shd w:val="clear" w:color="auto" w:fill="auto"/>
            <w:noWrap/>
            <w:vAlign w:val="center"/>
            <w:hideMark/>
          </w:tcPr>
          <w:p w14:paraId="2425AC51" w14:textId="41DFE61A" w:rsidR="009771CF" w:rsidRPr="00E65AA7" w:rsidRDefault="009771CF" w:rsidP="00C46080">
            <w:pPr>
              <w:jc w:val="center"/>
              <w:rPr>
                <w:color w:val="000000"/>
                <w:sz w:val="20"/>
                <w:szCs w:val="20"/>
              </w:rPr>
            </w:pPr>
            <w:r>
              <w:rPr>
                <w:color w:val="000000"/>
                <w:sz w:val="20"/>
                <w:szCs w:val="20"/>
              </w:rPr>
              <w:t>2.70</w:t>
            </w:r>
          </w:p>
        </w:tc>
        <w:tc>
          <w:tcPr>
            <w:tcW w:w="343" w:type="pct"/>
            <w:tcBorders>
              <w:top w:val="single" w:sz="4" w:space="0" w:color="auto"/>
              <w:left w:val="nil"/>
              <w:bottom w:val="nil"/>
              <w:right w:val="nil"/>
            </w:tcBorders>
            <w:shd w:val="clear" w:color="auto" w:fill="auto"/>
            <w:noWrap/>
            <w:vAlign w:val="center"/>
            <w:hideMark/>
          </w:tcPr>
          <w:p w14:paraId="54505633" w14:textId="0CDB92CA" w:rsidR="009771CF" w:rsidRPr="00E65AA7" w:rsidRDefault="009771CF" w:rsidP="00C46080">
            <w:pPr>
              <w:jc w:val="center"/>
              <w:rPr>
                <w:color w:val="000000"/>
                <w:sz w:val="20"/>
                <w:szCs w:val="20"/>
              </w:rPr>
            </w:pPr>
            <w:r>
              <w:rPr>
                <w:color w:val="000000"/>
                <w:sz w:val="20"/>
                <w:szCs w:val="20"/>
              </w:rPr>
              <w:t>2.71</w:t>
            </w:r>
          </w:p>
        </w:tc>
        <w:tc>
          <w:tcPr>
            <w:tcW w:w="343" w:type="pct"/>
            <w:tcBorders>
              <w:top w:val="single" w:sz="4" w:space="0" w:color="auto"/>
              <w:left w:val="nil"/>
              <w:bottom w:val="nil"/>
              <w:right w:val="nil"/>
            </w:tcBorders>
            <w:shd w:val="clear" w:color="auto" w:fill="auto"/>
            <w:noWrap/>
            <w:vAlign w:val="center"/>
            <w:hideMark/>
          </w:tcPr>
          <w:p w14:paraId="2907B3E7" w14:textId="7BD22334" w:rsidR="009771CF" w:rsidRPr="00E65AA7" w:rsidRDefault="009771CF" w:rsidP="00C46080">
            <w:pPr>
              <w:jc w:val="center"/>
              <w:rPr>
                <w:color w:val="000000"/>
                <w:sz w:val="20"/>
                <w:szCs w:val="20"/>
              </w:rPr>
            </w:pPr>
            <w:r>
              <w:rPr>
                <w:color w:val="000000"/>
                <w:sz w:val="20"/>
                <w:szCs w:val="20"/>
              </w:rPr>
              <w:t>2.69</w:t>
            </w:r>
          </w:p>
        </w:tc>
        <w:tc>
          <w:tcPr>
            <w:tcW w:w="343" w:type="pct"/>
            <w:tcBorders>
              <w:top w:val="single" w:sz="4" w:space="0" w:color="auto"/>
              <w:left w:val="nil"/>
              <w:bottom w:val="nil"/>
              <w:right w:val="nil"/>
            </w:tcBorders>
            <w:shd w:val="clear" w:color="auto" w:fill="auto"/>
            <w:noWrap/>
            <w:vAlign w:val="center"/>
            <w:hideMark/>
          </w:tcPr>
          <w:p w14:paraId="278D6270" w14:textId="7EA91A80" w:rsidR="009771CF" w:rsidRPr="00E65AA7" w:rsidRDefault="009771CF" w:rsidP="00C46080">
            <w:pPr>
              <w:jc w:val="center"/>
              <w:rPr>
                <w:color w:val="000000"/>
                <w:sz w:val="20"/>
                <w:szCs w:val="20"/>
              </w:rPr>
            </w:pPr>
            <w:r>
              <w:rPr>
                <w:color w:val="000000"/>
                <w:sz w:val="20"/>
                <w:szCs w:val="20"/>
              </w:rPr>
              <w:t>2.49</w:t>
            </w:r>
          </w:p>
        </w:tc>
        <w:tc>
          <w:tcPr>
            <w:tcW w:w="343" w:type="pct"/>
            <w:tcBorders>
              <w:top w:val="single" w:sz="4" w:space="0" w:color="auto"/>
              <w:left w:val="nil"/>
              <w:bottom w:val="nil"/>
              <w:right w:val="nil"/>
            </w:tcBorders>
            <w:shd w:val="clear" w:color="auto" w:fill="auto"/>
            <w:noWrap/>
            <w:vAlign w:val="center"/>
            <w:hideMark/>
          </w:tcPr>
          <w:p w14:paraId="76061B08" w14:textId="6FB1F38B" w:rsidR="009771CF" w:rsidRPr="00E65AA7" w:rsidRDefault="009771CF" w:rsidP="00C46080">
            <w:pPr>
              <w:jc w:val="center"/>
              <w:rPr>
                <w:color w:val="000000"/>
                <w:sz w:val="20"/>
                <w:szCs w:val="20"/>
              </w:rPr>
            </w:pPr>
            <w:r>
              <w:rPr>
                <w:color w:val="000000"/>
                <w:sz w:val="20"/>
                <w:szCs w:val="20"/>
              </w:rPr>
              <w:t>2.32</w:t>
            </w:r>
          </w:p>
        </w:tc>
        <w:tc>
          <w:tcPr>
            <w:tcW w:w="343" w:type="pct"/>
            <w:tcBorders>
              <w:top w:val="single" w:sz="4" w:space="0" w:color="auto"/>
              <w:left w:val="nil"/>
              <w:bottom w:val="nil"/>
              <w:right w:val="nil"/>
            </w:tcBorders>
            <w:shd w:val="clear" w:color="auto" w:fill="auto"/>
            <w:noWrap/>
            <w:vAlign w:val="center"/>
            <w:hideMark/>
          </w:tcPr>
          <w:p w14:paraId="6347F286" w14:textId="5A452827" w:rsidR="009771CF" w:rsidRPr="00E65AA7" w:rsidRDefault="009771CF" w:rsidP="00C46080">
            <w:pPr>
              <w:jc w:val="center"/>
              <w:rPr>
                <w:color w:val="000000"/>
                <w:sz w:val="20"/>
                <w:szCs w:val="20"/>
              </w:rPr>
            </w:pPr>
            <w:r>
              <w:rPr>
                <w:color w:val="000000"/>
                <w:sz w:val="20"/>
                <w:szCs w:val="20"/>
              </w:rPr>
              <w:t>2.12</w:t>
            </w:r>
          </w:p>
        </w:tc>
        <w:tc>
          <w:tcPr>
            <w:tcW w:w="343" w:type="pct"/>
            <w:tcBorders>
              <w:top w:val="single" w:sz="4" w:space="0" w:color="auto"/>
              <w:left w:val="nil"/>
              <w:bottom w:val="nil"/>
              <w:right w:val="nil"/>
            </w:tcBorders>
            <w:shd w:val="clear" w:color="auto" w:fill="auto"/>
            <w:noWrap/>
            <w:vAlign w:val="center"/>
            <w:hideMark/>
          </w:tcPr>
          <w:p w14:paraId="5A2FD8D1" w14:textId="7F57420A" w:rsidR="009771CF" w:rsidRPr="00E65AA7" w:rsidRDefault="009771CF" w:rsidP="00C46080">
            <w:pPr>
              <w:jc w:val="center"/>
              <w:rPr>
                <w:color w:val="000000"/>
                <w:sz w:val="20"/>
                <w:szCs w:val="20"/>
              </w:rPr>
            </w:pPr>
            <w:r>
              <w:rPr>
                <w:color w:val="000000"/>
                <w:sz w:val="20"/>
                <w:szCs w:val="20"/>
              </w:rPr>
              <w:t>2.01</w:t>
            </w:r>
          </w:p>
        </w:tc>
        <w:tc>
          <w:tcPr>
            <w:tcW w:w="343" w:type="pct"/>
            <w:tcBorders>
              <w:top w:val="single" w:sz="4" w:space="0" w:color="auto"/>
              <w:left w:val="nil"/>
              <w:bottom w:val="nil"/>
              <w:right w:val="nil"/>
            </w:tcBorders>
            <w:shd w:val="clear" w:color="auto" w:fill="auto"/>
            <w:noWrap/>
            <w:vAlign w:val="center"/>
            <w:hideMark/>
          </w:tcPr>
          <w:p w14:paraId="789DB778" w14:textId="3BE6B426" w:rsidR="009771CF" w:rsidRPr="00E65AA7" w:rsidRDefault="009771CF" w:rsidP="00C46080">
            <w:pPr>
              <w:jc w:val="center"/>
              <w:rPr>
                <w:color w:val="000000"/>
                <w:sz w:val="20"/>
                <w:szCs w:val="20"/>
              </w:rPr>
            </w:pPr>
            <w:r>
              <w:rPr>
                <w:color w:val="000000"/>
                <w:sz w:val="20"/>
                <w:szCs w:val="20"/>
              </w:rPr>
              <w:t>1.67</w:t>
            </w:r>
          </w:p>
        </w:tc>
        <w:tc>
          <w:tcPr>
            <w:tcW w:w="331" w:type="pct"/>
            <w:tcBorders>
              <w:top w:val="single" w:sz="4" w:space="0" w:color="auto"/>
              <w:left w:val="nil"/>
              <w:bottom w:val="nil"/>
              <w:right w:val="nil"/>
            </w:tcBorders>
            <w:shd w:val="clear" w:color="auto" w:fill="auto"/>
            <w:noWrap/>
            <w:vAlign w:val="center"/>
            <w:hideMark/>
          </w:tcPr>
          <w:p w14:paraId="559465DC" w14:textId="55582378" w:rsidR="009771CF" w:rsidRPr="00E65AA7" w:rsidRDefault="009771CF" w:rsidP="00C46080">
            <w:pPr>
              <w:jc w:val="center"/>
              <w:rPr>
                <w:color w:val="000000"/>
                <w:sz w:val="20"/>
                <w:szCs w:val="20"/>
              </w:rPr>
            </w:pPr>
            <w:r>
              <w:rPr>
                <w:color w:val="000000"/>
                <w:sz w:val="20"/>
                <w:szCs w:val="20"/>
              </w:rPr>
              <w:t>-1.25</w:t>
            </w:r>
          </w:p>
        </w:tc>
        <w:tc>
          <w:tcPr>
            <w:tcW w:w="330" w:type="pct"/>
            <w:tcBorders>
              <w:top w:val="single" w:sz="4" w:space="0" w:color="auto"/>
              <w:left w:val="nil"/>
              <w:bottom w:val="nil"/>
              <w:right w:val="nil"/>
            </w:tcBorders>
          </w:tcPr>
          <w:p w14:paraId="33BBF007" w14:textId="77777777" w:rsidR="009771CF" w:rsidRDefault="009771CF" w:rsidP="00C46080">
            <w:pPr>
              <w:jc w:val="center"/>
              <w:rPr>
                <w:color w:val="000000"/>
                <w:sz w:val="20"/>
                <w:szCs w:val="20"/>
              </w:rPr>
            </w:pPr>
          </w:p>
        </w:tc>
      </w:tr>
      <w:tr w:rsidR="009771CF" w:rsidRPr="00E65AA7" w14:paraId="7064DE47" w14:textId="4BF40440" w:rsidTr="009771CF">
        <w:trPr>
          <w:trHeight w:hRule="exact" w:val="255"/>
        </w:trPr>
        <w:tc>
          <w:tcPr>
            <w:tcW w:w="437" w:type="pct"/>
            <w:vMerge/>
            <w:tcBorders>
              <w:top w:val="nil"/>
              <w:left w:val="nil"/>
              <w:bottom w:val="nil"/>
              <w:right w:val="nil"/>
            </w:tcBorders>
            <w:vAlign w:val="center"/>
            <w:hideMark/>
          </w:tcPr>
          <w:p w14:paraId="43238E0E" w14:textId="77777777" w:rsidR="009771CF" w:rsidRPr="00E65AA7" w:rsidRDefault="009771CF" w:rsidP="00C46080">
            <w:pPr>
              <w:rPr>
                <w:rFonts w:eastAsia="Times New Roman"/>
                <w:b/>
                <w:color w:val="000000"/>
                <w:sz w:val="20"/>
                <w:szCs w:val="20"/>
                <w:lang w:eastAsia="en-MY"/>
              </w:rPr>
            </w:pPr>
          </w:p>
        </w:tc>
        <w:tc>
          <w:tcPr>
            <w:tcW w:w="201" w:type="pct"/>
            <w:vMerge/>
            <w:tcBorders>
              <w:left w:val="nil"/>
              <w:bottom w:val="nil"/>
              <w:right w:val="nil"/>
            </w:tcBorders>
            <w:vAlign w:val="center"/>
          </w:tcPr>
          <w:p w14:paraId="460D8687" w14:textId="77777777" w:rsidR="009771CF" w:rsidRPr="00E65AA7" w:rsidRDefault="009771CF" w:rsidP="00C46080">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hideMark/>
          </w:tcPr>
          <w:p w14:paraId="0FEEC1E9" w14:textId="77777777" w:rsidR="009771CF" w:rsidRPr="00E65AA7" w:rsidRDefault="009771CF" w:rsidP="00C46080">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5591CB74" w14:textId="3D718809" w:rsidR="009771CF" w:rsidRPr="00E65AA7" w:rsidRDefault="009771CF" w:rsidP="00C46080">
            <w:pPr>
              <w:jc w:val="center"/>
              <w:rPr>
                <w:color w:val="000000"/>
                <w:sz w:val="20"/>
                <w:szCs w:val="20"/>
              </w:rPr>
            </w:pPr>
            <w:r>
              <w:rPr>
                <w:color w:val="000000"/>
                <w:sz w:val="20"/>
                <w:szCs w:val="20"/>
              </w:rPr>
              <w:t>(6.12)</w:t>
            </w:r>
          </w:p>
        </w:tc>
        <w:tc>
          <w:tcPr>
            <w:tcW w:w="345" w:type="pct"/>
            <w:tcBorders>
              <w:top w:val="nil"/>
              <w:left w:val="nil"/>
              <w:bottom w:val="nil"/>
              <w:right w:val="nil"/>
            </w:tcBorders>
            <w:shd w:val="clear" w:color="auto" w:fill="auto"/>
            <w:noWrap/>
            <w:vAlign w:val="center"/>
            <w:hideMark/>
          </w:tcPr>
          <w:p w14:paraId="553709BD" w14:textId="0B23D833" w:rsidR="009771CF" w:rsidRPr="00E65AA7" w:rsidRDefault="009771CF" w:rsidP="00C46080">
            <w:pPr>
              <w:jc w:val="center"/>
              <w:rPr>
                <w:color w:val="000000"/>
                <w:sz w:val="20"/>
                <w:szCs w:val="20"/>
              </w:rPr>
            </w:pPr>
            <w:r>
              <w:rPr>
                <w:color w:val="000000"/>
                <w:sz w:val="20"/>
                <w:szCs w:val="20"/>
              </w:rPr>
              <w:t>(5.8</w:t>
            </w:r>
            <w:r w:rsidR="006103D5">
              <w:rPr>
                <w:color w:val="000000"/>
                <w:sz w:val="20"/>
                <w:szCs w:val="20"/>
              </w:rPr>
              <w:t>0</w:t>
            </w:r>
            <w:r>
              <w:rPr>
                <w:color w:val="000000"/>
                <w:sz w:val="20"/>
                <w:szCs w:val="20"/>
              </w:rPr>
              <w:t>)</w:t>
            </w:r>
          </w:p>
        </w:tc>
        <w:tc>
          <w:tcPr>
            <w:tcW w:w="344" w:type="pct"/>
            <w:tcBorders>
              <w:top w:val="nil"/>
              <w:left w:val="nil"/>
              <w:bottom w:val="nil"/>
              <w:right w:val="nil"/>
            </w:tcBorders>
            <w:shd w:val="clear" w:color="auto" w:fill="auto"/>
            <w:noWrap/>
            <w:vAlign w:val="center"/>
            <w:hideMark/>
          </w:tcPr>
          <w:p w14:paraId="3B7D8761" w14:textId="62913DDB" w:rsidR="009771CF" w:rsidRPr="00E65AA7" w:rsidRDefault="009771CF" w:rsidP="00C46080">
            <w:pPr>
              <w:jc w:val="center"/>
              <w:rPr>
                <w:color w:val="000000"/>
                <w:sz w:val="20"/>
                <w:szCs w:val="20"/>
              </w:rPr>
            </w:pPr>
            <w:r>
              <w:rPr>
                <w:color w:val="000000"/>
                <w:sz w:val="20"/>
                <w:szCs w:val="20"/>
              </w:rPr>
              <w:t>(6.46)</w:t>
            </w:r>
          </w:p>
        </w:tc>
        <w:tc>
          <w:tcPr>
            <w:tcW w:w="343" w:type="pct"/>
            <w:tcBorders>
              <w:top w:val="nil"/>
              <w:left w:val="nil"/>
              <w:bottom w:val="nil"/>
              <w:right w:val="nil"/>
            </w:tcBorders>
            <w:shd w:val="clear" w:color="auto" w:fill="auto"/>
            <w:noWrap/>
            <w:vAlign w:val="center"/>
            <w:hideMark/>
          </w:tcPr>
          <w:p w14:paraId="59BF6768" w14:textId="64B6BB22" w:rsidR="009771CF" w:rsidRPr="00E65AA7" w:rsidRDefault="009771CF" w:rsidP="00C46080">
            <w:pPr>
              <w:jc w:val="center"/>
              <w:rPr>
                <w:color w:val="000000"/>
                <w:sz w:val="20"/>
                <w:szCs w:val="20"/>
              </w:rPr>
            </w:pPr>
            <w:r>
              <w:rPr>
                <w:color w:val="000000"/>
                <w:sz w:val="20"/>
                <w:szCs w:val="20"/>
              </w:rPr>
              <w:t>(6.58)</w:t>
            </w:r>
          </w:p>
        </w:tc>
        <w:tc>
          <w:tcPr>
            <w:tcW w:w="343" w:type="pct"/>
            <w:tcBorders>
              <w:top w:val="nil"/>
              <w:left w:val="nil"/>
              <w:bottom w:val="nil"/>
              <w:right w:val="nil"/>
            </w:tcBorders>
            <w:shd w:val="clear" w:color="auto" w:fill="auto"/>
            <w:noWrap/>
            <w:vAlign w:val="center"/>
            <w:hideMark/>
          </w:tcPr>
          <w:p w14:paraId="1EEEF273" w14:textId="206AE8A8" w:rsidR="009771CF" w:rsidRPr="00E65AA7" w:rsidRDefault="009771CF" w:rsidP="00C46080">
            <w:pPr>
              <w:jc w:val="center"/>
              <w:rPr>
                <w:color w:val="000000"/>
                <w:sz w:val="20"/>
                <w:szCs w:val="20"/>
              </w:rPr>
            </w:pPr>
            <w:r>
              <w:rPr>
                <w:color w:val="000000"/>
                <w:sz w:val="20"/>
                <w:szCs w:val="20"/>
              </w:rPr>
              <w:t>(6.62)</w:t>
            </w:r>
          </w:p>
        </w:tc>
        <w:tc>
          <w:tcPr>
            <w:tcW w:w="343" w:type="pct"/>
            <w:tcBorders>
              <w:top w:val="nil"/>
              <w:left w:val="nil"/>
              <w:bottom w:val="nil"/>
              <w:right w:val="nil"/>
            </w:tcBorders>
            <w:shd w:val="clear" w:color="auto" w:fill="auto"/>
            <w:noWrap/>
            <w:vAlign w:val="center"/>
            <w:hideMark/>
          </w:tcPr>
          <w:p w14:paraId="4FD7EE4F" w14:textId="1409AA7C" w:rsidR="009771CF" w:rsidRPr="00E65AA7" w:rsidRDefault="009771CF" w:rsidP="00C46080">
            <w:pPr>
              <w:jc w:val="center"/>
              <w:rPr>
                <w:color w:val="000000"/>
                <w:sz w:val="20"/>
                <w:szCs w:val="20"/>
              </w:rPr>
            </w:pPr>
            <w:r>
              <w:rPr>
                <w:color w:val="000000"/>
                <w:sz w:val="20"/>
                <w:szCs w:val="20"/>
              </w:rPr>
              <w:t>(6.51)</w:t>
            </w:r>
          </w:p>
        </w:tc>
        <w:tc>
          <w:tcPr>
            <w:tcW w:w="343" w:type="pct"/>
            <w:tcBorders>
              <w:top w:val="nil"/>
              <w:left w:val="nil"/>
              <w:bottom w:val="nil"/>
              <w:right w:val="nil"/>
            </w:tcBorders>
            <w:shd w:val="clear" w:color="auto" w:fill="auto"/>
            <w:noWrap/>
            <w:vAlign w:val="center"/>
            <w:hideMark/>
          </w:tcPr>
          <w:p w14:paraId="29DE1FF2" w14:textId="4CDC58A5" w:rsidR="009771CF" w:rsidRPr="00E65AA7" w:rsidRDefault="009771CF" w:rsidP="00C46080">
            <w:pPr>
              <w:jc w:val="center"/>
              <w:rPr>
                <w:color w:val="000000"/>
                <w:sz w:val="20"/>
                <w:szCs w:val="20"/>
              </w:rPr>
            </w:pPr>
            <w:r>
              <w:rPr>
                <w:color w:val="000000"/>
                <w:sz w:val="20"/>
                <w:szCs w:val="20"/>
              </w:rPr>
              <w:t>(6.28)</w:t>
            </w:r>
          </w:p>
        </w:tc>
        <w:tc>
          <w:tcPr>
            <w:tcW w:w="343" w:type="pct"/>
            <w:tcBorders>
              <w:top w:val="nil"/>
              <w:left w:val="nil"/>
              <w:bottom w:val="nil"/>
              <w:right w:val="nil"/>
            </w:tcBorders>
            <w:shd w:val="clear" w:color="auto" w:fill="auto"/>
            <w:noWrap/>
            <w:vAlign w:val="center"/>
            <w:hideMark/>
          </w:tcPr>
          <w:p w14:paraId="497C592F" w14:textId="3C9EA6AB" w:rsidR="009771CF" w:rsidRPr="00E65AA7" w:rsidRDefault="009771CF" w:rsidP="00C46080">
            <w:pPr>
              <w:jc w:val="center"/>
              <w:rPr>
                <w:color w:val="000000"/>
                <w:sz w:val="20"/>
                <w:szCs w:val="20"/>
              </w:rPr>
            </w:pPr>
            <w:r>
              <w:rPr>
                <w:color w:val="000000"/>
                <w:sz w:val="20"/>
                <w:szCs w:val="20"/>
              </w:rPr>
              <w:t>(6.02)</w:t>
            </w:r>
          </w:p>
        </w:tc>
        <w:tc>
          <w:tcPr>
            <w:tcW w:w="343" w:type="pct"/>
            <w:tcBorders>
              <w:top w:val="nil"/>
              <w:left w:val="nil"/>
              <w:bottom w:val="nil"/>
              <w:right w:val="nil"/>
            </w:tcBorders>
            <w:shd w:val="clear" w:color="auto" w:fill="auto"/>
            <w:noWrap/>
            <w:vAlign w:val="center"/>
            <w:hideMark/>
          </w:tcPr>
          <w:p w14:paraId="42764AD9" w14:textId="42652CD9" w:rsidR="009771CF" w:rsidRPr="00E65AA7" w:rsidRDefault="009771CF" w:rsidP="00C46080">
            <w:pPr>
              <w:jc w:val="center"/>
              <w:rPr>
                <w:color w:val="000000"/>
                <w:sz w:val="20"/>
                <w:szCs w:val="20"/>
              </w:rPr>
            </w:pPr>
            <w:r>
              <w:rPr>
                <w:color w:val="000000"/>
                <w:sz w:val="20"/>
                <w:szCs w:val="20"/>
              </w:rPr>
              <w:t>(5.78)</w:t>
            </w:r>
          </w:p>
        </w:tc>
        <w:tc>
          <w:tcPr>
            <w:tcW w:w="343" w:type="pct"/>
            <w:tcBorders>
              <w:top w:val="nil"/>
              <w:left w:val="nil"/>
              <w:bottom w:val="nil"/>
              <w:right w:val="nil"/>
            </w:tcBorders>
            <w:shd w:val="clear" w:color="auto" w:fill="auto"/>
            <w:noWrap/>
            <w:vAlign w:val="center"/>
            <w:hideMark/>
          </w:tcPr>
          <w:p w14:paraId="4F223A74" w14:textId="5DAF4816" w:rsidR="009771CF" w:rsidRPr="00E65AA7" w:rsidRDefault="009771CF" w:rsidP="00C46080">
            <w:pPr>
              <w:jc w:val="center"/>
              <w:rPr>
                <w:color w:val="000000"/>
                <w:sz w:val="20"/>
                <w:szCs w:val="20"/>
              </w:rPr>
            </w:pPr>
            <w:r>
              <w:rPr>
                <w:color w:val="000000"/>
                <w:sz w:val="20"/>
                <w:szCs w:val="20"/>
              </w:rPr>
              <w:t>(4.95)</w:t>
            </w:r>
          </w:p>
        </w:tc>
        <w:tc>
          <w:tcPr>
            <w:tcW w:w="331" w:type="pct"/>
            <w:tcBorders>
              <w:top w:val="nil"/>
              <w:left w:val="nil"/>
              <w:bottom w:val="nil"/>
              <w:right w:val="nil"/>
            </w:tcBorders>
            <w:shd w:val="clear" w:color="auto" w:fill="auto"/>
            <w:noWrap/>
            <w:vAlign w:val="center"/>
            <w:hideMark/>
          </w:tcPr>
          <w:p w14:paraId="6F2942E3" w14:textId="05DC6435" w:rsidR="009771CF" w:rsidRPr="00E65AA7" w:rsidRDefault="009771CF" w:rsidP="00C46080">
            <w:pPr>
              <w:jc w:val="center"/>
              <w:rPr>
                <w:color w:val="000000"/>
                <w:sz w:val="20"/>
                <w:szCs w:val="20"/>
              </w:rPr>
            </w:pPr>
            <w:r>
              <w:rPr>
                <w:color w:val="000000"/>
                <w:sz w:val="20"/>
                <w:szCs w:val="20"/>
              </w:rPr>
              <w:t>(-2.75)</w:t>
            </w:r>
          </w:p>
        </w:tc>
        <w:tc>
          <w:tcPr>
            <w:tcW w:w="330" w:type="pct"/>
            <w:tcBorders>
              <w:top w:val="nil"/>
              <w:left w:val="nil"/>
              <w:bottom w:val="nil"/>
              <w:right w:val="nil"/>
            </w:tcBorders>
          </w:tcPr>
          <w:p w14:paraId="6B53DE91" w14:textId="77777777" w:rsidR="009771CF" w:rsidRDefault="009771CF" w:rsidP="00C46080">
            <w:pPr>
              <w:jc w:val="center"/>
              <w:rPr>
                <w:color w:val="000000"/>
                <w:sz w:val="20"/>
                <w:szCs w:val="20"/>
              </w:rPr>
            </w:pPr>
          </w:p>
        </w:tc>
      </w:tr>
      <w:tr w:rsidR="009771CF" w:rsidRPr="00E65AA7" w14:paraId="198D66FA" w14:textId="0B8E6048"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4BDD46EF" w14:textId="38547607" w:rsidR="009771CF" w:rsidRPr="00E65AA7" w:rsidRDefault="009771CF" w:rsidP="00C46080">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01" w:type="pct"/>
            <w:vMerge w:val="restart"/>
            <w:tcBorders>
              <w:top w:val="nil"/>
              <w:left w:val="nil"/>
              <w:right w:val="nil"/>
            </w:tcBorders>
            <w:vAlign w:val="center"/>
          </w:tcPr>
          <w:p w14:paraId="02F72C60" w14:textId="77777777" w:rsidR="009771CF" w:rsidRPr="00E65AA7" w:rsidRDefault="009771CF" w:rsidP="00C46080">
            <w:pPr>
              <w:jc w:val="center"/>
              <w:rPr>
                <w:rFonts w:eastAsia="Times New Roman"/>
                <w:color w:val="000000"/>
                <w:sz w:val="20"/>
                <w:szCs w:val="20"/>
                <w:lang w:eastAsia="en-MY"/>
              </w:rPr>
            </w:pPr>
            <w:r w:rsidRPr="00E65AA7">
              <w:rPr>
                <w:rFonts w:eastAsia="Times New Roman"/>
                <w:color w:val="000000"/>
                <w:sz w:val="20"/>
                <w:szCs w:val="20"/>
                <w:lang w:eastAsia="en-MY"/>
              </w:rPr>
              <w:t>170</w:t>
            </w:r>
          </w:p>
        </w:tc>
        <w:tc>
          <w:tcPr>
            <w:tcW w:w="297" w:type="pct"/>
            <w:tcBorders>
              <w:top w:val="nil"/>
              <w:left w:val="nil"/>
              <w:bottom w:val="nil"/>
              <w:right w:val="nil"/>
            </w:tcBorders>
            <w:shd w:val="clear" w:color="auto" w:fill="auto"/>
            <w:noWrap/>
            <w:vAlign w:val="center"/>
            <w:hideMark/>
          </w:tcPr>
          <w:p w14:paraId="5F6E016A" w14:textId="77777777" w:rsidR="009771CF" w:rsidRPr="00E65AA7" w:rsidRDefault="009771CF" w:rsidP="00C46080">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1A39359A" w14:textId="6ED064BD" w:rsidR="009771CF" w:rsidRPr="00E65AA7" w:rsidRDefault="009771CF" w:rsidP="00C46080">
            <w:pPr>
              <w:jc w:val="center"/>
              <w:rPr>
                <w:color w:val="000000"/>
                <w:sz w:val="20"/>
                <w:szCs w:val="20"/>
              </w:rPr>
            </w:pPr>
            <w:r>
              <w:rPr>
                <w:color w:val="000000"/>
                <w:sz w:val="20"/>
                <w:szCs w:val="20"/>
              </w:rPr>
              <w:t>-0.90</w:t>
            </w:r>
          </w:p>
        </w:tc>
        <w:tc>
          <w:tcPr>
            <w:tcW w:w="345" w:type="pct"/>
            <w:tcBorders>
              <w:top w:val="nil"/>
              <w:left w:val="nil"/>
              <w:bottom w:val="nil"/>
              <w:right w:val="nil"/>
            </w:tcBorders>
            <w:shd w:val="clear" w:color="auto" w:fill="auto"/>
            <w:noWrap/>
            <w:vAlign w:val="center"/>
            <w:hideMark/>
          </w:tcPr>
          <w:p w14:paraId="1FCA0341" w14:textId="12A1401B" w:rsidR="009771CF" w:rsidRPr="00E65AA7" w:rsidRDefault="009771CF" w:rsidP="00C46080">
            <w:pPr>
              <w:jc w:val="center"/>
              <w:rPr>
                <w:color w:val="000000"/>
                <w:sz w:val="20"/>
                <w:szCs w:val="20"/>
              </w:rPr>
            </w:pPr>
            <w:r>
              <w:rPr>
                <w:color w:val="000000"/>
                <w:sz w:val="20"/>
                <w:szCs w:val="20"/>
              </w:rPr>
              <w:t>-1.12</w:t>
            </w:r>
          </w:p>
        </w:tc>
        <w:tc>
          <w:tcPr>
            <w:tcW w:w="344" w:type="pct"/>
            <w:tcBorders>
              <w:top w:val="nil"/>
              <w:left w:val="nil"/>
              <w:bottom w:val="nil"/>
              <w:right w:val="nil"/>
            </w:tcBorders>
            <w:shd w:val="clear" w:color="auto" w:fill="auto"/>
            <w:noWrap/>
            <w:vAlign w:val="center"/>
            <w:hideMark/>
          </w:tcPr>
          <w:p w14:paraId="23EB91D5" w14:textId="58BE8C90" w:rsidR="009771CF" w:rsidRPr="00E65AA7" w:rsidRDefault="009771CF" w:rsidP="00C46080">
            <w:pPr>
              <w:jc w:val="center"/>
              <w:rPr>
                <w:color w:val="000000"/>
                <w:sz w:val="20"/>
                <w:szCs w:val="20"/>
              </w:rPr>
            </w:pPr>
            <w:r>
              <w:rPr>
                <w:color w:val="000000"/>
                <w:sz w:val="20"/>
                <w:szCs w:val="20"/>
              </w:rPr>
              <w:t>-0.96</w:t>
            </w:r>
          </w:p>
        </w:tc>
        <w:tc>
          <w:tcPr>
            <w:tcW w:w="343" w:type="pct"/>
            <w:tcBorders>
              <w:top w:val="nil"/>
              <w:left w:val="nil"/>
              <w:bottom w:val="nil"/>
              <w:right w:val="nil"/>
            </w:tcBorders>
            <w:shd w:val="clear" w:color="auto" w:fill="auto"/>
            <w:noWrap/>
            <w:vAlign w:val="center"/>
            <w:hideMark/>
          </w:tcPr>
          <w:p w14:paraId="1F465B38" w14:textId="62846477" w:rsidR="009771CF" w:rsidRPr="00E65AA7" w:rsidRDefault="009771CF" w:rsidP="00C46080">
            <w:pPr>
              <w:jc w:val="center"/>
              <w:rPr>
                <w:color w:val="000000"/>
                <w:sz w:val="20"/>
                <w:szCs w:val="20"/>
              </w:rPr>
            </w:pPr>
            <w:r>
              <w:rPr>
                <w:color w:val="000000"/>
                <w:sz w:val="20"/>
                <w:szCs w:val="20"/>
              </w:rPr>
              <w:t>-0.94</w:t>
            </w:r>
          </w:p>
        </w:tc>
        <w:tc>
          <w:tcPr>
            <w:tcW w:w="343" w:type="pct"/>
            <w:tcBorders>
              <w:top w:val="nil"/>
              <w:left w:val="nil"/>
              <w:bottom w:val="nil"/>
              <w:right w:val="nil"/>
            </w:tcBorders>
            <w:shd w:val="clear" w:color="auto" w:fill="auto"/>
            <w:noWrap/>
            <w:vAlign w:val="center"/>
            <w:hideMark/>
          </w:tcPr>
          <w:p w14:paraId="692627B7" w14:textId="3BEF01EC" w:rsidR="009771CF" w:rsidRPr="00E65AA7" w:rsidRDefault="009771CF" w:rsidP="00C46080">
            <w:pPr>
              <w:jc w:val="center"/>
              <w:rPr>
                <w:color w:val="000000"/>
                <w:sz w:val="20"/>
                <w:szCs w:val="20"/>
              </w:rPr>
            </w:pPr>
            <w:r>
              <w:rPr>
                <w:color w:val="000000"/>
                <w:sz w:val="20"/>
                <w:szCs w:val="20"/>
              </w:rPr>
              <w:t>-0.79</w:t>
            </w:r>
          </w:p>
        </w:tc>
        <w:tc>
          <w:tcPr>
            <w:tcW w:w="343" w:type="pct"/>
            <w:tcBorders>
              <w:top w:val="nil"/>
              <w:left w:val="nil"/>
              <w:bottom w:val="nil"/>
              <w:right w:val="nil"/>
            </w:tcBorders>
            <w:shd w:val="clear" w:color="auto" w:fill="auto"/>
            <w:noWrap/>
            <w:vAlign w:val="center"/>
            <w:hideMark/>
          </w:tcPr>
          <w:p w14:paraId="77CE9668" w14:textId="61C324C7" w:rsidR="009771CF" w:rsidRPr="00E65AA7" w:rsidRDefault="009771CF" w:rsidP="00C46080">
            <w:pPr>
              <w:jc w:val="center"/>
              <w:rPr>
                <w:color w:val="000000"/>
                <w:sz w:val="20"/>
                <w:szCs w:val="20"/>
              </w:rPr>
            </w:pPr>
            <w:r>
              <w:rPr>
                <w:color w:val="000000"/>
                <w:sz w:val="20"/>
                <w:szCs w:val="20"/>
              </w:rPr>
              <w:t>-0.54</w:t>
            </w:r>
          </w:p>
        </w:tc>
        <w:tc>
          <w:tcPr>
            <w:tcW w:w="343" w:type="pct"/>
            <w:tcBorders>
              <w:top w:val="nil"/>
              <w:left w:val="nil"/>
              <w:bottom w:val="nil"/>
              <w:right w:val="nil"/>
            </w:tcBorders>
            <w:shd w:val="clear" w:color="auto" w:fill="auto"/>
            <w:noWrap/>
            <w:vAlign w:val="center"/>
            <w:hideMark/>
          </w:tcPr>
          <w:p w14:paraId="4B6D0872" w14:textId="7EB4CC38" w:rsidR="009771CF" w:rsidRPr="00E65AA7" w:rsidRDefault="009771CF" w:rsidP="00C46080">
            <w:pPr>
              <w:jc w:val="center"/>
              <w:rPr>
                <w:color w:val="000000"/>
                <w:sz w:val="20"/>
                <w:szCs w:val="20"/>
              </w:rPr>
            </w:pPr>
            <w:r>
              <w:rPr>
                <w:color w:val="000000"/>
                <w:sz w:val="20"/>
                <w:szCs w:val="20"/>
              </w:rPr>
              <w:t>-0.35</w:t>
            </w:r>
          </w:p>
        </w:tc>
        <w:tc>
          <w:tcPr>
            <w:tcW w:w="343" w:type="pct"/>
            <w:tcBorders>
              <w:top w:val="nil"/>
              <w:left w:val="nil"/>
              <w:bottom w:val="nil"/>
              <w:right w:val="nil"/>
            </w:tcBorders>
            <w:shd w:val="clear" w:color="auto" w:fill="auto"/>
            <w:noWrap/>
            <w:vAlign w:val="center"/>
            <w:hideMark/>
          </w:tcPr>
          <w:p w14:paraId="30E9D036" w14:textId="483E38D1" w:rsidR="009771CF" w:rsidRPr="00E65AA7" w:rsidRDefault="009771CF" w:rsidP="00C46080">
            <w:pPr>
              <w:jc w:val="center"/>
              <w:rPr>
                <w:color w:val="000000"/>
                <w:sz w:val="20"/>
                <w:szCs w:val="20"/>
              </w:rPr>
            </w:pPr>
            <w:r>
              <w:rPr>
                <w:color w:val="000000"/>
                <w:sz w:val="20"/>
                <w:szCs w:val="20"/>
              </w:rPr>
              <w:t>-0.17</w:t>
            </w:r>
          </w:p>
        </w:tc>
        <w:tc>
          <w:tcPr>
            <w:tcW w:w="343" w:type="pct"/>
            <w:tcBorders>
              <w:top w:val="nil"/>
              <w:left w:val="nil"/>
              <w:bottom w:val="nil"/>
              <w:right w:val="nil"/>
            </w:tcBorders>
            <w:shd w:val="clear" w:color="auto" w:fill="auto"/>
            <w:noWrap/>
            <w:vAlign w:val="center"/>
            <w:hideMark/>
          </w:tcPr>
          <w:p w14:paraId="14E57672" w14:textId="79E93AF0" w:rsidR="009771CF" w:rsidRPr="00E65AA7" w:rsidRDefault="009771CF" w:rsidP="00C46080">
            <w:pPr>
              <w:jc w:val="center"/>
              <w:rPr>
                <w:color w:val="000000"/>
                <w:sz w:val="20"/>
                <w:szCs w:val="20"/>
              </w:rPr>
            </w:pPr>
            <w:r>
              <w:rPr>
                <w:color w:val="000000"/>
                <w:sz w:val="20"/>
                <w:szCs w:val="20"/>
              </w:rPr>
              <w:t>-0.08</w:t>
            </w:r>
          </w:p>
        </w:tc>
        <w:tc>
          <w:tcPr>
            <w:tcW w:w="343" w:type="pct"/>
            <w:tcBorders>
              <w:top w:val="nil"/>
              <w:left w:val="nil"/>
              <w:bottom w:val="nil"/>
              <w:right w:val="nil"/>
            </w:tcBorders>
            <w:shd w:val="clear" w:color="auto" w:fill="auto"/>
            <w:noWrap/>
            <w:vAlign w:val="center"/>
            <w:hideMark/>
          </w:tcPr>
          <w:p w14:paraId="41FDAA30" w14:textId="6FEA42C7" w:rsidR="009771CF" w:rsidRPr="00E65AA7" w:rsidRDefault="009771CF" w:rsidP="00C46080">
            <w:pPr>
              <w:jc w:val="center"/>
              <w:rPr>
                <w:color w:val="000000"/>
                <w:sz w:val="20"/>
                <w:szCs w:val="20"/>
              </w:rPr>
            </w:pPr>
            <w:r>
              <w:rPr>
                <w:color w:val="000000"/>
                <w:sz w:val="20"/>
                <w:szCs w:val="20"/>
              </w:rPr>
              <w:t>0.08</w:t>
            </w:r>
          </w:p>
        </w:tc>
        <w:tc>
          <w:tcPr>
            <w:tcW w:w="331" w:type="pct"/>
            <w:tcBorders>
              <w:top w:val="nil"/>
              <w:left w:val="nil"/>
              <w:bottom w:val="nil"/>
              <w:right w:val="nil"/>
            </w:tcBorders>
            <w:shd w:val="clear" w:color="auto" w:fill="auto"/>
            <w:noWrap/>
            <w:vAlign w:val="center"/>
            <w:hideMark/>
          </w:tcPr>
          <w:p w14:paraId="3B76C4CF" w14:textId="62686DFE" w:rsidR="009771CF" w:rsidRPr="00E65AA7" w:rsidRDefault="009771CF" w:rsidP="00C46080">
            <w:pPr>
              <w:jc w:val="center"/>
              <w:rPr>
                <w:color w:val="000000"/>
                <w:sz w:val="20"/>
                <w:szCs w:val="20"/>
              </w:rPr>
            </w:pPr>
            <w:r>
              <w:rPr>
                <w:color w:val="000000"/>
                <w:sz w:val="20"/>
                <w:szCs w:val="20"/>
              </w:rPr>
              <w:t>0.98</w:t>
            </w:r>
          </w:p>
        </w:tc>
        <w:tc>
          <w:tcPr>
            <w:tcW w:w="330" w:type="pct"/>
            <w:tcBorders>
              <w:top w:val="nil"/>
              <w:left w:val="nil"/>
              <w:bottom w:val="nil"/>
              <w:right w:val="nil"/>
            </w:tcBorders>
          </w:tcPr>
          <w:p w14:paraId="70106A84" w14:textId="77777777" w:rsidR="009771CF" w:rsidRDefault="009771CF" w:rsidP="00C46080">
            <w:pPr>
              <w:jc w:val="center"/>
              <w:rPr>
                <w:color w:val="000000"/>
                <w:sz w:val="20"/>
                <w:szCs w:val="20"/>
              </w:rPr>
            </w:pPr>
          </w:p>
        </w:tc>
      </w:tr>
      <w:tr w:rsidR="009771CF" w:rsidRPr="00E65AA7" w14:paraId="6EEDF6C9" w14:textId="40D34B48" w:rsidTr="009771CF">
        <w:trPr>
          <w:trHeight w:hRule="exact" w:val="255"/>
        </w:trPr>
        <w:tc>
          <w:tcPr>
            <w:tcW w:w="437" w:type="pct"/>
            <w:vMerge/>
            <w:tcBorders>
              <w:top w:val="nil"/>
              <w:left w:val="nil"/>
              <w:bottom w:val="nil"/>
              <w:right w:val="nil"/>
            </w:tcBorders>
            <w:vAlign w:val="center"/>
            <w:hideMark/>
          </w:tcPr>
          <w:p w14:paraId="004A65F8" w14:textId="77777777" w:rsidR="009771CF" w:rsidRPr="00E65AA7" w:rsidRDefault="009771CF" w:rsidP="00C46080">
            <w:pPr>
              <w:rPr>
                <w:rFonts w:eastAsia="Times New Roman"/>
                <w:b/>
                <w:color w:val="000000"/>
                <w:sz w:val="20"/>
                <w:szCs w:val="20"/>
                <w:lang w:eastAsia="en-MY"/>
              </w:rPr>
            </w:pPr>
          </w:p>
        </w:tc>
        <w:tc>
          <w:tcPr>
            <w:tcW w:w="201" w:type="pct"/>
            <w:vMerge/>
            <w:tcBorders>
              <w:left w:val="nil"/>
              <w:bottom w:val="nil"/>
              <w:right w:val="nil"/>
            </w:tcBorders>
            <w:vAlign w:val="center"/>
          </w:tcPr>
          <w:p w14:paraId="41369B4F" w14:textId="77777777" w:rsidR="009771CF" w:rsidRPr="00E65AA7" w:rsidRDefault="009771CF" w:rsidP="00C46080">
            <w:pPr>
              <w:jc w:val="center"/>
              <w:rPr>
                <w:rFonts w:eastAsia="Times New Roman"/>
                <w:sz w:val="20"/>
                <w:szCs w:val="20"/>
                <w:lang w:eastAsia="en-MY"/>
              </w:rPr>
            </w:pPr>
          </w:p>
        </w:tc>
        <w:tc>
          <w:tcPr>
            <w:tcW w:w="297" w:type="pct"/>
            <w:tcBorders>
              <w:top w:val="nil"/>
              <w:left w:val="nil"/>
              <w:bottom w:val="nil"/>
              <w:right w:val="nil"/>
            </w:tcBorders>
            <w:shd w:val="clear" w:color="auto" w:fill="auto"/>
            <w:noWrap/>
            <w:vAlign w:val="center"/>
            <w:hideMark/>
          </w:tcPr>
          <w:p w14:paraId="66F0F2BA" w14:textId="77777777" w:rsidR="009771CF" w:rsidRPr="00E65AA7" w:rsidRDefault="009771CF" w:rsidP="00C46080">
            <w:pPr>
              <w:jc w:val="center"/>
              <w:rPr>
                <w:rFonts w:eastAsia="Times New Roman"/>
                <w:sz w:val="20"/>
                <w:szCs w:val="20"/>
                <w:lang w:eastAsia="en-MY"/>
              </w:rPr>
            </w:pPr>
          </w:p>
        </w:tc>
        <w:tc>
          <w:tcPr>
            <w:tcW w:w="314" w:type="pct"/>
            <w:tcBorders>
              <w:top w:val="nil"/>
              <w:left w:val="nil"/>
              <w:bottom w:val="nil"/>
              <w:right w:val="nil"/>
            </w:tcBorders>
            <w:shd w:val="clear" w:color="auto" w:fill="auto"/>
            <w:noWrap/>
            <w:vAlign w:val="center"/>
            <w:hideMark/>
          </w:tcPr>
          <w:p w14:paraId="449CA74E" w14:textId="3B32DC2A" w:rsidR="009771CF" w:rsidRPr="00E65AA7" w:rsidRDefault="009771CF" w:rsidP="00C46080">
            <w:pPr>
              <w:jc w:val="center"/>
              <w:rPr>
                <w:color w:val="000000"/>
                <w:sz w:val="20"/>
                <w:szCs w:val="20"/>
              </w:rPr>
            </w:pPr>
            <w:r>
              <w:rPr>
                <w:color w:val="000000"/>
                <w:sz w:val="20"/>
                <w:szCs w:val="20"/>
              </w:rPr>
              <w:t>(-2.01)</w:t>
            </w:r>
          </w:p>
        </w:tc>
        <w:tc>
          <w:tcPr>
            <w:tcW w:w="345" w:type="pct"/>
            <w:tcBorders>
              <w:top w:val="nil"/>
              <w:left w:val="nil"/>
              <w:bottom w:val="nil"/>
              <w:right w:val="nil"/>
            </w:tcBorders>
            <w:shd w:val="clear" w:color="auto" w:fill="auto"/>
            <w:noWrap/>
            <w:vAlign w:val="center"/>
            <w:hideMark/>
          </w:tcPr>
          <w:p w14:paraId="48CB3E17" w14:textId="72B5AB12" w:rsidR="009771CF" w:rsidRPr="00E65AA7" w:rsidRDefault="009771CF" w:rsidP="00C46080">
            <w:pPr>
              <w:jc w:val="center"/>
              <w:rPr>
                <w:color w:val="000000"/>
                <w:sz w:val="20"/>
                <w:szCs w:val="20"/>
              </w:rPr>
            </w:pPr>
            <w:r>
              <w:rPr>
                <w:color w:val="000000"/>
                <w:sz w:val="20"/>
                <w:szCs w:val="20"/>
              </w:rPr>
              <w:t>(-2.45)</w:t>
            </w:r>
          </w:p>
        </w:tc>
        <w:tc>
          <w:tcPr>
            <w:tcW w:w="344" w:type="pct"/>
            <w:tcBorders>
              <w:top w:val="nil"/>
              <w:left w:val="nil"/>
              <w:bottom w:val="nil"/>
              <w:right w:val="nil"/>
            </w:tcBorders>
            <w:shd w:val="clear" w:color="auto" w:fill="auto"/>
            <w:noWrap/>
            <w:vAlign w:val="center"/>
            <w:hideMark/>
          </w:tcPr>
          <w:p w14:paraId="3819E1A1" w14:textId="0978D45B" w:rsidR="009771CF" w:rsidRPr="00E65AA7" w:rsidRDefault="009771CF" w:rsidP="00C46080">
            <w:pPr>
              <w:jc w:val="center"/>
              <w:rPr>
                <w:color w:val="000000"/>
                <w:sz w:val="20"/>
                <w:szCs w:val="20"/>
              </w:rPr>
            </w:pPr>
            <w:r>
              <w:rPr>
                <w:color w:val="000000"/>
                <w:sz w:val="20"/>
                <w:szCs w:val="20"/>
              </w:rPr>
              <w:t>(-2.08)</w:t>
            </w:r>
          </w:p>
        </w:tc>
        <w:tc>
          <w:tcPr>
            <w:tcW w:w="343" w:type="pct"/>
            <w:tcBorders>
              <w:top w:val="nil"/>
              <w:left w:val="nil"/>
              <w:bottom w:val="nil"/>
              <w:right w:val="nil"/>
            </w:tcBorders>
            <w:shd w:val="clear" w:color="auto" w:fill="auto"/>
            <w:noWrap/>
            <w:vAlign w:val="center"/>
            <w:hideMark/>
          </w:tcPr>
          <w:p w14:paraId="53F1BF32" w14:textId="2F710D92" w:rsidR="009771CF" w:rsidRPr="00E65AA7" w:rsidRDefault="009771CF" w:rsidP="00C46080">
            <w:pPr>
              <w:jc w:val="center"/>
              <w:rPr>
                <w:color w:val="000000"/>
                <w:sz w:val="20"/>
                <w:szCs w:val="20"/>
              </w:rPr>
            </w:pPr>
            <w:r>
              <w:rPr>
                <w:color w:val="000000"/>
                <w:sz w:val="20"/>
                <w:szCs w:val="20"/>
              </w:rPr>
              <w:t>(-2.09)</w:t>
            </w:r>
          </w:p>
        </w:tc>
        <w:tc>
          <w:tcPr>
            <w:tcW w:w="343" w:type="pct"/>
            <w:tcBorders>
              <w:top w:val="nil"/>
              <w:left w:val="nil"/>
              <w:bottom w:val="nil"/>
              <w:right w:val="nil"/>
            </w:tcBorders>
            <w:shd w:val="clear" w:color="auto" w:fill="auto"/>
            <w:noWrap/>
            <w:vAlign w:val="center"/>
            <w:hideMark/>
          </w:tcPr>
          <w:p w14:paraId="7C40B59B" w14:textId="030746FD" w:rsidR="009771CF" w:rsidRPr="00E65AA7" w:rsidRDefault="009771CF" w:rsidP="00C46080">
            <w:pPr>
              <w:jc w:val="center"/>
              <w:rPr>
                <w:color w:val="000000"/>
                <w:sz w:val="20"/>
                <w:szCs w:val="20"/>
              </w:rPr>
            </w:pPr>
            <w:r>
              <w:rPr>
                <w:color w:val="000000"/>
                <w:sz w:val="20"/>
                <w:szCs w:val="20"/>
              </w:rPr>
              <w:t>(-1.74)</w:t>
            </w:r>
          </w:p>
        </w:tc>
        <w:tc>
          <w:tcPr>
            <w:tcW w:w="343" w:type="pct"/>
            <w:tcBorders>
              <w:top w:val="nil"/>
              <w:left w:val="nil"/>
              <w:bottom w:val="nil"/>
              <w:right w:val="nil"/>
            </w:tcBorders>
            <w:shd w:val="clear" w:color="auto" w:fill="auto"/>
            <w:noWrap/>
            <w:vAlign w:val="center"/>
            <w:hideMark/>
          </w:tcPr>
          <w:p w14:paraId="5983F058" w14:textId="7B08116D" w:rsidR="009771CF" w:rsidRPr="00E65AA7" w:rsidRDefault="009771CF" w:rsidP="00C46080">
            <w:pPr>
              <w:jc w:val="center"/>
              <w:rPr>
                <w:color w:val="000000"/>
                <w:sz w:val="20"/>
                <w:szCs w:val="20"/>
              </w:rPr>
            </w:pPr>
            <w:r>
              <w:rPr>
                <w:color w:val="000000"/>
                <w:sz w:val="20"/>
                <w:szCs w:val="20"/>
              </w:rPr>
              <w:t>(-1.21)</w:t>
            </w:r>
          </w:p>
        </w:tc>
        <w:tc>
          <w:tcPr>
            <w:tcW w:w="343" w:type="pct"/>
            <w:tcBorders>
              <w:top w:val="nil"/>
              <w:left w:val="nil"/>
              <w:bottom w:val="nil"/>
              <w:right w:val="nil"/>
            </w:tcBorders>
            <w:shd w:val="clear" w:color="auto" w:fill="auto"/>
            <w:noWrap/>
            <w:vAlign w:val="center"/>
            <w:hideMark/>
          </w:tcPr>
          <w:p w14:paraId="35A855AF" w14:textId="0C28A616" w:rsidR="009771CF" w:rsidRPr="00E65AA7" w:rsidRDefault="009771CF" w:rsidP="00C46080">
            <w:pPr>
              <w:jc w:val="center"/>
              <w:rPr>
                <w:color w:val="000000"/>
                <w:sz w:val="20"/>
                <w:szCs w:val="20"/>
              </w:rPr>
            </w:pPr>
            <w:r>
              <w:rPr>
                <w:color w:val="000000"/>
                <w:sz w:val="20"/>
                <w:szCs w:val="20"/>
              </w:rPr>
              <w:t>(-0.81)</w:t>
            </w:r>
          </w:p>
        </w:tc>
        <w:tc>
          <w:tcPr>
            <w:tcW w:w="343" w:type="pct"/>
            <w:tcBorders>
              <w:top w:val="nil"/>
              <w:left w:val="nil"/>
              <w:bottom w:val="nil"/>
              <w:right w:val="nil"/>
            </w:tcBorders>
            <w:shd w:val="clear" w:color="auto" w:fill="auto"/>
            <w:noWrap/>
            <w:vAlign w:val="center"/>
            <w:hideMark/>
          </w:tcPr>
          <w:p w14:paraId="15EBDBC4" w14:textId="787991A2" w:rsidR="009771CF" w:rsidRPr="00E65AA7" w:rsidRDefault="009771CF" w:rsidP="00C46080">
            <w:pPr>
              <w:jc w:val="center"/>
              <w:rPr>
                <w:color w:val="000000"/>
                <w:sz w:val="20"/>
                <w:szCs w:val="20"/>
              </w:rPr>
            </w:pPr>
            <w:r>
              <w:rPr>
                <w:color w:val="000000"/>
                <w:sz w:val="20"/>
                <w:szCs w:val="20"/>
              </w:rPr>
              <w:t>(-0.4</w:t>
            </w:r>
            <w:r w:rsidR="006103D5">
              <w:rPr>
                <w:color w:val="000000"/>
                <w:sz w:val="20"/>
                <w:szCs w:val="20"/>
              </w:rPr>
              <w:t>0</w:t>
            </w:r>
            <w:r>
              <w:rPr>
                <w:color w:val="000000"/>
                <w:sz w:val="20"/>
                <w:szCs w:val="20"/>
              </w:rPr>
              <w:t>)</w:t>
            </w:r>
          </w:p>
        </w:tc>
        <w:tc>
          <w:tcPr>
            <w:tcW w:w="343" w:type="pct"/>
            <w:tcBorders>
              <w:top w:val="nil"/>
              <w:left w:val="nil"/>
              <w:bottom w:val="nil"/>
              <w:right w:val="nil"/>
            </w:tcBorders>
            <w:shd w:val="clear" w:color="auto" w:fill="auto"/>
            <w:noWrap/>
            <w:vAlign w:val="center"/>
            <w:hideMark/>
          </w:tcPr>
          <w:p w14:paraId="145AA2BB" w14:textId="0CC4FD66" w:rsidR="009771CF" w:rsidRPr="00E65AA7" w:rsidRDefault="009771CF" w:rsidP="00C46080">
            <w:pPr>
              <w:jc w:val="center"/>
              <w:rPr>
                <w:color w:val="000000"/>
                <w:sz w:val="20"/>
                <w:szCs w:val="20"/>
              </w:rPr>
            </w:pPr>
            <w:r>
              <w:rPr>
                <w:color w:val="000000"/>
                <w:sz w:val="20"/>
                <w:szCs w:val="20"/>
              </w:rPr>
              <w:t>(-0.19)</w:t>
            </w:r>
          </w:p>
        </w:tc>
        <w:tc>
          <w:tcPr>
            <w:tcW w:w="343" w:type="pct"/>
            <w:tcBorders>
              <w:top w:val="nil"/>
              <w:left w:val="nil"/>
              <w:bottom w:val="nil"/>
              <w:right w:val="nil"/>
            </w:tcBorders>
            <w:shd w:val="clear" w:color="auto" w:fill="auto"/>
            <w:noWrap/>
            <w:vAlign w:val="center"/>
            <w:hideMark/>
          </w:tcPr>
          <w:p w14:paraId="7421A012" w14:textId="56384C48" w:rsidR="009771CF" w:rsidRPr="00E65AA7" w:rsidRDefault="009771CF" w:rsidP="00C46080">
            <w:pPr>
              <w:jc w:val="center"/>
              <w:rPr>
                <w:color w:val="000000"/>
                <w:sz w:val="20"/>
                <w:szCs w:val="20"/>
              </w:rPr>
            </w:pPr>
            <w:r>
              <w:rPr>
                <w:color w:val="000000"/>
                <w:sz w:val="20"/>
                <w:szCs w:val="20"/>
              </w:rPr>
              <w:t>(0.22)</w:t>
            </w:r>
          </w:p>
        </w:tc>
        <w:tc>
          <w:tcPr>
            <w:tcW w:w="331" w:type="pct"/>
            <w:tcBorders>
              <w:top w:val="nil"/>
              <w:left w:val="nil"/>
              <w:bottom w:val="nil"/>
              <w:right w:val="nil"/>
            </w:tcBorders>
            <w:shd w:val="clear" w:color="auto" w:fill="auto"/>
            <w:noWrap/>
            <w:vAlign w:val="center"/>
            <w:hideMark/>
          </w:tcPr>
          <w:p w14:paraId="4906BEF6" w14:textId="6C985C4E" w:rsidR="009771CF" w:rsidRPr="00E65AA7" w:rsidRDefault="009771CF" w:rsidP="00C46080">
            <w:pPr>
              <w:jc w:val="center"/>
              <w:rPr>
                <w:color w:val="000000"/>
                <w:sz w:val="20"/>
                <w:szCs w:val="20"/>
              </w:rPr>
            </w:pPr>
            <w:r>
              <w:rPr>
                <w:color w:val="000000"/>
                <w:sz w:val="20"/>
                <w:szCs w:val="20"/>
              </w:rPr>
              <w:t>(3.03)</w:t>
            </w:r>
          </w:p>
        </w:tc>
        <w:tc>
          <w:tcPr>
            <w:tcW w:w="330" w:type="pct"/>
            <w:tcBorders>
              <w:top w:val="nil"/>
              <w:left w:val="nil"/>
              <w:bottom w:val="nil"/>
              <w:right w:val="nil"/>
            </w:tcBorders>
          </w:tcPr>
          <w:p w14:paraId="04FBD06B" w14:textId="77777777" w:rsidR="009771CF" w:rsidRDefault="009771CF" w:rsidP="00C46080">
            <w:pPr>
              <w:jc w:val="center"/>
              <w:rPr>
                <w:color w:val="000000"/>
                <w:sz w:val="20"/>
                <w:szCs w:val="20"/>
              </w:rPr>
            </w:pPr>
          </w:p>
        </w:tc>
      </w:tr>
      <w:tr w:rsidR="009771CF" w:rsidRPr="00E65AA7" w14:paraId="3CAE82F4" w14:textId="4B774262" w:rsidTr="009771CF">
        <w:trPr>
          <w:trHeight w:hRule="exact" w:val="255"/>
        </w:trPr>
        <w:tc>
          <w:tcPr>
            <w:tcW w:w="437" w:type="pct"/>
            <w:vMerge w:val="restart"/>
            <w:tcBorders>
              <w:top w:val="nil"/>
              <w:left w:val="nil"/>
              <w:bottom w:val="nil"/>
              <w:right w:val="nil"/>
            </w:tcBorders>
            <w:shd w:val="clear" w:color="auto" w:fill="auto"/>
            <w:noWrap/>
            <w:vAlign w:val="center"/>
            <w:hideMark/>
          </w:tcPr>
          <w:p w14:paraId="31DF04AE" w14:textId="053A5FB9" w:rsidR="009771CF" w:rsidRPr="00E65AA7" w:rsidRDefault="009771CF" w:rsidP="00C46080">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01" w:type="pct"/>
            <w:vMerge w:val="restart"/>
            <w:tcBorders>
              <w:top w:val="nil"/>
              <w:left w:val="nil"/>
              <w:right w:val="nil"/>
            </w:tcBorders>
            <w:vAlign w:val="center"/>
          </w:tcPr>
          <w:p w14:paraId="53C34ED7" w14:textId="77777777" w:rsidR="009771CF" w:rsidRPr="00E65AA7" w:rsidRDefault="009771CF" w:rsidP="00C46080">
            <w:pPr>
              <w:jc w:val="center"/>
              <w:rPr>
                <w:rFonts w:eastAsia="Times New Roman"/>
                <w:color w:val="000000"/>
                <w:sz w:val="20"/>
                <w:szCs w:val="20"/>
                <w:lang w:eastAsia="en-MY"/>
              </w:rPr>
            </w:pPr>
            <w:r w:rsidRPr="00E65AA7">
              <w:rPr>
                <w:rFonts w:eastAsia="Times New Roman"/>
                <w:color w:val="000000"/>
                <w:sz w:val="20"/>
                <w:szCs w:val="20"/>
                <w:lang w:eastAsia="en-MY"/>
              </w:rPr>
              <w:t>124</w:t>
            </w:r>
          </w:p>
        </w:tc>
        <w:tc>
          <w:tcPr>
            <w:tcW w:w="297" w:type="pct"/>
            <w:tcBorders>
              <w:top w:val="nil"/>
              <w:left w:val="nil"/>
              <w:bottom w:val="nil"/>
              <w:right w:val="nil"/>
            </w:tcBorders>
            <w:shd w:val="clear" w:color="auto" w:fill="auto"/>
            <w:noWrap/>
            <w:vAlign w:val="center"/>
            <w:hideMark/>
          </w:tcPr>
          <w:p w14:paraId="06B480D3" w14:textId="77777777" w:rsidR="009771CF" w:rsidRPr="00E65AA7" w:rsidRDefault="009771CF" w:rsidP="00C46080">
            <w:pPr>
              <w:jc w:val="center"/>
              <w:rPr>
                <w:rFonts w:eastAsia="Times New Roman"/>
                <w:color w:val="000000"/>
                <w:sz w:val="20"/>
                <w:szCs w:val="20"/>
                <w:lang w:eastAsia="en-MY"/>
              </w:rPr>
            </w:pPr>
          </w:p>
        </w:tc>
        <w:tc>
          <w:tcPr>
            <w:tcW w:w="314" w:type="pct"/>
            <w:tcBorders>
              <w:top w:val="nil"/>
              <w:left w:val="nil"/>
              <w:bottom w:val="nil"/>
              <w:right w:val="nil"/>
            </w:tcBorders>
            <w:shd w:val="clear" w:color="auto" w:fill="auto"/>
            <w:noWrap/>
            <w:vAlign w:val="center"/>
            <w:hideMark/>
          </w:tcPr>
          <w:p w14:paraId="55BED5A6" w14:textId="7E0E0B2C" w:rsidR="009771CF" w:rsidRPr="00E65AA7" w:rsidRDefault="009771CF" w:rsidP="00C46080">
            <w:pPr>
              <w:jc w:val="center"/>
              <w:rPr>
                <w:color w:val="000000"/>
                <w:sz w:val="20"/>
                <w:szCs w:val="20"/>
              </w:rPr>
            </w:pPr>
            <w:r>
              <w:rPr>
                <w:color w:val="000000"/>
                <w:sz w:val="20"/>
                <w:szCs w:val="20"/>
              </w:rPr>
              <w:t>-0.41</w:t>
            </w:r>
          </w:p>
        </w:tc>
        <w:tc>
          <w:tcPr>
            <w:tcW w:w="345" w:type="pct"/>
            <w:tcBorders>
              <w:top w:val="nil"/>
              <w:left w:val="nil"/>
              <w:bottom w:val="nil"/>
              <w:right w:val="nil"/>
            </w:tcBorders>
            <w:shd w:val="clear" w:color="auto" w:fill="auto"/>
            <w:noWrap/>
            <w:vAlign w:val="center"/>
            <w:hideMark/>
          </w:tcPr>
          <w:p w14:paraId="15172796" w14:textId="66DC331D" w:rsidR="009771CF" w:rsidRPr="00E65AA7" w:rsidRDefault="009771CF" w:rsidP="00C46080">
            <w:pPr>
              <w:jc w:val="center"/>
              <w:rPr>
                <w:color w:val="000000"/>
                <w:sz w:val="20"/>
                <w:szCs w:val="20"/>
              </w:rPr>
            </w:pPr>
            <w:r>
              <w:rPr>
                <w:color w:val="000000"/>
                <w:sz w:val="20"/>
                <w:szCs w:val="20"/>
              </w:rPr>
              <w:t>-0.65</w:t>
            </w:r>
          </w:p>
        </w:tc>
        <w:tc>
          <w:tcPr>
            <w:tcW w:w="344" w:type="pct"/>
            <w:tcBorders>
              <w:top w:val="nil"/>
              <w:left w:val="nil"/>
              <w:bottom w:val="nil"/>
              <w:right w:val="nil"/>
            </w:tcBorders>
            <w:shd w:val="clear" w:color="auto" w:fill="auto"/>
            <w:noWrap/>
            <w:vAlign w:val="center"/>
            <w:hideMark/>
          </w:tcPr>
          <w:p w14:paraId="345656A5" w14:textId="644230A4" w:rsidR="009771CF" w:rsidRPr="00E65AA7" w:rsidRDefault="009771CF" w:rsidP="00C46080">
            <w:pPr>
              <w:jc w:val="center"/>
              <w:rPr>
                <w:color w:val="000000"/>
                <w:sz w:val="20"/>
                <w:szCs w:val="20"/>
              </w:rPr>
            </w:pPr>
            <w:r>
              <w:rPr>
                <w:color w:val="000000"/>
                <w:sz w:val="20"/>
                <w:szCs w:val="20"/>
              </w:rPr>
              <w:t>-0.56</w:t>
            </w:r>
          </w:p>
        </w:tc>
        <w:tc>
          <w:tcPr>
            <w:tcW w:w="343" w:type="pct"/>
            <w:tcBorders>
              <w:top w:val="nil"/>
              <w:left w:val="nil"/>
              <w:bottom w:val="nil"/>
              <w:right w:val="nil"/>
            </w:tcBorders>
            <w:shd w:val="clear" w:color="auto" w:fill="auto"/>
            <w:noWrap/>
            <w:vAlign w:val="center"/>
            <w:hideMark/>
          </w:tcPr>
          <w:p w14:paraId="6F46D7C6" w14:textId="6F72B3B1" w:rsidR="009771CF" w:rsidRPr="00E65AA7" w:rsidRDefault="009771CF" w:rsidP="00C46080">
            <w:pPr>
              <w:jc w:val="center"/>
              <w:rPr>
                <w:color w:val="000000"/>
                <w:sz w:val="20"/>
                <w:szCs w:val="20"/>
              </w:rPr>
            </w:pPr>
            <w:r>
              <w:rPr>
                <w:color w:val="000000"/>
                <w:sz w:val="20"/>
                <w:szCs w:val="20"/>
              </w:rPr>
              <w:t>-0.42</w:t>
            </w:r>
          </w:p>
        </w:tc>
        <w:tc>
          <w:tcPr>
            <w:tcW w:w="343" w:type="pct"/>
            <w:tcBorders>
              <w:top w:val="nil"/>
              <w:left w:val="nil"/>
              <w:bottom w:val="nil"/>
              <w:right w:val="nil"/>
            </w:tcBorders>
            <w:shd w:val="clear" w:color="auto" w:fill="auto"/>
            <w:noWrap/>
            <w:vAlign w:val="center"/>
            <w:hideMark/>
          </w:tcPr>
          <w:p w14:paraId="0BD0ACFC" w14:textId="0E3A11CB" w:rsidR="009771CF" w:rsidRPr="00E65AA7" w:rsidRDefault="009771CF" w:rsidP="00C46080">
            <w:pPr>
              <w:jc w:val="center"/>
              <w:rPr>
                <w:color w:val="000000"/>
                <w:sz w:val="20"/>
                <w:szCs w:val="20"/>
              </w:rPr>
            </w:pPr>
            <w:r>
              <w:rPr>
                <w:color w:val="000000"/>
                <w:sz w:val="20"/>
                <w:szCs w:val="20"/>
              </w:rPr>
              <w:t>-0.24</w:t>
            </w:r>
          </w:p>
        </w:tc>
        <w:tc>
          <w:tcPr>
            <w:tcW w:w="343" w:type="pct"/>
            <w:tcBorders>
              <w:top w:val="nil"/>
              <w:left w:val="nil"/>
              <w:bottom w:val="nil"/>
              <w:right w:val="nil"/>
            </w:tcBorders>
            <w:shd w:val="clear" w:color="auto" w:fill="auto"/>
            <w:noWrap/>
            <w:vAlign w:val="center"/>
            <w:hideMark/>
          </w:tcPr>
          <w:p w14:paraId="5F89024E" w14:textId="18A0A257" w:rsidR="009771CF" w:rsidRPr="00E65AA7" w:rsidRDefault="009771CF" w:rsidP="00C46080">
            <w:pPr>
              <w:jc w:val="center"/>
              <w:rPr>
                <w:color w:val="000000"/>
                <w:sz w:val="20"/>
                <w:szCs w:val="20"/>
              </w:rPr>
            </w:pPr>
            <w:r>
              <w:rPr>
                <w:color w:val="000000"/>
                <w:sz w:val="20"/>
                <w:szCs w:val="20"/>
              </w:rPr>
              <w:t>-0.16</w:t>
            </w:r>
          </w:p>
        </w:tc>
        <w:tc>
          <w:tcPr>
            <w:tcW w:w="343" w:type="pct"/>
            <w:tcBorders>
              <w:top w:val="nil"/>
              <w:left w:val="nil"/>
              <w:bottom w:val="nil"/>
              <w:right w:val="nil"/>
            </w:tcBorders>
            <w:shd w:val="clear" w:color="auto" w:fill="auto"/>
            <w:noWrap/>
            <w:vAlign w:val="center"/>
            <w:hideMark/>
          </w:tcPr>
          <w:p w14:paraId="262A6479" w14:textId="12AF211A" w:rsidR="009771CF" w:rsidRPr="00E65AA7" w:rsidRDefault="009771CF" w:rsidP="00C46080">
            <w:pPr>
              <w:jc w:val="center"/>
              <w:rPr>
                <w:color w:val="000000"/>
                <w:sz w:val="20"/>
                <w:szCs w:val="20"/>
              </w:rPr>
            </w:pPr>
            <w:r>
              <w:rPr>
                <w:color w:val="000000"/>
                <w:sz w:val="20"/>
                <w:szCs w:val="20"/>
              </w:rPr>
              <w:t>-0.17</w:t>
            </w:r>
          </w:p>
        </w:tc>
        <w:tc>
          <w:tcPr>
            <w:tcW w:w="343" w:type="pct"/>
            <w:tcBorders>
              <w:top w:val="nil"/>
              <w:left w:val="nil"/>
              <w:bottom w:val="nil"/>
              <w:right w:val="nil"/>
            </w:tcBorders>
            <w:shd w:val="clear" w:color="auto" w:fill="auto"/>
            <w:noWrap/>
            <w:vAlign w:val="center"/>
            <w:hideMark/>
          </w:tcPr>
          <w:p w14:paraId="435D2C48" w14:textId="00AD41FB" w:rsidR="009771CF" w:rsidRPr="00E65AA7" w:rsidRDefault="009771CF" w:rsidP="00C46080">
            <w:pPr>
              <w:jc w:val="center"/>
              <w:rPr>
                <w:color w:val="000000"/>
                <w:sz w:val="20"/>
                <w:szCs w:val="20"/>
              </w:rPr>
            </w:pPr>
            <w:r>
              <w:rPr>
                <w:color w:val="000000"/>
                <w:sz w:val="20"/>
                <w:szCs w:val="20"/>
              </w:rPr>
              <w:t>-0.01</w:t>
            </w:r>
          </w:p>
        </w:tc>
        <w:tc>
          <w:tcPr>
            <w:tcW w:w="343" w:type="pct"/>
            <w:tcBorders>
              <w:top w:val="nil"/>
              <w:left w:val="nil"/>
              <w:bottom w:val="nil"/>
              <w:right w:val="nil"/>
            </w:tcBorders>
            <w:shd w:val="clear" w:color="auto" w:fill="auto"/>
            <w:noWrap/>
            <w:vAlign w:val="center"/>
            <w:hideMark/>
          </w:tcPr>
          <w:p w14:paraId="68789414" w14:textId="66C20200" w:rsidR="009771CF" w:rsidRPr="00E65AA7" w:rsidRDefault="009771CF" w:rsidP="00C46080">
            <w:pPr>
              <w:jc w:val="center"/>
              <w:rPr>
                <w:color w:val="000000"/>
                <w:sz w:val="20"/>
                <w:szCs w:val="20"/>
              </w:rPr>
            </w:pPr>
            <w:r>
              <w:rPr>
                <w:color w:val="000000"/>
                <w:sz w:val="20"/>
                <w:szCs w:val="20"/>
              </w:rPr>
              <w:t>0.11</w:t>
            </w:r>
          </w:p>
        </w:tc>
        <w:tc>
          <w:tcPr>
            <w:tcW w:w="343" w:type="pct"/>
            <w:tcBorders>
              <w:top w:val="nil"/>
              <w:left w:val="nil"/>
              <w:bottom w:val="nil"/>
              <w:right w:val="nil"/>
            </w:tcBorders>
            <w:shd w:val="clear" w:color="auto" w:fill="auto"/>
            <w:noWrap/>
            <w:vAlign w:val="center"/>
            <w:hideMark/>
          </w:tcPr>
          <w:p w14:paraId="74D5BFDE" w14:textId="447A2003" w:rsidR="009771CF" w:rsidRPr="00E65AA7" w:rsidRDefault="009771CF" w:rsidP="00C46080">
            <w:pPr>
              <w:jc w:val="center"/>
              <w:rPr>
                <w:color w:val="000000"/>
                <w:sz w:val="20"/>
                <w:szCs w:val="20"/>
              </w:rPr>
            </w:pPr>
            <w:r>
              <w:rPr>
                <w:color w:val="000000"/>
                <w:sz w:val="20"/>
                <w:szCs w:val="20"/>
              </w:rPr>
              <w:t>0.38</w:t>
            </w:r>
          </w:p>
        </w:tc>
        <w:tc>
          <w:tcPr>
            <w:tcW w:w="331" w:type="pct"/>
            <w:tcBorders>
              <w:top w:val="nil"/>
              <w:left w:val="nil"/>
              <w:bottom w:val="nil"/>
              <w:right w:val="nil"/>
            </w:tcBorders>
            <w:shd w:val="clear" w:color="auto" w:fill="auto"/>
            <w:noWrap/>
            <w:vAlign w:val="center"/>
            <w:hideMark/>
          </w:tcPr>
          <w:p w14:paraId="472EAA79" w14:textId="3693AF57" w:rsidR="009771CF" w:rsidRPr="00E65AA7" w:rsidRDefault="009771CF" w:rsidP="00C46080">
            <w:pPr>
              <w:jc w:val="center"/>
              <w:rPr>
                <w:color w:val="000000"/>
                <w:sz w:val="20"/>
                <w:szCs w:val="20"/>
              </w:rPr>
            </w:pPr>
            <w:r>
              <w:rPr>
                <w:color w:val="000000"/>
                <w:sz w:val="20"/>
                <w:szCs w:val="20"/>
              </w:rPr>
              <w:t>0.79</w:t>
            </w:r>
          </w:p>
        </w:tc>
        <w:tc>
          <w:tcPr>
            <w:tcW w:w="330" w:type="pct"/>
            <w:tcBorders>
              <w:top w:val="nil"/>
              <w:left w:val="nil"/>
              <w:bottom w:val="nil"/>
              <w:right w:val="nil"/>
            </w:tcBorders>
          </w:tcPr>
          <w:p w14:paraId="393A7534" w14:textId="77777777" w:rsidR="009771CF" w:rsidRDefault="009771CF" w:rsidP="00C46080">
            <w:pPr>
              <w:jc w:val="center"/>
              <w:rPr>
                <w:color w:val="000000"/>
                <w:sz w:val="20"/>
                <w:szCs w:val="20"/>
              </w:rPr>
            </w:pPr>
          </w:p>
        </w:tc>
      </w:tr>
      <w:tr w:rsidR="009771CF" w:rsidRPr="00E65AA7" w14:paraId="324EECA2" w14:textId="12AF304C" w:rsidTr="009771CF">
        <w:trPr>
          <w:trHeight w:hRule="exact" w:val="255"/>
        </w:trPr>
        <w:tc>
          <w:tcPr>
            <w:tcW w:w="437" w:type="pct"/>
            <w:vMerge/>
            <w:tcBorders>
              <w:top w:val="nil"/>
              <w:left w:val="nil"/>
              <w:right w:val="nil"/>
            </w:tcBorders>
            <w:vAlign w:val="center"/>
            <w:hideMark/>
          </w:tcPr>
          <w:p w14:paraId="49CA1FFF" w14:textId="77777777" w:rsidR="009771CF" w:rsidRPr="00E65AA7" w:rsidRDefault="009771CF" w:rsidP="00C46080">
            <w:pPr>
              <w:rPr>
                <w:rFonts w:eastAsia="Times New Roman"/>
                <w:color w:val="000000"/>
                <w:sz w:val="20"/>
                <w:szCs w:val="20"/>
                <w:lang w:eastAsia="en-MY"/>
              </w:rPr>
            </w:pPr>
          </w:p>
        </w:tc>
        <w:tc>
          <w:tcPr>
            <w:tcW w:w="201" w:type="pct"/>
            <w:vMerge/>
            <w:tcBorders>
              <w:left w:val="nil"/>
              <w:right w:val="nil"/>
            </w:tcBorders>
            <w:vAlign w:val="center"/>
          </w:tcPr>
          <w:p w14:paraId="6A3A4649" w14:textId="77777777" w:rsidR="009771CF" w:rsidRPr="00E65AA7" w:rsidRDefault="009771CF" w:rsidP="00C46080">
            <w:pPr>
              <w:jc w:val="center"/>
              <w:rPr>
                <w:rFonts w:eastAsia="Times New Roman"/>
                <w:sz w:val="20"/>
                <w:szCs w:val="20"/>
                <w:lang w:eastAsia="en-MY"/>
              </w:rPr>
            </w:pPr>
          </w:p>
        </w:tc>
        <w:tc>
          <w:tcPr>
            <w:tcW w:w="297" w:type="pct"/>
            <w:tcBorders>
              <w:top w:val="nil"/>
              <w:left w:val="nil"/>
              <w:right w:val="nil"/>
            </w:tcBorders>
            <w:shd w:val="clear" w:color="auto" w:fill="auto"/>
            <w:noWrap/>
            <w:vAlign w:val="center"/>
            <w:hideMark/>
          </w:tcPr>
          <w:p w14:paraId="58A757C1" w14:textId="77777777" w:rsidR="009771CF" w:rsidRPr="00E65AA7" w:rsidRDefault="009771CF" w:rsidP="00C46080">
            <w:pPr>
              <w:jc w:val="center"/>
              <w:rPr>
                <w:rFonts w:eastAsia="Times New Roman"/>
                <w:sz w:val="20"/>
                <w:szCs w:val="20"/>
                <w:lang w:eastAsia="en-MY"/>
              </w:rPr>
            </w:pPr>
          </w:p>
        </w:tc>
        <w:tc>
          <w:tcPr>
            <w:tcW w:w="314" w:type="pct"/>
            <w:tcBorders>
              <w:top w:val="nil"/>
              <w:left w:val="nil"/>
              <w:right w:val="nil"/>
            </w:tcBorders>
            <w:shd w:val="clear" w:color="auto" w:fill="auto"/>
            <w:noWrap/>
            <w:vAlign w:val="center"/>
            <w:hideMark/>
          </w:tcPr>
          <w:p w14:paraId="26DE5CE8" w14:textId="3C8D1A0A" w:rsidR="009771CF" w:rsidRPr="00E65AA7" w:rsidRDefault="009771CF" w:rsidP="00C46080">
            <w:pPr>
              <w:jc w:val="center"/>
              <w:rPr>
                <w:color w:val="000000"/>
                <w:sz w:val="20"/>
                <w:szCs w:val="20"/>
              </w:rPr>
            </w:pPr>
            <w:r>
              <w:rPr>
                <w:color w:val="000000"/>
                <w:sz w:val="20"/>
                <w:szCs w:val="20"/>
              </w:rPr>
              <w:t>(-0.69)</w:t>
            </w:r>
          </w:p>
        </w:tc>
        <w:tc>
          <w:tcPr>
            <w:tcW w:w="345" w:type="pct"/>
            <w:tcBorders>
              <w:top w:val="nil"/>
              <w:left w:val="nil"/>
              <w:right w:val="nil"/>
            </w:tcBorders>
            <w:shd w:val="clear" w:color="auto" w:fill="auto"/>
            <w:noWrap/>
            <w:vAlign w:val="center"/>
            <w:hideMark/>
          </w:tcPr>
          <w:p w14:paraId="3B9F094C" w14:textId="2A05DAFB" w:rsidR="009771CF" w:rsidRPr="00E65AA7" w:rsidRDefault="009771CF" w:rsidP="00C46080">
            <w:pPr>
              <w:jc w:val="center"/>
              <w:rPr>
                <w:color w:val="000000"/>
                <w:sz w:val="20"/>
                <w:szCs w:val="20"/>
              </w:rPr>
            </w:pPr>
            <w:r>
              <w:rPr>
                <w:color w:val="000000"/>
                <w:sz w:val="20"/>
                <w:szCs w:val="20"/>
              </w:rPr>
              <w:t>(-1.06)</w:t>
            </w:r>
          </w:p>
        </w:tc>
        <w:tc>
          <w:tcPr>
            <w:tcW w:w="344" w:type="pct"/>
            <w:tcBorders>
              <w:top w:val="nil"/>
              <w:left w:val="nil"/>
              <w:right w:val="nil"/>
            </w:tcBorders>
            <w:shd w:val="clear" w:color="auto" w:fill="auto"/>
            <w:noWrap/>
            <w:vAlign w:val="center"/>
            <w:hideMark/>
          </w:tcPr>
          <w:p w14:paraId="5F347A5B" w14:textId="6DBCFDB3" w:rsidR="009771CF" w:rsidRPr="00E65AA7" w:rsidRDefault="009771CF" w:rsidP="00C46080">
            <w:pPr>
              <w:jc w:val="center"/>
              <w:rPr>
                <w:color w:val="000000"/>
                <w:sz w:val="20"/>
                <w:szCs w:val="20"/>
              </w:rPr>
            </w:pPr>
            <w:r>
              <w:rPr>
                <w:color w:val="000000"/>
                <w:sz w:val="20"/>
                <w:szCs w:val="20"/>
              </w:rPr>
              <w:t>(-0.93)</w:t>
            </w:r>
          </w:p>
        </w:tc>
        <w:tc>
          <w:tcPr>
            <w:tcW w:w="343" w:type="pct"/>
            <w:tcBorders>
              <w:top w:val="nil"/>
              <w:left w:val="nil"/>
              <w:right w:val="nil"/>
            </w:tcBorders>
            <w:shd w:val="clear" w:color="auto" w:fill="auto"/>
            <w:noWrap/>
            <w:vAlign w:val="center"/>
            <w:hideMark/>
          </w:tcPr>
          <w:p w14:paraId="7B46D56A" w14:textId="50DDA54A" w:rsidR="009771CF" w:rsidRPr="00E65AA7" w:rsidRDefault="009771CF" w:rsidP="00C46080">
            <w:pPr>
              <w:jc w:val="center"/>
              <w:rPr>
                <w:color w:val="000000"/>
                <w:sz w:val="20"/>
                <w:szCs w:val="20"/>
              </w:rPr>
            </w:pPr>
            <w:r>
              <w:rPr>
                <w:color w:val="000000"/>
                <w:sz w:val="20"/>
                <w:szCs w:val="20"/>
              </w:rPr>
              <w:t>(-0.74)</w:t>
            </w:r>
          </w:p>
        </w:tc>
        <w:tc>
          <w:tcPr>
            <w:tcW w:w="343" w:type="pct"/>
            <w:tcBorders>
              <w:top w:val="nil"/>
              <w:left w:val="nil"/>
              <w:right w:val="nil"/>
            </w:tcBorders>
            <w:shd w:val="clear" w:color="auto" w:fill="auto"/>
            <w:noWrap/>
            <w:vAlign w:val="center"/>
            <w:hideMark/>
          </w:tcPr>
          <w:p w14:paraId="677633F9" w14:textId="3D12DF37" w:rsidR="009771CF" w:rsidRPr="00E65AA7" w:rsidRDefault="009771CF" w:rsidP="00C46080">
            <w:pPr>
              <w:jc w:val="center"/>
              <w:rPr>
                <w:color w:val="000000"/>
                <w:sz w:val="20"/>
                <w:szCs w:val="20"/>
              </w:rPr>
            </w:pPr>
            <w:r>
              <w:rPr>
                <w:color w:val="000000"/>
                <w:sz w:val="20"/>
                <w:szCs w:val="20"/>
              </w:rPr>
              <w:t>(-0.44)</w:t>
            </w:r>
          </w:p>
        </w:tc>
        <w:tc>
          <w:tcPr>
            <w:tcW w:w="343" w:type="pct"/>
            <w:tcBorders>
              <w:top w:val="nil"/>
              <w:left w:val="nil"/>
              <w:right w:val="nil"/>
            </w:tcBorders>
            <w:shd w:val="clear" w:color="auto" w:fill="auto"/>
            <w:noWrap/>
            <w:vAlign w:val="center"/>
            <w:hideMark/>
          </w:tcPr>
          <w:p w14:paraId="3CB4CA06" w14:textId="3F935CC1" w:rsidR="009771CF" w:rsidRPr="00E65AA7" w:rsidRDefault="009771CF" w:rsidP="00C46080">
            <w:pPr>
              <w:jc w:val="center"/>
              <w:rPr>
                <w:color w:val="000000"/>
                <w:sz w:val="20"/>
                <w:szCs w:val="20"/>
              </w:rPr>
            </w:pPr>
            <w:r>
              <w:rPr>
                <w:color w:val="000000"/>
                <w:sz w:val="20"/>
                <w:szCs w:val="20"/>
              </w:rPr>
              <w:t>(-0.3</w:t>
            </w:r>
            <w:r w:rsidR="001060DD">
              <w:rPr>
                <w:color w:val="000000"/>
                <w:sz w:val="20"/>
                <w:szCs w:val="20"/>
              </w:rPr>
              <w:t>0</w:t>
            </w:r>
            <w:r>
              <w:rPr>
                <w:color w:val="000000"/>
                <w:sz w:val="20"/>
                <w:szCs w:val="20"/>
              </w:rPr>
              <w:t>)</w:t>
            </w:r>
          </w:p>
        </w:tc>
        <w:tc>
          <w:tcPr>
            <w:tcW w:w="343" w:type="pct"/>
            <w:tcBorders>
              <w:top w:val="nil"/>
              <w:left w:val="nil"/>
              <w:right w:val="nil"/>
            </w:tcBorders>
            <w:shd w:val="clear" w:color="auto" w:fill="auto"/>
            <w:noWrap/>
            <w:vAlign w:val="center"/>
            <w:hideMark/>
          </w:tcPr>
          <w:p w14:paraId="7EB7179A" w14:textId="45844C01" w:rsidR="009771CF" w:rsidRPr="00E65AA7" w:rsidRDefault="009771CF" w:rsidP="00C46080">
            <w:pPr>
              <w:jc w:val="center"/>
              <w:rPr>
                <w:color w:val="000000"/>
                <w:sz w:val="20"/>
                <w:szCs w:val="20"/>
              </w:rPr>
            </w:pPr>
            <w:r>
              <w:rPr>
                <w:color w:val="000000"/>
                <w:sz w:val="20"/>
                <w:szCs w:val="20"/>
              </w:rPr>
              <w:t>(-0.32)</w:t>
            </w:r>
          </w:p>
        </w:tc>
        <w:tc>
          <w:tcPr>
            <w:tcW w:w="343" w:type="pct"/>
            <w:tcBorders>
              <w:top w:val="nil"/>
              <w:left w:val="nil"/>
              <w:right w:val="nil"/>
            </w:tcBorders>
            <w:shd w:val="clear" w:color="auto" w:fill="auto"/>
            <w:noWrap/>
            <w:vAlign w:val="center"/>
            <w:hideMark/>
          </w:tcPr>
          <w:p w14:paraId="51115D77" w14:textId="54670A6E" w:rsidR="009771CF" w:rsidRPr="00E65AA7" w:rsidRDefault="009771CF" w:rsidP="00C46080">
            <w:pPr>
              <w:jc w:val="center"/>
              <w:rPr>
                <w:color w:val="000000"/>
                <w:sz w:val="20"/>
                <w:szCs w:val="20"/>
              </w:rPr>
            </w:pPr>
            <w:r>
              <w:rPr>
                <w:color w:val="000000"/>
                <w:sz w:val="20"/>
                <w:szCs w:val="20"/>
              </w:rPr>
              <w:t>(-0.03)</w:t>
            </w:r>
          </w:p>
        </w:tc>
        <w:tc>
          <w:tcPr>
            <w:tcW w:w="343" w:type="pct"/>
            <w:tcBorders>
              <w:top w:val="nil"/>
              <w:left w:val="nil"/>
              <w:right w:val="nil"/>
            </w:tcBorders>
            <w:shd w:val="clear" w:color="auto" w:fill="auto"/>
            <w:noWrap/>
            <w:vAlign w:val="center"/>
            <w:hideMark/>
          </w:tcPr>
          <w:p w14:paraId="223B7513" w14:textId="1C80C7BC" w:rsidR="009771CF" w:rsidRPr="00E65AA7" w:rsidRDefault="009771CF" w:rsidP="00C46080">
            <w:pPr>
              <w:jc w:val="center"/>
              <w:rPr>
                <w:color w:val="000000"/>
                <w:sz w:val="20"/>
                <w:szCs w:val="20"/>
              </w:rPr>
            </w:pPr>
            <w:r>
              <w:rPr>
                <w:color w:val="000000"/>
                <w:sz w:val="20"/>
                <w:szCs w:val="20"/>
              </w:rPr>
              <w:t>(0.23)</w:t>
            </w:r>
          </w:p>
        </w:tc>
        <w:tc>
          <w:tcPr>
            <w:tcW w:w="343" w:type="pct"/>
            <w:tcBorders>
              <w:top w:val="nil"/>
              <w:left w:val="nil"/>
              <w:right w:val="nil"/>
            </w:tcBorders>
            <w:shd w:val="clear" w:color="auto" w:fill="auto"/>
            <w:noWrap/>
            <w:vAlign w:val="center"/>
            <w:hideMark/>
          </w:tcPr>
          <w:p w14:paraId="5E072162" w14:textId="77EDF68C" w:rsidR="009771CF" w:rsidRPr="00E65AA7" w:rsidRDefault="009771CF" w:rsidP="00C46080">
            <w:pPr>
              <w:jc w:val="center"/>
              <w:rPr>
                <w:color w:val="000000"/>
                <w:sz w:val="20"/>
                <w:szCs w:val="20"/>
              </w:rPr>
            </w:pPr>
            <w:r>
              <w:rPr>
                <w:color w:val="000000"/>
                <w:sz w:val="20"/>
                <w:szCs w:val="20"/>
              </w:rPr>
              <w:t>(0.83)</w:t>
            </w:r>
          </w:p>
        </w:tc>
        <w:tc>
          <w:tcPr>
            <w:tcW w:w="331" w:type="pct"/>
            <w:tcBorders>
              <w:top w:val="nil"/>
              <w:left w:val="nil"/>
              <w:right w:val="nil"/>
            </w:tcBorders>
            <w:shd w:val="clear" w:color="auto" w:fill="auto"/>
            <w:noWrap/>
            <w:vAlign w:val="center"/>
            <w:hideMark/>
          </w:tcPr>
          <w:p w14:paraId="52989161" w14:textId="610FAFBC" w:rsidR="009771CF" w:rsidRPr="00E65AA7" w:rsidRDefault="009771CF" w:rsidP="00C46080">
            <w:pPr>
              <w:jc w:val="center"/>
              <w:rPr>
                <w:color w:val="000000"/>
                <w:sz w:val="20"/>
                <w:szCs w:val="20"/>
              </w:rPr>
            </w:pPr>
            <w:r>
              <w:rPr>
                <w:color w:val="000000"/>
                <w:sz w:val="20"/>
                <w:szCs w:val="20"/>
              </w:rPr>
              <w:t>(1.93)</w:t>
            </w:r>
          </w:p>
        </w:tc>
        <w:tc>
          <w:tcPr>
            <w:tcW w:w="330" w:type="pct"/>
            <w:tcBorders>
              <w:top w:val="nil"/>
              <w:left w:val="nil"/>
              <w:right w:val="nil"/>
            </w:tcBorders>
          </w:tcPr>
          <w:p w14:paraId="65DC965E" w14:textId="77777777" w:rsidR="009771CF" w:rsidRDefault="009771CF" w:rsidP="00C46080">
            <w:pPr>
              <w:jc w:val="center"/>
              <w:rPr>
                <w:color w:val="000000"/>
                <w:sz w:val="20"/>
                <w:szCs w:val="20"/>
              </w:rPr>
            </w:pPr>
          </w:p>
        </w:tc>
      </w:tr>
      <w:tr w:rsidR="009771CF" w:rsidRPr="00E65AA7" w14:paraId="081AD2AD" w14:textId="5A818E48" w:rsidTr="009771CF">
        <w:trPr>
          <w:trHeight w:hRule="exact" w:val="255"/>
        </w:trPr>
        <w:tc>
          <w:tcPr>
            <w:tcW w:w="437" w:type="pct"/>
            <w:vMerge w:val="restart"/>
            <w:tcBorders>
              <w:top w:val="nil"/>
              <w:left w:val="nil"/>
              <w:right w:val="nil"/>
            </w:tcBorders>
            <w:shd w:val="clear" w:color="auto" w:fill="auto"/>
            <w:vAlign w:val="center"/>
          </w:tcPr>
          <w:p w14:paraId="534C5BD3" w14:textId="506638A5" w:rsidR="009771CF" w:rsidRPr="00E65AA7" w:rsidRDefault="009771CF" w:rsidP="00C46080">
            <w:pPr>
              <w:rPr>
                <w:rFonts w:eastAsia="Times New Roman"/>
                <w:b/>
                <w:sz w:val="20"/>
                <w:szCs w:val="20"/>
                <w:lang w:eastAsia="en-MY"/>
              </w:rPr>
            </w:pPr>
            <w:r w:rsidRPr="00E65AA7">
              <w:rPr>
                <w:rFonts w:eastAsia="Times New Roman"/>
                <w:b/>
                <w:color w:val="000000"/>
                <w:sz w:val="20"/>
                <w:szCs w:val="20"/>
                <w:lang w:eastAsia="en-MY"/>
              </w:rPr>
              <w:t>L/H</w:t>
            </w:r>
          </w:p>
        </w:tc>
        <w:tc>
          <w:tcPr>
            <w:tcW w:w="201" w:type="pct"/>
            <w:vMerge w:val="restart"/>
            <w:tcBorders>
              <w:top w:val="nil"/>
              <w:left w:val="nil"/>
              <w:right w:val="nil"/>
            </w:tcBorders>
            <w:vAlign w:val="center"/>
          </w:tcPr>
          <w:p w14:paraId="336B8FF6" w14:textId="77777777" w:rsidR="009771CF" w:rsidRPr="00E65AA7" w:rsidRDefault="009771CF" w:rsidP="00C46080">
            <w:pPr>
              <w:jc w:val="center"/>
              <w:rPr>
                <w:rFonts w:eastAsia="Times New Roman"/>
                <w:sz w:val="20"/>
                <w:szCs w:val="20"/>
                <w:lang w:eastAsia="en-MY"/>
              </w:rPr>
            </w:pPr>
            <w:r w:rsidRPr="00E65AA7">
              <w:rPr>
                <w:rFonts w:eastAsia="Times New Roman"/>
                <w:color w:val="000000"/>
                <w:sz w:val="20"/>
                <w:szCs w:val="20"/>
                <w:lang w:eastAsia="en-MY"/>
              </w:rPr>
              <w:t>147</w:t>
            </w:r>
          </w:p>
        </w:tc>
        <w:tc>
          <w:tcPr>
            <w:tcW w:w="297" w:type="pct"/>
            <w:tcBorders>
              <w:top w:val="nil"/>
              <w:left w:val="nil"/>
              <w:right w:val="nil"/>
            </w:tcBorders>
            <w:shd w:val="clear" w:color="auto" w:fill="auto"/>
            <w:noWrap/>
            <w:vAlign w:val="center"/>
          </w:tcPr>
          <w:p w14:paraId="407E8FD5" w14:textId="77777777" w:rsidR="009771CF" w:rsidRPr="00E65AA7" w:rsidRDefault="009771CF" w:rsidP="00C46080">
            <w:pPr>
              <w:jc w:val="center"/>
              <w:rPr>
                <w:rFonts w:eastAsia="Times New Roman"/>
                <w:sz w:val="20"/>
                <w:szCs w:val="20"/>
                <w:lang w:eastAsia="en-MY"/>
              </w:rPr>
            </w:pPr>
          </w:p>
        </w:tc>
        <w:tc>
          <w:tcPr>
            <w:tcW w:w="314" w:type="pct"/>
            <w:tcBorders>
              <w:top w:val="nil"/>
              <w:left w:val="nil"/>
              <w:right w:val="nil"/>
            </w:tcBorders>
            <w:shd w:val="clear" w:color="auto" w:fill="auto"/>
            <w:noWrap/>
            <w:vAlign w:val="center"/>
          </w:tcPr>
          <w:p w14:paraId="5260B273" w14:textId="6C9F8B85" w:rsidR="009771CF" w:rsidRPr="00E65AA7" w:rsidRDefault="009771CF" w:rsidP="00C46080">
            <w:pPr>
              <w:jc w:val="center"/>
              <w:rPr>
                <w:sz w:val="20"/>
                <w:szCs w:val="20"/>
              </w:rPr>
            </w:pPr>
            <w:r>
              <w:rPr>
                <w:color w:val="000000"/>
                <w:sz w:val="20"/>
                <w:szCs w:val="20"/>
              </w:rPr>
              <w:t>4.46</w:t>
            </w:r>
          </w:p>
        </w:tc>
        <w:tc>
          <w:tcPr>
            <w:tcW w:w="345" w:type="pct"/>
            <w:tcBorders>
              <w:top w:val="nil"/>
              <w:left w:val="nil"/>
              <w:right w:val="nil"/>
            </w:tcBorders>
            <w:shd w:val="clear" w:color="auto" w:fill="auto"/>
            <w:noWrap/>
            <w:vAlign w:val="center"/>
          </w:tcPr>
          <w:p w14:paraId="62AAB7F9" w14:textId="1E7439EA" w:rsidR="009771CF" w:rsidRPr="00E65AA7" w:rsidRDefault="009771CF" w:rsidP="00C46080">
            <w:pPr>
              <w:jc w:val="center"/>
              <w:rPr>
                <w:sz w:val="20"/>
                <w:szCs w:val="20"/>
              </w:rPr>
            </w:pPr>
            <w:r>
              <w:rPr>
                <w:color w:val="000000"/>
                <w:sz w:val="20"/>
                <w:szCs w:val="20"/>
              </w:rPr>
              <w:t>3.49</w:t>
            </w:r>
          </w:p>
        </w:tc>
        <w:tc>
          <w:tcPr>
            <w:tcW w:w="344" w:type="pct"/>
            <w:tcBorders>
              <w:top w:val="nil"/>
              <w:left w:val="nil"/>
              <w:right w:val="nil"/>
            </w:tcBorders>
            <w:shd w:val="clear" w:color="auto" w:fill="auto"/>
            <w:noWrap/>
            <w:vAlign w:val="center"/>
          </w:tcPr>
          <w:p w14:paraId="4A60AF43" w14:textId="53851D96" w:rsidR="009771CF" w:rsidRPr="00E65AA7" w:rsidRDefault="009771CF" w:rsidP="00C46080">
            <w:pPr>
              <w:jc w:val="center"/>
              <w:rPr>
                <w:sz w:val="20"/>
                <w:szCs w:val="20"/>
              </w:rPr>
            </w:pPr>
            <w:r>
              <w:rPr>
                <w:color w:val="000000"/>
                <w:sz w:val="20"/>
                <w:szCs w:val="20"/>
              </w:rPr>
              <w:t>3.24</w:t>
            </w:r>
          </w:p>
        </w:tc>
        <w:tc>
          <w:tcPr>
            <w:tcW w:w="343" w:type="pct"/>
            <w:tcBorders>
              <w:top w:val="nil"/>
              <w:left w:val="nil"/>
              <w:right w:val="nil"/>
            </w:tcBorders>
            <w:shd w:val="clear" w:color="auto" w:fill="auto"/>
            <w:noWrap/>
            <w:vAlign w:val="center"/>
          </w:tcPr>
          <w:p w14:paraId="7A307514" w14:textId="321A5A23" w:rsidR="009771CF" w:rsidRPr="00E65AA7" w:rsidRDefault="009771CF" w:rsidP="00C46080">
            <w:pPr>
              <w:jc w:val="center"/>
              <w:rPr>
                <w:sz w:val="20"/>
                <w:szCs w:val="20"/>
              </w:rPr>
            </w:pPr>
            <w:r>
              <w:rPr>
                <w:color w:val="000000"/>
                <w:sz w:val="20"/>
                <w:szCs w:val="20"/>
              </w:rPr>
              <w:t>3.10</w:t>
            </w:r>
          </w:p>
        </w:tc>
        <w:tc>
          <w:tcPr>
            <w:tcW w:w="343" w:type="pct"/>
            <w:tcBorders>
              <w:top w:val="nil"/>
              <w:left w:val="nil"/>
              <w:right w:val="nil"/>
            </w:tcBorders>
            <w:shd w:val="clear" w:color="auto" w:fill="auto"/>
            <w:noWrap/>
            <w:vAlign w:val="center"/>
          </w:tcPr>
          <w:p w14:paraId="30087501" w14:textId="1230B235" w:rsidR="009771CF" w:rsidRPr="00E65AA7" w:rsidRDefault="009771CF" w:rsidP="00C46080">
            <w:pPr>
              <w:jc w:val="center"/>
              <w:rPr>
                <w:sz w:val="20"/>
                <w:szCs w:val="20"/>
              </w:rPr>
            </w:pPr>
            <w:r>
              <w:rPr>
                <w:color w:val="000000"/>
                <w:sz w:val="20"/>
                <w:szCs w:val="20"/>
              </w:rPr>
              <w:t>2.89</w:t>
            </w:r>
          </w:p>
        </w:tc>
        <w:tc>
          <w:tcPr>
            <w:tcW w:w="343" w:type="pct"/>
            <w:tcBorders>
              <w:top w:val="nil"/>
              <w:left w:val="nil"/>
              <w:right w:val="nil"/>
            </w:tcBorders>
            <w:shd w:val="clear" w:color="auto" w:fill="auto"/>
            <w:noWrap/>
            <w:vAlign w:val="center"/>
          </w:tcPr>
          <w:p w14:paraId="4F7D8134" w14:textId="0E580E92" w:rsidR="009771CF" w:rsidRPr="00E65AA7" w:rsidRDefault="009771CF" w:rsidP="00C46080">
            <w:pPr>
              <w:jc w:val="center"/>
              <w:rPr>
                <w:sz w:val="20"/>
                <w:szCs w:val="20"/>
              </w:rPr>
            </w:pPr>
            <w:r>
              <w:rPr>
                <w:color w:val="000000"/>
                <w:sz w:val="20"/>
                <w:szCs w:val="20"/>
              </w:rPr>
              <w:t>2.61</w:t>
            </w:r>
          </w:p>
        </w:tc>
        <w:tc>
          <w:tcPr>
            <w:tcW w:w="343" w:type="pct"/>
            <w:tcBorders>
              <w:top w:val="nil"/>
              <w:left w:val="nil"/>
              <w:right w:val="nil"/>
            </w:tcBorders>
            <w:shd w:val="clear" w:color="auto" w:fill="auto"/>
            <w:noWrap/>
            <w:vAlign w:val="center"/>
          </w:tcPr>
          <w:p w14:paraId="1CD27991" w14:textId="5157CDA8" w:rsidR="009771CF" w:rsidRPr="00E65AA7" w:rsidRDefault="009771CF" w:rsidP="00C46080">
            <w:pPr>
              <w:jc w:val="center"/>
              <w:rPr>
                <w:sz w:val="20"/>
                <w:szCs w:val="20"/>
              </w:rPr>
            </w:pPr>
            <w:r>
              <w:rPr>
                <w:color w:val="000000"/>
                <w:sz w:val="20"/>
                <w:szCs w:val="20"/>
              </w:rPr>
              <w:t>2.57</w:t>
            </w:r>
          </w:p>
        </w:tc>
        <w:tc>
          <w:tcPr>
            <w:tcW w:w="343" w:type="pct"/>
            <w:tcBorders>
              <w:top w:val="nil"/>
              <w:left w:val="nil"/>
              <w:right w:val="nil"/>
            </w:tcBorders>
            <w:shd w:val="clear" w:color="auto" w:fill="auto"/>
            <w:noWrap/>
            <w:vAlign w:val="center"/>
          </w:tcPr>
          <w:p w14:paraId="518E62B4" w14:textId="42648614" w:rsidR="009771CF" w:rsidRPr="00E65AA7" w:rsidRDefault="009771CF" w:rsidP="00C46080">
            <w:pPr>
              <w:jc w:val="center"/>
              <w:rPr>
                <w:sz w:val="20"/>
                <w:szCs w:val="20"/>
              </w:rPr>
            </w:pPr>
            <w:r>
              <w:rPr>
                <w:color w:val="000000"/>
                <w:sz w:val="20"/>
                <w:szCs w:val="20"/>
              </w:rPr>
              <w:t>2.29</w:t>
            </w:r>
          </w:p>
        </w:tc>
        <w:tc>
          <w:tcPr>
            <w:tcW w:w="343" w:type="pct"/>
            <w:tcBorders>
              <w:top w:val="nil"/>
              <w:left w:val="nil"/>
              <w:right w:val="nil"/>
            </w:tcBorders>
            <w:shd w:val="clear" w:color="auto" w:fill="auto"/>
            <w:noWrap/>
            <w:vAlign w:val="center"/>
          </w:tcPr>
          <w:p w14:paraId="5E6D619D" w14:textId="1A45FB1B" w:rsidR="009771CF" w:rsidRPr="00E65AA7" w:rsidRDefault="009771CF" w:rsidP="00C46080">
            <w:pPr>
              <w:jc w:val="center"/>
              <w:rPr>
                <w:sz w:val="20"/>
                <w:szCs w:val="20"/>
              </w:rPr>
            </w:pPr>
            <w:r>
              <w:rPr>
                <w:color w:val="000000"/>
                <w:sz w:val="20"/>
                <w:szCs w:val="20"/>
              </w:rPr>
              <w:t>1.89</w:t>
            </w:r>
          </w:p>
        </w:tc>
        <w:tc>
          <w:tcPr>
            <w:tcW w:w="343" w:type="pct"/>
            <w:tcBorders>
              <w:top w:val="nil"/>
              <w:left w:val="nil"/>
              <w:right w:val="nil"/>
            </w:tcBorders>
            <w:shd w:val="clear" w:color="auto" w:fill="auto"/>
            <w:noWrap/>
            <w:vAlign w:val="center"/>
          </w:tcPr>
          <w:p w14:paraId="2546B627" w14:textId="7F68D9ED" w:rsidR="009771CF" w:rsidRPr="00E65AA7" w:rsidRDefault="009771CF" w:rsidP="00C46080">
            <w:pPr>
              <w:jc w:val="center"/>
              <w:rPr>
                <w:sz w:val="20"/>
                <w:szCs w:val="20"/>
              </w:rPr>
            </w:pPr>
            <w:r>
              <w:rPr>
                <w:color w:val="000000"/>
                <w:sz w:val="20"/>
                <w:szCs w:val="20"/>
              </w:rPr>
              <w:t>1.33</w:t>
            </w:r>
          </w:p>
        </w:tc>
        <w:tc>
          <w:tcPr>
            <w:tcW w:w="331" w:type="pct"/>
            <w:tcBorders>
              <w:top w:val="nil"/>
              <w:left w:val="nil"/>
              <w:right w:val="nil"/>
            </w:tcBorders>
            <w:shd w:val="clear" w:color="auto" w:fill="auto"/>
            <w:noWrap/>
            <w:vAlign w:val="center"/>
          </w:tcPr>
          <w:p w14:paraId="24C6C226" w14:textId="06FD3A8D" w:rsidR="009771CF" w:rsidRPr="00E65AA7" w:rsidRDefault="009771CF" w:rsidP="00C46080">
            <w:pPr>
              <w:jc w:val="center"/>
              <w:rPr>
                <w:sz w:val="20"/>
                <w:szCs w:val="20"/>
              </w:rPr>
            </w:pPr>
            <w:r>
              <w:rPr>
                <w:color w:val="000000"/>
                <w:sz w:val="20"/>
                <w:szCs w:val="20"/>
              </w:rPr>
              <w:t>-3.13</w:t>
            </w:r>
          </w:p>
        </w:tc>
        <w:tc>
          <w:tcPr>
            <w:tcW w:w="330" w:type="pct"/>
            <w:tcBorders>
              <w:top w:val="nil"/>
              <w:left w:val="nil"/>
              <w:right w:val="nil"/>
            </w:tcBorders>
          </w:tcPr>
          <w:p w14:paraId="373C3CD8" w14:textId="77777777" w:rsidR="009771CF" w:rsidRDefault="009771CF" w:rsidP="00C46080">
            <w:pPr>
              <w:jc w:val="center"/>
              <w:rPr>
                <w:color w:val="000000"/>
                <w:sz w:val="20"/>
                <w:szCs w:val="20"/>
              </w:rPr>
            </w:pPr>
          </w:p>
        </w:tc>
      </w:tr>
      <w:tr w:rsidR="009771CF" w:rsidRPr="00E65AA7" w14:paraId="30A7585B" w14:textId="1CF6F866" w:rsidTr="009771CF">
        <w:trPr>
          <w:trHeight w:hRule="exact" w:val="255"/>
        </w:trPr>
        <w:tc>
          <w:tcPr>
            <w:tcW w:w="437" w:type="pct"/>
            <w:vMerge/>
            <w:tcBorders>
              <w:left w:val="nil"/>
              <w:bottom w:val="single" w:sz="4" w:space="0" w:color="auto"/>
              <w:right w:val="nil"/>
            </w:tcBorders>
            <w:shd w:val="clear" w:color="auto" w:fill="auto"/>
            <w:vAlign w:val="center"/>
          </w:tcPr>
          <w:p w14:paraId="0B594B12" w14:textId="77777777" w:rsidR="009771CF" w:rsidRPr="00E65AA7" w:rsidRDefault="009771CF" w:rsidP="00C46080">
            <w:pPr>
              <w:rPr>
                <w:rFonts w:eastAsia="Times New Roman"/>
                <w:b/>
                <w:sz w:val="20"/>
                <w:szCs w:val="20"/>
                <w:lang w:eastAsia="en-MY"/>
              </w:rPr>
            </w:pPr>
          </w:p>
        </w:tc>
        <w:tc>
          <w:tcPr>
            <w:tcW w:w="201" w:type="pct"/>
            <w:vMerge/>
            <w:tcBorders>
              <w:left w:val="nil"/>
              <w:bottom w:val="single" w:sz="4" w:space="0" w:color="auto"/>
              <w:right w:val="nil"/>
            </w:tcBorders>
          </w:tcPr>
          <w:p w14:paraId="7BA1A529" w14:textId="77777777" w:rsidR="009771CF" w:rsidRPr="00E65AA7" w:rsidRDefault="009771CF" w:rsidP="00C46080">
            <w:pPr>
              <w:jc w:val="center"/>
              <w:rPr>
                <w:rFonts w:eastAsia="Times New Roman"/>
                <w:sz w:val="20"/>
                <w:szCs w:val="20"/>
                <w:lang w:eastAsia="en-MY"/>
              </w:rPr>
            </w:pPr>
          </w:p>
        </w:tc>
        <w:tc>
          <w:tcPr>
            <w:tcW w:w="297" w:type="pct"/>
            <w:tcBorders>
              <w:top w:val="nil"/>
              <w:left w:val="nil"/>
              <w:bottom w:val="single" w:sz="4" w:space="0" w:color="auto"/>
              <w:right w:val="nil"/>
            </w:tcBorders>
            <w:shd w:val="clear" w:color="auto" w:fill="auto"/>
            <w:noWrap/>
            <w:vAlign w:val="center"/>
          </w:tcPr>
          <w:p w14:paraId="034A1BDF" w14:textId="77777777" w:rsidR="009771CF" w:rsidRPr="00E65AA7" w:rsidRDefault="009771CF" w:rsidP="00C46080">
            <w:pPr>
              <w:jc w:val="center"/>
              <w:rPr>
                <w:rFonts w:eastAsia="Times New Roman"/>
                <w:sz w:val="20"/>
                <w:szCs w:val="20"/>
                <w:lang w:eastAsia="en-MY"/>
              </w:rPr>
            </w:pPr>
          </w:p>
        </w:tc>
        <w:tc>
          <w:tcPr>
            <w:tcW w:w="314" w:type="pct"/>
            <w:tcBorders>
              <w:top w:val="nil"/>
              <w:left w:val="nil"/>
              <w:bottom w:val="single" w:sz="4" w:space="0" w:color="auto"/>
              <w:right w:val="nil"/>
            </w:tcBorders>
            <w:shd w:val="clear" w:color="auto" w:fill="auto"/>
            <w:noWrap/>
            <w:vAlign w:val="center"/>
          </w:tcPr>
          <w:p w14:paraId="4D1BE4CC" w14:textId="347C9C75" w:rsidR="009771CF" w:rsidRPr="00E65AA7" w:rsidRDefault="009771CF" w:rsidP="00C46080">
            <w:pPr>
              <w:jc w:val="center"/>
              <w:rPr>
                <w:sz w:val="20"/>
                <w:szCs w:val="20"/>
              </w:rPr>
            </w:pPr>
            <w:r>
              <w:rPr>
                <w:color w:val="000000"/>
                <w:sz w:val="20"/>
                <w:szCs w:val="20"/>
              </w:rPr>
              <w:t>(7.69)</w:t>
            </w:r>
          </w:p>
        </w:tc>
        <w:tc>
          <w:tcPr>
            <w:tcW w:w="345" w:type="pct"/>
            <w:tcBorders>
              <w:top w:val="nil"/>
              <w:left w:val="nil"/>
              <w:bottom w:val="single" w:sz="4" w:space="0" w:color="auto"/>
              <w:right w:val="nil"/>
            </w:tcBorders>
            <w:shd w:val="clear" w:color="auto" w:fill="auto"/>
            <w:noWrap/>
            <w:vAlign w:val="center"/>
          </w:tcPr>
          <w:p w14:paraId="42253516" w14:textId="0DE377FA" w:rsidR="009771CF" w:rsidRPr="00E65AA7" w:rsidRDefault="009771CF" w:rsidP="00C46080">
            <w:pPr>
              <w:jc w:val="center"/>
              <w:rPr>
                <w:sz w:val="20"/>
                <w:szCs w:val="20"/>
              </w:rPr>
            </w:pPr>
            <w:r>
              <w:rPr>
                <w:color w:val="000000"/>
                <w:sz w:val="20"/>
                <w:szCs w:val="20"/>
              </w:rPr>
              <w:t>(6.24)</w:t>
            </w:r>
          </w:p>
        </w:tc>
        <w:tc>
          <w:tcPr>
            <w:tcW w:w="344" w:type="pct"/>
            <w:tcBorders>
              <w:top w:val="nil"/>
              <w:left w:val="nil"/>
              <w:bottom w:val="single" w:sz="4" w:space="0" w:color="auto"/>
              <w:right w:val="nil"/>
            </w:tcBorders>
            <w:shd w:val="clear" w:color="auto" w:fill="auto"/>
            <w:noWrap/>
            <w:vAlign w:val="center"/>
          </w:tcPr>
          <w:p w14:paraId="287268B5" w14:textId="0D1AF0A1" w:rsidR="009771CF" w:rsidRPr="00E65AA7" w:rsidRDefault="009771CF" w:rsidP="00C46080">
            <w:pPr>
              <w:jc w:val="center"/>
              <w:rPr>
                <w:sz w:val="20"/>
                <w:szCs w:val="20"/>
              </w:rPr>
            </w:pPr>
            <w:r>
              <w:rPr>
                <w:color w:val="000000"/>
                <w:sz w:val="20"/>
                <w:szCs w:val="20"/>
              </w:rPr>
              <w:t>(6.06)</w:t>
            </w:r>
          </w:p>
        </w:tc>
        <w:tc>
          <w:tcPr>
            <w:tcW w:w="343" w:type="pct"/>
            <w:tcBorders>
              <w:top w:val="nil"/>
              <w:left w:val="nil"/>
              <w:bottom w:val="single" w:sz="4" w:space="0" w:color="auto"/>
              <w:right w:val="nil"/>
            </w:tcBorders>
            <w:shd w:val="clear" w:color="auto" w:fill="auto"/>
            <w:noWrap/>
            <w:vAlign w:val="center"/>
          </w:tcPr>
          <w:p w14:paraId="4827A7D1" w14:textId="2F9385DD" w:rsidR="009771CF" w:rsidRPr="00E65AA7" w:rsidRDefault="009771CF" w:rsidP="00C46080">
            <w:pPr>
              <w:jc w:val="center"/>
              <w:rPr>
                <w:sz w:val="20"/>
                <w:szCs w:val="20"/>
              </w:rPr>
            </w:pPr>
            <w:r>
              <w:rPr>
                <w:color w:val="000000"/>
                <w:sz w:val="20"/>
                <w:szCs w:val="20"/>
              </w:rPr>
              <w:t>(6.08)</w:t>
            </w:r>
          </w:p>
        </w:tc>
        <w:tc>
          <w:tcPr>
            <w:tcW w:w="343" w:type="pct"/>
            <w:tcBorders>
              <w:top w:val="nil"/>
              <w:left w:val="nil"/>
              <w:bottom w:val="single" w:sz="4" w:space="0" w:color="auto"/>
              <w:right w:val="nil"/>
            </w:tcBorders>
            <w:shd w:val="clear" w:color="auto" w:fill="auto"/>
            <w:noWrap/>
            <w:vAlign w:val="center"/>
          </w:tcPr>
          <w:p w14:paraId="345DE261" w14:textId="4C76A3D9" w:rsidR="009771CF" w:rsidRPr="00E65AA7" w:rsidRDefault="009771CF" w:rsidP="00C46080">
            <w:pPr>
              <w:jc w:val="center"/>
              <w:rPr>
                <w:sz w:val="20"/>
                <w:szCs w:val="20"/>
              </w:rPr>
            </w:pPr>
            <w:r>
              <w:rPr>
                <w:color w:val="000000"/>
                <w:sz w:val="20"/>
                <w:szCs w:val="20"/>
              </w:rPr>
              <w:t>(5.94)</w:t>
            </w:r>
          </w:p>
        </w:tc>
        <w:tc>
          <w:tcPr>
            <w:tcW w:w="343" w:type="pct"/>
            <w:tcBorders>
              <w:top w:val="nil"/>
              <w:left w:val="nil"/>
              <w:bottom w:val="single" w:sz="4" w:space="0" w:color="auto"/>
              <w:right w:val="nil"/>
            </w:tcBorders>
            <w:shd w:val="clear" w:color="auto" w:fill="auto"/>
            <w:noWrap/>
            <w:vAlign w:val="center"/>
          </w:tcPr>
          <w:p w14:paraId="10C27AD5" w14:textId="74AAE6CA" w:rsidR="009771CF" w:rsidRPr="00E65AA7" w:rsidRDefault="009771CF" w:rsidP="00C46080">
            <w:pPr>
              <w:jc w:val="center"/>
              <w:rPr>
                <w:sz w:val="20"/>
                <w:szCs w:val="20"/>
              </w:rPr>
            </w:pPr>
            <w:r>
              <w:rPr>
                <w:color w:val="000000"/>
                <w:sz w:val="20"/>
                <w:szCs w:val="20"/>
              </w:rPr>
              <w:t>(5.61)</w:t>
            </w:r>
          </w:p>
        </w:tc>
        <w:tc>
          <w:tcPr>
            <w:tcW w:w="343" w:type="pct"/>
            <w:tcBorders>
              <w:top w:val="nil"/>
              <w:left w:val="nil"/>
              <w:bottom w:val="single" w:sz="4" w:space="0" w:color="auto"/>
              <w:right w:val="nil"/>
            </w:tcBorders>
            <w:shd w:val="clear" w:color="auto" w:fill="auto"/>
            <w:noWrap/>
            <w:vAlign w:val="center"/>
          </w:tcPr>
          <w:p w14:paraId="0FEEFDD2" w14:textId="448F04D4" w:rsidR="009771CF" w:rsidRPr="00E65AA7" w:rsidRDefault="009771CF" w:rsidP="00C46080">
            <w:pPr>
              <w:jc w:val="center"/>
              <w:rPr>
                <w:sz w:val="20"/>
                <w:szCs w:val="20"/>
              </w:rPr>
            </w:pPr>
            <w:r>
              <w:rPr>
                <w:color w:val="000000"/>
                <w:sz w:val="20"/>
                <w:szCs w:val="20"/>
              </w:rPr>
              <w:t>(5.89)</w:t>
            </w:r>
          </w:p>
        </w:tc>
        <w:tc>
          <w:tcPr>
            <w:tcW w:w="343" w:type="pct"/>
            <w:tcBorders>
              <w:top w:val="nil"/>
              <w:left w:val="nil"/>
              <w:bottom w:val="single" w:sz="4" w:space="0" w:color="auto"/>
              <w:right w:val="nil"/>
            </w:tcBorders>
            <w:shd w:val="clear" w:color="auto" w:fill="auto"/>
            <w:noWrap/>
            <w:vAlign w:val="center"/>
          </w:tcPr>
          <w:p w14:paraId="5E8C1CDB" w14:textId="7ED05BD7" w:rsidR="009771CF" w:rsidRPr="00E65AA7" w:rsidRDefault="009771CF" w:rsidP="00C46080">
            <w:pPr>
              <w:jc w:val="center"/>
              <w:rPr>
                <w:sz w:val="20"/>
                <w:szCs w:val="20"/>
              </w:rPr>
            </w:pPr>
            <w:r>
              <w:rPr>
                <w:color w:val="000000"/>
                <w:sz w:val="20"/>
                <w:szCs w:val="20"/>
              </w:rPr>
              <w:t>(5.38)</w:t>
            </w:r>
          </w:p>
        </w:tc>
        <w:tc>
          <w:tcPr>
            <w:tcW w:w="343" w:type="pct"/>
            <w:tcBorders>
              <w:top w:val="nil"/>
              <w:left w:val="nil"/>
              <w:bottom w:val="single" w:sz="4" w:space="0" w:color="auto"/>
              <w:right w:val="nil"/>
            </w:tcBorders>
            <w:shd w:val="clear" w:color="auto" w:fill="auto"/>
            <w:noWrap/>
            <w:vAlign w:val="center"/>
          </w:tcPr>
          <w:p w14:paraId="403BE6E8" w14:textId="7B574AF6" w:rsidR="009771CF" w:rsidRPr="00E65AA7" w:rsidRDefault="009771CF" w:rsidP="00C46080">
            <w:pPr>
              <w:jc w:val="center"/>
              <w:rPr>
                <w:sz w:val="20"/>
                <w:szCs w:val="20"/>
              </w:rPr>
            </w:pPr>
            <w:r>
              <w:rPr>
                <w:color w:val="000000"/>
                <w:sz w:val="20"/>
                <w:szCs w:val="20"/>
              </w:rPr>
              <w:t>(4.69)</w:t>
            </w:r>
          </w:p>
        </w:tc>
        <w:tc>
          <w:tcPr>
            <w:tcW w:w="343" w:type="pct"/>
            <w:tcBorders>
              <w:top w:val="nil"/>
              <w:left w:val="nil"/>
              <w:bottom w:val="single" w:sz="4" w:space="0" w:color="auto"/>
              <w:right w:val="nil"/>
            </w:tcBorders>
            <w:shd w:val="clear" w:color="auto" w:fill="auto"/>
            <w:noWrap/>
            <w:vAlign w:val="center"/>
          </w:tcPr>
          <w:p w14:paraId="55163AF5" w14:textId="6241B579" w:rsidR="009771CF" w:rsidRPr="00E65AA7" w:rsidRDefault="009771CF" w:rsidP="00C46080">
            <w:pPr>
              <w:jc w:val="center"/>
              <w:rPr>
                <w:sz w:val="20"/>
                <w:szCs w:val="20"/>
              </w:rPr>
            </w:pPr>
            <w:r>
              <w:rPr>
                <w:color w:val="000000"/>
                <w:sz w:val="20"/>
                <w:szCs w:val="20"/>
              </w:rPr>
              <w:t>(3.75)</w:t>
            </w:r>
          </w:p>
        </w:tc>
        <w:tc>
          <w:tcPr>
            <w:tcW w:w="331" w:type="pct"/>
            <w:tcBorders>
              <w:top w:val="nil"/>
              <w:left w:val="nil"/>
              <w:bottom w:val="single" w:sz="4" w:space="0" w:color="auto"/>
              <w:right w:val="nil"/>
            </w:tcBorders>
            <w:shd w:val="clear" w:color="auto" w:fill="auto"/>
            <w:noWrap/>
            <w:vAlign w:val="center"/>
          </w:tcPr>
          <w:p w14:paraId="50E09954" w14:textId="4211CDD7" w:rsidR="009771CF" w:rsidRPr="00E65AA7" w:rsidRDefault="009771CF" w:rsidP="00C46080">
            <w:pPr>
              <w:jc w:val="center"/>
              <w:rPr>
                <w:sz w:val="20"/>
                <w:szCs w:val="20"/>
              </w:rPr>
            </w:pPr>
            <w:r>
              <w:rPr>
                <w:color w:val="000000"/>
                <w:sz w:val="20"/>
                <w:szCs w:val="20"/>
              </w:rPr>
              <w:t>(-7.34)</w:t>
            </w:r>
          </w:p>
        </w:tc>
        <w:tc>
          <w:tcPr>
            <w:tcW w:w="330" w:type="pct"/>
            <w:tcBorders>
              <w:top w:val="nil"/>
              <w:left w:val="nil"/>
              <w:bottom w:val="single" w:sz="4" w:space="0" w:color="auto"/>
              <w:right w:val="nil"/>
            </w:tcBorders>
          </w:tcPr>
          <w:p w14:paraId="49A410EF" w14:textId="77777777" w:rsidR="009771CF" w:rsidRDefault="009771CF" w:rsidP="00C46080">
            <w:pPr>
              <w:jc w:val="center"/>
              <w:rPr>
                <w:color w:val="000000"/>
                <w:sz w:val="20"/>
                <w:szCs w:val="20"/>
              </w:rPr>
            </w:pPr>
          </w:p>
        </w:tc>
      </w:tr>
    </w:tbl>
    <w:p w14:paraId="1EF56012" w14:textId="77777777" w:rsidR="001C2A6B" w:rsidRPr="00E65AA7" w:rsidRDefault="001C2A6B" w:rsidP="001C2A6B"/>
    <w:p w14:paraId="4673512E" w14:textId="77777777" w:rsidR="001C2A6B" w:rsidRPr="00E65AA7" w:rsidRDefault="001C2A6B" w:rsidP="001C2A6B"/>
    <w:p w14:paraId="50FE25DB" w14:textId="77777777" w:rsidR="001C2A6B" w:rsidRPr="00E65AA7" w:rsidRDefault="001C2A6B" w:rsidP="001C2A6B">
      <w:r w:rsidRPr="00E65AA7">
        <w:br w:type="page"/>
      </w:r>
    </w:p>
    <w:p w14:paraId="40FF1BB9" w14:textId="0EDABF9E" w:rsidR="001C2A6B" w:rsidRPr="00E65AA7" w:rsidRDefault="001C2A6B" w:rsidP="001C7F35">
      <w:pPr>
        <w:rPr>
          <w:b/>
          <w:sz w:val="20"/>
          <w:szCs w:val="20"/>
        </w:rPr>
      </w:pPr>
      <w:r w:rsidRPr="00E65AA7">
        <w:rPr>
          <w:b/>
          <w:sz w:val="20"/>
          <w:szCs w:val="20"/>
        </w:rPr>
        <w:lastRenderedPageBreak/>
        <w:t xml:space="preserve">Table </w:t>
      </w:r>
      <w:r w:rsidR="003F2D69">
        <w:rPr>
          <w:b/>
          <w:sz w:val="20"/>
          <w:szCs w:val="20"/>
        </w:rPr>
        <w:t>4</w:t>
      </w:r>
      <w:r w:rsidRPr="00E65AA7">
        <w:rPr>
          <w:b/>
          <w:sz w:val="20"/>
          <w:szCs w:val="20"/>
        </w:rPr>
        <w:t>: Continued</w:t>
      </w:r>
    </w:p>
    <w:tbl>
      <w:tblPr>
        <w:tblW w:w="5000" w:type="pct"/>
        <w:tblLook w:val="04A0" w:firstRow="1" w:lastRow="0" w:firstColumn="1" w:lastColumn="0" w:noHBand="0" w:noVBand="1"/>
      </w:tblPr>
      <w:tblGrid>
        <w:gridCol w:w="1433"/>
        <w:gridCol w:w="682"/>
        <w:gridCol w:w="1013"/>
        <w:gridCol w:w="1013"/>
        <w:gridCol w:w="1013"/>
        <w:gridCol w:w="1013"/>
        <w:gridCol w:w="1013"/>
        <w:gridCol w:w="1013"/>
        <w:gridCol w:w="1013"/>
        <w:gridCol w:w="1013"/>
        <w:gridCol w:w="1013"/>
        <w:gridCol w:w="1013"/>
        <w:gridCol w:w="1013"/>
        <w:gridCol w:w="1093"/>
        <w:gridCol w:w="1047"/>
      </w:tblGrid>
      <w:tr w:rsidR="00FC1344" w:rsidRPr="00E65AA7" w14:paraId="33A23B0D" w14:textId="77777777" w:rsidTr="001C7F35">
        <w:trPr>
          <w:trHeight w:hRule="exact" w:val="255"/>
        </w:trPr>
        <w:tc>
          <w:tcPr>
            <w:tcW w:w="465" w:type="pct"/>
            <w:tcBorders>
              <w:top w:val="single" w:sz="4" w:space="0" w:color="auto"/>
              <w:left w:val="nil"/>
              <w:bottom w:val="single" w:sz="4" w:space="0" w:color="auto"/>
              <w:right w:val="nil"/>
            </w:tcBorders>
            <w:shd w:val="clear" w:color="auto" w:fill="auto"/>
            <w:noWrap/>
            <w:vAlign w:val="center"/>
            <w:hideMark/>
          </w:tcPr>
          <w:p w14:paraId="7BBBA7C4" w14:textId="1553883D" w:rsidR="00FC1344" w:rsidRPr="00E65AA7" w:rsidRDefault="00FC1344" w:rsidP="00E72DFE">
            <w:pPr>
              <w:rPr>
                <w:rFonts w:eastAsia="Times New Roman"/>
                <w:b/>
                <w:color w:val="000000"/>
                <w:sz w:val="20"/>
                <w:szCs w:val="20"/>
                <w:lang w:eastAsia="en-MY"/>
              </w:rPr>
            </w:pPr>
            <w:r w:rsidRPr="00E65AA7">
              <w:rPr>
                <w:rFonts w:eastAsia="Times New Roman"/>
                <w:b/>
                <w:color w:val="000000"/>
                <w:sz w:val="20"/>
                <w:szCs w:val="20"/>
                <w:lang w:eastAsia="en-MY"/>
              </w:rPr>
              <w:t>Sentiment</w:t>
            </w:r>
          </w:p>
        </w:tc>
        <w:tc>
          <w:tcPr>
            <w:tcW w:w="221" w:type="pct"/>
            <w:tcBorders>
              <w:top w:val="single" w:sz="4" w:space="0" w:color="auto"/>
              <w:left w:val="nil"/>
              <w:bottom w:val="single" w:sz="4" w:space="0" w:color="auto"/>
              <w:right w:val="nil"/>
            </w:tcBorders>
            <w:vAlign w:val="center"/>
          </w:tcPr>
          <w:p w14:paraId="691FF5A6"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N</w:t>
            </w:r>
          </w:p>
        </w:tc>
        <w:tc>
          <w:tcPr>
            <w:tcW w:w="329" w:type="pct"/>
            <w:tcBorders>
              <w:top w:val="single" w:sz="4" w:space="0" w:color="auto"/>
              <w:left w:val="nil"/>
              <w:bottom w:val="single" w:sz="4" w:space="0" w:color="auto"/>
              <w:right w:val="nil"/>
            </w:tcBorders>
            <w:shd w:val="clear" w:color="auto" w:fill="auto"/>
            <w:noWrap/>
            <w:vAlign w:val="center"/>
            <w:hideMark/>
          </w:tcPr>
          <w:p w14:paraId="0A1FCD6E"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≤0</w:t>
            </w:r>
          </w:p>
        </w:tc>
        <w:tc>
          <w:tcPr>
            <w:tcW w:w="329" w:type="pct"/>
            <w:tcBorders>
              <w:top w:val="single" w:sz="4" w:space="0" w:color="auto"/>
              <w:left w:val="nil"/>
              <w:bottom w:val="single" w:sz="4" w:space="0" w:color="auto"/>
              <w:right w:val="nil"/>
            </w:tcBorders>
            <w:shd w:val="clear" w:color="auto" w:fill="auto"/>
            <w:vAlign w:val="center"/>
            <w:hideMark/>
          </w:tcPr>
          <w:p w14:paraId="0118AC90"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29" w:type="pct"/>
            <w:tcBorders>
              <w:top w:val="single" w:sz="4" w:space="0" w:color="auto"/>
              <w:left w:val="nil"/>
              <w:bottom w:val="single" w:sz="4" w:space="0" w:color="auto"/>
              <w:right w:val="nil"/>
            </w:tcBorders>
            <w:shd w:val="clear" w:color="auto" w:fill="auto"/>
            <w:vAlign w:val="center"/>
            <w:hideMark/>
          </w:tcPr>
          <w:p w14:paraId="2AA0BB3F"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29" w:type="pct"/>
            <w:tcBorders>
              <w:top w:val="single" w:sz="4" w:space="0" w:color="auto"/>
              <w:left w:val="nil"/>
              <w:bottom w:val="single" w:sz="4" w:space="0" w:color="auto"/>
              <w:right w:val="nil"/>
            </w:tcBorders>
            <w:shd w:val="clear" w:color="auto" w:fill="auto"/>
            <w:vAlign w:val="center"/>
            <w:hideMark/>
          </w:tcPr>
          <w:p w14:paraId="733C3CCC"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29" w:type="pct"/>
            <w:tcBorders>
              <w:top w:val="single" w:sz="4" w:space="0" w:color="auto"/>
              <w:left w:val="nil"/>
              <w:bottom w:val="single" w:sz="4" w:space="0" w:color="auto"/>
              <w:right w:val="nil"/>
            </w:tcBorders>
            <w:shd w:val="clear" w:color="auto" w:fill="auto"/>
            <w:vAlign w:val="center"/>
            <w:hideMark/>
          </w:tcPr>
          <w:p w14:paraId="68F54C70"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29" w:type="pct"/>
            <w:tcBorders>
              <w:top w:val="single" w:sz="4" w:space="0" w:color="auto"/>
              <w:left w:val="nil"/>
              <w:bottom w:val="single" w:sz="4" w:space="0" w:color="auto"/>
              <w:right w:val="nil"/>
            </w:tcBorders>
            <w:shd w:val="clear" w:color="auto" w:fill="auto"/>
            <w:vAlign w:val="center"/>
            <w:hideMark/>
          </w:tcPr>
          <w:p w14:paraId="258263B1"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29" w:type="pct"/>
            <w:tcBorders>
              <w:top w:val="single" w:sz="4" w:space="0" w:color="auto"/>
              <w:left w:val="nil"/>
              <w:bottom w:val="single" w:sz="4" w:space="0" w:color="auto"/>
              <w:right w:val="nil"/>
            </w:tcBorders>
            <w:shd w:val="clear" w:color="auto" w:fill="auto"/>
            <w:vAlign w:val="center"/>
            <w:hideMark/>
          </w:tcPr>
          <w:p w14:paraId="16375292"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29" w:type="pct"/>
            <w:tcBorders>
              <w:top w:val="single" w:sz="4" w:space="0" w:color="auto"/>
              <w:left w:val="nil"/>
              <w:bottom w:val="single" w:sz="4" w:space="0" w:color="auto"/>
              <w:right w:val="nil"/>
            </w:tcBorders>
            <w:shd w:val="clear" w:color="auto" w:fill="auto"/>
            <w:vAlign w:val="center"/>
            <w:hideMark/>
          </w:tcPr>
          <w:p w14:paraId="636779A3"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29" w:type="pct"/>
            <w:tcBorders>
              <w:top w:val="single" w:sz="4" w:space="0" w:color="auto"/>
              <w:left w:val="nil"/>
              <w:bottom w:val="single" w:sz="4" w:space="0" w:color="auto"/>
              <w:right w:val="nil"/>
            </w:tcBorders>
            <w:shd w:val="clear" w:color="auto" w:fill="auto"/>
            <w:vAlign w:val="center"/>
            <w:hideMark/>
          </w:tcPr>
          <w:p w14:paraId="13B250D0"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29" w:type="pct"/>
            <w:tcBorders>
              <w:top w:val="single" w:sz="4" w:space="0" w:color="auto"/>
              <w:left w:val="nil"/>
              <w:bottom w:val="single" w:sz="4" w:space="0" w:color="auto"/>
              <w:right w:val="nil"/>
            </w:tcBorders>
            <w:shd w:val="clear" w:color="auto" w:fill="auto"/>
            <w:vAlign w:val="center"/>
            <w:hideMark/>
          </w:tcPr>
          <w:p w14:paraId="3AD2F2EF"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29" w:type="pct"/>
            <w:tcBorders>
              <w:top w:val="single" w:sz="4" w:space="0" w:color="auto"/>
              <w:left w:val="nil"/>
              <w:bottom w:val="single" w:sz="4" w:space="0" w:color="auto"/>
              <w:right w:val="nil"/>
            </w:tcBorders>
            <w:shd w:val="clear" w:color="auto" w:fill="auto"/>
            <w:vAlign w:val="center"/>
            <w:hideMark/>
          </w:tcPr>
          <w:p w14:paraId="49BE9D94" w14:textId="77777777"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355" w:type="pct"/>
            <w:tcBorders>
              <w:top w:val="single" w:sz="4" w:space="0" w:color="auto"/>
              <w:left w:val="nil"/>
              <w:bottom w:val="single" w:sz="4" w:space="0" w:color="auto"/>
              <w:right w:val="nil"/>
            </w:tcBorders>
            <w:shd w:val="clear" w:color="auto" w:fill="auto"/>
            <w:vAlign w:val="center"/>
            <w:hideMark/>
          </w:tcPr>
          <w:p w14:paraId="30B0200B" w14:textId="2A7BA848" w:rsidR="00FC1344" w:rsidRPr="00E65AA7" w:rsidRDefault="00FC1344"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c>
          <w:tcPr>
            <w:tcW w:w="340" w:type="pct"/>
            <w:tcBorders>
              <w:top w:val="single" w:sz="4" w:space="0" w:color="auto"/>
              <w:left w:val="nil"/>
              <w:bottom w:val="single" w:sz="4" w:space="0" w:color="auto"/>
              <w:right w:val="nil"/>
            </w:tcBorders>
            <w:shd w:val="clear" w:color="auto" w:fill="auto"/>
            <w:vAlign w:val="center"/>
            <w:hideMark/>
          </w:tcPr>
          <w:p w14:paraId="6FCA0156" w14:textId="4441B622" w:rsidR="00FC1344" w:rsidRPr="00E65AA7" w:rsidRDefault="009A3192" w:rsidP="0044114D">
            <w:pPr>
              <w:jc w:val="center"/>
              <w:rPr>
                <w:rFonts w:eastAsia="Times New Roman"/>
                <w:b/>
                <w:bCs/>
                <w:color w:val="000000"/>
                <w:sz w:val="20"/>
                <w:szCs w:val="20"/>
                <w:lang w:eastAsia="en-MY"/>
              </w:rPr>
            </w:pPr>
            <w:r w:rsidRPr="00E65AA7">
              <w:rPr>
                <w:rFonts w:eastAsia="Times New Roman"/>
                <w:b/>
                <w:bCs/>
                <w:color w:val="000000"/>
                <w:sz w:val="20"/>
                <w:szCs w:val="20"/>
                <w:lang w:eastAsia="en-MY"/>
              </w:rPr>
              <w:t>≤0</w:t>
            </w:r>
            <w:r w:rsidR="00E6777E">
              <w:rPr>
                <w:rFonts w:eastAsia="Times New Roman"/>
                <w:b/>
                <w:bCs/>
                <w:color w:val="000000"/>
                <w:sz w:val="20"/>
                <w:szCs w:val="20"/>
                <w:lang w:eastAsia="en-MY"/>
              </w:rPr>
              <w:t xml:space="preserve"> </w:t>
            </w:r>
            <w:r>
              <w:rPr>
                <w:rFonts w:eastAsia="Times New Roman"/>
                <w:b/>
                <w:bCs/>
                <w:color w:val="000000"/>
                <w:sz w:val="20"/>
                <w:szCs w:val="20"/>
                <w:lang w:eastAsia="en-MY"/>
              </w:rPr>
              <w:t>-</w:t>
            </w:r>
            <w:r w:rsidR="00E6777E">
              <w:rPr>
                <w:rFonts w:eastAsia="Times New Roman"/>
                <w:b/>
                <w:bCs/>
                <w:color w:val="000000"/>
                <w:sz w:val="20"/>
                <w:szCs w:val="20"/>
                <w:lang w:eastAsia="en-MY"/>
              </w:rPr>
              <w:t xml:space="preserve"> </w:t>
            </w:r>
            <w:r w:rsidR="00FC1344" w:rsidRPr="00E65AA7">
              <w:rPr>
                <w:rFonts w:eastAsia="Times New Roman"/>
                <w:b/>
                <w:bCs/>
                <w:color w:val="000000"/>
                <w:sz w:val="20"/>
                <w:szCs w:val="20"/>
                <w:lang w:eastAsia="en-MY"/>
              </w:rPr>
              <w:t>≥0</w:t>
            </w:r>
            <w:r w:rsidR="00FC1344">
              <w:rPr>
                <w:rFonts w:eastAsia="Times New Roman"/>
                <w:b/>
                <w:bCs/>
                <w:color w:val="000000"/>
                <w:sz w:val="20"/>
                <w:szCs w:val="20"/>
                <w:lang w:eastAsia="en-MY"/>
              </w:rPr>
              <w:t xml:space="preserve"> </w:t>
            </w:r>
          </w:p>
        </w:tc>
      </w:tr>
      <w:tr w:rsidR="001C7F35" w:rsidRPr="00E65AA7" w14:paraId="507A083D" w14:textId="77777777" w:rsidTr="001C7F35">
        <w:trPr>
          <w:trHeight w:hRule="exact" w:val="255"/>
        </w:trPr>
        <w:tc>
          <w:tcPr>
            <w:tcW w:w="5000" w:type="pct"/>
            <w:gridSpan w:val="15"/>
            <w:tcBorders>
              <w:top w:val="single" w:sz="4" w:space="0" w:color="auto"/>
              <w:left w:val="nil"/>
              <w:bottom w:val="single" w:sz="4" w:space="0" w:color="auto"/>
              <w:right w:val="nil"/>
            </w:tcBorders>
            <w:shd w:val="clear" w:color="auto" w:fill="auto"/>
            <w:noWrap/>
            <w:vAlign w:val="center"/>
          </w:tcPr>
          <w:p w14:paraId="61E2AFAA" w14:textId="4C2D2B03" w:rsidR="001C7F35" w:rsidRPr="00E65AA7" w:rsidRDefault="001C7F35" w:rsidP="0044114D">
            <w:pPr>
              <w:jc w:val="center"/>
              <w:rPr>
                <w:rFonts w:eastAsia="Times New Roman"/>
                <w:b/>
                <w:bCs/>
                <w:color w:val="000000"/>
                <w:sz w:val="20"/>
                <w:szCs w:val="20"/>
                <w:lang w:eastAsia="en-MY"/>
              </w:rPr>
            </w:pPr>
            <w:r>
              <w:rPr>
                <w:rFonts w:eastAsia="Times New Roman"/>
                <w:b/>
                <w:bCs/>
                <w:color w:val="000000"/>
                <w:sz w:val="20"/>
                <w:szCs w:val="20"/>
                <w:lang w:eastAsia="en-MY"/>
              </w:rPr>
              <w:t>Panel D: Earnings-Book Ratio for Profitable F</w:t>
            </w:r>
            <w:r w:rsidRPr="001C7F35">
              <w:rPr>
                <w:rFonts w:eastAsia="Times New Roman"/>
                <w:b/>
                <w:bCs/>
                <w:color w:val="000000"/>
                <w:sz w:val="20"/>
                <w:szCs w:val="20"/>
                <w:lang w:eastAsia="en-MY"/>
              </w:rPr>
              <w:t>irms (E+/BE)</w:t>
            </w:r>
          </w:p>
        </w:tc>
      </w:tr>
      <w:tr w:rsidR="00FC1344" w:rsidRPr="00E65AA7" w14:paraId="511EAA58" w14:textId="77777777" w:rsidTr="001C7F35">
        <w:trPr>
          <w:trHeight w:hRule="exact" w:val="255"/>
        </w:trPr>
        <w:tc>
          <w:tcPr>
            <w:tcW w:w="465" w:type="pct"/>
            <w:vMerge w:val="restart"/>
            <w:tcBorders>
              <w:top w:val="single" w:sz="4" w:space="0" w:color="auto"/>
              <w:left w:val="nil"/>
              <w:bottom w:val="nil"/>
              <w:right w:val="nil"/>
            </w:tcBorders>
            <w:shd w:val="clear" w:color="auto" w:fill="auto"/>
            <w:vAlign w:val="center"/>
            <w:hideMark/>
          </w:tcPr>
          <w:p w14:paraId="7510681F" w14:textId="3B4A16C6" w:rsidR="00FC1344" w:rsidRPr="00E65AA7" w:rsidRDefault="00FC1344" w:rsidP="00464D72">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21" w:type="pct"/>
            <w:vMerge w:val="restart"/>
            <w:tcBorders>
              <w:top w:val="single" w:sz="4" w:space="0" w:color="auto"/>
              <w:left w:val="nil"/>
              <w:right w:val="nil"/>
            </w:tcBorders>
            <w:vAlign w:val="center"/>
          </w:tcPr>
          <w:p w14:paraId="11776945" w14:textId="77777777" w:rsidR="00FC1344" w:rsidRPr="00E65AA7" w:rsidRDefault="00FC1344" w:rsidP="00464D72">
            <w:pPr>
              <w:jc w:val="center"/>
              <w:rPr>
                <w:color w:val="000000"/>
                <w:sz w:val="20"/>
                <w:szCs w:val="20"/>
              </w:rPr>
            </w:pPr>
            <w:r w:rsidRPr="00E65AA7">
              <w:rPr>
                <w:rFonts w:eastAsia="Times New Roman"/>
                <w:color w:val="000000"/>
                <w:sz w:val="20"/>
                <w:szCs w:val="20"/>
                <w:lang w:eastAsia="en-MY"/>
              </w:rPr>
              <w:t>152</w:t>
            </w:r>
          </w:p>
        </w:tc>
        <w:tc>
          <w:tcPr>
            <w:tcW w:w="329" w:type="pct"/>
            <w:tcBorders>
              <w:top w:val="single" w:sz="4" w:space="0" w:color="auto"/>
              <w:left w:val="nil"/>
              <w:bottom w:val="nil"/>
              <w:right w:val="nil"/>
            </w:tcBorders>
            <w:shd w:val="clear" w:color="auto" w:fill="auto"/>
            <w:noWrap/>
            <w:vAlign w:val="center"/>
            <w:hideMark/>
          </w:tcPr>
          <w:p w14:paraId="2D0E4739" w14:textId="4634D952" w:rsidR="00FC1344" w:rsidRPr="00E65AA7" w:rsidRDefault="00FC1344" w:rsidP="00464D72">
            <w:pPr>
              <w:jc w:val="center"/>
              <w:rPr>
                <w:color w:val="000000"/>
                <w:sz w:val="20"/>
                <w:szCs w:val="20"/>
              </w:rPr>
            </w:pPr>
            <w:r>
              <w:rPr>
                <w:color w:val="000000"/>
                <w:sz w:val="20"/>
                <w:szCs w:val="20"/>
              </w:rPr>
              <w:t>3.33</w:t>
            </w:r>
          </w:p>
        </w:tc>
        <w:tc>
          <w:tcPr>
            <w:tcW w:w="329" w:type="pct"/>
            <w:tcBorders>
              <w:top w:val="single" w:sz="4" w:space="0" w:color="auto"/>
              <w:left w:val="nil"/>
              <w:bottom w:val="nil"/>
              <w:right w:val="nil"/>
            </w:tcBorders>
            <w:shd w:val="clear" w:color="auto" w:fill="auto"/>
            <w:noWrap/>
            <w:vAlign w:val="center"/>
            <w:hideMark/>
          </w:tcPr>
          <w:p w14:paraId="17CF104E" w14:textId="3AE6B63F" w:rsidR="00FC1344" w:rsidRPr="00E65AA7" w:rsidRDefault="00FC1344" w:rsidP="00464D72">
            <w:pPr>
              <w:jc w:val="center"/>
              <w:rPr>
                <w:color w:val="000000"/>
                <w:sz w:val="20"/>
                <w:szCs w:val="20"/>
              </w:rPr>
            </w:pPr>
            <w:r>
              <w:rPr>
                <w:color w:val="000000"/>
                <w:sz w:val="20"/>
                <w:szCs w:val="20"/>
              </w:rPr>
              <w:t>2.71</w:t>
            </w:r>
          </w:p>
        </w:tc>
        <w:tc>
          <w:tcPr>
            <w:tcW w:w="329" w:type="pct"/>
            <w:tcBorders>
              <w:top w:val="single" w:sz="4" w:space="0" w:color="auto"/>
              <w:left w:val="nil"/>
              <w:bottom w:val="nil"/>
              <w:right w:val="nil"/>
            </w:tcBorders>
            <w:shd w:val="clear" w:color="auto" w:fill="auto"/>
            <w:noWrap/>
            <w:vAlign w:val="center"/>
            <w:hideMark/>
          </w:tcPr>
          <w:p w14:paraId="7DB13575" w14:textId="1B901DF9" w:rsidR="00FC1344" w:rsidRPr="00E65AA7" w:rsidRDefault="00FC1344" w:rsidP="00464D72">
            <w:pPr>
              <w:jc w:val="center"/>
              <w:rPr>
                <w:color w:val="000000"/>
                <w:sz w:val="20"/>
                <w:szCs w:val="20"/>
              </w:rPr>
            </w:pPr>
            <w:r>
              <w:rPr>
                <w:color w:val="000000"/>
                <w:sz w:val="20"/>
                <w:szCs w:val="20"/>
              </w:rPr>
              <w:t>2.61</w:t>
            </w:r>
          </w:p>
        </w:tc>
        <w:tc>
          <w:tcPr>
            <w:tcW w:w="329" w:type="pct"/>
            <w:tcBorders>
              <w:top w:val="single" w:sz="4" w:space="0" w:color="auto"/>
              <w:left w:val="nil"/>
              <w:bottom w:val="nil"/>
              <w:right w:val="nil"/>
            </w:tcBorders>
            <w:shd w:val="clear" w:color="auto" w:fill="auto"/>
            <w:noWrap/>
            <w:vAlign w:val="center"/>
            <w:hideMark/>
          </w:tcPr>
          <w:p w14:paraId="125CC164" w14:textId="18379DA6" w:rsidR="00FC1344" w:rsidRPr="00E65AA7" w:rsidRDefault="00FC1344" w:rsidP="00464D72">
            <w:pPr>
              <w:jc w:val="center"/>
              <w:rPr>
                <w:color w:val="000000"/>
                <w:sz w:val="20"/>
                <w:szCs w:val="20"/>
              </w:rPr>
            </w:pPr>
            <w:r>
              <w:rPr>
                <w:color w:val="000000"/>
                <w:sz w:val="20"/>
                <w:szCs w:val="20"/>
              </w:rPr>
              <w:t>2.46</w:t>
            </w:r>
          </w:p>
        </w:tc>
        <w:tc>
          <w:tcPr>
            <w:tcW w:w="329" w:type="pct"/>
            <w:tcBorders>
              <w:top w:val="single" w:sz="4" w:space="0" w:color="auto"/>
              <w:left w:val="nil"/>
              <w:bottom w:val="nil"/>
              <w:right w:val="nil"/>
            </w:tcBorders>
            <w:shd w:val="clear" w:color="auto" w:fill="auto"/>
            <w:noWrap/>
            <w:vAlign w:val="center"/>
            <w:hideMark/>
          </w:tcPr>
          <w:p w14:paraId="0B73E4C9" w14:textId="45415EC6" w:rsidR="00FC1344" w:rsidRPr="00E65AA7" w:rsidRDefault="00FC1344" w:rsidP="00464D72">
            <w:pPr>
              <w:jc w:val="center"/>
              <w:rPr>
                <w:color w:val="000000"/>
                <w:sz w:val="20"/>
                <w:szCs w:val="20"/>
              </w:rPr>
            </w:pPr>
            <w:r>
              <w:rPr>
                <w:color w:val="000000"/>
                <w:sz w:val="20"/>
                <w:szCs w:val="20"/>
              </w:rPr>
              <w:t>2.41</w:t>
            </w:r>
          </w:p>
        </w:tc>
        <w:tc>
          <w:tcPr>
            <w:tcW w:w="329" w:type="pct"/>
            <w:tcBorders>
              <w:top w:val="single" w:sz="4" w:space="0" w:color="auto"/>
              <w:left w:val="nil"/>
              <w:bottom w:val="nil"/>
              <w:right w:val="nil"/>
            </w:tcBorders>
            <w:shd w:val="clear" w:color="auto" w:fill="auto"/>
            <w:noWrap/>
            <w:vAlign w:val="center"/>
            <w:hideMark/>
          </w:tcPr>
          <w:p w14:paraId="781CA31F" w14:textId="0E8950F0" w:rsidR="00FC1344" w:rsidRPr="00E65AA7" w:rsidRDefault="00FC1344" w:rsidP="00464D72">
            <w:pPr>
              <w:jc w:val="center"/>
              <w:rPr>
                <w:color w:val="000000"/>
                <w:sz w:val="20"/>
                <w:szCs w:val="20"/>
              </w:rPr>
            </w:pPr>
            <w:r>
              <w:rPr>
                <w:color w:val="000000"/>
                <w:sz w:val="20"/>
                <w:szCs w:val="20"/>
              </w:rPr>
              <w:t>2.35</w:t>
            </w:r>
          </w:p>
        </w:tc>
        <w:tc>
          <w:tcPr>
            <w:tcW w:w="329" w:type="pct"/>
            <w:tcBorders>
              <w:top w:val="single" w:sz="4" w:space="0" w:color="auto"/>
              <w:left w:val="nil"/>
              <w:bottom w:val="nil"/>
              <w:right w:val="nil"/>
            </w:tcBorders>
            <w:shd w:val="clear" w:color="auto" w:fill="auto"/>
            <w:noWrap/>
            <w:vAlign w:val="center"/>
            <w:hideMark/>
          </w:tcPr>
          <w:p w14:paraId="7DAACDA0" w14:textId="324E36A2" w:rsidR="00FC1344" w:rsidRPr="00E65AA7" w:rsidRDefault="00FC1344" w:rsidP="00464D72">
            <w:pPr>
              <w:jc w:val="center"/>
              <w:rPr>
                <w:color w:val="000000"/>
                <w:sz w:val="20"/>
                <w:szCs w:val="20"/>
              </w:rPr>
            </w:pPr>
            <w:r>
              <w:rPr>
                <w:color w:val="000000"/>
                <w:sz w:val="20"/>
                <w:szCs w:val="20"/>
              </w:rPr>
              <w:t>2.31</w:t>
            </w:r>
          </w:p>
        </w:tc>
        <w:tc>
          <w:tcPr>
            <w:tcW w:w="329" w:type="pct"/>
            <w:tcBorders>
              <w:top w:val="single" w:sz="4" w:space="0" w:color="auto"/>
              <w:left w:val="nil"/>
              <w:bottom w:val="nil"/>
              <w:right w:val="nil"/>
            </w:tcBorders>
            <w:shd w:val="clear" w:color="auto" w:fill="auto"/>
            <w:noWrap/>
            <w:vAlign w:val="center"/>
            <w:hideMark/>
          </w:tcPr>
          <w:p w14:paraId="1C9F6C96" w14:textId="004BADC1" w:rsidR="00FC1344" w:rsidRPr="00E65AA7" w:rsidRDefault="00FC1344" w:rsidP="00464D72">
            <w:pPr>
              <w:jc w:val="center"/>
              <w:rPr>
                <w:color w:val="000000"/>
                <w:sz w:val="20"/>
                <w:szCs w:val="20"/>
              </w:rPr>
            </w:pPr>
            <w:r>
              <w:rPr>
                <w:color w:val="000000"/>
                <w:sz w:val="20"/>
                <w:szCs w:val="20"/>
              </w:rPr>
              <w:t>2.44</w:t>
            </w:r>
          </w:p>
        </w:tc>
        <w:tc>
          <w:tcPr>
            <w:tcW w:w="329" w:type="pct"/>
            <w:tcBorders>
              <w:top w:val="single" w:sz="4" w:space="0" w:color="auto"/>
              <w:left w:val="nil"/>
              <w:bottom w:val="nil"/>
              <w:right w:val="nil"/>
            </w:tcBorders>
            <w:shd w:val="clear" w:color="auto" w:fill="auto"/>
            <w:noWrap/>
            <w:vAlign w:val="center"/>
            <w:hideMark/>
          </w:tcPr>
          <w:p w14:paraId="2B157AE7" w14:textId="548A0452" w:rsidR="00FC1344" w:rsidRPr="00E65AA7" w:rsidRDefault="00FC1344" w:rsidP="00464D72">
            <w:pPr>
              <w:jc w:val="center"/>
              <w:rPr>
                <w:color w:val="000000"/>
                <w:sz w:val="20"/>
                <w:szCs w:val="20"/>
              </w:rPr>
            </w:pPr>
            <w:r>
              <w:rPr>
                <w:color w:val="000000"/>
                <w:sz w:val="20"/>
                <w:szCs w:val="20"/>
              </w:rPr>
              <w:t>2.44</w:t>
            </w:r>
          </w:p>
        </w:tc>
        <w:tc>
          <w:tcPr>
            <w:tcW w:w="329" w:type="pct"/>
            <w:tcBorders>
              <w:top w:val="single" w:sz="4" w:space="0" w:color="auto"/>
              <w:left w:val="nil"/>
              <w:bottom w:val="nil"/>
              <w:right w:val="nil"/>
            </w:tcBorders>
            <w:shd w:val="clear" w:color="auto" w:fill="auto"/>
            <w:noWrap/>
            <w:vAlign w:val="center"/>
            <w:hideMark/>
          </w:tcPr>
          <w:p w14:paraId="7218C389" w14:textId="70FA7F73" w:rsidR="00FC1344" w:rsidRPr="00E65AA7" w:rsidRDefault="00FC1344" w:rsidP="00464D72">
            <w:pPr>
              <w:jc w:val="center"/>
              <w:rPr>
                <w:color w:val="000000"/>
                <w:sz w:val="20"/>
                <w:szCs w:val="20"/>
              </w:rPr>
            </w:pPr>
            <w:r>
              <w:rPr>
                <w:color w:val="000000"/>
                <w:sz w:val="20"/>
                <w:szCs w:val="20"/>
              </w:rPr>
              <w:t>2.60</w:t>
            </w:r>
          </w:p>
        </w:tc>
        <w:tc>
          <w:tcPr>
            <w:tcW w:w="329" w:type="pct"/>
            <w:tcBorders>
              <w:top w:val="single" w:sz="4" w:space="0" w:color="auto"/>
              <w:left w:val="nil"/>
              <w:bottom w:val="nil"/>
              <w:right w:val="nil"/>
            </w:tcBorders>
            <w:shd w:val="clear" w:color="auto" w:fill="auto"/>
            <w:noWrap/>
            <w:vAlign w:val="center"/>
            <w:hideMark/>
          </w:tcPr>
          <w:p w14:paraId="3B1253E2" w14:textId="55162F50" w:rsidR="00FC1344" w:rsidRPr="00E65AA7" w:rsidRDefault="00FC1344" w:rsidP="00464D72">
            <w:pPr>
              <w:jc w:val="center"/>
              <w:rPr>
                <w:color w:val="000000"/>
                <w:sz w:val="20"/>
                <w:szCs w:val="20"/>
              </w:rPr>
            </w:pPr>
            <w:r>
              <w:rPr>
                <w:color w:val="000000"/>
                <w:sz w:val="20"/>
                <w:szCs w:val="20"/>
              </w:rPr>
              <w:t>2.75</w:t>
            </w:r>
          </w:p>
        </w:tc>
        <w:tc>
          <w:tcPr>
            <w:tcW w:w="355" w:type="pct"/>
            <w:tcBorders>
              <w:top w:val="single" w:sz="4" w:space="0" w:color="auto"/>
              <w:left w:val="nil"/>
              <w:bottom w:val="nil"/>
              <w:right w:val="nil"/>
            </w:tcBorders>
            <w:shd w:val="clear" w:color="auto" w:fill="auto"/>
            <w:noWrap/>
            <w:vAlign w:val="center"/>
            <w:hideMark/>
          </w:tcPr>
          <w:p w14:paraId="4928DB58" w14:textId="6392AF07" w:rsidR="00FC1344" w:rsidRPr="00E65AA7" w:rsidRDefault="00FC1344" w:rsidP="00464D72">
            <w:pPr>
              <w:jc w:val="center"/>
              <w:rPr>
                <w:color w:val="000000"/>
                <w:sz w:val="20"/>
                <w:szCs w:val="20"/>
              </w:rPr>
            </w:pPr>
            <w:r>
              <w:rPr>
                <w:color w:val="000000"/>
                <w:sz w:val="20"/>
                <w:szCs w:val="20"/>
              </w:rPr>
              <w:t>0.04</w:t>
            </w:r>
          </w:p>
        </w:tc>
        <w:tc>
          <w:tcPr>
            <w:tcW w:w="340" w:type="pct"/>
            <w:tcBorders>
              <w:top w:val="single" w:sz="4" w:space="0" w:color="auto"/>
              <w:left w:val="nil"/>
              <w:bottom w:val="nil"/>
              <w:right w:val="nil"/>
            </w:tcBorders>
            <w:shd w:val="clear" w:color="auto" w:fill="auto"/>
            <w:noWrap/>
            <w:vAlign w:val="center"/>
            <w:hideMark/>
          </w:tcPr>
          <w:p w14:paraId="3F739B6E" w14:textId="3CC7D45B" w:rsidR="00FC1344" w:rsidRPr="00E65AA7" w:rsidRDefault="00FC1344" w:rsidP="00464D72">
            <w:pPr>
              <w:jc w:val="center"/>
              <w:rPr>
                <w:color w:val="000000"/>
                <w:sz w:val="20"/>
                <w:szCs w:val="20"/>
              </w:rPr>
            </w:pPr>
            <w:r>
              <w:rPr>
                <w:color w:val="000000"/>
                <w:sz w:val="20"/>
                <w:szCs w:val="20"/>
              </w:rPr>
              <w:t>0.83</w:t>
            </w:r>
          </w:p>
        </w:tc>
      </w:tr>
      <w:tr w:rsidR="00FC1344" w:rsidRPr="00E65AA7" w14:paraId="5CCF0C4D" w14:textId="77777777" w:rsidTr="001C7F35">
        <w:trPr>
          <w:trHeight w:hRule="exact" w:val="255"/>
        </w:trPr>
        <w:tc>
          <w:tcPr>
            <w:tcW w:w="465" w:type="pct"/>
            <w:vMerge/>
            <w:tcBorders>
              <w:top w:val="nil"/>
              <w:left w:val="nil"/>
              <w:bottom w:val="nil"/>
              <w:right w:val="nil"/>
            </w:tcBorders>
            <w:vAlign w:val="center"/>
            <w:hideMark/>
          </w:tcPr>
          <w:p w14:paraId="7CDCE6BD" w14:textId="77777777" w:rsidR="00FC1344" w:rsidRPr="00E65AA7" w:rsidRDefault="00FC1344" w:rsidP="00464D72">
            <w:pPr>
              <w:rPr>
                <w:rFonts w:eastAsia="Times New Roman"/>
                <w:b/>
                <w:color w:val="000000"/>
                <w:sz w:val="20"/>
                <w:szCs w:val="20"/>
                <w:lang w:eastAsia="en-MY"/>
              </w:rPr>
            </w:pPr>
          </w:p>
        </w:tc>
        <w:tc>
          <w:tcPr>
            <w:tcW w:w="221" w:type="pct"/>
            <w:vMerge/>
            <w:tcBorders>
              <w:left w:val="nil"/>
              <w:bottom w:val="nil"/>
              <w:right w:val="nil"/>
            </w:tcBorders>
            <w:vAlign w:val="center"/>
          </w:tcPr>
          <w:p w14:paraId="418CCA9C" w14:textId="77777777" w:rsidR="00FC1344" w:rsidRPr="00E65AA7" w:rsidRDefault="00FC1344" w:rsidP="00464D72">
            <w:pPr>
              <w:jc w:val="center"/>
              <w:rPr>
                <w:color w:val="000000"/>
                <w:sz w:val="20"/>
                <w:szCs w:val="20"/>
              </w:rPr>
            </w:pPr>
          </w:p>
        </w:tc>
        <w:tc>
          <w:tcPr>
            <w:tcW w:w="329" w:type="pct"/>
            <w:tcBorders>
              <w:top w:val="nil"/>
              <w:left w:val="nil"/>
              <w:bottom w:val="nil"/>
              <w:right w:val="nil"/>
            </w:tcBorders>
            <w:shd w:val="clear" w:color="auto" w:fill="auto"/>
            <w:noWrap/>
            <w:vAlign w:val="center"/>
            <w:hideMark/>
          </w:tcPr>
          <w:p w14:paraId="51459684" w14:textId="52B660D6" w:rsidR="00FC1344" w:rsidRPr="00E65AA7" w:rsidRDefault="00FC1344" w:rsidP="00464D72">
            <w:pPr>
              <w:jc w:val="center"/>
              <w:rPr>
                <w:rFonts w:eastAsia="Times New Roman"/>
                <w:sz w:val="20"/>
                <w:szCs w:val="20"/>
                <w:lang w:eastAsia="en-MY"/>
              </w:rPr>
            </w:pPr>
            <w:r>
              <w:rPr>
                <w:color w:val="000000"/>
                <w:sz w:val="20"/>
                <w:szCs w:val="20"/>
              </w:rPr>
              <w:t>(5.51)</w:t>
            </w:r>
          </w:p>
        </w:tc>
        <w:tc>
          <w:tcPr>
            <w:tcW w:w="329" w:type="pct"/>
            <w:tcBorders>
              <w:top w:val="nil"/>
              <w:left w:val="nil"/>
              <w:bottom w:val="nil"/>
              <w:right w:val="nil"/>
            </w:tcBorders>
            <w:shd w:val="clear" w:color="auto" w:fill="auto"/>
            <w:noWrap/>
            <w:vAlign w:val="center"/>
            <w:hideMark/>
          </w:tcPr>
          <w:p w14:paraId="75AC299B" w14:textId="5D08B20C" w:rsidR="00FC1344" w:rsidRPr="00E65AA7" w:rsidRDefault="00FC1344" w:rsidP="00464D72">
            <w:pPr>
              <w:jc w:val="center"/>
              <w:rPr>
                <w:color w:val="000000"/>
                <w:sz w:val="20"/>
                <w:szCs w:val="20"/>
              </w:rPr>
            </w:pPr>
            <w:r>
              <w:rPr>
                <w:color w:val="000000"/>
                <w:sz w:val="20"/>
                <w:szCs w:val="20"/>
              </w:rPr>
              <w:t>(6.99)</w:t>
            </w:r>
          </w:p>
        </w:tc>
        <w:tc>
          <w:tcPr>
            <w:tcW w:w="329" w:type="pct"/>
            <w:tcBorders>
              <w:top w:val="nil"/>
              <w:left w:val="nil"/>
              <w:bottom w:val="nil"/>
              <w:right w:val="nil"/>
            </w:tcBorders>
            <w:shd w:val="clear" w:color="auto" w:fill="auto"/>
            <w:noWrap/>
            <w:vAlign w:val="center"/>
            <w:hideMark/>
          </w:tcPr>
          <w:p w14:paraId="68C50F79" w14:textId="63A70AE9" w:rsidR="00FC1344" w:rsidRPr="00E65AA7" w:rsidRDefault="00FC1344" w:rsidP="00464D72">
            <w:pPr>
              <w:jc w:val="center"/>
              <w:rPr>
                <w:color w:val="000000"/>
                <w:sz w:val="20"/>
                <w:szCs w:val="20"/>
              </w:rPr>
            </w:pPr>
            <w:r>
              <w:rPr>
                <w:color w:val="000000"/>
                <w:sz w:val="20"/>
                <w:szCs w:val="20"/>
              </w:rPr>
              <w:t>(7.68)</w:t>
            </w:r>
          </w:p>
        </w:tc>
        <w:tc>
          <w:tcPr>
            <w:tcW w:w="329" w:type="pct"/>
            <w:tcBorders>
              <w:top w:val="nil"/>
              <w:left w:val="nil"/>
              <w:bottom w:val="nil"/>
              <w:right w:val="nil"/>
            </w:tcBorders>
            <w:shd w:val="clear" w:color="auto" w:fill="auto"/>
            <w:noWrap/>
            <w:vAlign w:val="center"/>
            <w:hideMark/>
          </w:tcPr>
          <w:p w14:paraId="6AEF9203" w14:textId="1AF4BF62" w:rsidR="00FC1344" w:rsidRPr="00E65AA7" w:rsidRDefault="00FC1344" w:rsidP="00464D72">
            <w:pPr>
              <w:jc w:val="center"/>
              <w:rPr>
                <w:color w:val="000000"/>
                <w:sz w:val="20"/>
                <w:szCs w:val="20"/>
              </w:rPr>
            </w:pPr>
            <w:r>
              <w:rPr>
                <w:color w:val="000000"/>
                <w:sz w:val="20"/>
                <w:szCs w:val="20"/>
              </w:rPr>
              <w:t>(7.59)</w:t>
            </w:r>
          </w:p>
        </w:tc>
        <w:tc>
          <w:tcPr>
            <w:tcW w:w="329" w:type="pct"/>
            <w:tcBorders>
              <w:top w:val="nil"/>
              <w:left w:val="nil"/>
              <w:bottom w:val="nil"/>
              <w:right w:val="nil"/>
            </w:tcBorders>
            <w:shd w:val="clear" w:color="auto" w:fill="auto"/>
            <w:noWrap/>
            <w:vAlign w:val="center"/>
            <w:hideMark/>
          </w:tcPr>
          <w:p w14:paraId="03C15D01" w14:textId="6265CD7A" w:rsidR="00FC1344" w:rsidRPr="00E65AA7" w:rsidRDefault="00FC1344" w:rsidP="00464D72">
            <w:pPr>
              <w:jc w:val="center"/>
              <w:rPr>
                <w:color w:val="000000"/>
                <w:sz w:val="20"/>
                <w:szCs w:val="20"/>
              </w:rPr>
            </w:pPr>
            <w:r>
              <w:rPr>
                <w:color w:val="000000"/>
                <w:sz w:val="20"/>
                <w:szCs w:val="20"/>
              </w:rPr>
              <w:t>(7.54)</w:t>
            </w:r>
          </w:p>
        </w:tc>
        <w:tc>
          <w:tcPr>
            <w:tcW w:w="329" w:type="pct"/>
            <w:tcBorders>
              <w:top w:val="nil"/>
              <w:left w:val="nil"/>
              <w:bottom w:val="nil"/>
              <w:right w:val="nil"/>
            </w:tcBorders>
            <w:shd w:val="clear" w:color="auto" w:fill="auto"/>
            <w:noWrap/>
            <w:vAlign w:val="center"/>
            <w:hideMark/>
          </w:tcPr>
          <w:p w14:paraId="2C198FA9" w14:textId="7481055D" w:rsidR="00FC1344" w:rsidRPr="00E65AA7" w:rsidRDefault="00FC1344" w:rsidP="00464D72">
            <w:pPr>
              <w:jc w:val="center"/>
              <w:rPr>
                <w:color w:val="000000"/>
                <w:sz w:val="20"/>
                <w:szCs w:val="20"/>
              </w:rPr>
            </w:pPr>
            <w:r>
              <w:rPr>
                <w:color w:val="000000"/>
                <w:sz w:val="20"/>
                <w:szCs w:val="20"/>
              </w:rPr>
              <w:t>(7.38)</w:t>
            </w:r>
          </w:p>
        </w:tc>
        <w:tc>
          <w:tcPr>
            <w:tcW w:w="329" w:type="pct"/>
            <w:tcBorders>
              <w:top w:val="nil"/>
              <w:left w:val="nil"/>
              <w:bottom w:val="nil"/>
              <w:right w:val="nil"/>
            </w:tcBorders>
            <w:shd w:val="clear" w:color="auto" w:fill="auto"/>
            <w:noWrap/>
            <w:vAlign w:val="center"/>
            <w:hideMark/>
          </w:tcPr>
          <w:p w14:paraId="6BA904E2" w14:textId="64182DD5" w:rsidR="00FC1344" w:rsidRPr="00E65AA7" w:rsidRDefault="00FC1344" w:rsidP="00464D72">
            <w:pPr>
              <w:jc w:val="center"/>
              <w:rPr>
                <w:color w:val="000000"/>
                <w:sz w:val="20"/>
                <w:szCs w:val="20"/>
              </w:rPr>
            </w:pPr>
            <w:r>
              <w:rPr>
                <w:color w:val="000000"/>
                <w:sz w:val="20"/>
                <w:szCs w:val="20"/>
              </w:rPr>
              <w:t>(7.05)</w:t>
            </w:r>
          </w:p>
        </w:tc>
        <w:tc>
          <w:tcPr>
            <w:tcW w:w="329" w:type="pct"/>
            <w:tcBorders>
              <w:top w:val="nil"/>
              <w:left w:val="nil"/>
              <w:bottom w:val="nil"/>
              <w:right w:val="nil"/>
            </w:tcBorders>
            <w:shd w:val="clear" w:color="auto" w:fill="auto"/>
            <w:noWrap/>
            <w:vAlign w:val="center"/>
            <w:hideMark/>
          </w:tcPr>
          <w:p w14:paraId="4E2D3EAC" w14:textId="5C7CAA27" w:rsidR="00FC1344" w:rsidRPr="00E65AA7" w:rsidRDefault="00FC1344" w:rsidP="00464D72">
            <w:pPr>
              <w:jc w:val="center"/>
              <w:rPr>
                <w:color w:val="000000"/>
                <w:sz w:val="20"/>
                <w:szCs w:val="20"/>
              </w:rPr>
            </w:pPr>
            <w:r>
              <w:rPr>
                <w:color w:val="000000"/>
                <w:sz w:val="20"/>
                <w:szCs w:val="20"/>
              </w:rPr>
              <w:t>(7.2</w:t>
            </w:r>
            <w:r w:rsidR="004D5A47">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hideMark/>
          </w:tcPr>
          <w:p w14:paraId="38CA2DF8" w14:textId="31E74301" w:rsidR="00FC1344" w:rsidRPr="00E65AA7" w:rsidRDefault="00FC1344" w:rsidP="00464D72">
            <w:pPr>
              <w:jc w:val="center"/>
              <w:rPr>
                <w:color w:val="000000"/>
                <w:sz w:val="20"/>
                <w:szCs w:val="20"/>
              </w:rPr>
            </w:pPr>
            <w:r>
              <w:rPr>
                <w:color w:val="000000"/>
                <w:sz w:val="20"/>
                <w:szCs w:val="20"/>
              </w:rPr>
              <w:t>(6.8</w:t>
            </w:r>
            <w:r w:rsidR="004D5A47">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hideMark/>
          </w:tcPr>
          <w:p w14:paraId="3F5242A2" w14:textId="7C63BF26" w:rsidR="00FC1344" w:rsidRPr="00E65AA7" w:rsidRDefault="00FC1344" w:rsidP="00464D72">
            <w:pPr>
              <w:jc w:val="center"/>
              <w:rPr>
                <w:color w:val="000000"/>
                <w:sz w:val="20"/>
                <w:szCs w:val="20"/>
              </w:rPr>
            </w:pPr>
            <w:r>
              <w:rPr>
                <w:color w:val="000000"/>
                <w:sz w:val="20"/>
                <w:szCs w:val="20"/>
              </w:rPr>
              <w:t>(6.88)</w:t>
            </w:r>
          </w:p>
        </w:tc>
        <w:tc>
          <w:tcPr>
            <w:tcW w:w="329" w:type="pct"/>
            <w:tcBorders>
              <w:top w:val="nil"/>
              <w:left w:val="nil"/>
              <w:bottom w:val="nil"/>
              <w:right w:val="nil"/>
            </w:tcBorders>
            <w:shd w:val="clear" w:color="auto" w:fill="auto"/>
            <w:noWrap/>
            <w:vAlign w:val="center"/>
            <w:hideMark/>
          </w:tcPr>
          <w:p w14:paraId="51D31BE4" w14:textId="3B248FDA" w:rsidR="00FC1344" w:rsidRPr="00E65AA7" w:rsidRDefault="00FC1344" w:rsidP="00464D72">
            <w:pPr>
              <w:jc w:val="center"/>
              <w:rPr>
                <w:color w:val="000000"/>
                <w:sz w:val="20"/>
                <w:szCs w:val="20"/>
              </w:rPr>
            </w:pPr>
            <w:r>
              <w:rPr>
                <w:color w:val="000000"/>
                <w:sz w:val="20"/>
                <w:szCs w:val="20"/>
              </w:rPr>
              <w:t>(6.7</w:t>
            </w:r>
            <w:r w:rsidR="004D5A47">
              <w:rPr>
                <w:color w:val="000000"/>
                <w:sz w:val="20"/>
                <w:szCs w:val="20"/>
              </w:rPr>
              <w:t>0</w:t>
            </w:r>
            <w:r>
              <w:rPr>
                <w:color w:val="000000"/>
                <w:sz w:val="20"/>
                <w:szCs w:val="20"/>
              </w:rPr>
              <w:t>)</w:t>
            </w:r>
          </w:p>
        </w:tc>
        <w:tc>
          <w:tcPr>
            <w:tcW w:w="355" w:type="pct"/>
            <w:tcBorders>
              <w:top w:val="nil"/>
              <w:left w:val="nil"/>
              <w:bottom w:val="nil"/>
              <w:right w:val="nil"/>
            </w:tcBorders>
            <w:shd w:val="clear" w:color="auto" w:fill="auto"/>
            <w:noWrap/>
            <w:vAlign w:val="center"/>
            <w:hideMark/>
          </w:tcPr>
          <w:p w14:paraId="2AE1C7E8" w14:textId="0A99C8D4" w:rsidR="00FC1344" w:rsidRPr="00E65AA7" w:rsidRDefault="00FC1344" w:rsidP="00464D72">
            <w:pPr>
              <w:jc w:val="center"/>
              <w:rPr>
                <w:color w:val="000000"/>
                <w:sz w:val="20"/>
                <w:szCs w:val="20"/>
              </w:rPr>
            </w:pPr>
            <w:r>
              <w:rPr>
                <w:color w:val="000000"/>
                <w:sz w:val="20"/>
                <w:szCs w:val="20"/>
              </w:rPr>
              <w:t>(0.26)</w:t>
            </w:r>
          </w:p>
        </w:tc>
        <w:tc>
          <w:tcPr>
            <w:tcW w:w="340" w:type="pct"/>
            <w:tcBorders>
              <w:top w:val="nil"/>
              <w:left w:val="nil"/>
              <w:bottom w:val="nil"/>
              <w:right w:val="nil"/>
            </w:tcBorders>
            <w:shd w:val="clear" w:color="auto" w:fill="auto"/>
            <w:noWrap/>
            <w:vAlign w:val="center"/>
            <w:hideMark/>
          </w:tcPr>
          <w:p w14:paraId="32BECD19" w14:textId="768FF5D7" w:rsidR="00FC1344" w:rsidRPr="00E65AA7" w:rsidRDefault="009A3192" w:rsidP="00464D72">
            <w:pPr>
              <w:jc w:val="center"/>
              <w:rPr>
                <w:rFonts w:eastAsia="Times New Roman"/>
                <w:color w:val="000000"/>
                <w:sz w:val="20"/>
                <w:szCs w:val="20"/>
                <w:lang w:eastAsia="en-MY"/>
              </w:rPr>
            </w:pPr>
            <w:r>
              <w:rPr>
                <w:color w:val="000000"/>
                <w:sz w:val="20"/>
                <w:szCs w:val="20"/>
              </w:rPr>
              <w:t>(</w:t>
            </w:r>
            <w:r w:rsidR="00FC1344">
              <w:rPr>
                <w:color w:val="000000"/>
                <w:sz w:val="20"/>
                <w:szCs w:val="20"/>
              </w:rPr>
              <w:t>2.16)</w:t>
            </w:r>
          </w:p>
        </w:tc>
      </w:tr>
      <w:tr w:rsidR="00FC1344" w:rsidRPr="00E65AA7" w14:paraId="25486114" w14:textId="77777777" w:rsidTr="001C7F35">
        <w:trPr>
          <w:trHeight w:hRule="exact" w:val="255"/>
        </w:trPr>
        <w:tc>
          <w:tcPr>
            <w:tcW w:w="465" w:type="pct"/>
            <w:vMerge w:val="restart"/>
            <w:tcBorders>
              <w:top w:val="nil"/>
              <w:left w:val="nil"/>
              <w:bottom w:val="nil"/>
              <w:right w:val="nil"/>
            </w:tcBorders>
            <w:shd w:val="clear" w:color="auto" w:fill="auto"/>
            <w:noWrap/>
            <w:vAlign w:val="center"/>
            <w:hideMark/>
          </w:tcPr>
          <w:p w14:paraId="4117D55F" w14:textId="4C72B685" w:rsidR="00FC1344" w:rsidRPr="00E65AA7" w:rsidRDefault="00FC1344" w:rsidP="00464D72">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21" w:type="pct"/>
            <w:vMerge w:val="restart"/>
            <w:tcBorders>
              <w:top w:val="nil"/>
              <w:left w:val="nil"/>
              <w:right w:val="nil"/>
            </w:tcBorders>
            <w:vAlign w:val="center"/>
          </w:tcPr>
          <w:p w14:paraId="4A617600" w14:textId="77777777" w:rsidR="00FC1344" w:rsidRPr="00E65AA7" w:rsidRDefault="00FC1344" w:rsidP="00464D72">
            <w:pPr>
              <w:jc w:val="center"/>
              <w:rPr>
                <w:color w:val="000000"/>
                <w:sz w:val="20"/>
                <w:szCs w:val="20"/>
              </w:rPr>
            </w:pPr>
            <w:r w:rsidRPr="00E65AA7">
              <w:rPr>
                <w:rFonts w:eastAsia="Times New Roman"/>
                <w:color w:val="000000"/>
                <w:sz w:val="20"/>
                <w:szCs w:val="20"/>
                <w:lang w:eastAsia="en-MY"/>
              </w:rPr>
              <w:t>170</w:t>
            </w:r>
          </w:p>
        </w:tc>
        <w:tc>
          <w:tcPr>
            <w:tcW w:w="329" w:type="pct"/>
            <w:tcBorders>
              <w:top w:val="nil"/>
              <w:left w:val="nil"/>
              <w:bottom w:val="nil"/>
              <w:right w:val="nil"/>
            </w:tcBorders>
            <w:shd w:val="clear" w:color="auto" w:fill="auto"/>
            <w:noWrap/>
            <w:vAlign w:val="center"/>
            <w:hideMark/>
          </w:tcPr>
          <w:p w14:paraId="17F8CBB3" w14:textId="6ABE6E80" w:rsidR="00FC1344" w:rsidRPr="00E65AA7" w:rsidRDefault="00FC1344" w:rsidP="00464D72">
            <w:pPr>
              <w:jc w:val="center"/>
              <w:rPr>
                <w:rFonts w:eastAsia="Times New Roman"/>
                <w:color w:val="000000"/>
                <w:sz w:val="20"/>
                <w:szCs w:val="20"/>
                <w:lang w:eastAsia="en-MY"/>
              </w:rPr>
            </w:pPr>
            <w:r>
              <w:rPr>
                <w:color w:val="000000"/>
                <w:sz w:val="20"/>
                <w:szCs w:val="20"/>
              </w:rPr>
              <w:t>-1.82</w:t>
            </w:r>
          </w:p>
        </w:tc>
        <w:tc>
          <w:tcPr>
            <w:tcW w:w="329" w:type="pct"/>
            <w:tcBorders>
              <w:top w:val="nil"/>
              <w:left w:val="nil"/>
              <w:bottom w:val="nil"/>
              <w:right w:val="nil"/>
            </w:tcBorders>
            <w:shd w:val="clear" w:color="auto" w:fill="auto"/>
            <w:noWrap/>
            <w:vAlign w:val="center"/>
            <w:hideMark/>
          </w:tcPr>
          <w:p w14:paraId="3EAB4282" w14:textId="351662AF" w:rsidR="00FC1344" w:rsidRPr="00E65AA7" w:rsidRDefault="00FC1344" w:rsidP="00464D72">
            <w:pPr>
              <w:jc w:val="center"/>
              <w:rPr>
                <w:color w:val="000000"/>
                <w:sz w:val="20"/>
                <w:szCs w:val="20"/>
              </w:rPr>
            </w:pPr>
            <w:r>
              <w:rPr>
                <w:color w:val="000000"/>
                <w:sz w:val="20"/>
                <w:szCs w:val="20"/>
              </w:rPr>
              <w:t>-0.69</w:t>
            </w:r>
          </w:p>
        </w:tc>
        <w:tc>
          <w:tcPr>
            <w:tcW w:w="329" w:type="pct"/>
            <w:tcBorders>
              <w:top w:val="nil"/>
              <w:left w:val="nil"/>
              <w:bottom w:val="nil"/>
              <w:right w:val="nil"/>
            </w:tcBorders>
            <w:shd w:val="clear" w:color="auto" w:fill="auto"/>
            <w:noWrap/>
            <w:vAlign w:val="center"/>
            <w:hideMark/>
          </w:tcPr>
          <w:p w14:paraId="4B233CB5" w14:textId="1807CD71" w:rsidR="00FC1344" w:rsidRPr="00E65AA7" w:rsidRDefault="00FC1344" w:rsidP="00464D72">
            <w:pPr>
              <w:jc w:val="center"/>
              <w:rPr>
                <w:color w:val="000000"/>
                <w:sz w:val="20"/>
                <w:szCs w:val="20"/>
              </w:rPr>
            </w:pPr>
            <w:r>
              <w:rPr>
                <w:color w:val="000000"/>
                <w:sz w:val="20"/>
                <w:szCs w:val="20"/>
              </w:rPr>
              <w:t>-0.24</w:t>
            </w:r>
          </w:p>
        </w:tc>
        <w:tc>
          <w:tcPr>
            <w:tcW w:w="329" w:type="pct"/>
            <w:tcBorders>
              <w:top w:val="nil"/>
              <w:left w:val="nil"/>
              <w:bottom w:val="nil"/>
              <w:right w:val="nil"/>
            </w:tcBorders>
            <w:shd w:val="clear" w:color="auto" w:fill="auto"/>
            <w:noWrap/>
            <w:vAlign w:val="center"/>
            <w:hideMark/>
          </w:tcPr>
          <w:p w14:paraId="21DCD089" w14:textId="6F94CE43" w:rsidR="00FC1344" w:rsidRPr="00E65AA7" w:rsidRDefault="00FC1344" w:rsidP="00464D72">
            <w:pPr>
              <w:jc w:val="center"/>
              <w:rPr>
                <w:color w:val="000000"/>
                <w:sz w:val="20"/>
                <w:szCs w:val="20"/>
              </w:rPr>
            </w:pPr>
            <w:r>
              <w:rPr>
                <w:color w:val="000000"/>
                <w:sz w:val="20"/>
                <w:szCs w:val="20"/>
              </w:rPr>
              <w:t>-0.10</w:t>
            </w:r>
          </w:p>
        </w:tc>
        <w:tc>
          <w:tcPr>
            <w:tcW w:w="329" w:type="pct"/>
            <w:tcBorders>
              <w:top w:val="nil"/>
              <w:left w:val="nil"/>
              <w:bottom w:val="nil"/>
              <w:right w:val="nil"/>
            </w:tcBorders>
            <w:shd w:val="clear" w:color="auto" w:fill="auto"/>
            <w:noWrap/>
            <w:vAlign w:val="center"/>
            <w:hideMark/>
          </w:tcPr>
          <w:p w14:paraId="2F38D703" w14:textId="06DF9225" w:rsidR="00FC1344" w:rsidRPr="00E65AA7" w:rsidRDefault="00FC1344" w:rsidP="00464D72">
            <w:pPr>
              <w:jc w:val="center"/>
              <w:rPr>
                <w:color w:val="000000"/>
                <w:sz w:val="20"/>
                <w:szCs w:val="20"/>
              </w:rPr>
            </w:pPr>
            <w:r>
              <w:rPr>
                <w:color w:val="000000"/>
                <w:sz w:val="20"/>
                <w:szCs w:val="20"/>
              </w:rPr>
              <w:t>-0.05</w:t>
            </w:r>
          </w:p>
        </w:tc>
        <w:tc>
          <w:tcPr>
            <w:tcW w:w="329" w:type="pct"/>
            <w:tcBorders>
              <w:top w:val="nil"/>
              <w:left w:val="nil"/>
              <w:bottom w:val="nil"/>
              <w:right w:val="nil"/>
            </w:tcBorders>
            <w:shd w:val="clear" w:color="auto" w:fill="auto"/>
            <w:noWrap/>
            <w:vAlign w:val="center"/>
            <w:hideMark/>
          </w:tcPr>
          <w:p w14:paraId="329D4D41" w14:textId="08A5CD8E" w:rsidR="00FC1344" w:rsidRPr="00E65AA7" w:rsidRDefault="00FC1344" w:rsidP="00464D72">
            <w:pPr>
              <w:jc w:val="center"/>
              <w:rPr>
                <w:color w:val="000000"/>
                <w:sz w:val="20"/>
                <w:szCs w:val="20"/>
              </w:rPr>
            </w:pPr>
            <w:r>
              <w:rPr>
                <w:color w:val="000000"/>
                <w:sz w:val="20"/>
                <w:szCs w:val="20"/>
              </w:rPr>
              <w:t>-0.04</w:t>
            </w:r>
          </w:p>
        </w:tc>
        <w:tc>
          <w:tcPr>
            <w:tcW w:w="329" w:type="pct"/>
            <w:tcBorders>
              <w:top w:val="nil"/>
              <w:left w:val="nil"/>
              <w:bottom w:val="nil"/>
              <w:right w:val="nil"/>
            </w:tcBorders>
            <w:shd w:val="clear" w:color="auto" w:fill="auto"/>
            <w:noWrap/>
            <w:vAlign w:val="center"/>
            <w:hideMark/>
          </w:tcPr>
          <w:p w14:paraId="57A9952C" w14:textId="27B1B5AB" w:rsidR="00FC1344" w:rsidRPr="00E65AA7" w:rsidRDefault="00FC1344" w:rsidP="00464D72">
            <w:pPr>
              <w:jc w:val="center"/>
              <w:rPr>
                <w:color w:val="000000"/>
                <w:sz w:val="20"/>
                <w:szCs w:val="20"/>
              </w:rPr>
            </w:pPr>
            <w:r>
              <w:rPr>
                <w:color w:val="000000"/>
                <w:sz w:val="20"/>
                <w:szCs w:val="20"/>
              </w:rPr>
              <w:t>-0.10</w:t>
            </w:r>
          </w:p>
        </w:tc>
        <w:tc>
          <w:tcPr>
            <w:tcW w:w="329" w:type="pct"/>
            <w:tcBorders>
              <w:top w:val="nil"/>
              <w:left w:val="nil"/>
              <w:bottom w:val="nil"/>
              <w:right w:val="nil"/>
            </w:tcBorders>
            <w:shd w:val="clear" w:color="auto" w:fill="auto"/>
            <w:noWrap/>
            <w:vAlign w:val="center"/>
            <w:hideMark/>
          </w:tcPr>
          <w:p w14:paraId="1FCC9BAB" w14:textId="116D190A" w:rsidR="00FC1344" w:rsidRPr="00E65AA7" w:rsidRDefault="00FC1344" w:rsidP="00464D72">
            <w:pPr>
              <w:jc w:val="center"/>
              <w:rPr>
                <w:color w:val="000000"/>
                <w:sz w:val="20"/>
                <w:szCs w:val="20"/>
              </w:rPr>
            </w:pPr>
            <w:r>
              <w:rPr>
                <w:color w:val="000000"/>
                <w:sz w:val="20"/>
                <w:szCs w:val="20"/>
              </w:rPr>
              <w:t>-0.17</w:t>
            </w:r>
          </w:p>
        </w:tc>
        <w:tc>
          <w:tcPr>
            <w:tcW w:w="329" w:type="pct"/>
            <w:tcBorders>
              <w:top w:val="nil"/>
              <w:left w:val="nil"/>
              <w:bottom w:val="nil"/>
              <w:right w:val="nil"/>
            </w:tcBorders>
            <w:shd w:val="clear" w:color="auto" w:fill="auto"/>
            <w:noWrap/>
            <w:vAlign w:val="center"/>
            <w:hideMark/>
          </w:tcPr>
          <w:p w14:paraId="077CAB11" w14:textId="6ECBEA9B" w:rsidR="00FC1344" w:rsidRPr="00E65AA7" w:rsidRDefault="00FC1344" w:rsidP="00464D72">
            <w:pPr>
              <w:jc w:val="center"/>
              <w:rPr>
                <w:color w:val="000000"/>
                <w:sz w:val="20"/>
                <w:szCs w:val="20"/>
              </w:rPr>
            </w:pPr>
            <w:r>
              <w:rPr>
                <w:color w:val="000000"/>
                <w:sz w:val="20"/>
                <w:szCs w:val="20"/>
              </w:rPr>
              <w:t>-0.20</w:t>
            </w:r>
          </w:p>
        </w:tc>
        <w:tc>
          <w:tcPr>
            <w:tcW w:w="329" w:type="pct"/>
            <w:tcBorders>
              <w:top w:val="nil"/>
              <w:left w:val="nil"/>
              <w:bottom w:val="nil"/>
              <w:right w:val="nil"/>
            </w:tcBorders>
            <w:shd w:val="clear" w:color="auto" w:fill="auto"/>
            <w:noWrap/>
            <w:vAlign w:val="center"/>
            <w:hideMark/>
          </w:tcPr>
          <w:p w14:paraId="54BB6AA4" w14:textId="74330868" w:rsidR="00FC1344" w:rsidRPr="00E65AA7" w:rsidRDefault="00FC1344" w:rsidP="00464D72">
            <w:pPr>
              <w:jc w:val="center"/>
              <w:rPr>
                <w:color w:val="000000"/>
                <w:sz w:val="20"/>
                <w:szCs w:val="20"/>
              </w:rPr>
            </w:pPr>
            <w:r>
              <w:rPr>
                <w:color w:val="000000"/>
                <w:sz w:val="20"/>
                <w:szCs w:val="20"/>
              </w:rPr>
              <w:t>-0.45</w:t>
            </w:r>
          </w:p>
        </w:tc>
        <w:tc>
          <w:tcPr>
            <w:tcW w:w="329" w:type="pct"/>
            <w:tcBorders>
              <w:top w:val="nil"/>
              <w:left w:val="nil"/>
              <w:bottom w:val="nil"/>
              <w:right w:val="nil"/>
            </w:tcBorders>
            <w:shd w:val="clear" w:color="auto" w:fill="auto"/>
            <w:noWrap/>
            <w:vAlign w:val="center"/>
            <w:hideMark/>
          </w:tcPr>
          <w:p w14:paraId="34F6E9A6" w14:textId="103F45D1" w:rsidR="00FC1344" w:rsidRPr="00E65AA7" w:rsidRDefault="00FC1344" w:rsidP="00464D72">
            <w:pPr>
              <w:jc w:val="center"/>
              <w:rPr>
                <w:color w:val="000000"/>
                <w:sz w:val="20"/>
                <w:szCs w:val="20"/>
              </w:rPr>
            </w:pPr>
            <w:r>
              <w:rPr>
                <w:color w:val="000000"/>
                <w:sz w:val="20"/>
                <w:szCs w:val="20"/>
              </w:rPr>
              <w:t>-0.64</w:t>
            </w:r>
          </w:p>
        </w:tc>
        <w:tc>
          <w:tcPr>
            <w:tcW w:w="355" w:type="pct"/>
            <w:tcBorders>
              <w:top w:val="nil"/>
              <w:left w:val="nil"/>
              <w:bottom w:val="nil"/>
              <w:right w:val="nil"/>
            </w:tcBorders>
            <w:shd w:val="clear" w:color="auto" w:fill="auto"/>
            <w:noWrap/>
            <w:vAlign w:val="center"/>
            <w:hideMark/>
          </w:tcPr>
          <w:p w14:paraId="7F6E577F" w14:textId="761FD775" w:rsidR="00FC1344" w:rsidRPr="00E65AA7" w:rsidRDefault="00FC1344" w:rsidP="00464D72">
            <w:pPr>
              <w:jc w:val="center"/>
              <w:rPr>
                <w:color w:val="000000"/>
                <w:sz w:val="20"/>
                <w:szCs w:val="20"/>
              </w:rPr>
            </w:pPr>
            <w:r>
              <w:rPr>
                <w:color w:val="000000"/>
                <w:sz w:val="20"/>
                <w:szCs w:val="20"/>
              </w:rPr>
              <w:t>0.04</w:t>
            </w:r>
          </w:p>
        </w:tc>
        <w:tc>
          <w:tcPr>
            <w:tcW w:w="340" w:type="pct"/>
            <w:tcBorders>
              <w:top w:val="nil"/>
              <w:left w:val="nil"/>
              <w:bottom w:val="nil"/>
              <w:right w:val="nil"/>
            </w:tcBorders>
            <w:shd w:val="clear" w:color="auto" w:fill="auto"/>
            <w:noWrap/>
            <w:vAlign w:val="center"/>
            <w:hideMark/>
          </w:tcPr>
          <w:p w14:paraId="471FAD4E" w14:textId="6BF83DF0" w:rsidR="00FC1344" w:rsidRPr="00E65AA7" w:rsidRDefault="009A3192" w:rsidP="00464D72">
            <w:pPr>
              <w:jc w:val="center"/>
              <w:rPr>
                <w:rFonts w:eastAsia="Times New Roman"/>
                <w:color w:val="000000"/>
                <w:sz w:val="20"/>
                <w:szCs w:val="20"/>
                <w:lang w:eastAsia="en-MY"/>
              </w:rPr>
            </w:pPr>
            <w:r>
              <w:rPr>
                <w:color w:val="000000"/>
                <w:sz w:val="20"/>
                <w:szCs w:val="20"/>
              </w:rPr>
              <w:t>-</w:t>
            </w:r>
            <w:r w:rsidR="00FC1344">
              <w:rPr>
                <w:color w:val="000000"/>
                <w:sz w:val="20"/>
                <w:szCs w:val="20"/>
              </w:rPr>
              <w:t>1.55</w:t>
            </w:r>
          </w:p>
        </w:tc>
      </w:tr>
      <w:tr w:rsidR="00FC1344" w:rsidRPr="00E65AA7" w14:paraId="7ABDA3D4" w14:textId="77777777" w:rsidTr="001C7F35">
        <w:trPr>
          <w:trHeight w:hRule="exact" w:val="255"/>
        </w:trPr>
        <w:tc>
          <w:tcPr>
            <w:tcW w:w="465" w:type="pct"/>
            <w:vMerge/>
            <w:tcBorders>
              <w:top w:val="nil"/>
              <w:left w:val="nil"/>
              <w:bottom w:val="nil"/>
              <w:right w:val="nil"/>
            </w:tcBorders>
            <w:vAlign w:val="center"/>
            <w:hideMark/>
          </w:tcPr>
          <w:p w14:paraId="5CC20F44" w14:textId="77777777" w:rsidR="00FC1344" w:rsidRPr="00E65AA7" w:rsidRDefault="00FC1344" w:rsidP="00464D72">
            <w:pPr>
              <w:rPr>
                <w:rFonts w:eastAsia="Times New Roman"/>
                <w:b/>
                <w:color w:val="000000"/>
                <w:sz w:val="20"/>
                <w:szCs w:val="20"/>
                <w:lang w:eastAsia="en-MY"/>
              </w:rPr>
            </w:pPr>
          </w:p>
        </w:tc>
        <w:tc>
          <w:tcPr>
            <w:tcW w:w="221" w:type="pct"/>
            <w:vMerge/>
            <w:tcBorders>
              <w:left w:val="nil"/>
              <w:bottom w:val="nil"/>
              <w:right w:val="nil"/>
            </w:tcBorders>
            <w:vAlign w:val="center"/>
          </w:tcPr>
          <w:p w14:paraId="1BD08DCE" w14:textId="77777777" w:rsidR="00FC1344" w:rsidRPr="00E65AA7" w:rsidRDefault="00FC1344" w:rsidP="00464D72">
            <w:pPr>
              <w:jc w:val="center"/>
              <w:rPr>
                <w:color w:val="000000"/>
                <w:sz w:val="20"/>
                <w:szCs w:val="20"/>
              </w:rPr>
            </w:pPr>
          </w:p>
        </w:tc>
        <w:tc>
          <w:tcPr>
            <w:tcW w:w="329" w:type="pct"/>
            <w:tcBorders>
              <w:top w:val="nil"/>
              <w:left w:val="nil"/>
              <w:bottom w:val="nil"/>
              <w:right w:val="nil"/>
            </w:tcBorders>
            <w:shd w:val="clear" w:color="auto" w:fill="auto"/>
            <w:noWrap/>
            <w:vAlign w:val="center"/>
            <w:hideMark/>
          </w:tcPr>
          <w:p w14:paraId="2ADCD31B" w14:textId="32E5C1D7" w:rsidR="00FC1344" w:rsidRPr="00E65AA7" w:rsidRDefault="00FC1344" w:rsidP="00464D72">
            <w:pPr>
              <w:jc w:val="center"/>
              <w:rPr>
                <w:rFonts w:eastAsia="Times New Roman"/>
                <w:sz w:val="20"/>
                <w:szCs w:val="20"/>
                <w:lang w:eastAsia="en-MY"/>
              </w:rPr>
            </w:pPr>
            <w:r>
              <w:rPr>
                <w:color w:val="000000"/>
                <w:sz w:val="20"/>
                <w:szCs w:val="20"/>
              </w:rPr>
              <w:t>(-3.27)</w:t>
            </w:r>
          </w:p>
        </w:tc>
        <w:tc>
          <w:tcPr>
            <w:tcW w:w="329" w:type="pct"/>
            <w:tcBorders>
              <w:top w:val="nil"/>
              <w:left w:val="nil"/>
              <w:bottom w:val="nil"/>
              <w:right w:val="nil"/>
            </w:tcBorders>
            <w:shd w:val="clear" w:color="auto" w:fill="auto"/>
            <w:noWrap/>
            <w:vAlign w:val="center"/>
            <w:hideMark/>
          </w:tcPr>
          <w:p w14:paraId="749B8048" w14:textId="40598730" w:rsidR="00FC1344" w:rsidRPr="00E65AA7" w:rsidRDefault="00FC1344" w:rsidP="00464D72">
            <w:pPr>
              <w:jc w:val="center"/>
              <w:rPr>
                <w:color w:val="000000"/>
                <w:sz w:val="20"/>
                <w:szCs w:val="20"/>
              </w:rPr>
            </w:pPr>
            <w:r>
              <w:rPr>
                <w:color w:val="000000"/>
                <w:sz w:val="20"/>
                <w:szCs w:val="20"/>
              </w:rPr>
              <w:t>(-1.65)</w:t>
            </w:r>
          </w:p>
        </w:tc>
        <w:tc>
          <w:tcPr>
            <w:tcW w:w="329" w:type="pct"/>
            <w:tcBorders>
              <w:top w:val="nil"/>
              <w:left w:val="nil"/>
              <w:bottom w:val="nil"/>
              <w:right w:val="nil"/>
            </w:tcBorders>
            <w:shd w:val="clear" w:color="auto" w:fill="auto"/>
            <w:noWrap/>
            <w:vAlign w:val="center"/>
            <w:hideMark/>
          </w:tcPr>
          <w:p w14:paraId="0C954352" w14:textId="44E5DD39" w:rsidR="00FC1344" w:rsidRPr="00E65AA7" w:rsidRDefault="00FC1344" w:rsidP="00464D72">
            <w:pPr>
              <w:jc w:val="center"/>
              <w:rPr>
                <w:color w:val="000000"/>
                <w:sz w:val="20"/>
                <w:szCs w:val="20"/>
              </w:rPr>
            </w:pPr>
            <w:r>
              <w:rPr>
                <w:color w:val="000000"/>
                <w:sz w:val="20"/>
                <w:szCs w:val="20"/>
              </w:rPr>
              <w:t>(-0.63)</w:t>
            </w:r>
          </w:p>
        </w:tc>
        <w:tc>
          <w:tcPr>
            <w:tcW w:w="329" w:type="pct"/>
            <w:tcBorders>
              <w:top w:val="nil"/>
              <w:left w:val="nil"/>
              <w:bottom w:val="nil"/>
              <w:right w:val="nil"/>
            </w:tcBorders>
            <w:shd w:val="clear" w:color="auto" w:fill="auto"/>
            <w:noWrap/>
            <w:vAlign w:val="center"/>
            <w:hideMark/>
          </w:tcPr>
          <w:p w14:paraId="55444953" w14:textId="4B9405DD" w:rsidR="00FC1344" w:rsidRPr="00E65AA7" w:rsidRDefault="00FC1344" w:rsidP="00464D72">
            <w:pPr>
              <w:jc w:val="center"/>
              <w:rPr>
                <w:color w:val="000000"/>
                <w:sz w:val="20"/>
                <w:szCs w:val="20"/>
              </w:rPr>
            </w:pPr>
            <w:r>
              <w:rPr>
                <w:color w:val="000000"/>
                <w:sz w:val="20"/>
                <w:szCs w:val="20"/>
              </w:rPr>
              <w:t>(-0.27)</w:t>
            </w:r>
          </w:p>
        </w:tc>
        <w:tc>
          <w:tcPr>
            <w:tcW w:w="329" w:type="pct"/>
            <w:tcBorders>
              <w:top w:val="nil"/>
              <w:left w:val="nil"/>
              <w:bottom w:val="nil"/>
              <w:right w:val="nil"/>
            </w:tcBorders>
            <w:shd w:val="clear" w:color="auto" w:fill="auto"/>
            <w:noWrap/>
            <w:vAlign w:val="center"/>
            <w:hideMark/>
          </w:tcPr>
          <w:p w14:paraId="37BDD942" w14:textId="2697ACA5" w:rsidR="00FC1344" w:rsidRPr="00E65AA7" w:rsidRDefault="00FC1344" w:rsidP="00464D72">
            <w:pPr>
              <w:jc w:val="center"/>
              <w:rPr>
                <w:color w:val="000000"/>
                <w:sz w:val="20"/>
                <w:szCs w:val="20"/>
              </w:rPr>
            </w:pPr>
            <w:r>
              <w:rPr>
                <w:color w:val="000000"/>
                <w:sz w:val="20"/>
                <w:szCs w:val="20"/>
              </w:rPr>
              <w:t>(-0.14)</w:t>
            </w:r>
          </w:p>
        </w:tc>
        <w:tc>
          <w:tcPr>
            <w:tcW w:w="329" w:type="pct"/>
            <w:tcBorders>
              <w:top w:val="nil"/>
              <w:left w:val="nil"/>
              <w:bottom w:val="nil"/>
              <w:right w:val="nil"/>
            </w:tcBorders>
            <w:shd w:val="clear" w:color="auto" w:fill="auto"/>
            <w:noWrap/>
            <w:vAlign w:val="center"/>
            <w:hideMark/>
          </w:tcPr>
          <w:p w14:paraId="0944863B" w14:textId="244E1901" w:rsidR="00FC1344" w:rsidRPr="00E65AA7" w:rsidRDefault="00FC1344" w:rsidP="00464D72">
            <w:pPr>
              <w:jc w:val="center"/>
              <w:rPr>
                <w:color w:val="000000"/>
                <w:sz w:val="20"/>
                <w:szCs w:val="20"/>
              </w:rPr>
            </w:pPr>
            <w:r>
              <w:rPr>
                <w:color w:val="000000"/>
                <w:sz w:val="20"/>
                <w:szCs w:val="20"/>
              </w:rPr>
              <w:t>(-0.11)</w:t>
            </w:r>
          </w:p>
        </w:tc>
        <w:tc>
          <w:tcPr>
            <w:tcW w:w="329" w:type="pct"/>
            <w:tcBorders>
              <w:top w:val="nil"/>
              <w:left w:val="nil"/>
              <w:bottom w:val="nil"/>
              <w:right w:val="nil"/>
            </w:tcBorders>
            <w:shd w:val="clear" w:color="auto" w:fill="auto"/>
            <w:noWrap/>
            <w:vAlign w:val="center"/>
            <w:hideMark/>
          </w:tcPr>
          <w:p w14:paraId="24DE4354" w14:textId="2D71BF1E" w:rsidR="00FC1344" w:rsidRPr="00E65AA7" w:rsidRDefault="00FC1344" w:rsidP="00464D72">
            <w:pPr>
              <w:jc w:val="center"/>
              <w:rPr>
                <w:color w:val="000000"/>
                <w:sz w:val="20"/>
                <w:szCs w:val="20"/>
              </w:rPr>
            </w:pPr>
            <w:r>
              <w:rPr>
                <w:color w:val="000000"/>
                <w:sz w:val="20"/>
                <w:szCs w:val="20"/>
              </w:rPr>
              <w:t>(-0.26)</w:t>
            </w:r>
          </w:p>
        </w:tc>
        <w:tc>
          <w:tcPr>
            <w:tcW w:w="329" w:type="pct"/>
            <w:tcBorders>
              <w:top w:val="nil"/>
              <w:left w:val="nil"/>
              <w:bottom w:val="nil"/>
              <w:right w:val="nil"/>
            </w:tcBorders>
            <w:shd w:val="clear" w:color="auto" w:fill="auto"/>
            <w:noWrap/>
            <w:vAlign w:val="center"/>
            <w:hideMark/>
          </w:tcPr>
          <w:p w14:paraId="7DC9A256" w14:textId="28B0832F" w:rsidR="00FC1344" w:rsidRPr="00E65AA7" w:rsidRDefault="00FC1344" w:rsidP="00464D72">
            <w:pPr>
              <w:jc w:val="center"/>
              <w:rPr>
                <w:color w:val="000000"/>
                <w:sz w:val="20"/>
                <w:szCs w:val="20"/>
              </w:rPr>
            </w:pPr>
            <w:r>
              <w:rPr>
                <w:color w:val="000000"/>
                <w:sz w:val="20"/>
                <w:szCs w:val="20"/>
              </w:rPr>
              <w:t>(-0.45)</w:t>
            </w:r>
          </w:p>
        </w:tc>
        <w:tc>
          <w:tcPr>
            <w:tcW w:w="329" w:type="pct"/>
            <w:tcBorders>
              <w:top w:val="nil"/>
              <w:left w:val="nil"/>
              <w:bottom w:val="nil"/>
              <w:right w:val="nil"/>
            </w:tcBorders>
            <w:shd w:val="clear" w:color="auto" w:fill="auto"/>
            <w:noWrap/>
            <w:vAlign w:val="center"/>
            <w:hideMark/>
          </w:tcPr>
          <w:p w14:paraId="3B65BF9E" w14:textId="6408A344" w:rsidR="00FC1344" w:rsidRPr="00E65AA7" w:rsidRDefault="00FC1344" w:rsidP="00464D72">
            <w:pPr>
              <w:jc w:val="center"/>
              <w:rPr>
                <w:color w:val="000000"/>
                <w:sz w:val="20"/>
                <w:szCs w:val="20"/>
              </w:rPr>
            </w:pPr>
            <w:r>
              <w:rPr>
                <w:color w:val="000000"/>
                <w:sz w:val="20"/>
                <w:szCs w:val="20"/>
              </w:rPr>
              <w:t>(-0.48)</w:t>
            </w:r>
          </w:p>
        </w:tc>
        <w:tc>
          <w:tcPr>
            <w:tcW w:w="329" w:type="pct"/>
            <w:tcBorders>
              <w:top w:val="nil"/>
              <w:left w:val="nil"/>
              <w:bottom w:val="nil"/>
              <w:right w:val="nil"/>
            </w:tcBorders>
            <w:shd w:val="clear" w:color="auto" w:fill="auto"/>
            <w:noWrap/>
            <w:vAlign w:val="center"/>
            <w:hideMark/>
          </w:tcPr>
          <w:p w14:paraId="4974EC56" w14:textId="698ADB98" w:rsidR="00FC1344" w:rsidRPr="00E65AA7" w:rsidRDefault="00FC1344" w:rsidP="00464D72">
            <w:pPr>
              <w:jc w:val="center"/>
              <w:rPr>
                <w:color w:val="000000"/>
                <w:sz w:val="20"/>
                <w:szCs w:val="20"/>
              </w:rPr>
            </w:pPr>
            <w:r>
              <w:rPr>
                <w:color w:val="000000"/>
                <w:sz w:val="20"/>
                <w:szCs w:val="20"/>
              </w:rPr>
              <w:t>(-1.07)</w:t>
            </w:r>
          </w:p>
        </w:tc>
        <w:tc>
          <w:tcPr>
            <w:tcW w:w="329" w:type="pct"/>
            <w:tcBorders>
              <w:top w:val="nil"/>
              <w:left w:val="nil"/>
              <w:bottom w:val="nil"/>
              <w:right w:val="nil"/>
            </w:tcBorders>
            <w:shd w:val="clear" w:color="auto" w:fill="auto"/>
            <w:noWrap/>
            <w:vAlign w:val="center"/>
            <w:hideMark/>
          </w:tcPr>
          <w:p w14:paraId="259B7436" w14:textId="0847F95D" w:rsidR="00FC1344" w:rsidRPr="00E65AA7" w:rsidRDefault="00FC1344" w:rsidP="00464D72">
            <w:pPr>
              <w:jc w:val="center"/>
              <w:rPr>
                <w:color w:val="000000"/>
                <w:sz w:val="20"/>
                <w:szCs w:val="20"/>
              </w:rPr>
            </w:pPr>
            <w:r>
              <w:rPr>
                <w:color w:val="000000"/>
                <w:sz w:val="20"/>
                <w:szCs w:val="20"/>
              </w:rPr>
              <w:t>(-1.46)</w:t>
            </w:r>
          </w:p>
        </w:tc>
        <w:tc>
          <w:tcPr>
            <w:tcW w:w="355" w:type="pct"/>
            <w:tcBorders>
              <w:top w:val="nil"/>
              <w:left w:val="nil"/>
              <w:bottom w:val="nil"/>
              <w:right w:val="nil"/>
            </w:tcBorders>
            <w:shd w:val="clear" w:color="auto" w:fill="auto"/>
            <w:noWrap/>
            <w:vAlign w:val="center"/>
            <w:hideMark/>
          </w:tcPr>
          <w:p w14:paraId="57C614B5" w14:textId="675FB0C7" w:rsidR="00FC1344" w:rsidRPr="00E65AA7" w:rsidRDefault="00FC1344" w:rsidP="00464D72">
            <w:pPr>
              <w:jc w:val="center"/>
              <w:rPr>
                <w:color w:val="000000"/>
                <w:sz w:val="20"/>
                <w:szCs w:val="20"/>
              </w:rPr>
            </w:pPr>
            <w:r>
              <w:rPr>
                <w:color w:val="000000"/>
                <w:sz w:val="20"/>
                <w:szCs w:val="20"/>
              </w:rPr>
              <w:t>(0.3</w:t>
            </w:r>
            <w:r w:rsidR="004D5A47">
              <w:rPr>
                <w:color w:val="000000"/>
                <w:sz w:val="20"/>
                <w:szCs w:val="20"/>
              </w:rPr>
              <w:t>0</w:t>
            </w:r>
            <w:r>
              <w:rPr>
                <w:color w:val="000000"/>
                <w:sz w:val="20"/>
                <w:szCs w:val="20"/>
              </w:rPr>
              <w:t>)</w:t>
            </w:r>
          </w:p>
        </w:tc>
        <w:tc>
          <w:tcPr>
            <w:tcW w:w="340" w:type="pct"/>
            <w:tcBorders>
              <w:top w:val="nil"/>
              <w:left w:val="nil"/>
              <w:bottom w:val="nil"/>
              <w:right w:val="nil"/>
            </w:tcBorders>
            <w:shd w:val="clear" w:color="auto" w:fill="auto"/>
            <w:noWrap/>
            <w:vAlign w:val="center"/>
            <w:hideMark/>
          </w:tcPr>
          <w:p w14:paraId="65153C78" w14:textId="73DE9359" w:rsidR="00FC1344" w:rsidRPr="00E65AA7" w:rsidRDefault="00FC1344" w:rsidP="00464D72">
            <w:pPr>
              <w:jc w:val="center"/>
              <w:rPr>
                <w:rFonts w:eastAsia="Times New Roman"/>
                <w:color w:val="000000"/>
                <w:sz w:val="20"/>
                <w:szCs w:val="20"/>
                <w:lang w:eastAsia="en-MY"/>
              </w:rPr>
            </w:pPr>
            <w:r>
              <w:rPr>
                <w:color w:val="000000"/>
                <w:sz w:val="20"/>
                <w:szCs w:val="20"/>
              </w:rPr>
              <w:t>(</w:t>
            </w:r>
            <w:r w:rsidR="009A3192">
              <w:rPr>
                <w:color w:val="000000"/>
                <w:sz w:val="20"/>
                <w:szCs w:val="20"/>
              </w:rPr>
              <w:t>-</w:t>
            </w:r>
            <w:r>
              <w:rPr>
                <w:color w:val="000000"/>
                <w:sz w:val="20"/>
                <w:szCs w:val="20"/>
              </w:rPr>
              <w:t>5.19)</w:t>
            </w:r>
          </w:p>
        </w:tc>
      </w:tr>
      <w:tr w:rsidR="00FC1344" w:rsidRPr="00E65AA7" w14:paraId="2D4AEEBA" w14:textId="77777777" w:rsidTr="001C7F35">
        <w:trPr>
          <w:trHeight w:hRule="exact" w:val="255"/>
        </w:trPr>
        <w:tc>
          <w:tcPr>
            <w:tcW w:w="465" w:type="pct"/>
            <w:vMerge w:val="restart"/>
            <w:tcBorders>
              <w:top w:val="nil"/>
              <w:left w:val="nil"/>
              <w:bottom w:val="nil"/>
              <w:right w:val="nil"/>
            </w:tcBorders>
            <w:shd w:val="clear" w:color="auto" w:fill="auto"/>
            <w:noWrap/>
            <w:vAlign w:val="center"/>
            <w:hideMark/>
          </w:tcPr>
          <w:p w14:paraId="1A857CAE" w14:textId="36E7B916" w:rsidR="00FC1344" w:rsidRPr="00E65AA7" w:rsidRDefault="00FC1344" w:rsidP="00464D72">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21" w:type="pct"/>
            <w:vMerge w:val="restart"/>
            <w:tcBorders>
              <w:top w:val="nil"/>
              <w:left w:val="nil"/>
              <w:right w:val="nil"/>
            </w:tcBorders>
            <w:vAlign w:val="center"/>
          </w:tcPr>
          <w:p w14:paraId="0E0CE100" w14:textId="77777777" w:rsidR="00FC1344" w:rsidRPr="00E65AA7" w:rsidRDefault="00FC1344" w:rsidP="00464D72">
            <w:pPr>
              <w:jc w:val="center"/>
              <w:rPr>
                <w:color w:val="000000"/>
                <w:sz w:val="20"/>
                <w:szCs w:val="20"/>
              </w:rPr>
            </w:pPr>
            <w:r w:rsidRPr="00E65AA7">
              <w:rPr>
                <w:rFonts w:eastAsia="Times New Roman"/>
                <w:color w:val="000000"/>
                <w:sz w:val="20"/>
                <w:szCs w:val="20"/>
                <w:lang w:eastAsia="en-MY"/>
              </w:rPr>
              <w:t>124</w:t>
            </w:r>
          </w:p>
        </w:tc>
        <w:tc>
          <w:tcPr>
            <w:tcW w:w="329" w:type="pct"/>
            <w:tcBorders>
              <w:top w:val="nil"/>
              <w:left w:val="nil"/>
              <w:bottom w:val="nil"/>
              <w:right w:val="nil"/>
            </w:tcBorders>
            <w:shd w:val="clear" w:color="auto" w:fill="auto"/>
            <w:noWrap/>
            <w:vAlign w:val="center"/>
            <w:hideMark/>
          </w:tcPr>
          <w:p w14:paraId="1F2082E9" w14:textId="44D84706" w:rsidR="00FC1344" w:rsidRPr="00E65AA7" w:rsidRDefault="00FC1344" w:rsidP="00464D72">
            <w:pPr>
              <w:jc w:val="center"/>
              <w:rPr>
                <w:rFonts w:eastAsia="Times New Roman"/>
                <w:color w:val="000000"/>
                <w:sz w:val="20"/>
                <w:szCs w:val="20"/>
                <w:lang w:eastAsia="en-MY"/>
              </w:rPr>
            </w:pPr>
            <w:r>
              <w:rPr>
                <w:color w:val="000000"/>
                <w:sz w:val="20"/>
                <w:szCs w:val="20"/>
              </w:rPr>
              <w:t>-0.86</w:t>
            </w:r>
          </w:p>
        </w:tc>
        <w:tc>
          <w:tcPr>
            <w:tcW w:w="329" w:type="pct"/>
            <w:tcBorders>
              <w:top w:val="nil"/>
              <w:left w:val="nil"/>
              <w:bottom w:val="nil"/>
              <w:right w:val="nil"/>
            </w:tcBorders>
            <w:shd w:val="clear" w:color="auto" w:fill="auto"/>
            <w:noWrap/>
            <w:vAlign w:val="center"/>
            <w:hideMark/>
          </w:tcPr>
          <w:p w14:paraId="3D4AEA2E" w14:textId="2B62A087" w:rsidR="00FC1344" w:rsidRPr="00E65AA7" w:rsidRDefault="00FC1344" w:rsidP="00464D72">
            <w:pPr>
              <w:jc w:val="center"/>
              <w:rPr>
                <w:color w:val="000000"/>
                <w:sz w:val="20"/>
                <w:szCs w:val="20"/>
              </w:rPr>
            </w:pPr>
            <w:r>
              <w:rPr>
                <w:color w:val="000000"/>
                <w:sz w:val="20"/>
                <w:szCs w:val="20"/>
              </w:rPr>
              <w:t>-0.27</w:t>
            </w:r>
          </w:p>
        </w:tc>
        <w:tc>
          <w:tcPr>
            <w:tcW w:w="329" w:type="pct"/>
            <w:tcBorders>
              <w:top w:val="nil"/>
              <w:left w:val="nil"/>
              <w:bottom w:val="nil"/>
              <w:right w:val="nil"/>
            </w:tcBorders>
            <w:shd w:val="clear" w:color="auto" w:fill="auto"/>
            <w:noWrap/>
            <w:vAlign w:val="center"/>
            <w:hideMark/>
          </w:tcPr>
          <w:p w14:paraId="7E06AFC3" w14:textId="1BC1018F" w:rsidR="00FC1344" w:rsidRPr="00E65AA7" w:rsidRDefault="00FC1344" w:rsidP="00464D72">
            <w:pPr>
              <w:jc w:val="center"/>
              <w:rPr>
                <w:color w:val="000000"/>
                <w:sz w:val="20"/>
                <w:szCs w:val="20"/>
              </w:rPr>
            </w:pPr>
            <w:r>
              <w:rPr>
                <w:color w:val="000000"/>
                <w:sz w:val="20"/>
                <w:szCs w:val="20"/>
              </w:rPr>
              <w:t>-0.17</w:t>
            </w:r>
          </w:p>
        </w:tc>
        <w:tc>
          <w:tcPr>
            <w:tcW w:w="329" w:type="pct"/>
            <w:tcBorders>
              <w:top w:val="nil"/>
              <w:left w:val="nil"/>
              <w:bottom w:val="nil"/>
              <w:right w:val="nil"/>
            </w:tcBorders>
            <w:shd w:val="clear" w:color="auto" w:fill="auto"/>
            <w:noWrap/>
            <w:vAlign w:val="center"/>
            <w:hideMark/>
          </w:tcPr>
          <w:p w14:paraId="6191CFDD" w14:textId="0EC7033E" w:rsidR="00FC1344" w:rsidRPr="00E65AA7" w:rsidRDefault="00FC1344" w:rsidP="00464D72">
            <w:pPr>
              <w:jc w:val="center"/>
              <w:rPr>
                <w:color w:val="000000"/>
                <w:sz w:val="20"/>
                <w:szCs w:val="20"/>
              </w:rPr>
            </w:pPr>
            <w:r>
              <w:rPr>
                <w:color w:val="000000"/>
                <w:sz w:val="20"/>
                <w:szCs w:val="20"/>
              </w:rPr>
              <w:t>-0.03</w:t>
            </w:r>
          </w:p>
        </w:tc>
        <w:tc>
          <w:tcPr>
            <w:tcW w:w="329" w:type="pct"/>
            <w:tcBorders>
              <w:top w:val="nil"/>
              <w:left w:val="nil"/>
              <w:bottom w:val="nil"/>
              <w:right w:val="nil"/>
            </w:tcBorders>
            <w:shd w:val="clear" w:color="auto" w:fill="auto"/>
            <w:noWrap/>
            <w:vAlign w:val="center"/>
            <w:hideMark/>
          </w:tcPr>
          <w:p w14:paraId="31E02D39" w14:textId="799859C8" w:rsidR="00FC1344" w:rsidRPr="00E65AA7" w:rsidRDefault="00FC1344" w:rsidP="00464D72">
            <w:pPr>
              <w:jc w:val="center"/>
              <w:rPr>
                <w:color w:val="000000"/>
                <w:sz w:val="20"/>
                <w:szCs w:val="20"/>
              </w:rPr>
            </w:pPr>
            <w:r>
              <w:rPr>
                <w:color w:val="000000"/>
                <w:sz w:val="20"/>
                <w:szCs w:val="20"/>
              </w:rPr>
              <w:t>-0.06</w:t>
            </w:r>
          </w:p>
        </w:tc>
        <w:tc>
          <w:tcPr>
            <w:tcW w:w="329" w:type="pct"/>
            <w:tcBorders>
              <w:top w:val="nil"/>
              <w:left w:val="nil"/>
              <w:bottom w:val="nil"/>
              <w:right w:val="nil"/>
            </w:tcBorders>
            <w:shd w:val="clear" w:color="auto" w:fill="auto"/>
            <w:noWrap/>
            <w:vAlign w:val="center"/>
            <w:hideMark/>
          </w:tcPr>
          <w:p w14:paraId="0033B8AE" w14:textId="33546999" w:rsidR="00FC1344" w:rsidRPr="00E65AA7" w:rsidRDefault="00FC1344" w:rsidP="00464D72">
            <w:pPr>
              <w:jc w:val="center"/>
              <w:rPr>
                <w:color w:val="000000"/>
                <w:sz w:val="20"/>
                <w:szCs w:val="20"/>
              </w:rPr>
            </w:pPr>
            <w:r>
              <w:rPr>
                <w:color w:val="000000"/>
                <w:sz w:val="20"/>
                <w:szCs w:val="20"/>
              </w:rPr>
              <w:t>0.03</w:t>
            </w:r>
          </w:p>
        </w:tc>
        <w:tc>
          <w:tcPr>
            <w:tcW w:w="329" w:type="pct"/>
            <w:tcBorders>
              <w:top w:val="nil"/>
              <w:left w:val="nil"/>
              <w:bottom w:val="nil"/>
              <w:right w:val="nil"/>
            </w:tcBorders>
            <w:shd w:val="clear" w:color="auto" w:fill="auto"/>
            <w:noWrap/>
            <w:vAlign w:val="center"/>
            <w:hideMark/>
          </w:tcPr>
          <w:p w14:paraId="5B409DF0" w14:textId="3CB3D9EF" w:rsidR="00FC1344" w:rsidRPr="00E65AA7" w:rsidRDefault="00FC1344" w:rsidP="00464D72">
            <w:pPr>
              <w:jc w:val="center"/>
              <w:rPr>
                <w:color w:val="000000"/>
                <w:sz w:val="20"/>
                <w:szCs w:val="20"/>
              </w:rPr>
            </w:pPr>
            <w:r>
              <w:rPr>
                <w:color w:val="000000"/>
                <w:sz w:val="20"/>
                <w:szCs w:val="20"/>
              </w:rPr>
              <w:t>-0.09</w:t>
            </w:r>
          </w:p>
        </w:tc>
        <w:tc>
          <w:tcPr>
            <w:tcW w:w="329" w:type="pct"/>
            <w:tcBorders>
              <w:top w:val="nil"/>
              <w:left w:val="nil"/>
              <w:bottom w:val="nil"/>
              <w:right w:val="nil"/>
            </w:tcBorders>
            <w:shd w:val="clear" w:color="auto" w:fill="auto"/>
            <w:noWrap/>
            <w:vAlign w:val="center"/>
            <w:hideMark/>
          </w:tcPr>
          <w:p w14:paraId="58F7D8E7" w14:textId="09B46E60" w:rsidR="00FC1344" w:rsidRPr="00E65AA7" w:rsidRDefault="00FC1344" w:rsidP="00464D72">
            <w:pPr>
              <w:jc w:val="center"/>
              <w:rPr>
                <w:color w:val="000000"/>
                <w:sz w:val="20"/>
                <w:szCs w:val="20"/>
              </w:rPr>
            </w:pPr>
            <w:r>
              <w:rPr>
                <w:color w:val="000000"/>
                <w:sz w:val="20"/>
                <w:szCs w:val="20"/>
              </w:rPr>
              <w:t>0.00</w:t>
            </w:r>
          </w:p>
        </w:tc>
        <w:tc>
          <w:tcPr>
            <w:tcW w:w="329" w:type="pct"/>
            <w:tcBorders>
              <w:top w:val="nil"/>
              <w:left w:val="nil"/>
              <w:bottom w:val="nil"/>
              <w:right w:val="nil"/>
            </w:tcBorders>
            <w:shd w:val="clear" w:color="auto" w:fill="auto"/>
            <w:noWrap/>
            <w:vAlign w:val="center"/>
            <w:hideMark/>
          </w:tcPr>
          <w:p w14:paraId="3749008B" w14:textId="621527D6" w:rsidR="00FC1344" w:rsidRPr="00E65AA7" w:rsidRDefault="00FC1344" w:rsidP="00464D72">
            <w:pPr>
              <w:jc w:val="center"/>
              <w:rPr>
                <w:color w:val="000000"/>
                <w:sz w:val="20"/>
                <w:szCs w:val="20"/>
              </w:rPr>
            </w:pPr>
            <w:r>
              <w:rPr>
                <w:color w:val="000000"/>
                <w:sz w:val="20"/>
                <w:szCs w:val="20"/>
              </w:rPr>
              <w:t>-0.14</w:t>
            </w:r>
          </w:p>
        </w:tc>
        <w:tc>
          <w:tcPr>
            <w:tcW w:w="329" w:type="pct"/>
            <w:tcBorders>
              <w:top w:val="nil"/>
              <w:left w:val="nil"/>
              <w:bottom w:val="nil"/>
              <w:right w:val="nil"/>
            </w:tcBorders>
            <w:shd w:val="clear" w:color="auto" w:fill="auto"/>
            <w:noWrap/>
            <w:vAlign w:val="center"/>
            <w:hideMark/>
          </w:tcPr>
          <w:p w14:paraId="06A69A2F" w14:textId="60806F7F" w:rsidR="00FC1344" w:rsidRPr="00E65AA7" w:rsidRDefault="00FC1344" w:rsidP="00464D72">
            <w:pPr>
              <w:jc w:val="center"/>
              <w:rPr>
                <w:color w:val="000000"/>
                <w:sz w:val="20"/>
                <w:szCs w:val="20"/>
              </w:rPr>
            </w:pPr>
            <w:r>
              <w:rPr>
                <w:color w:val="000000"/>
                <w:sz w:val="20"/>
                <w:szCs w:val="20"/>
              </w:rPr>
              <w:t>-0.36</w:t>
            </w:r>
          </w:p>
        </w:tc>
        <w:tc>
          <w:tcPr>
            <w:tcW w:w="329" w:type="pct"/>
            <w:tcBorders>
              <w:top w:val="nil"/>
              <w:left w:val="nil"/>
              <w:bottom w:val="nil"/>
              <w:right w:val="nil"/>
            </w:tcBorders>
            <w:shd w:val="clear" w:color="auto" w:fill="auto"/>
            <w:noWrap/>
            <w:vAlign w:val="center"/>
            <w:hideMark/>
          </w:tcPr>
          <w:p w14:paraId="4075ADB4" w14:textId="19AC4459" w:rsidR="00FC1344" w:rsidRPr="00E65AA7" w:rsidRDefault="00FC1344" w:rsidP="00464D72">
            <w:pPr>
              <w:jc w:val="center"/>
              <w:rPr>
                <w:color w:val="000000"/>
                <w:sz w:val="20"/>
                <w:szCs w:val="20"/>
              </w:rPr>
            </w:pPr>
            <w:r>
              <w:rPr>
                <w:color w:val="000000"/>
                <w:sz w:val="20"/>
                <w:szCs w:val="20"/>
              </w:rPr>
              <w:t>-0.45</w:t>
            </w:r>
          </w:p>
        </w:tc>
        <w:tc>
          <w:tcPr>
            <w:tcW w:w="355" w:type="pct"/>
            <w:tcBorders>
              <w:top w:val="nil"/>
              <w:left w:val="nil"/>
              <w:bottom w:val="nil"/>
              <w:right w:val="nil"/>
            </w:tcBorders>
            <w:shd w:val="clear" w:color="auto" w:fill="auto"/>
            <w:noWrap/>
            <w:vAlign w:val="center"/>
            <w:hideMark/>
          </w:tcPr>
          <w:p w14:paraId="7D95A7CE" w14:textId="64B15141" w:rsidR="00FC1344" w:rsidRPr="00E65AA7" w:rsidRDefault="00FC1344" w:rsidP="00464D72">
            <w:pPr>
              <w:jc w:val="center"/>
              <w:rPr>
                <w:color w:val="000000"/>
                <w:sz w:val="20"/>
                <w:szCs w:val="20"/>
              </w:rPr>
            </w:pPr>
            <w:r>
              <w:rPr>
                <w:color w:val="000000"/>
                <w:sz w:val="20"/>
                <w:szCs w:val="20"/>
              </w:rPr>
              <w:t>-0.17</w:t>
            </w:r>
          </w:p>
        </w:tc>
        <w:tc>
          <w:tcPr>
            <w:tcW w:w="340" w:type="pct"/>
            <w:tcBorders>
              <w:top w:val="nil"/>
              <w:left w:val="nil"/>
              <w:bottom w:val="nil"/>
              <w:right w:val="nil"/>
            </w:tcBorders>
            <w:shd w:val="clear" w:color="auto" w:fill="auto"/>
            <w:noWrap/>
            <w:vAlign w:val="center"/>
            <w:hideMark/>
          </w:tcPr>
          <w:p w14:paraId="71538CBC" w14:textId="6346DF7D" w:rsidR="00FC1344" w:rsidRPr="00E65AA7" w:rsidRDefault="009A3192" w:rsidP="00464D72">
            <w:pPr>
              <w:jc w:val="center"/>
              <w:rPr>
                <w:rFonts w:eastAsia="Times New Roman"/>
                <w:color w:val="000000"/>
                <w:sz w:val="20"/>
                <w:szCs w:val="20"/>
                <w:lang w:eastAsia="en-MY"/>
              </w:rPr>
            </w:pPr>
            <w:r>
              <w:rPr>
                <w:color w:val="000000"/>
                <w:sz w:val="20"/>
                <w:szCs w:val="20"/>
              </w:rPr>
              <w:t>-</w:t>
            </w:r>
            <w:r w:rsidR="00FC1344">
              <w:rPr>
                <w:color w:val="000000"/>
                <w:sz w:val="20"/>
                <w:szCs w:val="20"/>
              </w:rPr>
              <w:t>0.71</w:t>
            </w:r>
          </w:p>
        </w:tc>
      </w:tr>
      <w:tr w:rsidR="00FC1344" w:rsidRPr="00E65AA7" w14:paraId="786C44F7" w14:textId="77777777" w:rsidTr="001C7F35">
        <w:trPr>
          <w:trHeight w:hRule="exact" w:val="255"/>
        </w:trPr>
        <w:tc>
          <w:tcPr>
            <w:tcW w:w="465" w:type="pct"/>
            <w:vMerge/>
            <w:tcBorders>
              <w:top w:val="nil"/>
              <w:left w:val="nil"/>
              <w:right w:val="nil"/>
            </w:tcBorders>
            <w:vAlign w:val="center"/>
            <w:hideMark/>
          </w:tcPr>
          <w:p w14:paraId="73E94EDB" w14:textId="77777777" w:rsidR="00FC1344" w:rsidRPr="00E65AA7" w:rsidRDefault="00FC1344" w:rsidP="00464D72">
            <w:pPr>
              <w:rPr>
                <w:rFonts w:eastAsia="Times New Roman"/>
                <w:color w:val="000000"/>
                <w:sz w:val="20"/>
                <w:szCs w:val="20"/>
                <w:lang w:eastAsia="en-MY"/>
              </w:rPr>
            </w:pPr>
          </w:p>
        </w:tc>
        <w:tc>
          <w:tcPr>
            <w:tcW w:w="221" w:type="pct"/>
            <w:vMerge/>
            <w:tcBorders>
              <w:left w:val="nil"/>
              <w:right w:val="nil"/>
            </w:tcBorders>
            <w:vAlign w:val="center"/>
          </w:tcPr>
          <w:p w14:paraId="58830A3D" w14:textId="77777777" w:rsidR="00FC1344" w:rsidRPr="00E65AA7" w:rsidRDefault="00FC1344" w:rsidP="00464D72">
            <w:pPr>
              <w:jc w:val="center"/>
              <w:rPr>
                <w:color w:val="000000"/>
                <w:sz w:val="20"/>
                <w:szCs w:val="20"/>
              </w:rPr>
            </w:pPr>
          </w:p>
        </w:tc>
        <w:tc>
          <w:tcPr>
            <w:tcW w:w="329" w:type="pct"/>
            <w:tcBorders>
              <w:top w:val="nil"/>
              <w:left w:val="nil"/>
              <w:right w:val="nil"/>
            </w:tcBorders>
            <w:shd w:val="clear" w:color="auto" w:fill="auto"/>
            <w:noWrap/>
            <w:vAlign w:val="center"/>
            <w:hideMark/>
          </w:tcPr>
          <w:p w14:paraId="362CA88B" w14:textId="77A88ECD" w:rsidR="00FC1344" w:rsidRPr="00E65AA7" w:rsidRDefault="00FC1344" w:rsidP="00464D72">
            <w:pPr>
              <w:jc w:val="center"/>
              <w:rPr>
                <w:rFonts w:eastAsia="Times New Roman"/>
                <w:sz w:val="20"/>
                <w:szCs w:val="20"/>
                <w:lang w:eastAsia="en-MY"/>
              </w:rPr>
            </w:pPr>
            <w:r>
              <w:rPr>
                <w:color w:val="000000"/>
                <w:sz w:val="20"/>
                <w:szCs w:val="20"/>
              </w:rPr>
              <w:t>(-1.23)</w:t>
            </w:r>
          </w:p>
        </w:tc>
        <w:tc>
          <w:tcPr>
            <w:tcW w:w="329" w:type="pct"/>
            <w:tcBorders>
              <w:top w:val="nil"/>
              <w:left w:val="nil"/>
              <w:right w:val="nil"/>
            </w:tcBorders>
            <w:shd w:val="clear" w:color="auto" w:fill="auto"/>
            <w:noWrap/>
            <w:vAlign w:val="center"/>
            <w:hideMark/>
          </w:tcPr>
          <w:p w14:paraId="6A4AA2ED" w14:textId="4D71F56D" w:rsidR="00FC1344" w:rsidRPr="00E65AA7" w:rsidRDefault="00FC1344" w:rsidP="00464D72">
            <w:pPr>
              <w:jc w:val="center"/>
              <w:rPr>
                <w:color w:val="000000"/>
                <w:sz w:val="20"/>
                <w:szCs w:val="20"/>
              </w:rPr>
            </w:pPr>
            <w:r>
              <w:rPr>
                <w:color w:val="000000"/>
                <w:sz w:val="20"/>
                <w:szCs w:val="20"/>
              </w:rPr>
              <w:t>(-0.49)</w:t>
            </w:r>
          </w:p>
        </w:tc>
        <w:tc>
          <w:tcPr>
            <w:tcW w:w="329" w:type="pct"/>
            <w:tcBorders>
              <w:top w:val="nil"/>
              <w:left w:val="nil"/>
              <w:right w:val="nil"/>
            </w:tcBorders>
            <w:shd w:val="clear" w:color="auto" w:fill="auto"/>
            <w:noWrap/>
            <w:vAlign w:val="center"/>
            <w:hideMark/>
          </w:tcPr>
          <w:p w14:paraId="4C595469" w14:textId="038DBB90" w:rsidR="00FC1344" w:rsidRPr="00E65AA7" w:rsidRDefault="00FC1344" w:rsidP="00464D72">
            <w:pPr>
              <w:jc w:val="center"/>
              <w:rPr>
                <w:color w:val="000000"/>
                <w:sz w:val="20"/>
                <w:szCs w:val="20"/>
              </w:rPr>
            </w:pPr>
            <w:r>
              <w:rPr>
                <w:color w:val="000000"/>
                <w:sz w:val="20"/>
                <w:szCs w:val="20"/>
              </w:rPr>
              <w:t>(-0.33)</w:t>
            </w:r>
          </w:p>
        </w:tc>
        <w:tc>
          <w:tcPr>
            <w:tcW w:w="329" w:type="pct"/>
            <w:tcBorders>
              <w:top w:val="nil"/>
              <w:left w:val="nil"/>
              <w:right w:val="nil"/>
            </w:tcBorders>
            <w:shd w:val="clear" w:color="auto" w:fill="auto"/>
            <w:noWrap/>
            <w:vAlign w:val="center"/>
            <w:hideMark/>
          </w:tcPr>
          <w:p w14:paraId="1A0812B8" w14:textId="011502D3" w:rsidR="00FC1344" w:rsidRPr="00E65AA7" w:rsidRDefault="00FC1344" w:rsidP="00464D72">
            <w:pPr>
              <w:jc w:val="center"/>
              <w:rPr>
                <w:color w:val="000000"/>
                <w:sz w:val="20"/>
                <w:szCs w:val="20"/>
              </w:rPr>
            </w:pPr>
            <w:r>
              <w:rPr>
                <w:color w:val="000000"/>
                <w:sz w:val="20"/>
                <w:szCs w:val="20"/>
              </w:rPr>
              <w:t>(-0.07)</w:t>
            </w:r>
          </w:p>
        </w:tc>
        <w:tc>
          <w:tcPr>
            <w:tcW w:w="329" w:type="pct"/>
            <w:tcBorders>
              <w:top w:val="nil"/>
              <w:left w:val="nil"/>
              <w:right w:val="nil"/>
            </w:tcBorders>
            <w:shd w:val="clear" w:color="auto" w:fill="auto"/>
            <w:noWrap/>
            <w:vAlign w:val="center"/>
            <w:hideMark/>
          </w:tcPr>
          <w:p w14:paraId="42C2D6C3" w14:textId="676A2A01" w:rsidR="00FC1344" w:rsidRPr="00E65AA7" w:rsidRDefault="00FC1344" w:rsidP="00464D72">
            <w:pPr>
              <w:jc w:val="center"/>
              <w:rPr>
                <w:color w:val="000000"/>
                <w:sz w:val="20"/>
                <w:szCs w:val="20"/>
              </w:rPr>
            </w:pPr>
            <w:r>
              <w:rPr>
                <w:color w:val="000000"/>
                <w:sz w:val="20"/>
                <w:szCs w:val="20"/>
              </w:rPr>
              <w:t>(-0.12)</w:t>
            </w:r>
          </w:p>
        </w:tc>
        <w:tc>
          <w:tcPr>
            <w:tcW w:w="329" w:type="pct"/>
            <w:tcBorders>
              <w:top w:val="nil"/>
              <w:left w:val="nil"/>
              <w:right w:val="nil"/>
            </w:tcBorders>
            <w:shd w:val="clear" w:color="auto" w:fill="auto"/>
            <w:noWrap/>
            <w:vAlign w:val="center"/>
            <w:hideMark/>
          </w:tcPr>
          <w:p w14:paraId="47B5E057" w14:textId="4B3C6C35" w:rsidR="00FC1344" w:rsidRPr="00E65AA7" w:rsidRDefault="00FC1344" w:rsidP="00464D72">
            <w:pPr>
              <w:jc w:val="center"/>
              <w:rPr>
                <w:color w:val="000000"/>
                <w:sz w:val="20"/>
                <w:szCs w:val="20"/>
              </w:rPr>
            </w:pPr>
            <w:r>
              <w:rPr>
                <w:color w:val="000000"/>
                <w:sz w:val="20"/>
                <w:szCs w:val="20"/>
              </w:rPr>
              <w:t>(0.05)</w:t>
            </w:r>
          </w:p>
        </w:tc>
        <w:tc>
          <w:tcPr>
            <w:tcW w:w="329" w:type="pct"/>
            <w:tcBorders>
              <w:top w:val="nil"/>
              <w:left w:val="nil"/>
              <w:right w:val="nil"/>
            </w:tcBorders>
            <w:shd w:val="clear" w:color="auto" w:fill="auto"/>
            <w:noWrap/>
            <w:vAlign w:val="center"/>
            <w:hideMark/>
          </w:tcPr>
          <w:p w14:paraId="276C39DB" w14:textId="4D3FCF1C" w:rsidR="00FC1344" w:rsidRPr="00E65AA7" w:rsidRDefault="00FC1344" w:rsidP="00464D72">
            <w:pPr>
              <w:jc w:val="center"/>
              <w:rPr>
                <w:color w:val="000000"/>
                <w:sz w:val="20"/>
                <w:szCs w:val="20"/>
              </w:rPr>
            </w:pPr>
            <w:r>
              <w:rPr>
                <w:color w:val="000000"/>
                <w:sz w:val="20"/>
                <w:szCs w:val="20"/>
              </w:rPr>
              <w:t>(-0.19)</w:t>
            </w:r>
          </w:p>
        </w:tc>
        <w:tc>
          <w:tcPr>
            <w:tcW w:w="329" w:type="pct"/>
            <w:tcBorders>
              <w:top w:val="nil"/>
              <w:left w:val="nil"/>
              <w:right w:val="nil"/>
            </w:tcBorders>
            <w:shd w:val="clear" w:color="auto" w:fill="auto"/>
            <w:noWrap/>
            <w:vAlign w:val="center"/>
            <w:hideMark/>
          </w:tcPr>
          <w:p w14:paraId="7DF44EA3" w14:textId="10C3FD23" w:rsidR="00FC1344" w:rsidRPr="00E65AA7" w:rsidRDefault="00FC1344" w:rsidP="00464D72">
            <w:pPr>
              <w:jc w:val="center"/>
              <w:rPr>
                <w:color w:val="000000"/>
                <w:sz w:val="20"/>
                <w:szCs w:val="20"/>
              </w:rPr>
            </w:pPr>
            <w:r>
              <w:rPr>
                <w:color w:val="000000"/>
                <w:sz w:val="20"/>
                <w:szCs w:val="20"/>
              </w:rPr>
              <w:t>(0</w:t>
            </w:r>
            <w:r w:rsidR="004D5A47">
              <w:rPr>
                <w:color w:val="000000"/>
                <w:sz w:val="20"/>
                <w:szCs w:val="20"/>
              </w:rPr>
              <w:t>.00</w:t>
            </w:r>
            <w:r>
              <w:rPr>
                <w:color w:val="000000"/>
                <w:sz w:val="20"/>
                <w:szCs w:val="20"/>
              </w:rPr>
              <w:t>)</w:t>
            </w:r>
          </w:p>
        </w:tc>
        <w:tc>
          <w:tcPr>
            <w:tcW w:w="329" w:type="pct"/>
            <w:tcBorders>
              <w:top w:val="nil"/>
              <w:left w:val="nil"/>
              <w:right w:val="nil"/>
            </w:tcBorders>
            <w:shd w:val="clear" w:color="auto" w:fill="auto"/>
            <w:noWrap/>
            <w:vAlign w:val="center"/>
            <w:hideMark/>
          </w:tcPr>
          <w:p w14:paraId="2079B961" w14:textId="19F58288" w:rsidR="00FC1344" w:rsidRPr="00E65AA7" w:rsidRDefault="00FC1344" w:rsidP="00464D72">
            <w:pPr>
              <w:jc w:val="center"/>
              <w:rPr>
                <w:color w:val="000000"/>
                <w:sz w:val="20"/>
                <w:szCs w:val="20"/>
              </w:rPr>
            </w:pPr>
            <w:r>
              <w:rPr>
                <w:color w:val="000000"/>
                <w:sz w:val="20"/>
                <w:szCs w:val="20"/>
              </w:rPr>
              <w:t>(-0.27)</w:t>
            </w:r>
          </w:p>
        </w:tc>
        <w:tc>
          <w:tcPr>
            <w:tcW w:w="329" w:type="pct"/>
            <w:tcBorders>
              <w:top w:val="nil"/>
              <w:left w:val="nil"/>
              <w:right w:val="nil"/>
            </w:tcBorders>
            <w:shd w:val="clear" w:color="auto" w:fill="auto"/>
            <w:noWrap/>
            <w:vAlign w:val="center"/>
            <w:hideMark/>
          </w:tcPr>
          <w:p w14:paraId="78C982F2" w14:textId="03911B9E" w:rsidR="00FC1344" w:rsidRPr="00E65AA7" w:rsidRDefault="00FC1344" w:rsidP="00464D72">
            <w:pPr>
              <w:jc w:val="center"/>
              <w:rPr>
                <w:color w:val="000000"/>
                <w:sz w:val="20"/>
                <w:szCs w:val="20"/>
              </w:rPr>
            </w:pPr>
            <w:r>
              <w:rPr>
                <w:color w:val="000000"/>
                <w:sz w:val="20"/>
                <w:szCs w:val="20"/>
              </w:rPr>
              <w:t>(-0.66)</w:t>
            </w:r>
          </w:p>
        </w:tc>
        <w:tc>
          <w:tcPr>
            <w:tcW w:w="329" w:type="pct"/>
            <w:tcBorders>
              <w:top w:val="nil"/>
              <w:left w:val="nil"/>
              <w:right w:val="nil"/>
            </w:tcBorders>
            <w:shd w:val="clear" w:color="auto" w:fill="auto"/>
            <w:noWrap/>
            <w:vAlign w:val="center"/>
            <w:hideMark/>
          </w:tcPr>
          <w:p w14:paraId="65B16D68" w14:textId="7054781D" w:rsidR="00FC1344" w:rsidRPr="00E65AA7" w:rsidRDefault="00FC1344" w:rsidP="00464D72">
            <w:pPr>
              <w:jc w:val="center"/>
              <w:rPr>
                <w:color w:val="000000"/>
                <w:sz w:val="20"/>
                <w:szCs w:val="20"/>
              </w:rPr>
            </w:pPr>
            <w:r>
              <w:rPr>
                <w:color w:val="000000"/>
                <w:sz w:val="20"/>
                <w:szCs w:val="20"/>
              </w:rPr>
              <w:t>(-0.75)</w:t>
            </w:r>
          </w:p>
        </w:tc>
        <w:tc>
          <w:tcPr>
            <w:tcW w:w="355" w:type="pct"/>
            <w:tcBorders>
              <w:top w:val="nil"/>
              <w:left w:val="nil"/>
              <w:right w:val="nil"/>
            </w:tcBorders>
            <w:shd w:val="clear" w:color="auto" w:fill="auto"/>
            <w:noWrap/>
            <w:vAlign w:val="center"/>
            <w:hideMark/>
          </w:tcPr>
          <w:p w14:paraId="62BF1368" w14:textId="18C6E78D" w:rsidR="00FC1344" w:rsidRPr="00E65AA7" w:rsidRDefault="00FC1344" w:rsidP="00464D72">
            <w:pPr>
              <w:jc w:val="center"/>
              <w:rPr>
                <w:color w:val="000000"/>
                <w:sz w:val="20"/>
                <w:szCs w:val="20"/>
              </w:rPr>
            </w:pPr>
            <w:r>
              <w:rPr>
                <w:color w:val="000000"/>
                <w:sz w:val="20"/>
                <w:szCs w:val="20"/>
              </w:rPr>
              <w:t>(-0.89)</w:t>
            </w:r>
          </w:p>
        </w:tc>
        <w:tc>
          <w:tcPr>
            <w:tcW w:w="340" w:type="pct"/>
            <w:tcBorders>
              <w:top w:val="nil"/>
              <w:left w:val="nil"/>
              <w:right w:val="nil"/>
            </w:tcBorders>
            <w:shd w:val="clear" w:color="auto" w:fill="auto"/>
            <w:noWrap/>
            <w:vAlign w:val="center"/>
            <w:hideMark/>
          </w:tcPr>
          <w:p w14:paraId="57587ACF" w14:textId="5611A586" w:rsidR="00FC1344" w:rsidRPr="00E65AA7" w:rsidRDefault="00FC1344" w:rsidP="00464D72">
            <w:pPr>
              <w:jc w:val="center"/>
              <w:rPr>
                <w:rFonts w:eastAsia="Times New Roman"/>
                <w:color w:val="000000"/>
                <w:sz w:val="20"/>
                <w:szCs w:val="20"/>
                <w:lang w:eastAsia="en-MY"/>
              </w:rPr>
            </w:pPr>
            <w:r>
              <w:rPr>
                <w:color w:val="000000"/>
                <w:sz w:val="20"/>
                <w:szCs w:val="20"/>
              </w:rPr>
              <w:t>(</w:t>
            </w:r>
            <w:r w:rsidR="009A3192">
              <w:rPr>
                <w:color w:val="000000"/>
                <w:sz w:val="20"/>
                <w:szCs w:val="20"/>
              </w:rPr>
              <w:t>-</w:t>
            </w:r>
            <w:r>
              <w:rPr>
                <w:color w:val="000000"/>
                <w:sz w:val="20"/>
                <w:szCs w:val="20"/>
              </w:rPr>
              <w:t>2.42)</w:t>
            </w:r>
          </w:p>
        </w:tc>
      </w:tr>
      <w:tr w:rsidR="00FC1344" w:rsidRPr="00E65AA7" w14:paraId="16D7D857" w14:textId="77777777" w:rsidTr="001C7F35">
        <w:trPr>
          <w:trHeight w:hRule="exact" w:val="255"/>
        </w:trPr>
        <w:tc>
          <w:tcPr>
            <w:tcW w:w="465" w:type="pct"/>
            <w:vMerge w:val="restart"/>
            <w:tcBorders>
              <w:top w:val="nil"/>
              <w:left w:val="nil"/>
              <w:right w:val="nil"/>
            </w:tcBorders>
            <w:vAlign w:val="center"/>
          </w:tcPr>
          <w:p w14:paraId="209B76A5" w14:textId="5D50B531" w:rsidR="00FC1344" w:rsidRPr="00E65AA7" w:rsidRDefault="00FC1344" w:rsidP="00464D72">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21" w:type="pct"/>
            <w:vMerge w:val="restart"/>
            <w:tcBorders>
              <w:top w:val="nil"/>
              <w:left w:val="nil"/>
              <w:right w:val="nil"/>
            </w:tcBorders>
            <w:vAlign w:val="center"/>
          </w:tcPr>
          <w:p w14:paraId="072356CF" w14:textId="77777777" w:rsidR="00FC1344" w:rsidRPr="00E65AA7" w:rsidRDefault="00FC1344" w:rsidP="00464D72">
            <w:pPr>
              <w:jc w:val="center"/>
              <w:rPr>
                <w:color w:val="000000"/>
                <w:sz w:val="20"/>
                <w:szCs w:val="20"/>
              </w:rPr>
            </w:pPr>
            <w:r w:rsidRPr="00E65AA7">
              <w:rPr>
                <w:rFonts w:eastAsia="Times New Roman"/>
                <w:color w:val="000000"/>
                <w:sz w:val="20"/>
                <w:szCs w:val="20"/>
                <w:lang w:eastAsia="en-MY"/>
              </w:rPr>
              <w:t>147</w:t>
            </w:r>
          </w:p>
        </w:tc>
        <w:tc>
          <w:tcPr>
            <w:tcW w:w="329" w:type="pct"/>
            <w:tcBorders>
              <w:top w:val="nil"/>
              <w:left w:val="nil"/>
              <w:right w:val="nil"/>
            </w:tcBorders>
            <w:shd w:val="clear" w:color="auto" w:fill="auto"/>
            <w:noWrap/>
            <w:vAlign w:val="center"/>
          </w:tcPr>
          <w:p w14:paraId="71C605E2" w14:textId="179A1966" w:rsidR="00FC1344" w:rsidRPr="00E65AA7" w:rsidRDefault="00FC1344" w:rsidP="00464D72">
            <w:pPr>
              <w:jc w:val="center"/>
              <w:rPr>
                <w:color w:val="000000"/>
                <w:sz w:val="20"/>
                <w:szCs w:val="20"/>
              </w:rPr>
            </w:pPr>
            <w:r>
              <w:rPr>
                <w:color w:val="000000"/>
                <w:sz w:val="20"/>
                <w:szCs w:val="20"/>
              </w:rPr>
              <w:t>5.26</w:t>
            </w:r>
          </w:p>
        </w:tc>
        <w:tc>
          <w:tcPr>
            <w:tcW w:w="329" w:type="pct"/>
            <w:tcBorders>
              <w:top w:val="nil"/>
              <w:left w:val="nil"/>
              <w:right w:val="nil"/>
            </w:tcBorders>
            <w:shd w:val="clear" w:color="auto" w:fill="auto"/>
            <w:noWrap/>
            <w:vAlign w:val="center"/>
          </w:tcPr>
          <w:p w14:paraId="54DCA244" w14:textId="11094A5B" w:rsidR="00FC1344" w:rsidRPr="00E65AA7" w:rsidRDefault="00FC1344" w:rsidP="00464D72">
            <w:pPr>
              <w:jc w:val="center"/>
              <w:rPr>
                <w:color w:val="000000"/>
                <w:sz w:val="20"/>
                <w:szCs w:val="20"/>
              </w:rPr>
            </w:pPr>
            <w:r>
              <w:rPr>
                <w:color w:val="000000"/>
                <w:sz w:val="20"/>
                <w:szCs w:val="20"/>
              </w:rPr>
              <w:t>3.95</w:t>
            </w:r>
          </w:p>
        </w:tc>
        <w:tc>
          <w:tcPr>
            <w:tcW w:w="329" w:type="pct"/>
            <w:tcBorders>
              <w:top w:val="nil"/>
              <w:left w:val="nil"/>
              <w:right w:val="nil"/>
            </w:tcBorders>
            <w:shd w:val="clear" w:color="auto" w:fill="auto"/>
            <w:noWrap/>
            <w:vAlign w:val="center"/>
          </w:tcPr>
          <w:p w14:paraId="2F49EB96" w14:textId="4E0D7552" w:rsidR="00FC1344" w:rsidRPr="00E65AA7" w:rsidRDefault="00FC1344" w:rsidP="00464D72">
            <w:pPr>
              <w:jc w:val="center"/>
              <w:rPr>
                <w:color w:val="000000"/>
                <w:sz w:val="20"/>
                <w:szCs w:val="20"/>
              </w:rPr>
            </w:pPr>
            <w:r>
              <w:rPr>
                <w:color w:val="000000"/>
                <w:sz w:val="20"/>
                <w:szCs w:val="20"/>
              </w:rPr>
              <w:t>3.05</w:t>
            </w:r>
          </w:p>
        </w:tc>
        <w:tc>
          <w:tcPr>
            <w:tcW w:w="329" w:type="pct"/>
            <w:tcBorders>
              <w:top w:val="nil"/>
              <w:left w:val="nil"/>
              <w:right w:val="nil"/>
            </w:tcBorders>
            <w:shd w:val="clear" w:color="auto" w:fill="auto"/>
            <w:noWrap/>
            <w:vAlign w:val="center"/>
          </w:tcPr>
          <w:p w14:paraId="41DFAE03" w14:textId="32A0F832" w:rsidR="00FC1344" w:rsidRPr="00E65AA7" w:rsidRDefault="00FC1344" w:rsidP="00464D72">
            <w:pPr>
              <w:jc w:val="center"/>
              <w:rPr>
                <w:color w:val="000000"/>
                <w:sz w:val="20"/>
                <w:szCs w:val="20"/>
              </w:rPr>
            </w:pPr>
            <w:r>
              <w:rPr>
                <w:color w:val="000000"/>
                <w:sz w:val="20"/>
                <w:szCs w:val="20"/>
              </w:rPr>
              <w:t>2.86</w:t>
            </w:r>
          </w:p>
        </w:tc>
        <w:tc>
          <w:tcPr>
            <w:tcW w:w="329" w:type="pct"/>
            <w:tcBorders>
              <w:top w:val="nil"/>
              <w:left w:val="nil"/>
              <w:right w:val="nil"/>
            </w:tcBorders>
            <w:shd w:val="clear" w:color="auto" w:fill="auto"/>
            <w:noWrap/>
            <w:vAlign w:val="center"/>
          </w:tcPr>
          <w:p w14:paraId="3D237EBC" w14:textId="127AD063" w:rsidR="00FC1344" w:rsidRPr="00E65AA7" w:rsidRDefault="00FC1344" w:rsidP="00464D72">
            <w:pPr>
              <w:jc w:val="center"/>
              <w:rPr>
                <w:color w:val="000000"/>
                <w:sz w:val="20"/>
                <w:szCs w:val="20"/>
              </w:rPr>
            </w:pPr>
            <w:r>
              <w:rPr>
                <w:color w:val="000000"/>
                <w:sz w:val="20"/>
                <w:szCs w:val="20"/>
              </w:rPr>
              <w:t>2.65</w:t>
            </w:r>
          </w:p>
        </w:tc>
        <w:tc>
          <w:tcPr>
            <w:tcW w:w="329" w:type="pct"/>
            <w:tcBorders>
              <w:top w:val="nil"/>
              <w:left w:val="nil"/>
              <w:right w:val="nil"/>
            </w:tcBorders>
            <w:shd w:val="clear" w:color="auto" w:fill="auto"/>
            <w:noWrap/>
            <w:vAlign w:val="center"/>
          </w:tcPr>
          <w:p w14:paraId="15C1BD61" w14:textId="6B57745B" w:rsidR="00FC1344" w:rsidRPr="00E65AA7" w:rsidRDefault="00FC1344" w:rsidP="00464D72">
            <w:pPr>
              <w:jc w:val="center"/>
              <w:rPr>
                <w:color w:val="000000"/>
                <w:sz w:val="20"/>
                <w:szCs w:val="20"/>
              </w:rPr>
            </w:pPr>
            <w:r>
              <w:rPr>
                <w:color w:val="000000"/>
                <w:sz w:val="20"/>
                <w:szCs w:val="20"/>
              </w:rPr>
              <w:t>2.47</w:t>
            </w:r>
          </w:p>
        </w:tc>
        <w:tc>
          <w:tcPr>
            <w:tcW w:w="329" w:type="pct"/>
            <w:tcBorders>
              <w:top w:val="nil"/>
              <w:left w:val="nil"/>
              <w:right w:val="nil"/>
            </w:tcBorders>
            <w:shd w:val="clear" w:color="auto" w:fill="auto"/>
            <w:noWrap/>
            <w:vAlign w:val="center"/>
          </w:tcPr>
          <w:p w14:paraId="448AE5DD" w14:textId="4816D732" w:rsidR="00FC1344" w:rsidRPr="00E65AA7" w:rsidRDefault="00FC1344" w:rsidP="00464D72">
            <w:pPr>
              <w:jc w:val="center"/>
              <w:rPr>
                <w:color w:val="000000"/>
                <w:sz w:val="20"/>
                <w:szCs w:val="20"/>
              </w:rPr>
            </w:pPr>
            <w:r>
              <w:rPr>
                <w:color w:val="000000"/>
                <w:sz w:val="20"/>
                <w:szCs w:val="20"/>
              </w:rPr>
              <w:t>2.63</w:t>
            </w:r>
          </w:p>
        </w:tc>
        <w:tc>
          <w:tcPr>
            <w:tcW w:w="329" w:type="pct"/>
            <w:tcBorders>
              <w:top w:val="nil"/>
              <w:left w:val="nil"/>
              <w:right w:val="nil"/>
            </w:tcBorders>
            <w:shd w:val="clear" w:color="auto" w:fill="auto"/>
            <w:noWrap/>
            <w:vAlign w:val="center"/>
          </w:tcPr>
          <w:p w14:paraId="1FA12EE5" w14:textId="56EB565F" w:rsidR="00FC1344" w:rsidRPr="00E65AA7" w:rsidRDefault="00FC1344" w:rsidP="00464D72">
            <w:pPr>
              <w:jc w:val="center"/>
              <w:rPr>
                <w:color w:val="000000"/>
                <w:sz w:val="20"/>
                <w:szCs w:val="20"/>
              </w:rPr>
            </w:pPr>
            <w:r>
              <w:rPr>
                <w:color w:val="000000"/>
                <w:sz w:val="20"/>
                <w:szCs w:val="20"/>
              </w:rPr>
              <w:t>2.60</w:t>
            </w:r>
          </w:p>
        </w:tc>
        <w:tc>
          <w:tcPr>
            <w:tcW w:w="329" w:type="pct"/>
            <w:tcBorders>
              <w:top w:val="nil"/>
              <w:left w:val="nil"/>
              <w:right w:val="nil"/>
            </w:tcBorders>
            <w:shd w:val="clear" w:color="auto" w:fill="auto"/>
            <w:noWrap/>
            <w:vAlign w:val="center"/>
          </w:tcPr>
          <w:p w14:paraId="0590D858" w14:textId="1F464035" w:rsidR="00FC1344" w:rsidRPr="00E65AA7" w:rsidRDefault="00FC1344" w:rsidP="00464D72">
            <w:pPr>
              <w:jc w:val="center"/>
              <w:rPr>
                <w:color w:val="000000"/>
                <w:sz w:val="20"/>
                <w:szCs w:val="20"/>
              </w:rPr>
            </w:pPr>
            <w:r>
              <w:rPr>
                <w:color w:val="000000"/>
                <w:sz w:val="20"/>
                <w:szCs w:val="20"/>
              </w:rPr>
              <w:t>2.81</w:t>
            </w:r>
          </w:p>
        </w:tc>
        <w:tc>
          <w:tcPr>
            <w:tcW w:w="329" w:type="pct"/>
            <w:tcBorders>
              <w:top w:val="nil"/>
              <w:left w:val="nil"/>
              <w:right w:val="nil"/>
            </w:tcBorders>
            <w:shd w:val="clear" w:color="auto" w:fill="auto"/>
            <w:noWrap/>
            <w:vAlign w:val="center"/>
          </w:tcPr>
          <w:p w14:paraId="20C85095" w14:textId="302EABAA" w:rsidR="00FC1344" w:rsidRPr="00E65AA7" w:rsidRDefault="00FC1344" w:rsidP="00464D72">
            <w:pPr>
              <w:jc w:val="center"/>
              <w:rPr>
                <w:color w:val="000000"/>
                <w:sz w:val="20"/>
                <w:szCs w:val="20"/>
              </w:rPr>
            </w:pPr>
            <w:r>
              <w:rPr>
                <w:color w:val="000000"/>
                <w:sz w:val="20"/>
                <w:szCs w:val="20"/>
              </w:rPr>
              <w:t>3.11</w:t>
            </w:r>
          </w:p>
        </w:tc>
        <w:tc>
          <w:tcPr>
            <w:tcW w:w="329" w:type="pct"/>
            <w:tcBorders>
              <w:top w:val="nil"/>
              <w:left w:val="nil"/>
              <w:right w:val="nil"/>
            </w:tcBorders>
            <w:shd w:val="clear" w:color="auto" w:fill="auto"/>
            <w:noWrap/>
            <w:vAlign w:val="center"/>
          </w:tcPr>
          <w:p w14:paraId="3FC828D7" w14:textId="03232D57" w:rsidR="00FC1344" w:rsidRPr="00E65AA7" w:rsidRDefault="00FC1344" w:rsidP="00464D72">
            <w:pPr>
              <w:jc w:val="center"/>
              <w:rPr>
                <w:color w:val="000000"/>
                <w:sz w:val="20"/>
                <w:szCs w:val="20"/>
              </w:rPr>
            </w:pPr>
            <w:r>
              <w:rPr>
                <w:color w:val="000000"/>
                <w:sz w:val="20"/>
                <w:szCs w:val="20"/>
              </w:rPr>
              <w:t>3.39</w:t>
            </w:r>
          </w:p>
        </w:tc>
        <w:tc>
          <w:tcPr>
            <w:tcW w:w="355" w:type="pct"/>
            <w:tcBorders>
              <w:top w:val="nil"/>
              <w:left w:val="nil"/>
              <w:right w:val="nil"/>
            </w:tcBorders>
            <w:shd w:val="clear" w:color="auto" w:fill="auto"/>
            <w:noWrap/>
            <w:vAlign w:val="center"/>
          </w:tcPr>
          <w:p w14:paraId="7CD3893B" w14:textId="47129805" w:rsidR="00FC1344" w:rsidRPr="00E65AA7" w:rsidRDefault="00FC1344" w:rsidP="00464D72">
            <w:pPr>
              <w:jc w:val="center"/>
              <w:rPr>
                <w:color w:val="000000"/>
                <w:sz w:val="20"/>
                <w:szCs w:val="20"/>
              </w:rPr>
            </w:pPr>
            <w:r>
              <w:rPr>
                <w:color w:val="000000"/>
                <w:sz w:val="20"/>
                <w:szCs w:val="20"/>
              </w:rPr>
              <w:t>-0.55</w:t>
            </w:r>
          </w:p>
        </w:tc>
        <w:tc>
          <w:tcPr>
            <w:tcW w:w="340" w:type="pct"/>
            <w:tcBorders>
              <w:top w:val="nil"/>
              <w:left w:val="nil"/>
              <w:right w:val="nil"/>
            </w:tcBorders>
            <w:shd w:val="clear" w:color="auto" w:fill="auto"/>
            <w:noWrap/>
            <w:vAlign w:val="center"/>
          </w:tcPr>
          <w:p w14:paraId="5A44A76D" w14:textId="7DB1D39D" w:rsidR="00FC1344" w:rsidRPr="00E65AA7" w:rsidRDefault="00FC1344" w:rsidP="00464D72">
            <w:pPr>
              <w:jc w:val="center"/>
              <w:rPr>
                <w:color w:val="000000"/>
                <w:sz w:val="20"/>
                <w:szCs w:val="20"/>
              </w:rPr>
            </w:pPr>
            <w:r>
              <w:rPr>
                <w:color w:val="000000"/>
                <w:sz w:val="20"/>
                <w:szCs w:val="20"/>
              </w:rPr>
              <w:t>2.31</w:t>
            </w:r>
          </w:p>
        </w:tc>
      </w:tr>
      <w:tr w:rsidR="00FC1344" w:rsidRPr="00E65AA7" w14:paraId="16781CCC" w14:textId="77777777" w:rsidTr="001C7F35">
        <w:trPr>
          <w:trHeight w:hRule="exact" w:val="255"/>
        </w:trPr>
        <w:tc>
          <w:tcPr>
            <w:tcW w:w="465" w:type="pct"/>
            <w:vMerge/>
            <w:tcBorders>
              <w:left w:val="nil"/>
              <w:bottom w:val="single" w:sz="4" w:space="0" w:color="auto"/>
              <w:right w:val="nil"/>
            </w:tcBorders>
            <w:vAlign w:val="center"/>
          </w:tcPr>
          <w:p w14:paraId="3B7029E0" w14:textId="77777777" w:rsidR="00FC1344" w:rsidRPr="00E65AA7" w:rsidRDefault="00FC1344" w:rsidP="00464D72">
            <w:pPr>
              <w:rPr>
                <w:rFonts w:eastAsia="Times New Roman"/>
                <w:color w:val="000000"/>
                <w:sz w:val="20"/>
                <w:szCs w:val="20"/>
                <w:lang w:eastAsia="en-MY"/>
              </w:rPr>
            </w:pPr>
          </w:p>
        </w:tc>
        <w:tc>
          <w:tcPr>
            <w:tcW w:w="221" w:type="pct"/>
            <w:vMerge/>
            <w:tcBorders>
              <w:left w:val="nil"/>
              <w:bottom w:val="single" w:sz="4" w:space="0" w:color="auto"/>
              <w:right w:val="nil"/>
            </w:tcBorders>
          </w:tcPr>
          <w:p w14:paraId="59033A2F" w14:textId="77777777" w:rsidR="00FC1344" w:rsidRPr="00E65AA7" w:rsidRDefault="00FC1344" w:rsidP="00464D72">
            <w:pPr>
              <w:jc w:val="center"/>
              <w:rPr>
                <w:color w:val="000000"/>
                <w:sz w:val="20"/>
                <w:szCs w:val="20"/>
              </w:rPr>
            </w:pPr>
          </w:p>
        </w:tc>
        <w:tc>
          <w:tcPr>
            <w:tcW w:w="329" w:type="pct"/>
            <w:tcBorders>
              <w:left w:val="nil"/>
              <w:bottom w:val="single" w:sz="4" w:space="0" w:color="auto"/>
              <w:right w:val="nil"/>
            </w:tcBorders>
            <w:shd w:val="clear" w:color="auto" w:fill="auto"/>
            <w:noWrap/>
            <w:vAlign w:val="center"/>
          </w:tcPr>
          <w:p w14:paraId="6BDC05AC" w14:textId="7C7183A8" w:rsidR="00FC1344" w:rsidRPr="00E65AA7" w:rsidRDefault="00FC1344" w:rsidP="00464D72">
            <w:pPr>
              <w:jc w:val="center"/>
              <w:rPr>
                <w:rFonts w:eastAsia="Times New Roman"/>
                <w:sz w:val="20"/>
                <w:szCs w:val="20"/>
                <w:lang w:eastAsia="en-MY"/>
              </w:rPr>
            </w:pPr>
            <w:r>
              <w:rPr>
                <w:color w:val="000000"/>
                <w:sz w:val="20"/>
                <w:szCs w:val="20"/>
              </w:rPr>
              <w:t>(7.23)</w:t>
            </w:r>
          </w:p>
        </w:tc>
        <w:tc>
          <w:tcPr>
            <w:tcW w:w="329" w:type="pct"/>
            <w:tcBorders>
              <w:left w:val="nil"/>
              <w:bottom w:val="single" w:sz="4" w:space="0" w:color="auto"/>
              <w:right w:val="nil"/>
            </w:tcBorders>
            <w:shd w:val="clear" w:color="auto" w:fill="auto"/>
            <w:noWrap/>
            <w:vAlign w:val="center"/>
          </w:tcPr>
          <w:p w14:paraId="72D28733" w14:textId="62568518" w:rsidR="00FC1344" w:rsidRPr="00E65AA7" w:rsidRDefault="00FC1344" w:rsidP="00464D72">
            <w:pPr>
              <w:jc w:val="center"/>
              <w:rPr>
                <w:color w:val="000000"/>
                <w:sz w:val="20"/>
                <w:szCs w:val="20"/>
              </w:rPr>
            </w:pPr>
            <w:r>
              <w:rPr>
                <w:color w:val="000000"/>
                <w:sz w:val="20"/>
                <w:szCs w:val="20"/>
              </w:rPr>
              <w:t>(6.94)</w:t>
            </w:r>
          </w:p>
        </w:tc>
        <w:tc>
          <w:tcPr>
            <w:tcW w:w="329" w:type="pct"/>
            <w:tcBorders>
              <w:left w:val="nil"/>
              <w:bottom w:val="single" w:sz="4" w:space="0" w:color="auto"/>
              <w:right w:val="nil"/>
            </w:tcBorders>
            <w:shd w:val="clear" w:color="auto" w:fill="auto"/>
            <w:noWrap/>
            <w:vAlign w:val="center"/>
          </w:tcPr>
          <w:p w14:paraId="1199A924" w14:textId="34CA983B" w:rsidR="00FC1344" w:rsidRPr="00E65AA7" w:rsidRDefault="00FC1344" w:rsidP="00464D72">
            <w:pPr>
              <w:jc w:val="center"/>
              <w:rPr>
                <w:color w:val="000000"/>
                <w:sz w:val="20"/>
                <w:szCs w:val="20"/>
              </w:rPr>
            </w:pPr>
            <w:r>
              <w:rPr>
                <w:color w:val="000000"/>
                <w:sz w:val="20"/>
                <w:szCs w:val="20"/>
              </w:rPr>
              <w:t>(6.47)</w:t>
            </w:r>
          </w:p>
        </w:tc>
        <w:tc>
          <w:tcPr>
            <w:tcW w:w="329" w:type="pct"/>
            <w:tcBorders>
              <w:left w:val="nil"/>
              <w:bottom w:val="single" w:sz="4" w:space="0" w:color="auto"/>
              <w:right w:val="nil"/>
            </w:tcBorders>
            <w:shd w:val="clear" w:color="auto" w:fill="auto"/>
            <w:noWrap/>
            <w:vAlign w:val="center"/>
          </w:tcPr>
          <w:p w14:paraId="4EFA760F" w14:textId="160F650C" w:rsidR="00FC1344" w:rsidRPr="00E65AA7" w:rsidRDefault="00FC1344" w:rsidP="00464D72">
            <w:pPr>
              <w:jc w:val="center"/>
              <w:rPr>
                <w:color w:val="000000"/>
                <w:sz w:val="20"/>
                <w:szCs w:val="20"/>
              </w:rPr>
            </w:pPr>
            <w:r>
              <w:rPr>
                <w:color w:val="000000"/>
                <w:sz w:val="20"/>
                <w:szCs w:val="20"/>
              </w:rPr>
              <w:t>(6.26)</w:t>
            </w:r>
          </w:p>
        </w:tc>
        <w:tc>
          <w:tcPr>
            <w:tcW w:w="329" w:type="pct"/>
            <w:tcBorders>
              <w:left w:val="nil"/>
              <w:bottom w:val="single" w:sz="4" w:space="0" w:color="auto"/>
              <w:right w:val="nil"/>
            </w:tcBorders>
            <w:shd w:val="clear" w:color="auto" w:fill="auto"/>
            <w:noWrap/>
            <w:vAlign w:val="center"/>
          </w:tcPr>
          <w:p w14:paraId="79900F30" w14:textId="214B6F68" w:rsidR="00FC1344" w:rsidRPr="00E65AA7" w:rsidRDefault="00FC1344" w:rsidP="00464D72">
            <w:pPr>
              <w:jc w:val="center"/>
              <w:rPr>
                <w:color w:val="000000"/>
                <w:sz w:val="20"/>
                <w:szCs w:val="20"/>
              </w:rPr>
            </w:pPr>
            <w:r>
              <w:rPr>
                <w:color w:val="000000"/>
                <w:sz w:val="20"/>
                <w:szCs w:val="20"/>
              </w:rPr>
              <w:t>(6.03)</w:t>
            </w:r>
          </w:p>
        </w:tc>
        <w:tc>
          <w:tcPr>
            <w:tcW w:w="329" w:type="pct"/>
            <w:tcBorders>
              <w:left w:val="nil"/>
              <w:bottom w:val="single" w:sz="4" w:space="0" w:color="auto"/>
              <w:right w:val="nil"/>
            </w:tcBorders>
            <w:shd w:val="clear" w:color="auto" w:fill="auto"/>
            <w:noWrap/>
            <w:vAlign w:val="center"/>
          </w:tcPr>
          <w:p w14:paraId="26A39A4D" w14:textId="51291611" w:rsidR="00FC1344" w:rsidRPr="00E65AA7" w:rsidRDefault="00FC1344" w:rsidP="00464D72">
            <w:pPr>
              <w:jc w:val="center"/>
              <w:rPr>
                <w:color w:val="000000"/>
                <w:sz w:val="20"/>
                <w:szCs w:val="20"/>
              </w:rPr>
            </w:pPr>
            <w:r>
              <w:rPr>
                <w:color w:val="000000"/>
                <w:sz w:val="20"/>
                <w:szCs w:val="20"/>
              </w:rPr>
              <w:t>(5.64)</w:t>
            </w:r>
          </w:p>
        </w:tc>
        <w:tc>
          <w:tcPr>
            <w:tcW w:w="329" w:type="pct"/>
            <w:tcBorders>
              <w:left w:val="nil"/>
              <w:bottom w:val="single" w:sz="4" w:space="0" w:color="auto"/>
              <w:right w:val="nil"/>
            </w:tcBorders>
            <w:shd w:val="clear" w:color="auto" w:fill="auto"/>
            <w:noWrap/>
            <w:vAlign w:val="center"/>
          </w:tcPr>
          <w:p w14:paraId="6D634B2B" w14:textId="30106D39" w:rsidR="00FC1344" w:rsidRPr="00E65AA7" w:rsidRDefault="00FC1344" w:rsidP="00464D72">
            <w:pPr>
              <w:jc w:val="center"/>
              <w:rPr>
                <w:color w:val="000000"/>
                <w:sz w:val="20"/>
                <w:szCs w:val="20"/>
              </w:rPr>
            </w:pPr>
            <w:r>
              <w:rPr>
                <w:color w:val="000000"/>
                <w:sz w:val="20"/>
                <w:szCs w:val="20"/>
              </w:rPr>
              <w:t>(5.79)</w:t>
            </w:r>
          </w:p>
        </w:tc>
        <w:tc>
          <w:tcPr>
            <w:tcW w:w="329" w:type="pct"/>
            <w:tcBorders>
              <w:left w:val="nil"/>
              <w:bottom w:val="single" w:sz="4" w:space="0" w:color="auto"/>
              <w:right w:val="nil"/>
            </w:tcBorders>
            <w:shd w:val="clear" w:color="auto" w:fill="auto"/>
            <w:noWrap/>
            <w:vAlign w:val="center"/>
          </w:tcPr>
          <w:p w14:paraId="1547B09A" w14:textId="4D602994" w:rsidR="00FC1344" w:rsidRPr="00E65AA7" w:rsidRDefault="00FC1344" w:rsidP="00464D72">
            <w:pPr>
              <w:jc w:val="center"/>
              <w:rPr>
                <w:color w:val="000000"/>
                <w:sz w:val="20"/>
                <w:szCs w:val="20"/>
              </w:rPr>
            </w:pPr>
            <w:r>
              <w:rPr>
                <w:color w:val="000000"/>
                <w:sz w:val="20"/>
                <w:szCs w:val="20"/>
              </w:rPr>
              <w:t>(5.65)</w:t>
            </w:r>
          </w:p>
        </w:tc>
        <w:tc>
          <w:tcPr>
            <w:tcW w:w="329" w:type="pct"/>
            <w:tcBorders>
              <w:left w:val="nil"/>
              <w:bottom w:val="single" w:sz="4" w:space="0" w:color="auto"/>
              <w:right w:val="nil"/>
            </w:tcBorders>
            <w:shd w:val="clear" w:color="auto" w:fill="auto"/>
            <w:noWrap/>
            <w:vAlign w:val="center"/>
          </w:tcPr>
          <w:p w14:paraId="7A4EC0B5" w14:textId="7D990B5E" w:rsidR="00FC1344" w:rsidRPr="00E65AA7" w:rsidRDefault="00FC1344" w:rsidP="00464D72">
            <w:pPr>
              <w:jc w:val="center"/>
              <w:rPr>
                <w:color w:val="000000"/>
                <w:sz w:val="20"/>
                <w:szCs w:val="20"/>
              </w:rPr>
            </w:pPr>
            <w:r>
              <w:rPr>
                <w:color w:val="000000"/>
                <w:sz w:val="20"/>
                <w:szCs w:val="20"/>
              </w:rPr>
              <w:t>(5.78)</w:t>
            </w:r>
          </w:p>
        </w:tc>
        <w:tc>
          <w:tcPr>
            <w:tcW w:w="329" w:type="pct"/>
            <w:tcBorders>
              <w:left w:val="nil"/>
              <w:bottom w:val="single" w:sz="4" w:space="0" w:color="auto"/>
              <w:right w:val="nil"/>
            </w:tcBorders>
            <w:shd w:val="clear" w:color="auto" w:fill="auto"/>
            <w:noWrap/>
            <w:vAlign w:val="center"/>
          </w:tcPr>
          <w:p w14:paraId="3A43EBDF" w14:textId="46840634" w:rsidR="00FC1344" w:rsidRPr="00E65AA7" w:rsidRDefault="00FC1344" w:rsidP="00464D72">
            <w:pPr>
              <w:jc w:val="center"/>
              <w:rPr>
                <w:color w:val="000000"/>
                <w:sz w:val="20"/>
                <w:szCs w:val="20"/>
              </w:rPr>
            </w:pPr>
            <w:r>
              <w:rPr>
                <w:color w:val="000000"/>
                <w:sz w:val="20"/>
                <w:szCs w:val="20"/>
              </w:rPr>
              <w:t>(6.21)</w:t>
            </w:r>
          </w:p>
        </w:tc>
        <w:tc>
          <w:tcPr>
            <w:tcW w:w="329" w:type="pct"/>
            <w:tcBorders>
              <w:left w:val="nil"/>
              <w:bottom w:val="single" w:sz="4" w:space="0" w:color="auto"/>
              <w:right w:val="nil"/>
            </w:tcBorders>
            <w:shd w:val="clear" w:color="auto" w:fill="auto"/>
            <w:noWrap/>
            <w:vAlign w:val="center"/>
          </w:tcPr>
          <w:p w14:paraId="5ABC9743" w14:textId="528A1C6E" w:rsidR="00FC1344" w:rsidRPr="00E65AA7" w:rsidRDefault="00FC1344" w:rsidP="00464D72">
            <w:pPr>
              <w:jc w:val="center"/>
              <w:rPr>
                <w:color w:val="000000"/>
                <w:sz w:val="20"/>
                <w:szCs w:val="20"/>
              </w:rPr>
            </w:pPr>
            <w:r>
              <w:rPr>
                <w:color w:val="000000"/>
                <w:sz w:val="20"/>
                <w:szCs w:val="20"/>
              </w:rPr>
              <w:t>(6.56)</w:t>
            </w:r>
          </w:p>
        </w:tc>
        <w:tc>
          <w:tcPr>
            <w:tcW w:w="355" w:type="pct"/>
            <w:tcBorders>
              <w:left w:val="nil"/>
              <w:bottom w:val="single" w:sz="4" w:space="0" w:color="auto"/>
              <w:right w:val="nil"/>
            </w:tcBorders>
            <w:shd w:val="clear" w:color="auto" w:fill="auto"/>
            <w:noWrap/>
            <w:vAlign w:val="center"/>
          </w:tcPr>
          <w:p w14:paraId="1003C999" w14:textId="7C86F95C" w:rsidR="00FC1344" w:rsidRPr="00E65AA7" w:rsidRDefault="00FC1344" w:rsidP="00464D72">
            <w:pPr>
              <w:jc w:val="center"/>
              <w:rPr>
                <w:color w:val="000000"/>
                <w:sz w:val="20"/>
                <w:szCs w:val="20"/>
              </w:rPr>
            </w:pPr>
            <w:r>
              <w:rPr>
                <w:color w:val="000000"/>
                <w:sz w:val="20"/>
                <w:szCs w:val="20"/>
              </w:rPr>
              <w:t>(-2.48)</w:t>
            </w:r>
          </w:p>
        </w:tc>
        <w:tc>
          <w:tcPr>
            <w:tcW w:w="340" w:type="pct"/>
            <w:tcBorders>
              <w:left w:val="nil"/>
              <w:bottom w:val="single" w:sz="4" w:space="0" w:color="auto"/>
              <w:right w:val="nil"/>
            </w:tcBorders>
            <w:shd w:val="clear" w:color="auto" w:fill="auto"/>
            <w:noWrap/>
            <w:vAlign w:val="center"/>
          </w:tcPr>
          <w:p w14:paraId="7C59A767" w14:textId="3BCDE5C6" w:rsidR="00FC1344" w:rsidRPr="00E65AA7" w:rsidRDefault="009A3192" w:rsidP="00464D72">
            <w:pPr>
              <w:jc w:val="center"/>
              <w:rPr>
                <w:rFonts w:eastAsia="Times New Roman"/>
                <w:color w:val="000000"/>
                <w:sz w:val="20"/>
                <w:szCs w:val="20"/>
                <w:lang w:eastAsia="en-MY"/>
              </w:rPr>
            </w:pPr>
            <w:r>
              <w:rPr>
                <w:color w:val="000000"/>
                <w:sz w:val="20"/>
                <w:szCs w:val="20"/>
              </w:rPr>
              <w:t>(</w:t>
            </w:r>
            <w:r w:rsidR="00FC1344">
              <w:rPr>
                <w:color w:val="000000"/>
                <w:sz w:val="20"/>
                <w:szCs w:val="20"/>
              </w:rPr>
              <w:t>6.01)</w:t>
            </w:r>
          </w:p>
        </w:tc>
      </w:tr>
      <w:tr w:rsidR="001C7F35" w:rsidRPr="00E65AA7" w14:paraId="5ABC7B8C" w14:textId="77777777" w:rsidTr="001C7F35">
        <w:trPr>
          <w:trHeight w:hRule="exact" w:val="255"/>
        </w:trPr>
        <w:tc>
          <w:tcPr>
            <w:tcW w:w="5000" w:type="pct"/>
            <w:gridSpan w:val="15"/>
            <w:tcBorders>
              <w:left w:val="nil"/>
              <w:bottom w:val="single" w:sz="4" w:space="0" w:color="auto"/>
              <w:right w:val="nil"/>
            </w:tcBorders>
            <w:vAlign w:val="center"/>
          </w:tcPr>
          <w:p w14:paraId="2C552D6D" w14:textId="0A68E4E1" w:rsidR="001C7F35" w:rsidRPr="001C7F35" w:rsidRDefault="001C7F35" w:rsidP="001C7F35">
            <w:pPr>
              <w:jc w:val="center"/>
              <w:rPr>
                <w:b/>
                <w:color w:val="000000"/>
                <w:sz w:val="20"/>
                <w:szCs w:val="20"/>
              </w:rPr>
            </w:pPr>
            <w:r w:rsidRPr="001C7F35">
              <w:rPr>
                <w:rFonts w:eastAsia="Times New Roman"/>
                <w:b/>
                <w:bCs/>
                <w:color w:val="000000"/>
                <w:sz w:val="20"/>
                <w:szCs w:val="20"/>
                <w:lang w:eastAsia="en-MY"/>
              </w:rPr>
              <w:t>Panel E: Dividend-Book Ratio for Profitable Firms (E+/BE)</w:t>
            </w:r>
          </w:p>
        </w:tc>
      </w:tr>
      <w:tr w:rsidR="001C7F35" w:rsidRPr="00E65AA7" w14:paraId="2B3DF82F" w14:textId="77777777" w:rsidTr="001C7F35">
        <w:trPr>
          <w:trHeight w:hRule="exact" w:val="255"/>
        </w:trPr>
        <w:tc>
          <w:tcPr>
            <w:tcW w:w="465" w:type="pct"/>
            <w:vMerge w:val="restart"/>
            <w:tcBorders>
              <w:top w:val="single" w:sz="4" w:space="0" w:color="auto"/>
              <w:left w:val="nil"/>
              <w:bottom w:val="nil"/>
              <w:right w:val="nil"/>
            </w:tcBorders>
            <w:shd w:val="clear" w:color="auto" w:fill="auto"/>
            <w:vAlign w:val="center"/>
          </w:tcPr>
          <w:p w14:paraId="1B63D58C" w14:textId="6D1021C6"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21" w:type="pct"/>
            <w:vMerge w:val="restart"/>
            <w:tcBorders>
              <w:top w:val="single" w:sz="4" w:space="0" w:color="auto"/>
              <w:left w:val="nil"/>
              <w:right w:val="nil"/>
            </w:tcBorders>
            <w:vAlign w:val="center"/>
          </w:tcPr>
          <w:p w14:paraId="60040E96"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152</w:t>
            </w:r>
          </w:p>
        </w:tc>
        <w:tc>
          <w:tcPr>
            <w:tcW w:w="329" w:type="pct"/>
            <w:tcBorders>
              <w:top w:val="single" w:sz="4" w:space="0" w:color="auto"/>
              <w:left w:val="nil"/>
              <w:bottom w:val="nil"/>
              <w:right w:val="nil"/>
            </w:tcBorders>
            <w:shd w:val="clear" w:color="auto" w:fill="auto"/>
            <w:noWrap/>
            <w:vAlign w:val="center"/>
          </w:tcPr>
          <w:p w14:paraId="16B06936" w14:textId="15E45428" w:rsidR="001C7F35" w:rsidRPr="00E65AA7" w:rsidRDefault="001C7F35" w:rsidP="001C7F35">
            <w:pPr>
              <w:jc w:val="center"/>
              <w:rPr>
                <w:color w:val="000000"/>
                <w:sz w:val="20"/>
                <w:szCs w:val="20"/>
              </w:rPr>
            </w:pPr>
            <w:r>
              <w:rPr>
                <w:color w:val="000000"/>
                <w:sz w:val="20"/>
                <w:szCs w:val="20"/>
              </w:rPr>
              <w:t>3.15</w:t>
            </w:r>
          </w:p>
        </w:tc>
        <w:tc>
          <w:tcPr>
            <w:tcW w:w="329" w:type="pct"/>
            <w:tcBorders>
              <w:top w:val="single" w:sz="4" w:space="0" w:color="auto"/>
              <w:left w:val="nil"/>
              <w:bottom w:val="nil"/>
              <w:right w:val="nil"/>
            </w:tcBorders>
            <w:shd w:val="clear" w:color="auto" w:fill="auto"/>
            <w:noWrap/>
            <w:vAlign w:val="center"/>
          </w:tcPr>
          <w:p w14:paraId="08C0F27F" w14:textId="28B5780F" w:rsidR="001C7F35" w:rsidRPr="00E65AA7" w:rsidRDefault="001C7F35" w:rsidP="001C7F35">
            <w:pPr>
              <w:jc w:val="center"/>
              <w:rPr>
                <w:color w:val="000000"/>
                <w:sz w:val="20"/>
                <w:szCs w:val="20"/>
              </w:rPr>
            </w:pPr>
            <w:r>
              <w:rPr>
                <w:color w:val="000000"/>
                <w:sz w:val="20"/>
                <w:szCs w:val="20"/>
              </w:rPr>
              <w:t>2.45</w:t>
            </w:r>
          </w:p>
        </w:tc>
        <w:tc>
          <w:tcPr>
            <w:tcW w:w="329" w:type="pct"/>
            <w:tcBorders>
              <w:top w:val="single" w:sz="4" w:space="0" w:color="auto"/>
              <w:left w:val="nil"/>
              <w:bottom w:val="nil"/>
              <w:right w:val="nil"/>
            </w:tcBorders>
            <w:shd w:val="clear" w:color="auto" w:fill="auto"/>
            <w:noWrap/>
            <w:vAlign w:val="center"/>
          </w:tcPr>
          <w:p w14:paraId="6D239640" w14:textId="243DC27D" w:rsidR="001C7F35" w:rsidRPr="00E65AA7" w:rsidRDefault="001C7F35" w:rsidP="001C7F35">
            <w:pPr>
              <w:jc w:val="center"/>
              <w:rPr>
                <w:color w:val="000000"/>
                <w:sz w:val="20"/>
                <w:szCs w:val="20"/>
              </w:rPr>
            </w:pPr>
            <w:r>
              <w:rPr>
                <w:color w:val="000000"/>
                <w:sz w:val="20"/>
                <w:szCs w:val="20"/>
              </w:rPr>
              <w:t>2.35</w:t>
            </w:r>
          </w:p>
        </w:tc>
        <w:tc>
          <w:tcPr>
            <w:tcW w:w="329" w:type="pct"/>
            <w:tcBorders>
              <w:top w:val="single" w:sz="4" w:space="0" w:color="auto"/>
              <w:left w:val="nil"/>
              <w:bottom w:val="nil"/>
              <w:right w:val="nil"/>
            </w:tcBorders>
            <w:shd w:val="clear" w:color="auto" w:fill="auto"/>
            <w:noWrap/>
            <w:vAlign w:val="center"/>
          </w:tcPr>
          <w:p w14:paraId="09480439" w14:textId="6ED82DC4" w:rsidR="001C7F35" w:rsidRPr="00E65AA7" w:rsidRDefault="001C7F35" w:rsidP="001C7F35">
            <w:pPr>
              <w:jc w:val="center"/>
              <w:rPr>
                <w:color w:val="000000"/>
                <w:sz w:val="20"/>
                <w:szCs w:val="20"/>
              </w:rPr>
            </w:pPr>
            <w:r>
              <w:rPr>
                <w:color w:val="000000"/>
                <w:sz w:val="20"/>
                <w:szCs w:val="20"/>
              </w:rPr>
              <w:t>2.36</w:t>
            </w:r>
          </w:p>
        </w:tc>
        <w:tc>
          <w:tcPr>
            <w:tcW w:w="329" w:type="pct"/>
            <w:tcBorders>
              <w:top w:val="single" w:sz="4" w:space="0" w:color="auto"/>
              <w:left w:val="nil"/>
              <w:bottom w:val="nil"/>
              <w:right w:val="nil"/>
            </w:tcBorders>
            <w:shd w:val="clear" w:color="auto" w:fill="auto"/>
            <w:noWrap/>
            <w:vAlign w:val="center"/>
          </w:tcPr>
          <w:p w14:paraId="2AD6B2A2" w14:textId="767B4BF1" w:rsidR="001C7F35" w:rsidRPr="00E65AA7" w:rsidRDefault="001C7F35" w:rsidP="001C7F35">
            <w:pPr>
              <w:jc w:val="center"/>
              <w:rPr>
                <w:color w:val="000000"/>
                <w:sz w:val="20"/>
                <w:szCs w:val="20"/>
              </w:rPr>
            </w:pPr>
            <w:r>
              <w:rPr>
                <w:color w:val="000000"/>
                <w:sz w:val="20"/>
                <w:szCs w:val="20"/>
              </w:rPr>
              <w:t>2.29</w:t>
            </w:r>
          </w:p>
        </w:tc>
        <w:tc>
          <w:tcPr>
            <w:tcW w:w="329" w:type="pct"/>
            <w:tcBorders>
              <w:top w:val="single" w:sz="4" w:space="0" w:color="auto"/>
              <w:left w:val="nil"/>
              <w:bottom w:val="nil"/>
              <w:right w:val="nil"/>
            </w:tcBorders>
            <w:shd w:val="clear" w:color="auto" w:fill="auto"/>
            <w:noWrap/>
            <w:vAlign w:val="center"/>
          </w:tcPr>
          <w:p w14:paraId="098FC5F9" w14:textId="45854C01" w:rsidR="001C7F35" w:rsidRPr="00E65AA7" w:rsidRDefault="001C7F35" w:rsidP="001C7F35">
            <w:pPr>
              <w:jc w:val="center"/>
              <w:rPr>
                <w:color w:val="000000"/>
                <w:sz w:val="20"/>
                <w:szCs w:val="20"/>
              </w:rPr>
            </w:pPr>
            <w:r>
              <w:rPr>
                <w:color w:val="000000"/>
                <w:sz w:val="20"/>
                <w:szCs w:val="20"/>
              </w:rPr>
              <w:t>2.14</w:t>
            </w:r>
          </w:p>
        </w:tc>
        <w:tc>
          <w:tcPr>
            <w:tcW w:w="329" w:type="pct"/>
            <w:tcBorders>
              <w:top w:val="single" w:sz="4" w:space="0" w:color="auto"/>
              <w:left w:val="nil"/>
              <w:bottom w:val="nil"/>
              <w:right w:val="nil"/>
            </w:tcBorders>
            <w:shd w:val="clear" w:color="auto" w:fill="auto"/>
            <w:noWrap/>
            <w:vAlign w:val="center"/>
          </w:tcPr>
          <w:p w14:paraId="6BAAA21E" w14:textId="0CE0679B" w:rsidR="001C7F35" w:rsidRPr="00E65AA7" w:rsidRDefault="001C7F35" w:rsidP="001C7F35">
            <w:pPr>
              <w:jc w:val="center"/>
              <w:rPr>
                <w:color w:val="000000"/>
                <w:sz w:val="20"/>
                <w:szCs w:val="20"/>
              </w:rPr>
            </w:pPr>
            <w:r>
              <w:rPr>
                <w:color w:val="000000"/>
                <w:sz w:val="20"/>
                <w:szCs w:val="20"/>
              </w:rPr>
              <w:t>2.12</w:t>
            </w:r>
          </w:p>
        </w:tc>
        <w:tc>
          <w:tcPr>
            <w:tcW w:w="329" w:type="pct"/>
            <w:tcBorders>
              <w:top w:val="single" w:sz="4" w:space="0" w:color="auto"/>
              <w:left w:val="nil"/>
              <w:bottom w:val="nil"/>
              <w:right w:val="nil"/>
            </w:tcBorders>
            <w:shd w:val="clear" w:color="auto" w:fill="auto"/>
            <w:noWrap/>
            <w:vAlign w:val="center"/>
          </w:tcPr>
          <w:p w14:paraId="0C1A4FBD" w14:textId="6C4EB7F3" w:rsidR="001C7F35" w:rsidRPr="00E65AA7" w:rsidRDefault="001C7F35" w:rsidP="001C7F35">
            <w:pPr>
              <w:jc w:val="center"/>
              <w:rPr>
                <w:color w:val="000000"/>
                <w:sz w:val="20"/>
                <w:szCs w:val="20"/>
              </w:rPr>
            </w:pPr>
            <w:r>
              <w:rPr>
                <w:color w:val="000000"/>
                <w:sz w:val="20"/>
                <w:szCs w:val="20"/>
              </w:rPr>
              <w:t>1.97</w:t>
            </w:r>
          </w:p>
        </w:tc>
        <w:tc>
          <w:tcPr>
            <w:tcW w:w="329" w:type="pct"/>
            <w:tcBorders>
              <w:top w:val="single" w:sz="4" w:space="0" w:color="auto"/>
              <w:left w:val="nil"/>
              <w:bottom w:val="nil"/>
              <w:right w:val="nil"/>
            </w:tcBorders>
            <w:shd w:val="clear" w:color="auto" w:fill="auto"/>
            <w:noWrap/>
            <w:vAlign w:val="center"/>
          </w:tcPr>
          <w:p w14:paraId="6871BC6E" w14:textId="7FC907AC" w:rsidR="001C7F35" w:rsidRPr="00E65AA7" w:rsidRDefault="001C7F35" w:rsidP="001C7F35">
            <w:pPr>
              <w:jc w:val="center"/>
              <w:rPr>
                <w:color w:val="000000"/>
                <w:sz w:val="20"/>
                <w:szCs w:val="20"/>
              </w:rPr>
            </w:pPr>
            <w:r>
              <w:rPr>
                <w:color w:val="000000"/>
                <w:sz w:val="20"/>
                <w:szCs w:val="20"/>
              </w:rPr>
              <w:t>1.74</w:t>
            </w:r>
          </w:p>
        </w:tc>
        <w:tc>
          <w:tcPr>
            <w:tcW w:w="329" w:type="pct"/>
            <w:tcBorders>
              <w:top w:val="single" w:sz="4" w:space="0" w:color="auto"/>
              <w:left w:val="nil"/>
              <w:bottom w:val="nil"/>
              <w:right w:val="nil"/>
            </w:tcBorders>
            <w:shd w:val="clear" w:color="auto" w:fill="auto"/>
            <w:noWrap/>
            <w:vAlign w:val="center"/>
          </w:tcPr>
          <w:p w14:paraId="6E56BFB2" w14:textId="2F9A562B" w:rsidR="001C7F35" w:rsidRPr="00E65AA7" w:rsidRDefault="001C7F35" w:rsidP="001C7F35">
            <w:pPr>
              <w:jc w:val="center"/>
              <w:rPr>
                <w:color w:val="000000"/>
                <w:sz w:val="20"/>
                <w:szCs w:val="20"/>
              </w:rPr>
            </w:pPr>
            <w:r>
              <w:rPr>
                <w:color w:val="000000"/>
                <w:sz w:val="20"/>
                <w:szCs w:val="20"/>
              </w:rPr>
              <w:t>1.67</w:t>
            </w:r>
          </w:p>
        </w:tc>
        <w:tc>
          <w:tcPr>
            <w:tcW w:w="329" w:type="pct"/>
            <w:tcBorders>
              <w:top w:val="single" w:sz="4" w:space="0" w:color="auto"/>
              <w:left w:val="nil"/>
              <w:bottom w:val="nil"/>
              <w:right w:val="nil"/>
            </w:tcBorders>
            <w:shd w:val="clear" w:color="auto" w:fill="auto"/>
            <w:noWrap/>
            <w:vAlign w:val="center"/>
          </w:tcPr>
          <w:p w14:paraId="1104F38C" w14:textId="48C0731E" w:rsidR="001C7F35" w:rsidRPr="00E65AA7" w:rsidRDefault="001C7F35" w:rsidP="001C7F35">
            <w:pPr>
              <w:jc w:val="center"/>
              <w:rPr>
                <w:color w:val="000000"/>
                <w:sz w:val="20"/>
                <w:szCs w:val="20"/>
              </w:rPr>
            </w:pPr>
            <w:r>
              <w:rPr>
                <w:color w:val="000000"/>
                <w:sz w:val="20"/>
                <w:szCs w:val="20"/>
              </w:rPr>
              <w:t>1.91</w:t>
            </w:r>
          </w:p>
        </w:tc>
        <w:tc>
          <w:tcPr>
            <w:tcW w:w="355" w:type="pct"/>
            <w:tcBorders>
              <w:top w:val="single" w:sz="4" w:space="0" w:color="auto"/>
              <w:left w:val="nil"/>
              <w:bottom w:val="nil"/>
              <w:right w:val="nil"/>
            </w:tcBorders>
            <w:shd w:val="clear" w:color="auto" w:fill="auto"/>
            <w:noWrap/>
            <w:vAlign w:val="center"/>
          </w:tcPr>
          <w:p w14:paraId="05FFFA49" w14:textId="0611359E" w:rsidR="001C7F35" w:rsidRPr="00E65AA7" w:rsidRDefault="001C7F35" w:rsidP="001C7F35">
            <w:pPr>
              <w:jc w:val="center"/>
              <w:rPr>
                <w:color w:val="000000"/>
                <w:sz w:val="20"/>
                <w:szCs w:val="20"/>
              </w:rPr>
            </w:pPr>
            <w:r>
              <w:rPr>
                <w:color w:val="000000"/>
                <w:sz w:val="20"/>
                <w:szCs w:val="20"/>
              </w:rPr>
              <w:t>-0.54</w:t>
            </w:r>
          </w:p>
        </w:tc>
        <w:tc>
          <w:tcPr>
            <w:tcW w:w="340" w:type="pct"/>
            <w:tcBorders>
              <w:top w:val="single" w:sz="4" w:space="0" w:color="auto"/>
              <w:left w:val="nil"/>
              <w:bottom w:val="nil"/>
              <w:right w:val="nil"/>
            </w:tcBorders>
            <w:shd w:val="clear" w:color="auto" w:fill="auto"/>
            <w:noWrap/>
            <w:vAlign w:val="center"/>
          </w:tcPr>
          <w:p w14:paraId="48316D61" w14:textId="577FA785" w:rsidR="001C7F35" w:rsidRPr="00E65AA7" w:rsidRDefault="001C7F35" w:rsidP="001C7F35">
            <w:pPr>
              <w:jc w:val="center"/>
              <w:rPr>
                <w:color w:val="000000"/>
                <w:sz w:val="20"/>
                <w:szCs w:val="20"/>
              </w:rPr>
            </w:pPr>
            <w:r>
              <w:rPr>
                <w:color w:val="000000"/>
                <w:sz w:val="20"/>
                <w:szCs w:val="20"/>
              </w:rPr>
              <w:t>1.05</w:t>
            </w:r>
          </w:p>
        </w:tc>
      </w:tr>
      <w:tr w:rsidR="001C7F35" w:rsidRPr="00E65AA7" w14:paraId="347CD267" w14:textId="77777777" w:rsidTr="001C7F35">
        <w:trPr>
          <w:trHeight w:hRule="exact" w:val="255"/>
        </w:trPr>
        <w:tc>
          <w:tcPr>
            <w:tcW w:w="465" w:type="pct"/>
            <w:vMerge/>
            <w:tcBorders>
              <w:top w:val="nil"/>
              <w:left w:val="nil"/>
              <w:bottom w:val="nil"/>
              <w:right w:val="nil"/>
            </w:tcBorders>
            <w:vAlign w:val="center"/>
          </w:tcPr>
          <w:p w14:paraId="1D38BA44"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244E7D73"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722F67D6" w14:textId="6D00F128" w:rsidR="001C7F35" w:rsidRPr="00E65AA7" w:rsidRDefault="001C7F35" w:rsidP="001C7F35">
            <w:pPr>
              <w:jc w:val="center"/>
              <w:rPr>
                <w:color w:val="000000"/>
                <w:sz w:val="20"/>
                <w:szCs w:val="20"/>
              </w:rPr>
            </w:pPr>
            <w:r>
              <w:rPr>
                <w:color w:val="000000"/>
                <w:sz w:val="20"/>
                <w:szCs w:val="20"/>
              </w:rPr>
              <w:t>(6.11)</w:t>
            </w:r>
          </w:p>
        </w:tc>
        <w:tc>
          <w:tcPr>
            <w:tcW w:w="329" w:type="pct"/>
            <w:tcBorders>
              <w:top w:val="nil"/>
              <w:left w:val="nil"/>
              <w:bottom w:val="nil"/>
              <w:right w:val="nil"/>
            </w:tcBorders>
            <w:shd w:val="clear" w:color="auto" w:fill="auto"/>
            <w:noWrap/>
            <w:vAlign w:val="center"/>
          </w:tcPr>
          <w:p w14:paraId="1FAF6C63" w14:textId="58B2A586" w:rsidR="001C7F35" w:rsidRPr="00E65AA7" w:rsidRDefault="001C7F35" w:rsidP="001C7F35">
            <w:pPr>
              <w:jc w:val="center"/>
              <w:rPr>
                <w:color w:val="000000"/>
                <w:sz w:val="20"/>
                <w:szCs w:val="20"/>
              </w:rPr>
            </w:pPr>
            <w:r>
              <w:rPr>
                <w:color w:val="000000"/>
                <w:sz w:val="20"/>
                <w:szCs w:val="20"/>
              </w:rPr>
              <w:t>(6.71)</w:t>
            </w:r>
          </w:p>
        </w:tc>
        <w:tc>
          <w:tcPr>
            <w:tcW w:w="329" w:type="pct"/>
            <w:tcBorders>
              <w:top w:val="nil"/>
              <w:left w:val="nil"/>
              <w:bottom w:val="nil"/>
              <w:right w:val="nil"/>
            </w:tcBorders>
            <w:shd w:val="clear" w:color="auto" w:fill="auto"/>
            <w:noWrap/>
            <w:vAlign w:val="center"/>
          </w:tcPr>
          <w:p w14:paraId="27DDDE52" w14:textId="7E6B4CDF" w:rsidR="001C7F35" w:rsidRPr="00E65AA7" w:rsidRDefault="001C7F35" w:rsidP="001C7F35">
            <w:pPr>
              <w:jc w:val="center"/>
              <w:rPr>
                <w:color w:val="000000"/>
                <w:sz w:val="20"/>
                <w:szCs w:val="20"/>
              </w:rPr>
            </w:pPr>
            <w:r>
              <w:rPr>
                <w:color w:val="000000"/>
                <w:sz w:val="20"/>
                <w:szCs w:val="20"/>
              </w:rPr>
              <w:t>(6.88)</w:t>
            </w:r>
          </w:p>
        </w:tc>
        <w:tc>
          <w:tcPr>
            <w:tcW w:w="329" w:type="pct"/>
            <w:tcBorders>
              <w:top w:val="nil"/>
              <w:left w:val="nil"/>
              <w:bottom w:val="nil"/>
              <w:right w:val="nil"/>
            </w:tcBorders>
            <w:shd w:val="clear" w:color="auto" w:fill="auto"/>
            <w:noWrap/>
            <w:vAlign w:val="center"/>
          </w:tcPr>
          <w:p w14:paraId="05A6A6CA" w14:textId="09FE13E0" w:rsidR="001C7F35" w:rsidRPr="00E65AA7" w:rsidRDefault="001C7F35" w:rsidP="001C7F35">
            <w:pPr>
              <w:jc w:val="center"/>
              <w:rPr>
                <w:color w:val="000000"/>
                <w:sz w:val="20"/>
                <w:szCs w:val="20"/>
              </w:rPr>
            </w:pPr>
            <w:r>
              <w:rPr>
                <w:color w:val="000000"/>
                <w:sz w:val="20"/>
                <w:szCs w:val="20"/>
              </w:rPr>
              <w:t>(7.47)</w:t>
            </w:r>
          </w:p>
        </w:tc>
        <w:tc>
          <w:tcPr>
            <w:tcW w:w="329" w:type="pct"/>
            <w:tcBorders>
              <w:top w:val="nil"/>
              <w:left w:val="nil"/>
              <w:bottom w:val="nil"/>
              <w:right w:val="nil"/>
            </w:tcBorders>
            <w:shd w:val="clear" w:color="auto" w:fill="auto"/>
            <w:noWrap/>
            <w:vAlign w:val="center"/>
          </w:tcPr>
          <w:p w14:paraId="6559534B" w14:textId="723C2001" w:rsidR="001C7F35" w:rsidRPr="00E65AA7" w:rsidRDefault="001C7F35" w:rsidP="001C7F35">
            <w:pPr>
              <w:jc w:val="center"/>
              <w:rPr>
                <w:color w:val="000000"/>
                <w:sz w:val="20"/>
                <w:szCs w:val="20"/>
              </w:rPr>
            </w:pPr>
            <w:r>
              <w:rPr>
                <w:color w:val="000000"/>
                <w:sz w:val="20"/>
                <w:szCs w:val="20"/>
              </w:rPr>
              <w:t>(7.37)</w:t>
            </w:r>
          </w:p>
        </w:tc>
        <w:tc>
          <w:tcPr>
            <w:tcW w:w="329" w:type="pct"/>
            <w:tcBorders>
              <w:top w:val="nil"/>
              <w:left w:val="nil"/>
              <w:bottom w:val="nil"/>
              <w:right w:val="nil"/>
            </w:tcBorders>
            <w:shd w:val="clear" w:color="auto" w:fill="auto"/>
            <w:noWrap/>
            <w:vAlign w:val="center"/>
          </w:tcPr>
          <w:p w14:paraId="2EDD6221" w14:textId="541B202F" w:rsidR="001C7F35" w:rsidRPr="00E65AA7" w:rsidRDefault="001C7F35" w:rsidP="001C7F35">
            <w:pPr>
              <w:jc w:val="center"/>
              <w:rPr>
                <w:color w:val="000000"/>
                <w:sz w:val="20"/>
                <w:szCs w:val="20"/>
              </w:rPr>
            </w:pPr>
            <w:r>
              <w:rPr>
                <w:color w:val="000000"/>
                <w:sz w:val="20"/>
                <w:szCs w:val="20"/>
              </w:rPr>
              <w:t>(6.9)</w:t>
            </w:r>
          </w:p>
        </w:tc>
        <w:tc>
          <w:tcPr>
            <w:tcW w:w="329" w:type="pct"/>
            <w:tcBorders>
              <w:top w:val="nil"/>
              <w:left w:val="nil"/>
              <w:bottom w:val="nil"/>
              <w:right w:val="nil"/>
            </w:tcBorders>
            <w:shd w:val="clear" w:color="auto" w:fill="auto"/>
            <w:noWrap/>
            <w:vAlign w:val="center"/>
          </w:tcPr>
          <w:p w14:paraId="7E0A4574" w14:textId="5844531D" w:rsidR="001C7F35" w:rsidRPr="00E65AA7" w:rsidRDefault="001C7F35" w:rsidP="001C7F35">
            <w:pPr>
              <w:jc w:val="center"/>
              <w:rPr>
                <w:color w:val="000000"/>
                <w:sz w:val="20"/>
                <w:szCs w:val="20"/>
              </w:rPr>
            </w:pPr>
            <w:r>
              <w:rPr>
                <w:color w:val="000000"/>
                <w:sz w:val="20"/>
                <w:szCs w:val="20"/>
              </w:rPr>
              <w:t>(7.29)</w:t>
            </w:r>
          </w:p>
        </w:tc>
        <w:tc>
          <w:tcPr>
            <w:tcW w:w="329" w:type="pct"/>
            <w:tcBorders>
              <w:top w:val="nil"/>
              <w:left w:val="nil"/>
              <w:bottom w:val="nil"/>
              <w:right w:val="nil"/>
            </w:tcBorders>
            <w:shd w:val="clear" w:color="auto" w:fill="auto"/>
            <w:noWrap/>
            <w:vAlign w:val="center"/>
          </w:tcPr>
          <w:p w14:paraId="6B177F8E" w14:textId="2C44CBEF" w:rsidR="001C7F35" w:rsidRPr="00E65AA7" w:rsidRDefault="001C7F35" w:rsidP="001C7F35">
            <w:pPr>
              <w:jc w:val="center"/>
              <w:rPr>
                <w:color w:val="000000"/>
                <w:sz w:val="20"/>
                <w:szCs w:val="20"/>
              </w:rPr>
            </w:pPr>
            <w:r>
              <w:rPr>
                <w:color w:val="000000"/>
                <w:sz w:val="20"/>
                <w:szCs w:val="20"/>
              </w:rPr>
              <w:t>(7.12)</w:t>
            </w:r>
          </w:p>
        </w:tc>
        <w:tc>
          <w:tcPr>
            <w:tcW w:w="329" w:type="pct"/>
            <w:tcBorders>
              <w:top w:val="nil"/>
              <w:left w:val="nil"/>
              <w:bottom w:val="nil"/>
              <w:right w:val="nil"/>
            </w:tcBorders>
            <w:shd w:val="clear" w:color="auto" w:fill="auto"/>
            <w:noWrap/>
            <w:vAlign w:val="center"/>
          </w:tcPr>
          <w:p w14:paraId="7F8553B5" w14:textId="326EB8E9" w:rsidR="001C7F35" w:rsidRPr="00E65AA7" w:rsidRDefault="001C7F35" w:rsidP="001C7F35">
            <w:pPr>
              <w:jc w:val="center"/>
              <w:rPr>
                <w:color w:val="000000"/>
                <w:sz w:val="20"/>
                <w:szCs w:val="20"/>
              </w:rPr>
            </w:pPr>
            <w:r>
              <w:rPr>
                <w:color w:val="000000"/>
                <w:sz w:val="20"/>
                <w:szCs w:val="20"/>
              </w:rPr>
              <w:t>(6.55)</w:t>
            </w:r>
          </w:p>
        </w:tc>
        <w:tc>
          <w:tcPr>
            <w:tcW w:w="329" w:type="pct"/>
            <w:tcBorders>
              <w:top w:val="nil"/>
              <w:left w:val="nil"/>
              <w:bottom w:val="nil"/>
              <w:right w:val="nil"/>
            </w:tcBorders>
            <w:shd w:val="clear" w:color="auto" w:fill="auto"/>
            <w:noWrap/>
            <w:vAlign w:val="center"/>
          </w:tcPr>
          <w:p w14:paraId="38E940F6" w14:textId="2F1C0C75" w:rsidR="001C7F35" w:rsidRPr="00E65AA7" w:rsidRDefault="001C7F35" w:rsidP="001C7F35">
            <w:pPr>
              <w:jc w:val="center"/>
              <w:rPr>
                <w:color w:val="000000"/>
                <w:sz w:val="20"/>
                <w:szCs w:val="20"/>
              </w:rPr>
            </w:pPr>
            <w:r>
              <w:rPr>
                <w:color w:val="000000"/>
                <w:sz w:val="20"/>
                <w:szCs w:val="20"/>
              </w:rPr>
              <w:t>(6.41)</w:t>
            </w:r>
          </w:p>
        </w:tc>
        <w:tc>
          <w:tcPr>
            <w:tcW w:w="329" w:type="pct"/>
            <w:tcBorders>
              <w:top w:val="nil"/>
              <w:left w:val="nil"/>
              <w:bottom w:val="nil"/>
              <w:right w:val="nil"/>
            </w:tcBorders>
            <w:shd w:val="clear" w:color="auto" w:fill="auto"/>
            <w:noWrap/>
            <w:vAlign w:val="center"/>
          </w:tcPr>
          <w:p w14:paraId="676E0118" w14:textId="19EAD1AD" w:rsidR="001C7F35" w:rsidRPr="00E65AA7" w:rsidRDefault="001C7F35" w:rsidP="001C7F35">
            <w:pPr>
              <w:jc w:val="center"/>
              <w:rPr>
                <w:color w:val="000000"/>
                <w:sz w:val="20"/>
                <w:szCs w:val="20"/>
              </w:rPr>
            </w:pPr>
            <w:r>
              <w:rPr>
                <w:color w:val="000000"/>
                <w:sz w:val="20"/>
                <w:szCs w:val="20"/>
              </w:rPr>
              <w:t>(6.99)</w:t>
            </w:r>
          </w:p>
        </w:tc>
        <w:tc>
          <w:tcPr>
            <w:tcW w:w="355" w:type="pct"/>
            <w:tcBorders>
              <w:top w:val="nil"/>
              <w:left w:val="nil"/>
              <w:bottom w:val="nil"/>
              <w:right w:val="nil"/>
            </w:tcBorders>
            <w:shd w:val="clear" w:color="auto" w:fill="auto"/>
            <w:noWrap/>
            <w:vAlign w:val="center"/>
          </w:tcPr>
          <w:p w14:paraId="022CECDC" w14:textId="57F9E16B" w:rsidR="001C7F35" w:rsidRPr="00E65AA7" w:rsidRDefault="001C7F35" w:rsidP="001C7F35">
            <w:pPr>
              <w:jc w:val="center"/>
              <w:rPr>
                <w:color w:val="000000"/>
                <w:sz w:val="20"/>
                <w:szCs w:val="20"/>
              </w:rPr>
            </w:pPr>
            <w:r>
              <w:rPr>
                <w:color w:val="000000"/>
                <w:sz w:val="20"/>
                <w:szCs w:val="20"/>
              </w:rPr>
              <w:t>(-3.04)</w:t>
            </w:r>
          </w:p>
        </w:tc>
        <w:tc>
          <w:tcPr>
            <w:tcW w:w="340" w:type="pct"/>
            <w:tcBorders>
              <w:top w:val="nil"/>
              <w:left w:val="nil"/>
              <w:bottom w:val="nil"/>
              <w:right w:val="nil"/>
            </w:tcBorders>
            <w:shd w:val="clear" w:color="auto" w:fill="auto"/>
            <w:noWrap/>
            <w:vAlign w:val="center"/>
          </w:tcPr>
          <w:p w14:paraId="1087600F" w14:textId="7624D270"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2.99)</w:t>
            </w:r>
          </w:p>
        </w:tc>
      </w:tr>
      <w:tr w:rsidR="001C7F35" w:rsidRPr="00E65AA7" w14:paraId="2B8C3ECC"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32E7B505" w14:textId="7878F951"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21" w:type="pct"/>
            <w:vMerge w:val="restart"/>
            <w:tcBorders>
              <w:top w:val="nil"/>
              <w:left w:val="nil"/>
              <w:right w:val="nil"/>
            </w:tcBorders>
            <w:vAlign w:val="center"/>
          </w:tcPr>
          <w:p w14:paraId="7E184D3D"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170</w:t>
            </w:r>
          </w:p>
        </w:tc>
        <w:tc>
          <w:tcPr>
            <w:tcW w:w="329" w:type="pct"/>
            <w:tcBorders>
              <w:top w:val="nil"/>
              <w:left w:val="nil"/>
              <w:bottom w:val="nil"/>
              <w:right w:val="nil"/>
            </w:tcBorders>
            <w:shd w:val="clear" w:color="auto" w:fill="auto"/>
            <w:noWrap/>
            <w:vAlign w:val="center"/>
          </w:tcPr>
          <w:p w14:paraId="055827DB" w14:textId="63A46A9D" w:rsidR="001C7F35" w:rsidRPr="00E65AA7" w:rsidRDefault="001C7F35" w:rsidP="001C7F35">
            <w:pPr>
              <w:jc w:val="center"/>
              <w:rPr>
                <w:color w:val="000000"/>
                <w:sz w:val="20"/>
                <w:szCs w:val="20"/>
              </w:rPr>
            </w:pPr>
            <w:r>
              <w:rPr>
                <w:color w:val="000000"/>
                <w:sz w:val="20"/>
                <w:szCs w:val="20"/>
              </w:rPr>
              <w:t>-1.52</w:t>
            </w:r>
          </w:p>
        </w:tc>
        <w:tc>
          <w:tcPr>
            <w:tcW w:w="329" w:type="pct"/>
            <w:tcBorders>
              <w:top w:val="nil"/>
              <w:left w:val="nil"/>
              <w:bottom w:val="nil"/>
              <w:right w:val="nil"/>
            </w:tcBorders>
            <w:shd w:val="clear" w:color="auto" w:fill="auto"/>
            <w:noWrap/>
            <w:vAlign w:val="center"/>
          </w:tcPr>
          <w:p w14:paraId="21FDB86E" w14:textId="15FDCF02" w:rsidR="001C7F35" w:rsidRPr="00E65AA7" w:rsidRDefault="001C7F35" w:rsidP="001C7F35">
            <w:pPr>
              <w:jc w:val="center"/>
              <w:rPr>
                <w:color w:val="000000"/>
                <w:sz w:val="20"/>
                <w:szCs w:val="20"/>
              </w:rPr>
            </w:pPr>
            <w:r>
              <w:rPr>
                <w:color w:val="000000"/>
                <w:sz w:val="20"/>
                <w:szCs w:val="20"/>
              </w:rPr>
              <w:t>-0.15</w:t>
            </w:r>
          </w:p>
        </w:tc>
        <w:tc>
          <w:tcPr>
            <w:tcW w:w="329" w:type="pct"/>
            <w:tcBorders>
              <w:top w:val="nil"/>
              <w:left w:val="nil"/>
              <w:bottom w:val="nil"/>
              <w:right w:val="nil"/>
            </w:tcBorders>
            <w:shd w:val="clear" w:color="auto" w:fill="auto"/>
            <w:noWrap/>
            <w:vAlign w:val="center"/>
          </w:tcPr>
          <w:p w14:paraId="1D990C76" w14:textId="78323228" w:rsidR="001C7F35" w:rsidRPr="00E65AA7" w:rsidRDefault="001C7F35" w:rsidP="001C7F35">
            <w:pPr>
              <w:jc w:val="center"/>
              <w:rPr>
                <w:color w:val="000000"/>
                <w:sz w:val="20"/>
                <w:szCs w:val="20"/>
              </w:rPr>
            </w:pPr>
            <w:r>
              <w:rPr>
                <w:color w:val="000000"/>
                <w:sz w:val="20"/>
                <w:szCs w:val="20"/>
              </w:rPr>
              <w:t>-0.09</w:t>
            </w:r>
          </w:p>
        </w:tc>
        <w:tc>
          <w:tcPr>
            <w:tcW w:w="329" w:type="pct"/>
            <w:tcBorders>
              <w:top w:val="nil"/>
              <w:left w:val="nil"/>
              <w:bottom w:val="nil"/>
              <w:right w:val="nil"/>
            </w:tcBorders>
            <w:shd w:val="clear" w:color="auto" w:fill="auto"/>
            <w:noWrap/>
            <w:vAlign w:val="center"/>
          </w:tcPr>
          <w:p w14:paraId="137FBCB3" w14:textId="7ED18925" w:rsidR="001C7F35" w:rsidRPr="00E65AA7" w:rsidRDefault="001C7F35" w:rsidP="001C7F35">
            <w:pPr>
              <w:jc w:val="center"/>
              <w:rPr>
                <w:color w:val="000000"/>
                <w:sz w:val="20"/>
                <w:szCs w:val="20"/>
              </w:rPr>
            </w:pPr>
            <w:r>
              <w:rPr>
                <w:color w:val="000000"/>
                <w:sz w:val="20"/>
                <w:szCs w:val="20"/>
              </w:rPr>
              <w:t>0.15</w:t>
            </w:r>
          </w:p>
        </w:tc>
        <w:tc>
          <w:tcPr>
            <w:tcW w:w="329" w:type="pct"/>
            <w:tcBorders>
              <w:top w:val="nil"/>
              <w:left w:val="nil"/>
              <w:bottom w:val="nil"/>
              <w:right w:val="nil"/>
            </w:tcBorders>
            <w:shd w:val="clear" w:color="auto" w:fill="auto"/>
            <w:noWrap/>
            <w:vAlign w:val="center"/>
          </w:tcPr>
          <w:p w14:paraId="2676CA7D" w14:textId="2BBACC73" w:rsidR="001C7F35" w:rsidRPr="00E65AA7" w:rsidRDefault="001C7F35" w:rsidP="001C7F35">
            <w:pPr>
              <w:jc w:val="center"/>
              <w:rPr>
                <w:color w:val="000000"/>
                <w:sz w:val="20"/>
                <w:szCs w:val="20"/>
              </w:rPr>
            </w:pPr>
            <w:r>
              <w:rPr>
                <w:color w:val="000000"/>
                <w:sz w:val="20"/>
                <w:szCs w:val="20"/>
              </w:rPr>
              <w:t>0.17</w:t>
            </w:r>
          </w:p>
        </w:tc>
        <w:tc>
          <w:tcPr>
            <w:tcW w:w="329" w:type="pct"/>
            <w:tcBorders>
              <w:top w:val="nil"/>
              <w:left w:val="nil"/>
              <w:bottom w:val="nil"/>
              <w:right w:val="nil"/>
            </w:tcBorders>
            <w:shd w:val="clear" w:color="auto" w:fill="auto"/>
            <w:noWrap/>
            <w:vAlign w:val="center"/>
          </w:tcPr>
          <w:p w14:paraId="3642DE60" w14:textId="59EA2072" w:rsidR="001C7F35" w:rsidRPr="00E65AA7" w:rsidRDefault="001C7F35" w:rsidP="001C7F35">
            <w:pPr>
              <w:jc w:val="center"/>
              <w:rPr>
                <w:color w:val="000000"/>
                <w:sz w:val="20"/>
                <w:szCs w:val="20"/>
              </w:rPr>
            </w:pPr>
            <w:r>
              <w:rPr>
                <w:color w:val="000000"/>
                <w:sz w:val="20"/>
                <w:szCs w:val="20"/>
              </w:rPr>
              <w:t>0.31</w:t>
            </w:r>
          </w:p>
        </w:tc>
        <w:tc>
          <w:tcPr>
            <w:tcW w:w="329" w:type="pct"/>
            <w:tcBorders>
              <w:top w:val="nil"/>
              <w:left w:val="nil"/>
              <w:bottom w:val="nil"/>
              <w:right w:val="nil"/>
            </w:tcBorders>
            <w:shd w:val="clear" w:color="auto" w:fill="auto"/>
            <w:noWrap/>
            <w:vAlign w:val="center"/>
          </w:tcPr>
          <w:p w14:paraId="3E59CEDC" w14:textId="3BBAC191" w:rsidR="001C7F35" w:rsidRPr="00E65AA7" w:rsidRDefault="001C7F35" w:rsidP="001C7F35">
            <w:pPr>
              <w:jc w:val="center"/>
              <w:rPr>
                <w:color w:val="000000"/>
                <w:sz w:val="20"/>
                <w:szCs w:val="20"/>
              </w:rPr>
            </w:pPr>
            <w:r>
              <w:rPr>
                <w:color w:val="000000"/>
                <w:sz w:val="20"/>
                <w:szCs w:val="20"/>
              </w:rPr>
              <w:t>0.32</w:t>
            </w:r>
          </w:p>
        </w:tc>
        <w:tc>
          <w:tcPr>
            <w:tcW w:w="329" w:type="pct"/>
            <w:tcBorders>
              <w:top w:val="nil"/>
              <w:left w:val="nil"/>
              <w:bottom w:val="nil"/>
              <w:right w:val="nil"/>
            </w:tcBorders>
            <w:shd w:val="clear" w:color="auto" w:fill="auto"/>
            <w:noWrap/>
            <w:vAlign w:val="center"/>
          </w:tcPr>
          <w:p w14:paraId="16619A6D" w14:textId="5CB0132B" w:rsidR="001C7F35" w:rsidRPr="00E65AA7" w:rsidRDefault="001C7F35" w:rsidP="001C7F35">
            <w:pPr>
              <w:jc w:val="center"/>
              <w:rPr>
                <w:color w:val="000000"/>
                <w:sz w:val="20"/>
                <w:szCs w:val="20"/>
              </w:rPr>
            </w:pPr>
            <w:r>
              <w:rPr>
                <w:color w:val="000000"/>
                <w:sz w:val="20"/>
                <w:szCs w:val="20"/>
              </w:rPr>
              <w:t>0.61</w:t>
            </w:r>
          </w:p>
        </w:tc>
        <w:tc>
          <w:tcPr>
            <w:tcW w:w="329" w:type="pct"/>
            <w:tcBorders>
              <w:top w:val="nil"/>
              <w:left w:val="nil"/>
              <w:bottom w:val="nil"/>
              <w:right w:val="nil"/>
            </w:tcBorders>
            <w:shd w:val="clear" w:color="auto" w:fill="auto"/>
            <w:noWrap/>
            <w:vAlign w:val="center"/>
          </w:tcPr>
          <w:p w14:paraId="396E0C88" w14:textId="41E16F83" w:rsidR="001C7F35" w:rsidRPr="00E65AA7" w:rsidRDefault="001C7F35" w:rsidP="001C7F35">
            <w:pPr>
              <w:jc w:val="center"/>
              <w:rPr>
                <w:color w:val="000000"/>
                <w:sz w:val="20"/>
                <w:szCs w:val="20"/>
              </w:rPr>
            </w:pPr>
            <w:r>
              <w:rPr>
                <w:color w:val="000000"/>
                <w:sz w:val="20"/>
                <w:szCs w:val="20"/>
              </w:rPr>
              <w:t>0.66</w:t>
            </w:r>
          </w:p>
        </w:tc>
        <w:tc>
          <w:tcPr>
            <w:tcW w:w="329" w:type="pct"/>
            <w:tcBorders>
              <w:top w:val="nil"/>
              <w:left w:val="nil"/>
              <w:bottom w:val="nil"/>
              <w:right w:val="nil"/>
            </w:tcBorders>
            <w:shd w:val="clear" w:color="auto" w:fill="auto"/>
            <w:noWrap/>
            <w:vAlign w:val="center"/>
          </w:tcPr>
          <w:p w14:paraId="4DE39B71" w14:textId="3F75E249" w:rsidR="001C7F35" w:rsidRPr="00E65AA7" w:rsidRDefault="001C7F35" w:rsidP="001C7F35">
            <w:pPr>
              <w:jc w:val="center"/>
              <w:rPr>
                <w:color w:val="000000"/>
                <w:sz w:val="20"/>
                <w:szCs w:val="20"/>
              </w:rPr>
            </w:pPr>
            <w:r>
              <w:rPr>
                <w:color w:val="000000"/>
                <w:sz w:val="20"/>
                <w:szCs w:val="20"/>
              </w:rPr>
              <w:t>0.72</w:t>
            </w:r>
          </w:p>
        </w:tc>
        <w:tc>
          <w:tcPr>
            <w:tcW w:w="329" w:type="pct"/>
            <w:tcBorders>
              <w:top w:val="nil"/>
              <w:left w:val="nil"/>
              <w:bottom w:val="nil"/>
              <w:right w:val="nil"/>
            </w:tcBorders>
            <w:shd w:val="clear" w:color="auto" w:fill="auto"/>
            <w:noWrap/>
            <w:vAlign w:val="center"/>
          </w:tcPr>
          <w:p w14:paraId="2FCF1651" w14:textId="70F5FF28" w:rsidR="001C7F35" w:rsidRPr="00E65AA7" w:rsidRDefault="001C7F35" w:rsidP="001C7F35">
            <w:pPr>
              <w:jc w:val="center"/>
              <w:rPr>
                <w:color w:val="000000"/>
                <w:sz w:val="20"/>
                <w:szCs w:val="20"/>
              </w:rPr>
            </w:pPr>
            <w:r>
              <w:rPr>
                <w:color w:val="000000"/>
                <w:sz w:val="20"/>
                <w:szCs w:val="20"/>
              </w:rPr>
              <w:t>0.54</w:t>
            </w:r>
          </w:p>
        </w:tc>
        <w:tc>
          <w:tcPr>
            <w:tcW w:w="355" w:type="pct"/>
            <w:tcBorders>
              <w:top w:val="nil"/>
              <w:left w:val="nil"/>
              <w:bottom w:val="nil"/>
              <w:right w:val="nil"/>
            </w:tcBorders>
            <w:shd w:val="clear" w:color="auto" w:fill="auto"/>
            <w:noWrap/>
            <w:vAlign w:val="center"/>
          </w:tcPr>
          <w:p w14:paraId="3697FA37" w14:textId="4D74315C" w:rsidR="001C7F35" w:rsidRPr="00E65AA7" w:rsidRDefault="001C7F35" w:rsidP="001C7F35">
            <w:pPr>
              <w:jc w:val="center"/>
              <w:rPr>
                <w:color w:val="000000"/>
                <w:sz w:val="20"/>
                <w:szCs w:val="20"/>
              </w:rPr>
            </w:pPr>
            <w:r>
              <w:rPr>
                <w:color w:val="000000"/>
                <w:sz w:val="20"/>
                <w:szCs w:val="20"/>
              </w:rPr>
              <w:t>0.69</w:t>
            </w:r>
          </w:p>
        </w:tc>
        <w:tc>
          <w:tcPr>
            <w:tcW w:w="340" w:type="pct"/>
            <w:tcBorders>
              <w:top w:val="nil"/>
              <w:left w:val="nil"/>
              <w:bottom w:val="nil"/>
              <w:right w:val="nil"/>
            </w:tcBorders>
            <w:shd w:val="clear" w:color="auto" w:fill="auto"/>
            <w:noWrap/>
            <w:vAlign w:val="center"/>
          </w:tcPr>
          <w:p w14:paraId="7F66F32F" w14:textId="6E690F2D"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1.85</w:t>
            </w:r>
          </w:p>
        </w:tc>
      </w:tr>
      <w:tr w:rsidR="001C7F35" w:rsidRPr="00E65AA7" w14:paraId="27843FDF" w14:textId="77777777" w:rsidTr="001C7F35">
        <w:trPr>
          <w:trHeight w:hRule="exact" w:val="255"/>
        </w:trPr>
        <w:tc>
          <w:tcPr>
            <w:tcW w:w="465" w:type="pct"/>
            <w:vMerge/>
            <w:tcBorders>
              <w:top w:val="nil"/>
              <w:left w:val="nil"/>
              <w:bottom w:val="nil"/>
              <w:right w:val="nil"/>
            </w:tcBorders>
            <w:vAlign w:val="center"/>
          </w:tcPr>
          <w:p w14:paraId="6637E5EB"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097C4429"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7F4F9FEC" w14:textId="61DFB296" w:rsidR="001C7F35" w:rsidRPr="00E65AA7" w:rsidRDefault="001C7F35" w:rsidP="001C7F35">
            <w:pPr>
              <w:jc w:val="center"/>
              <w:rPr>
                <w:color w:val="000000"/>
                <w:sz w:val="20"/>
                <w:szCs w:val="20"/>
              </w:rPr>
            </w:pPr>
            <w:r>
              <w:rPr>
                <w:color w:val="000000"/>
                <w:sz w:val="20"/>
                <w:szCs w:val="20"/>
              </w:rPr>
              <w:t>(-3.04)</w:t>
            </w:r>
          </w:p>
        </w:tc>
        <w:tc>
          <w:tcPr>
            <w:tcW w:w="329" w:type="pct"/>
            <w:tcBorders>
              <w:top w:val="nil"/>
              <w:left w:val="nil"/>
              <w:bottom w:val="nil"/>
              <w:right w:val="nil"/>
            </w:tcBorders>
            <w:shd w:val="clear" w:color="auto" w:fill="auto"/>
            <w:noWrap/>
            <w:vAlign w:val="center"/>
          </w:tcPr>
          <w:p w14:paraId="2CB7286E" w14:textId="02A1D27C" w:rsidR="001C7F35" w:rsidRPr="00E65AA7" w:rsidRDefault="001C7F35" w:rsidP="001C7F35">
            <w:pPr>
              <w:jc w:val="center"/>
              <w:rPr>
                <w:color w:val="000000"/>
                <w:sz w:val="20"/>
                <w:szCs w:val="20"/>
              </w:rPr>
            </w:pPr>
            <w:r>
              <w:rPr>
                <w:color w:val="000000"/>
                <w:sz w:val="20"/>
                <w:szCs w:val="20"/>
              </w:rPr>
              <w:t>(-0.35)</w:t>
            </w:r>
          </w:p>
        </w:tc>
        <w:tc>
          <w:tcPr>
            <w:tcW w:w="329" w:type="pct"/>
            <w:tcBorders>
              <w:top w:val="nil"/>
              <w:left w:val="nil"/>
              <w:bottom w:val="nil"/>
              <w:right w:val="nil"/>
            </w:tcBorders>
            <w:shd w:val="clear" w:color="auto" w:fill="auto"/>
            <w:noWrap/>
            <w:vAlign w:val="center"/>
          </w:tcPr>
          <w:p w14:paraId="0996DC01" w14:textId="52D29E82" w:rsidR="001C7F35" w:rsidRPr="00E65AA7" w:rsidRDefault="001C7F35" w:rsidP="001C7F35">
            <w:pPr>
              <w:jc w:val="center"/>
              <w:rPr>
                <w:color w:val="000000"/>
                <w:sz w:val="20"/>
                <w:szCs w:val="20"/>
              </w:rPr>
            </w:pPr>
            <w:r>
              <w:rPr>
                <w:color w:val="000000"/>
                <w:sz w:val="20"/>
                <w:szCs w:val="20"/>
              </w:rPr>
              <w:t>(-0.22)</w:t>
            </w:r>
          </w:p>
        </w:tc>
        <w:tc>
          <w:tcPr>
            <w:tcW w:w="329" w:type="pct"/>
            <w:tcBorders>
              <w:top w:val="nil"/>
              <w:left w:val="nil"/>
              <w:bottom w:val="nil"/>
              <w:right w:val="nil"/>
            </w:tcBorders>
            <w:shd w:val="clear" w:color="auto" w:fill="auto"/>
            <w:noWrap/>
            <w:vAlign w:val="center"/>
          </w:tcPr>
          <w:p w14:paraId="7B82D63F" w14:textId="2F36D5EF" w:rsidR="001C7F35" w:rsidRPr="00E65AA7" w:rsidRDefault="001C7F35" w:rsidP="001C7F35">
            <w:pPr>
              <w:jc w:val="center"/>
              <w:rPr>
                <w:color w:val="000000"/>
                <w:sz w:val="20"/>
                <w:szCs w:val="20"/>
              </w:rPr>
            </w:pPr>
            <w:r>
              <w:rPr>
                <w:color w:val="000000"/>
                <w:sz w:val="20"/>
                <w:szCs w:val="20"/>
              </w:rPr>
              <w:t>(0.4</w:t>
            </w:r>
            <w:r w:rsidR="004D5A47">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tcPr>
          <w:p w14:paraId="65621E74" w14:textId="15BD2245" w:rsidR="001C7F35" w:rsidRPr="00E65AA7" w:rsidRDefault="001C7F35" w:rsidP="001C7F35">
            <w:pPr>
              <w:jc w:val="center"/>
              <w:rPr>
                <w:color w:val="000000"/>
                <w:sz w:val="20"/>
                <w:szCs w:val="20"/>
              </w:rPr>
            </w:pPr>
            <w:r>
              <w:rPr>
                <w:color w:val="000000"/>
                <w:sz w:val="20"/>
                <w:szCs w:val="20"/>
              </w:rPr>
              <w:t>(0.46)</w:t>
            </w:r>
          </w:p>
        </w:tc>
        <w:tc>
          <w:tcPr>
            <w:tcW w:w="329" w:type="pct"/>
            <w:tcBorders>
              <w:top w:val="nil"/>
              <w:left w:val="nil"/>
              <w:bottom w:val="nil"/>
              <w:right w:val="nil"/>
            </w:tcBorders>
            <w:shd w:val="clear" w:color="auto" w:fill="auto"/>
            <w:noWrap/>
            <w:vAlign w:val="center"/>
          </w:tcPr>
          <w:p w14:paraId="003733D1" w14:textId="73395043" w:rsidR="001C7F35" w:rsidRPr="00E65AA7" w:rsidRDefault="001C7F35" w:rsidP="001C7F35">
            <w:pPr>
              <w:jc w:val="center"/>
              <w:rPr>
                <w:color w:val="000000"/>
                <w:sz w:val="20"/>
                <w:szCs w:val="20"/>
              </w:rPr>
            </w:pPr>
            <w:r>
              <w:rPr>
                <w:color w:val="000000"/>
                <w:sz w:val="20"/>
                <w:szCs w:val="20"/>
              </w:rPr>
              <w:t>(0.88)</w:t>
            </w:r>
          </w:p>
        </w:tc>
        <w:tc>
          <w:tcPr>
            <w:tcW w:w="329" w:type="pct"/>
            <w:tcBorders>
              <w:top w:val="nil"/>
              <w:left w:val="nil"/>
              <w:bottom w:val="nil"/>
              <w:right w:val="nil"/>
            </w:tcBorders>
            <w:shd w:val="clear" w:color="auto" w:fill="auto"/>
            <w:noWrap/>
            <w:vAlign w:val="center"/>
          </w:tcPr>
          <w:p w14:paraId="60CB8D13" w14:textId="571A4C16" w:rsidR="001C7F35" w:rsidRPr="00E65AA7" w:rsidRDefault="001C7F35" w:rsidP="001C7F35">
            <w:pPr>
              <w:jc w:val="center"/>
              <w:rPr>
                <w:color w:val="000000"/>
                <w:sz w:val="20"/>
                <w:szCs w:val="20"/>
              </w:rPr>
            </w:pPr>
            <w:r>
              <w:rPr>
                <w:color w:val="000000"/>
                <w:sz w:val="20"/>
                <w:szCs w:val="20"/>
              </w:rPr>
              <w:t>(0.94)</w:t>
            </w:r>
          </w:p>
        </w:tc>
        <w:tc>
          <w:tcPr>
            <w:tcW w:w="329" w:type="pct"/>
            <w:tcBorders>
              <w:top w:val="nil"/>
              <w:left w:val="nil"/>
              <w:bottom w:val="nil"/>
              <w:right w:val="nil"/>
            </w:tcBorders>
            <w:shd w:val="clear" w:color="auto" w:fill="auto"/>
            <w:noWrap/>
            <w:vAlign w:val="center"/>
          </w:tcPr>
          <w:p w14:paraId="7BEFFBED" w14:textId="57B71523" w:rsidR="001C7F35" w:rsidRPr="00E65AA7" w:rsidRDefault="001C7F35" w:rsidP="001C7F35">
            <w:pPr>
              <w:jc w:val="center"/>
              <w:rPr>
                <w:color w:val="000000"/>
                <w:sz w:val="20"/>
                <w:szCs w:val="20"/>
              </w:rPr>
            </w:pPr>
            <w:r>
              <w:rPr>
                <w:color w:val="000000"/>
                <w:sz w:val="20"/>
                <w:szCs w:val="20"/>
              </w:rPr>
              <w:t>(1.87)</w:t>
            </w:r>
          </w:p>
        </w:tc>
        <w:tc>
          <w:tcPr>
            <w:tcW w:w="329" w:type="pct"/>
            <w:tcBorders>
              <w:top w:val="nil"/>
              <w:left w:val="nil"/>
              <w:bottom w:val="nil"/>
              <w:right w:val="nil"/>
            </w:tcBorders>
            <w:shd w:val="clear" w:color="auto" w:fill="auto"/>
            <w:noWrap/>
            <w:vAlign w:val="center"/>
          </w:tcPr>
          <w:p w14:paraId="40A09C26" w14:textId="53FB5477" w:rsidR="001C7F35" w:rsidRPr="00E65AA7" w:rsidRDefault="001C7F35" w:rsidP="001C7F35">
            <w:pPr>
              <w:jc w:val="center"/>
              <w:rPr>
                <w:color w:val="000000"/>
                <w:sz w:val="20"/>
                <w:szCs w:val="20"/>
              </w:rPr>
            </w:pPr>
            <w:r>
              <w:rPr>
                <w:color w:val="000000"/>
                <w:sz w:val="20"/>
                <w:szCs w:val="20"/>
              </w:rPr>
              <w:t>(2.15)</w:t>
            </w:r>
          </w:p>
        </w:tc>
        <w:tc>
          <w:tcPr>
            <w:tcW w:w="329" w:type="pct"/>
            <w:tcBorders>
              <w:top w:val="nil"/>
              <w:left w:val="nil"/>
              <w:bottom w:val="nil"/>
              <w:right w:val="nil"/>
            </w:tcBorders>
            <w:shd w:val="clear" w:color="auto" w:fill="auto"/>
            <w:noWrap/>
            <w:vAlign w:val="center"/>
          </w:tcPr>
          <w:p w14:paraId="6C932AC1" w14:textId="15AF6717" w:rsidR="001C7F35" w:rsidRPr="00E65AA7" w:rsidRDefault="001C7F35" w:rsidP="001C7F35">
            <w:pPr>
              <w:jc w:val="center"/>
              <w:rPr>
                <w:color w:val="000000"/>
                <w:sz w:val="20"/>
                <w:szCs w:val="20"/>
              </w:rPr>
            </w:pPr>
            <w:r>
              <w:rPr>
                <w:color w:val="000000"/>
                <w:sz w:val="20"/>
                <w:szCs w:val="20"/>
              </w:rPr>
              <w:t>(2.6</w:t>
            </w:r>
            <w:r w:rsidR="004D5A47">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tcPr>
          <w:p w14:paraId="64DC1CDB" w14:textId="1D6D79F5" w:rsidR="001C7F35" w:rsidRPr="00E65AA7" w:rsidRDefault="001C7F35" w:rsidP="001C7F35">
            <w:pPr>
              <w:jc w:val="center"/>
              <w:rPr>
                <w:color w:val="000000"/>
                <w:sz w:val="20"/>
                <w:szCs w:val="20"/>
              </w:rPr>
            </w:pPr>
            <w:r>
              <w:rPr>
                <w:color w:val="000000"/>
                <w:sz w:val="20"/>
                <w:szCs w:val="20"/>
              </w:rPr>
              <w:t>(1.78)</w:t>
            </w:r>
          </w:p>
        </w:tc>
        <w:tc>
          <w:tcPr>
            <w:tcW w:w="355" w:type="pct"/>
            <w:tcBorders>
              <w:top w:val="nil"/>
              <w:left w:val="nil"/>
              <w:bottom w:val="nil"/>
              <w:right w:val="nil"/>
            </w:tcBorders>
            <w:shd w:val="clear" w:color="auto" w:fill="auto"/>
            <w:noWrap/>
            <w:vAlign w:val="center"/>
          </w:tcPr>
          <w:p w14:paraId="6B4BE961" w14:textId="0AEBCBC0" w:rsidR="001C7F35" w:rsidRPr="00E65AA7" w:rsidRDefault="001C7F35" w:rsidP="001C7F35">
            <w:pPr>
              <w:jc w:val="center"/>
              <w:rPr>
                <w:color w:val="000000"/>
                <w:sz w:val="20"/>
                <w:szCs w:val="20"/>
              </w:rPr>
            </w:pPr>
            <w:r>
              <w:rPr>
                <w:color w:val="000000"/>
                <w:sz w:val="20"/>
                <w:szCs w:val="20"/>
              </w:rPr>
              <w:t>(3.71)</w:t>
            </w:r>
          </w:p>
        </w:tc>
        <w:tc>
          <w:tcPr>
            <w:tcW w:w="340" w:type="pct"/>
            <w:tcBorders>
              <w:top w:val="nil"/>
              <w:left w:val="nil"/>
              <w:bottom w:val="nil"/>
              <w:right w:val="nil"/>
            </w:tcBorders>
            <w:shd w:val="clear" w:color="auto" w:fill="auto"/>
            <w:noWrap/>
            <w:vAlign w:val="center"/>
          </w:tcPr>
          <w:p w14:paraId="5A4516B0" w14:textId="78E85220"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6.54)</w:t>
            </w:r>
          </w:p>
        </w:tc>
      </w:tr>
      <w:tr w:rsidR="001C7F35" w:rsidRPr="00E65AA7" w14:paraId="351DD5C8"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7FFFEF4F" w14:textId="2484862E"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21" w:type="pct"/>
            <w:vMerge w:val="restart"/>
            <w:tcBorders>
              <w:top w:val="nil"/>
              <w:left w:val="nil"/>
              <w:right w:val="nil"/>
            </w:tcBorders>
            <w:vAlign w:val="center"/>
          </w:tcPr>
          <w:p w14:paraId="188CA063"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124</w:t>
            </w:r>
          </w:p>
        </w:tc>
        <w:tc>
          <w:tcPr>
            <w:tcW w:w="329" w:type="pct"/>
            <w:tcBorders>
              <w:top w:val="nil"/>
              <w:left w:val="nil"/>
              <w:bottom w:val="nil"/>
              <w:right w:val="nil"/>
            </w:tcBorders>
            <w:shd w:val="clear" w:color="auto" w:fill="auto"/>
            <w:noWrap/>
            <w:vAlign w:val="center"/>
          </w:tcPr>
          <w:p w14:paraId="65F1C503" w14:textId="39AD0FA5" w:rsidR="001C7F35" w:rsidRPr="00E65AA7" w:rsidRDefault="001C7F35" w:rsidP="001C7F35">
            <w:pPr>
              <w:jc w:val="center"/>
              <w:rPr>
                <w:color w:val="000000"/>
                <w:sz w:val="20"/>
                <w:szCs w:val="20"/>
              </w:rPr>
            </w:pPr>
            <w:r>
              <w:rPr>
                <w:color w:val="000000"/>
                <w:sz w:val="20"/>
                <w:szCs w:val="20"/>
              </w:rPr>
              <w:t>-0.75</w:t>
            </w:r>
          </w:p>
        </w:tc>
        <w:tc>
          <w:tcPr>
            <w:tcW w:w="329" w:type="pct"/>
            <w:tcBorders>
              <w:top w:val="nil"/>
              <w:left w:val="nil"/>
              <w:bottom w:val="nil"/>
              <w:right w:val="nil"/>
            </w:tcBorders>
            <w:shd w:val="clear" w:color="auto" w:fill="auto"/>
            <w:noWrap/>
            <w:vAlign w:val="center"/>
          </w:tcPr>
          <w:p w14:paraId="071FF622" w14:textId="4A9F6C6E" w:rsidR="001C7F35" w:rsidRPr="00E65AA7" w:rsidRDefault="001C7F35" w:rsidP="001C7F35">
            <w:pPr>
              <w:jc w:val="center"/>
              <w:rPr>
                <w:color w:val="000000"/>
                <w:sz w:val="20"/>
                <w:szCs w:val="20"/>
              </w:rPr>
            </w:pPr>
            <w:r>
              <w:rPr>
                <w:color w:val="000000"/>
                <w:sz w:val="20"/>
                <w:szCs w:val="20"/>
              </w:rPr>
              <w:t>-0.25</w:t>
            </w:r>
          </w:p>
        </w:tc>
        <w:tc>
          <w:tcPr>
            <w:tcW w:w="329" w:type="pct"/>
            <w:tcBorders>
              <w:top w:val="nil"/>
              <w:left w:val="nil"/>
              <w:bottom w:val="nil"/>
              <w:right w:val="nil"/>
            </w:tcBorders>
            <w:shd w:val="clear" w:color="auto" w:fill="auto"/>
            <w:noWrap/>
            <w:vAlign w:val="center"/>
          </w:tcPr>
          <w:p w14:paraId="70323B5C" w14:textId="2DF4702A" w:rsidR="001C7F35" w:rsidRPr="00E65AA7" w:rsidRDefault="001C7F35" w:rsidP="001C7F35">
            <w:pPr>
              <w:jc w:val="center"/>
              <w:rPr>
                <w:color w:val="000000"/>
                <w:sz w:val="20"/>
                <w:szCs w:val="20"/>
              </w:rPr>
            </w:pPr>
            <w:r>
              <w:rPr>
                <w:color w:val="000000"/>
                <w:sz w:val="20"/>
                <w:szCs w:val="20"/>
              </w:rPr>
              <w:t>-0.27</w:t>
            </w:r>
          </w:p>
        </w:tc>
        <w:tc>
          <w:tcPr>
            <w:tcW w:w="329" w:type="pct"/>
            <w:tcBorders>
              <w:top w:val="nil"/>
              <w:left w:val="nil"/>
              <w:bottom w:val="nil"/>
              <w:right w:val="nil"/>
            </w:tcBorders>
            <w:shd w:val="clear" w:color="auto" w:fill="auto"/>
            <w:noWrap/>
            <w:vAlign w:val="center"/>
          </w:tcPr>
          <w:p w14:paraId="521C1D6D" w14:textId="5F73278D" w:rsidR="001C7F35" w:rsidRPr="00E65AA7" w:rsidRDefault="001C7F35" w:rsidP="001C7F35">
            <w:pPr>
              <w:jc w:val="center"/>
              <w:rPr>
                <w:color w:val="000000"/>
                <w:sz w:val="20"/>
                <w:szCs w:val="20"/>
              </w:rPr>
            </w:pPr>
            <w:r>
              <w:rPr>
                <w:color w:val="000000"/>
                <w:sz w:val="20"/>
                <w:szCs w:val="20"/>
              </w:rPr>
              <w:t>-0.10</w:t>
            </w:r>
          </w:p>
        </w:tc>
        <w:tc>
          <w:tcPr>
            <w:tcW w:w="329" w:type="pct"/>
            <w:tcBorders>
              <w:top w:val="nil"/>
              <w:left w:val="nil"/>
              <w:bottom w:val="nil"/>
              <w:right w:val="nil"/>
            </w:tcBorders>
            <w:shd w:val="clear" w:color="auto" w:fill="auto"/>
            <w:noWrap/>
            <w:vAlign w:val="center"/>
          </w:tcPr>
          <w:p w14:paraId="1BA1B2BF" w14:textId="13C098BE" w:rsidR="001C7F35" w:rsidRPr="00E65AA7" w:rsidRDefault="001C7F35" w:rsidP="001C7F35">
            <w:pPr>
              <w:jc w:val="center"/>
              <w:rPr>
                <w:color w:val="000000"/>
                <w:sz w:val="20"/>
                <w:szCs w:val="20"/>
              </w:rPr>
            </w:pPr>
            <w:r>
              <w:rPr>
                <w:color w:val="000000"/>
                <w:sz w:val="20"/>
                <w:szCs w:val="20"/>
              </w:rPr>
              <w:t>-0.06</w:t>
            </w:r>
          </w:p>
        </w:tc>
        <w:tc>
          <w:tcPr>
            <w:tcW w:w="329" w:type="pct"/>
            <w:tcBorders>
              <w:top w:val="nil"/>
              <w:left w:val="nil"/>
              <w:bottom w:val="nil"/>
              <w:right w:val="nil"/>
            </w:tcBorders>
            <w:shd w:val="clear" w:color="auto" w:fill="auto"/>
            <w:noWrap/>
            <w:vAlign w:val="center"/>
          </w:tcPr>
          <w:p w14:paraId="2552FC31" w14:textId="2F03E012" w:rsidR="001C7F35" w:rsidRPr="00E65AA7" w:rsidRDefault="001C7F35" w:rsidP="001C7F35">
            <w:pPr>
              <w:jc w:val="center"/>
              <w:rPr>
                <w:color w:val="000000"/>
                <w:sz w:val="20"/>
                <w:szCs w:val="20"/>
              </w:rPr>
            </w:pPr>
            <w:r>
              <w:rPr>
                <w:color w:val="000000"/>
                <w:sz w:val="20"/>
                <w:szCs w:val="20"/>
              </w:rPr>
              <w:t>-0.10</w:t>
            </w:r>
          </w:p>
        </w:tc>
        <w:tc>
          <w:tcPr>
            <w:tcW w:w="329" w:type="pct"/>
            <w:tcBorders>
              <w:top w:val="nil"/>
              <w:left w:val="nil"/>
              <w:bottom w:val="nil"/>
              <w:right w:val="nil"/>
            </w:tcBorders>
            <w:shd w:val="clear" w:color="auto" w:fill="auto"/>
            <w:noWrap/>
            <w:vAlign w:val="center"/>
          </w:tcPr>
          <w:p w14:paraId="7BA19D1E" w14:textId="24365F73" w:rsidR="001C7F35" w:rsidRPr="00E65AA7" w:rsidRDefault="001C7F35" w:rsidP="001C7F35">
            <w:pPr>
              <w:jc w:val="center"/>
              <w:rPr>
                <w:color w:val="000000"/>
                <w:sz w:val="20"/>
                <w:szCs w:val="20"/>
              </w:rPr>
            </w:pPr>
            <w:r>
              <w:rPr>
                <w:color w:val="000000"/>
                <w:sz w:val="20"/>
                <w:szCs w:val="20"/>
              </w:rPr>
              <w:t>0.13</w:t>
            </w:r>
          </w:p>
        </w:tc>
        <w:tc>
          <w:tcPr>
            <w:tcW w:w="329" w:type="pct"/>
            <w:tcBorders>
              <w:top w:val="nil"/>
              <w:left w:val="nil"/>
              <w:bottom w:val="nil"/>
              <w:right w:val="nil"/>
            </w:tcBorders>
            <w:shd w:val="clear" w:color="auto" w:fill="auto"/>
            <w:noWrap/>
            <w:vAlign w:val="center"/>
          </w:tcPr>
          <w:p w14:paraId="02158662" w14:textId="5AB6F41C" w:rsidR="001C7F35" w:rsidRPr="00E65AA7" w:rsidRDefault="001C7F35" w:rsidP="001C7F35">
            <w:pPr>
              <w:jc w:val="center"/>
              <w:rPr>
                <w:color w:val="000000"/>
                <w:sz w:val="20"/>
                <w:szCs w:val="20"/>
              </w:rPr>
            </w:pPr>
            <w:r>
              <w:rPr>
                <w:color w:val="000000"/>
                <w:sz w:val="20"/>
                <w:szCs w:val="20"/>
              </w:rPr>
              <w:t>0.20</w:t>
            </w:r>
          </w:p>
        </w:tc>
        <w:tc>
          <w:tcPr>
            <w:tcW w:w="329" w:type="pct"/>
            <w:tcBorders>
              <w:top w:val="nil"/>
              <w:left w:val="nil"/>
              <w:bottom w:val="nil"/>
              <w:right w:val="nil"/>
            </w:tcBorders>
            <w:shd w:val="clear" w:color="auto" w:fill="auto"/>
            <w:noWrap/>
            <w:vAlign w:val="center"/>
          </w:tcPr>
          <w:p w14:paraId="0ED10218" w14:textId="53C9C6FB" w:rsidR="001C7F35" w:rsidRPr="00E65AA7" w:rsidRDefault="001C7F35" w:rsidP="001C7F35">
            <w:pPr>
              <w:jc w:val="center"/>
              <w:rPr>
                <w:color w:val="000000"/>
                <w:sz w:val="20"/>
                <w:szCs w:val="20"/>
              </w:rPr>
            </w:pPr>
            <w:r>
              <w:rPr>
                <w:color w:val="000000"/>
                <w:sz w:val="20"/>
                <w:szCs w:val="20"/>
              </w:rPr>
              <w:t>0.28</w:t>
            </w:r>
          </w:p>
        </w:tc>
        <w:tc>
          <w:tcPr>
            <w:tcW w:w="329" w:type="pct"/>
            <w:tcBorders>
              <w:top w:val="nil"/>
              <w:left w:val="nil"/>
              <w:bottom w:val="nil"/>
              <w:right w:val="nil"/>
            </w:tcBorders>
            <w:shd w:val="clear" w:color="auto" w:fill="auto"/>
            <w:noWrap/>
            <w:vAlign w:val="center"/>
          </w:tcPr>
          <w:p w14:paraId="034A17CF" w14:textId="746DEB6F" w:rsidR="001C7F35" w:rsidRPr="00E65AA7" w:rsidRDefault="001C7F35" w:rsidP="001C7F35">
            <w:pPr>
              <w:jc w:val="center"/>
              <w:rPr>
                <w:color w:val="000000"/>
                <w:sz w:val="20"/>
                <w:szCs w:val="20"/>
              </w:rPr>
            </w:pPr>
            <w:r>
              <w:rPr>
                <w:color w:val="000000"/>
                <w:sz w:val="20"/>
                <w:szCs w:val="20"/>
              </w:rPr>
              <w:t>0.39</w:t>
            </w:r>
          </w:p>
        </w:tc>
        <w:tc>
          <w:tcPr>
            <w:tcW w:w="329" w:type="pct"/>
            <w:tcBorders>
              <w:top w:val="nil"/>
              <w:left w:val="nil"/>
              <w:bottom w:val="nil"/>
              <w:right w:val="nil"/>
            </w:tcBorders>
            <w:shd w:val="clear" w:color="auto" w:fill="auto"/>
            <w:noWrap/>
            <w:vAlign w:val="center"/>
          </w:tcPr>
          <w:p w14:paraId="4C801672" w14:textId="418C607A" w:rsidR="001C7F35" w:rsidRPr="00E65AA7" w:rsidRDefault="001C7F35" w:rsidP="001C7F35">
            <w:pPr>
              <w:jc w:val="center"/>
              <w:rPr>
                <w:color w:val="000000"/>
                <w:sz w:val="20"/>
                <w:szCs w:val="20"/>
              </w:rPr>
            </w:pPr>
            <w:r>
              <w:rPr>
                <w:color w:val="000000"/>
                <w:sz w:val="20"/>
                <w:szCs w:val="20"/>
              </w:rPr>
              <w:t>0.34</w:t>
            </w:r>
          </w:p>
        </w:tc>
        <w:tc>
          <w:tcPr>
            <w:tcW w:w="355" w:type="pct"/>
            <w:tcBorders>
              <w:top w:val="nil"/>
              <w:left w:val="nil"/>
              <w:bottom w:val="nil"/>
              <w:right w:val="nil"/>
            </w:tcBorders>
            <w:shd w:val="clear" w:color="auto" w:fill="auto"/>
            <w:noWrap/>
            <w:vAlign w:val="center"/>
          </w:tcPr>
          <w:p w14:paraId="68EA00BC" w14:textId="5106B3BA" w:rsidR="001C7F35" w:rsidRPr="00E65AA7" w:rsidRDefault="001C7F35" w:rsidP="001C7F35">
            <w:pPr>
              <w:jc w:val="center"/>
              <w:rPr>
                <w:color w:val="000000"/>
                <w:sz w:val="20"/>
                <w:szCs w:val="20"/>
              </w:rPr>
            </w:pPr>
            <w:r>
              <w:rPr>
                <w:color w:val="000000"/>
                <w:sz w:val="20"/>
                <w:szCs w:val="20"/>
              </w:rPr>
              <w:t>0.59</w:t>
            </w:r>
          </w:p>
        </w:tc>
        <w:tc>
          <w:tcPr>
            <w:tcW w:w="340" w:type="pct"/>
            <w:tcBorders>
              <w:top w:val="nil"/>
              <w:left w:val="nil"/>
              <w:bottom w:val="nil"/>
              <w:right w:val="nil"/>
            </w:tcBorders>
            <w:shd w:val="clear" w:color="auto" w:fill="auto"/>
            <w:noWrap/>
            <w:vAlign w:val="center"/>
          </w:tcPr>
          <w:p w14:paraId="742B1DA9" w14:textId="0CE3919B"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0.81</w:t>
            </w:r>
          </w:p>
        </w:tc>
      </w:tr>
      <w:tr w:rsidR="001C7F35" w:rsidRPr="00E65AA7" w14:paraId="5AD654D3" w14:textId="77777777" w:rsidTr="001C7F35">
        <w:trPr>
          <w:trHeight w:hRule="exact" w:val="255"/>
        </w:trPr>
        <w:tc>
          <w:tcPr>
            <w:tcW w:w="465" w:type="pct"/>
            <w:vMerge/>
            <w:tcBorders>
              <w:top w:val="nil"/>
              <w:left w:val="nil"/>
              <w:right w:val="nil"/>
            </w:tcBorders>
            <w:vAlign w:val="center"/>
          </w:tcPr>
          <w:p w14:paraId="764311F3" w14:textId="77777777" w:rsidR="001C7F35" w:rsidRPr="00E65AA7" w:rsidRDefault="001C7F35" w:rsidP="001C7F35">
            <w:pPr>
              <w:rPr>
                <w:rFonts w:eastAsia="Times New Roman"/>
                <w:color w:val="000000"/>
                <w:sz w:val="20"/>
                <w:szCs w:val="20"/>
                <w:lang w:eastAsia="en-MY"/>
              </w:rPr>
            </w:pPr>
          </w:p>
        </w:tc>
        <w:tc>
          <w:tcPr>
            <w:tcW w:w="221" w:type="pct"/>
            <w:vMerge/>
            <w:tcBorders>
              <w:left w:val="nil"/>
              <w:right w:val="nil"/>
            </w:tcBorders>
            <w:vAlign w:val="center"/>
          </w:tcPr>
          <w:p w14:paraId="06149024" w14:textId="77777777" w:rsidR="001C7F35" w:rsidRPr="00E65AA7" w:rsidRDefault="001C7F35" w:rsidP="001C7F35">
            <w:pPr>
              <w:jc w:val="center"/>
              <w:rPr>
                <w:color w:val="000000"/>
                <w:sz w:val="20"/>
                <w:szCs w:val="20"/>
              </w:rPr>
            </w:pPr>
          </w:p>
        </w:tc>
        <w:tc>
          <w:tcPr>
            <w:tcW w:w="329" w:type="pct"/>
            <w:tcBorders>
              <w:top w:val="nil"/>
              <w:left w:val="nil"/>
              <w:right w:val="nil"/>
            </w:tcBorders>
            <w:shd w:val="clear" w:color="auto" w:fill="auto"/>
            <w:noWrap/>
            <w:vAlign w:val="center"/>
          </w:tcPr>
          <w:p w14:paraId="5DEA681A" w14:textId="5CEC5919" w:rsidR="001C7F35" w:rsidRPr="00E65AA7" w:rsidRDefault="001C7F35" w:rsidP="001C7F35">
            <w:pPr>
              <w:jc w:val="center"/>
              <w:rPr>
                <w:color w:val="000000"/>
                <w:sz w:val="20"/>
                <w:szCs w:val="20"/>
              </w:rPr>
            </w:pPr>
            <w:r>
              <w:rPr>
                <w:color w:val="000000"/>
                <w:sz w:val="20"/>
                <w:szCs w:val="20"/>
              </w:rPr>
              <w:t>(-1.14)</w:t>
            </w:r>
          </w:p>
        </w:tc>
        <w:tc>
          <w:tcPr>
            <w:tcW w:w="329" w:type="pct"/>
            <w:tcBorders>
              <w:top w:val="nil"/>
              <w:left w:val="nil"/>
              <w:right w:val="nil"/>
            </w:tcBorders>
            <w:shd w:val="clear" w:color="auto" w:fill="auto"/>
            <w:noWrap/>
            <w:vAlign w:val="center"/>
          </w:tcPr>
          <w:p w14:paraId="04A8A20A" w14:textId="4178A39F" w:rsidR="001C7F35" w:rsidRPr="00E65AA7" w:rsidRDefault="001C7F35" w:rsidP="001C7F35">
            <w:pPr>
              <w:jc w:val="center"/>
              <w:rPr>
                <w:color w:val="000000"/>
                <w:sz w:val="20"/>
                <w:szCs w:val="20"/>
              </w:rPr>
            </w:pPr>
            <w:r>
              <w:rPr>
                <w:color w:val="000000"/>
                <w:sz w:val="20"/>
                <w:szCs w:val="20"/>
              </w:rPr>
              <w:t>(-0.43)</w:t>
            </w:r>
          </w:p>
        </w:tc>
        <w:tc>
          <w:tcPr>
            <w:tcW w:w="329" w:type="pct"/>
            <w:tcBorders>
              <w:top w:val="nil"/>
              <w:left w:val="nil"/>
              <w:right w:val="nil"/>
            </w:tcBorders>
            <w:shd w:val="clear" w:color="auto" w:fill="auto"/>
            <w:noWrap/>
            <w:vAlign w:val="center"/>
          </w:tcPr>
          <w:p w14:paraId="545CFF05" w14:textId="32BB91A5" w:rsidR="001C7F35" w:rsidRPr="00E65AA7" w:rsidRDefault="001C7F35" w:rsidP="001C7F35">
            <w:pPr>
              <w:jc w:val="center"/>
              <w:rPr>
                <w:color w:val="000000"/>
                <w:sz w:val="20"/>
                <w:szCs w:val="20"/>
              </w:rPr>
            </w:pPr>
            <w:r>
              <w:rPr>
                <w:color w:val="000000"/>
                <w:sz w:val="20"/>
                <w:szCs w:val="20"/>
              </w:rPr>
              <w:t>(-0.5</w:t>
            </w:r>
            <w:r w:rsidR="004D5A47">
              <w:rPr>
                <w:color w:val="000000"/>
                <w:sz w:val="20"/>
                <w:szCs w:val="20"/>
              </w:rPr>
              <w:t>0</w:t>
            </w:r>
            <w:r>
              <w:rPr>
                <w:color w:val="000000"/>
                <w:sz w:val="20"/>
                <w:szCs w:val="20"/>
              </w:rPr>
              <w:t>)</w:t>
            </w:r>
          </w:p>
        </w:tc>
        <w:tc>
          <w:tcPr>
            <w:tcW w:w="329" w:type="pct"/>
            <w:tcBorders>
              <w:top w:val="nil"/>
              <w:left w:val="nil"/>
              <w:right w:val="nil"/>
            </w:tcBorders>
            <w:shd w:val="clear" w:color="auto" w:fill="auto"/>
            <w:noWrap/>
            <w:vAlign w:val="center"/>
          </w:tcPr>
          <w:p w14:paraId="0EB05529" w14:textId="4AE7844E" w:rsidR="001C7F35" w:rsidRPr="00E65AA7" w:rsidRDefault="001C7F35" w:rsidP="001C7F35">
            <w:pPr>
              <w:jc w:val="center"/>
              <w:rPr>
                <w:color w:val="000000"/>
                <w:sz w:val="20"/>
                <w:szCs w:val="20"/>
              </w:rPr>
            </w:pPr>
            <w:r>
              <w:rPr>
                <w:color w:val="000000"/>
                <w:sz w:val="20"/>
                <w:szCs w:val="20"/>
              </w:rPr>
              <w:t>(-0.19)</w:t>
            </w:r>
          </w:p>
        </w:tc>
        <w:tc>
          <w:tcPr>
            <w:tcW w:w="329" w:type="pct"/>
            <w:tcBorders>
              <w:top w:val="nil"/>
              <w:left w:val="nil"/>
              <w:right w:val="nil"/>
            </w:tcBorders>
            <w:shd w:val="clear" w:color="auto" w:fill="auto"/>
            <w:noWrap/>
            <w:vAlign w:val="center"/>
          </w:tcPr>
          <w:p w14:paraId="1DBFC06A" w14:textId="502A30B7" w:rsidR="001C7F35" w:rsidRPr="00E65AA7" w:rsidRDefault="001C7F35" w:rsidP="001C7F35">
            <w:pPr>
              <w:jc w:val="center"/>
              <w:rPr>
                <w:color w:val="000000"/>
                <w:sz w:val="20"/>
                <w:szCs w:val="20"/>
              </w:rPr>
            </w:pPr>
            <w:r>
              <w:rPr>
                <w:color w:val="000000"/>
                <w:sz w:val="20"/>
                <w:szCs w:val="20"/>
              </w:rPr>
              <w:t>(-0.12)</w:t>
            </w:r>
          </w:p>
        </w:tc>
        <w:tc>
          <w:tcPr>
            <w:tcW w:w="329" w:type="pct"/>
            <w:tcBorders>
              <w:top w:val="nil"/>
              <w:left w:val="nil"/>
              <w:right w:val="nil"/>
            </w:tcBorders>
            <w:shd w:val="clear" w:color="auto" w:fill="auto"/>
            <w:noWrap/>
            <w:vAlign w:val="center"/>
          </w:tcPr>
          <w:p w14:paraId="60457706" w14:textId="5D09B2CB" w:rsidR="001C7F35" w:rsidRPr="00E65AA7" w:rsidRDefault="001C7F35" w:rsidP="001C7F35">
            <w:pPr>
              <w:jc w:val="center"/>
              <w:rPr>
                <w:color w:val="000000"/>
                <w:sz w:val="20"/>
                <w:szCs w:val="20"/>
              </w:rPr>
            </w:pPr>
            <w:r>
              <w:rPr>
                <w:color w:val="000000"/>
                <w:sz w:val="20"/>
                <w:szCs w:val="20"/>
              </w:rPr>
              <w:t>(-0.22)</w:t>
            </w:r>
          </w:p>
        </w:tc>
        <w:tc>
          <w:tcPr>
            <w:tcW w:w="329" w:type="pct"/>
            <w:tcBorders>
              <w:top w:val="nil"/>
              <w:left w:val="nil"/>
              <w:right w:val="nil"/>
            </w:tcBorders>
            <w:shd w:val="clear" w:color="auto" w:fill="auto"/>
            <w:noWrap/>
            <w:vAlign w:val="center"/>
          </w:tcPr>
          <w:p w14:paraId="63F41D2F" w14:textId="686267B3" w:rsidR="001C7F35" w:rsidRPr="00E65AA7" w:rsidRDefault="001C7F35" w:rsidP="001C7F35">
            <w:pPr>
              <w:jc w:val="center"/>
              <w:rPr>
                <w:color w:val="000000"/>
                <w:sz w:val="20"/>
                <w:szCs w:val="20"/>
              </w:rPr>
            </w:pPr>
            <w:r>
              <w:rPr>
                <w:color w:val="000000"/>
                <w:sz w:val="20"/>
                <w:szCs w:val="20"/>
              </w:rPr>
              <w:t>(0.29)</w:t>
            </w:r>
          </w:p>
        </w:tc>
        <w:tc>
          <w:tcPr>
            <w:tcW w:w="329" w:type="pct"/>
            <w:tcBorders>
              <w:top w:val="nil"/>
              <w:left w:val="nil"/>
              <w:right w:val="nil"/>
            </w:tcBorders>
            <w:shd w:val="clear" w:color="auto" w:fill="auto"/>
            <w:noWrap/>
            <w:vAlign w:val="center"/>
          </w:tcPr>
          <w:p w14:paraId="27108584" w14:textId="50E06C26" w:rsidR="001C7F35" w:rsidRPr="00E65AA7" w:rsidRDefault="001C7F35" w:rsidP="001C7F35">
            <w:pPr>
              <w:jc w:val="center"/>
              <w:rPr>
                <w:color w:val="000000"/>
                <w:sz w:val="20"/>
                <w:szCs w:val="20"/>
              </w:rPr>
            </w:pPr>
            <w:r>
              <w:rPr>
                <w:color w:val="000000"/>
                <w:sz w:val="20"/>
                <w:szCs w:val="20"/>
              </w:rPr>
              <w:t>(0.47)</w:t>
            </w:r>
          </w:p>
        </w:tc>
        <w:tc>
          <w:tcPr>
            <w:tcW w:w="329" w:type="pct"/>
            <w:tcBorders>
              <w:top w:val="nil"/>
              <w:left w:val="nil"/>
              <w:right w:val="nil"/>
            </w:tcBorders>
            <w:shd w:val="clear" w:color="auto" w:fill="auto"/>
            <w:noWrap/>
            <w:vAlign w:val="center"/>
          </w:tcPr>
          <w:p w14:paraId="3FDEF2F1" w14:textId="73AEAB0B" w:rsidR="001C7F35" w:rsidRPr="00E65AA7" w:rsidRDefault="001C7F35" w:rsidP="001C7F35">
            <w:pPr>
              <w:jc w:val="center"/>
              <w:rPr>
                <w:color w:val="000000"/>
                <w:sz w:val="20"/>
                <w:szCs w:val="20"/>
              </w:rPr>
            </w:pPr>
            <w:r>
              <w:rPr>
                <w:color w:val="000000"/>
                <w:sz w:val="20"/>
                <w:szCs w:val="20"/>
              </w:rPr>
              <w:t>(0.64)</w:t>
            </w:r>
          </w:p>
        </w:tc>
        <w:tc>
          <w:tcPr>
            <w:tcW w:w="329" w:type="pct"/>
            <w:tcBorders>
              <w:top w:val="nil"/>
              <w:left w:val="nil"/>
              <w:right w:val="nil"/>
            </w:tcBorders>
            <w:shd w:val="clear" w:color="auto" w:fill="auto"/>
            <w:noWrap/>
            <w:vAlign w:val="center"/>
          </w:tcPr>
          <w:p w14:paraId="671AE728" w14:textId="793489DC" w:rsidR="001C7F35" w:rsidRPr="00E65AA7" w:rsidRDefault="001C7F35" w:rsidP="001C7F35">
            <w:pPr>
              <w:jc w:val="center"/>
              <w:rPr>
                <w:color w:val="000000"/>
                <w:sz w:val="20"/>
                <w:szCs w:val="20"/>
              </w:rPr>
            </w:pPr>
            <w:r>
              <w:rPr>
                <w:color w:val="000000"/>
                <w:sz w:val="20"/>
                <w:szCs w:val="20"/>
              </w:rPr>
              <w:t>(0.92)</w:t>
            </w:r>
          </w:p>
        </w:tc>
        <w:tc>
          <w:tcPr>
            <w:tcW w:w="329" w:type="pct"/>
            <w:tcBorders>
              <w:top w:val="nil"/>
              <w:left w:val="nil"/>
              <w:right w:val="nil"/>
            </w:tcBorders>
            <w:shd w:val="clear" w:color="auto" w:fill="auto"/>
            <w:noWrap/>
            <w:vAlign w:val="center"/>
          </w:tcPr>
          <w:p w14:paraId="0E22E10C" w14:textId="740E1394" w:rsidR="001C7F35" w:rsidRPr="00E65AA7" w:rsidRDefault="001C7F35" w:rsidP="001C7F35">
            <w:pPr>
              <w:jc w:val="center"/>
              <w:rPr>
                <w:color w:val="000000"/>
                <w:sz w:val="20"/>
                <w:szCs w:val="20"/>
              </w:rPr>
            </w:pPr>
            <w:r>
              <w:rPr>
                <w:color w:val="000000"/>
                <w:sz w:val="20"/>
                <w:szCs w:val="20"/>
              </w:rPr>
              <w:t>(0.74)</w:t>
            </w:r>
          </w:p>
        </w:tc>
        <w:tc>
          <w:tcPr>
            <w:tcW w:w="355" w:type="pct"/>
            <w:tcBorders>
              <w:top w:val="nil"/>
              <w:left w:val="nil"/>
              <w:right w:val="nil"/>
            </w:tcBorders>
            <w:shd w:val="clear" w:color="auto" w:fill="auto"/>
            <w:noWrap/>
            <w:vAlign w:val="center"/>
          </w:tcPr>
          <w:p w14:paraId="6B2031F8" w14:textId="5ED54A2F" w:rsidR="001C7F35" w:rsidRPr="00E65AA7" w:rsidRDefault="001C7F35" w:rsidP="001C7F35">
            <w:pPr>
              <w:jc w:val="center"/>
              <w:rPr>
                <w:color w:val="000000"/>
                <w:sz w:val="20"/>
                <w:szCs w:val="20"/>
              </w:rPr>
            </w:pPr>
            <w:r>
              <w:rPr>
                <w:color w:val="000000"/>
                <w:sz w:val="20"/>
                <w:szCs w:val="20"/>
              </w:rPr>
              <w:t>(2.66)</w:t>
            </w:r>
          </w:p>
        </w:tc>
        <w:tc>
          <w:tcPr>
            <w:tcW w:w="340" w:type="pct"/>
            <w:tcBorders>
              <w:top w:val="nil"/>
              <w:left w:val="nil"/>
              <w:right w:val="nil"/>
            </w:tcBorders>
            <w:shd w:val="clear" w:color="auto" w:fill="auto"/>
            <w:noWrap/>
            <w:vAlign w:val="center"/>
          </w:tcPr>
          <w:p w14:paraId="4D29E22A" w14:textId="4D0644C6"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3.05)</w:t>
            </w:r>
          </w:p>
        </w:tc>
      </w:tr>
      <w:tr w:rsidR="001C7F35" w:rsidRPr="00E65AA7" w14:paraId="40269876" w14:textId="77777777" w:rsidTr="001C7F35">
        <w:trPr>
          <w:trHeight w:hRule="exact" w:val="255"/>
        </w:trPr>
        <w:tc>
          <w:tcPr>
            <w:tcW w:w="465" w:type="pct"/>
            <w:vMerge w:val="restart"/>
            <w:tcBorders>
              <w:top w:val="nil"/>
              <w:left w:val="nil"/>
              <w:right w:val="nil"/>
            </w:tcBorders>
            <w:vAlign w:val="center"/>
          </w:tcPr>
          <w:p w14:paraId="510C80CB" w14:textId="3563DD36"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21" w:type="pct"/>
            <w:vMerge w:val="restart"/>
            <w:tcBorders>
              <w:top w:val="nil"/>
              <w:left w:val="nil"/>
              <w:right w:val="nil"/>
            </w:tcBorders>
            <w:vAlign w:val="center"/>
          </w:tcPr>
          <w:p w14:paraId="67B5D9F7"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147</w:t>
            </w:r>
          </w:p>
        </w:tc>
        <w:tc>
          <w:tcPr>
            <w:tcW w:w="329" w:type="pct"/>
            <w:tcBorders>
              <w:top w:val="nil"/>
              <w:left w:val="nil"/>
              <w:right w:val="nil"/>
            </w:tcBorders>
            <w:shd w:val="clear" w:color="auto" w:fill="auto"/>
            <w:noWrap/>
            <w:vAlign w:val="center"/>
          </w:tcPr>
          <w:p w14:paraId="4677B9FD" w14:textId="13BB6D75" w:rsidR="001C7F35" w:rsidRPr="00E65AA7" w:rsidRDefault="001C7F35" w:rsidP="001C7F35">
            <w:pPr>
              <w:jc w:val="center"/>
              <w:rPr>
                <w:color w:val="000000"/>
                <w:sz w:val="20"/>
                <w:szCs w:val="20"/>
              </w:rPr>
            </w:pPr>
            <w:r>
              <w:rPr>
                <w:color w:val="000000"/>
                <w:sz w:val="20"/>
                <w:szCs w:val="20"/>
              </w:rPr>
              <w:t>4.86</w:t>
            </w:r>
          </w:p>
        </w:tc>
        <w:tc>
          <w:tcPr>
            <w:tcW w:w="329" w:type="pct"/>
            <w:tcBorders>
              <w:top w:val="nil"/>
              <w:left w:val="nil"/>
              <w:right w:val="nil"/>
            </w:tcBorders>
            <w:shd w:val="clear" w:color="auto" w:fill="auto"/>
            <w:noWrap/>
            <w:vAlign w:val="center"/>
          </w:tcPr>
          <w:p w14:paraId="7A26EFE8" w14:textId="2113240F" w:rsidR="001C7F35" w:rsidRPr="00E65AA7" w:rsidRDefault="001C7F35" w:rsidP="001C7F35">
            <w:pPr>
              <w:jc w:val="center"/>
              <w:rPr>
                <w:color w:val="000000"/>
                <w:sz w:val="20"/>
                <w:szCs w:val="20"/>
              </w:rPr>
            </w:pPr>
            <w:r>
              <w:rPr>
                <w:color w:val="000000"/>
                <w:sz w:val="20"/>
                <w:szCs w:val="20"/>
              </w:rPr>
              <w:t>3.46</w:t>
            </w:r>
          </w:p>
        </w:tc>
        <w:tc>
          <w:tcPr>
            <w:tcW w:w="329" w:type="pct"/>
            <w:tcBorders>
              <w:top w:val="nil"/>
              <w:left w:val="nil"/>
              <w:right w:val="nil"/>
            </w:tcBorders>
            <w:shd w:val="clear" w:color="auto" w:fill="auto"/>
            <w:noWrap/>
            <w:vAlign w:val="center"/>
          </w:tcPr>
          <w:p w14:paraId="42CE7EAF" w14:textId="1EBAD189" w:rsidR="001C7F35" w:rsidRPr="00E65AA7" w:rsidRDefault="001C7F35" w:rsidP="001C7F35">
            <w:pPr>
              <w:jc w:val="center"/>
              <w:rPr>
                <w:color w:val="000000"/>
                <w:sz w:val="20"/>
                <w:szCs w:val="20"/>
              </w:rPr>
            </w:pPr>
            <w:r>
              <w:rPr>
                <w:color w:val="000000"/>
                <w:sz w:val="20"/>
                <w:szCs w:val="20"/>
              </w:rPr>
              <w:t>3.10</w:t>
            </w:r>
          </w:p>
        </w:tc>
        <w:tc>
          <w:tcPr>
            <w:tcW w:w="329" w:type="pct"/>
            <w:tcBorders>
              <w:top w:val="nil"/>
              <w:left w:val="nil"/>
              <w:right w:val="nil"/>
            </w:tcBorders>
            <w:shd w:val="clear" w:color="auto" w:fill="auto"/>
            <w:noWrap/>
            <w:vAlign w:val="center"/>
          </w:tcPr>
          <w:p w14:paraId="06DECC88" w14:textId="65BF92B0" w:rsidR="001C7F35" w:rsidRPr="00E65AA7" w:rsidRDefault="001C7F35" w:rsidP="001C7F35">
            <w:pPr>
              <w:jc w:val="center"/>
              <w:rPr>
                <w:color w:val="000000"/>
                <w:sz w:val="20"/>
                <w:szCs w:val="20"/>
              </w:rPr>
            </w:pPr>
            <w:r>
              <w:rPr>
                <w:color w:val="000000"/>
                <w:sz w:val="20"/>
                <w:szCs w:val="20"/>
              </w:rPr>
              <w:t>2.81</w:t>
            </w:r>
          </w:p>
        </w:tc>
        <w:tc>
          <w:tcPr>
            <w:tcW w:w="329" w:type="pct"/>
            <w:tcBorders>
              <w:top w:val="nil"/>
              <w:left w:val="nil"/>
              <w:right w:val="nil"/>
            </w:tcBorders>
            <w:shd w:val="clear" w:color="auto" w:fill="auto"/>
            <w:noWrap/>
            <w:vAlign w:val="center"/>
          </w:tcPr>
          <w:p w14:paraId="2C591F6D" w14:textId="0E6CA24A" w:rsidR="001C7F35" w:rsidRPr="00E65AA7" w:rsidRDefault="001C7F35" w:rsidP="001C7F35">
            <w:pPr>
              <w:jc w:val="center"/>
              <w:rPr>
                <w:color w:val="000000"/>
                <w:sz w:val="20"/>
                <w:szCs w:val="20"/>
              </w:rPr>
            </w:pPr>
            <w:r>
              <w:rPr>
                <w:color w:val="000000"/>
                <w:sz w:val="20"/>
                <w:szCs w:val="20"/>
              </w:rPr>
              <w:t>2.71</w:t>
            </w:r>
          </w:p>
        </w:tc>
        <w:tc>
          <w:tcPr>
            <w:tcW w:w="329" w:type="pct"/>
            <w:tcBorders>
              <w:top w:val="nil"/>
              <w:left w:val="nil"/>
              <w:right w:val="nil"/>
            </w:tcBorders>
            <w:shd w:val="clear" w:color="auto" w:fill="auto"/>
            <w:noWrap/>
            <w:vAlign w:val="center"/>
          </w:tcPr>
          <w:p w14:paraId="72175DE7" w14:textId="62F5F42F" w:rsidR="001C7F35" w:rsidRPr="00E65AA7" w:rsidRDefault="001C7F35" w:rsidP="001C7F35">
            <w:pPr>
              <w:jc w:val="center"/>
              <w:rPr>
                <w:color w:val="000000"/>
                <w:sz w:val="20"/>
                <w:szCs w:val="20"/>
              </w:rPr>
            </w:pPr>
            <w:r>
              <w:rPr>
                <w:color w:val="000000"/>
                <w:sz w:val="20"/>
                <w:szCs w:val="20"/>
              </w:rPr>
              <w:t>2.42</w:t>
            </w:r>
          </w:p>
        </w:tc>
        <w:tc>
          <w:tcPr>
            <w:tcW w:w="329" w:type="pct"/>
            <w:tcBorders>
              <w:top w:val="nil"/>
              <w:left w:val="nil"/>
              <w:right w:val="nil"/>
            </w:tcBorders>
            <w:shd w:val="clear" w:color="auto" w:fill="auto"/>
            <w:noWrap/>
            <w:vAlign w:val="center"/>
          </w:tcPr>
          <w:p w14:paraId="057A67CC" w14:textId="3C342BA4" w:rsidR="001C7F35" w:rsidRPr="00E65AA7" w:rsidRDefault="001C7F35" w:rsidP="001C7F35">
            <w:pPr>
              <w:jc w:val="center"/>
              <w:rPr>
                <w:color w:val="000000"/>
                <w:sz w:val="20"/>
                <w:szCs w:val="20"/>
              </w:rPr>
            </w:pPr>
            <w:r>
              <w:rPr>
                <w:color w:val="000000"/>
                <w:sz w:val="20"/>
                <w:szCs w:val="20"/>
              </w:rPr>
              <w:t>2.04</w:t>
            </w:r>
          </w:p>
        </w:tc>
        <w:tc>
          <w:tcPr>
            <w:tcW w:w="329" w:type="pct"/>
            <w:tcBorders>
              <w:top w:val="nil"/>
              <w:left w:val="nil"/>
              <w:right w:val="nil"/>
            </w:tcBorders>
            <w:shd w:val="clear" w:color="auto" w:fill="auto"/>
            <w:noWrap/>
            <w:vAlign w:val="center"/>
          </w:tcPr>
          <w:p w14:paraId="43ECC0C5" w14:textId="64C8E8D5" w:rsidR="001C7F35" w:rsidRPr="00E65AA7" w:rsidRDefault="001C7F35" w:rsidP="001C7F35">
            <w:pPr>
              <w:jc w:val="center"/>
              <w:rPr>
                <w:color w:val="000000"/>
                <w:sz w:val="20"/>
                <w:szCs w:val="20"/>
              </w:rPr>
            </w:pPr>
            <w:r>
              <w:rPr>
                <w:color w:val="000000"/>
                <w:sz w:val="20"/>
                <w:szCs w:val="20"/>
              </w:rPr>
              <w:t>1.99</w:t>
            </w:r>
          </w:p>
        </w:tc>
        <w:tc>
          <w:tcPr>
            <w:tcW w:w="329" w:type="pct"/>
            <w:tcBorders>
              <w:top w:val="nil"/>
              <w:left w:val="nil"/>
              <w:right w:val="nil"/>
            </w:tcBorders>
            <w:shd w:val="clear" w:color="auto" w:fill="auto"/>
            <w:noWrap/>
            <w:vAlign w:val="center"/>
          </w:tcPr>
          <w:p w14:paraId="6CAC203A" w14:textId="3012472F" w:rsidR="001C7F35" w:rsidRPr="00E65AA7" w:rsidRDefault="001C7F35" w:rsidP="001C7F35">
            <w:pPr>
              <w:jc w:val="center"/>
              <w:rPr>
                <w:color w:val="000000"/>
                <w:sz w:val="20"/>
                <w:szCs w:val="20"/>
              </w:rPr>
            </w:pPr>
            <w:r>
              <w:rPr>
                <w:color w:val="000000"/>
                <w:sz w:val="20"/>
                <w:szCs w:val="20"/>
              </w:rPr>
              <w:t>1.76</w:t>
            </w:r>
          </w:p>
        </w:tc>
        <w:tc>
          <w:tcPr>
            <w:tcW w:w="329" w:type="pct"/>
            <w:tcBorders>
              <w:top w:val="nil"/>
              <w:left w:val="nil"/>
              <w:right w:val="nil"/>
            </w:tcBorders>
            <w:shd w:val="clear" w:color="auto" w:fill="auto"/>
            <w:noWrap/>
            <w:vAlign w:val="center"/>
          </w:tcPr>
          <w:p w14:paraId="225D4908" w14:textId="1A76BC26" w:rsidR="001C7F35" w:rsidRPr="00E65AA7" w:rsidRDefault="001C7F35" w:rsidP="001C7F35">
            <w:pPr>
              <w:jc w:val="center"/>
              <w:rPr>
                <w:color w:val="000000"/>
                <w:sz w:val="20"/>
                <w:szCs w:val="20"/>
              </w:rPr>
            </w:pPr>
            <w:r>
              <w:rPr>
                <w:color w:val="000000"/>
                <w:sz w:val="20"/>
                <w:szCs w:val="20"/>
              </w:rPr>
              <w:t>1.58</w:t>
            </w:r>
          </w:p>
        </w:tc>
        <w:tc>
          <w:tcPr>
            <w:tcW w:w="329" w:type="pct"/>
            <w:tcBorders>
              <w:top w:val="nil"/>
              <w:left w:val="nil"/>
              <w:right w:val="nil"/>
            </w:tcBorders>
            <w:shd w:val="clear" w:color="auto" w:fill="auto"/>
            <w:noWrap/>
            <w:vAlign w:val="center"/>
          </w:tcPr>
          <w:p w14:paraId="6FC78A66" w14:textId="61DAD108" w:rsidR="001C7F35" w:rsidRPr="00E65AA7" w:rsidRDefault="001C7F35" w:rsidP="001C7F35">
            <w:pPr>
              <w:jc w:val="center"/>
              <w:rPr>
                <w:color w:val="000000"/>
                <w:sz w:val="20"/>
                <w:szCs w:val="20"/>
              </w:rPr>
            </w:pPr>
            <w:r>
              <w:rPr>
                <w:color w:val="000000"/>
                <w:sz w:val="20"/>
                <w:szCs w:val="20"/>
              </w:rPr>
              <w:t>1.85</w:t>
            </w:r>
          </w:p>
        </w:tc>
        <w:tc>
          <w:tcPr>
            <w:tcW w:w="355" w:type="pct"/>
            <w:tcBorders>
              <w:top w:val="nil"/>
              <w:left w:val="nil"/>
              <w:right w:val="nil"/>
            </w:tcBorders>
            <w:shd w:val="clear" w:color="auto" w:fill="auto"/>
            <w:noWrap/>
            <w:vAlign w:val="center"/>
          </w:tcPr>
          <w:p w14:paraId="55156ABB" w14:textId="566E9750" w:rsidR="001C7F35" w:rsidRPr="00E65AA7" w:rsidRDefault="001C7F35" w:rsidP="001C7F35">
            <w:pPr>
              <w:jc w:val="center"/>
              <w:rPr>
                <w:color w:val="000000"/>
                <w:sz w:val="20"/>
                <w:szCs w:val="20"/>
              </w:rPr>
            </w:pPr>
            <w:r>
              <w:rPr>
                <w:color w:val="000000"/>
                <w:sz w:val="20"/>
                <w:szCs w:val="20"/>
              </w:rPr>
              <w:t>-1.61</w:t>
            </w:r>
          </w:p>
        </w:tc>
        <w:tc>
          <w:tcPr>
            <w:tcW w:w="340" w:type="pct"/>
            <w:tcBorders>
              <w:top w:val="nil"/>
              <w:left w:val="nil"/>
              <w:right w:val="nil"/>
            </w:tcBorders>
            <w:shd w:val="clear" w:color="auto" w:fill="auto"/>
            <w:noWrap/>
            <w:vAlign w:val="center"/>
          </w:tcPr>
          <w:p w14:paraId="31AC758E" w14:textId="4E202299" w:rsidR="001C7F35" w:rsidRPr="00E65AA7" w:rsidRDefault="001C7F35" w:rsidP="001C7F35">
            <w:pPr>
              <w:jc w:val="center"/>
              <w:rPr>
                <w:color w:val="000000"/>
                <w:sz w:val="20"/>
                <w:szCs w:val="20"/>
              </w:rPr>
            </w:pPr>
            <w:r>
              <w:rPr>
                <w:color w:val="000000"/>
                <w:sz w:val="20"/>
                <w:szCs w:val="20"/>
              </w:rPr>
              <w:t>2.49</w:t>
            </w:r>
          </w:p>
        </w:tc>
      </w:tr>
      <w:tr w:rsidR="001C7F35" w:rsidRPr="00E65AA7" w14:paraId="3D2F90CB" w14:textId="77777777" w:rsidTr="001C7F35">
        <w:trPr>
          <w:trHeight w:hRule="exact" w:val="255"/>
        </w:trPr>
        <w:tc>
          <w:tcPr>
            <w:tcW w:w="465" w:type="pct"/>
            <w:vMerge/>
            <w:tcBorders>
              <w:left w:val="nil"/>
              <w:bottom w:val="single" w:sz="4" w:space="0" w:color="auto"/>
              <w:right w:val="nil"/>
            </w:tcBorders>
            <w:vAlign w:val="center"/>
          </w:tcPr>
          <w:p w14:paraId="3FD289FF" w14:textId="77777777" w:rsidR="001C7F35" w:rsidRPr="00E65AA7" w:rsidRDefault="001C7F35" w:rsidP="001C7F35">
            <w:pPr>
              <w:rPr>
                <w:rFonts w:eastAsia="Times New Roman"/>
                <w:color w:val="000000"/>
                <w:sz w:val="20"/>
                <w:szCs w:val="20"/>
                <w:lang w:eastAsia="en-MY"/>
              </w:rPr>
            </w:pPr>
          </w:p>
        </w:tc>
        <w:tc>
          <w:tcPr>
            <w:tcW w:w="221" w:type="pct"/>
            <w:vMerge/>
            <w:tcBorders>
              <w:left w:val="nil"/>
              <w:bottom w:val="single" w:sz="4" w:space="0" w:color="auto"/>
              <w:right w:val="nil"/>
            </w:tcBorders>
          </w:tcPr>
          <w:p w14:paraId="0B04E4C4" w14:textId="77777777" w:rsidR="001C7F35" w:rsidRPr="00E65AA7" w:rsidRDefault="001C7F35" w:rsidP="001C7F35">
            <w:pPr>
              <w:jc w:val="center"/>
              <w:rPr>
                <w:color w:val="000000"/>
                <w:sz w:val="20"/>
                <w:szCs w:val="20"/>
              </w:rPr>
            </w:pPr>
          </w:p>
        </w:tc>
        <w:tc>
          <w:tcPr>
            <w:tcW w:w="329" w:type="pct"/>
            <w:tcBorders>
              <w:left w:val="nil"/>
              <w:bottom w:val="single" w:sz="4" w:space="0" w:color="auto"/>
              <w:right w:val="nil"/>
            </w:tcBorders>
            <w:shd w:val="clear" w:color="auto" w:fill="auto"/>
            <w:noWrap/>
            <w:vAlign w:val="center"/>
          </w:tcPr>
          <w:p w14:paraId="55C8E09C" w14:textId="0E49F9E8" w:rsidR="001C7F35" w:rsidRPr="00E65AA7" w:rsidRDefault="001C7F35" w:rsidP="001C7F35">
            <w:pPr>
              <w:jc w:val="center"/>
              <w:rPr>
                <w:color w:val="000000"/>
                <w:sz w:val="20"/>
                <w:szCs w:val="20"/>
              </w:rPr>
            </w:pPr>
            <w:r>
              <w:rPr>
                <w:color w:val="000000"/>
                <w:sz w:val="20"/>
                <w:szCs w:val="20"/>
              </w:rPr>
              <w:t>(7.57)</w:t>
            </w:r>
          </w:p>
        </w:tc>
        <w:tc>
          <w:tcPr>
            <w:tcW w:w="329" w:type="pct"/>
            <w:tcBorders>
              <w:left w:val="nil"/>
              <w:bottom w:val="single" w:sz="4" w:space="0" w:color="auto"/>
              <w:right w:val="nil"/>
            </w:tcBorders>
            <w:shd w:val="clear" w:color="auto" w:fill="auto"/>
            <w:noWrap/>
            <w:vAlign w:val="center"/>
          </w:tcPr>
          <w:p w14:paraId="165D9D5C" w14:textId="260F3CB7" w:rsidR="001C7F35" w:rsidRPr="00E65AA7" w:rsidRDefault="001C7F35" w:rsidP="001C7F35">
            <w:pPr>
              <w:jc w:val="center"/>
              <w:rPr>
                <w:color w:val="000000"/>
                <w:sz w:val="20"/>
                <w:szCs w:val="20"/>
              </w:rPr>
            </w:pPr>
            <w:r>
              <w:rPr>
                <w:color w:val="000000"/>
                <w:sz w:val="20"/>
                <w:szCs w:val="20"/>
              </w:rPr>
              <w:t>(6.45)</w:t>
            </w:r>
          </w:p>
        </w:tc>
        <w:tc>
          <w:tcPr>
            <w:tcW w:w="329" w:type="pct"/>
            <w:tcBorders>
              <w:left w:val="nil"/>
              <w:bottom w:val="single" w:sz="4" w:space="0" w:color="auto"/>
              <w:right w:val="nil"/>
            </w:tcBorders>
            <w:shd w:val="clear" w:color="auto" w:fill="auto"/>
            <w:noWrap/>
            <w:vAlign w:val="center"/>
          </w:tcPr>
          <w:p w14:paraId="206AA059" w14:textId="55D142F2" w:rsidR="001C7F35" w:rsidRPr="00E65AA7" w:rsidRDefault="001C7F35" w:rsidP="001C7F35">
            <w:pPr>
              <w:jc w:val="center"/>
              <w:rPr>
                <w:color w:val="000000"/>
                <w:sz w:val="20"/>
                <w:szCs w:val="20"/>
              </w:rPr>
            </w:pPr>
            <w:r>
              <w:rPr>
                <w:color w:val="000000"/>
                <w:sz w:val="20"/>
                <w:szCs w:val="20"/>
              </w:rPr>
              <w:t>(6.17)</w:t>
            </w:r>
          </w:p>
        </w:tc>
        <w:tc>
          <w:tcPr>
            <w:tcW w:w="329" w:type="pct"/>
            <w:tcBorders>
              <w:left w:val="nil"/>
              <w:bottom w:val="single" w:sz="4" w:space="0" w:color="auto"/>
              <w:right w:val="nil"/>
            </w:tcBorders>
            <w:shd w:val="clear" w:color="auto" w:fill="auto"/>
            <w:noWrap/>
            <w:vAlign w:val="center"/>
          </w:tcPr>
          <w:p w14:paraId="35964C93" w14:textId="661938F8" w:rsidR="001C7F35" w:rsidRPr="00E65AA7" w:rsidRDefault="001C7F35" w:rsidP="001C7F35">
            <w:pPr>
              <w:jc w:val="center"/>
              <w:rPr>
                <w:color w:val="000000"/>
                <w:sz w:val="20"/>
                <w:szCs w:val="20"/>
              </w:rPr>
            </w:pPr>
            <w:r>
              <w:rPr>
                <w:color w:val="000000"/>
                <w:sz w:val="20"/>
                <w:szCs w:val="20"/>
              </w:rPr>
              <w:t>(5.73)</w:t>
            </w:r>
          </w:p>
        </w:tc>
        <w:tc>
          <w:tcPr>
            <w:tcW w:w="329" w:type="pct"/>
            <w:tcBorders>
              <w:left w:val="nil"/>
              <w:bottom w:val="single" w:sz="4" w:space="0" w:color="auto"/>
              <w:right w:val="nil"/>
            </w:tcBorders>
            <w:shd w:val="clear" w:color="auto" w:fill="auto"/>
            <w:noWrap/>
            <w:vAlign w:val="center"/>
          </w:tcPr>
          <w:p w14:paraId="62047FDD" w14:textId="7C2E8C3F" w:rsidR="001C7F35" w:rsidRPr="00E65AA7" w:rsidRDefault="001C7F35" w:rsidP="001C7F35">
            <w:pPr>
              <w:jc w:val="center"/>
              <w:rPr>
                <w:color w:val="000000"/>
                <w:sz w:val="20"/>
                <w:szCs w:val="20"/>
              </w:rPr>
            </w:pPr>
            <w:r>
              <w:rPr>
                <w:color w:val="000000"/>
                <w:sz w:val="20"/>
                <w:szCs w:val="20"/>
              </w:rPr>
              <w:t>(6.02)</w:t>
            </w:r>
          </w:p>
        </w:tc>
        <w:tc>
          <w:tcPr>
            <w:tcW w:w="329" w:type="pct"/>
            <w:tcBorders>
              <w:left w:val="nil"/>
              <w:bottom w:val="single" w:sz="4" w:space="0" w:color="auto"/>
              <w:right w:val="nil"/>
            </w:tcBorders>
            <w:shd w:val="clear" w:color="auto" w:fill="auto"/>
            <w:noWrap/>
            <w:vAlign w:val="center"/>
          </w:tcPr>
          <w:p w14:paraId="61AA20AB" w14:textId="1935B97C" w:rsidR="001C7F35" w:rsidRPr="00E65AA7" w:rsidRDefault="001C7F35" w:rsidP="001C7F35">
            <w:pPr>
              <w:jc w:val="center"/>
              <w:rPr>
                <w:color w:val="000000"/>
                <w:sz w:val="20"/>
                <w:szCs w:val="20"/>
              </w:rPr>
            </w:pPr>
            <w:r>
              <w:rPr>
                <w:color w:val="000000"/>
                <w:sz w:val="20"/>
                <w:szCs w:val="20"/>
              </w:rPr>
              <w:t>(5.36)</w:t>
            </w:r>
          </w:p>
        </w:tc>
        <w:tc>
          <w:tcPr>
            <w:tcW w:w="329" w:type="pct"/>
            <w:tcBorders>
              <w:left w:val="nil"/>
              <w:bottom w:val="single" w:sz="4" w:space="0" w:color="auto"/>
              <w:right w:val="nil"/>
            </w:tcBorders>
            <w:shd w:val="clear" w:color="auto" w:fill="auto"/>
            <w:noWrap/>
            <w:vAlign w:val="center"/>
          </w:tcPr>
          <w:p w14:paraId="56B422BA" w14:textId="16DFE49F" w:rsidR="001C7F35" w:rsidRPr="00E65AA7" w:rsidRDefault="001C7F35" w:rsidP="001C7F35">
            <w:pPr>
              <w:jc w:val="center"/>
              <w:rPr>
                <w:color w:val="000000"/>
                <w:sz w:val="20"/>
                <w:szCs w:val="20"/>
              </w:rPr>
            </w:pPr>
            <w:r>
              <w:rPr>
                <w:color w:val="000000"/>
                <w:sz w:val="20"/>
                <w:szCs w:val="20"/>
              </w:rPr>
              <w:t>(4.82)</w:t>
            </w:r>
          </w:p>
        </w:tc>
        <w:tc>
          <w:tcPr>
            <w:tcW w:w="329" w:type="pct"/>
            <w:tcBorders>
              <w:left w:val="nil"/>
              <w:bottom w:val="single" w:sz="4" w:space="0" w:color="auto"/>
              <w:right w:val="nil"/>
            </w:tcBorders>
            <w:shd w:val="clear" w:color="auto" w:fill="auto"/>
            <w:noWrap/>
            <w:vAlign w:val="center"/>
          </w:tcPr>
          <w:p w14:paraId="57A514E8" w14:textId="29A1AFD9" w:rsidR="001C7F35" w:rsidRPr="00E65AA7" w:rsidRDefault="001C7F35" w:rsidP="001C7F35">
            <w:pPr>
              <w:jc w:val="center"/>
              <w:rPr>
                <w:color w:val="000000"/>
                <w:sz w:val="20"/>
                <w:szCs w:val="20"/>
              </w:rPr>
            </w:pPr>
            <w:r>
              <w:rPr>
                <w:color w:val="000000"/>
                <w:sz w:val="20"/>
                <w:szCs w:val="20"/>
              </w:rPr>
              <w:t>(4.9</w:t>
            </w:r>
            <w:r w:rsidR="004D5A47">
              <w:rPr>
                <w:color w:val="000000"/>
                <w:sz w:val="20"/>
                <w:szCs w:val="20"/>
              </w:rPr>
              <w:t>0</w:t>
            </w:r>
            <w:r>
              <w:rPr>
                <w:color w:val="000000"/>
                <w:sz w:val="20"/>
                <w:szCs w:val="20"/>
              </w:rPr>
              <w:t>)</w:t>
            </w:r>
          </w:p>
        </w:tc>
        <w:tc>
          <w:tcPr>
            <w:tcW w:w="329" w:type="pct"/>
            <w:tcBorders>
              <w:left w:val="nil"/>
              <w:bottom w:val="single" w:sz="4" w:space="0" w:color="auto"/>
              <w:right w:val="nil"/>
            </w:tcBorders>
            <w:shd w:val="clear" w:color="auto" w:fill="auto"/>
            <w:noWrap/>
            <w:vAlign w:val="center"/>
          </w:tcPr>
          <w:p w14:paraId="731FF23A" w14:textId="765F434A" w:rsidR="001C7F35" w:rsidRPr="00E65AA7" w:rsidRDefault="001C7F35" w:rsidP="001C7F35">
            <w:pPr>
              <w:jc w:val="center"/>
              <w:rPr>
                <w:color w:val="000000"/>
                <w:sz w:val="20"/>
                <w:szCs w:val="20"/>
              </w:rPr>
            </w:pPr>
            <w:r>
              <w:rPr>
                <w:color w:val="000000"/>
                <w:sz w:val="20"/>
                <w:szCs w:val="20"/>
              </w:rPr>
              <w:t>(4.48)</w:t>
            </w:r>
          </w:p>
        </w:tc>
        <w:tc>
          <w:tcPr>
            <w:tcW w:w="329" w:type="pct"/>
            <w:tcBorders>
              <w:left w:val="nil"/>
              <w:bottom w:val="single" w:sz="4" w:space="0" w:color="auto"/>
              <w:right w:val="nil"/>
            </w:tcBorders>
            <w:shd w:val="clear" w:color="auto" w:fill="auto"/>
            <w:noWrap/>
            <w:vAlign w:val="center"/>
          </w:tcPr>
          <w:p w14:paraId="2B9C9521" w14:textId="49DBC3F6" w:rsidR="001C7F35" w:rsidRPr="00E65AA7" w:rsidRDefault="001C7F35" w:rsidP="001C7F35">
            <w:pPr>
              <w:jc w:val="center"/>
              <w:rPr>
                <w:color w:val="000000"/>
                <w:sz w:val="20"/>
                <w:szCs w:val="20"/>
              </w:rPr>
            </w:pPr>
            <w:r>
              <w:rPr>
                <w:color w:val="000000"/>
                <w:sz w:val="20"/>
                <w:szCs w:val="20"/>
              </w:rPr>
              <w:t>(4.23)</w:t>
            </w:r>
          </w:p>
        </w:tc>
        <w:tc>
          <w:tcPr>
            <w:tcW w:w="329" w:type="pct"/>
            <w:tcBorders>
              <w:left w:val="nil"/>
              <w:bottom w:val="single" w:sz="4" w:space="0" w:color="auto"/>
              <w:right w:val="nil"/>
            </w:tcBorders>
            <w:shd w:val="clear" w:color="auto" w:fill="auto"/>
            <w:noWrap/>
            <w:vAlign w:val="center"/>
          </w:tcPr>
          <w:p w14:paraId="3111E8C8" w14:textId="72D758ED" w:rsidR="001C7F35" w:rsidRPr="00E65AA7" w:rsidRDefault="001C7F35" w:rsidP="001C7F35">
            <w:pPr>
              <w:jc w:val="center"/>
              <w:rPr>
                <w:color w:val="000000"/>
                <w:sz w:val="20"/>
                <w:szCs w:val="20"/>
              </w:rPr>
            </w:pPr>
            <w:r>
              <w:rPr>
                <w:color w:val="000000"/>
                <w:sz w:val="20"/>
                <w:szCs w:val="20"/>
              </w:rPr>
              <w:t>(4.8</w:t>
            </w:r>
            <w:r w:rsidR="004D5A47">
              <w:rPr>
                <w:color w:val="000000"/>
                <w:sz w:val="20"/>
                <w:szCs w:val="20"/>
              </w:rPr>
              <w:t>0</w:t>
            </w:r>
            <w:r>
              <w:rPr>
                <w:color w:val="000000"/>
                <w:sz w:val="20"/>
                <w:szCs w:val="20"/>
              </w:rPr>
              <w:t>)</w:t>
            </w:r>
          </w:p>
        </w:tc>
        <w:tc>
          <w:tcPr>
            <w:tcW w:w="355" w:type="pct"/>
            <w:tcBorders>
              <w:left w:val="nil"/>
              <w:bottom w:val="single" w:sz="4" w:space="0" w:color="auto"/>
              <w:right w:val="nil"/>
            </w:tcBorders>
            <w:shd w:val="clear" w:color="auto" w:fill="auto"/>
            <w:noWrap/>
            <w:vAlign w:val="center"/>
          </w:tcPr>
          <w:p w14:paraId="171C19AD" w14:textId="36ABC154" w:rsidR="001C7F35" w:rsidRPr="00E65AA7" w:rsidRDefault="001C7F35" w:rsidP="001C7F35">
            <w:pPr>
              <w:jc w:val="center"/>
              <w:rPr>
                <w:color w:val="000000"/>
                <w:sz w:val="20"/>
                <w:szCs w:val="20"/>
              </w:rPr>
            </w:pPr>
            <w:r>
              <w:rPr>
                <w:color w:val="000000"/>
                <w:sz w:val="20"/>
                <w:szCs w:val="20"/>
              </w:rPr>
              <w:t>(-6.75)</w:t>
            </w:r>
          </w:p>
        </w:tc>
        <w:tc>
          <w:tcPr>
            <w:tcW w:w="340" w:type="pct"/>
            <w:tcBorders>
              <w:left w:val="nil"/>
              <w:bottom w:val="single" w:sz="4" w:space="0" w:color="auto"/>
              <w:right w:val="nil"/>
            </w:tcBorders>
            <w:shd w:val="clear" w:color="auto" w:fill="auto"/>
            <w:noWrap/>
            <w:vAlign w:val="center"/>
          </w:tcPr>
          <w:p w14:paraId="2C11AD3C" w14:textId="408A3010"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7.67)</w:t>
            </w:r>
          </w:p>
        </w:tc>
      </w:tr>
      <w:tr w:rsidR="001C7F35" w:rsidRPr="00E65AA7" w14:paraId="376327CC" w14:textId="77777777" w:rsidTr="001C7F35">
        <w:trPr>
          <w:trHeight w:hRule="exact" w:val="255"/>
        </w:trPr>
        <w:tc>
          <w:tcPr>
            <w:tcW w:w="5000" w:type="pct"/>
            <w:gridSpan w:val="15"/>
            <w:tcBorders>
              <w:top w:val="single" w:sz="4" w:space="0" w:color="auto"/>
              <w:left w:val="nil"/>
              <w:bottom w:val="single" w:sz="4" w:space="0" w:color="auto"/>
              <w:right w:val="nil"/>
            </w:tcBorders>
            <w:vAlign w:val="center"/>
          </w:tcPr>
          <w:p w14:paraId="0EFA678C" w14:textId="0BDF1F35" w:rsidR="001C7F35" w:rsidRDefault="001C7F35" w:rsidP="001C7F35">
            <w:pPr>
              <w:jc w:val="center"/>
              <w:rPr>
                <w:color w:val="000000"/>
                <w:sz w:val="20"/>
                <w:szCs w:val="20"/>
              </w:rPr>
            </w:pPr>
            <w:r>
              <w:rPr>
                <w:rFonts w:eastAsia="Times New Roman"/>
                <w:b/>
                <w:bCs/>
                <w:color w:val="000000"/>
                <w:sz w:val="20"/>
                <w:szCs w:val="20"/>
                <w:lang w:eastAsia="en-MY"/>
              </w:rPr>
              <w:t>Panel F</w:t>
            </w:r>
            <w:r w:rsidRPr="001C7F35">
              <w:rPr>
                <w:rFonts w:eastAsia="Times New Roman"/>
                <w:b/>
                <w:bCs/>
                <w:color w:val="000000"/>
                <w:sz w:val="20"/>
                <w:szCs w:val="20"/>
                <w:lang w:eastAsia="en-MY"/>
              </w:rPr>
              <w:t xml:space="preserve">: </w:t>
            </w:r>
            <w:r>
              <w:rPr>
                <w:rFonts w:eastAsia="Times New Roman"/>
                <w:b/>
                <w:bCs/>
                <w:color w:val="000000"/>
                <w:sz w:val="20"/>
                <w:szCs w:val="20"/>
                <w:lang w:eastAsia="en-MY"/>
              </w:rPr>
              <w:t>Fixed A</w:t>
            </w:r>
            <w:r w:rsidRPr="001C7F35">
              <w:rPr>
                <w:rFonts w:eastAsia="Times New Roman"/>
                <w:b/>
                <w:bCs/>
                <w:color w:val="000000"/>
                <w:sz w:val="20"/>
                <w:szCs w:val="20"/>
                <w:lang w:eastAsia="en-MY"/>
              </w:rPr>
              <w:t>ssets (PPE/A)</w:t>
            </w:r>
          </w:p>
        </w:tc>
      </w:tr>
      <w:tr w:rsidR="001C7F35" w:rsidRPr="00E65AA7" w14:paraId="73AF3AEA" w14:textId="77777777" w:rsidTr="001C7F35">
        <w:trPr>
          <w:trHeight w:hRule="exact" w:val="255"/>
        </w:trPr>
        <w:tc>
          <w:tcPr>
            <w:tcW w:w="465" w:type="pct"/>
            <w:vMerge w:val="restart"/>
            <w:tcBorders>
              <w:top w:val="single" w:sz="4" w:space="0" w:color="auto"/>
              <w:left w:val="nil"/>
              <w:bottom w:val="nil"/>
              <w:right w:val="nil"/>
            </w:tcBorders>
            <w:shd w:val="clear" w:color="auto" w:fill="auto"/>
            <w:vAlign w:val="center"/>
          </w:tcPr>
          <w:p w14:paraId="7B65C852" w14:textId="5BEDEACB"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21" w:type="pct"/>
            <w:vMerge w:val="restart"/>
            <w:tcBorders>
              <w:top w:val="single" w:sz="4" w:space="0" w:color="auto"/>
              <w:left w:val="nil"/>
              <w:right w:val="nil"/>
            </w:tcBorders>
            <w:vAlign w:val="center"/>
          </w:tcPr>
          <w:p w14:paraId="0AC2E09D"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152</w:t>
            </w:r>
          </w:p>
        </w:tc>
        <w:tc>
          <w:tcPr>
            <w:tcW w:w="329" w:type="pct"/>
            <w:tcBorders>
              <w:top w:val="single" w:sz="4" w:space="0" w:color="auto"/>
              <w:left w:val="nil"/>
              <w:bottom w:val="nil"/>
              <w:right w:val="nil"/>
            </w:tcBorders>
            <w:shd w:val="clear" w:color="auto" w:fill="auto"/>
            <w:noWrap/>
            <w:vAlign w:val="center"/>
          </w:tcPr>
          <w:p w14:paraId="712F8D05" w14:textId="0E50F52D" w:rsidR="001C7F35" w:rsidRPr="00E65AA7" w:rsidRDefault="001C7F35" w:rsidP="001C7F35">
            <w:pPr>
              <w:jc w:val="center"/>
              <w:rPr>
                <w:color w:val="000000"/>
                <w:sz w:val="20"/>
                <w:szCs w:val="20"/>
              </w:rPr>
            </w:pPr>
            <w:r>
              <w:rPr>
                <w:color w:val="000000"/>
                <w:sz w:val="20"/>
                <w:szCs w:val="20"/>
              </w:rPr>
              <w:t>1.84</w:t>
            </w:r>
          </w:p>
        </w:tc>
        <w:tc>
          <w:tcPr>
            <w:tcW w:w="329" w:type="pct"/>
            <w:tcBorders>
              <w:top w:val="single" w:sz="4" w:space="0" w:color="auto"/>
              <w:left w:val="nil"/>
              <w:bottom w:val="nil"/>
              <w:right w:val="nil"/>
            </w:tcBorders>
            <w:shd w:val="clear" w:color="auto" w:fill="auto"/>
            <w:noWrap/>
            <w:vAlign w:val="center"/>
          </w:tcPr>
          <w:p w14:paraId="4841FC8A" w14:textId="23064838" w:rsidR="001C7F35" w:rsidRPr="00E65AA7" w:rsidRDefault="001C7F35" w:rsidP="001C7F35">
            <w:pPr>
              <w:jc w:val="center"/>
              <w:rPr>
                <w:color w:val="000000"/>
                <w:sz w:val="20"/>
                <w:szCs w:val="20"/>
              </w:rPr>
            </w:pPr>
            <w:r>
              <w:rPr>
                <w:color w:val="000000"/>
                <w:sz w:val="20"/>
                <w:szCs w:val="20"/>
              </w:rPr>
              <w:t>3.04</w:t>
            </w:r>
          </w:p>
        </w:tc>
        <w:tc>
          <w:tcPr>
            <w:tcW w:w="329" w:type="pct"/>
            <w:tcBorders>
              <w:top w:val="single" w:sz="4" w:space="0" w:color="auto"/>
              <w:left w:val="nil"/>
              <w:bottom w:val="nil"/>
              <w:right w:val="nil"/>
            </w:tcBorders>
            <w:shd w:val="clear" w:color="auto" w:fill="auto"/>
            <w:noWrap/>
            <w:vAlign w:val="center"/>
          </w:tcPr>
          <w:p w14:paraId="26822090" w14:textId="73CB2E1B" w:rsidR="001C7F35" w:rsidRPr="00E65AA7" w:rsidRDefault="001C7F35" w:rsidP="001C7F35">
            <w:pPr>
              <w:jc w:val="center"/>
              <w:rPr>
                <w:color w:val="000000"/>
                <w:sz w:val="20"/>
                <w:szCs w:val="20"/>
              </w:rPr>
            </w:pPr>
            <w:r>
              <w:rPr>
                <w:color w:val="000000"/>
                <w:sz w:val="20"/>
                <w:szCs w:val="20"/>
              </w:rPr>
              <w:t>3.21</w:t>
            </w:r>
          </w:p>
        </w:tc>
        <w:tc>
          <w:tcPr>
            <w:tcW w:w="329" w:type="pct"/>
            <w:tcBorders>
              <w:top w:val="single" w:sz="4" w:space="0" w:color="auto"/>
              <w:left w:val="nil"/>
              <w:bottom w:val="nil"/>
              <w:right w:val="nil"/>
            </w:tcBorders>
            <w:shd w:val="clear" w:color="auto" w:fill="auto"/>
            <w:noWrap/>
            <w:vAlign w:val="center"/>
          </w:tcPr>
          <w:p w14:paraId="6927F366" w14:textId="3441CD52" w:rsidR="001C7F35" w:rsidRPr="00E65AA7" w:rsidRDefault="001C7F35" w:rsidP="001C7F35">
            <w:pPr>
              <w:jc w:val="center"/>
              <w:rPr>
                <w:color w:val="000000"/>
                <w:sz w:val="20"/>
                <w:szCs w:val="20"/>
              </w:rPr>
            </w:pPr>
            <w:r>
              <w:rPr>
                <w:color w:val="000000"/>
                <w:sz w:val="20"/>
                <w:szCs w:val="20"/>
              </w:rPr>
              <w:t>2.99</w:t>
            </w:r>
          </w:p>
        </w:tc>
        <w:tc>
          <w:tcPr>
            <w:tcW w:w="329" w:type="pct"/>
            <w:tcBorders>
              <w:top w:val="single" w:sz="4" w:space="0" w:color="auto"/>
              <w:left w:val="nil"/>
              <w:bottom w:val="nil"/>
              <w:right w:val="nil"/>
            </w:tcBorders>
            <w:shd w:val="clear" w:color="auto" w:fill="auto"/>
            <w:noWrap/>
            <w:vAlign w:val="center"/>
          </w:tcPr>
          <w:p w14:paraId="3CB18E02" w14:textId="3EA3B0D7" w:rsidR="001C7F35" w:rsidRPr="00E65AA7" w:rsidRDefault="001C7F35" w:rsidP="001C7F35">
            <w:pPr>
              <w:jc w:val="center"/>
              <w:rPr>
                <w:color w:val="000000"/>
                <w:sz w:val="20"/>
                <w:szCs w:val="20"/>
              </w:rPr>
            </w:pPr>
            <w:r>
              <w:rPr>
                <w:color w:val="000000"/>
                <w:sz w:val="20"/>
                <w:szCs w:val="20"/>
              </w:rPr>
              <w:t>3.00</w:t>
            </w:r>
          </w:p>
        </w:tc>
        <w:tc>
          <w:tcPr>
            <w:tcW w:w="329" w:type="pct"/>
            <w:tcBorders>
              <w:top w:val="single" w:sz="4" w:space="0" w:color="auto"/>
              <w:left w:val="nil"/>
              <w:bottom w:val="nil"/>
              <w:right w:val="nil"/>
            </w:tcBorders>
            <w:shd w:val="clear" w:color="auto" w:fill="auto"/>
            <w:noWrap/>
            <w:vAlign w:val="center"/>
          </w:tcPr>
          <w:p w14:paraId="02A1C988" w14:textId="021B57A2" w:rsidR="001C7F35" w:rsidRPr="00E65AA7" w:rsidRDefault="001C7F35" w:rsidP="001C7F35">
            <w:pPr>
              <w:jc w:val="center"/>
              <w:rPr>
                <w:color w:val="000000"/>
                <w:sz w:val="20"/>
                <w:szCs w:val="20"/>
              </w:rPr>
            </w:pPr>
            <w:r>
              <w:rPr>
                <w:color w:val="000000"/>
                <w:sz w:val="20"/>
                <w:szCs w:val="20"/>
              </w:rPr>
              <w:t>2.89</w:t>
            </w:r>
          </w:p>
        </w:tc>
        <w:tc>
          <w:tcPr>
            <w:tcW w:w="329" w:type="pct"/>
            <w:tcBorders>
              <w:top w:val="single" w:sz="4" w:space="0" w:color="auto"/>
              <w:left w:val="nil"/>
              <w:bottom w:val="nil"/>
              <w:right w:val="nil"/>
            </w:tcBorders>
            <w:shd w:val="clear" w:color="auto" w:fill="auto"/>
            <w:noWrap/>
            <w:vAlign w:val="center"/>
          </w:tcPr>
          <w:p w14:paraId="13BD21FA" w14:textId="355C1D6C" w:rsidR="001C7F35" w:rsidRPr="00E65AA7" w:rsidRDefault="001C7F35" w:rsidP="001C7F35">
            <w:pPr>
              <w:jc w:val="center"/>
              <w:rPr>
                <w:color w:val="000000"/>
                <w:sz w:val="20"/>
                <w:szCs w:val="20"/>
              </w:rPr>
            </w:pPr>
            <w:r>
              <w:rPr>
                <w:color w:val="000000"/>
                <w:sz w:val="20"/>
                <w:szCs w:val="20"/>
              </w:rPr>
              <w:t>2.82</w:t>
            </w:r>
          </w:p>
        </w:tc>
        <w:tc>
          <w:tcPr>
            <w:tcW w:w="329" w:type="pct"/>
            <w:tcBorders>
              <w:top w:val="single" w:sz="4" w:space="0" w:color="auto"/>
              <w:left w:val="nil"/>
              <w:bottom w:val="nil"/>
              <w:right w:val="nil"/>
            </w:tcBorders>
            <w:shd w:val="clear" w:color="auto" w:fill="auto"/>
            <w:noWrap/>
            <w:vAlign w:val="center"/>
          </w:tcPr>
          <w:p w14:paraId="59CD36CF" w14:textId="4C99C0FD" w:rsidR="001C7F35" w:rsidRPr="00E65AA7" w:rsidRDefault="001C7F35" w:rsidP="001C7F35">
            <w:pPr>
              <w:jc w:val="center"/>
              <w:rPr>
                <w:color w:val="000000"/>
                <w:sz w:val="20"/>
                <w:szCs w:val="20"/>
              </w:rPr>
            </w:pPr>
            <w:r>
              <w:rPr>
                <w:color w:val="000000"/>
                <w:sz w:val="20"/>
                <w:szCs w:val="20"/>
              </w:rPr>
              <w:t>2.54</w:t>
            </w:r>
          </w:p>
        </w:tc>
        <w:tc>
          <w:tcPr>
            <w:tcW w:w="329" w:type="pct"/>
            <w:tcBorders>
              <w:top w:val="single" w:sz="4" w:space="0" w:color="auto"/>
              <w:left w:val="nil"/>
              <w:bottom w:val="nil"/>
              <w:right w:val="nil"/>
            </w:tcBorders>
            <w:shd w:val="clear" w:color="auto" w:fill="auto"/>
            <w:noWrap/>
            <w:vAlign w:val="center"/>
          </w:tcPr>
          <w:p w14:paraId="30BC7C84" w14:textId="6EBEDA81" w:rsidR="001C7F35" w:rsidRPr="00E65AA7" w:rsidRDefault="001C7F35" w:rsidP="001C7F35">
            <w:pPr>
              <w:jc w:val="center"/>
              <w:rPr>
                <w:color w:val="000000"/>
                <w:sz w:val="20"/>
                <w:szCs w:val="20"/>
              </w:rPr>
            </w:pPr>
            <w:r>
              <w:rPr>
                <w:color w:val="000000"/>
                <w:sz w:val="20"/>
                <w:szCs w:val="20"/>
              </w:rPr>
              <w:t>2.34</w:t>
            </w:r>
          </w:p>
        </w:tc>
        <w:tc>
          <w:tcPr>
            <w:tcW w:w="329" w:type="pct"/>
            <w:tcBorders>
              <w:top w:val="single" w:sz="4" w:space="0" w:color="auto"/>
              <w:left w:val="nil"/>
              <w:bottom w:val="nil"/>
              <w:right w:val="nil"/>
            </w:tcBorders>
            <w:shd w:val="clear" w:color="auto" w:fill="auto"/>
            <w:noWrap/>
            <w:vAlign w:val="center"/>
          </w:tcPr>
          <w:p w14:paraId="4A019B36" w14:textId="40070DA7" w:rsidR="001C7F35" w:rsidRPr="00E65AA7" w:rsidRDefault="001C7F35" w:rsidP="001C7F35">
            <w:pPr>
              <w:jc w:val="center"/>
              <w:rPr>
                <w:color w:val="000000"/>
                <w:sz w:val="20"/>
                <w:szCs w:val="20"/>
              </w:rPr>
            </w:pPr>
            <w:r>
              <w:rPr>
                <w:color w:val="000000"/>
                <w:sz w:val="20"/>
                <w:szCs w:val="20"/>
              </w:rPr>
              <w:t>2.17</w:t>
            </w:r>
          </w:p>
        </w:tc>
        <w:tc>
          <w:tcPr>
            <w:tcW w:w="329" w:type="pct"/>
            <w:tcBorders>
              <w:top w:val="single" w:sz="4" w:space="0" w:color="auto"/>
              <w:left w:val="nil"/>
              <w:bottom w:val="nil"/>
              <w:right w:val="nil"/>
            </w:tcBorders>
            <w:shd w:val="clear" w:color="auto" w:fill="auto"/>
            <w:noWrap/>
            <w:vAlign w:val="center"/>
          </w:tcPr>
          <w:p w14:paraId="3AAC367E" w14:textId="426A973D" w:rsidR="001C7F35" w:rsidRPr="00E65AA7" w:rsidRDefault="001C7F35" w:rsidP="001C7F35">
            <w:pPr>
              <w:jc w:val="center"/>
              <w:rPr>
                <w:color w:val="000000"/>
                <w:sz w:val="20"/>
                <w:szCs w:val="20"/>
              </w:rPr>
            </w:pPr>
            <w:r>
              <w:rPr>
                <w:color w:val="000000"/>
                <w:sz w:val="20"/>
                <w:szCs w:val="20"/>
              </w:rPr>
              <w:t>2.13</w:t>
            </w:r>
          </w:p>
        </w:tc>
        <w:tc>
          <w:tcPr>
            <w:tcW w:w="355" w:type="pct"/>
            <w:tcBorders>
              <w:top w:val="single" w:sz="4" w:space="0" w:color="auto"/>
              <w:left w:val="nil"/>
              <w:bottom w:val="nil"/>
              <w:right w:val="nil"/>
            </w:tcBorders>
            <w:shd w:val="clear" w:color="auto" w:fill="auto"/>
            <w:noWrap/>
            <w:vAlign w:val="center"/>
          </w:tcPr>
          <w:p w14:paraId="7BB34B5F" w14:textId="344319AF" w:rsidR="001C7F35" w:rsidRPr="00E65AA7" w:rsidRDefault="001C7F35" w:rsidP="001C7F35">
            <w:pPr>
              <w:jc w:val="center"/>
              <w:rPr>
                <w:color w:val="000000"/>
                <w:sz w:val="20"/>
                <w:szCs w:val="20"/>
              </w:rPr>
            </w:pPr>
            <w:r>
              <w:rPr>
                <w:color w:val="000000"/>
                <w:sz w:val="20"/>
                <w:szCs w:val="20"/>
              </w:rPr>
              <w:t>-0.91</w:t>
            </w:r>
          </w:p>
        </w:tc>
        <w:tc>
          <w:tcPr>
            <w:tcW w:w="340" w:type="pct"/>
            <w:tcBorders>
              <w:top w:val="single" w:sz="4" w:space="0" w:color="auto"/>
              <w:left w:val="nil"/>
              <w:bottom w:val="nil"/>
              <w:right w:val="nil"/>
            </w:tcBorders>
            <w:shd w:val="clear" w:color="auto" w:fill="auto"/>
            <w:noWrap/>
            <w:vAlign w:val="center"/>
          </w:tcPr>
          <w:p w14:paraId="285F8648" w14:textId="28A2FA82"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0.76</w:t>
            </w:r>
          </w:p>
        </w:tc>
      </w:tr>
      <w:tr w:rsidR="001C7F35" w:rsidRPr="00E65AA7" w14:paraId="32716846" w14:textId="77777777" w:rsidTr="001C7F35">
        <w:trPr>
          <w:trHeight w:hRule="exact" w:val="255"/>
        </w:trPr>
        <w:tc>
          <w:tcPr>
            <w:tcW w:w="465" w:type="pct"/>
            <w:vMerge/>
            <w:tcBorders>
              <w:top w:val="nil"/>
              <w:left w:val="nil"/>
              <w:bottom w:val="nil"/>
              <w:right w:val="nil"/>
            </w:tcBorders>
            <w:vAlign w:val="center"/>
          </w:tcPr>
          <w:p w14:paraId="158ECAEB"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220B4EDF"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26DD8F04" w14:textId="5CB1FE93" w:rsidR="001C7F35" w:rsidRPr="00E65AA7" w:rsidRDefault="001C7F35" w:rsidP="001C7F35">
            <w:pPr>
              <w:jc w:val="center"/>
              <w:rPr>
                <w:color w:val="000000"/>
                <w:sz w:val="20"/>
                <w:szCs w:val="20"/>
              </w:rPr>
            </w:pPr>
            <w:r>
              <w:rPr>
                <w:color w:val="000000"/>
                <w:sz w:val="20"/>
                <w:szCs w:val="20"/>
              </w:rPr>
              <w:t>(5</w:t>
            </w:r>
            <w:r w:rsidR="008F6BB3">
              <w:rPr>
                <w:color w:val="000000"/>
                <w:sz w:val="20"/>
                <w:szCs w:val="20"/>
              </w:rPr>
              <w:t>.00</w:t>
            </w:r>
            <w:r>
              <w:rPr>
                <w:color w:val="000000"/>
                <w:sz w:val="20"/>
                <w:szCs w:val="20"/>
              </w:rPr>
              <w:t>)</w:t>
            </w:r>
          </w:p>
        </w:tc>
        <w:tc>
          <w:tcPr>
            <w:tcW w:w="329" w:type="pct"/>
            <w:tcBorders>
              <w:top w:val="nil"/>
              <w:left w:val="nil"/>
              <w:bottom w:val="nil"/>
              <w:right w:val="nil"/>
            </w:tcBorders>
            <w:shd w:val="clear" w:color="auto" w:fill="auto"/>
            <w:noWrap/>
            <w:vAlign w:val="center"/>
          </w:tcPr>
          <w:p w14:paraId="1CC4434E" w14:textId="75938E94" w:rsidR="001C7F35" w:rsidRPr="00E65AA7" w:rsidRDefault="001C7F35" w:rsidP="001C7F35">
            <w:pPr>
              <w:jc w:val="center"/>
              <w:rPr>
                <w:color w:val="000000"/>
                <w:sz w:val="20"/>
                <w:szCs w:val="20"/>
              </w:rPr>
            </w:pPr>
            <w:r>
              <w:rPr>
                <w:color w:val="000000"/>
                <w:sz w:val="20"/>
                <w:szCs w:val="20"/>
              </w:rPr>
              <w:t>(5.89)</w:t>
            </w:r>
          </w:p>
        </w:tc>
        <w:tc>
          <w:tcPr>
            <w:tcW w:w="329" w:type="pct"/>
            <w:tcBorders>
              <w:top w:val="nil"/>
              <w:left w:val="nil"/>
              <w:bottom w:val="nil"/>
              <w:right w:val="nil"/>
            </w:tcBorders>
            <w:shd w:val="clear" w:color="auto" w:fill="auto"/>
            <w:noWrap/>
            <w:vAlign w:val="center"/>
          </w:tcPr>
          <w:p w14:paraId="3056B950" w14:textId="5FCE3011" w:rsidR="001C7F35" w:rsidRPr="00E65AA7" w:rsidRDefault="001C7F35" w:rsidP="001C7F35">
            <w:pPr>
              <w:jc w:val="center"/>
              <w:rPr>
                <w:color w:val="000000"/>
                <w:sz w:val="20"/>
                <w:szCs w:val="20"/>
              </w:rPr>
            </w:pPr>
            <w:r>
              <w:rPr>
                <w:color w:val="000000"/>
                <w:sz w:val="20"/>
                <w:szCs w:val="20"/>
              </w:rPr>
              <w:t>(6.14)</w:t>
            </w:r>
          </w:p>
        </w:tc>
        <w:tc>
          <w:tcPr>
            <w:tcW w:w="329" w:type="pct"/>
            <w:tcBorders>
              <w:top w:val="nil"/>
              <w:left w:val="nil"/>
              <w:bottom w:val="nil"/>
              <w:right w:val="nil"/>
            </w:tcBorders>
            <w:shd w:val="clear" w:color="auto" w:fill="auto"/>
            <w:noWrap/>
            <w:vAlign w:val="center"/>
          </w:tcPr>
          <w:p w14:paraId="0A1011D3" w14:textId="7DAF6B82" w:rsidR="001C7F35" w:rsidRPr="00E65AA7" w:rsidRDefault="001C7F35" w:rsidP="001C7F35">
            <w:pPr>
              <w:jc w:val="center"/>
              <w:rPr>
                <w:color w:val="000000"/>
                <w:sz w:val="20"/>
                <w:szCs w:val="20"/>
              </w:rPr>
            </w:pPr>
            <w:r>
              <w:rPr>
                <w:color w:val="000000"/>
                <w:sz w:val="20"/>
                <w:szCs w:val="20"/>
              </w:rPr>
              <w:t>(6.18)</w:t>
            </w:r>
          </w:p>
        </w:tc>
        <w:tc>
          <w:tcPr>
            <w:tcW w:w="329" w:type="pct"/>
            <w:tcBorders>
              <w:top w:val="nil"/>
              <w:left w:val="nil"/>
              <w:bottom w:val="nil"/>
              <w:right w:val="nil"/>
            </w:tcBorders>
            <w:shd w:val="clear" w:color="auto" w:fill="auto"/>
            <w:noWrap/>
            <w:vAlign w:val="center"/>
          </w:tcPr>
          <w:p w14:paraId="25888460" w14:textId="4A624843" w:rsidR="001C7F35" w:rsidRPr="00E65AA7" w:rsidRDefault="001C7F35" w:rsidP="001C7F35">
            <w:pPr>
              <w:jc w:val="center"/>
              <w:rPr>
                <w:color w:val="000000"/>
                <w:sz w:val="20"/>
                <w:szCs w:val="20"/>
              </w:rPr>
            </w:pPr>
            <w:r>
              <w:rPr>
                <w:color w:val="000000"/>
                <w:sz w:val="20"/>
                <w:szCs w:val="20"/>
              </w:rPr>
              <w:t>(6.76)</w:t>
            </w:r>
          </w:p>
        </w:tc>
        <w:tc>
          <w:tcPr>
            <w:tcW w:w="329" w:type="pct"/>
            <w:tcBorders>
              <w:top w:val="nil"/>
              <w:left w:val="nil"/>
              <w:bottom w:val="nil"/>
              <w:right w:val="nil"/>
            </w:tcBorders>
            <w:shd w:val="clear" w:color="auto" w:fill="auto"/>
            <w:noWrap/>
            <w:vAlign w:val="center"/>
          </w:tcPr>
          <w:p w14:paraId="014B1D9D" w14:textId="0669B411" w:rsidR="001C7F35" w:rsidRPr="00E65AA7" w:rsidRDefault="001C7F35" w:rsidP="001C7F35">
            <w:pPr>
              <w:jc w:val="center"/>
              <w:rPr>
                <w:color w:val="000000"/>
                <w:sz w:val="20"/>
                <w:szCs w:val="20"/>
              </w:rPr>
            </w:pPr>
            <w:r>
              <w:rPr>
                <w:color w:val="000000"/>
                <w:sz w:val="20"/>
                <w:szCs w:val="20"/>
              </w:rPr>
              <w:t>(6.86)</w:t>
            </w:r>
          </w:p>
        </w:tc>
        <w:tc>
          <w:tcPr>
            <w:tcW w:w="329" w:type="pct"/>
            <w:tcBorders>
              <w:top w:val="nil"/>
              <w:left w:val="nil"/>
              <w:bottom w:val="nil"/>
              <w:right w:val="nil"/>
            </w:tcBorders>
            <w:shd w:val="clear" w:color="auto" w:fill="auto"/>
            <w:noWrap/>
            <w:vAlign w:val="center"/>
          </w:tcPr>
          <w:p w14:paraId="39BBAF22" w14:textId="142255DE" w:rsidR="001C7F35" w:rsidRPr="00E65AA7" w:rsidRDefault="001C7F35" w:rsidP="001C7F35">
            <w:pPr>
              <w:jc w:val="center"/>
              <w:rPr>
                <w:color w:val="000000"/>
                <w:sz w:val="20"/>
                <w:szCs w:val="20"/>
              </w:rPr>
            </w:pPr>
            <w:r>
              <w:rPr>
                <w:color w:val="000000"/>
                <w:sz w:val="20"/>
                <w:szCs w:val="20"/>
              </w:rPr>
              <w:t>(7.08)</w:t>
            </w:r>
          </w:p>
        </w:tc>
        <w:tc>
          <w:tcPr>
            <w:tcW w:w="329" w:type="pct"/>
            <w:tcBorders>
              <w:top w:val="nil"/>
              <w:left w:val="nil"/>
              <w:bottom w:val="nil"/>
              <w:right w:val="nil"/>
            </w:tcBorders>
            <w:shd w:val="clear" w:color="auto" w:fill="auto"/>
            <w:noWrap/>
            <w:vAlign w:val="center"/>
          </w:tcPr>
          <w:p w14:paraId="703A6D70" w14:textId="5F4A9DCE" w:rsidR="001C7F35" w:rsidRPr="00E65AA7" w:rsidRDefault="001C7F35" w:rsidP="001C7F35">
            <w:pPr>
              <w:jc w:val="center"/>
              <w:rPr>
                <w:color w:val="000000"/>
                <w:sz w:val="20"/>
                <w:szCs w:val="20"/>
              </w:rPr>
            </w:pPr>
            <w:r>
              <w:rPr>
                <w:color w:val="000000"/>
                <w:sz w:val="20"/>
                <w:szCs w:val="20"/>
              </w:rPr>
              <w:t>(6.48)</w:t>
            </w:r>
          </w:p>
        </w:tc>
        <w:tc>
          <w:tcPr>
            <w:tcW w:w="329" w:type="pct"/>
            <w:tcBorders>
              <w:top w:val="nil"/>
              <w:left w:val="nil"/>
              <w:bottom w:val="nil"/>
              <w:right w:val="nil"/>
            </w:tcBorders>
            <w:shd w:val="clear" w:color="auto" w:fill="auto"/>
            <w:noWrap/>
            <w:vAlign w:val="center"/>
          </w:tcPr>
          <w:p w14:paraId="0C854EF0" w14:textId="04FE972F" w:rsidR="001C7F35" w:rsidRPr="00E65AA7" w:rsidRDefault="001C7F35" w:rsidP="001C7F35">
            <w:pPr>
              <w:jc w:val="center"/>
              <w:rPr>
                <w:color w:val="000000"/>
                <w:sz w:val="20"/>
                <w:szCs w:val="20"/>
              </w:rPr>
            </w:pPr>
            <w:r>
              <w:rPr>
                <w:color w:val="000000"/>
                <w:sz w:val="20"/>
                <w:szCs w:val="20"/>
              </w:rPr>
              <w:t>(6.47)</w:t>
            </w:r>
          </w:p>
        </w:tc>
        <w:tc>
          <w:tcPr>
            <w:tcW w:w="329" w:type="pct"/>
            <w:tcBorders>
              <w:top w:val="nil"/>
              <w:left w:val="nil"/>
              <w:bottom w:val="nil"/>
              <w:right w:val="nil"/>
            </w:tcBorders>
            <w:shd w:val="clear" w:color="auto" w:fill="auto"/>
            <w:noWrap/>
            <w:vAlign w:val="center"/>
          </w:tcPr>
          <w:p w14:paraId="7131FA5E" w14:textId="68BF34F4" w:rsidR="001C7F35" w:rsidRPr="00E65AA7" w:rsidRDefault="001C7F35" w:rsidP="001C7F35">
            <w:pPr>
              <w:jc w:val="center"/>
              <w:rPr>
                <w:color w:val="000000"/>
                <w:sz w:val="20"/>
                <w:szCs w:val="20"/>
              </w:rPr>
            </w:pPr>
            <w:r>
              <w:rPr>
                <w:color w:val="000000"/>
                <w:sz w:val="20"/>
                <w:szCs w:val="20"/>
              </w:rPr>
              <w:t>(6.84)</w:t>
            </w:r>
          </w:p>
        </w:tc>
        <w:tc>
          <w:tcPr>
            <w:tcW w:w="329" w:type="pct"/>
            <w:tcBorders>
              <w:top w:val="nil"/>
              <w:left w:val="nil"/>
              <w:bottom w:val="nil"/>
              <w:right w:val="nil"/>
            </w:tcBorders>
            <w:shd w:val="clear" w:color="auto" w:fill="auto"/>
            <w:noWrap/>
            <w:vAlign w:val="center"/>
          </w:tcPr>
          <w:p w14:paraId="255ED64C" w14:textId="0A23BEE1" w:rsidR="001C7F35" w:rsidRPr="00E65AA7" w:rsidRDefault="001C7F35" w:rsidP="001C7F35">
            <w:pPr>
              <w:jc w:val="center"/>
              <w:rPr>
                <w:color w:val="000000"/>
                <w:sz w:val="20"/>
                <w:szCs w:val="20"/>
              </w:rPr>
            </w:pPr>
            <w:r>
              <w:rPr>
                <w:color w:val="000000"/>
                <w:sz w:val="20"/>
                <w:szCs w:val="20"/>
              </w:rPr>
              <w:t>(6.35)</w:t>
            </w:r>
          </w:p>
        </w:tc>
        <w:tc>
          <w:tcPr>
            <w:tcW w:w="355" w:type="pct"/>
            <w:tcBorders>
              <w:top w:val="nil"/>
              <w:left w:val="nil"/>
              <w:bottom w:val="nil"/>
              <w:right w:val="nil"/>
            </w:tcBorders>
            <w:shd w:val="clear" w:color="auto" w:fill="auto"/>
            <w:noWrap/>
            <w:vAlign w:val="center"/>
          </w:tcPr>
          <w:p w14:paraId="424FD5AF" w14:textId="799D42FC" w:rsidR="001C7F35" w:rsidRPr="00E65AA7" w:rsidRDefault="001C7F35" w:rsidP="001C7F35">
            <w:pPr>
              <w:jc w:val="center"/>
              <w:rPr>
                <w:color w:val="000000"/>
                <w:sz w:val="20"/>
                <w:szCs w:val="20"/>
              </w:rPr>
            </w:pPr>
            <w:r>
              <w:rPr>
                <w:color w:val="000000"/>
                <w:sz w:val="20"/>
                <w:szCs w:val="20"/>
              </w:rPr>
              <w:t>(-2.65)</w:t>
            </w:r>
          </w:p>
        </w:tc>
        <w:tc>
          <w:tcPr>
            <w:tcW w:w="340" w:type="pct"/>
            <w:tcBorders>
              <w:top w:val="nil"/>
              <w:left w:val="nil"/>
              <w:bottom w:val="nil"/>
              <w:right w:val="nil"/>
            </w:tcBorders>
            <w:shd w:val="clear" w:color="auto" w:fill="auto"/>
            <w:noWrap/>
            <w:vAlign w:val="center"/>
          </w:tcPr>
          <w:p w14:paraId="0BC57DA2" w14:textId="19EDE52A"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2.09)</w:t>
            </w:r>
          </w:p>
        </w:tc>
      </w:tr>
      <w:tr w:rsidR="001C7F35" w:rsidRPr="00E65AA7" w14:paraId="1B49A143"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5503DA9C" w14:textId="2C81002A"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21" w:type="pct"/>
            <w:vMerge w:val="restart"/>
            <w:tcBorders>
              <w:top w:val="nil"/>
              <w:left w:val="nil"/>
              <w:right w:val="nil"/>
            </w:tcBorders>
            <w:vAlign w:val="center"/>
          </w:tcPr>
          <w:p w14:paraId="0FE679A0"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170</w:t>
            </w:r>
          </w:p>
        </w:tc>
        <w:tc>
          <w:tcPr>
            <w:tcW w:w="329" w:type="pct"/>
            <w:tcBorders>
              <w:top w:val="nil"/>
              <w:left w:val="nil"/>
              <w:bottom w:val="nil"/>
              <w:right w:val="nil"/>
            </w:tcBorders>
            <w:shd w:val="clear" w:color="auto" w:fill="auto"/>
            <w:noWrap/>
            <w:vAlign w:val="center"/>
          </w:tcPr>
          <w:p w14:paraId="17D4B8A2" w14:textId="56BE5A82" w:rsidR="001C7F35" w:rsidRPr="00E65AA7" w:rsidRDefault="001C7F35" w:rsidP="001C7F35">
            <w:pPr>
              <w:jc w:val="center"/>
              <w:rPr>
                <w:color w:val="000000"/>
                <w:sz w:val="20"/>
                <w:szCs w:val="20"/>
              </w:rPr>
            </w:pPr>
            <w:r>
              <w:rPr>
                <w:color w:val="000000"/>
                <w:sz w:val="20"/>
                <w:szCs w:val="20"/>
              </w:rPr>
              <w:t>0.19</w:t>
            </w:r>
          </w:p>
        </w:tc>
        <w:tc>
          <w:tcPr>
            <w:tcW w:w="329" w:type="pct"/>
            <w:tcBorders>
              <w:top w:val="nil"/>
              <w:left w:val="nil"/>
              <w:bottom w:val="nil"/>
              <w:right w:val="nil"/>
            </w:tcBorders>
            <w:shd w:val="clear" w:color="auto" w:fill="auto"/>
            <w:noWrap/>
            <w:vAlign w:val="center"/>
          </w:tcPr>
          <w:p w14:paraId="56BBD998" w14:textId="0B1F56B0" w:rsidR="001C7F35" w:rsidRPr="00E65AA7" w:rsidRDefault="001C7F35" w:rsidP="001C7F35">
            <w:pPr>
              <w:jc w:val="center"/>
              <w:rPr>
                <w:color w:val="000000"/>
                <w:sz w:val="20"/>
                <w:szCs w:val="20"/>
              </w:rPr>
            </w:pPr>
            <w:r>
              <w:rPr>
                <w:color w:val="000000"/>
                <w:sz w:val="20"/>
                <w:szCs w:val="20"/>
              </w:rPr>
              <w:t>-1.65</w:t>
            </w:r>
          </w:p>
        </w:tc>
        <w:tc>
          <w:tcPr>
            <w:tcW w:w="329" w:type="pct"/>
            <w:tcBorders>
              <w:top w:val="nil"/>
              <w:left w:val="nil"/>
              <w:bottom w:val="nil"/>
              <w:right w:val="nil"/>
            </w:tcBorders>
            <w:shd w:val="clear" w:color="auto" w:fill="auto"/>
            <w:noWrap/>
            <w:vAlign w:val="center"/>
          </w:tcPr>
          <w:p w14:paraId="7F9785A4" w14:textId="4FFF213C" w:rsidR="001C7F35" w:rsidRPr="00E65AA7" w:rsidRDefault="001C7F35" w:rsidP="001C7F35">
            <w:pPr>
              <w:jc w:val="center"/>
              <w:rPr>
                <w:color w:val="000000"/>
                <w:sz w:val="20"/>
                <w:szCs w:val="20"/>
              </w:rPr>
            </w:pPr>
            <w:r>
              <w:rPr>
                <w:color w:val="000000"/>
                <w:sz w:val="20"/>
                <w:szCs w:val="20"/>
              </w:rPr>
              <w:t>-1.56</w:t>
            </w:r>
          </w:p>
        </w:tc>
        <w:tc>
          <w:tcPr>
            <w:tcW w:w="329" w:type="pct"/>
            <w:tcBorders>
              <w:top w:val="nil"/>
              <w:left w:val="nil"/>
              <w:bottom w:val="nil"/>
              <w:right w:val="nil"/>
            </w:tcBorders>
            <w:shd w:val="clear" w:color="auto" w:fill="auto"/>
            <w:noWrap/>
            <w:vAlign w:val="center"/>
          </w:tcPr>
          <w:p w14:paraId="72EED438" w14:textId="7C4A04C0" w:rsidR="001C7F35" w:rsidRPr="00E65AA7" w:rsidRDefault="001C7F35" w:rsidP="001C7F35">
            <w:pPr>
              <w:jc w:val="center"/>
              <w:rPr>
                <w:color w:val="000000"/>
                <w:sz w:val="20"/>
                <w:szCs w:val="20"/>
              </w:rPr>
            </w:pPr>
            <w:r>
              <w:rPr>
                <w:color w:val="000000"/>
                <w:sz w:val="20"/>
                <w:szCs w:val="20"/>
              </w:rPr>
              <w:t>-1.29</w:t>
            </w:r>
          </w:p>
        </w:tc>
        <w:tc>
          <w:tcPr>
            <w:tcW w:w="329" w:type="pct"/>
            <w:tcBorders>
              <w:top w:val="nil"/>
              <w:left w:val="nil"/>
              <w:bottom w:val="nil"/>
              <w:right w:val="nil"/>
            </w:tcBorders>
            <w:shd w:val="clear" w:color="auto" w:fill="auto"/>
            <w:noWrap/>
            <w:vAlign w:val="center"/>
          </w:tcPr>
          <w:p w14:paraId="4F505B0F" w14:textId="6370BA2D" w:rsidR="001C7F35" w:rsidRPr="00E65AA7" w:rsidRDefault="001C7F35" w:rsidP="001C7F35">
            <w:pPr>
              <w:jc w:val="center"/>
              <w:rPr>
                <w:color w:val="000000"/>
                <w:sz w:val="20"/>
                <w:szCs w:val="20"/>
              </w:rPr>
            </w:pPr>
            <w:r>
              <w:rPr>
                <w:color w:val="000000"/>
                <w:sz w:val="20"/>
                <w:szCs w:val="20"/>
              </w:rPr>
              <w:t>-1.00</w:t>
            </w:r>
          </w:p>
        </w:tc>
        <w:tc>
          <w:tcPr>
            <w:tcW w:w="329" w:type="pct"/>
            <w:tcBorders>
              <w:top w:val="nil"/>
              <w:left w:val="nil"/>
              <w:bottom w:val="nil"/>
              <w:right w:val="nil"/>
            </w:tcBorders>
            <w:shd w:val="clear" w:color="auto" w:fill="auto"/>
            <w:noWrap/>
            <w:vAlign w:val="center"/>
          </w:tcPr>
          <w:p w14:paraId="58C22BE2" w14:textId="70143CE3" w:rsidR="001C7F35" w:rsidRPr="00E65AA7" w:rsidRDefault="001C7F35" w:rsidP="001C7F35">
            <w:pPr>
              <w:jc w:val="center"/>
              <w:rPr>
                <w:color w:val="000000"/>
                <w:sz w:val="20"/>
                <w:szCs w:val="20"/>
              </w:rPr>
            </w:pPr>
            <w:r>
              <w:rPr>
                <w:color w:val="000000"/>
                <w:sz w:val="20"/>
                <w:szCs w:val="20"/>
              </w:rPr>
              <w:t>-0.72</w:t>
            </w:r>
          </w:p>
        </w:tc>
        <w:tc>
          <w:tcPr>
            <w:tcW w:w="329" w:type="pct"/>
            <w:tcBorders>
              <w:top w:val="nil"/>
              <w:left w:val="nil"/>
              <w:bottom w:val="nil"/>
              <w:right w:val="nil"/>
            </w:tcBorders>
            <w:shd w:val="clear" w:color="auto" w:fill="auto"/>
            <w:noWrap/>
            <w:vAlign w:val="center"/>
          </w:tcPr>
          <w:p w14:paraId="2C1A6A59" w14:textId="279ADD8C" w:rsidR="001C7F35" w:rsidRPr="00E65AA7" w:rsidRDefault="001C7F35" w:rsidP="001C7F35">
            <w:pPr>
              <w:jc w:val="center"/>
              <w:rPr>
                <w:color w:val="000000"/>
                <w:sz w:val="20"/>
                <w:szCs w:val="20"/>
              </w:rPr>
            </w:pPr>
            <w:r>
              <w:rPr>
                <w:color w:val="000000"/>
                <w:sz w:val="20"/>
                <w:szCs w:val="20"/>
              </w:rPr>
              <w:t>-0.61</w:t>
            </w:r>
          </w:p>
        </w:tc>
        <w:tc>
          <w:tcPr>
            <w:tcW w:w="329" w:type="pct"/>
            <w:tcBorders>
              <w:top w:val="nil"/>
              <w:left w:val="nil"/>
              <w:bottom w:val="nil"/>
              <w:right w:val="nil"/>
            </w:tcBorders>
            <w:shd w:val="clear" w:color="auto" w:fill="auto"/>
            <w:noWrap/>
            <w:vAlign w:val="center"/>
          </w:tcPr>
          <w:p w14:paraId="0C6EABBB" w14:textId="47D34570" w:rsidR="001C7F35" w:rsidRPr="00E65AA7" w:rsidRDefault="001C7F35" w:rsidP="001C7F35">
            <w:pPr>
              <w:jc w:val="center"/>
              <w:rPr>
                <w:color w:val="000000"/>
                <w:sz w:val="20"/>
                <w:szCs w:val="20"/>
              </w:rPr>
            </w:pPr>
            <w:r>
              <w:rPr>
                <w:color w:val="000000"/>
                <w:sz w:val="20"/>
                <w:szCs w:val="20"/>
              </w:rPr>
              <w:t>-0.53</w:t>
            </w:r>
          </w:p>
        </w:tc>
        <w:tc>
          <w:tcPr>
            <w:tcW w:w="329" w:type="pct"/>
            <w:tcBorders>
              <w:top w:val="nil"/>
              <w:left w:val="nil"/>
              <w:bottom w:val="nil"/>
              <w:right w:val="nil"/>
            </w:tcBorders>
            <w:shd w:val="clear" w:color="auto" w:fill="auto"/>
            <w:noWrap/>
            <w:vAlign w:val="center"/>
          </w:tcPr>
          <w:p w14:paraId="0CBEDEC8" w14:textId="366C8093" w:rsidR="001C7F35" w:rsidRPr="00E65AA7" w:rsidRDefault="001C7F35" w:rsidP="001C7F35">
            <w:pPr>
              <w:jc w:val="center"/>
              <w:rPr>
                <w:color w:val="000000"/>
                <w:sz w:val="20"/>
                <w:szCs w:val="20"/>
              </w:rPr>
            </w:pPr>
            <w:r>
              <w:rPr>
                <w:color w:val="000000"/>
                <w:sz w:val="20"/>
                <w:szCs w:val="20"/>
              </w:rPr>
              <w:t>-0.36</w:t>
            </w:r>
          </w:p>
        </w:tc>
        <w:tc>
          <w:tcPr>
            <w:tcW w:w="329" w:type="pct"/>
            <w:tcBorders>
              <w:top w:val="nil"/>
              <w:left w:val="nil"/>
              <w:bottom w:val="nil"/>
              <w:right w:val="nil"/>
            </w:tcBorders>
            <w:shd w:val="clear" w:color="auto" w:fill="auto"/>
            <w:noWrap/>
            <w:vAlign w:val="center"/>
          </w:tcPr>
          <w:p w14:paraId="11755AD4" w14:textId="7A5C933E" w:rsidR="001C7F35" w:rsidRPr="00E65AA7" w:rsidRDefault="001C7F35" w:rsidP="001C7F35">
            <w:pPr>
              <w:jc w:val="center"/>
              <w:rPr>
                <w:color w:val="000000"/>
                <w:sz w:val="20"/>
                <w:szCs w:val="20"/>
              </w:rPr>
            </w:pPr>
            <w:r>
              <w:rPr>
                <w:color w:val="000000"/>
                <w:sz w:val="20"/>
                <w:szCs w:val="20"/>
              </w:rPr>
              <w:t>0.06</w:t>
            </w:r>
          </w:p>
        </w:tc>
        <w:tc>
          <w:tcPr>
            <w:tcW w:w="329" w:type="pct"/>
            <w:tcBorders>
              <w:top w:val="nil"/>
              <w:left w:val="nil"/>
              <w:bottom w:val="nil"/>
              <w:right w:val="nil"/>
            </w:tcBorders>
            <w:shd w:val="clear" w:color="auto" w:fill="auto"/>
            <w:noWrap/>
            <w:vAlign w:val="center"/>
          </w:tcPr>
          <w:p w14:paraId="5E2A2505" w14:textId="59B8FB36" w:rsidR="001C7F35" w:rsidRPr="00E65AA7" w:rsidRDefault="001C7F35" w:rsidP="001C7F35">
            <w:pPr>
              <w:jc w:val="center"/>
              <w:rPr>
                <w:color w:val="000000"/>
                <w:sz w:val="20"/>
                <w:szCs w:val="20"/>
              </w:rPr>
            </w:pPr>
            <w:r>
              <w:rPr>
                <w:color w:val="000000"/>
                <w:sz w:val="20"/>
                <w:szCs w:val="20"/>
              </w:rPr>
              <w:t>0.20</w:t>
            </w:r>
          </w:p>
        </w:tc>
        <w:tc>
          <w:tcPr>
            <w:tcW w:w="355" w:type="pct"/>
            <w:tcBorders>
              <w:top w:val="nil"/>
              <w:left w:val="nil"/>
              <w:bottom w:val="nil"/>
              <w:right w:val="nil"/>
            </w:tcBorders>
            <w:shd w:val="clear" w:color="auto" w:fill="auto"/>
            <w:noWrap/>
            <w:vAlign w:val="center"/>
          </w:tcPr>
          <w:p w14:paraId="11DB1EE4" w14:textId="5972F2FD" w:rsidR="001C7F35" w:rsidRPr="00E65AA7" w:rsidRDefault="001C7F35" w:rsidP="001C7F35">
            <w:pPr>
              <w:jc w:val="center"/>
              <w:rPr>
                <w:color w:val="000000"/>
                <w:sz w:val="20"/>
                <w:szCs w:val="20"/>
              </w:rPr>
            </w:pPr>
            <w:r>
              <w:rPr>
                <w:color w:val="000000"/>
                <w:sz w:val="20"/>
                <w:szCs w:val="20"/>
              </w:rPr>
              <w:t>1.85</w:t>
            </w:r>
          </w:p>
        </w:tc>
        <w:tc>
          <w:tcPr>
            <w:tcW w:w="340" w:type="pct"/>
            <w:tcBorders>
              <w:top w:val="nil"/>
              <w:left w:val="nil"/>
              <w:bottom w:val="nil"/>
              <w:right w:val="nil"/>
            </w:tcBorders>
            <w:shd w:val="clear" w:color="auto" w:fill="auto"/>
            <w:noWrap/>
            <w:vAlign w:val="center"/>
          </w:tcPr>
          <w:p w14:paraId="1E3CBDCA" w14:textId="79976782" w:rsidR="001C7F35" w:rsidRPr="00E65AA7" w:rsidRDefault="001C7F35" w:rsidP="001C7F35">
            <w:pPr>
              <w:jc w:val="center"/>
              <w:rPr>
                <w:color w:val="000000"/>
                <w:sz w:val="20"/>
                <w:szCs w:val="20"/>
              </w:rPr>
            </w:pPr>
            <w:r>
              <w:rPr>
                <w:color w:val="000000"/>
                <w:sz w:val="20"/>
                <w:szCs w:val="20"/>
              </w:rPr>
              <w:t>0.77</w:t>
            </w:r>
          </w:p>
        </w:tc>
      </w:tr>
      <w:tr w:rsidR="001C7F35" w:rsidRPr="00E65AA7" w14:paraId="3C96436D" w14:textId="77777777" w:rsidTr="001C7F35">
        <w:trPr>
          <w:trHeight w:hRule="exact" w:val="255"/>
        </w:trPr>
        <w:tc>
          <w:tcPr>
            <w:tcW w:w="465" w:type="pct"/>
            <w:vMerge/>
            <w:tcBorders>
              <w:top w:val="nil"/>
              <w:left w:val="nil"/>
              <w:bottom w:val="nil"/>
              <w:right w:val="nil"/>
            </w:tcBorders>
            <w:vAlign w:val="center"/>
          </w:tcPr>
          <w:p w14:paraId="3C14BF7C"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0302C35B"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1C0D1C3A" w14:textId="4AA11DF9" w:rsidR="001C7F35" w:rsidRPr="00E65AA7" w:rsidRDefault="001C7F35" w:rsidP="001C7F35">
            <w:pPr>
              <w:jc w:val="center"/>
              <w:rPr>
                <w:color w:val="000000"/>
                <w:sz w:val="20"/>
                <w:szCs w:val="20"/>
              </w:rPr>
            </w:pPr>
            <w:r>
              <w:rPr>
                <w:color w:val="000000"/>
                <w:sz w:val="20"/>
                <w:szCs w:val="20"/>
              </w:rPr>
              <w:t>(0.45)</w:t>
            </w:r>
          </w:p>
        </w:tc>
        <w:tc>
          <w:tcPr>
            <w:tcW w:w="329" w:type="pct"/>
            <w:tcBorders>
              <w:top w:val="nil"/>
              <w:left w:val="nil"/>
              <w:bottom w:val="nil"/>
              <w:right w:val="nil"/>
            </w:tcBorders>
            <w:shd w:val="clear" w:color="auto" w:fill="auto"/>
            <w:noWrap/>
            <w:vAlign w:val="center"/>
          </w:tcPr>
          <w:p w14:paraId="3E00B052" w14:textId="1C569DB5" w:rsidR="001C7F35" w:rsidRPr="00E65AA7" w:rsidRDefault="001C7F35" w:rsidP="001C7F35">
            <w:pPr>
              <w:jc w:val="center"/>
              <w:rPr>
                <w:color w:val="000000"/>
                <w:sz w:val="20"/>
                <w:szCs w:val="20"/>
              </w:rPr>
            </w:pPr>
            <w:r>
              <w:rPr>
                <w:color w:val="000000"/>
                <w:sz w:val="20"/>
                <w:szCs w:val="20"/>
              </w:rPr>
              <w:t>(-3.16)</w:t>
            </w:r>
          </w:p>
        </w:tc>
        <w:tc>
          <w:tcPr>
            <w:tcW w:w="329" w:type="pct"/>
            <w:tcBorders>
              <w:top w:val="nil"/>
              <w:left w:val="nil"/>
              <w:bottom w:val="nil"/>
              <w:right w:val="nil"/>
            </w:tcBorders>
            <w:shd w:val="clear" w:color="auto" w:fill="auto"/>
            <w:noWrap/>
            <w:vAlign w:val="center"/>
          </w:tcPr>
          <w:p w14:paraId="3B78FCB3" w14:textId="37C3A9DB" w:rsidR="001C7F35" w:rsidRPr="00E65AA7" w:rsidRDefault="001C7F35" w:rsidP="001C7F35">
            <w:pPr>
              <w:jc w:val="center"/>
              <w:rPr>
                <w:color w:val="000000"/>
                <w:sz w:val="20"/>
                <w:szCs w:val="20"/>
              </w:rPr>
            </w:pPr>
            <w:r>
              <w:rPr>
                <w:color w:val="000000"/>
                <w:sz w:val="20"/>
                <w:szCs w:val="20"/>
              </w:rPr>
              <w:t>(-3.09)</w:t>
            </w:r>
          </w:p>
        </w:tc>
        <w:tc>
          <w:tcPr>
            <w:tcW w:w="329" w:type="pct"/>
            <w:tcBorders>
              <w:top w:val="nil"/>
              <w:left w:val="nil"/>
              <w:bottom w:val="nil"/>
              <w:right w:val="nil"/>
            </w:tcBorders>
            <w:shd w:val="clear" w:color="auto" w:fill="auto"/>
            <w:noWrap/>
            <w:vAlign w:val="center"/>
          </w:tcPr>
          <w:p w14:paraId="2B8340BC" w14:textId="6036552B" w:rsidR="001C7F35" w:rsidRPr="00E65AA7" w:rsidRDefault="001C7F35" w:rsidP="001C7F35">
            <w:pPr>
              <w:jc w:val="center"/>
              <w:rPr>
                <w:color w:val="000000"/>
                <w:sz w:val="20"/>
                <w:szCs w:val="20"/>
              </w:rPr>
            </w:pPr>
            <w:r>
              <w:rPr>
                <w:color w:val="000000"/>
                <w:sz w:val="20"/>
                <w:szCs w:val="20"/>
              </w:rPr>
              <w:t>(-2.7</w:t>
            </w:r>
            <w:r w:rsidR="008F6BB3">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tcPr>
          <w:p w14:paraId="655740BD" w14:textId="1D39E87D" w:rsidR="001C7F35" w:rsidRPr="00E65AA7" w:rsidRDefault="001C7F35" w:rsidP="001C7F35">
            <w:pPr>
              <w:jc w:val="center"/>
              <w:rPr>
                <w:color w:val="000000"/>
                <w:sz w:val="20"/>
                <w:szCs w:val="20"/>
              </w:rPr>
            </w:pPr>
            <w:r>
              <w:rPr>
                <w:color w:val="000000"/>
                <w:sz w:val="20"/>
                <w:szCs w:val="20"/>
              </w:rPr>
              <w:t>(-2.19)</w:t>
            </w:r>
          </w:p>
        </w:tc>
        <w:tc>
          <w:tcPr>
            <w:tcW w:w="329" w:type="pct"/>
            <w:tcBorders>
              <w:top w:val="nil"/>
              <w:left w:val="nil"/>
              <w:bottom w:val="nil"/>
              <w:right w:val="nil"/>
            </w:tcBorders>
            <w:shd w:val="clear" w:color="auto" w:fill="auto"/>
            <w:noWrap/>
            <w:vAlign w:val="center"/>
          </w:tcPr>
          <w:p w14:paraId="5F5B87B2" w14:textId="6D28378E" w:rsidR="001C7F35" w:rsidRPr="00E65AA7" w:rsidRDefault="001C7F35" w:rsidP="001C7F35">
            <w:pPr>
              <w:jc w:val="center"/>
              <w:rPr>
                <w:color w:val="000000"/>
                <w:sz w:val="20"/>
                <w:szCs w:val="20"/>
              </w:rPr>
            </w:pPr>
            <w:r>
              <w:rPr>
                <w:color w:val="000000"/>
                <w:sz w:val="20"/>
                <w:szCs w:val="20"/>
              </w:rPr>
              <w:t>(-1.64)</w:t>
            </w:r>
          </w:p>
        </w:tc>
        <w:tc>
          <w:tcPr>
            <w:tcW w:w="329" w:type="pct"/>
            <w:tcBorders>
              <w:top w:val="nil"/>
              <w:left w:val="nil"/>
              <w:bottom w:val="nil"/>
              <w:right w:val="nil"/>
            </w:tcBorders>
            <w:shd w:val="clear" w:color="auto" w:fill="auto"/>
            <w:noWrap/>
            <w:vAlign w:val="center"/>
          </w:tcPr>
          <w:p w14:paraId="5571AD3A" w14:textId="770462FE" w:rsidR="001C7F35" w:rsidRPr="00E65AA7" w:rsidRDefault="001C7F35" w:rsidP="001C7F35">
            <w:pPr>
              <w:jc w:val="center"/>
              <w:rPr>
                <w:color w:val="000000"/>
                <w:sz w:val="20"/>
                <w:szCs w:val="20"/>
              </w:rPr>
            </w:pPr>
            <w:r>
              <w:rPr>
                <w:color w:val="000000"/>
                <w:sz w:val="20"/>
                <w:szCs w:val="20"/>
              </w:rPr>
              <w:t>(-1.44)</w:t>
            </w:r>
          </w:p>
        </w:tc>
        <w:tc>
          <w:tcPr>
            <w:tcW w:w="329" w:type="pct"/>
            <w:tcBorders>
              <w:top w:val="nil"/>
              <w:left w:val="nil"/>
              <w:bottom w:val="nil"/>
              <w:right w:val="nil"/>
            </w:tcBorders>
            <w:shd w:val="clear" w:color="auto" w:fill="auto"/>
            <w:noWrap/>
            <w:vAlign w:val="center"/>
          </w:tcPr>
          <w:p w14:paraId="050F63B0" w14:textId="5C2A8F69" w:rsidR="001C7F35" w:rsidRPr="00E65AA7" w:rsidRDefault="001C7F35" w:rsidP="001C7F35">
            <w:pPr>
              <w:jc w:val="center"/>
              <w:rPr>
                <w:color w:val="000000"/>
                <w:sz w:val="20"/>
                <w:szCs w:val="20"/>
              </w:rPr>
            </w:pPr>
            <w:r>
              <w:rPr>
                <w:color w:val="000000"/>
                <w:sz w:val="20"/>
                <w:szCs w:val="20"/>
              </w:rPr>
              <w:t>(-1.29)</w:t>
            </w:r>
          </w:p>
        </w:tc>
        <w:tc>
          <w:tcPr>
            <w:tcW w:w="329" w:type="pct"/>
            <w:tcBorders>
              <w:top w:val="nil"/>
              <w:left w:val="nil"/>
              <w:bottom w:val="nil"/>
              <w:right w:val="nil"/>
            </w:tcBorders>
            <w:shd w:val="clear" w:color="auto" w:fill="auto"/>
            <w:noWrap/>
            <w:vAlign w:val="center"/>
          </w:tcPr>
          <w:p w14:paraId="3A7013B4" w14:textId="2EC0E56D" w:rsidR="001C7F35" w:rsidRPr="00E65AA7" w:rsidRDefault="001C7F35" w:rsidP="001C7F35">
            <w:pPr>
              <w:jc w:val="center"/>
              <w:rPr>
                <w:color w:val="000000"/>
                <w:sz w:val="20"/>
                <w:szCs w:val="20"/>
              </w:rPr>
            </w:pPr>
            <w:r>
              <w:rPr>
                <w:color w:val="000000"/>
                <w:sz w:val="20"/>
                <w:szCs w:val="20"/>
              </w:rPr>
              <w:t>(-0.92)</w:t>
            </w:r>
          </w:p>
        </w:tc>
        <w:tc>
          <w:tcPr>
            <w:tcW w:w="329" w:type="pct"/>
            <w:tcBorders>
              <w:top w:val="nil"/>
              <w:left w:val="nil"/>
              <w:bottom w:val="nil"/>
              <w:right w:val="nil"/>
            </w:tcBorders>
            <w:shd w:val="clear" w:color="auto" w:fill="auto"/>
            <w:noWrap/>
            <w:vAlign w:val="center"/>
          </w:tcPr>
          <w:p w14:paraId="78B0C624" w14:textId="3EBE6DD5" w:rsidR="001C7F35" w:rsidRPr="00E65AA7" w:rsidRDefault="001C7F35" w:rsidP="001C7F35">
            <w:pPr>
              <w:jc w:val="center"/>
              <w:rPr>
                <w:color w:val="000000"/>
                <w:sz w:val="20"/>
                <w:szCs w:val="20"/>
              </w:rPr>
            </w:pPr>
            <w:r>
              <w:rPr>
                <w:color w:val="000000"/>
                <w:sz w:val="20"/>
                <w:szCs w:val="20"/>
              </w:rPr>
              <w:t>(0.15)</w:t>
            </w:r>
          </w:p>
        </w:tc>
        <w:tc>
          <w:tcPr>
            <w:tcW w:w="329" w:type="pct"/>
            <w:tcBorders>
              <w:top w:val="nil"/>
              <w:left w:val="nil"/>
              <w:bottom w:val="nil"/>
              <w:right w:val="nil"/>
            </w:tcBorders>
            <w:shd w:val="clear" w:color="auto" w:fill="auto"/>
            <w:noWrap/>
            <w:vAlign w:val="center"/>
          </w:tcPr>
          <w:p w14:paraId="30AE468B" w14:textId="66421D9E" w:rsidR="001C7F35" w:rsidRPr="00E65AA7" w:rsidRDefault="001C7F35" w:rsidP="001C7F35">
            <w:pPr>
              <w:jc w:val="center"/>
              <w:rPr>
                <w:color w:val="000000"/>
                <w:sz w:val="20"/>
                <w:szCs w:val="20"/>
              </w:rPr>
            </w:pPr>
            <w:r>
              <w:rPr>
                <w:color w:val="000000"/>
                <w:sz w:val="20"/>
                <w:szCs w:val="20"/>
              </w:rPr>
              <w:t>(0.50)</w:t>
            </w:r>
          </w:p>
        </w:tc>
        <w:tc>
          <w:tcPr>
            <w:tcW w:w="355" w:type="pct"/>
            <w:tcBorders>
              <w:top w:val="nil"/>
              <w:left w:val="nil"/>
              <w:bottom w:val="nil"/>
              <w:right w:val="nil"/>
            </w:tcBorders>
            <w:shd w:val="clear" w:color="auto" w:fill="auto"/>
            <w:noWrap/>
            <w:vAlign w:val="center"/>
          </w:tcPr>
          <w:p w14:paraId="28D518E4" w14:textId="5F2CAC75" w:rsidR="001C7F35" w:rsidRPr="00E65AA7" w:rsidRDefault="001C7F35" w:rsidP="001C7F35">
            <w:pPr>
              <w:jc w:val="center"/>
              <w:rPr>
                <w:color w:val="000000"/>
                <w:sz w:val="20"/>
                <w:szCs w:val="20"/>
              </w:rPr>
            </w:pPr>
            <w:r>
              <w:rPr>
                <w:color w:val="000000"/>
                <w:sz w:val="20"/>
                <w:szCs w:val="20"/>
              </w:rPr>
              <w:t>(5.70)</w:t>
            </w:r>
          </w:p>
        </w:tc>
        <w:tc>
          <w:tcPr>
            <w:tcW w:w="340" w:type="pct"/>
            <w:tcBorders>
              <w:top w:val="nil"/>
              <w:left w:val="nil"/>
              <w:bottom w:val="nil"/>
              <w:right w:val="nil"/>
            </w:tcBorders>
            <w:shd w:val="clear" w:color="auto" w:fill="auto"/>
            <w:noWrap/>
            <w:vAlign w:val="center"/>
          </w:tcPr>
          <w:p w14:paraId="1228A6DE" w14:textId="04E54002"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2.44)</w:t>
            </w:r>
          </w:p>
        </w:tc>
      </w:tr>
      <w:tr w:rsidR="001C7F35" w:rsidRPr="00E65AA7" w14:paraId="1CFC2088"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499057EF" w14:textId="0BF48FB3"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21" w:type="pct"/>
            <w:vMerge w:val="restart"/>
            <w:tcBorders>
              <w:top w:val="nil"/>
              <w:left w:val="nil"/>
              <w:right w:val="nil"/>
            </w:tcBorders>
            <w:vAlign w:val="center"/>
          </w:tcPr>
          <w:p w14:paraId="418A5300"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124</w:t>
            </w:r>
          </w:p>
        </w:tc>
        <w:tc>
          <w:tcPr>
            <w:tcW w:w="329" w:type="pct"/>
            <w:tcBorders>
              <w:top w:val="nil"/>
              <w:left w:val="nil"/>
              <w:bottom w:val="nil"/>
              <w:right w:val="nil"/>
            </w:tcBorders>
            <w:shd w:val="clear" w:color="auto" w:fill="auto"/>
            <w:noWrap/>
            <w:vAlign w:val="center"/>
          </w:tcPr>
          <w:p w14:paraId="729F0568" w14:textId="4C23C5E4" w:rsidR="001C7F35" w:rsidRPr="00E65AA7" w:rsidRDefault="001C7F35" w:rsidP="001C7F35">
            <w:pPr>
              <w:jc w:val="center"/>
              <w:rPr>
                <w:color w:val="000000"/>
                <w:sz w:val="20"/>
                <w:szCs w:val="20"/>
              </w:rPr>
            </w:pPr>
            <w:r>
              <w:rPr>
                <w:color w:val="000000"/>
                <w:sz w:val="20"/>
                <w:szCs w:val="20"/>
              </w:rPr>
              <w:t>0.06</w:t>
            </w:r>
          </w:p>
        </w:tc>
        <w:tc>
          <w:tcPr>
            <w:tcW w:w="329" w:type="pct"/>
            <w:tcBorders>
              <w:top w:val="nil"/>
              <w:left w:val="nil"/>
              <w:bottom w:val="nil"/>
              <w:right w:val="nil"/>
            </w:tcBorders>
            <w:shd w:val="clear" w:color="auto" w:fill="auto"/>
            <w:noWrap/>
            <w:vAlign w:val="center"/>
          </w:tcPr>
          <w:p w14:paraId="599F61E3" w14:textId="2250C7AC" w:rsidR="001C7F35" w:rsidRPr="00E65AA7" w:rsidRDefault="001C7F35" w:rsidP="001C7F35">
            <w:pPr>
              <w:jc w:val="center"/>
              <w:rPr>
                <w:color w:val="000000"/>
                <w:sz w:val="20"/>
                <w:szCs w:val="20"/>
              </w:rPr>
            </w:pPr>
            <w:r>
              <w:rPr>
                <w:color w:val="000000"/>
                <w:sz w:val="20"/>
                <w:szCs w:val="20"/>
              </w:rPr>
              <w:t>-0.86</w:t>
            </w:r>
          </w:p>
        </w:tc>
        <w:tc>
          <w:tcPr>
            <w:tcW w:w="329" w:type="pct"/>
            <w:tcBorders>
              <w:top w:val="nil"/>
              <w:left w:val="nil"/>
              <w:bottom w:val="nil"/>
              <w:right w:val="nil"/>
            </w:tcBorders>
            <w:shd w:val="clear" w:color="auto" w:fill="auto"/>
            <w:noWrap/>
            <w:vAlign w:val="center"/>
          </w:tcPr>
          <w:p w14:paraId="527B2C16" w14:textId="3FC8B161" w:rsidR="001C7F35" w:rsidRPr="00E65AA7" w:rsidRDefault="001C7F35" w:rsidP="001C7F35">
            <w:pPr>
              <w:jc w:val="center"/>
              <w:rPr>
                <w:color w:val="000000"/>
                <w:sz w:val="20"/>
                <w:szCs w:val="20"/>
              </w:rPr>
            </w:pPr>
            <w:r>
              <w:rPr>
                <w:color w:val="000000"/>
                <w:sz w:val="20"/>
                <w:szCs w:val="20"/>
              </w:rPr>
              <w:t>-0.87</w:t>
            </w:r>
          </w:p>
        </w:tc>
        <w:tc>
          <w:tcPr>
            <w:tcW w:w="329" w:type="pct"/>
            <w:tcBorders>
              <w:top w:val="nil"/>
              <w:left w:val="nil"/>
              <w:bottom w:val="nil"/>
              <w:right w:val="nil"/>
            </w:tcBorders>
            <w:shd w:val="clear" w:color="auto" w:fill="auto"/>
            <w:noWrap/>
            <w:vAlign w:val="center"/>
          </w:tcPr>
          <w:p w14:paraId="5A57340A" w14:textId="51739244" w:rsidR="001C7F35" w:rsidRPr="00E65AA7" w:rsidRDefault="001C7F35" w:rsidP="001C7F35">
            <w:pPr>
              <w:jc w:val="center"/>
              <w:rPr>
                <w:color w:val="000000"/>
                <w:sz w:val="20"/>
                <w:szCs w:val="20"/>
              </w:rPr>
            </w:pPr>
            <w:r>
              <w:rPr>
                <w:color w:val="000000"/>
                <w:sz w:val="20"/>
                <w:szCs w:val="20"/>
              </w:rPr>
              <w:t>-0.60</w:t>
            </w:r>
          </w:p>
        </w:tc>
        <w:tc>
          <w:tcPr>
            <w:tcW w:w="329" w:type="pct"/>
            <w:tcBorders>
              <w:top w:val="nil"/>
              <w:left w:val="nil"/>
              <w:bottom w:val="nil"/>
              <w:right w:val="nil"/>
            </w:tcBorders>
            <w:shd w:val="clear" w:color="auto" w:fill="auto"/>
            <w:noWrap/>
            <w:vAlign w:val="center"/>
          </w:tcPr>
          <w:p w14:paraId="5E743A9F" w14:textId="14B750D3" w:rsidR="001C7F35" w:rsidRPr="00E65AA7" w:rsidRDefault="001C7F35" w:rsidP="001C7F35">
            <w:pPr>
              <w:jc w:val="center"/>
              <w:rPr>
                <w:color w:val="000000"/>
                <w:sz w:val="20"/>
                <w:szCs w:val="20"/>
              </w:rPr>
            </w:pPr>
            <w:r>
              <w:rPr>
                <w:color w:val="000000"/>
                <w:sz w:val="20"/>
                <w:szCs w:val="20"/>
              </w:rPr>
              <w:t>-0.44</w:t>
            </w:r>
          </w:p>
        </w:tc>
        <w:tc>
          <w:tcPr>
            <w:tcW w:w="329" w:type="pct"/>
            <w:tcBorders>
              <w:top w:val="nil"/>
              <w:left w:val="nil"/>
              <w:bottom w:val="nil"/>
              <w:right w:val="nil"/>
            </w:tcBorders>
            <w:shd w:val="clear" w:color="auto" w:fill="auto"/>
            <w:noWrap/>
            <w:vAlign w:val="center"/>
          </w:tcPr>
          <w:p w14:paraId="2BF9E18B" w14:textId="57F3A20E" w:rsidR="001C7F35" w:rsidRPr="00E65AA7" w:rsidRDefault="001C7F35" w:rsidP="001C7F35">
            <w:pPr>
              <w:jc w:val="center"/>
              <w:rPr>
                <w:color w:val="000000"/>
                <w:sz w:val="20"/>
                <w:szCs w:val="20"/>
              </w:rPr>
            </w:pPr>
            <w:r>
              <w:rPr>
                <w:color w:val="000000"/>
                <w:sz w:val="20"/>
                <w:szCs w:val="20"/>
              </w:rPr>
              <w:t>-0.30</w:t>
            </w:r>
          </w:p>
        </w:tc>
        <w:tc>
          <w:tcPr>
            <w:tcW w:w="329" w:type="pct"/>
            <w:tcBorders>
              <w:top w:val="nil"/>
              <w:left w:val="nil"/>
              <w:bottom w:val="nil"/>
              <w:right w:val="nil"/>
            </w:tcBorders>
            <w:shd w:val="clear" w:color="auto" w:fill="auto"/>
            <w:noWrap/>
            <w:vAlign w:val="center"/>
          </w:tcPr>
          <w:p w14:paraId="2C4E6E09" w14:textId="761D4759" w:rsidR="001C7F35" w:rsidRPr="00E65AA7" w:rsidRDefault="001C7F35" w:rsidP="001C7F35">
            <w:pPr>
              <w:jc w:val="center"/>
              <w:rPr>
                <w:color w:val="000000"/>
                <w:sz w:val="20"/>
                <w:szCs w:val="20"/>
              </w:rPr>
            </w:pPr>
            <w:r>
              <w:rPr>
                <w:color w:val="000000"/>
                <w:sz w:val="20"/>
                <w:szCs w:val="20"/>
              </w:rPr>
              <w:t>-0.08</w:t>
            </w:r>
          </w:p>
        </w:tc>
        <w:tc>
          <w:tcPr>
            <w:tcW w:w="329" w:type="pct"/>
            <w:tcBorders>
              <w:top w:val="nil"/>
              <w:left w:val="nil"/>
              <w:bottom w:val="nil"/>
              <w:right w:val="nil"/>
            </w:tcBorders>
            <w:shd w:val="clear" w:color="auto" w:fill="auto"/>
            <w:noWrap/>
            <w:vAlign w:val="center"/>
          </w:tcPr>
          <w:p w14:paraId="57E00F42" w14:textId="2E7426D0" w:rsidR="001C7F35" w:rsidRPr="00E65AA7" w:rsidRDefault="001C7F35" w:rsidP="001C7F35">
            <w:pPr>
              <w:jc w:val="center"/>
              <w:rPr>
                <w:color w:val="000000"/>
                <w:sz w:val="20"/>
                <w:szCs w:val="20"/>
              </w:rPr>
            </w:pPr>
            <w:r>
              <w:rPr>
                <w:color w:val="000000"/>
                <w:sz w:val="20"/>
                <w:szCs w:val="20"/>
              </w:rPr>
              <w:t>-0.17</w:t>
            </w:r>
          </w:p>
        </w:tc>
        <w:tc>
          <w:tcPr>
            <w:tcW w:w="329" w:type="pct"/>
            <w:tcBorders>
              <w:top w:val="nil"/>
              <w:left w:val="nil"/>
              <w:bottom w:val="nil"/>
              <w:right w:val="nil"/>
            </w:tcBorders>
            <w:shd w:val="clear" w:color="auto" w:fill="auto"/>
            <w:noWrap/>
            <w:vAlign w:val="center"/>
          </w:tcPr>
          <w:p w14:paraId="49B63576" w14:textId="1465DB9F" w:rsidR="001C7F35" w:rsidRPr="00E65AA7" w:rsidRDefault="001C7F35" w:rsidP="001C7F35">
            <w:pPr>
              <w:jc w:val="center"/>
              <w:rPr>
                <w:color w:val="000000"/>
                <w:sz w:val="20"/>
                <w:szCs w:val="20"/>
              </w:rPr>
            </w:pPr>
            <w:r>
              <w:rPr>
                <w:color w:val="000000"/>
                <w:sz w:val="20"/>
                <w:szCs w:val="20"/>
              </w:rPr>
              <w:t>0.10</w:t>
            </w:r>
          </w:p>
        </w:tc>
        <w:tc>
          <w:tcPr>
            <w:tcW w:w="329" w:type="pct"/>
            <w:tcBorders>
              <w:top w:val="nil"/>
              <w:left w:val="nil"/>
              <w:bottom w:val="nil"/>
              <w:right w:val="nil"/>
            </w:tcBorders>
            <w:shd w:val="clear" w:color="auto" w:fill="auto"/>
            <w:noWrap/>
            <w:vAlign w:val="center"/>
          </w:tcPr>
          <w:p w14:paraId="6E2DCB94" w14:textId="00408600" w:rsidR="001C7F35" w:rsidRPr="00E65AA7" w:rsidRDefault="001C7F35" w:rsidP="001C7F35">
            <w:pPr>
              <w:jc w:val="center"/>
              <w:rPr>
                <w:color w:val="000000"/>
                <w:sz w:val="20"/>
                <w:szCs w:val="20"/>
              </w:rPr>
            </w:pPr>
            <w:r>
              <w:rPr>
                <w:color w:val="000000"/>
                <w:sz w:val="20"/>
                <w:szCs w:val="20"/>
              </w:rPr>
              <w:t>0.38</w:t>
            </w:r>
          </w:p>
        </w:tc>
        <w:tc>
          <w:tcPr>
            <w:tcW w:w="329" w:type="pct"/>
            <w:tcBorders>
              <w:top w:val="nil"/>
              <w:left w:val="nil"/>
              <w:bottom w:val="nil"/>
              <w:right w:val="nil"/>
            </w:tcBorders>
            <w:shd w:val="clear" w:color="auto" w:fill="auto"/>
            <w:noWrap/>
            <w:vAlign w:val="center"/>
          </w:tcPr>
          <w:p w14:paraId="6DE7D331" w14:textId="1DFCD87E" w:rsidR="001C7F35" w:rsidRPr="00E65AA7" w:rsidRDefault="001C7F35" w:rsidP="001C7F35">
            <w:pPr>
              <w:jc w:val="center"/>
              <w:rPr>
                <w:color w:val="000000"/>
                <w:sz w:val="20"/>
                <w:szCs w:val="20"/>
              </w:rPr>
            </w:pPr>
            <w:r>
              <w:rPr>
                <w:color w:val="000000"/>
                <w:sz w:val="20"/>
                <w:szCs w:val="20"/>
              </w:rPr>
              <w:t>0.55</w:t>
            </w:r>
          </w:p>
        </w:tc>
        <w:tc>
          <w:tcPr>
            <w:tcW w:w="355" w:type="pct"/>
            <w:tcBorders>
              <w:top w:val="nil"/>
              <w:left w:val="nil"/>
              <w:bottom w:val="nil"/>
              <w:right w:val="nil"/>
            </w:tcBorders>
            <w:shd w:val="clear" w:color="auto" w:fill="auto"/>
            <w:noWrap/>
            <w:vAlign w:val="center"/>
          </w:tcPr>
          <w:p w14:paraId="719DE453" w14:textId="05BC35A4" w:rsidR="001C7F35" w:rsidRPr="00E65AA7" w:rsidRDefault="001C7F35" w:rsidP="001C7F35">
            <w:pPr>
              <w:jc w:val="center"/>
              <w:rPr>
                <w:color w:val="000000"/>
                <w:sz w:val="20"/>
                <w:szCs w:val="20"/>
              </w:rPr>
            </w:pPr>
            <w:r>
              <w:rPr>
                <w:color w:val="000000"/>
                <w:sz w:val="20"/>
                <w:szCs w:val="20"/>
              </w:rPr>
              <w:t>1.40</w:t>
            </w:r>
          </w:p>
        </w:tc>
        <w:tc>
          <w:tcPr>
            <w:tcW w:w="340" w:type="pct"/>
            <w:tcBorders>
              <w:top w:val="nil"/>
              <w:left w:val="nil"/>
              <w:bottom w:val="nil"/>
              <w:right w:val="nil"/>
            </w:tcBorders>
            <w:shd w:val="clear" w:color="auto" w:fill="auto"/>
            <w:noWrap/>
            <w:vAlign w:val="center"/>
          </w:tcPr>
          <w:p w14:paraId="514D4926" w14:textId="5D38E36F" w:rsidR="001C7F35" w:rsidRPr="00E65AA7" w:rsidRDefault="001C7F35" w:rsidP="001C7F35">
            <w:pPr>
              <w:jc w:val="center"/>
              <w:rPr>
                <w:color w:val="000000"/>
                <w:sz w:val="20"/>
                <w:szCs w:val="20"/>
              </w:rPr>
            </w:pPr>
            <w:r>
              <w:rPr>
                <w:color w:val="000000"/>
                <w:sz w:val="20"/>
                <w:szCs w:val="20"/>
              </w:rPr>
              <w:t>0.28</w:t>
            </w:r>
          </w:p>
        </w:tc>
      </w:tr>
      <w:tr w:rsidR="001C7F35" w:rsidRPr="00E65AA7" w14:paraId="1852624F" w14:textId="77777777" w:rsidTr="001C7F35">
        <w:trPr>
          <w:trHeight w:hRule="exact" w:val="255"/>
        </w:trPr>
        <w:tc>
          <w:tcPr>
            <w:tcW w:w="465" w:type="pct"/>
            <w:vMerge/>
            <w:tcBorders>
              <w:top w:val="nil"/>
              <w:left w:val="nil"/>
              <w:right w:val="nil"/>
            </w:tcBorders>
            <w:vAlign w:val="center"/>
          </w:tcPr>
          <w:p w14:paraId="2672203F" w14:textId="77777777" w:rsidR="001C7F35" w:rsidRPr="00E65AA7" w:rsidRDefault="001C7F35" w:rsidP="001C7F35">
            <w:pPr>
              <w:rPr>
                <w:rFonts w:eastAsia="Times New Roman"/>
                <w:color w:val="000000"/>
                <w:sz w:val="20"/>
                <w:szCs w:val="20"/>
                <w:lang w:eastAsia="en-MY"/>
              </w:rPr>
            </w:pPr>
          </w:p>
        </w:tc>
        <w:tc>
          <w:tcPr>
            <w:tcW w:w="221" w:type="pct"/>
            <w:vMerge/>
            <w:tcBorders>
              <w:left w:val="nil"/>
              <w:right w:val="nil"/>
            </w:tcBorders>
            <w:vAlign w:val="center"/>
          </w:tcPr>
          <w:p w14:paraId="034BE1D0" w14:textId="77777777" w:rsidR="001C7F35" w:rsidRPr="00E65AA7" w:rsidRDefault="001C7F35" w:rsidP="001C7F35">
            <w:pPr>
              <w:jc w:val="center"/>
              <w:rPr>
                <w:color w:val="000000"/>
                <w:sz w:val="20"/>
                <w:szCs w:val="20"/>
              </w:rPr>
            </w:pPr>
          </w:p>
        </w:tc>
        <w:tc>
          <w:tcPr>
            <w:tcW w:w="329" w:type="pct"/>
            <w:tcBorders>
              <w:top w:val="nil"/>
              <w:left w:val="nil"/>
              <w:right w:val="nil"/>
            </w:tcBorders>
            <w:shd w:val="clear" w:color="auto" w:fill="auto"/>
            <w:noWrap/>
            <w:vAlign w:val="center"/>
          </w:tcPr>
          <w:p w14:paraId="1122A2A3" w14:textId="4FD80D84" w:rsidR="001C7F35" w:rsidRPr="00E65AA7" w:rsidRDefault="001C7F35" w:rsidP="001C7F35">
            <w:pPr>
              <w:jc w:val="center"/>
              <w:rPr>
                <w:color w:val="000000"/>
                <w:sz w:val="20"/>
                <w:szCs w:val="20"/>
              </w:rPr>
            </w:pPr>
            <w:r>
              <w:rPr>
                <w:color w:val="000000"/>
                <w:sz w:val="20"/>
                <w:szCs w:val="20"/>
              </w:rPr>
              <w:t>(0.09)</w:t>
            </w:r>
          </w:p>
        </w:tc>
        <w:tc>
          <w:tcPr>
            <w:tcW w:w="329" w:type="pct"/>
            <w:tcBorders>
              <w:top w:val="nil"/>
              <w:left w:val="nil"/>
              <w:right w:val="nil"/>
            </w:tcBorders>
            <w:shd w:val="clear" w:color="auto" w:fill="auto"/>
            <w:noWrap/>
            <w:vAlign w:val="center"/>
          </w:tcPr>
          <w:p w14:paraId="78C5F1EC" w14:textId="343AE301" w:rsidR="001C7F35" w:rsidRPr="00E65AA7" w:rsidRDefault="001C7F35" w:rsidP="001C7F35">
            <w:pPr>
              <w:jc w:val="center"/>
              <w:rPr>
                <w:color w:val="000000"/>
                <w:sz w:val="20"/>
                <w:szCs w:val="20"/>
              </w:rPr>
            </w:pPr>
            <w:r>
              <w:rPr>
                <w:color w:val="000000"/>
                <w:sz w:val="20"/>
                <w:szCs w:val="20"/>
              </w:rPr>
              <w:t>(-1.35)</w:t>
            </w:r>
          </w:p>
        </w:tc>
        <w:tc>
          <w:tcPr>
            <w:tcW w:w="329" w:type="pct"/>
            <w:tcBorders>
              <w:top w:val="nil"/>
              <w:left w:val="nil"/>
              <w:right w:val="nil"/>
            </w:tcBorders>
            <w:shd w:val="clear" w:color="auto" w:fill="auto"/>
            <w:noWrap/>
            <w:vAlign w:val="center"/>
          </w:tcPr>
          <w:p w14:paraId="5CDEF01B" w14:textId="33C3AD08" w:rsidR="001C7F35" w:rsidRPr="00E65AA7" w:rsidRDefault="001C7F35" w:rsidP="001C7F35">
            <w:pPr>
              <w:jc w:val="center"/>
              <w:rPr>
                <w:color w:val="000000"/>
                <w:sz w:val="20"/>
                <w:szCs w:val="20"/>
              </w:rPr>
            </w:pPr>
            <w:r>
              <w:rPr>
                <w:color w:val="000000"/>
                <w:sz w:val="20"/>
                <w:szCs w:val="20"/>
              </w:rPr>
              <w:t>(-1.41)</w:t>
            </w:r>
          </w:p>
        </w:tc>
        <w:tc>
          <w:tcPr>
            <w:tcW w:w="329" w:type="pct"/>
            <w:tcBorders>
              <w:top w:val="nil"/>
              <w:left w:val="nil"/>
              <w:right w:val="nil"/>
            </w:tcBorders>
            <w:shd w:val="clear" w:color="auto" w:fill="auto"/>
            <w:noWrap/>
            <w:vAlign w:val="center"/>
          </w:tcPr>
          <w:p w14:paraId="6FAE21EF" w14:textId="36D75C82" w:rsidR="001C7F35" w:rsidRPr="00E65AA7" w:rsidRDefault="001C7F35" w:rsidP="001C7F35">
            <w:pPr>
              <w:jc w:val="center"/>
              <w:rPr>
                <w:color w:val="000000"/>
                <w:sz w:val="20"/>
                <w:szCs w:val="20"/>
              </w:rPr>
            </w:pPr>
            <w:r>
              <w:rPr>
                <w:color w:val="000000"/>
                <w:sz w:val="20"/>
                <w:szCs w:val="20"/>
              </w:rPr>
              <w:t>(-1</w:t>
            </w:r>
            <w:r w:rsidR="008F6BB3">
              <w:rPr>
                <w:color w:val="000000"/>
                <w:sz w:val="20"/>
                <w:szCs w:val="20"/>
              </w:rPr>
              <w:t>.00</w:t>
            </w:r>
            <w:r>
              <w:rPr>
                <w:color w:val="000000"/>
                <w:sz w:val="20"/>
                <w:szCs w:val="20"/>
              </w:rPr>
              <w:t>)</w:t>
            </w:r>
          </w:p>
        </w:tc>
        <w:tc>
          <w:tcPr>
            <w:tcW w:w="329" w:type="pct"/>
            <w:tcBorders>
              <w:top w:val="nil"/>
              <w:left w:val="nil"/>
              <w:right w:val="nil"/>
            </w:tcBorders>
            <w:shd w:val="clear" w:color="auto" w:fill="auto"/>
            <w:noWrap/>
            <w:vAlign w:val="center"/>
          </w:tcPr>
          <w:p w14:paraId="0658BDC5" w14:textId="3AC9DD6B" w:rsidR="001C7F35" w:rsidRPr="00E65AA7" w:rsidRDefault="001C7F35" w:rsidP="001C7F35">
            <w:pPr>
              <w:jc w:val="center"/>
              <w:rPr>
                <w:color w:val="000000"/>
                <w:sz w:val="20"/>
                <w:szCs w:val="20"/>
              </w:rPr>
            </w:pPr>
            <w:r>
              <w:rPr>
                <w:color w:val="000000"/>
                <w:sz w:val="20"/>
                <w:szCs w:val="20"/>
              </w:rPr>
              <w:t>(-0.75)</w:t>
            </w:r>
          </w:p>
        </w:tc>
        <w:tc>
          <w:tcPr>
            <w:tcW w:w="329" w:type="pct"/>
            <w:tcBorders>
              <w:top w:val="nil"/>
              <w:left w:val="nil"/>
              <w:right w:val="nil"/>
            </w:tcBorders>
            <w:shd w:val="clear" w:color="auto" w:fill="auto"/>
            <w:noWrap/>
            <w:vAlign w:val="center"/>
          </w:tcPr>
          <w:p w14:paraId="1574F06E" w14:textId="51107FD7" w:rsidR="001C7F35" w:rsidRPr="00E65AA7" w:rsidRDefault="001C7F35" w:rsidP="001C7F35">
            <w:pPr>
              <w:jc w:val="center"/>
              <w:rPr>
                <w:color w:val="000000"/>
                <w:sz w:val="20"/>
                <w:szCs w:val="20"/>
              </w:rPr>
            </w:pPr>
            <w:r>
              <w:rPr>
                <w:color w:val="000000"/>
                <w:sz w:val="20"/>
                <w:szCs w:val="20"/>
              </w:rPr>
              <w:t>(-0.52)</w:t>
            </w:r>
          </w:p>
        </w:tc>
        <w:tc>
          <w:tcPr>
            <w:tcW w:w="329" w:type="pct"/>
            <w:tcBorders>
              <w:top w:val="nil"/>
              <w:left w:val="nil"/>
              <w:right w:val="nil"/>
            </w:tcBorders>
            <w:shd w:val="clear" w:color="auto" w:fill="auto"/>
            <w:noWrap/>
            <w:vAlign w:val="center"/>
          </w:tcPr>
          <w:p w14:paraId="423878D6" w14:textId="42B857F6" w:rsidR="001C7F35" w:rsidRPr="00E65AA7" w:rsidRDefault="001C7F35" w:rsidP="001C7F35">
            <w:pPr>
              <w:jc w:val="center"/>
              <w:rPr>
                <w:color w:val="000000"/>
                <w:sz w:val="20"/>
                <w:szCs w:val="20"/>
              </w:rPr>
            </w:pPr>
            <w:r>
              <w:rPr>
                <w:color w:val="000000"/>
                <w:sz w:val="20"/>
                <w:szCs w:val="20"/>
              </w:rPr>
              <w:t>(-0.14)</w:t>
            </w:r>
          </w:p>
        </w:tc>
        <w:tc>
          <w:tcPr>
            <w:tcW w:w="329" w:type="pct"/>
            <w:tcBorders>
              <w:top w:val="nil"/>
              <w:left w:val="nil"/>
              <w:right w:val="nil"/>
            </w:tcBorders>
            <w:shd w:val="clear" w:color="auto" w:fill="auto"/>
            <w:noWrap/>
            <w:vAlign w:val="center"/>
          </w:tcPr>
          <w:p w14:paraId="0B809185" w14:textId="17BEBE46" w:rsidR="001C7F35" w:rsidRPr="00E65AA7" w:rsidRDefault="001C7F35" w:rsidP="001C7F35">
            <w:pPr>
              <w:jc w:val="center"/>
              <w:rPr>
                <w:color w:val="000000"/>
                <w:sz w:val="20"/>
                <w:szCs w:val="20"/>
              </w:rPr>
            </w:pPr>
            <w:r>
              <w:rPr>
                <w:color w:val="000000"/>
                <w:sz w:val="20"/>
                <w:szCs w:val="20"/>
              </w:rPr>
              <w:t>(-0.3</w:t>
            </w:r>
            <w:r w:rsidR="008F6BB3">
              <w:rPr>
                <w:color w:val="000000"/>
                <w:sz w:val="20"/>
                <w:szCs w:val="20"/>
              </w:rPr>
              <w:t>0</w:t>
            </w:r>
            <w:r>
              <w:rPr>
                <w:color w:val="000000"/>
                <w:sz w:val="20"/>
                <w:szCs w:val="20"/>
              </w:rPr>
              <w:t>)</w:t>
            </w:r>
          </w:p>
        </w:tc>
        <w:tc>
          <w:tcPr>
            <w:tcW w:w="329" w:type="pct"/>
            <w:tcBorders>
              <w:top w:val="nil"/>
              <w:left w:val="nil"/>
              <w:right w:val="nil"/>
            </w:tcBorders>
            <w:shd w:val="clear" w:color="auto" w:fill="auto"/>
            <w:noWrap/>
            <w:vAlign w:val="center"/>
          </w:tcPr>
          <w:p w14:paraId="5E5B64BF" w14:textId="007CEDFE" w:rsidR="001C7F35" w:rsidRPr="00E65AA7" w:rsidRDefault="001C7F35" w:rsidP="001C7F35">
            <w:pPr>
              <w:jc w:val="center"/>
              <w:rPr>
                <w:color w:val="000000"/>
                <w:sz w:val="20"/>
                <w:szCs w:val="20"/>
              </w:rPr>
            </w:pPr>
            <w:r>
              <w:rPr>
                <w:color w:val="000000"/>
                <w:sz w:val="20"/>
                <w:szCs w:val="20"/>
              </w:rPr>
              <w:t>(0.17)</w:t>
            </w:r>
          </w:p>
        </w:tc>
        <w:tc>
          <w:tcPr>
            <w:tcW w:w="329" w:type="pct"/>
            <w:tcBorders>
              <w:top w:val="nil"/>
              <w:left w:val="nil"/>
              <w:right w:val="nil"/>
            </w:tcBorders>
            <w:shd w:val="clear" w:color="auto" w:fill="auto"/>
            <w:noWrap/>
            <w:vAlign w:val="center"/>
          </w:tcPr>
          <w:p w14:paraId="7334CD86" w14:textId="77C08AB8" w:rsidR="001C7F35" w:rsidRPr="00E65AA7" w:rsidRDefault="001C7F35" w:rsidP="001C7F35">
            <w:pPr>
              <w:jc w:val="center"/>
              <w:rPr>
                <w:color w:val="000000"/>
                <w:sz w:val="20"/>
                <w:szCs w:val="20"/>
              </w:rPr>
            </w:pPr>
            <w:r>
              <w:rPr>
                <w:color w:val="000000"/>
                <w:sz w:val="20"/>
                <w:szCs w:val="20"/>
              </w:rPr>
              <w:t>(0.81)</w:t>
            </w:r>
          </w:p>
        </w:tc>
        <w:tc>
          <w:tcPr>
            <w:tcW w:w="329" w:type="pct"/>
            <w:tcBorders>
              <w:top w:val="nil"/>
              <w:left w:val="nil"/>
              <w:right w:val="nil"/>
            </w:tcBorders>
            <w:shd w:val="clear" w:color="auto" w:fill="auto"/>
            <w:noWrap/>
            <w:vAlign w:val="center"/>
          </w:tcPr>
          <w:p w14:paraId="4BBD7B39" w14:textId="1F592E5E" w:rsidR="001C7F35" w:rsidRPr="00E65AA7" w:rsidRDefault="001C7F35" w:rsidP="001C7F35">
            <w:pPr>
              <w:jc w:val="center"/>
              <w:rPr>
                <w:color w:val="000000"/>
                <w:sz w:val="20"/>
                <w:szCs w:val="20"/>
              </w:rPr>
            </w:pPr>
            <w:r>
              <w:rPr>
                <w:color w:val="000000"/>
                <w:sz w:val="20"/>
                <w:szCs w:val="20"/>
              </w:rPr>
              <w:t>(1.11)</w:t>
            </w:r>
          </w:p>
        </w:tc>
        <w:tc>
          <w:tcPr>
            <w:tcW w:w="355" w:type="pct"/>
            <w:tcBorders>
              <w:top w:val="nil"/>
              <w:left w:val="nil"/>
              <w:right w:val="nil"/>
            </w:tcBorders>
            <w:shd w:val="clear" w:color="auto" w:fill="auto"/>
            <w:noWrap/>
            <w:vAlign w:val="center"/>
          </w:tcPr>
          <w:p w14:paraId="3F2D2920" w14:textId="388D96CD" w:rsidR="001C7F35" w:rsidRPr="00E65AA7" w:rsidRDefault="001C7F35" w:rsidP="001C7F35">
            <w:pPr>
              <w:jc w:val="center"/>
              <w:rPr>
                <w:color w:val="000000"/>
                <w:sz w:val="20"/>
                <w:szCs w:val="20"/>
              </w:rPr>
            </w:pPr>
            <w:r>
              <w:rPr>
                <w:color w:val="000000"/>
                <w:sz w:val="20"/>
                <w:szCs w:val="20"/>
              </w:rPr>
              <w:t>(4.77)</w:t>
            </w:r>
          </w:p>
        </w:tc>
        <w:tc>
          <w:tcPr>
            <w:tcW w:w="340" w:type="pct"/>
            <w:tcBorders>
              <w:top w:val="nil"/>
              <w:left w:val="nil"/>
              <w:right w:val="nil"/>
            </w:tcBorders>
            <w:shd w:val="clear" w:color="auto" w:fill="auto"/>
            <w:noWrap/>
            <w:vAlign w:val="center"/>
          </w:tcPr>
          <w:p w14:paraId="428F8E49" w14:textId="2DE52F8D"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0.74)</w:t>
            </w:r>
          </w:p>
        </w:tc>
      </w:tr>
      <w:tr w:rsidR="001C7F35" w:rsidRPr="00E65AA7" w14:paraId="69C80A7D" w14:textId="77777777" w:rsidTr="001C7F35">
        <w:trPr>
          <w:trHeight w:hRule="exact" w:val="255"/>
        </w:trPr>
        <w:tc>
          <w:tcPr>
            <w:tcW w:w="465" w:type="pct"/>
            <w:vMerge w:val="restart"/>
            <w:tcBorders>
              <w:top w:val="nil"/>
              <w:left w:val="nil"/>
              <w:right w:val="nil"/>
            </w:tcBorders>
            <w:vAlign w:val="center"/>
          </w:tcPr>
          <w:p w14:paraId="2370E244" w14:textId="520CDAA4"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21" w:type="pct"/>
            <w:vMerge w:val="restart"/>
            <w:tcBorders>
              <w:top w:val="nil"/>
              <w:left w:val="nil"/>
              <w:right w:val="nil"/>
            </w:tcBorders>
            <w:vAlign w:val="center"/>
          </w:tcPr>
          <w:p w14:paraId="3CA522AB"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147</w:t>
            </w:r>
          </w:p>
        </w:tc>
        <w:tc>
          <w:tcPr>
            <w:tcW w:w="329" w:type="pct"/>
            <w:tcBorders>
              <w:top w:val="nil"/>
              <w:left w:val="nil"/>
              <w:right w:val="nil"/>
            </w:tcBorders>
            <w:shd w:val="clear" w:color="auto" w:fill="auto"/>
            <w:noWrap/>
            <w:vAlign w:val="center"/>
          </w:tcPr>
          <w:p w14:paraId="262FDD67" w14:textId="2C06C69F" w:rsidR="001C7F35" w:rsidRPr="00E65AA7" w:rsidRDefault="001C7F35" w:rsidP="001C7F35">
            <w:pPr>
              <w:jc w:val="center"/>
              <w:rPr>
                <w:color w:val="000000"/>
                <w:sz w:val="20"/>
                <w:szCs w:val="20"/>
              </w:rPr>
            </w:pPr>
            <w:r>
              <w:rPr>
                <w:color w:val="000000"/>
                <w:sz w:val="20"/>
                <w:szCs w:val="20"/>
              </w:rPr>
              <w:t>2.99</w:t>
            </w:r>
          </w:p>
        </w:tc>
        <w:tc>
          <w:tcPr>
            <w:tcW w:w="329" w:type="pct"/>
            <w:tcBorders>
              <w:top w:val="nil"/>
              <w:left w:val="nil"/>
              <w:right w:val="nil"/>
            </w:tcBorders>
            <w:shd w:val="clear" w:color="auto" w:fill="auto"/>
            <w:noWrap/>
            <w:vAlign w:val="center"/>
          </w:tcPr>
          <w:p w14:paraId="154D85BF" w14:textId="30C4813C" w:rsidR="001C7F35" w:rsidRPr="00E65AA7" w:rsidRDefault="001C7F35" w:rsidP="001C7F35">
            <w:pPr>
              <w:jc w:val="center"/>
              <w:rPr>
                <w:color w:val="000000"/>
                <w:sz w:val="20"/>
                <w:szCs w:val="20"/>
              </w:rPr>
            </w:pPr>
            <w:r>
              <w:rPr>
                <w:color w:val="000000"/>
                <w:sz w:val="20"/>
                <w:szCs w:val="20"/>
              </w:rPr>
              <w:t>4.17</w:t>
            </w:r>
          </w:p>
        </w:tc>
        <w:tc>
          <w:tcPr>
            <w:tcW w:w="329" w:type="pct"/>
            <w:tcBorders>
              <w:top w:val="nil"/>
              <w:left w:val="nil"/>
              <w:right w:val="nil"/>
            </w:tcBorders>
            <w:shd w:val="clear" w:color="auto" w:fill="auto"/>
            <w:noWrap/>
            <w:vAlign w:val="center"/>
          </w:tcPr>
          <w:p w14:paraId="5A10B53F" w14:textId="4CCC7FA7" w:rsidR="001C7F35" w:rsidRPr="00E65AA7" w:rsidRDefault="001C7F35" w:rsidP="001C7F35">
            <w:pPr>
              <w:jc w:val="center"/>
              <w:rPr>
                <w:color w:val="000000"/>
                <w:sz w:val="20"/>
                <w:szCs w:val="20"/>
              </w:rPr>
            </w:pPr>
            <w:r>
              <w:rPr>
                <w:color w:val="000000"/>
                <w:sz w:val="20"/>
                <w:szCs w:val="20"/>
              </w:rPr>
              <w:t>4.39</w:t>
            </w:r>
          </w:p>
        </w:tc>
        <w:tc>
          <w:tcPr>
            <w:tcW w:w="329" w:type="pct"/>
            <w:tcBorders>
              <w:top w:val="nil"/>
              <w:left w:val="nil"/>
              <w:right w:val="nil"/>
            </w:tcBorders>
            <w:shd w:val="clear" w:color="auto" w:fill="auto"/>
            <w:noWrap/>
            <w:vAlign w:val="center"/>
          </w:tcPr>
          <w:p w14:paraId="4E0608F4" w14:textId="2035CFBA" w:rsidR="001C7F35" w:rsidRPr="00E65AA7" w:rsidRDefault="001C7F35" w:rsidP="001C7F35">
            <w:pPr>
              <w:jc w:val="center"/>
              <w:rPr>
                <w:color w:val="000000"/>
                <w:sz w:val="20"/>
                <w:szCs w:val="20"/>
              </w:rPr>
            </w:pPr>
            <w:r>
              <w:rPr>
                <w:color w:val="000000"/>
                <w:sz w:val="20"/>
                <w:szCs w:val="20"/>
              </w:rPr>
              <w:t>4.13</w:t>
            </w:r>
          </w:p>
        </w:tc>
        <w:tc>
          <w:tcPr>
            <w:tcW w:w="329" w:type="pct"/>
            <w:tcBorders>
              <w:top w:val="nil"/>
              <w:left w:val="nil"/>
              <w:right w:val="nil"/>
            </w:tcBorders>
            <w:shd w:val="clear" w:color="auto" w:fill="auto"/>
            <w:noWrap/>
            <w:vAlign w:val="center"/>
          </w:tcPr>
          <w:p w14:paraId="58925507" w14:textId="7503BCC5" w:rsidR="001C7F35" w:rsidRPr="00E65AA7" w:rsidRDefault="001C7F35" w:rsidP="001C7F35">
            <w:pPr>
              <w:jc w:val="center"/>
              <w:rPr>
                <w:color w:val="000000"/>
                <w:sz w:val="20"/>
                <w:szCs w:val="20"/>
              </w:rPr>
            </w:pPr>
            <w:r>
              <w:rPr>
                <w:color w:val="000000"/>
                <w:sz w:val="20"/>
                <w:szCs w:val="20"/>
              </w:rPr>
              <w:t>3.94</w:t>
            </w:r>
          </w:p>
        </w:tc>
        <w:tc>
          <w:tcPr>
            <w:tcW w:w="329" w:type="pct"/>
            <w:tcBorders>
              <w:top w:val="nil"/>
              <w:left w:val="nil"/>
              <w:right w:val="nil"/>
            </w:tcBorders>
            <w:shd w:val="clear" w:color="auto" w:fill="auto"/>
            <w:noWrap/>
            <w:vAlign w:val="center"/>
          </w:tcPr>
          <w:p w14:paraId="00D4C5F6" w14:textId="2B2171D6" w:rsidR="001C7F35" w:rsidRPr="00E65AA7" w:rsidRDefault="001C7F35" w:rsidP="001C7F35">
            <w:pPr>
              <w:jc w:val="center"/>
              <w:rPr>
                <w:color w:val="000000"/>
                <w:sz w:val="20"/>
                <w:szCs w:val="20"/>
              </w:rPr>
            </w:pPr>
            <w:r>
              <w:rPr>
                <w:color w:val="000000"/>
                <w:sz w:val="20"/>
                <w:szCs w:val="20"/>
              </w:rPr>
              <w:t>3.79</w:t>
            </w:r>
          </w:p>
        </w:tc>
        <w:tc>
          <w:tcPr>
            <w:tcW w:w="329" w:type="pct"/>
            <w:tcBorders>
              <w:top w:val="nil"/>
              <w:left w:val="nil"/>
              <w:right w:val="nil"/>
            </w:tcBorders>
            <w:shd w:val="clear" w:color="auto" w:fill="auto"/>
            <w:noWrap/>
            <w:vAlign w:val="center"/>
          </w:tcPr>
          <w:p w14:paraId="7DBB2EBA" w14:textId="01EB5EF8" w:rsidR="001C7F35" w:rsidRPr="00E65AA7" w:rsidRDefault="001C7F35" w:rsidP="001C7F35">
            <w:pPr>
              <w:jc w:val="center"/>
              <w:rPr>
                <w:color w:val="000000"/>
                <w:sz w:val="20"/>
                <w:szCs w:val="20"/>
              </w:rPr>
            </w:pPr>
            <w:r>
              <w:rPr>
                <w:color w:val="000000"/>
                <w:sz w:val="20"/>
                <w:szCs w:val="20"/>
              </w:rPr>
              <w:t>3.55</w:t>
            </w:r>
          </w:p>
        </w:tc>
        <w:tc>
          <w:tcPr>
            <w:tcW w:w="329" w:type="pct"/>
            <w:tcBorders>
              <w:top w:val="nil"/>
              <w:left w:val="nil"/>
              <w:right w:val="nil"/>
            </w:tcBorders>
            <w:shd w:val="clear" w:color="auto" w:fill="auto"/>
            <w:noWrap/>
            <w:vAlign w:val="center"/>
          </w:tcPr>
          <w:p w14:paraId="10FC96E7" w14:textId="4AFEACB0" w:rsidR="001C7F35" w:rsidRPr="00E65AA7" w:rsidRDefault="001C7F35" w:rsidP="001C7F35">
            <w:pPr>
              <w:jc w:val="center"/>
              <w:rPr>
                <w:color w:val="000000"/>
                <w:sz w:val="20"/>
                <w:szCs w:val="20"/>
              </w:rPr>
            </w:pPr>
            <w:r>
              <w:rPr>
                <w:color w:val="000000"/>
                <w:sz w:val="20"/>
                <w:szCs w:val="20"/>
              </w:rPr>
              <w:t>3.43</w:t>
            </w:r>
          </w:p>
        </w:tc>
        <w:tc>
          <w:tcPr>
            <w:tcW w:w="329" w:type="pct"/>
            <w:tcBorders>
              <w:top w:val="nil"/>
              <w:left w:val="nil"/>
              <w:right w:val="nil"/>
            </w:tcBorders>
            <w:shd w:val="clear" w:color="auto" w:fill="auto"/>
            <w:noWrap/>
            <w:vAlign w:val="center"/>
          </w:tcPr>
          <w:p w14:paraId="4535C833" w14:textId="0627A117" w:rsidR="001C7F35" w:rsidRPr="00E65AA7" w:rsidRDefault="001C7F35" w:rsidP="001C7F35">
            <w:pPr>
              <w:jc w:val="center"/>
              <w:rPr>
                <w:color w:val="000000"/>
                <w:sz w:val="20"/>
                <w:szCs w:val="20"/>
              </w:rPr>
            </w:pPr>
            <w:r>
              <w:rPr>
                <w:color w:val="000000"/>
                <w:sz w:val="20"/>
                <w:szCs w:val="20"/>
              </w:rPr>
              <w:t>3.33</w:t>
            </w:r>
          </w:p>
        </w:tc>
        <w:tc>
          <w:tcPr>
            <w:tcW w:w="329" w:type="pct"/>
            <w:tcBorders>
              <w:top w:val="nil"/>
              <w:left w:val="nil"/>
              <w:right w:val="nil"/>
            </w:tcBorders>
            <w:shd w:val="clear" w:color="auto" w:fill="auto"/>
            <w:noWrap/>
            <w:vAlign w:val="center"/>
          </w:tcPr>
          <w:p w14:paraId="3B4E33C7" w14:textId="0A29A693" w:rsidR="001C7F35" w:rsidRPr="00E65AA7" w:rsidRDefault="001C7F35" w:rsidP="001C7F35">
            <w:pPr>
              <w:jc w:val="center"/>
              <w:rPr>
                <w:color w:val="000000"/>
                <w:sz w:val="20"/>
                <w:szCs w:val="20"/>
              </w:rPr>
            </w:pPr>
            <w:r>
              <w:rPr>
                <w:color w:val="000000"/>
                <w:sz w:val="20"/>
                <w:szCs w:val="20"/>
              </w:rPr>
              <w:t>2.54</w:t>
            </w:r>
          </w:p>
        </w:tc>
        <w:tc>
          <w:tcPr>
            <w:tcW w:w="329" w:type="pct"/>
            <w:tcBorders>
              <w:top w:val="nil"/>
              <w:left w:val="nil"/>
              <w:right w:val="nil"/>
            </w:tcBorders>
            <w:shd w:val="clear" w:color="auto" w:fill="auto"/>
            <w:noWrap/>
            <w:vAlign w:val="center"/>
          </w:tcPr>
          <w:p w14:paraId="42253EAC" w14:textId="31F7396E" w:rsidR="001C7F35" w:rsidRPr="00E65AA7" w:rsidRDefault="001C7F35" w:rsidP="001C7F35">
            <w:pPr>
              <w:jc w:val="center"/>
              <w:rPr>
                <w:color w:val="000000"/>
                <w:sz w:val="20"/>
                <w:szCs w:val="20"/>
              </w:rPr>
            </w:pPr>
            <w:r>
              <w:rPr>
                <w:color w:val="000000"/>
                <w:sz w:val="20"/>
                <w:szCs w:val="20"/>
              </w:rPr>
              <w:t>2.72</w:t>
            </w:r>
          </w:p>
        </w:tc>
        <w:tc>
          <w:tcPr>
            <w:tcW w:w="355" w:type="pct"/>
            <w:tcBorders>
              <w:top w:val="nil"/>
              <w:left w:val="nil"/>
              <w:right w:val="nil"/>
            </w:tcBorders>
            <w:shd w:val="clear" w:color="auto" w:fill="auto"/>
            <w:noWrap/>
            <w:vAlign w:val="center"/>
          </w:tcPr>
          <w:p w14:paraId="29E21D1C" w14:textId="149CC36D" w:rsidR="001C7F35" w:rsidRPr="00E65AA7" w:rsidRDefault="001C7F35" w:rsidP="001C7F35">
            <w:pPr>
              <w:jc w:val="center"/>
              <w:rPr>
                <w:color w:val="000000"/>
                <w:sz w:val="20"/>
                <w:szCs w:val="20"/>
              </w:rPr>
            </w:pPr>
            <w:r>
              <w:rPr>
                <w:color w:val="000000"/>
                <w:sz w:val="20"/>
                <w:szCs w:val="20"/>
              </w:rPr>
              <w:t>-1.45</w:t>
            </w:r>
          </w:p>
        </w:tc>
        <w:tc>
          <w:tcPr>
            <w:tcW w:w="340" w:type="pct"/>
            <w:tcBorders>
              <w:top w:val="nil"/>
              <w:left w:val="nil"/>
              <w:right w:val="nil"/>
            </w:tcBorders>
            <w:shd w:val="clear" w:color="auto" w:fill="auto"/>
            <w:noWrap/>
            <w:vAlign w:val="center"/>
          </w:tcPr>
          <w:p w14:paraId="62837FBB" w14:textId="1F5948C8"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0.72</w:t>
            </w:r>
          </w:p>
        </w:tc>
      </w:tr>
      <w:tr w:rsidR="001C7F35" w:rsidRPr="00E65AA7" w14:paraId="0C888B42" w14:textId="77777777" w:rsidTr="00973156">
        <w:trPr>
          <w:trHeight w:hRule="exact" w:val="255"/>
        </w:trPr>
        <w:tc>
          <w:tcPr>
            <w:tcW w:w="465" w:type="pct"/>
            <w:vMerge/>
            <w:tcBorders>
              <w:left w:val="nil"/>
              <w:bottom w:val="single" w:sz="4" w:space="0" w:color="auto"/>
              <w:right w:val="nil"/>
            </w:tcBorders>
            <w:vAlign w:val="center"/>
          </w:tcPr>
          <w:p w14:paraId="5BF98312" w14:textId="77777777" w:rsidR="001C7F35" w:rsidRPr="00E65AA7" w:rsidRDefault="001C7F35" w:rsidP="001C7F35">
            <w:pPr>
              <w:rPr>
                <w:rFonts w:eastAsia="Times New Roman"/>
                <w:color w:val="000000"/>
                <w:sz w:val="20"/>
                <w:szCs w:val="20"/>
                <w:lang w:eastAsia="en-MY"/>
              </w:rPr>
            </w:pPr>
          </w:p>
        </w:tc>
        <w:tc>
          <w:tcPr>
            <w:tcW w:w="221" w:type="pct"/>
            <w:vMerge/>
            <w:tcBorders>
              <w:left w:val="nil"/>
              <w:bottom w:val="single" w:sz="4" w:space="0" w:color="auto"/>
              <w:right w:val="nil"/>
            </w:tcBorders>
          </w:tcPr>
          <w:p w14:paraId="0E263E5B" w14:textId="77777777" w:rsidR="001C7F35" w:rsidRPr="00E65AA7" w:rsidRDefault="001C7F35" w:rsidP="001C7F35">
            <w:pPr>
              <w:jc w:val="center"/>
              <w:rPr>
                <w:color w:val="000000"/>
                <w:sz w:val="20"/>
                <w:szCs w:val="20"/>
              </w:rPr>
            </w:pPr>
          </w:p>
        </w:tc>
        <w:tc>
          <w:tcPr>
            <w:tcW w:w="329" w:type="pct"/>
            <w:tcBorders>
              <w:left w:val="nil"/>
              <w:bottom w:val="single" w:sz="4" w:space="0" w:color="auto"/>
              <w:right w:val="nil"/>
            </w:tcBorders>
            <w:shd w:val="clear" w:color="auto" w:fill="auto"/>
            <w:noWrap/>
            <w:vAlign w:val="center"/>
          </w:tcPr>
          <w:p w14:paraId="6C32E35A" w14:textId="3F171C1E" w:rsidR="001C7F35" w:rsidRPr="00E65AA7" w:rsidRDefault="001C7F35" w:rsidP="001C7F35">
            <w:pPr>
              <w:jc w:val="center"/>
              <w:rPr>
                <w:color w:val="000000"/>
                <w:sz w:val="20"/>
                <w:szCs w:val="20"/>
              </w:rPr>
            </w:pPr>
            <w:r>
              <w:rPr>
                <w:color w:val="000000"/>
                <w:sz w:val="20"/>
                <w:szCs w:val="20"/>
              </w:rPr>
              <w:t>(4.1</w:t>
            </w:r>
            <w:r w:rsidR="008F6BB3">
              <w:rPr>
                <w:color w:val="000000"/>
                <w:sz w:val="20"/>
                <w:szCs w:val="20"/>
              </w:rPr>
              <w:t>0</w:t>
            </w:r>
            <w:r>
              <w:rPr>
                <w:color w:val="000000"/>
                <w:sz w:val="20"/>
                <w:szCs w:val="20"/>
              </w:rPr>
              <w:t>)</w:t>
            </w:r>
          </w:p>
        </w:tc>
        <w:tc>
          <w:tcPr>
            <w:tcW w:w="329" w:type="pct"/>
            <w:tcBorders>
              <w:left w:val="nil"/>
              <w:bottom w:val="single" w:sz="4" w:space="0" w:color="auto"/>
              <w:right w:val="nil"/>
            </w:tcBorders>
            <w:shd w:val="clear" w:color="auto" w:fill="auto"/>
            <w:noWrap/>
            <w:vAlign w:val="center"/>
          </w:tcPr>
          <w:p w14:paraId="7748D9AB" w14:textId="7BAC42E0" w:rsidR="001C7F35" w:rsidRPr="00E65AA7" w:rsidRDefault="001C7F35" w:rsidP="001C7F35">
            <w:pPr>
              <w:jc w:val="center"/>
              <w:rPr>
                <w:color w:val="000000"/>
                <w:sz w:val="20"/>
                <w:szCs w:val="20"/>
              </w:rPr>
            </w:pPr>
            <w:r>
              <w:rPr>
                <w:color w:val="000000"/>
                <w:sz w:val="20"/>
                <w:szCs w:val="20"/>
              </w:rPr>
              <w:t>(6.93)</w:t>
            </w:r>
          </w:p>
        </w:tc>
        <w:tc>
          <w:tcPr>
            <w:tcW w:w="329" w:type="pct"/>
            <w:tcBorders>
              <w:left w:val="nil"/>
              <w:bottom w:val="single" w:sz="4" w:space="0" w:color="auto"/>
              <w:right w:val="nil"/>
            </w:tcBorders>
            <w:shd w:val="clear" w:color="auto" w:fill="auto"/>
            <w:noWrap/>
            <w:vAlign w:val="center"/>
          </w:tcPr>
          <w:p w14:paraId="40D37D91" w14:textId="660CA6DC" w:rsidR="001C7F35" w:rsidRPr="00E65AA7" w:rsidRDefault="001C7F35" w:rsidP="001C7F35">
            <w:pPr>
              <w:jc w:val="center"/>
              <w:rPr>
                <w:color w:val="000000"/>
                <w:sz w:val="20"/>
                <w:szCs w:val="20"/>
              </w:rPr>
            </w:pPr>
            <w:r>
              <w:rPr>
                <w:color w:val="000000"/>
                <w:sz w:val="20"/>
                <w:szCs w:val="20"/>
              </w:rPr>
              <w:t>(7.36)</w:t>
            </w:r>
          </w:p>
        </w:tc>
        <w:tc>
          <w:tcPr>
            <w:tcW w:w="329" w:type="pct"/>
            <w:tcBorders>
              <w:left w:val="nil"/>
              <w:bottom w:val="single" w:sz="4" w:space="0" w:color="auto"/>
              <w:right w:val="nil"/>
            </w:tcBorders>
            <w:shd w:val="clear" w:color="auto" w:fill="auto"/>
            <w:noWrap/>
            <w:vAlign w:val="center"/>
          </w:tcPr>
          <w:p w14:paraId="0C84F4AD" w14:textId="1C42401F" w:rsidR="001C7F35" w:rsidRPr="00E65AA7" w:rsidRDefault="001C7F35" w:rsidP="001C7F35">
            <w:pPr>
              <w:jc w:val="center"/>
              <w:rPr>
                <w:color w:val="000000"/>
                <w:sz w:val="20"/>
                <w:szCs w:val="20"/>
              </w:rPr>
            </w:pPr>
            <w:r>
              <w:rPr>
                <w:color w:val="000000"/>
                <w:sz w:val="20"/>
                <w:szCs w:val="20"/>
              </w:rPr>
              <w:t>(7.33)</w:t>
            </w:r>
          </w:p>
        </w:tc>
        <w:tc>
          <w:tcPr>
            <w:tcW w:w="329" w:type="pct"/>
            <w:tcBorders>
              <w:left w:val="nil"/>
              <w:bottom w:val="single" w:sz="4" w:space="0" w:color="auto"/>
              <w:right w:val="nil"/>
            </w:tcBorders>
            <w:shd w:val="clear" w:color="auto" w:fill="auto"/>
            <w:noWrap/>
            <w:vAlign w:val="center"/>
          </w:tcPr>
          <w:p w14:paraId="63AB51E2" w14:textId="5E6B2994" w:rsidR="001C7F35" w:rsidRPr="00E65AA7" w:rsidRDefault="001C7F35" w:rsidP="001C7F35">
            <w:pPr>
              <w:jc w:val="center"/>
              <w:rPr>
                <w:color w:val="000000"/>
                <w:sz w:val="20"/>
                <w:szCs w:val="20"/>
              </w:rPr>
            </w:pPr>
            <w:r>
              <w:rPr>
                <w:color w:val="000000"/>
                <w:sz w:val="20"/>
                <w:szCs w:val="20"/>
              </w:rPr>
              <w:t>(7.02)</w:t>
            </w:r>
          </w:p>
        </w:tc>
        <w:tc>
          <w:tcPr>
            <w:tcW w:w="329" w:type="pct"/>
            <w:tcBorders>
              <w:left w:val="nil"/>
              <w:bottom w:val="single" w:sz="4" w:space="0" w:color="auto"/>
              <w:right w:val="nil"/>
            </w:tcBorders>
            <w:shd w:val="clear" w:color="auto" w:fill="auto"/>
            <w:noWrap/>
            <w:vAlign w:val="center"/>
          </w:tcPr>
          <w:p w14:paraId="3E713E6B" w14:textId="02AE4CB2" w:rsidR="001C7F35" w:rsidRPr="00E65AA7" w:rsidRDefault="001C7F35" w:rsidP="001C7F35">
            <w:pPr>
              <w:jc w:val="center"/>
              <w:rPr>
                <w:color w:val="000000"/>
                <w:sz w:val="20"/>
                <w:szCs w:val="20"/>
              </w:rPr>
            </w:pPr>
            <w:r>
              <w:rPr>
                <w:color w:val="000000"/>
                <w:sz w:val="20"/>
                <w:szCs w:val="20"/>
              </w:rPr>
              <w:t>(7.07)</w:t>
            </w:r>
          </w:p>
        </w:tc>
        <w:tc>
          <w:tcPr>
            <w:tcW w:w="329" w:type="pct"/>
            <w:tcBorders>
              <w:left w:val="nil"/>
              <w:bottom w:val="single" w:sz="4" w:space="0" w:color="auto"/>
              <w:right w:val="nil"/>
            </w:tcBorders>
            <w:shd w:val="clear" w:color="auto" w:fill="auto"/>
            <w:noWrap/>
            <w:vAlign w:val="center"/>
          </w:tcPr>
          <w:p w14:paraId="19745741" w14:textId="4F700D6A" w:rsidR="001C7F35" w:rsidRPr="00E65AA7" w:rsidRDefault="001C7F35" w:rsidP="001C7F35">
            <w:pPr>
              <w:jc w:val="center"/>
              <w:rPr>
                <w:color w:val="000000"/>
                <w:sz w:val="20"/>
                <w:szCs w:val="20"/>
              </w:rPr>
            </w:pPr>
            <w:r>
              <w:rPr>
                <w:color w:val="000000"/>
                <w:sz w:val="20"/>
                <w:szCs w:val="20"/>
              </w:rPr>
              <w:t>(6.98)</w:t>
            </w:r>
          </w:p>
        </w:tc>
        <w:tc>
          <w:tcPr>
            <w:tcW w:w="329" w:type="pct"/>
            <w:tcBorders>
              <w:left w:val="nil"/>
              <w:bottom w:val="single" w:sz="4" w:space="0" w:color="auto"/>
              <w:right w:val="nil"/>
            </w:tcBorders>
            <w:shd w:val="clear" w:color="auto" w:fill="auto"/>
            <w:noWrap/>
            <w:vAlign w:val="center"/>
          </w:tcPr>
          <w:p w14:paraId="1F441DED" w14:textId="033C7210" w:rsidR="001C7F35" w:rsidRPr="00E65AA7" w:rsidRDefault="001C7F35" w:rsidP="001C7F35">
            <w:pPr>
              <w:jc w:val="center"/>
              <w:rPr>
                <w:color w:val="000000"/>
                <w:sz w:val="20"/>
                <w:szCs w:val="20"/>
              </w:rPr>
            </w:pPr>
            <w:r>
              <w:rPr>
                <w:color w:val="000000"/>
                <w:sz w:val="20"/>
                <w:szCs w:val="20"/>
              </w:rPr>
              <w:t>(6.77)</w:t>
            </w:r>
          </w:p>
        </w:tc>
        <w:tc>
          <w:tcPr>
            <w:tcW w:w="329" w:type="pct"/>
            <w:tcBorders>
              <w:left w:val="nil"/>
              <w:bottom w:val="single" w:sz="4" w:space="0" w:color="auto"/>
              <w:right w:val="nil"/>
            </w:tcBorders>
            <w:shd w:val="clear" w:color="auto" w:fill="auto"/>
            <w:noWrap/>
            <w:vAlign w:val="center"/>
          </w:tcPr>
          <w:p w14:paraId="133CC140" w14:textId="63152025" w:rsidR="001C7F35" w:rsidRPr="00E65AA7" w:rsidRDefault="001C7F35" w:rsidP="001C7F35">
            <w:pPr>
              <w:jc w:val="center"/>
              <w:rPr>
                <w:color w:val="000000"/>
                <w:sz w:val="20"/>
                <w:szCs w:val="20"/>
              </w:rPr>
            </w:pPr>
            <w:r>
              <w:rPr>
                <w:color w:val="000000"/>
                <w:sz w:val="20"/>
                <w:szCs w:val="20"/>
              </w:rPr>
              <w:t>(6.81)</w:t>
            </w:r>
          </w:p>
        </w:tc>
        <w:tc>
          <w:tcPr>
            <w:tcW w:w="329" w:type="pct"/>
            <w:tcBorders>
              <w:left w:val="nil"/>
              <w:bottom w:val="single" w:sz="4" w:space="0" w:color="auto"/>
              <w:right w:val="nil"/>
            </w:tcBorders>
            <w:shd w:val="clear" w:color="auto" w:fill="auto"/>
            <w:noWrap/>
            <w:vAlign w:val="center"/>
          </w:tcPr>
          <w:p w14:paraId="1CCE77EA" w14:textId="73C3213E" w:rsidR="001C7F35" w:rsidRPr="00E65AA7" w:rsidRDefault="001C7F35" w:rsidP="001C7F35">
            <w:pPr>
              <w:jc w:val="center"/>
              <w:rPr>
                <w:color w:val="000000"/>
                <w:sz w:val="20"/>
                <w:szCs w:val="20"/>
              </w:rPr>
            </w:pPr>
            <w:r>
              <w:rPr>
                <w:color w:val="000000"/>
                <w:sz w:val="20"/>
                <w:szCs w:val="20"/>
              </w:rPr>
              <w:t>(6.08)</w:t>
            </w:r>
          </w:p>
        </w:tc>
        <w:tc>
          <w:tcPr>
            <w:tcW w:w="329" w:type="pct"/>
            <w:tcBorders>
              <w:left w:val="nil"/>
              <w:bottom w:val="single" w:sz="4" w:space="0" w:color="auto"/>
              <w:right w:val="nil"/>
            </w:tcBorders>
            <w:shd w:val="clear" w:color="auto" w:fill="auto"/>
            <w:noWrap/>
            <w:vAlign w:val="center"/>
          </w:tcPr>
          <w:p w14:paraId="37DB004F" w14:textId="7743BC20" w:rsidR="001C7F35" w:rsidRPr="00E65AA7" w:rsidRDefault="001C7F35" w:rsidP="001C7F35">
            <w:pPr>
              <w:jc w:val="center"/>
              <w:rPr>
                <w:color w:val="000000"/>
                <w:sz w:val="20"/>
                <w:szCs w:val="20"/>
              </w:rPr>
            </w:pPr>
            <w:r>
              <w:rPr>
                <w:color w:val="000000"/>
                <w:sz w:val="20"/>
                <w:szCs w:val="20"/>
              </w:rPr>
              <w:t>(6.9</w:t>
            </w:r>
            <w:r w:rsidR="008F6BB3">
              <w:rPr>
                <w:color w:val="000000"/>
                <w:sz w:val="20"/>
                <w:szCs w:val="20"/>
              </w:rPr>
              <w:t>0</w:t>
            </w:r>
            <w:r>
              <w:rPr>
                <w:color w:val="000000"/>
                <w:sz w:val="20"/>
                <w:szCs w:val="20"/>
              </w:rPr>
              <w:t>)</w:t>
            </w:r>
          </w:p>
        </w:tc>
        <w:tc>
          <w:tcPr>
            <w:tcW w:w="355" w:type="pct"/>
            <w:tcBorders>
              <w:left w:val="nil"/>
              <w:bottom w:val="single" w:sz="4" w:space="0" w:color="auto"/>
              <w:right w:val="nil"/>
            </w:tcBorders>
            <w:shd w:val="clear" w:color="auto" w:fill="auto"/>
            <w:noWrap/>
            <w:vAlign w:val="center"/>
          </w:tcPr>
          <w:p w14:paraId="67A7A84B" w14:textId="30EF9FEA" w:rsidR="001C7F35" w:rsidRPr="00E65AA7" w:rsidRDefault="001C7F35" w:rsidP="001C7F35">
            <w:pPr>
              <w:jc w:val="center"/>
              <w:rPr>
                <w:color w:val="000000"/>
                <w:sz w:val="20"/>
                <w:szCs w:val="20"/>
              </w:rPr>
            </w:pPr>
            <w:r>
              <w:rPr>
                <w:color w:val="000000"/>
                <w:sz w:val="20"/>
                <w:szCs w:val="20"/>
              </w:rPr>
              <w:t>(-4.13)</w:t>
            </w:r>
          </w:p>
        </w:tc>
        <w:tc>
          <w:tcPr>
            <w:tcW w:w="340" w:type="pct"/>
            <w:tcBorders>
              <w:left w:val="nil"/>
              <w:bottom w:val="single" w:sz="4" w:space="0" w:color="auto"/>
              <w:right w:val="nil"/>
            </w:tcBorders>
            <w:shd w:val="clear" w:color="auto" w:fill="auto"/>
            <w:noWrap/>
            <w:vAlign w:val="center"/>
          </w:tcPr>
          <w:p w14:paraId="25F03E08" w14:textId="6DD94002"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1.78)</w:t>
            </w:r>
          </w:p>
        </w:tc>
      </w:tr>
      <w:tr w:rsidR="00973156" w:rsidRPr="00E65AA7" w14:paraId="15E5A26B" w14:textId="77777777" w:rsidTr="00973156">
        <w:trPr>
          <w:trHeight w:hRule="exact" w:val="255"/>
        </w:trPr>
        <w:tc>
          <w:tcPr>
            <w:tcW w:w="5000" w:type="pct"/>
            <w:gridSpan w:val="15"/>
            <w:tcBorders>
              <w:top w:val="single" w:sz="4" w:space="0" w:color="auto"/>
              <w:left w:val="nil"/>
              <w:bottom w:val="single" w:sz="4" w:space="0" w:color="auto"/>
              <w:right w:val="nil"/>
            </w:tcBorders>
            <w:vAlign w:val="center"/>
          </w:tcPr>
          <w:p w14:paraId="63D8F96C" w14:textId="1B7E7A56" w:rsidR="00973156" w:rsidRDefault="00973156" w:rsidP="001C7F35">
            <w:pPr>
              <w:jc w:val="center"/>
              <w:rPr>
                <w:color w:val="000000"/>
                <w:sz w:val="20"/>
                <w:szCs w:val="20"/>
              </w:rPr>
            </w:pPr>
            <w:r>
              <w:rPr>
                <w:rFonts w:eastAsia="Times New Roman"/>
                <w:b/>
                <w:bCs/>
                <w:color w:val="000000"/>
                <w:sz w:val="20"/>
                <w:szCs w:val="20"/>
                <w:lang w:eastAsia="en-MY"/>
              </w:rPr>
              <w:t>Panel G</w:t>
            </w:r>
            <w:r w:rsidRPr="001C7F35">
              <w:rPr>
                <w:rFonts w:eastAsia="Times New Roman"/>
                <w:b/>
                <w:bCs/>
                <w:color w:val="000000"/>
                <w:sz w:val="20"/>
                <w:szCs w:val="20"/>
                <w:lang w:eastAsia="en-MY"/>
              </w:rPr>
              <w:t xml:space="preserve">: </w:t>
            </w:r>
            <w:r>
              <w:rPr>
                <w:rFonts w:eastAsia="Times New Roman"/>
                <w:b/>
                <w:bCs/>
                <w:color w:val="000000"/>
                <w:sz w:val="20"/>
                <w:szCs w:val="20"/>
                <w:lang w:eastAsia="en-MY"/>
              </w:rPr>
              <w:t>Research and D</w:t>
            </w:r>
            <w:r w:rsidRPr="00973156">
              <w:rPr>
                <w:rFonts w:eastAsia="Times New Roman"/>
                <w:b/>
                <w:bCs/>
                <w:color w:val="000000"/>
                <w:sz w:val="20"/>
                <w:szCs w:val="20"/>
                <w:lang w:eastAsia="en-MY"/>
              </w:rPr>
              <w:t>evelopment (RD/A)</w:t>
            </w:r>
          </w:p>
        </w:tc>
      </w:tr>
      <w:tr w:rsidR="001C7F35" w:rsidRPr="00E65AA7" w14:paraId="1EB4FC2F" w14:textId="77777777" w:rsidTr="00973156">
        <w:trPr>
          <w:trHeight w:hRule="exact" w:val="255"/>
        </w:trPr>
        <w:tc>
          <w:tcPr>
            <w:tcW w:w="465" w:type="pct"/>
            <w:vMerge w:val="restart"/>
            <w:tcBorders>
              <w:top w:val="single" w:sz="4" w:space="0" w:color="auto"/>
              <w:left w:val="nil"/>
              <w:bottom w:val="nil"/>
              <w:right w:val="nil"/>
            </w:tcBorders>
            <w:shd w:val="clear" w:color="auto" w:fill="auto"/>
            <w:vAlign w:val="center"/>
          </w:tcPr>
          <w:p w14:paraId="25666AC6" w14:textId="21894DEF"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21" w:type="pct"/>
            <w:vMerge w:val="restart"/>
            <w:tcBorders>
              <w:top w:val="single" w:sz="4" w:space="0" w:color="auto"/>
              <w:left w:val="nil"/>
              <w:right w:val="nil"/>
            </w:tcBorders>
            <w:vAlign w:val="center"/>
          </w:tcPr>
          <w:p w14:paraId="651AFD21"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140</w:t>
            </w:r>
          </w:p>
        </w:tc>
        <w:tc>
          <w:tcPr>
            <w:tcW w:w="329" w:type="pct"/>
            <w:tcBorders>
              <w:top w:val="single" w:sz="4" w:space="0" w:color="auto"/>
              <w:left w:val="nil"/>
              <w:bottom w:val="nil"/>
              <w:right w:val="nil"/>
            </w:tcBorders>
            <w:shd w:val="clear" w:color="auto" w:fill="auto"/>
            <w:noWrap/>
            <w:vAlign w:val="center"/>
          </w:tcPr>
          <w:p w14:paraId="576DB49A" w14:textId="6BE58B04" w:rsidR="001C7F35" w:rsidRPr="00E65AA7" w:rsidRDefault="001C7F35" w:rsidP="001C7F35">
            <w:pPr>
              <w:jc w:val="center"/>
              <w:rPr>
                <w:color w:val="000000"/>
                <w:sz w:val="20"/>
                <w:szCs w:val="20"/>
              </w:rPr>
            </w:pPr>
            <w:r>
              <w:rPr>
                <w:color w:val="000000"/>
                <w:sz w:val="20"/>
                <w:szCs w:val="20"/>
              </w:rPr>
              <w:t>2.22</w:t>
            </w:r>
          </w:p>
        </w:tc>
        <w:tc>
          <w:tcPr>
            <w:tcW w:w="329" w:type="pct"/>
            <w:tcBorders>
              <w:top w:val="single" w:sz="4" w:space="0" w:color="auto"/>
              <w:left w:val="nil"/>
              <w:bottom w:val="nil"/>
              <w:right w:val="nil"/>
            </w:tcBorders>
            <w:shd w:val="clear" w:color="auto" w:fill="auto"/>
            <w:noWrap/>
            <w:vAlign w:val="center"/>
          </w:tcPr>
          <w:p w14:paraId="26B65B14" w14:textId="56D3E04B" w:rsidR="001C7F35" w:rsidRPr="00E65AA7" w:rsidRDefault="001C7F35" w:rsidP="001C7F35">
            <w:pPr>
              <w:jc w:val="center"/>
              <w:rPr>
                <w:color w:val="000000"/>
                <w:sz w:val="20"/>
                <w:szCs w:val="20"/>
              </w:rPr>
            </w:pPr>
            <w:r>
              <w:rPr>
                <w:color w:val="000000"/>
                <w:sz w:val="20"/>
                <w:szCs w:val="20"/>
              </w:rPr>
              <w:t>3.09</w:t>
            </w:r>
          </w:p>
        </w:tc>
        <w:tc>
          <w:tcPr>
            <w:tcW w:w="329" w:type="pct"/>
            <w:tcBorders>
              <w:top w:val="single" w:sz="4" w:space="0" w:color="auto"/>
              <w:left w:val="nil"/>
              <w:bottom w:val="nil"/>
              <w:right w:val="nil"/>
            </w:tcBorders>
            <w:shd w:val="clear" w:color="auto" w:fill="auto"/>
            <w:noWrap/>
            <w:vAlign w:val="center"/>
          </w:tcPr>
          <w:p w14:paraId="3CD0CDA8" w14:textId="4011EBDC" w:rsidR="001C7F35" w:rsidRPr="00E65AA7" w:rsidRDefault="001C7F35" w:rsidP="001C7F35">
            <w:pPr>
              <w:jc w:val="center"/>
              <w:rPr>
                <w:color w:val="000000"/>
                <w:sz w:val="20"/>
                <w:szCs w:val="20"/>
              </w:rPr>
            </w:pPr>
            <w:r>
              <w:rPr>
                <w:color w:val="000000"/>
                <w:sz w:val="20"/>
                <w:szCs w:val="20"/>
              </w:rPr>
              <w:t>3.33</w:t>
            </w:r>
          </w:p>
        </w:tc>
        <w:tc>
          <w:tcPr>
            <w:tcW w:w="329" w:type="pct"/>
            <w:tcBorders>
              <w:top w:val="single" w:sz="4" w:space="0" w:color="auto"/>
              <w:left w:val="nil"/>
              <w:bottom w:val="nil"/>
              <w:right w:val="nil"/>
            </w:tcBorders>
            <w:shd w:val="clear" w:color="auto" w:fill="auto"/>
            <w:noWrap/>
            <w:vAlign w:val="center"/>
          </w:tcPr>
          <w:p w14:paraId="316E7322" w14:textId="276DC31B" w:rsidR="001C7F35" w:rsidRPr="00E65AA7" w:rsidRDefault="001C7F35" w:rsidP="001C7F35">
            <w:pPr>
              <w:jc w:val="center"/>
              <w:rPr>
                <w:color w:val="000000"/>
                <w:sz w:val="20"/>
                <w:szCs w:val="20"/>
              </w:rPr>
            </w:pPr>
            <w:r>
              <w:rPr>
                <w:color w:val="000000"/>
                <w:sz w:val="20"/>
                <w:szCs w:val="20"/>
              </w:rPr>
              <w:t>3.48</w:t>
            </w:r>
          </w:p>
        </w:tc>
        <w:tc>
          <w:tcPr>
            <w:tcW w:w="329" w:type="pct"/>
            <w:tcBorders>
              <w:top w:val="single" w:sz="4" w:space="0" w:color="auto"/>
              <w:left w:val="nil"/>
              <w:bottom w:val="nil"/>
              <w:right w:val="nil"/>
            </w:tcBorders>
            <w:shd w:val="clear" w:color="auto" w:fill="auto"/>
            <w:noWrap/>
            <w:vAlign w:val="center"/>
          </w:tcPr>
          <w:p w14:paraId="7543B5AB" w14:textId="6ACE3C1B" w:rsidR="001C7F35" w:rsidRPr="00E65AA7" w:rsidRDefault="001C7F35" w:rsidP="001C7F35">
            <w:pPr>
              <w:jc w:val="center"/>
              <w:rPr>
                <w:color w:val="000000"/>
                <w:sz w:val="20"/>
                <w:szCs w:val="20"/>
              </w:rPr>
            </w:pPr>
            <w:r>
              <w:rPr>
                <w:color w:val="000000"/>
                <w:sz w:val="20"/>
                <w:szCs w:val="20"/>
              </w:rPr>
              <w:t>3.47</w:t>
            </w:r>
          </w:p>
        </w:tc>
        <w:tc>
          <w:tcPr>
            <w:tcW w:w="329" w:type="pct"/>
            <w:tcBorders>
              <w:top w:val="single" w:sz="4" w:space="0" w:color="auto"/>
              <w:left w:val="nil"/>
              <w:bottom w:val="nil"/>
              <w:right w:val="nil"/>
            </w:tcBorders>
            <w:shd w:val="clear" w:color="auto" w:fill="auto"/>
            <w:noWrap/>
            <w:vAlign w:val="center"/>
          </w:tcPr>
          <w:p w14:paraId="419D448D" w14:textId="5A599B99" w:rsidR="001C7F35" w:rsidRPr="00E65AA7" w:rsidRDefault="001C7F35" w:rsidP="001C7F35">
            <w:pPr>
              <w:jc w:val="center"/>
              <w:rPr>
                <w:color w:val="000000"/>
                <w:sz w:val="20"/>
                <w:szCs w:val="20"/>
              </w:rPr>
            </w:pPr>
            <w:r>
              <w:rPr>
                <w:color w:val="000000"/>
                <w:sz w:val="20"/>
                <w:szCs w:val="20"/>
              </w:rPr>
              <w:t>3.08</w:t>
            </w:r>
          </w:p>
        </w:tc>
        <w:tc>
          <w:tcPr>
            <w:tcW w:w="329" w:type="pct"/>
            <w:tcBorders>
              <w:top w:val="single" w:sz="4" w:space="0" w:color="auto"/>
              <w:left w:val="nil"/>
              <w:bottom w:val="nil"/>
              <w:right w:val="nil"/>
            </w:tcBorders>
            <w:shd w:val="clear" w:color="auto" w:fill="auto"/>
            <w:noWrap/>
            <w:vAlign w:val="center"/>
          </w:tcPr>
          <w:p w14:paraId="495BB08F" w14:textId="038F9D7D" w:rsidR="001C7F35" w:rsidRPr="00E65AA7" w:rsidRDefault="001C7F35" w:rsidP="001C7F35">
            <w:pPr>
              <w:jc w:val="center"/>
              <w:rPr>
                <w:color w:val="000000"/>
                <w:sz w:val="20"/>
                <w:szCs w:val="20"/>
              </w:rPr>
            </w:pPr>
            <w:r>
              <w:rPr>
                <w:color w:val="000000"/>
                <w:sz w:val="20"/>
                <w:szCs w:val="20"/>
              </w:rPr>
              <w:t>3.49</w:t>
            </w:r>
          </w:p>
        </w:tc>
        <w:tc>
          <w:tcPr>
            <w:tcW w:w="329" w:type="pct"/>
            <w:tcBorders>
              <w:top w:val="single" w:sz="4" w:space="0" w:color="auto"/>
              <w:left w:val="nil"/>
              <w:bottom w:val="nil"/>
              <w:right w:val="nil"/>
            </w:tcBorders>
            <w:shd w:val="clear" w:color="auto" w:fill="auto"/>
            <w:noWrap/>
            <w:vAlign w:val="center"/>
          </w:tcPr>
          <w:p w14:paraId="5D9147E5" w14:textId="147C7DF1" w:rsidR="001C7F35" w:rsidRPr="00E65AA7" w:rsidRDefault="001C7F35" w:rsidP="001C7F35">
            <w:pPr>
              <w:jc w:val="center"/>
              <w:rPr>
                <w:color w:val="000000"/>
                <w:sz w:val="20"/>
                <w:szCs w:val="20"/>
              </w:rPr>
            </w:pPr>
            <w:r>
              <w:rPr>
                <w:color w:val="000000"/>
                <w:sz w:val="20"/>
                <w:szCs w:val="20"/>
              </w:rPr>
              <w:t>3.01</w:t>
            </w:r>
          </w:p>
        </w:tc>
        <w:tc>
          <w:tcPr>
            <w:tcW w:w="329" w:type="pct"/>
            <w:tcBorders>
              <w:top w:val="single" w:sz="4" w:space="0" w:color="auto"/>
              <w:left w:val="nil"/>
              <w:bottom w:val="nil"/>
              <w:right w:val="nil"/>
            </w:tcBorders>
            <w:shd w:val="clear" w:color="auto" w:fill="auto"/>
            <w:noWrap/>
            <w:vAlign w:val="center"/>
          </w:tcPr>
          <w:p w14:paraId="29801640" w14:textId="7F6BE6F5" w:rsidR="001C7F35" w:rsidRPr="00E65AA7" w:rsidRDefault="001C7F35" w:rsidP="001C7F35">
            <w:pPr>
              <w:jc w:val="center"/>
              <w:rPr>
                <w:color w:val="000000"/>
                <w:sz w:val="20"/>
                <w:szCs w:val="20"/>
              </w:rPr>
            </w:pPr>
            <w:r>
              <w:rPr>
                <w:color w:val="000000"/>
                <w:sz w:val="20"/>
                <w:szCs w:val="20"/>
              </w:rPr>
              <w:t>2.85</w:t>
            </w:r>
          </w:p>
        </w:tc>
        <w:tc>
          <w:tcPr>
            <w:tcW w:w="329" w:type="pct"/>
            <w:tcBorders>
              <w:top w:val="single" w:sz="4" w:space="0" w:color="auto"/>
              <w:left w:val="nil"/>
              <w:bottom w:val="nil"/>
              <w:right w:val="nil"/>
            </w:tcBorders>
            <w:shd w:val="clear" w:color="auto" w:fill="auto"/>
            <w:noWrap/>
            <w:vAlign w:val="center"/>
          </w:tcPr>
          <w:p w14:paraId="31E26AF8" w14:textId="2A38C66C" w:rsidR="001C7F35" w:rsidRPr="00E65AA7" w:rsidRDefault="001C7F35" w:rsidP="001C7F35">
            <w:pPr>
              <w:jc w:val="center"/>
              <w:rPr>
                <w:color w:val="000000"/>
                <w:sz w:val="20"/>
                <w:szCs w:val="20"/>
              </w:rPr>
            </w:pPr>
            <w:r>
              <w:rPr>
                <w:color w:val="000000"/>
                <w:sz w:val="20"/>
                <w:szCs w:val="20"/>
              </w:rPr>
              <w:t>2.64</w:t>
            </w:r>
          </w:p>
        </w:tc>
        <w:tc>
          <w:tcPr>
            <w:tcW w:w="329" w:type="pct"/>
            <w:tcBorders>
              <w:top w:val="single" w:sz="4" w:space="0" w:color="auto"/>
              <w:left w:val="nil"/>
              <w:bottom w:val="nil"/>
              <w:right w:val="nil"/>
            </w:tcBorders>
            <w:shd w:val="clear" w:color="auto" w:fill="auto"/>
            <w:noWrap/>
            <w:vAlign w:val="center"/>
          </w:tcPr>
          <w:p w14:paraId="562E7E24" w14:textId="0AF630A5" w:rsidR="001C7F35" w:rsidRPr="00E65AA7" w:rsidRDefault="001C7F35" w:rsidP="001C7F35">
            <w:pPr>
              <w:jc w:val="center"/>
              <w:rPr>
                <w:color w:val="000000"/>
                <w:sz w:val="20"/>
                <w:szCs w:val="20"/>
              </w:rPr>
            </w:pPr>
            <w:r>
              <w:rPr>
                <w:color w:val="000000"/>
                <w:sz w:val="20"/>
                <w:szCs w:val="20"/>
              </w:rPr>
              <w:t>2.11</w:t>
            </w:r>
          </w:p>
        </w:tc>
        <w:tc>
          <w:tcPr>
            <w:tcW w:w="355" w:type="pct"/>
            <w:tcBorders>
              <w:top w:val="single" w:sz="4" w:space="0" w:color="auto"/>
              <w:left w:val="nil"/>
              <w:bottom w:val="nil"/>
              <w:right w:val="nil"/>
            </w:tcBorders>
            <w:shd w:val="clear" w:color="auto" w:fill="auto"/>
            <w:noWrap/>
            <w:vAlign w:val="center"/>
          </w:tcPr>
          <w:p w14:paraId="50AA00F2" w14:textId="313D9374" w:rsidR="001C7F35" w:rsidRPr="00E65AA7" w:rsidRDefault="001C7F35" w:rsidP="001C7F35">
            <w:pPr>
              <w:jc w:val="center"/>
              <w:rPr>
                <w:color w:val="000000"/>
                <w:sz w:val="20"/>
                <w:szCs w:val="20"/>
              </w:rPr>
            </w:pPr>
            <w:r>
              <w:rPr>
                <w:color w:val="000000"/>
                <w:sz w:val="20"/>
                <w:szCs w:val="20"/>
              </w:rPr>
              <w:t>-0.98</w:t>
            </w:r>
          </w:p>
        </w:tc>
        <w:tc>
          <w:tcPr>
            <w:tcW w:w="340" w:type="pct"/>
            <w:tcBorders>
              <w:top w:val="single" w:sz="4" w:space="0" w:color="auto"/>
              <w:left w:val="nil"/>
              <w:bottom w:val="nil"/>
              <w:right w:val="nil"/>
            </w:tcBorders>
            <w:shd w:val="clear" w:color="auto" w:fill="auto"/>
            <w:noWrap/>
            <w:vAlign w:val="center"/>
          </w:tcPr>
          <w:p w14:paraId="24F323E6" w14:textId="70CB9754"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0.83</w:t>
            </w:r>
          </w:p>
        </w:tc>
      </w:tr>
      <w:tr w:rsidR="001C7F35" w:rsidRPr="00E65AA7" w14:paraId="15F45381" w14:textId="77777777" w:rsidTr="001C7F35">
        <w:trPr>
          <w:trHeight w:hRule="exact" w:val="255"/>
        </w:trPr>
        <w:tc>
          <w:tcPr>
            <w:tcW w:w="465" w:type="pct"/>
            <w:vMerge/>
            <w:tcBorders>
              <w:top w:val="nil"/>
              <w:left w:val="nil"/>
              <w:bottom w:val="nil"/>
              <w:right w:val="nil"/>
            </w:tcBorders>
            <w:vAlign w:val="center"/>
          </w:tcPr>
          <w:p w14:paraId="1EB04900"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6BED3C85"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0737AB03" w14:textId="44FF5F92" w:rsidR="001C7F35" w:rsidRPr="00E65AA7" w:rsidRDefault="001C7F35" w:rsidP="001C7F35">
            <w:pPr>
              <w:jc w:val="center"/>
              <w:rPr>
                <w:color w:val="000000"/>
                <w:sz w:val="20"/>
                <w:szCs w:val="20"/>
              </w:rPr>
            </w:pPr>
            <w:r>
              <w:rPr>
                <w:color w:val="000000"/>
                <w:sz w:val="20"/>
                <w:szCs w:val="20"/>
              </w:rPr>
              <w:t>(6.36)</w:t>
            </w:r>
          </w:p>
        </w:tc>
        <w:tc>
          <w:tcPr>
            <w:tcW w:w="329" w:type="pct"/>
            <w:tcBorders>
              <w:top w:val="nil"/>
              <w:left w:val="nil"/>
              <w:bottom w:val="nil"/>
              <w:right w:val="nil"/>
            </w:tcBorders>
            <w:shd w:val="clear" w:color="auto" w:fill="auto"/>
            <w:noWrap/>
            <w:vAlign w:val="center"/>
          </w:tcPr>
          <w:p w14:paraId="7DA84CC1" w14:textId="361246A4" w:rsidR="001C7F35" w:rsidRPr="00E65AA7" w:rsidRDefault="001C7F35" w:rsidP="001C7F35">
            <w:pPr>
              <w:jc w:val="center"/>
              <w:rPr>
                <w:color w:val="000000"/>
                <w:sz w:val="20"/>
                <w:szCs w:val="20"/>
              </w:rPr>
            </w:pPr>
            <w:r>
              <w:rPr>
                <w:color w:val="000000"/>
                <w:sz w:val="20"/>
                <w:szCs w:val="20"/>
              </w:rPr>
              <w:t>(5.38)</w:t>
            </w:r>
          </w:p>
        </w:tc>
        <w:tc>
          <w:tcPr>
            <w:tcW w:w="329" w:type="pct"/>
            <w:tcBorders>
              <w:top w:val="nil"/>
              <w:left w:val="nil"/>
              <w:bottom w:val="nil"/>
              <w:right w:val="nil"/>
            </w:tcBorders>
            <w:shd w:val="clear" w:color="auto" w:fill="auto"/>
            <w:noWrap/>
            <w:vAlign w:val="center"/>
          </w:tcPr>
          <w:p w14:paraId="3C9590EF" w14:textId="06CBC5F3" w:rsidR="001C7F35" w:rsidRPr="00E65AA7" w:rsidRDefault="001C7F35" w:rsidP="001C7F35">
            <w:pPr>
              <w:jc w:val="center"/>
              <w:rPr>
                <w:color w:val="000000"/>
                <w:sz w:val="20"/>
                <w:szCs w:val="20"/>
              </w:rPr>
            </w:pPr>
            <w:r>
              <w:rPr>
                <w:color w:val="000000"/>
                <w:sz w:val="20"/>
                <w:szCs w:val="20"/>
              </w:rPr>
              <w:t>(5.6</w:t>
            </w:r>
            <w:r w:rsidR="008F6BB3">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tcPr>
          <w:p w14:paraId="50E5EE60" w14:textId="752B22A9" w:rsidR="001C7F35" w:rsidRPr="00E65AA7" w:rsidRDefault="001C7F35" w:rsidP="001C7F35">
            <w:pPr>
              <w:jc w:val="center"/>
              <w:rPr>
                <w:color w:val="000000"/>
                <w:sz w:val="20"/>
                <w:szCs w:val="20"/>
              </w:rPr>
            </w:pPr>
            <w:r>
              <w:rPr>
                <w:color w:val="000000"/>
                <w:sz w:val="20"/>
                <w:szCs w:val="20"/>
              </w:rPr>
              <w:t>(5.92)</w:t>
            </w:r>
          </w:p>
        </w:tc>
        <w:tc>
          <w:tcPr>
            <w:tcW w:w="329" w:type="pct"/>
            <w:tcBorders>
              <w:top w:val="nil"/>
              <w:left w:val="nil"/>
              <w:bottom w:val="nil"/>
              <w:right w:val="nil"/>
            </w:tcBorders>
            <w:shd w:val="clear" w:color="auto" w:fill="auto"/>
            <w:noWrap/>
            <w:vAlign w:val="center"/>
          </w:tcPr>
          <w:p w14:paraId="1FF6B2A4" w14:textId="5A9C37E2" w:rsidR="001C7F35" w:rsidRPr="00E65AA7" w:rsidRDefault="001C7F35" w:rsidP="001C7F35">
            <w:pPr>
              <w:jc w:val="center"/>
              <w:rPr>
                <w:color w:val="000000"/>
                <w:sz w:val="20"/>
                <w:szCs w:val="20"/>
              </w:rPr>
            </w:pPr>
            <w:r>
              <w:rPr>
                <w:color w:val="000000"/>
                <w:sz w:val="20"/>
                <w:szCs w:val="20"/>
              </w:rPr>
              <w:t>(5.74)</w:t>
            </w:r>
          </w:p>
        </w:tc>
        <w:tc>
          <w:tcPr>
            <w:tcW w:w="329" w:type="pct"/>
            <w:tcBorders>
              <w:top w:val="nil"/>
              <w:left w:val="nil"/>
              <w:bottom w:val="nil"/>
              <w:right w:val="nil"/>
            </w:tcBorders>
            <w:shd w:val="clear" w:color="auto" w:fill="auto"/>
            <w:noWrap/>
            <w:vAlign w:val="center"/>
          </w:tcPr>
          <w:p w14:paraId="56300848" w14:textId="6EC62000" w:rsidR="001C7F35" w:rsidRPr="00E65AA7" w:rsidRDefault="001C7F35" w:rsidP="001C7F35">
            <w:pPr>
              <w:jc w:val="center"/>
              <w:rPr>
                <w:color w:val="000000"/>
                <w:sz w:val="20"/>
                <w:szCs w:val="20"/>
              </w:rPr>
            </w:pPr>
            <w:r>
              <w:rPr>
                <w:color w:val="000000"/>
                <w:sz w:val="20"/>
                <w:szCs w:val="20"/>
              </w:rPr>
              <w:t>(5.29)</w:t>
            </w:r>
          </w:p>
        </w:tc>
        <w:tc>
          <w:tcPr>
            <w:tcW w:w="329" w:type="pct"/>
            <w:tcBorders>
              <w:top w:val="nil"/>
              <w:left w:val="nil"/>
              <w:bottom w:val="nil"/>
              <w:right w:val="nil"/>
            </w:tcBorders>
            <w:shd w:val="clear" w:color="auto" w:fill="auto"/>
            <w:noWrap/>
            <w:vAlign w:val="center"/>
          </w:tcPr>
          <w:p w14:paraId="0BBA8FAC" w14:textId="7C3919D8" w:rsidR="001C7F35" w:rsidRPr="00E65AA7" w:rsidRDefault="001C7F35" w:rsidP="001C7F35">
            <w:pPr>
              <w:jc w:val="center"/>
              <w:rPr>
                <w:color w:val="000000"/>
                <w:sz w:val="20"/>
                <w:szCs w:val="20"/>
              </w:rPr>
            </w:pPr>
            <w:r>
              <w:rPr>
                <w:color w:val="000000"/>
                <w:sz w:val="20"/>
                <w:szCs w:val="20"/>
              </w:rPr>
              <w:t>(6.03)</w:t>
            </w:r>
          </w:p>
        </w:tc>
        <w:tc>
          <w:tcPr>
            <w:tcW w:w="329" w:type="pct"/>
            <w:tcBorders>
              <w:top w:val="nil"/>
              <w:left w:val="nil"/>
              <w:bottom w:val="nil"/>
              <w:right w:val="nil"/>
            </w:tcBorders>
            <w:shd w:val="clear" w:color="auto" w:fill="auto"/>
            <w:noWrap/>
            <w:vAlign w:val="center"/>
          </w:tcPr>
          <w:p w14:paraId="0F2660FA" w14:textId="0C559107" w:rsidR="001C7F35" w:rsidRPr="00E65AA7" w:rsidRDefault="001C7F35" w:rsidP="001C7F35">
            <w:pPr>
              <w:jc w:val="center"/>
              <w:rPr>
                <w:color w:val="000000"/>
                <w:sz w:val="20"/>
                <w:szCs w:val="20"/>
              </w:rPr>
            </w:pPr>
            <w:r>
              <w:rPr>
                <w:color w:val="000000"/>
                <w:sz w:val="20"/>
                <w:szCs w:val="20"/>
              </w:rPr>
              <w:t>(5.87)</w:t>
            </w:r>
          </w:p>
        </w:tc>
        <w:tc>
          <w:tcPr>
            <w:tcW w:w="329" w:type="pct"/>
            <w:tcBorders>
              <w:top w:val="nil"/>
              <w:left w:val="nil"/>
              <w:bottom w:val="nil"/>
              <w:right w:val="nil"/>
            </w:tcBorders>
            <w:shd w:val="clear" w:color="auto" w:fill="auto"/>
            <w:noWrap/>
            <w:vAlign w:val="center"/>
          </w:tcPr>
          <w:p w14:paraId="4E62FFBB" w14:textId="042CC5F7" w:rsidR="001C7F35" w:rsidRPr="00E65AA7" w:rsidRDefault="001C7F35" w:rsidP="001C7F35">
            <w:pPr>
              <w:jc w:val="center"/>
              <w:rPr>
                <w:color w:val="000000"/>
                <w:sz w:val="20"/>
                <w:szCs w:val="20"/>
              </w:rPr>
            </w:pPr>
            <w:r>
              <w:rPr>
                <w:color w:val="000000"/>
                <w:sz w:val="20"/>
                <w:szCs w:val="20"/>
              </w:rPr>
              <w:t>(5.72)</w:t>
            </w:r>
          </w:p>
        </w:tc>
        <w:tc>
          <w:tcPr>
            <w:tcW w:w="329" w:type="pct"/>
            <w:tcBorders>
              <w:top w:val="nil"/>
              <w:left w:val="nil"/>
              <w:bottom w:val="nil"/>
              <w:right w:val="nil"/>
            </w:tcBorders>
            <w:shd w:val="clear" w:color="auto" w:fill="auto"/>
            <w:noWrap/>
            <w:vAlign w:val="center"/>
          </w:tcPr>
          <w:p w14:paraId="46F98984" w14:textId="2E363BCC" w:rsidR="001C7F35" w:rsidRPr="00E65AA7" w:rsidRDefault="001C7F35" w:rsidP="001C7F35">
            <w:pPr>
              <w:jc w:val="center"/>
              <w:rPr>
                <w:color w:val="000000"/>
                <w:sz w:val="20"/>
                <w:szCs w:val="20"/>
              </w:rPr>
            </w:pPr>
            <w:r>
              <w:rPr>
                <w:color w:val="000000"/>
                <w:sz w:val="20"/>
                <w:szCs w:val="20"/>
              </w:rPr>
              <w:t>(6.03)</w:t>
            </w:r>
          </w:p>
        </w:tc>
        <w:tc>
          <w:tcPr>
            <w:tcW w:w="329" w:type="pct"/>
            <w:tcBorders>
              <w:top w:val="nil"/>
              <w:left w:val="nil"/>
              <w:bottom w:val="nil"/>
              <w:right w:val="nil"/>
            </w:tcBorders>
            <w:shd w:val="clear" w:color="auto" w:fill="auto"/>
            <w:noWrap/>
            <w:vAlign w:val="center"/>
          </w:tcPr>
          <w:p w14:paraId="6E1D6BF6" w14:textId="46462EC2" w:rsidR="001C7F35" w:rsidRPr="00E65AA7" w:rsidRDefault="001C7F35" w:rsidP="001C7F35">
            <w:pPr>
              <w:jc w:val="center"/>
              <w:rPr>
                <w:color w:val="000000"/>
                <w:sz w:val="20"/>
                <w:szCs w:val="20"/>
              </w:rPr>
            </w:pPr>
            <w:r>
              <w:rPr>
                <w:color w:val="000000"/>
                <w:sz w:val="20"/>
                <w:szCs w:val="20"/>
              </w:rPr>
              <w:t>(5.5</w:t>
            </w:r>
            <w:r w:rsidR="008F6BB3">
              <w:rPr>
                <w:color w:val="000000"/>
                <w:sz w:val="20"/>
                <w:szCs w:val="20"/>
              </w:rPr>
              <w:t>0</w:t>
            </w:r>
            <w:r>
              <w:rPr>
                <w:color w:val="000000"/>
                <w:sz w:val="20"/>
                <w:szCs w:val="20"/>
              </w:rPr>
              <w:t>)</w:t>
            </w:r>
          </w:p>
        </w:tc>
        <w:tc>
          <w:tcPr>
            <w:tcW w:w="355" w:type="pct"/>
            <w:tcBorders>
              <w:top w:val="nil"/>
              <w:left w:val="nil"/>
              <w:bottom w:val="nil"/>
              <w:right w:val="nil"/>
            </w:tcBorders>
            <w:shd w:val="clear" w:color="auto" w:fill="auto"/>
            <w:noWrap/>
            <w:vAlign w:val="center"/>
          </w:tcPr>
          <w:p w14:paraId="79C3A27E" w14:textId="40222DFF" w:rsidR="001C7F35" w:rsidRPr="00E65AA7" w:rsidRDefault="001C7F35" w:rsidP="001C7F35">
            <w:pPr>
              <w:jc w:val="center"/>
              <w:rPr>
                <w:color w:val="000000"/>
                <w:sz w:val="20"/>
                <w:szCs w:val="20"/>
              </w:rPr>
            </w:pPr>
            <w:r>
              <w:rPr>
                <w:color w:val="000000"/>
                <w:sz w:val="20"/>
                <w:szCs w:val="20"/>
              </w:rPr>
              <w:t>(-1.98)</w:t>
            </w:r>
          </w:p>
        </w:tc>
        <w:tc>
          <w:tcPr>
            <w:tcW w:w="340" w:type="pct"/>
            <w:tcBorders>
              <w:top w:val="nil"/>
              <w:left w:val="nil"/>
              <w:bottom w:val="nil"/>
              <w:right w:val="nil"/>
            </w:tcBorders>
            <w:shd w:val="clear" w:color="auto" w:fill="auto"/>
            <w:noWrap/>
            <w:vAlign w:val="center"/>
          </w:tcPr>
          <w:p w14:paraId="613DABCA" w14:textId="7BAC670F"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2.99)</w:t>
            </w:r>
          </w:p>
        </w:tc>
      </w:tr>
      <w:tr w:rsidR="001C7F35" w:rsidRPr="00E65AA7" w14:paraId="25C96AA1"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442DF593" w14:textId="3E463334"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21" w:type="pct"/>
            <w:vMerge w:val="restart"/>
            <w:tcBorders>
              <w:top w:val="nil"/>
              <w:left w:val="nil"/>
              <w:right w:val="nil"/>
            </w:tcBorders>
            <w:vAlign w:val="center"/>
          </w:tcPr>
          <w:p w14:paraId="3232F44D"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148</w:t>
            </w:r>
          </w:p>
        </w:tc>
        <w:tc>
          <w:tcPr>
            <w:tcW w:w="329" w:type="pct"/>
            <w:tcBorders>
              <w:top w:val="nil"/>
              <w:left w:val="nil"/>
              <w:bottom w:val="nil"/>
              <w:right w:val="nil"/>
            </w:tcBorders>
            <w:shd w:val="clear" w:color="auto" w:fill="auto"/>
            <w:noWrap/>
            <w:vAlign w:val="center"/>
          </w:tcPr>
          <w:p w14:paraId="67D2F707" w14:textId="676F84D3" w:rsidR="001C7F35" w:rsidRPr="00E65AA7" w:rsidRDefault="001C7F35" w:rsidP="001C7F35">
            <w:pPr>
              <w:jc w:val="center"/>
              <w:rPr>
                <w:color w:val="000000"/>
                <w:sz w:val="20"/>
                <w:szCs w:val="20"/>
              </w:rPr>
            </w:pPr>
            <w:r>
              <w:rPr>
                <w:color w:val="000000"/>
                <w:sz w:val="20"/>
                <w:szCs w:val="20"/>
              </w:rPr>
              <w:t>-0.22</w:t>
            </w:r>
          </w:p>
        </w:tc>
        <w:tc>
          <w:tcPr>
            <w:tcW w:w="329" w:type="pct"/>
            <w:tcBorders>
              <w:top w:val="nil"/>
              <w:left w:val="nil"/>
              <w:bottom w:val="nil"/>
              <w:right w:val="nil"/>
            </w:tcBorders>
            <w:shd w:val="clear" w:color="auto" w:fill="auto"/>
            <w:noWrap/>
            <w:vAlign w:val="center"/>
          </w:tcPr>
          <w:p w14:paraId="235BA535" w14:textId="1D029976" w:rsidR="001C7F35" w:rsidRPr="00E65AA7" w:rsidRDefault="001C7F35" w:rsidP="001C7F35">
            <w:pPr>
              <w:jc w:val="center"/>
              <w:rPr>
                <w:color w:val="000000"/>
                <w:sz w:val="20"/>
                <w:szCs w:val="20"/>
              </w:rPr>
            </w:pPr>
            <w:r>
              <w:rPr>
                <w:color w:val="000000"/>
                <w:sz w:val="20"/>
                <w:szCs w:val="20"/>
              </w:rPr>
              <w:t>-1.15</w:t>
            </w:r>
          </w:p>
        </w:tc>
        <w:tc>
          <w:tcPr>
            <w:tcW w:w="329" w:type="pct"/>
            <w:tcBorders>
              <w:top w:val="nil"/>
              <w:left w:val="nil"/>
              <w:bottom w:val="nil"/>
              <w:right w:val="nil"/>
            </w:tcBorders>
            <w:shd w:val="clear" w:color="auto" w:fill="auto"/>
            <w:noWrap/>
            <w:vAlign w:val="center"/>
          </w:tcPr>
          <w:p w14:paraId="0DDD97AE" w14:textId="54DC0C88" w:rsidR="001C7F35" w:rsidRPr="00E65AA7" w:rsidRDefault="001C7F35" w:rsidP="001C7F35">
            <w:pPr>
              <w:jc w:val="center"/>
              <w:rPr>
                <w:color w:val="000000"/>
                <w:sz w:val="20"/>
                <w:szCs w:val="20"/>
              </w:rPr>
            </w:pPr>
            <w:r>
              <w:rPr>
                <w:color w:val="000000"/>
                <w:sz w:val="20"/>
                <w:szCs w:val="20"/>
              </w:rPr>
              <w:t>-1.38</w:t>
            </w:r>
          </w:p>
        </w:tc>
        <w:tc>
          <w:tcPr>
            <w:tcW w:w="329" w:type="pct"/>
            <w:tcBorders>
              <w:top w:val="nil"/>
              <w:left w:val="nil"/>
              <w:bottom w:val="nil"/>
              <w:right w:val="nil"/>
            </w:tcBorders>
            <w:shd w:val="clear" w:color="auto" w:fill="auto"/>
            <w:noWrap/>
            <w:vAlign w:val="center"/>
          </w:tcPr>
          <w:p w14:paraId="0910B53F" w14:textId="6EB45BBF" w:rsidR="001C7F35" w:rsidRPr="00E65AA7" w:rsidRDefault="001C7F35" w:rsidP="001C7F35">
            <w:pPr>
              <w:jc w:val="center"/>
              <w:rPr>
                <w:color w:val="000000"/>
                <w:sz w:val="20"/>
                <w:szCs w:val="20"/>
              </w:rPr>
            </w:pPr>
            <w:r>
              <w:rPr>
                <w:color w:val="000000"/>
                <w:sz w:val="20"/>
                <w:szCs w:val="20"/>
              </w:rPr>
              <w:t>-1.48</w:t>
            </w:r>
          </w:p>
        </w:tc>
        <w:tc>
          <w:tcPr>
            <w:tcW w:w="329" w:type="pct"/>
            <w:tcBorders>
              <w:top w:val="nil"/>
              <w:left w:val="nil"/>
              <w:bottom w:val="nil"/>
              <w:right w:val="nil"/>
            </w:tcBorders>
            <w:shd w:val="clear" w:color="auto" w:fill="auto"/>
            <w:noWrap/>
            <w:vAlign w:val="center"/>
          </w:tcPr>
          <w:p w14:paraId="6105ECDB" w14:textId="1BAFCABF" w:rsidR="001C7F35" w:rsidRPr="00E65AA7" w:rsidRDefault="001C7F35" w:rsidP="001C7F35">
            <w:pPr>
              <w:jc w:val="center"/>
              <w:rPr>
                <w:color w:val="000000"/>
                <w:sz w:val="20"/>
                <w:szCs w:val="20"/>
              </w:rPr>
            </w:pPr>
            <w:r>
              <w:rPr>
                <w:color w:val="000000"/>
                <w:sz w:val="20"/>
                <w:szCs w:val="20"/>
              </w:rPr>
              <w:t>-1.49</w:t>
            </w:r>
          </w:p>
        </w:tc>
        <w:tc>
          <w:tcPr>
            <w:tcW w:w="329" w:type="pct"/>
            <w:tcBorders>
              <w:top w:val="nil"/>
              <w:left w:val="nil"/>
              <w:bottom w:val="nil"/>
              <w:right w:val="nil"/>
            </w:tcBorders>
            <w:shd w:val="clear" w:color="auto" w:fill="auto"/>
            <w:noWrap/>
            <w:vAlign w:val="center"/>
          </w:tcPr>
          <w:p w14:paraId="3B5C6586" w14:textId="598F50E9" w:rsidR="001C7F35" w:rsidRPr="00E65AA7" w:rsidRDefault="001C7F35" w:rsidP="001C7F35">
            <w:pPr>
              <w:jc w:val="center"/>
              <w:rPr>
                <w:color w:val="000000"/>
                <w:sz w:val="20"/>
                <w:szCs w:val="20"/>
              </w:rPr>
            </w:pPr>
            <w:r>
              <w:rPr>
                <w:color w:val="000000"/>
                <w:sz w:val="20"/>
                <w:szCs w:val="20"/>
              </w:rPr>
              <w:t>-1.17</w:t>
            </w:r>
          </w:p>
        </w:tc>
        <w:tc>
          <w:tcPr>
            <w:tcW w:w="329" w:type="pct"/>
            <w:tcBorders>
              <w:top w:val="nil"/>
              <w:left w:val="nil"/>
              <w:bottom w:val="nil"/>
              <w:right w:val="nil"/>
            </w:tcBorders>
            <w:shd w:val="clear" w:color="auto" w:fill="auto"/>
            <w:noWrap/>
            <w:vAlign w:val="center"/>
          </w:tcPr>
          <w:p w14:paraId="62AFA8F5" w14:textId="617252DD" w:rsidR="001C7F35" w:rsidRPr="00E65AA7" w:rsidRDefault="001C7F35" w:rsidP="001C7F35">
            <w:pPr>
              <w:jc w:val="center"/>
              <w:rPr>
                <w:color w:val="000000"/>
                <w:sz w:val="20"/>
                <w:szCs w:val="20"/>
              </w:rPr>
            </w:pPr>
            <w:r>
              <w:rPr>
                <w:color w:val="000000"/>
                <w:sz w:val="20"/>
                <w:szCs w:val="20"/>
              </w:rPr>
              <w:t>-1.08</w:t>
            </w:r>
          </w:p>
        </w:tc>
        <w:tc>
          <w:tcPr>
            <w:tcW w:w="329" w:type="pct"/>
            <w:tcBorders>
              <w:top w:val="nil"/>
              <w:left w:val="nil"/>
              <w:bottom w:val="nil"/>
              <w:right w:val="nil"/>
            </w:tcBorders>
            <w:shd w:val="clear" w:color="auto" w:fill="auto"/>
            <w:noWrap/>
            <w:vAlign w:val="center"/>
          </w:tcPr>
          <w:p w14:paraId="07F1B2B2" w14:textId="6939853F" w:rsidR="001C7F35" w:rsidRPr="00E65AA7" w:rsidRDefault="001C7F35" w:rsidP="001C7F35">
            <w:pPr>
              <w:jc w:val="center"/>
              <w:rPr>
                <w:color w:val="000000"/>
                <w:sz w:val="20"/>
                <w:szCs w:val="20"/>
              </w:rPr>
            </w:pPr>
            <w:r>
              <w:rPr>
                <w:color w:val="000000"/>
                <w:sz w:val="20"/>
                <w:szCs w:val="20"/>
              </w:rPr>
              <w:t>-0.72</w:t>
            </w:r>
          </w:p>
        </w:tc>
        <w:tc>
          <w:tcPr>
            <w:tcW w:w="329" w:type="pct"/>
            <w:tcBorders>
              <w:top w:val="nil"/>
              <w:left w:val="nil"/>
              <w:bottom w:val="nil"/>
              <w:right w:val="nil"/>
            </w:tcBorders>
            <w:shd w:val="clear" w:color="auto" w:fill="auto"/>
            <w:noWrap/>
            <w:vAlign w:val="center"/>
          </w:tcPr>
          <w:p w14:paraId="5E611B86" w14:textId="13FF2492" w:rsidR="001C7F35" w:rsidRPr="00E65AA7" w:rsidRDefault="001C7F35" w:rsidP="001C7F35">
            <w:pPr>
              <w:jc w:val="center"/>
              <w:rPr>
                <w:color w:val="000000"/>
                <w:sz w:val="20"/>
                <w:szCs w:val="20"/>
              </w:rPr>
            </w:pPr>
            <w:r>
              <w:rPr>
                <w:color w:val="000000"/>
                <w:sz w:val="20"/>
                <w:szCs w:val="20"/>
              </w:rPr>
              <w:t>-0.58</w:t>
            </w:r>
          </w:p>
        </w:tc>
        <w:tc>
          <w:tcPr>
            <w:tcW w:w="329" w:type="pct"/>
            <w:tcBorders>
              <w:top w:val="nil"/>
              <w:left w:val="nil"/>
              <w:bottom w:val="nil"/>
              <w:right w:val="nil"/>
            </w:tcBorders>
            <w:shd w:val="clear" w:color="auto" w:fill="auto"/>
            <w:noWrap/>
            <w:vAlign w:val="center"/>
          </w:tcPr>
          <w:p w14:paraId="4E69BABF" w14:textId="058FA1A1" w:rsidR="001C7F35" w:rsidRPr="00E65AA7" w:rsidRDefault="001C7F35" w:rsidP="001C7F35">
            <w:pPr>
              <w:jc w:val="center"/>
              <w:rPr>
                <w:color w:val="000000"/>
                <w:sz w:val="20"/>
                <w:szCs w:val="20"/>
              </w:rPr>
            </w:pPr>
            <w:r>
              <w:rPr>
                <w:color w:val="000000"/>
                <w:sz w:val="20"/>
                <w:szCs w:val="20"/>
              </w:rPr>
              <w:t>-0.22</w:t>
            </w:r>
          </w:p>
        </w:tc>
        <w:tc>
          <w:tcPr>
            <w:tcW w:w="329" w:type="pct"/>
            <w:tcBorders>
              <w:top w:val="nil"/>
              <w:left w:val="nil"/>
              <w:bottom w:val="nil"/>
              <w:right w:val="nil"/>
            </w:tcBorders>
            <w:shd w:val="clear" w:color="auto" w:fill="auto"/>
            <w:noWrap/>
            <w:vAlign w:val="center"/>
          </w:tcPr>
          <w:p w14:paraId="492E0DC6" w14:textId="7575A62D" w:rsidR="001C7F35" w:rsidRPr="00E65AA7" w:rsidRDefault="001C7F35" w:rsidP="001C7F35">
            <w:pPr>
              <w:jc w:val="center"/>
              <w:rPr>
                <w:color w:val="000000"/>
                <w:sz w:val="20"/>
                <w:szCs w:val="20"/>
              </w:rPr>
            </w:pPr>
            <w:r>
              <w:rPr>
                <w:color w:val="000000"/>
                <w:sz w:val="20"/>
                <w:szCs w:val="20"/>
              </w:rPr>
              <w:t>0.21</w:t>
            </w:r>
          </w:p>
        </w:tc>
        <w:tc>
          <w:tcPr>
            <w:tcW w:w="355" w:type="pct"/>
            <w:tcBorders>
              <w:top w:val="nil"/>
              <w:left w:val="nil"/>
              <w:bottom w:val="nil"/>
              <w:right w:val="nil"/>
            </w:tcBorders>
            <w:shd w:val="clear" w:color="auto" w:fill="auto"/>
            <w:noWrap/>
            <w:vAlign w:val="center"/>
          </w:tcPr>
          <w:p w14:paraId="06D33D59" w14:textId="4C52E748" w:rsidR="001C7F35" w:rsidRPr="00E65AA7" w:rsidRDefault="001C7F35" w:rsidP="001C7F35">
            <w:pPr>
              <w:jc w:val="center"/>
              <w:rPr>
                <w:color w:val="000000"/>
                <w:sz w:val="20"/>
                <w:szCs w:val="20"/>
              </w:rPr>
            </w:pPr>
            <w:r>
              <w:rPr>
                <w:color w:val="000000"/>
                <w:sz w:val="20"/>
                <w:szCs w:val="20"/>
              </w:rPr>
              <w:t>1.37</w:t>
            </w:r>
          </w:p>
        </w:tc>
        <w:tc>
          <w:tcPr>
            <w:tcW w:w="340" w:type="pct"/>
            <w:tcBorders>
              <w:top w:val="nil"/>
              <w:left w:val="nil"/>
              <w:bottom w:val="nil"/>
              <w:right w:val="nil"/>
            </w:tcBorders>
            <w:shd w:val="clear" w:color="auto" w:fill="auto"/>
            <w:noWrap/>
            <w:vAlign w:val="center"/>
          </w:tcPr>
          <w:p w14:paraId="70E53FB1" w14:textId="34D5F433" w:rsidR="001C7F35" w:rsidRPr="00E65AA7" w:rsidRDefault="001C7F35" w:rsidP="001C7F35">
            <w:pPr>
              <w:jc w:val="center"/>
              <w:rPr>
                <w:color w:val="000000"/>
                <w:sz w:val="20"/>
                <w:szCs w:val="20"/>
              </w:rPr>
            </w:pPr>
            <w:r>
              <w:rPr>
                <w:color w:val="000000"/>
                <w:sz w:val="20"/>
                <w:szCs w:val="20"/>
              </w:rPr>
              <w:t>0.69</w:t>
            </w:r>
          </w:p>
        </w:tc>
      </w:tr>
      <w:tr w:rsidR="001C7F35" w:rsidRPr="00E65AA7" w14:paraId="1E9228B9" w14:textId="77777777" w:rsidTr="001C7F35">
        <w:trPr>
          <w:trHeight w:hRule="exact" w:val="255"/>
        </w:trPr>
        <w:tc>
          <w:tcPr>
            <w:tcW w:w="465" w:type="pct"/>
            <w:vMerge/>
            <w:tcBorders>
              <w:top w:val="nil"/>
              <w:left w:val="nil"/>
              <w:bottom w:val="nil"/>
              <w:right w:val="nil"/>
            </w:tcBorders>
            <w:vAlign w:val="center"/>
          </w:tcPr>
          <w:p w14:paraId="66419442" w14:textId="77777777" w:rsidR="001C7F35" w:rsidRPr="00E65AA7" w:rsidRDefault="001C7F35" w:rsidP="001C7F35">
            <w:pPr>
              <w:rPr>
                <w:rFonts w:eastAsia="Times New Roman"/>
                <w:b/>
                <w:color w:val="000000"/>
                <w:sz w:val="20"/>
                <w:szCs w:val="20"/>
                <w:lang w:eastAsia="en-MY"/>
              </w:rPr>
            </w:pPr>
          </w:p>
        </w:tc>
        <w:tc>
          <w:tcPr>
            <w:tcW w:w="221" w:type="pct"/>
            <w:vMerge/>
            <w:tcBorders>
              <w:left w:val="nil"/>
              <w:bottom w:val="nil"/>
              <w:right w:val="nil"/>
            </w:tcBorders>
            <w:vAlign w:val="center"/>
          </w:tcPr>
          <w:p w14:paraId="7CE199F0" w14:textId="77777777" w:rsidR="001C7F35" w:rsidRPr="00E65AA7" w:rsidRDefault="001C7F35" w:rsidP="001C7F35">
            <w:pPr>
              <w:jc w:val="center"/>
              <w:rPr>
                <w:color w:val="000000"/>
                <w:sz w:val="20"/>
                <w:szCs w:val="20"/>
              </w:rPr>
            </w:pPr>
          </w:p>
        </w:tc>
        <w:tc>
          <w:tcPr>
            <w:tcW w:w="329" w:type="pct"/>
            <w:tcBorders>
              <w:top w:val="nil"/>
              <w:left w:val="nil"/>
              <w:bottom w:val="nil"/>
              <w:right w:val="nil"/>
            </w:tcBorders>
            <w:shd w:val="clear" w:color="auto" w:fill="auto"/>
            <w:noWrap/>
            <w:vAlign w:val="center"/>
          </w:tcPr>
          <w:p w14:paraId="75DB96F4" w14:textId="684DD47F" w:rsidR="001C7F35" w:rsidRPr="00E65AA7" w:rsidRDefault="001C7F35" w:rsidP="001C7F35">
            <w:pPr>
              <w:jc w:val="center"/>
              <w:rPr>
                <w:color w:val="000000"/>
                <w:sz w:val="20"/>
                <w:szCs w:val="20"/>
              </w:rPr>
            </w:pPr>
            <w:r>
              <w:rPr>
                <w:color w:val="000000"/>
                <w:sz w:val="20"/>
                <w:szCs w:val="20"/>
              </w:rPr>
              <w:t>(-0.57)</w:t>
            </w:r>
          </w:p>
        </w:tc>
        <w:tc>
          <w:tcPr>
            <w:tcW w:w="329" w:type="pct"/>
            <w:tcBorders>
              <w:top w:val="nil"/>
              <w:left w:val="nil"/>
              <w:bottom w:val="nil"/>
              <w:right w:val="nil"/>
            </w:tcBorders>
            <w:shd w:val="clear" w:color="auto" w:fill="auto"/>
            <w:noWrap/>
            <w:vAlign w:val="center"/>
          </w:tcPr>
          <w:p w14:paraId="043AF7C5" w14:textId="3A7B7A95" w:rsidR="001C7F35" w:rsidRPr="00E65AA7" w:rsidRDefault="001C7F35" w:rsidP="001C7F35">
            <w:pPr>
              <w:jc w:val="center"/>
              <w:rPr>
                <w:color w:val="000000"/>
                <w:sz w:val="20"/>
                <w:szCs w:val="20"/>
              </w:rPr>
            </w:pPr>
            <w:r>
              <w:rPr>
                <w:color w:val="000000"/>
                <w:sz w:val="20"/>
                <w:szCs w:val="20"/>
              </w:rPr>
              <w:t>(-2.09)</w:t>
            </w:r>
          </w:p>
        </w:tc>
        <w:tc>
          <w:tcPr>
            <w:tcW w:w="329" w:type="pct"/>
            <w:tcBorders>
              <w:top w:val="nil"/>
              <w:left w:val="nil"/>
              <w:bottom w:val="nil"/>
              <w:right w:val="nil"/>
            </w:tcBorders>
            <w:shd w:val="clear" w:color="auto" w:fill="auto"/>
            <w:noWrap/>
            <w:vAlign w:val="center"/>
          </w:tcPr>
          <w:p w14:paraId="653FEE0C" w14:textId="4B7AE9F2" w:rsidR="001C7F35" w:rsidRPr="00E65AA7" w:rsidRDefault="001C7F35" w:rsidP="001C7F35">
            <w:pPr>
              <w:jc w:val="center"/>
              <w:rPr>
                <w:color w:val="000000"/>
                <w:sz w:val="20"/>
                <w:szCs w:val="20"/>
              </w:rPr>
            </w:pPr>
            <w:r>
              <w:rPr>
                <w:color w:val="000000"/>
                <w:sz w:val="20"/>
                <w:szCs w:val="20"/>
              </w:rPr>
              <w:t>(-2.34)</w:t>
            </w:r>
          </w:p>
        </w:tc>
        <w:tc>
          <w:tcPr>
            <w:tcW w:w="329" w:type="pct"/>
            <w:tcBorders>
              <w:top w:val="nil"/>
              <w:left w:val="nil"/>
              <w:bottom w:val="nil"/>
              <w:right w:val="nil"/>
            </w:tcBorders>
            <w:shd w:val="clear" w:color="auto" w:fill="auto"/>
            <w:noWrap/>
            <w:vAlign w:val="center"/>
          </w:tcPr>
          <w:p w14:paraId="609C2603" w14:textId="1D11EC17" w:rsidR="001C7F35" w:rsidRPr="00E65AA7" w:rsidRDefault="001C7F35" w:rsidP="001C7F35">
            <w:pPr>
              <w:jc w:val="center"/>
              <w:rPr>
                <w:color w:val="000000"/>
                <w:sz w:val="20"/>
                <w:szCs w:val="20"/>
              </w:rPr>
            </w:pPr>
            <w:r>
              <w:rPr>
                <w:color w:val="000000"/>
                <w:sz w:val="20"/>
                <w:szCs w:val="20"/>
              </w:rPr>
              <w:t>(-2.49)</w:t>
            </w:r>
          </w:p>
        </w:tc>
        <w:tc>
          <w:tcPr>
            <w:tcW w:w="329" w:type="pct"/>
            <w:tcBorders>
              <w:top w:val="nil"/>
              <w:left w:val="nil"/>
              <w:bottom w:val="nil"/>
              <w:right w:val="nil"/>
            </w:tcBorders>
            <w:shd w:val="clear" w:color="auto" w:fill="auto"/>
            <w:noWrap/>
            <w:vAlign w:val="center"/>
          </w:tcPr>
          <w:p w14:paraId="616B3141" w14:textId="15A6C516" w:rsidR="001C7F35" w:rsidRPr="00E65AA7" w:rsidRDefault="001C7F35" w:rsidP="001C7F35">
            <w:pPr>
              <w:jc w:val="center"/>
              <w:rPr>
                <w:color w:val="000000"/>
                <w:sz w:val="20"/>
                <w:szCs w:val="20"/>
              </w:rPr>
            </w:pPr>
            <w:r>
              <w:rPr>
                <w:color w:val="000000"/>
                <w:sz w:val="20"/>
                <w:szCs w:val="20"/>
              </w:rPr>
              <w:t>(-2.4</w:t>
            </w:r>
            <w:r w:rsidR="008F6BB3">
              <w:rPr>
                <w:color w:val="000000"/>
                <w:sz w:val="20"/>
                <w:szCs w:val="20"/>
              </w:rPr>
              <w:t>0</w:t>
            </w:r>
            <w:r>
              <w:rPr>
                <w:color w:val="000000"/>
                <w:sz w:val="20"/>
                <w:szCs w:val="20"/>
              </w:rPr>
              <w:t>)</w:t>
            </w:r>
          </w:p>
        </w:tc>
        <w:tc>
          <w:tcPr>
            <w:tcW w:w="329" w:type="pct"/>
            <w:tcBorders>
              <w:top w:val="nil"/>
              <w:left w:val="nil"/>
              <w:bottom w:val="nil"/>
              <w:right w:val="nil"/>
            </w:tcBorders>
            <w:shd w:val="clear" w:color="auto" w:fill="auto"/>
            <w:noWrap/>
            <w:vAlign w:val="center"/>
          </w:tcPr>
          <w:p w14:paraId="684D8797" w14:textId="3875F585" w:rsidR="001C7F35" w:rsidRPr="00E65AA7" w:rsidRDefault="001C7F35" w:rsidP="001C7F35">
            <w:pPr>
              <w:jc w:val="center"/>
              <w:rPr>
                <w:color w:val="000000"/>
                <w:sz w:val="20"/>
                <w:szCs w:val="20"/>
              </w:rPr>
            </w:pPr>
            <w:r>
              <w:rPr>
                <w:color w:val="000000"/>
                <w:sz w:val="20"/>
                <w:szCs w:val="20"/>
              </w:rPr>
              <w:t>(-1.96)</w:t>
            </w:r>
          </w:p>
        </w:tc>
        <w:tc>
          <w:tcPr>
            <w:tcW w:w="329" w:type="pct"/>
            <w:tcBorders>
              <w:top w:val="nil"/>
              <w:left w:val="nil"/>
              <w:bottom w:val="nil"/>
              <w:right w:val="nil"/>
            </w:tcBorders>
            <w:shd w:val="clear" w:color="auto" w:fill="auto"/>
            <w:noWrap/>
            <w:vAlign w:val="center"/>
          </w:tcPr>
          <w:p w14:paraId="0157AB2A" w14:textId="087A7D18" w:rsidR="001C7F35" w:rsidRPr="00E65AA7" w:rsidRDefault="001C7F35" w:rsidP="001C7F35">
            <w:pPr>
              <w:jc w:val="center"/>
              <w:rPr>
                <w:color w:val="000000"/>
                <w:sz w:val="20"/>
                <w:szCs w:val="20"/>
              </w:rPr>
            </w:pPr>
            <w:r>
              <w:rPr>
                <w:color w:val="000000"/>
                <w:sz w:val="20"/>
                <w:szCs w:val="20"/>
              </w:rPr>
              <w:t>(-1.85)</w:t>
            </w:r>
          </w:p>
        </w:tc>
        <w:tc>
          <w:tcPr>
            <w:tcW w:w="329" w:type="pct"/>
            <w:tcBorders>
              <w:top w:val="nil"/>
              <w:left w:val="nil"/>
              <w:bottom w:val="nil"/>
              <w:right w:val="nil"/>
            </w:tcBorders>
            <w:shd w:val="clear" w:color="auto" w:fill="auto"/>
            <w:noWrap/>
            <w:vAlign w:val="center"/>
          </w:tcPr>
          <w:p w14:paraId="1B4E0EAD" w14:textId="37D94D03" w:rsidR="001C7F35" w:rsidRPr="00E65AA7" w:rsidRDefault="001C7F35" w:rsidP="001C7F35">
            <w:pPr>
              <w:jc w:val="center"/>
              <w:rPr>
                <w:color w:val="000000"/>
                <w:sz w:val="20"/>
                <w:szCs w:val="20"/>
              </w:rPr>
            </w:pPr>
            <w:r>
              <w:rPr>
                <w:color w:val="000000"/>
                <w:sz w:val="20"/>
                <w:szCs w:val="20"/>
              </w:rPr>
              <w:t>(-1.32)</w:t>
            </w:r>
          </w:p>
        </w:tc>
        <w:tc>
          <w:tcPr>
            <w:tcW w:w="329" w:type="pct"/>
            <w:tcBorders>
              <w:top w:val="nil"/>
              <w:left w:val="nil"/>
              <w:bottom w:val="nil"/>
              <w:right w:val="nil"/>
            </w:tcBorders>
            <w:shd w:val="clear" w:color="auto" w:fill="auto"/>
            <w:noWrap/>
            <w:vAlign w:val="center"/>
          </w:tcPr>
          <w:p w14:paraId="1C95C0F8" w14:textId="24199DBF" w:rsidR="001C7F35" w:rsidRPr="00E65AA7" w:rsidRDefault="001C7F35" w:rsidP="001C7F35">
            <w:pPr>
              <w:jc w:val="center"/>
              <w:rPr>
                <w:color w:val="000000"/>
                <w:sz w:val="20"/>
                <w:szCs w:val="20"/>
              </w:rPr>
            </w:pPr>
            <w:r>
              <w:rPr>
                <w:color w:val="000000"/>
                <w:sz w:val="20"/>
                <w:szCs w:val="20"/>
              </w:rPr>
              <w:t>(-1.08)</w:t>
            </w:r>
          </w:p>
        </w:tc>
        <w:tc>
          <w:tcPr>
            <w:tcW w:w="329" w:type="pct"/>
            <w:tcBorders>
              <w:top w:val="nil"/>
              <w:left w:val="nil"/>
              <w:bottom w:val="nil"/>
              <w:right w:val="nil"/>
            </w:tcBorders>
            <w:shd w:val="clear" w:color="auto" w:fill="auto"/>
            <w:noWrap/>
            <w:vAlign w:val="center"/>
          </w:tcPr>
          <w:p w14:paraId="381898F6" w14:textId="008FD162" w:rsidR="001C7F35" w:rsidRPr="00E65AA7" w:rsidRDefault="001C7F35" w:rsidP="001C7F35">
            <w:pPr>
              <w:jc w:val="center"/>
              <w:rPr>
                <w:color w:val="000000"/>
                <w:sz w:val="20"/>
                <w:szCs w:val="20"/>
              </w:rPr>
            </w:pPr>
            <w:r>
              <w:rPr>
                <w:color w:val="000000"/>
                <w:sz w:val="20"/>
                <w:szCs w:val="20"/>
              </w:rPr>
              <w:t>(-0.41)</w:t>
            </w:r>
          </w:p>
        </w:tc>
        <w:tc>
          <w:tcPr>
            <w:tcW w:w="329" w:type="pct"/>
            <w:tcBorders>
              <w:top w:val="nil"/>
              <w:left w:val="nil"/>
              <w:bottom w:val="nil"/>
              <w:right w:val="nil"/>
            </w:tcBorders>
            <w:shd w:val="clear" w:color="auto" w:fill="auto"/>
            <w:noWrap/>
            <w:vAlign w:val="center"/>
          </w:tcPr>
          <w:p w14:paraId="22B0F3AB" w14:textId="10409436" w:rsidR="001C7F35" w:rsidRPr="00E65AA7" w:rsidRDefault="001C7F35" w:rsidP="001C7F35">
            <w:pPr>
              <w:jc w:val="center"/>
              <w:rPr>
                <w:color w:val="000000"/>
                <w:sz w:val="20"/>
                <w:szCs w:val="20"/>
              </w:rPr>
            </w:pPr>
            <w:r>
              <w:rPr>
                <w:color w:val="000000"/>
                <w:sz w:val="20"/>
                <w:szCs w:val="20"/>
              </w:rPr>
              <w:t>(0.51)</w:t>
            </w:r>
          </w:p>
        </w:tc>
        <w:tc>
          <w:tcPr>
            <w:tcW w:w="355" w:type="pct"/>
            <w:tcBorders>
              <w:top w:val="nil"/>
              <w:left w:val="nil"/>
              <w:bottom w:val="nil"/>
              <w:right w:val="nil"/>
            </w:tcBorders>
            <w:shd w:val="clear" w:color="auto" w:fill="auto"/>
            <w:noWrap/>
            <w:vAlign w:val="center"/>
          </w:tcPr>
          <w:p w14:paraId="79809E44" w14:textId="6568F9ED" w:rsidR="001C7F35" w:rsidRPr="00E65AA7" w:rsidRDefault="001C7F35" w:rsidP="001C7F35">
            <w:pPr>
              <w:jc w:val="center"/>
              <w:rPr>
                <w:color w:val="000000"/>
                <w:sz w:val="20"/>
                <w:szCs w:val="20"/>
              </w:rPr>
            </w:pPr>
            <w:r>
              <w:rPr>
                <w:color w:val="000000"/>
                <w:sz w:val="20"/>
                <w:szCs w:val="20"/>
              </w:rPr>
              <w:t>(3.57)</w:t>
            </w:r>
          </w:p>
        </w:tc>
        <w:tc>
          <w:tcPr>
            <w:tcW w:w="340" w:type="pct"/>
            <w:tcBorders>
              <w:top w:val="nil"/>
              <w:left w:val="nil"/>
              <w:bottom w:val="nil"/>
              <w:right w:val="nil"/>
            </w:tcBorders>
            <w:shd w:val="clear" w:color="auto" w:fill="auto"/>
            <w:noWrap/>
            <w:vAlign w:val="center"/>
          </w:tcPr>
          <w:p w14:paraId="56448AEA" w14:textId="68EEF2FF"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2.77)</w:t>
            </w:r>
          </w:p>
        </w:tc>
      </w:tr>
      <w:tr w:rsidR="001C7F35" w:rsidRPr="00E65AA7" w14:paraId="58EA717F" w14:textId="77777777" w:rsidTr="001C7F35">
        <w:trPr>
          <w:trHeight w:hRule="exact" w:val="255"/>
        </w:trPr>
        <w:tc>
          <w:tcPr>
            <w:tcW w:w="465" w:type="pct"/>
            <w:vMerge w:val="restart"/>
            <w:tcBorders>
              <w:top w:val="nil"/>
              <w:left w:val="nil"/>
              <w:bottom w:val="nil"/>
              <w:right w:val="nil"/>
            </w:tcBorders>
            <w:shd w:val="clear" w:color="auto" w:fill="auto"/>
            <w:noWrap/>
            <w:vAlign w:val="center"/>
          </w:tcPr>
          <w:p w14:paraId="3B35B794" w14:textId="3F68D3EC"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21" w:type="pct"/>
            <w:vMerge w:val="restart"/>
            <w:tcBorders>
              <w:top w:val="nil"/>
              <w:left w:val="nil"/>
              <w:right w:val="nil"/>
            </w:tcBorders>
            <w:vAlign w:val="center"/>
          </w:tcPr>
          <w:p w14:paraId="16D08F45" w14:textId="77777777" w:rsidR="001C7F35" w:rsidRPr="00E65AA7" w:rsidRDefault="001C7F35" w:rsidP="001C7F35">
            <w:pPr>
              <w:jc w:val="center"/>
              <w:rPr>
                <w:color w:val="000000"/>
                <w:sz w:val="20"/>
                <w:szCs w:val="20"/>
              </w:rPr>
            </w:pPr>
            <w:r w:rsidRPr="00E65AA7">
              <w:rPr>
                <w:color w:val="000000"/>
                <w:sz w:val="20"/>
                <w:szCs w:val="20"/>
              </w:rPr>
              <w:t>97</w:t>
            </w:r>
          </w:p>
        </w:tc>
        <w:tc>
          <w:tcPr>
            <w:tcW w:w="329" w:type="pct"/>
            <w:tcBorders>
              <w:top w:val="nil"/>
              <w:left w:val="nil"/>
              <w:bottom w:val="nil"/>
              <w:right w:val="nil"/>
            </w:tcBorders>
            <w:shd w:val="clear" w:color="auto" w:fill="auto"/>
            <w:noWrap/>
            <w:vAlign w:val="center"/>
          </w:tcPr>
          <w:p w14:paraId="5A151020" w14:textId="229B2EB3" w:rsidR="001C7F35" w:rsidRPr="00E65AA7" w:rsidRDefault="001C7F35" w:rsidP="001C7F35">
            <w:pPr>
              <w:jc w:val="center"/>
              <w:rPr>
                <w:color w:val="000000"/>
                <w:sz w:val="20"/>
                <w:szCs w:val="20"/>
              </w:rPr>
            </w:pPr>
            <w:r>
              <w:rPr>
                <w:color w:val="000000"/>
                <w:sz w:val="20"/>
                <w:szCs w:val="20"/>
              </w:rPr>
              <w:t>0.15</w:t>
            </w:r>
          </w:p>
        </w:tc>
        <w:tc>
          <w:tcPr>
            <w:tcW w:w="329" w:type="pct"/>
            <w:tcBorders>
              <w:top w:val="nil"/>
              <w:left w:val="nil"/>
              <w:bottom w:val="nil"/>
              <w:right w:val="nil"/>
            </w:tcBorders>
            <w:shd w:val="clear" w:color="auto" w:fill="auto"/>
            <w:noWrap/>
            <w:vAlign w:val="center"/>
          </w:tcPr>
          <w:p w14:paraId="75186F18" w14:textId="68350F9D" w:rsidR="001C7F35" w:rsidRPr="00E65AA7" w:rsidRDefault="001C7F35" w:rsidP="001C7F35">
            <w:pPr>
              <w:jc w:val="center"/>
              <w:rPr>
                <w:color w:val="000000"/>
                <w:sz w:val="20"/>
                <w:szCs w:val="20"/>
              </w:rPr>
            </w:pPr>
            <w:r>
              <w:rPr>
                <w:color w:val="000000"/>
                <w:sz w:val="20"/>
                <w:szCs w:val="20"/>
              </w:rPr>
              <w:t>-0.31</w:t>
            </w:r>
          </w:p>
        </w:tc>
        <w:tc>
          <w:tcPr>
            <w:tcW w:w="329" w:type="pct"/>
            <w:tcBorders>
              <w:top w:val="nil"/>
              <w:left w:val="nil"/>
              <w:bottom w:val="nil"/>
              <w:right w:val="nil"/>
            </w:tcBorders>
            <w:shd w:val="clear" w:color="auto" w:fill="auto"/>
            <w:noWrap/>
            <w:vAlign w:val="center"/>
          </w:tcPr>
          <w:p w14:paraId="456AD2E5" w14:textId="1209C8DF" w:rsidR="001C7F35" w:rsidRPr="00E65AA7" w:rsidRDefault="001C7F35" w:rsidP="001C7F35">
            <w:pPr>
              <w:jc w:val="center"/>
              <w:rPr>
                <w:color w:val="000000"/>
                <w:sz w:val="20"/>
                <w:szCs w:val="20"/>
              </w:rPr>
            </w:pPr>
            <w:r>
              <w:rPr>
                <w:color w:val="000000"/>
                <w:sz w:val="20"/>
                <w:szCs w:val="20"/>
              </w:rPr>
              <w:t>-0.31</w:t>
            </w:r>
          </w:p>
        </w:tc>
        <w:tc>
          <w:tcPr>
            <w:tcW w:w="329" w:type="pct"/>
            <w:tcBorders>
              <w:top w:val="nil"/>
              <w:left w:val="nil"/>
              <w:bottom w:val="nil"/>
              <w:right w:val="nil"/>
            </w:tcBorders>
            <w:shd w:val="clear" w:color="auto" w:fill="auto"/>
            <w:noWrap/>
            <w:vAlign w:val="center"/>
          </w:tcPr>
          <w:p w14:paraId="2E2979AD" w14:textId="6CCA452B" w:rsidR="001C7F35" w:rsidRPr="00E65AA7" w:rsidRDefault="001C7F35" w:rsidP="001C7F35">
            <w:pPr>
              <w:jc w:val="center"/>
              <w:rPr>
                <w:color w:val="000000"/>
                <w:sz w:val="20"/>
                <w:szCs w:val="20"/>
              </w:rPr>
            </w:pPr>
            <w:r>
              <w:rPr>
                <w:color w:val="000000"/>
                <w:sz w:val="20"/>
                <w:szCs w:val="20"/>
              </w:rPr>
              <w:t>-0.30</w:t>
            </w:r>
          </w:p>
        </w:tc>
        <w:tc>
          <w:tcPr>
            <w:tcW w:w="329" w:type="pct"/>
            <w:tcBorders>
              <w:top w:val="nil"/>
              <w:left w:val="nil"/>
              <w:bottom w:val="nil"/>
              <w:right w:val="nil"/>
            </w:tcBorders>
            <w:shd w:val="clear" w:color="auto" w:fill="auto"/>
            <w:noWrap/>
            <w:vAlign w:val="center"/>
          </w:tcPr>
          <w:p w14:paraId="082DBD90" w14:textId="0B20544E" w:rsidR="001C7F35" w:rsidRPr="00E65AA7" w:rsidRDefault="001C7F35" w:rsidP="001C7F35">
            <w:pPr>
              <w:jc w:val="center"/>
              <w:rPr>
                <w:color w:val="000000"/>
                <w:sz w:val="20"/>
                <w:szCs w:val="20"/>
              </w:rPr>
            </w:pPr>
            <w:r>
              <w:rPr>
                <w:color w:val="000000"/>
                <w:sz w:val="20"/>
                <w:szCs w:val="20"/>
              </w:rPr>
              <w:t>-0.11</w:t>
            </w:r>
          </w:p>
        </w:tc>
        <w:tc>
          <w:tcPr>
            <w:tcW w:w="329" w:type="pct"/>
            <w:tcBorders>
              <w:top w:val="nil"/>
              <w:left w:val="nil"/>
              <w:bottom w:val="nil"/>
              <w:right w:val="nil"/>
            </w:tcBorders>
            <w:shd w:val="clear" w:color="auto" w:fill="auto"/>
            <w:noWrap/>
            <w:vAlign w:val="center"/>
          </w:tcPr>
          <w:p w14:paraId="5DCDFD60" w14:textId="57FA89EA" w:rsidR="001C7F35" w:rsidRPr="00E65AA7" w:rsidRDefault="001C7F35" w:rsidP="001C7F35">
            <w:pPr>
              <w:jc w:val="center"/>
              <w:rPr>
                <w:color w:val="000000"/>
                <w:sz w:val="20"/>
                <w:szCs w:val="20"/>
              </w:rPr>
            </w:pPr>
            <w:r>
              <w:rPr>
                <w:color w:val="000000"/>
                <w:sz w:val="20"/>
                <w:szCs w:val="20"/>
              </w:rPr>
              <w:t>-0.09</w:t>
            </w:r>
          </w:p>
        </w:tc>
        <w:tc>
          <w:tcPr>
            <w:tcW w:w="329" w:type="pct"/>
            <w:tcBorders>
              <w:top w:val="nil"/>
              <w:left w:val="nil"/>
              <w:bottom w:val="nil"/>
              <w:right w:val="nil"/>
            </w:tcBorders>
            <w:shd w:val="clear" w:color="auto" w:fill="auto"/>
            <w:noWrap/>
            <w:vAlign w:val="center"/>
          </w:tcPr>
          <w:p w14:paraId="427E3154" w14:textId="5C650FE5" w:rsidR="001C7F35" w:rsidRPr="00E65AA7" w:rsidRDefault="001C7F35" w:rsidP="001C7F35">
            <w:pPr>
              <w:jc w:val="center"/>
              <w:rPr>
                <w:color w:val="000000"/>
                <w:sz w:val="20"/>
                <w:szCs w:val="20"/>
              </w:rPr>
            </w:pPr>
            <w:r>
              <w:rPr>
                <w:color w:val="000000"/>
                <w:sz w:val="20"/>
                <w:szCs w:val="20"/>
              </w:rPr>
              <w:t>0.13</w:t>
            </w:r>
          </w:p>
        </w:tc>
        <w:tc>
          <w:tcPr>
            <w:tcW w:w="329" w:type="pct"/>
            <w:tcBorders>
              <w:top w:val="nil"/>
              <w:left w:val="nil"/>
              <w:bottom w:val="nil"/>
              <w:right w:val="nil"/>
            </w:tcBorders>
            <w:shd w:val="clear" w:color="auto" w:fill="auto"/>
            <w:noWrap/>
            <w:vAlign w:val="center"/>
          </w:tcPr>
          <w:p w14:paraId="7E373B1A" w14:textId="58203AFC" w:rsidR="001C7F35" w:rsidRPr="00E65AA7" w:rsidRDefault="001C7F35" w:rsidP="001C7F35">
            <w:pPr>
              <w:jc w:val="center"/>
              <w:rPr>
                <w:color w:val="000000"/>
                <w:sz w:val="20"/>
                <w:szCs w:val="20"/>
              </w:rPr>
            </w:pPr>
            <w:r>
              <w:rPr>
                <w:color w:val="000000"/>
                <w:sz w:val="20"/>
                <w:szCs w:val="20"/>
              </w:rPr>
              <w:t>0.19</w:t>
            </w:r>
          </w:p>
        </w:tc>
        <w:tc>
          <w:tcPr>
            <w:tcW w:w="329" w:type="pct"/>
            <w:tcBorders>
              <w:top w:val="nil"/>
              <w:left w:val="nil"/>
              <w:bottom w:val="nil"/>
              <w:right w:val="nil"/>
            </w:tcBorders>
            <w:shd w:val="clear" w:color="auto" w:fill="auto"/>
            <w:noWrap/>
            <w:vAlign w:val="center"/>
          </w:tcPr>
          <w:p w14:paraId="27E3619D" w14:textId="448CDC60" w:rsidR="001C7F35" w:rsidRPr="00E65AA7" w:rsidRDefault="001C7F35" w:rsidP="001C7F35">
            <w:pPr>
              <w:jc w:val="center"/>
              <w:rPr>
                <w:color w:val="000000"/>
                <w:sz w:val="20"/>
                <w:szCs w:val="20"/>
              </w:rPr>
            </w:pPr>
            <w:r>
              <w:rPr>
                <w:color w:val="000000"/>
                <w:sz w:val="20"/>
                <w:szCs w:val="20"/>
              </w:rPr>
              <w:t>0.35</w:t>
            </w:r>
          </w:p>
        </w:tc>
        <w:tc>
          <w:tcPr>
            <w:tcW w:w="329" w:type="pct"/>
            <w:tcBorders>
              <w:top w:val="nil"/>
              <w:left w:val="nil"/>
              <w:bottom w:val="nil"/>
              <w:right w:val="nil"/>
            </w:tcBorders>
            <w:shd w:val="clear" w:color="auto" w:fill="auto"/>
            <w:noWrap/>
            <w:vAlign w:val="center"/>
          </w:tcPr>
          <w:p w14:paraId="59247F9A" w14:textId="731F4FFA" w:rsidR="001C7F35" w:rsidRPr="00E65AA7" w:rsidRDefault="001C7F35" w:rsidP="001C7F35">
            <w:pPr>
              <w:jc w:val="center"/>
              <w:rPr>
                <w:color w:val="000000"/>
                <w:sz w:val="20"/>
                <w:szCs w:val="20"/>
              </w:rPr>
            </w:pPr>
            <w:r>
              <w:rPr>
                <w:color w:val="000000"/>
                <w:sz w:val="20"/>
                <w:szCs w:val="20"/>
              </w:rPr>
              <w:t>0.27</w:t>
            </w:r>
          </w:p>
        </w:tc>
        <w:tc>
          <w:tcPr>
            <w:tcW w:w="329" w:type="pct"/>
            <w:tcBorders>
              <w:top w:val="nil"/>
              <w:left w:val="nil"/>
              <w:bottom w:val="nil"/>
              <w:right w:val="nil"/>
            </w:tcBorders>
            <w:shd w:val="clear" w:color="auto" w:fill="auto"/>
            <w:noWrap/>
            <w:vAlign w:val="center"/>
          </w:tcPr>
          <w:p w14:paraId="6840204B" w14:textId="6CDAEF94" w:rsidR="001C7F35" w:rsidRPr="00E65AA7" w:rsidRDefault="001C7F35" w:rsidP="001C7F35">
            <w:pPr>
              <w:jc w:val="center"/>
              <w:rPr>
                <w:color w:val="000000"/>
                <w:sz w:val="20"/>
                <w:szCs w:val="20"/>
              </w:rPr>
            </w:pPr>
            <w:r>
              <w:rPr>
                <w:color w:val="000000"/>
                <w:sz w:val="20"/>
                <w:szCs w:val="20"/>
              </w:rPr>
              <w:t>0.36</w:t>
            </w:r>
          </w:p>
        </w:tc>
        <w:tc>
          <w:tcPr>
            <w:tcW w:w="355" w:type="pct"/>
            <w:tcBorders>
              <w:top w:val="nil"/>
              <w:left w:val="nil"/>
              <w:bottom w:val="nil"/>
              <w:right w:val="nil"/>
            </w:tcBorders>
            <w:shd w:val="clear" w:color="auto" w:fill="auto"/>
            <w:noWrap/>
            <w:vAlign w:val="center"/>
          </w:tcPr>
          <w:p w14:paraId="7F23C5EB" w14:textId="189037FB" w:rsidR="001C7F35" w:rsidRPr="00E65AA7" w:rsidRDefault="001C7F35" w:rsidP="001C7F35">
            <w:pPr>
              <w:jc w:val="center"/>
              <w:rPr>
                <w:color w:val="000000"/>
                <w:sz w:val="20"/>
                <w:szCs w:val="20"/>
              </w:rPr>
            </w:pPr>
            <w:r>
              <w:rPr>
                <w:color w:val="000000"/>
                <w:sz w:val="20"/>
                <w:szCs w:val="20"/>
              </w:rPr>
              <w:t>0.67</w:t>
            </w:r>
          </w:p>
        </w:tc>
        <w:tc>
          <w:tcPr>
            <w:tcW w:w="340" w:type="pct"/>
            <w:tcBorders>
              <w:top w:val="nil"/>
              <w:left w:val="nil"/>
              <w:bottom w:val="nil"/>
              <w:right w:val="nil"/>
            </w:tcBorders>
            <w:shd w:val="clear" w:color="auto" w:fill="auto"/>
            <w:noWrap/>
            <w:vAlign w:val="center"/>
          </w:tcPr>
          <w:p w14:paraId="1A6CBF0F" w14:textId="4C754FF8" w:rsidR="001C7F35" w:rsidRPr="00E65AA7" w:rsidRDefault="001C7F35" w:rsidP="001C7F35">
            <w:pPr>
              <w:jc w:val="center"/>
              <w:rPr>
                <w:color w:val="000000"/>
                <w:sz w:val="20"/>
                <w:szCs w:val="20"/>
              </w:rPr>
            </w:pPr>
            <w:r>
              <w:rPr>
                <w:color w:val="000000"/>
                <w:sz w:val="20"/>
                <w:szCs w:val="20"/>
              </w:rPr>
              <w:t>0.13</w:t>
            </w:r>
          </w:p>
        </w:tc>
      </w:tr>
      <w:tr w:rsidR="001C7F35" w:rsidRPr="00E65AA7" w14:paraId="3A2077FE" w14:textId="77777777" w:rsidTr="001C7F35">
        <w:trPr>
          <w:trHeight w:hRule="exact" w:val="255"/>
        </w:trPr>
        <w:tc>
          <w:tcPr>
            <w:tcW w:w="465" w:type="pct"/>
            <w:vMerge/>
            <w:tcBorders>
              <w:top w:val="nil"/>
              <w:left w:val="nil"/>
              <w:right w:val="nil"/>
            </w:tcBorders>
            <w:vAlign w:val="center"/>
          </w:tcPr>
          <w:p w14:paraId="694D34B8" w14:textId="77777777" w:rsidR="001C7F35" w:rsidRPr="00E65AA7" w:rsidRDefault="001C7F35" w:rsidP="001C7F35">
            <w:pPr>
              <w:rPr>
                <w:rFonts w:eastAsia="Times New Roman"/>
                <w:color w:val="000000"/>
                <w:sz w:val="20"/>
                <w:szCs w:val="20"/>
                <w:lang w:eastAsia="en-MY"/>
              </w:rPr>
            </w:pPr>
          </w:p>
        </w:tc>
        <w:tc>
          <w:tcPr>
            <w:tcW w:w="221" w:type="pct"/>
            <w:vMerge/>
            <w:tcBorders>
              <w:left w:val="nil"/>
              <w:right w:val="nil"/>
            </w:tcBorders>
            <w:vAlign w:val="center"/>
          </w:tcPr>
          <w:p w14:paraId="51EC5BD9" w14:textId="77777777" w:rsidR="001C7F35" w:rsidRPr="00E65AA7" w:rsidRDefault="001C7F35" w:rsidP="001C7F35">
            <w:pPr>
              <w:jc w:val="center"/>
              <w:rPr>
                <w:color w:val="000000"/>
                <w:sz w:val="20"/>
                <w:szCs w:val="20"/>
              </w:rPr>
            </w:pPr>
          </w:p>
        </w:tc>
        <w:tc>
          <w:tcPr>
            <w:tcW w:w="329" w:type="pct"/>
            <w:tcBorders>
              <w:top w:val="nil"/>
              <w:left w:val="nil"/>
              <w:right w:val="nil"/>
            </w:tcBorders>
            <w:shd w:val="clear" w:color="auto" w:fill="auto"/>
            <w:noWrap/>
            <w:vAlign w:val="center"/>
          </w:tcPr>
          <w:p w14:paraId="738C67F9" w14:textId="6666D282" w:rsidR="001C7F35" w:rsidRPr="00E65AA7" w:rsidRDefault="001C7F35" w:rsidP="001C7F35">
            <w:pPr>
              <w:jc w:val="center"/>
              <w:rPr>
                <w:color w:val="000000"/>
                <w:sz w:val="20"/>
                <w:szCs w:val="20"/>
              </w:rPr>
            </w:pPr>
            <w:r>
              <w:rPr>
                <w:color w:val="000000"/>
                <w:sz w:val="20"/>
                <w:szCs w:val="20"/>
              </w:rPr>
              <w:t>(0.24)</w:t>
            </w:r>
          </w:p>
        </w:tc>
        <w:tc>
          <w:tcPr>
            <w:tcW w:w="329" w:type="pct"/>
            <w:tcBorders>
              <w:top w:val="nil"/>
              <w:left w:val="nil"/>
              <w:right w:val="nil"/>
            </w:tcBorders>
            <w:shd w:val="clear" w:color="auto" w:fill="auto"/>
            <w:noWrap/>
            <w:vAlign w:val="center"/>
          </w:tcPr>
          <w:p w14:paraId="6C7DBAFC" w14:textId="428705F3" w:rsidR="001C7F35" w:rsidRPr="00E65AA7" w:rsidRDefault="001C7F35" w:rsidP="001C7F35">
            <w:pPr>
              <w:jc w:val="center"/>
              <w:rPr>
                <w:color w:val="000000"/>
                <w:sz w:val="20"/>
                <w:szCs w:val="20"/>
              </w:rPr>
            </w:pPr>
            <w:r>
              <w:rPr>
                <w:color w:val="000000"/>
                <w:sz w:val="20"/>
                <w:szCs w:val="20"/>
              </w:rPr>
              <w:t>(-0.44)</w:t>
            </w:r>
          </w:p>
        </w:tc>
        <w:tc>
          <w:tcPr>
            <w:tcW w:w="329" w:type="pct"/>
            <w:tcBorders>
              <w:top w:val="nil"/>
              <w:left w:val="nil"/>
              <w:right w:val="nil"/>
            </w:tcBorders>
            <w:shd w:val="clear" w:color="auto" w:fill="auto"/>
            <w:noWrap/>
            <w:vAlign w:val="center"/>
          </w:tcPr>
          <w:p w14:paraId="2E7B3562" w14:textId="2C43AF2C" w:rsidR="001C7F35" w:rsidRPr="00E65AA7" w:rsidRDefault="001C7F35" w:rsidP="001C7F35">
            <w:pPr>
              <w:jc w:val="center"/>
              <w:rPr>
                <w:color w:val="000000"/>
                <w:sz w:val="20"/>
                <w:szCs w:val="20"/>
              </w:rPr>
            </w:pPr>
            <w:r>
              <w:rPr>
                <w:color w:val="000000"/>
                <w:sz w:val="20"/>
                <w:szCs w:val="20"/>
              </w:rPr>
              <w:t>(-0.4</w:t>
            </w:r>
            <w:r w:rsidR="008F6BB3">
              <w:rPr>
                <w:color w:val="000000"/>
                <w:sz w:val="20"/>
                <w:szCs w:val="20"/>
              </w:rPr>
              <w:t>0</w:t>
            </w:r>
            <w:r>
              <w:rPr>
                <w:color w:val="000000"/>
                <w:sz w:val="20"/>
                <w:szCs w:val="20"/>
              </w:rPr>
              <w:t>)</w:t>
            </w:r>
          </w:p>
        </w:tc>
        <w:tc>
          <w:tcPr>
            <w:tcW w:w="329" w:type="pct"/>
            <w:tcBorders>
              <w:top w:val="nil"/>
              <w:left w:val="nil"/>
              <w:right w:val="nil"/>
            </w:tcBorders>
            <w:shd w:val="clear" w:color="auto" w:fill="auto"/>
            <w:noWrap/>
            <w:vAlign w:val="center"/>
          </w:tcPr>
          <w:p w14:paraId="47BBB05E" w14:textId="5312105B" w:rsidR="001C7F35" w:rsidRPr="00E65AA7" w:rsidRDefault="001C7F35" w:rsidP="001C7F35">
            <w:pPr>
              <w:jc w:val="center"/>
              <w:rPr>
                <w:color w:val="000000"/>
                <w:sz w:val="20"/>
                <w:szCs w:val="20"/>
              </w:rPr>
            </w:pPr>
            <w:r>
              <w:rPr>
                <w:color w:val="000000"/>
                <w:sz w:val="20"/>
                <w:szCs w:val="20"/>
              </w:rPr>
              <w:t>(-0.39)</w:t>
            </w:r>
          </w:p>
        </w:tc>
        <w:tc>
          <w:tcPr>
            <w:tcW w:w="329" w:type="pct"/>
            <w:tcBorders>
              <w:top w:val="nil"/>
              <w:left w:val="nil"/>
              <w:right w:val="nil"/>
            </w:tcBorders>
            <w:shd w:val="clear" w:color="auto" w:fill="auto"/>
            <w:noWrap/>
            <w:vAlign w:val="center"/>
          </w:tcPr>
          <w:p w14:paraId="0669CFBB" w14:textId="64374291" w:rsidR="001C7F35" w:rsidRPr="00E65AA7" w:rsidRDefault="001C7F35" w:rsidP="001C7F35">
            <w:pPr>
              <w:jc w:val="center"/>
              <w:rPr>
                <w:color w:val="000000"/>
                <w:sz w:val="20"/>
                <w:szCs w:val="20"/>
              </w:rPr>
            </w:pPr>
            <w:r>
              <w:rPr>
                <w:color w:val="000000"/>
                <w:sz w:val="20"/>
                <w:szCs w:val="20"/>
              </w:rPr>
              <w:t>(-0.13)</w:t>
            </w:r>
          </w:p>
        </w:tc>
        <w:tc>
          <w:tcPr>
            <w:tcW w:w="329" w:type="pct"/>
            <w:tcBorders>
              <w:top w:val="nil"/>
              <w:left w:val="nil"/>
              <w:right w:val="nil"/>
            </w:tcBorders>
            <w:shd w:val="clear" w:color="auto" w:fill="auto"/>
            <w:noWrap/>
            <w:vAlign w:val="center"/>
          </w:tcPr>
          <w:p w14:paraId="2452FAA6" w14:textId="52F0222D" w:rsidR="001C7F35" w:rsidRPr="00E65AA7" w:rsidRDefault="001C7F35" w:rsidP="001C7F35">
            <w:pPr>
              <w:jc w:val="center"/>
              <w:rPr>
                <w:color w:val="000000"/>
                <w:sz w:val="20"/>
                <w:szCs w:val="20"/>
              </w:rPr>
            </w:pPr>
            <w:r>
              <w:rPr>
                <w:color w:val="000000"/>
                <w:sz w:val="20"/>
                <w:szCs w:val="20"/>
              </w:rPr>
              <w:t>(-0.11)</w:t>
            </w:r>
          </w:p>
        </w:tc>
        <w:tc>
          <w:tcPr>
            <w:tcW w:w="329" w:type="pct"/>
            <w:tcBorders>
              <w:top w:val="nil"/>
              <w:left w:val="nil"/>
              <w:right w:val="nil"/>
            </w:tcBorders>
            <w:shd w:val="clear" w:color="auto" w:fill="auto"/>
            <w:noWrap/>
            <w:vAlign w:val="center"/>
          </w:tcPr>
          <w:p w14:paraId="1E66713F" w14:textId="1E58B945" w:rsidR="001C7F35" w:rsidRPr="00E65AA7" w:rsidRDefault="001C7F35" w:rsidP="001C7F35">
            <w:pPr>
              <w:jc w:val="center"/>
              <w:rPr>
                <w:color w:val="000000"/>
                <w:sz w:val="20"/>
                <w:szCs w:val="20"/>
              </w:rPr>
            </w:pPr>
            <w:r>
              <w:rPr>
                <w:color w:val="000000"/>
                <w:sz w:val="20"/>
                <w:szCs w:val="20"/>
              </w:rPr>
              <w:t>(0.16)</w:t>
            </w:r>
          </w:p>
        </w:tc>
        <w:tc>
          <w:tcPr>
            <w:tcW w:w="329" w:type="pct"/>
            <w:tcBorders>
              <w:top w:val="nil"/>
              <w:left w:val="nil"/>
              <w:right w:val="nil"/>
            </w:tcBorders>
            <w:shd w:val="clear" w:color="auto" w:fill="auto"/>
            <w:noWrap/>
            <w:vAlign w:val="center"/>
          </w:tcPr>
          <w:p w14:paraId="5B13478A" w14:textId="39B9037A" w:rsidR="001C7F35" w:rsidRPr="00E65AA7" w:rsidRDefault="001C7F35" w:rsidP="001C7F35">
            <w:pPr>
              <w:jc w:val="center"/>
              <w:rPr>
                <w:color w:val="000000"/>
                <w:sz w:val="20"/>
                <w:szCs w:val="20"/>
              </w:rPr>
            </w:pPr>
            <w:r>
              <w:rPr>
                <w:color w:val="000000"/>
                <w:sz w:val="20"/>
                <w:szCs w:val="20"/>
              </w:rPr>
              <w:t>(0.24)</w:t>
            </w:r>
          </w:p>
        </w:tc>
        <w:tc>
          <w:tcPr>
            <w:tcW w:w="329" w:type="pct"/>
            <w:tcBorders>
              <w:top w:val="nil"/>
              <w:left w:val="nil"/>
              <w:right w:val="nil"/>
            </w:tcBorders>
            <w:shd w:val="clear" w:color="auto" w:fill="auto"/>
            <w:noWrap/>
            <w:vAlign w:val="center"/>
          </w:tcPr>
          <w:p w14:paraId="0DAC682E" w14:textId="3C69DA3D" w:rsidR="001C7F35" w:rsidRPr="00E65AA7" w:rsidRDefault="001C7F35" w:rsidP="001C7F35">
            <w:pPr>
              <w:jc w:val="center"/>
              <w:rPr>
                <w:color w:val="000000"/>
                <w:sz w:val="20"/>
                <w:szCs w:val="20"/>
              </w:rPr>
            </w:pPr>
            <w:r>
              <w:rPr>
                <w:color w:val="000000"/>
                <w:sz w:val="20"/>
                <w:szCs w:val="20"/>
              </w:rPr>
              <w:t>(0.48)</w:t>
            </w:r>
          </w:p>
        </w:tc>
        <w:tc>
          <w:tcPr>
            <w:tcW w:w="329" w:type="pct"/>
            <w:tcBorders>
              <w:top w:val="nil"/>
              <w:left w:val="nil"/>
              <w:right w:val="nil"/>
            </w:tcBorders>
            <w:shd w:val="clear" w:color="auto" w:fill="auto"/>
            <w:noWrap/>
            <w:vAlign w:val="center"/>
          </w:tcPr>
          <w:p w14:paraId="2A256788" w14:textId="4E5A1CDF" w:rsidR="001C7F35" w:rsidRPr="00E65AA7" w:rsidRDefault="001C7F35" w:rsidP="001C7F35">
            <w:pPr>
              <w:jc w:val="center"/>
              <w:rPr>
                <w:color w:val="000000"/>
                <w:sz w:val="20"/>
                <w:szCs w:val="20"/>
              </w:rPr>
            </w:pPr>
            <w:r>
              <w:rPr>
                <w:color w:val="000000"/>
                <w:sz w:val="20"/>
                <w:szCs w:val="20"/>
              </w:rPr>
              <w:t>(0.4</w:t>
            </w:r>
            <w:r w:rsidR="008F6BB3">
              <w:rPr>
                <w:color w:val="000000"/>
                <w:sz w:val="20"/>
                <w:szCs w:val="20"/>
              </w:rPr>
              <w:t>0</w:t>
            </w:r>
            <w:r>
              <w:rPr>
                <w:color w:val="000000"/>
                <w:sz w:val="20"/>
                <w:szCs w:val="20"/>
              </w:rPr>
              <w:t>)</w:t>
            </w:r>
          </w:p>
        </w:tc>
        <w:tc>
          <w:tcPr>
            <w:tcW w:w="329" w:type="pct"/>
            <w:tcBorders>
              <w:top w:val="nil"/>
              <w:left w:val="nil"/>
              <w:right w:val="nil"/>
            </w:tcBorders>
            <w:shd w:val="clear" w:color="auto" w:fill="auto"/>
            <w:noWrap/>
            <w:vAlign w:val="center"/>
          </w:tcPr>
          <w:p w14:paraId="7801966F" w14:textId="612B017F" w:rsidR="001C7F35" w:rsidRPr="00E65AA7" w:rsidRDefault="001C7F35" w:rsidP="001C7F35">
            <w:pPr>
              <w:jc w:val="center"/>
              <w:rPr>
                <w:color w:val="000000"/>
                <w:sz w:val="20"/>
                <w:szCs w:val="20"/>
              </w:rPr>
            </w:pPr>
            <w:r>
              <w:rPr>
                <w:color w:val="000000"/>
                <w:sz w:val="20"/>
                <w:szCs w:val="20"/>
              </w:rPr>
              <w:t>(0.59)</w:t>
            </w:r>
          </w:p>
        </w:tc>
        <w:tc>
          <w:tcPr>
            <w:tcW w:w="355" w:type="pct"/>
            <w:tcBorders>
              <w:top w:val="nil"/>
              <w:left w:val="nil"/>
              <w:right w:val="nil"/>
            </w:tcBorders>
            <w:shd w:val="clear" w:color="auto" w:fill="auto"/>
            <w:noWrap/>
            <w:vAlign w:val="center"/>
          </w:tcPr>
          <w:p w14:paraId="6FF50BD8" w14:textId="7FE6725A" w:rsidR="001C7F35" w:rsidRPr="00E65AA7" w:rsidRDefault="001C7F35" w:rsidP="001C7F35">
            <w:pPr>
              <w:jc w:val="center"/>
              <w:rPr>
                <w:color w:val="000000"/>
                <w:sz w:val="20"/>
                <w:szCs w:val="20"/>
              </w:rPr>
            </w:pPr>
            <w:r>
              <w:rPr>
                <w:color w:val="000000"/>
                <w:sz w:val="20"/>
                <w:szCs w:val="20"/>
              </w:rPr>
              <w:t>(1.58)</w:t>
            </w:r>
          </w:p>
        </w:tc>
        <w:tc>
          <w:tcPr>
            <w:tcW w:w="340" w:type="pct"/>
            <w:tcBorders>
              <w:top w:val="nil"/>
              <w:left w:val="nil"/>
              <w:right w:val="nil"/>
            </w:tcBorders>
            <w:shd w:val="clear" w:color="auto" w:fill="auto"/>
            <w:noWrap/>
            <w:vAlign w:val="center"/>
          </w:tcPr>
          <w:p w14:paraId="26D4507C" w14:textId="18380F58"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0.58)</w:t>
            </w:r>
          </w:p>
        </w:tc>
      </w:tr>
      <w:tr w:rsidR="001C7F35" w:rsidRPr="00E65AA7" w14:paraId="2E20EA20" w14:textId="77777777" w:rsidTr="001C7F35">
        <w:trPr>
          <w:trHeight w:hRule="exact" w:val="255"/>
        </w:trPr>
        <w:tc>
          <w:tcPr>
            <w:tcW w:w="465" w:type="pct"/>
            <w:vMerge w:val="restart"/>
            <w:tcBorders>
              <w:top w:val="nil"/>
              <w:left w:val="nil"/>
              <w:right w:val="nil"/>
            </w:tcBorders>
            <w:vAlign w:val="center"/>
          </w:tcPr>
          <w:p w14:paraId="7014B629" w14:textId="4CCA67D0" w:rsidR="001C7F35" w:rsidRPr="00E65AA7" w:rsidRDefault="001C7F35" w:rsidP="001C7F35">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21" w:type="pct"/>
            <w:vMerge w:val="restart"/>
            <w:tcBorders>
              <w:top w:val="nil"/>
              <w:left w:val="nil"/>
              <w:right w:val="nil"/>
            </w:tcBorders>
            <w:vAlign w:val="center"/>
          </w:tcPr>
          <w:p w14:paraId="659D3B61" w14:textId="77777777" w:rsidR="001C7F35" w:rsidRPr="00E65AA7" w:rsidRDefault="001C7F35" w:rsidP="001C7F35">
            <w:pPr>
              <w:jc w:val="center"/>
              <w:rPr>
                <w:color w:val="000000"/>
                <w:sz w:val="20"/>
                <w:szCs w:val="20"/>
              </w:rPr>
            </w:pPr>
            <w:r w:rsidRPr="00E65AA7">
              <w:rPr>
                <w:rFonts w:eastAsia="Times New Roman"/>
                <w:color w:val="000000"/>
                <w:sz w:val="20"/>
                <w:szCs w:val="20"/>
                <w:lang w:eastAsia="en-MY"/>
              </w:rPr>
              <w:t>113</w:t>
            </w:r>
          </w:p>
        </w:tc>
        <w:tc>
          <w:tcPr>
            <w:tcW w:w="329" w:type="pct"/>
            <w:tcBorders>
              <w:top w:val="nil"/>
              <w:left w:val="nil"/>
              <w:right w:val="nil"/>
            </w:tcBorders>
            <w:shd w:val="clear" w:color="auto" w:fill="auto"/>
            <w:noWrap/>
            <w:vAlign w:val="center"/>
          </w:tcPr>
          <w:p w14:paraId="5BFBD513" w14:textId="470F35E0" w:rsidR="001C7F35" w:rsidRPr="00E65AA7" w:rsidRDefault="001C7F35" w:rsidP="001C7F35">
            <w:pPr>
              <w:jc w:val="center"/>
              <w:rPr>
                <w:color w:val="000000"/>
                <w:sz w:val="20"/>
                <w:szCs w:val="20"/>
              </w:rPr>
            </w:pPr>
            <w:r>
              <w:rPr>
                <w:color w:val="000000"/>
                <w:sz w:val="20"/>
                <w:szCs w:val="20"/>
              </w:rPr>
              <w:t>3.12</w:t>
            </w:r>
          </w:p>
        </w:tc>
        <w:tc>
          <w:tcPr>
            <w:tcW w:w="329" w:type="pct"/>
            <w:tcBorders>
              <w:top w:val="nil"/>
              <w:left w:val="nil"/>
              <w:right w:val="nil"/>
            </w:tcBorders>
            <w:shd w:val="clear" w:color="auto" w:fill="auto"/>
            <w:noWrap/>
            <w:vAlign w:val="center"/>
          </w:tcPr>
          <w:p w14:paraId="672A15C3" w14:textId="707519AC" w:rsidR="001C7F35" w:rsidRPr="00E65AA7" w:rsidRDefault="001C7F35" w:rsidP="001C7F35">
            <w:pPr>
              <w:jc w:val="center"/>
              <w:rPr>
                <w:color w:val="000000"/>
                <w:sz w:val="20"/>
                <w:szCs w:val="20"/>
              </w:rPr>
            </w:pPr>
            <w:r>
              <w:rPr>
                <w:color w:val="000000"/>
                <w:sz w:val="20"/>
                <w:szCs w:val="20"/>
              </w:rPr>
              <w:t>4.67</w:t>
            </w:r>
          </w:p>
        </w:tc>
        <w:tc>
          <w:tcPr>
            <w:tcW w:w="329" w:type="pct"/>
            <w:tcBorders>
              <w:top w:val="nil"/>
              <w:left w:val="nil"/>
              <w:right w:val="nil"/>
            </w:tcBorders>
            <w:shd w:val="clear" w:color="auto" w:fill="auto"/>
            <w:noWrap/>
            <w:vAlign w:val="center"/>
          </w:tcPr>
          <w:p w14:paraId="5491CE34" w14:textId="205A1CDC" w:rsidR="001C7F35" w:rsidRPr="00E65AA7" w:rsidRDefault="001C7F35" w:rsidP="001C7F35">
            <w:pPr>
              <w:jc w:val="center"/>
              <w:rPr>
                <w:color w:val="000000"/>
                <w:sz w:val="20"/>
                <w:szCs w:val="20"/>
              </w:rPr>
            </w:pPr>
            <w:r>
              <w:rPr>
                <w:color w:val="000000"/>
                <w:sz w:val="20"/>
                <w:szCs w:val="20"/>
              </w:rPr>
              <w:t>4.70</w:t>
            </w:r>
          </w:p>
        </w:tc>
        <w:tc>
          <w:tcPr>
            <w:tcW w:w="329" w:type="pct"/>
            <w:tcBorders>
              <w:top w:val="nil"/>
              <w:left w:val="nil"/>
              <w:right w:val="nil"/>
            </w:tcBorders>
            <w:shd w:val="clear" w:color="auto" w:fill="auto"/>
            <w:noWrap/>
            <w:vAlign w:val="center"/>
          </w:tcPr>
          <w:p w14:paraId="78A07E19" w14:textId="18861BEC" w:rsidR="001C7F35" w:rsidRPr="00E65AA7" w:rsidRDefault="001C7F35" w:rsidP="001C7F35">
            <w:pPr>
              <w:jc w:val="center"/>
              <w:rPr>
                <w:color w:val="000000"/>
                <w:sz w:val="20"/>
                <w:szCs w:val="20"/>
              </w:rPr>
            </w:pPr>
            <w:r>
              <w:rPr>
                <w:color w:val="000000"/>
                <w:sz w:val="20"/>
                <w:szCs w:val="20"/>
              </w:rPr>
              <w:t>4.85</w:t>
            </w:r>
          </w:p>
        </w:tc>
        <w:tc>
          <w:tcPr>
            <w:tcW w:w="329" w:type="pct"/>
            <w:tcBorders>
              <w:top w:val="nil"/>
              <w:left w:val="nil"/>
              <w:right w:val="nil"/>
            </w:tcBorders>
            <w:shd w:val="clear" w:color="auto" w:fill="auto"/>
            <w:noWrap/>
            <w:vAlign w:val="center"/>
          </w:tcPr>
          <w:p w14:paraId="401283C9" w14:textId="06202B3C" w:rsidR="001C7F35" w:rsidRPr="00E65AA7" w:rsidRDefault="001C7F35" w:rsidP="001C7F35">
            <w:pPr>
              <w:jc w:val="center"/>
              <w:rPr>
                <w:color w:val="000000"/>
                <w:sz w:val="20"/>
                <w:szCs w:val="20"/>
              </w:rPr>
            </w:pPr>
            <w:r>
              <w:rPr>
                <w:color w:val="000000"/>
                <w:sz w:val="20"/>
                <w:szCs w:val="20"/>
              </w:rPr>
              <w:t>4.67</w:t>
            </w:r>
          </w:p>
        </w:tc>
        <w:tc>
          <w:tcPr>
            <w:tcW w:w="329" w:type="pct"/>
            <w:tcBorders>
              <w:top w:val="nil"/>
              <w:left w:val="nil"/>
              <w:right w:val="nil"/>
            </w:tcBorders>
            <w:shd w:val="clear" w:color="auto" w:fill="auto"/>
            <w:noWrap/>
            <w:vAlign w:val="center"/>
          </w:tcPr>
          <w:p w14:paraId="215695DB" w14:textId="4BF4F97C" w:rsidR="001C7F35" w:rsidRPr="00E65AA7" w:rsidRDefault="001C7F35" w:rsidP="001C7F35">
            <w:pPr>
              <w:jc w:val="center"/>
              <w:rPr>
                <w:color w:val="000000"/>
                <w:sz w:val="20"/>
                <w:szCs w:val="20"/>
              </w:rPr>
            </w:pPr>
            <w:r>
              <w:rPr>
                <w:color w:val="000000"/>
                <w:sz w:val="20"/>
                <w:szCs w:val="20"/>
              </w:rPr>
              <w:t>4.33</w:t>
            </w:r>
          </w:p>
        </w:tc>
        <w:tc>
          <w:tcPr>
            <w:tcW w:w="329" w:type="pct"/>
            <w:tcBorders>
              <w:top w:val="nil"/>
              <w:left w:val="nil"/>
              <w:right w:val="nil"/>
            </w:tcBorders>
            <w:shd w:val="clear" w:color="auto" w:fill="auto"/>
            <w:noWrap/>
            <w:vAlign w:val="center"/>
          </w:tcPr>
          <w:p w14:paraId="11BFB240" w14:textId="658A939A" w:rsidR="001C7F35" w:rsidRPr="00E65AA7" w:rsidRDefault="001C7F35" w:rsidP="001C7F35">
            <w:pPr>
              <w:jc w:val="center"/>
              <w:rPr>
                <w:color w:val="000000"/>
                <w:sz w:val="20"/>
                <w:szCs w:val="20"/>
              </w:rPr>
            </w:pPr>
            <w:r>
              <w:rPr>
                <w:color w:val="000000"/>
                <w:sz w:val="20"/>
                <w:szCs w:val="20"/>
              </w:rPr>
              <w:t>3.76</w:t>
            </w:r>
          </w:p>
        </w:tc>
        <w:tc>
          <w:tcPr>
            <w:tcW w:w="329" w:type="pct"/>
            <w:tcBorders>
              <w:top w:val="nil"/>
              <w:left w:val="nil"/>
              <w:right w:val="nil"/>
            </w:tcBorders>
            <w:shd w:val="clear" w:color="auto" w:fill="auto"/>
            <w:noWrap/>
            <w:vAlign w:val="center"/>
          </w:tcPr>
          <w:p w14:paraId="022603DE" w14:textId="03CB5CE6" w:rsidR="001C7F35" w:rsidRPr="00E65AA7" w:rsidRDefault="001C7F35" w:rsidP="001C7F35">
            <w:pPr>
              <w:jc w:val="center"/>
              <w:rPr>
                <w:color w:val="000000"/>
                <w:sz w:val="20"/>
                <w:szCs w:val="20"/>
              </w:rPr>
            </w:pPr>
            <w:r>
              <w:rPr>
                <w:color w:val="000000"/>
                <w:sz w:val="20"/>
                <w:szCs w:val="20"/>
              </w:rPr>
              <w:t>3.97</w:t>
            </w:r>
          </w:p>
        </w:tc>
        <w:tc>
          <w:tcPr>
            <w:tcW w:w="329" w:type="pct"/>
            <w:tcBorders>
              <w:top w:val="nil"/>
              <w:left w:val="nil"/>
              <w:right w:val="nil"/>
            </w:tcBorders>
            <w:shd w:val="clear" w:color="auto" w:fill="auto"/>
            <w:noWrap/>
            <w:vAlign w:val="center"/>
          </w:tcPr>
          <w:p w14:paraId="076EFB1F" w14:textId="3E7190D6" w:rsidR="001C7F35" w:rsidRPr="00E65AA7" w:rsidRDefault="001C7F35" w:rsidP="001C7F35">
            <w:pPr>
              <w:jc w:val="center"/>
              <w:rPr>
                <w:color w:val="000000"/>
                <w:sz w:val="20"/>
                <w:szCs w:val="20"/>
              </w:rPr>
            </w:pPr>
            <w:r>
              <w:rPr>
                <w:color w:val="000000"/>
                <w:sz w:val="20"/>
                <w:szCs w:val="20"/>
              </w:rPr>
              <w:t>3.34</w:t>
            </w:r>
          </w:p>
        </w:tc>
        <w:tc>
          <w:tcPr>
            <w:tcW w:w="329" w:type="pct"/>
            <w:tcBorders>
              <w:top w:val="nil"/>
              <w:left w:val="nil"/>
              <w:right w:val="nil"/>
            </w:tcBorders>
            <w:shd w:val="clear" w:color="auto" w:fill="auto"/>
            <w:noWrap/>
            <w:vAlign w:val="center"/>
          </w:tcPr>
          <w:p w14:paraId="47A492D4" w14:textId="725525DE" w:rsidR="001C7F35" w:rsidRPr="00E65AA7" w:rsidRDefault="001C7F35" w:rsidP="001C7F35">
            <w:pPr>
              <w:jc w:val="center"/>
              <w:rPr>
                <w:color w:val="000000"/>
                <w:sz w:val="20"/>
                <w:szCs w:val="20"/>
              </w:rPr>
            </w:pPr>
            <w:r>
              <w:rPr>
                <w:color w:val="000000"/>
                <w:sz w:val="20"/>
                <w:szCs w:val="20"/>
              </w:rPr>
              <w:t>3.16</w:t>
            </w:r>
          </w:p>
        </w:tc>
        <w:tc>
          <w:tcPr>
            <w:tcW w:w="329" w:type="pct"/>
            <w:tcBorders>
              <w:top w:val="nil"/>
              <w:left w:val="nil"/>
              <w:right w:val="nil"/>
            </w:tcBorders>
            <w:shd w:val="clear" w:color="auto" w:fill="auto"/>
            <w:noWrap/>
            <w:vAlign w:val="center"/>
          </w:tcPr>
          <w:p w14:paraId="0FA1B330" w14:textId="163672D3" w:rsidR="001C7F35" w:rsidRPr="00E65AA7" w:rsidRDefault="001C7F35" w:rsidP="001C7F35">
            <w:pPr>
              <w:jc w:val="center"/>
              <w:rPr>
                <w:color w:val="000000"/>
                <w:sz w:val="20"/>
                <w:szCs w:val="20"/>
              </w:rPr>
            </w:pPr>
            <w:r>
              <w:rPr>
                <w:color w:val="000000"/>
                <w:sz w:val="20"/>
                <w:szCs w:val="20"/>
              </w:rPr>
              <w:t>2.06</w:t>
            </w:r>
          </w:p>
        </w:tc>
        <w:tc>
          <w:tcPr>
            <w:tcW w:w="355" w:type="pct"/>
            <w:tcBorders>
              <w:top w:val="nil"/>
              <w:left w:val="nil"/>
              <w:right w:val="nil"/>
            </w:tcBorders>
            <w:shd w:val="clear" w:color="auto" w:fill="auto"/>
            <w:noWrap/>
            <w:vAlign w:val="center"/>
          </w:tcPr>
          <w:p w14:paraId="4963FD5F" w14:textId="3EDC7430" w:rsidR="001C7F35" w:rsidRPr="00E65AA7" w:rsidRDefault="001C7F35" w:rsidP="001C7F35">
            <w:pPr>
              <w:jc w:val="center"/>
              <w:rPr>
                <w:color w:val="000000"/>
                <w:sz w:val="20"/>
                <w:szCs w:val="20"/>
              </w:rPr>
            </w:pPr>
            <w:r>
              <w:rPr>
                <w:color w:val="000000"/>
                <w:sz w:val="20"/>
                <w:szCs w:val="20"/>
              </w:rPr>
              <w:t>-2.61</w:t>
            </w:r>
          </w:p>
        </w:tc>
        <w:tc>
          <w:tcPr>
            <w:tcW w:w="340" w:type="pct"/>
            <w:tcBorders>
              <w:top w:val="nil"/>
              <w:left w:val="nil"/>
              <w:right w:val="nil"/>
            </w:tcBorders>
            <w:shd w:val="clear" w:color="auto" w:fill="auto"/>
            <w:noWrap/>
            <w:vAlign w:val="center"/>
          </w:tcPr>
          <w:p w14:paraId="1BFC038D" w14:textId="5386F3FF" w:rsidR="001C7F35" w:rsidRPr="00E65AA7" w:rsidRDefault="00E30B4D" w:rsidP="001C7F35">
            <w:pPr>
              <w:jc w:val="center"/>
              <w:rPr>
                <w:color w:val="000000"/>
                <w:sz w:val="20"/>
                <w:szCs w:val="20"/>
              </w:rPr>
            </w:pPr>
            <w:r>
              <w:rPr>
                <w:color w:val="000000"/>
                <w:sz w:val="20"/>
                <w:szCs w:val="20"/>
              </w:rPr>
              <w:t>-</w:t>
            </w:r>
            <w:r w:rsidR="001C7F35">
              <w:rPr>
                <w:color w:val="000000"/>
                <w:sz w:val="20"/>
                <w:szCs w:val="20"/>
              </w:rPr>
              <w:t>0.83</w:t>
            </w:r>
          </w:p>
        </w:tc>
      </w:tr>
      <w:tr w:rsidR="001C7F35" w:rsidRPr="00E65AA7" w14:paraId="1B47C6D9" w14:textId="77777777" w:rsidTr="001C7F35">
        <w:trPr>
          <w:trHeight w:hRule="exact" w:val="255"/>
        </w:trPr>
        <w:tc>
          <w:tcPr>
            <w:tcW w:w="465" w:type="pct"/>
            <w:vMerge/>
            <w:tcBorders>
              <w:left w:val="nil"/>
              <w:bottom w:val="single" w:sz="4" w:space="0" w:color="auto"/>
              <w:right w:val="nil"/>
            </w:tcBorders>
            <w:vAlign w:val="center"/>
          </w:tcPr>
          <w:p w14:paraId="297713B7" w14:textId="77777777" w:rsidR="001C7F35" w:rsidRPr="00E65AA7" w:rsidRDefault="001C7F35" w:rsidP="001C7F35">
            <w:pPr>
              <w:rPr>
                <w:rFonts w:eastAsia="Times New Roman"/>
                <w:color w:val="000000"/>
                <w:sz w:val="20"/>
                <w:szCs w:val="20"/>
                <w:lang w:eastAsia="en-MY"/>
              </w:rPr>
            </w:pPr>
          </w:p>
        </w:tc>
        <w:tc>
          <w:tcPr>
            <w:tcW w:w="221" w:type="pct"/>
            <w:vMerge/>
            <w:tcBorders>
              <w:left w:val="nil"/>
              <w:bottom w:val="single" w:sz="4" w:space="0" w:color="auto"/>
              <w:right w:val="nil"/>
            </w:tcBorders>
          </w:tcPr>
          <w:p w14:paraId="583C19D6" w14:textId="77777777" w:rsidR="001C7F35" w:rsidRPr="00E65AA7" w:rsidRDefault="001C7F35" w:rsidP="001C7F35">
            <w:pPr>
              <w:jc w:val="center"/>
              <w:rPr>
                <w:color w:val="000000"/>
                <w:sz w:val="20"/>
                <w:szCs w:val="20"/>
              </w:rPr>
            </w:pPr>
          </w:p>
        </w:tc>
        <w:tc>
          <w:tcPr>
            <w:tcW w:w="329" w:type="pct"/>
            <w:tcBorders>
              <w:left w:val="nil"/>
              <w:bottom w:val="single" w:sz="4" w:space="0" w:color="auto"/>
              <w:right w:val="nil"/>
            </w:tcBorders>
            <w:shd w:val="clear" w:color="auto" w:fill="auto"/>
            <w:noWrap/>
            <w:vAlign w:val="center"/>
          </w:tcPr>
          <w:p w14:paraId="14B81617" w14:textId="011835D6" w:rsidR="001C7F35" w:rsidRPr="00E65AA7" w:rsidRDefault="001C7F35" w:rsidP="001C7F35">
            <w:pPr>
              <w:jc w:val="center"/>
              <w:rPr>
                <w:color w:val="000000"/>
                <w:sz w:val="20"/>
                <w:szCs w:val="20"/>
              </w:rPr>
            </w:pPr>
            <w:r>
              <w:rPr>
                <w:color w:val="000000"/>
                <w:sz w:val="20"/>
                <w:szCs w:val="20"/>
              </w:rPr>
              <w:t>(5.46)</w:t>
            </w:r>
          </w:p>
        </w:tc>
        <w:tc>
          <w:tcPr>
            <w:tcW w:w="329" w:type="pct"/>
            <w:tcBorders>
              <w:left w:val="nil"/>
              <w:bottom w:val="single" w:sz="4" w:space="0" w:color="auto"/>
              <w:right w:val="nil"/>
            </w:tcBorders>
            <w:shd w:val="clear" w:color="auto" w:fill="auto"/>
            <w:noWrap/>
            <w:vAlign w:val="center"/>
          </w:tcPr>
          <w:p w14:paraId="753420AE" w14:textId="62B426CE" w:rsidR="001C7F35" w:rsidRPr="00E65AA7" w:rsidRDefault="001C7F35" w:rsidP="001C7F35">
            <w:pPr>
              <w:jc w:val="center"/>
              <w:rPr>
                <w:color w:val="000000"/>
                <w:sz w:val="20"/>
                <w:szCs w:val="20"/>
              </w:rPr>
            </w:pPr>
            <w:r>
              <w:rPr>
                <w:color w:val="000000"/>
                <w:sz w:val="20"/>
                <w:szCs w:val="20"/>
              </w:rPr>
              <w:t>(6.82)</w:t>
            </w:r>
          </w:p>
        </w:tc>
        <w:tc>
          <w:tcPr>
            <w:tcW w:w="329" w:type="pct"/>
            <w:tcBorders>
              <w:left w:val="nil"/>
              <w:bottom w:val="single" w:sz="4" w:space="0" w:color="auto"/>
              <w:right w:val="nil"/>
            </w:tcBorders>
            <w:shd w:val="clear" w:color="auto" w:fill="auto"/>
            <w:noWrap/>
            <w:vAlign w:val="center"/>
          </w:tcPr>
          <w:p w14:paraId="6BD6B97B" w14:textId="51E81043" w:rsidR="001C7F35" w:rsidRPr="00E65AA7" w:rsidRDefault="001C7F35" w:rsidP="001C7F35">
            <w:pPr>
              <w:jc w:val="center"/>
              <w:rPr>
                <w:color w:val="000000"/>
                <w:sz w:val="20"/>
                <w:szCs w:val="20"/>
              </w:rPr>
            </w:pPr>
            <w:r>
              <w:rPr>
                <w:color w:val="000000"/>
                <w:sz w:val="20"/>
                <w:szCs w:val="20"/>
              </w:rPr>
              <w:t>(6.53)</w:t>
            </w:r>
          </w:p>
        </w:tc>
        <w:tc>
          <w:tcPr>
            <w:tcW w:w="329" w:type="pct"/>
            <w:tcBorders>
              <w:left w:val="nil"/>
              <w:bottom w:val="single" w:sz="4" w:space="0" w:color="auto"/>
              <w:right w:val="nil"/>
            </w:tcBorders>
            <w:shd w:val="clear" w:color="auto" w:fill="auto"/>
            <w:noWrap/>
            <w:vAlign w:val="center"/>
          </w:tcPr>
          <w:p w14:paraId="279690B5" w14:textId="69CB6B31" w:rsidR="001C7F35" w:rsidRPr="00E65AA7" w:rsidRDefault="001C7F35" w:rsidP="001C7F35">
            <w:pPr>
              <w:jc w:val="center"/>
              <w:rPr>
                <w:color w:val="000000"/>
                <w:sz w:val="20"/>
                <w:szCs w:val="20"/>
              </w:rPr>
            </w:pPr>
            <w:r>
              <w:rPr>
                <w:color w:val="000000"/>
                <w:sz w:val="20"/>
                <w:szCs w:val="20"/>
              </w:rPr>
              <w:t>(6.41)</w:t>
            </w:r>
          </w:p>
        </w:tc>
        <w:tc>
          <w:tcPr>
            <w:tcW w:w="329" w:type="pct"/>
            <w:tcBorders>
              <w:left w:val="nil"/>
              <w:bottom w:val="single" w:sz="4" w:space="0" w:color="auto"/>
              <w:right w:val="nil"/>
            </w:tcBorders>
            <w:shd w:val="clear" w:color="auto" w:fill="auto"/>
            <w:noWrap/>
            <w:vAlign w:val="center"/>
          </w:tcPr>
          <w:p w14:paraId="563A2E51" w14:textId="09F1F624" w:rsidR="001C7F35" w:rsidRPr="00E65AA7" w:rsidRDefault="001C7F35" w:rsidP="001C7F35">
            <w:pPr>
              <w:jc w:val="center"/>
              <w:rPr>
                <w:color w:val="000000"/>
                <w:sz w:val="20"/>
                <w:szCs w:val="20"/>
              </w:rPr>
            </w:pPr>
            <w:r>
              <w:rPr>
                <w:color w:val="000000"/>
                <w:sz w:val="20"/>
                <w:szCs w:val="20"/>
              </w:rPr>
              <w:t>(6.25)</w:t>
            </w:r>
          </w:p>
        </w:tc>
        <w:tc>
          <w:tcPr>
            <w:tcW w:w="329" w:type="pct"/>
            <w:tcBorders>
              <w:left w:val="nil"/>
              <w:bottom w:val="single" w:sz="4" w:space="0" w:color="auto"/>
              <w:right w:val="nil"/>
            </w:tcBorders>
            <w:shd w:val="clear" w:color="auto" w:fill="auto"/>
            <w:noWrap/>
            <w:vAlign w:val="center"/>
          </w:tcPr>
          <w:p w14:paraId="110FCCF8" w14:textId="1F1E91C1" w:rsidR="001C7F35" w:rsidRPr="00E65AA7" w:rsidRDefault="001C7F35" w:rsidP="001C7F35">
            <w:pPr>
              <w:jc w:val="center"/>
              <w:rPr>
                <w:color w:val="000000"/>
                <w:sz w:val="20"/>
                <w:szCs w:val="20"/>
              </w:rPr>
            </w:pPr>
            <w:r>
              <w:rPr>
                <w:color w:val="000000"/>
                <w:sz w:val="20"/>
                <w:szCs w:val="20"/>
              </w:rPr>
              <w:t>(5.75)</w:t>
            </w:r>
          </w:p>
        </w:tc>
        <w:tc>
          <w:tcPr>
            <w:tcW w:w="329" w:type="pct"/>
            <w:tcBorders>
              <w:left w:val="nil"/>
              <w:bottom w:val="single" w:sz="4" w:space="0" w:color="auto"/>
              <w:right w:val="nil"/>
            </w:tcBorders>
            <w:shd w:val="clear" w:color="auto" w:fill="auto"/>
            <w:noWrap/>
            <w:vAlign w:val="center"/>
          </w:tcPr>
          <w:p w14:paraId="2636FD05" w14:textId="171A14E2" w:rsidR="001C7F35" w:rsidRPr="00E65AA7" w:rsidRDefault="001C7F35" w:rsidP="001C7F35">
            <w:pPr>
              <w:jc w:val="center"/>
              <w:rPr>
                <w:color w:val="000000"/>
                <w:sz w:val="20"/>
                <w:szCs w:val="20"/>
              </w:rPr>
            </w:pPr>
            <w:r>
              <w:rPr>
                <w:color w:val="000000"/>
                <w:sz w:val="20"/>
                <w:szCs w:val="20"/>
              </w:rPr>
              <w:t>(5.5</w:t>
            </w:r>
            <w:r w:rsidR="008F6BB3">
              <w:rPr>
                <w:color w:val="000000"/>
                <w:sz w:val="20"/>
                <w:szCs w:val="20"/>
              </w:rPr>
              <w:t>0</w:t>
            </w:r>
            <w:r>
              <w:rPr>
                <w:color w:val="000000"/>
                <w:sz w:val="20"/>
                <w:szCs w:val="20"/>
              </w:rPr>
              <w:t>)</w:t>
            </w:r>
          </w:p>
        </w:tc>
        <w:tc>
          <w:tcPr>
            <w:tcW w:w="329" w:type="pct"/>
            <w:tcBorders>
              <w:left w:val="nil"/>
              <w:bottom w:val="single" w:sz="4" w:space="0" w:color="auto"/>
              <w:right w:val="nil"/>
            </w:tcBorders>
            <w:shd w:val="clear" w:color="auto" w:fill="auto"/>
            <w:noWrap/>
            <w:vAlign w:val="center"/>
          </w:tcPr>
          <w:p w14:paraId="269561C4" w14:textId="58078913" w:rsidR="001C7F35" w:rsidRPr="00E65AA7" w:rsidRDefault="001C7F35" w:rsidP="001C7F35">
            <w:pPr>
              <w:jc w:val="center"/>
              <w:rPr>
                <w:color w:val="000000"/>
                <w:sz w:val="20"/>
                <w:szCs w:val="20"/>
              </w:rPr>
            </w:pPr>
            <w:r>
              <w:rPr>
                <w:color w:val="000000"/>
                <w:sz w:val="20"/>
                <w:szCs w:val="20"/>
              </w:rPr>
              <w:t>(5.59)</w:t>
            </w:r>
          </w:p>
        </w:tc>
        <w:tc>
          <w:tcPr>
            <w:tcW w:w="329" w:type="pct"/>
            <w:tcBorders>
              <w:left w:val="nil"/>
              <w:bottom w:val="single" w:sz="4" w:space="0" w:color="auto"/>
              <w:right w:val="nil"/>
            </w:tcBorders>
            <w:shd w:val="clear" w:color="auto" w:fill="auto"/>
            <w:noWrap/>
            <w:vAlign w:val="center"/>
          </w:tcPr>
          <w:p w14:paraId="4BD4517A" w14:textId="2A163D29" w:rsidR="001C7F35" w:rsidRPr="00E65AA7" w:rsidRDefault="001C7F35" w:rsidP="001C7F35">
            <w:pPr>
              <w:jc w:val="center"/>
              <w:rPr>
                <w:color w:val="000000"/>
                <w:sz w:val="20"/>
                <w:szCs w:val="20"/>
              </w:rPr>
            </w:pPr>
            <w:r>
              <w:rPr>
                <w:color w:val="000000"/>
                <w:sz w:val="20"/>
                <w:szCs w:val="20"/>
              </w:rPr>
              <w:t>(5.09)</w:t>
            </w:r>
          </w:p>
        </w:tc>
        <w:tc>
          <w:tcPr>
            <w:tcW w:w="329" w:type="pct"/>
            <w:tcBorders>
              <w:left w:val="nil"/>
              <w:bottom w:val="single" w:sz="4" w:space="0" w:color="auto"/>
              <w:right w:val="nil"/>
            </w:tcBorders>
            <w:shd w:val="clear" w:color="auto" w:fill="auto"/>
            <w:noWrap/>
            <w:vAlign w:val="center"/>
          </w:tcPr>
          <w:p w14:paraId="2B4694C8" w14:textId="3BACAFB2" w:rsidR="001C7F35" w:rsidRPr="00E65AA7" w:rsidRDefault="001C7F35" w:rsidP="001C7F35">
            <w:pPr>
              <w:jc w:val="center"/>
              <w:rPr>
                <w:color w:val="000000"/>
                <w:sz w:val="20"/>
                <w:szCs w:val="20"/>
              </w:rPr>
            </w:pPr>
            <w:r>
              <w:rPr>
                <w:color w:val="000000"/>
                <w:sz w:val="20"/>
                <w:szCs w:val="20"/>
              </w:rPr>
              <w:t>(5.29)</w:t>
            </w:r>
          </w:p>
        </w:tc>
        <w:tc>
          <w:tcPr>
            <w:tcW w:w="329" w:type="pct"/>
            <w:tcBorders>
              <w:left w:val="nil"/>
              <w:bottom w:val="single" w:sz="4" w:space="0" w:color="auto"/>
              <w:right w:val="nil"/>
            </w:tcBorders>
            <w:shd w:val="clear" w:color="auto" w:fill="auto"/>
            <w:noWrap/>
            <w:vAlign w:val="center"/>
          </w:tcPr>
          <w:p w14:paraId="4DC67FDE" w14:textId="3CB597BB" w:rsidR="001C7F35" w:rsidRPr="00E65AA7" w:rsidRDefault="001C7F35" w:rsidP="001C7F35">
            <w:pPr>
              <w:jc w:val="center"/>
              <w:rPr>
                <w:color w:val="000000"/>
                <w:sz w:val="20"/>
                <w:szCs w:val="20"/>
              </w:rPr>
            </w:pPr>
            <w:r>
              <w:rPr>
                <w:color w:val="000000"/>
                <w:sz w:val="20"/>
                <w:szCs w:val="20"/>
              </w:rPr>
              <w:t>(4.02)</w:t>
            </w:r>
          </w:p>
        </w:tc>
        <w:tc>
          <w:tcPr>
            <w:tcW w:w="355" w:type="pct"/>
            <w:tcBorders>
              <w:left w:val="nil"/>
              <w:bottom w:val="single" w:sz="4" w:space="0" w:color="auto"/>
              <w:right w:val="nil"/>
            </w:tcBorders>
            <w:shd w:val="clear" w:color="auto" w:fill="auto"/>
            <w:noWrap/>
            <w:vAlign w:val="center"/>
          </w:tcPr>
          <w:p w14:paraId="53243EDD" w14:textId="6AC236EA" w:rsidR="001C7F35" w:rsidRPr="00E65AA7" w:rsidRDefault="001C7F35" w:rsidP="001C7F35">
            <w:pPr>
              <w:jc w:val="center"/>
              <w:rPr>
                <w:color w:val="000000"/>
                <w:sz w:val="20"/>
                <w:szCs w:val="20"/>
              </w:rPr>
            </w:pPr>
            <w:r>
              <w:rPr>
                <w:color w:val="000000"/>
                <w:sz w:val="20"/>
                <w:szCs w:val="20"/>
              </w:rPr>
              <w:t>(-5.86)</w:t>
            </w:r>
          </w:p>
        </w:tc>
        <w:tc>
          <w:tcPr>
            <w:tcW w:w="340" w:type="pct"/>
            <w:tcBorders>
              <w:left w:val="nil"/>
              <w:bottom w:val="single" w:sz="4" w:space="0" w:color="auto"/>
              <w:right w:val="nil"/>
            </w:tcBorders>
            <w:shd w:val="clear" w:color="auto" w:fill="auto"/>
            <w:noWrap/>
            <w:vAlign w:val="center"/>
          </w:tcPr>
          <w:p w14:paraId="308C8E9C" w14:textId="5DB6857E" w:rsidR="001C7F35" w:rsidRPr="00E65AA7" w:rsidRDefault="001C7F35" w:rsidP="001C7F35">
            <w:pPr>
              <w:jc w:val="center"/>
              <w:rPr>
                <w:color w:val="000000"/>
                <w:sz w:val="20"/>
                <w:szCs w:val="20"/>
              </w:rPr>
            </w:pPr>
            <w:r>
              <w:rPr>
                <w:color w:val="000000"/>
                <w:sz w:val="20"/>
                <w:szCs w:val="20"/>
              </w:rPr>
              <w:t>(</w:t>
            </w:r>
            <w:r w:rsidR="00E30B4D">
              <w:rPr>
                <w:color w:val="000000"/>
                <w:sz w:val="20"/>
                <w:szCs w:val="20"/>
              </w:rPr>
              <w:t>-</w:t>
            </w:r>
            <w:r>
              <w:rPr>
                <w:color w:val="000000"/>
                <w:sz w:val="20"/>
                <w:szCs w:val="20"/>
              </w:rPr>
              <w:t>2.86)</w:t>
            </w:r>
          </w:p>
        </w:tc>
      </w:tr>
    </w:tbl>
    <w:p w14:paraId="2CAA925A" w14:textId="2788FA7B" w:rsidR="005F51C8" w:rsidRPr="00E65AA7" w:rsidRDefault="005F51C8" w:rsidP="001C7F35">
      <w:pPr>
        <w:tabs>
          <w:tab w:val="left" w:pos="2700"/>
        </w:tabs>
        <w:spacing w:after="120"/>
      </w:pPr>
      <w:r w:rsidRPr="00E65AA7">
        <w:rPr>
          <w:b/>
          <w:sz w:val="20"/>
          <w:szCs w:val="20"/>
        </w:rPr>
        <w:lastRenderedPageBreak/>
        <w:t xml:space="preserve">Table </w:t>
      </w:r>
      <w:r w:rsidR="003F2D69">
        <w:rPr>
          <w:b/>
          <w:sz w:val="20"/>
          <w:szCs w:val="20"/>
        </w:rPr>
        <w:t>5</w:t>
      </w:r>
      <w:r w:rsidRPr="00E65AA7">
        <w:rPr>
          <w:b/>
          <w:sz w:val="20"/>
          <w:szCs w:val="20"/>
        </w:rPr>
        <w:t xml:space="preserve">: </w:t>
      </w:r>
      <w:r w:rsidR="00817C03">
        <w:rPr>
          <w:b/>
          <w:sz w:val="20"/>
          <w:szCs w:val="20"/>
        </w:rPr>
        <w:t>Monthly Returns</w:t>
      </w:r>
      <w:r w:rsidR="00E50A9A">
        <w:rPr>
          <w:b/>
          <w:sz w:val="20"/>
          <w:szCs w:val="20"/>
        </w:rPr>
        <w:t xml:space="preserve"> of Volatility-sorted Portfolios C</w:t>
      </w:r>
      <w:r w:rsidR="00817C03">
        <w:rPr>
          <w:b/>
          <w:sz w:val="20"/>
          <w:szCs w:val="20"/>
        </w:rPr>
        <w:t>onditioned on Lagged Sentiment</w:t>
      </w:r>
      <w:r w:rsidRPr="00E65AA7">
        <w:rPr>
          <w:b/>
          <w:sz w:val="20"/>
          <w:szCs w:val="20"/>
        </w:rPr>
        <w:t xml:space="preserve">, 1964 to 2014. </w:t>
      </w:r>
      <w:r w:rsidRPr="00E65AA7">
        <w:rPr>
          <w:noProof/>
          <w:sz w:val="20"/>
          <w:szCs w:val="20"/>
        </w:rPr>
        <w:t xml:space="preserve">In each month </w:t>
      </w:r>
      <w:r w:rsidRPr="00E65AA7">
        <w:rPr>
          <w:i/>
          <w:noProof/>
          <w:sz w:val="20"/>
          <w:szCs w:val="20"/>
        </w:rPr>
        <w:t>t</w:t>
      </w:r>
      <w:r w:rsidRPr="00E65AA7">
        <w:rPr>
          <w:noProof/>
          <w:sz w:val="20"/>
          <w:szCs w:val="20"/>
        </w:rPr>
        <w:t>, we form decile portfolios according to the NYSE breakpoints of v</w:t>
      </w:r>
      <w:r w:rsidR="00930307" w:rsidRPr="00E65AA7">
        <w:rPr>
          <w:noProof/>
          <w:sz w:val="20"/>
          <w:szCs w:val="20"/>
        </w:rPr>
        <w:t>olatility</w:t>
      </w:r>
      <w:r w:rsidRPr="00E65AA7">
        <w:rPr>
          <w:noProof/>
          <w:sz w:val="20"/>
          <w:szCs w:val="20"/>
        </w:rPr>
        <w:t>.</w:t>
      </w:r>
      <w:r w:rsidRPr="00E65AA7">
        <w:rPr>
          <w:sz w:val="20"/>
          <w:szCs w:val="20"/>
        </w:rPr>
        <w:t xml:space="preserve"> </w:t>
      </w:r>
      <w:r w:rsidR="007F7737" w:rsidRPr="00E65AA7">
        <w:rPr>
          <w:sz w:val="20"/>
          <w:szCs w:val="20"/>
        </w:rPr>
        <w:t xml:space="preserve">Furthermore, we divide our sample into </w:t>
      </w:r>
      <w:r w:rsidR="00CE7F81" w:rsidRPr="00E65AA7">
        <w:rPr>
          <w:sz w:val="20"/>
          <w:szCs w:val="20"/>
        </w:rPr>
        <w:t>quintiles</w:t>
      </w:r>
      <w:r w:rsidR="007F7737" w:rsidRPr="00E65AA7">
        <w:rPr>
          <w:sz w:val="20"/>
          <w:szCs w:val="20"/>
        </w:rPr>
        <w:t xml:space="preserve"> based on </w:t>
      </w:r>
      <w:r w:rsidR="007F7737" w:rsidRPr="00E65AA7">
        <w:rPr>
          <w:rFonts w:eastAsia="Times New Roman"/>
          <w:sz w:val="20"/>
          <w:szCs w:val="20"/>
        </w:rPr>
        <w:t>sentim</w:t>
      </w:r>
      <w:r w:rsidR="005C5B04">
        <w:rPr>
          <w:rFonts w:eastAsia="Times New Roman"/>
          <w:sz w:val="20"/>
          <w:szCs w:val="20"/>
        </w:rPr>
        <w:t>ent levels index of</w:t>
      </w:r>
      <w:r w:rsidR="007F7737" w:rsidRPr="00E65AA7">
        <w:rPr>
          <w:rFonts w:eastAsia="Times New Roman"/>
          <w:sz w:val="20"/>
          <w:szCs w:val="20"/>
        </w:rPr>
        <w:t xml:space="preserve"> month, </w:t>
      </w:r>
      <w:r w:rsidR="007F7737" w:rsidRPr="00E65AA7">
        <w:rPr>
          <w:rFonts w:eastAsia="Times New Roman"/>
          <w:i/>
          <w:sz w:val="20"/>
          <w:szCs w:val="20"/>
        </w:rPr>
        <w:t>t-1</w:t>
      </w:r>
      <w:r w:rsidR="007F7737" w:rsidRPr="00E65AA7">
        <w:rPr>
          <w:sz w:val="20"/>
          <w:szCs w:val="20"/>
        </w:rPr>
        <w:t xml:space="preserve">. The lowest </w:t>
      </w:r>
      <w:r w:rsidR="00CE7F81" w:rsidRPr="00E65AA7">
        <w:rPr>
          <w:sz w:val="20"/>
          <w:szCs w:val="20"/>
        </w:rPr>
        <w:t>sentiment quintile</w:t>
      </w:r>
      <w:r w:rsidR="007F7737" w:rsidRPr="00E65AA7">
        <w:rPr>
          <w:sz w:val="20"/>
          <w:szCs w:val="20"/>
        </w:rPr>
        <w:t xml:space="preserve"> is defined as “Low” and </w:t>
      </w:r>
      <w:r w:rsidR="00CE7F81" w:rsidRPr="00E65AA7">
        <w:rPr>
          <w:sz w:val="20"/>
          <w:szCs w:val="20"/>
        </w:rPr>
        <w:t xml:space="preserve">highest sentiment quintile </w:t>
      </w:r>
      <w:r w:rsidR="007F7737" w:rsidRPr="00E65AA7">
        <w:rPr>
          <w:sz w:val="20"/>
          <w:szCs w:val="20"/>
        </w:rPr>
        <w:t xml:space="preserve">as “High”. </w:t>
      </w:r>
      <w:r w:rsidRPr="00E65AA7">
        <w:rPr>
          <w:sz w:val="20"/>
          <w:szCs w:val="20"/>
        </w:rPr>
        <w:t xml:space="preserve">We report average portfolio returns </w:t>
      </w:r>
      <w:r w:rsidR="007F7737" w:rsidRPr="00E65AA7">
        <w:rPr>
          <w:sz w:val="20"/>
          <w:szCs w:val="20"/>
        </w:rPr>
        <w:t xml:space="preserve">of volatility deciles </w:t>
      </w:r>
      <w:r w:rsidR="00B67010" w:rsidRPr="00E65AA7">
        <w:rPr>
          <w:sz w:val="20"/>
          <w:szCs w:val="20"/>
        </w:rPr>
        <w:t>and</w:t>
      </w:r>
      <w:r w:rsidRPr="00E65AA7">
        <w:rPr>
          <w:sz w:val="20"/>
          <w:szCs w:val="20"/>
        </w:rPr>
        <w:t xml:space="preserve"> the difference in </w:t>
      </w:r>
      <w:r w:rsidR="00B67010" w:rsidRPr="00E65AA7">
        <w:rPr>
          <w:sz w:val="20"/>
          <w:szCs w:val="20"/>
        </w:rPr>
        <w:t>extreme deciles (P1</w:t>
      </w:r>
      <w:r w:rsidR="00885FCE">
        <w:rPr>
          <w:sz w:val="20"/>
          <w:szCs w:val="20"/>
        </w:rPr>
        <w:t>0-P1</w:t>
      </w:r>
      <w:r w:rsidR="00B67010" w:rsidRPr="00E65AA7">
        <w:rPr>
          <w:sz w:val="20"/>
          <w:szCs w:val="20"/>
        </w:rPr>
        <w:t>)</w:t>
      </w:r>
      <w:r w:rsidR="00042E7C" w:rsidRPr="00E65AA7">
        <w:rPr>
          <w:sz w:val="20"/>
          <w:szCs w:val="20"/>
        </w:rPr>
        <w:t xml:space="preserve"> </w:t>
      </w:r>
      <w:r w:rsidRPr="00E65AA7">
        <w:rPr>
          <w:sz w:val="20"/>
          <w:szCs w:val="20"/>
        </w:rPr>
        <w:t xml:space="preserve">in percentage and </w:t>
      </w:r>
      <w:r w:rsidRPr="00E65AA7">
        <w:rPr>
          <w:i/>
          <w:sz w:val="20"/>
          <w:szCs w:val="20"/>
        </w:rPr>
        <w:t>t</w:t>
      </w:r>
      <w:r w:rsidRPr="00E65AA7">
        <w:rPr>
          <w:sz w:val="20"/>
          <w:szCs w:val="20"/>
        </w:rPr>
        <w:t>-statistics in parenthesis.</w:t>
      </w:r>
    </w:p>
    <w:tbl>
      <w:tblPr>
        <w:tblW w:w="5000" w:type="pct"/>
        <w:tblLook w:val="04A0" w:firstRow="1" w:lastRow="0" w:firstColumn="1" w:lastColumn="0" w:noHBand="0" w:noVBand="1"/>
      </w:tblPr>
      <w:tblGrid>
        <w:gridCol w:w="2277"/>
        <w:gridCol w:w="1070"/>
        <w:gridCol w:w="1165"/>
        <w:gridCol w:w="1057"/>
        <w:gridCol w:w="1060"/>
        <w:gridCol w:w="1060"/>
        <w:gridCol w:w="1059"/>
        <w:gridCol w:w="1059"/>
        <w:gridCol w:w="1059"/>
        <w:gridCol w:w="1059"/>
        <w:gridCol w:w="1059"/>
        <w:gridCol w:w="1164"/>
        <w:gridCol w:w="1250"/>
      </w:tblGrid>
      <w:tr w:rsidR="005F51C8" w:rsidRPr="00E65AA7" w14:paraId="049768AF" w14:textId="77777777" w:rsidTr="005F51C8">
        <w:trPr>
          <w:trHeight w:hRule="exact" w:val="255"/>
        </w:trPr>
        <w:tc>
          <w:tcPr>
            <w:tcW w:w="739" w:type="pct"/>
            <w:tcBorders>
              <w:top w:val="single" w:sz="4" w:space="0" w:color="auto"/>
              <w:left w:val="nil"/>
              <w:bottom w:val="single" w:sz="4" w:space="0" w:color="auto"/>
              <w:right w:val="nil"/>
            </w:tcBorders>
            <w:shd w:val="clear" w:color="auto" w:fill="auto"/>
            <w:noWrap/>
            <w:vAlign w:val="center"/>
          </w:tcPr>
          <w:p w14:paraId="051F614C" w14:textId="2DCDD192" w:rsidR="005F51C8" w:rsidRPr="00E65AA7" w:rsidRDefault="005F51C8" w:rsidP="00414183">
            <w:pPr>
              <w:rPr>
                <w:rFonts w:eastAsia="Times New Roman"/>
                <w:b/>
                <w:sz w:val="20"/>
                <w:szCs w:val="20"/>
                <w:lang w:eastAsia="en-MY"/>
              </w:rPr>
            </w:pPr>
            <w:r w:rsidRPr="00E65AA7">
              <w:rPr>
                <w:rFonts w:eastAsia="Times New Roman"/>
                <w:b/>
                <w:sz w:val="20"/>
                <w:szCs w:val="20"/>
                <w:lang w:eastAsia="en-MY"/>
              </w:rPr>
              <w:t>Lagged STM Level</w:t>
            </w:r>
          </w:p>
        </w:tc>
        <w:tc>
          <w:tcPr>
            <w:tcW w:w="347" w:type="pct"/>
            <w:tcBorders>
              <w:top w:val="single" w:sz="4" w:space="0" w:color="auto"/>
              <w:left w:val="nil"/>
              <w:bottom w:val="single" w:sz="4" w:space="0" w:color="auto"/>
              <w:right w:val="nil"/>
            </w:tcBorders>
            <w:vAlign w:val="center"/>
          </w:tcPr>
          <w:p w14:paraId="1D23B7AF"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N</w:t>
            </w:r>
          </w:p>
        </w:tc>
        <w:tc>
          <w:tcPr>
            <w:tcW w:w="378" w:type="pct"/>
            <w:tcBorders>
              <w:top w:val="single" w:sz="4" w:space="0" w:color="auto"/>
              <w:left w:val="nil"/>
              <w:bottom w:val="single" w:sz="4" w:space="0" w:color="auto"/>
              <w:right w:val="nil"/>
            </w:tcBorders>
            <w:shd w:val="clear" w:color="auto" w:fill="auto"/>
            <w:vAlign w:val="center"/>
            <w:hideMark/>
          </w:tcPr>
          <w:p w14:paraId="06F3F2FE"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43" w:type="pct"/>
            <w:tcBorders>
              <w:top w:val="single" w:sz="4" w:space="0" w:color="auto"/>
              <w:left w:val="nil"/>
              <w:bottom w:val="single" w:sz="4" w:space="0" w:color="auto"/>
              <w:right w:val="nil"/>
            </w:tcBorders>
            <w:shd w:val="clear" w:color="auto" w:fill="auto"/>
            <w:vAlign w:val="center"/>
            <w:hideMark/>
          </w:tcPr>
          <w:p w14:paraId="57BDBFBB"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44" w:type="pct"/>
            <w:tcBorders>
              <w:top w:val="single" w:sz="4" w:space="0" w:color="auto"/>
              <w:left w:val="nil"/>
              <w:bottom w:val="single" w:sz="4" w:space="0" w:color="auto"/>
              <w:right w:val="nil"/>
            </w:tcBorders>
            <w:shd w:val="clear" w:color="auto" w:fill="auto"/>
            <w:vAlign w:val="center"/>
            <w:hideMark/>
          </w:tcPr>
          <w:p w14:paraId="25715163"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44" w:type="pct"/>
            <w:tcBorders>
              <w:top w:val="single" w:sz="4" w:space="0" w:color="auto"/>
              <w:left w:val="nil"/>
              <w:bottom w:val="single" w:sz="4" w:space="0" w:color="auto"/>
              <w:right w:val="nil"/>
            </w:tcBorders>
            <w:shd w:val="clear" w:color="auto" w:fill="auto"/>
            <w:vAlign w:val="center"/>
            <w:hideMark/>
          </w:tcPr>
          <w:p w14:paraId="074BFE63"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44" w:type="pct"/>
            <w:tcBorders>
              <w:top w:val="single" w:sz="4" w:space="0" w:color="auto"/>
              <w:left w:val="nil"/>
              <w:bottom w:val="single" w:sz="4" w:space="0" w:color="auto"/>
              <w:right w:val="nil"/>
            </w:tcBorders>
            <w:shd w:val="clear" w:color="auto" w:fill="auto"/>
            <w:vAlign w:val="center"/>
            <w:hideMark/>
          </w:tcPr>
          <w:p w14:paraId="096AD105"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44" w:type="pct"/>
            <w:tcBorders>
              <w:top w:val="single" w:sz="4" w:space="0" w:color="auto"/>
              <w:left w:val="nil"/>
              <w:bottom w:val="single" w:sz="4" w:space="0" w:color="auto"/>
              <w:right w:val="nil"/>
            </w:tcBorders>
            <w:shd w:val="clear" w:color="auto" w:fill="auto"/>
            <w:vAlign w:val="center"/>
            <w:hideMark/>
          </w:tcPr>
          <w:p w14:paraId="61E15101"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44" w:type="pct"/>
            <w:tcBorders>
              <w:top w:val="single" w:sz="4" w:space="0" w:color="auto"/>
              <w:left w:val="nil"/>
              <w:bottom w:val="single" w:sz="4" w:space="0" w:color="auto"/>
              <w:right w:val="nil"/>
            </w:tcBorders>
            <w:shd w:val="clear" w:color="auto" w:fill="auto"/>
            <w:vAlign w:val="center"/>
            <w:hideMark/>
          </w:tcPr>
          <w:p w14:paraId="1BED894E"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44" w:type="pct"/>
            <w:tcBorders>
              <w:top w:val="single" w:sz="4" w:space="0" w:color="auto"/>
              <w:left w:val="nil"/>
              <w:bottom w:val="single" w:sz="4" w:space="0" w:color="auto"/>
              <w:right w:val="nil"/>
            </w:tcBorders>
            <w:shd w:val="clear" w:color="auto" w:fill="auto"/>
            <w:vAlign w:val="center"/>
            <w:hideMark/>
          </w:tcPr>
          <w:p w14:paraId="02B92512"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44" w:type="pct"/>
            <w:tcBorders>
              <w:top w:val="single" w:sz="4" w:space="0" w:color="auto"/>
              <w:left w:val="nil"/>
              <w:bottom w:val="single" w:sz="4" w:space="0" w:color="auto"/>
              <w:right w:val="nil"/>
            </w:tcBorders>
            <w:shd w:val="clear" w:color="auto" w:fill="auto"/>
            <w:vAlign w:val="center"/>
            <w:hideMark/>
          </w:tcPr>
          <w:p w14:paraId="13CFCBB4"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78" w:type="pct"/>
            <w:tcBorders>
              <w:top w:val="single" w:sz="4" w:space="0" w:color="auto"/>
              <w:left w:val="nil"/>
              <w:bottom w:val="single" w:sz="4" w:space="0" w:color="auto"/>
              <w:right w:val="nil"/>
            </w:tcBorders>
            <w:shd w:val="clear" w:color="auto" w:fill="auto"/>
            <w:vAlign w:val="center"/>
            <w:hideMark/>
          </w:tcPr>
          <w:p w14:paraId="25C679A8" w14:textId="77777777"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406" w:type="pct"/>
            <w:tcBorders>
              <w:top w:val="single" w:sz="4" w:space="0" w:color="auto"/>
              <w:left w:val="nil"/>
              <w:bottom w:val="single" w:sz="4" w:space="0" w:color="auto"/>
              <w:right w:val="nil"/>
            </w:tcBorders>
            <w:shd w:val="clear" w:color="auto" w:fill="auto"/>
            <w:vAlign w:val="center"/>
            <w:hideMark/>
          </w:tcPr>
          <w:p w14:paraId="4A35F487" w14:textId="5EA27111" w:rsidR="005F51C8" w:rsidRPr="00E65AA7" w:rsidRDefault="005F51C8" w:rsidP="00414183">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sidR="00885FCE">
              <w:rPr>
                <w:rFonts w:eastAsia="Times New Roman"/>
                <w:b/>
                <w:bCs/>
                <w:color w:val="000000"/>
                <w:sz w:val="20"/>
                <w:szCs w:val="20"/>
                <w:lang w:eastAsia="en-MY"/>
              </w:rPr>
              <w:t>0-P1</w:t>
            </w:r>
          </w:p>
        </w:tc>
      </w:tr>
      <w:tr w:rsidR="00414183" w:rsidRPr="00E65AA7" w14:paraId="636777CF" w14:textId="77777777" w:rsidTr="005F51C8">
        <w:trPr>
          <w:trHeight w:hRule="exact" w:val="255"/>
        </w:trPr>
        <w:tc>
          <w:tcPr>
            <w:tcW w:w="739" w:type="pct"/>
            <w:vMerge w:val="restart"/>
            <w:tcBorders>
              <w:top w:val="single" w:sz="4" w:space="0" w:color="auto"/>
              <w:left w:val="nil"/>
              <w:bottom w:val="nil"/>
              <w:right w:val="nil"/>
            </w:tcBorders>
            <w:shd w:val="clear" w:color="auto" w:fill="auto"/>
            <w:noWrap/>
            <w:vAlign w:val="center"/>
            <w:hideMark/>
          </w:tcPr>
          <w:p w14:paraId="3F97AB16" w14:textId="06FA1DB5" w:rsidR="00414183" w:rsidRPr="00E65AA7" w:rsidRDefault="00414183" w:rsidP="00414183">
            <w:pPr>
              <w:rPr>
                <w:rFonts w:eastAsia="Times New Roman"/>
                <w:b/>
                <w:color w:val="000000"/>
                <w:sz w:val="20"/>
                <w:szCs w:val="20"/>
                <w:lang w:eastAsia="en-MY"/>
              </w:rPr>
            </w:pPr>
            <w:r w:rsidRPr="00E65AA7">
              <w:rPr>
                <w:rFonts w:eastAsia="Times New Roman"/>
                <w:b/>
                <w:color w:val="000000"/>
                <w:sz w:val="20"/>
                <w:szCs w:val="20"/>
                <w:lang w:eastAsia="en-MY"/>
              </w:rPr>
              <w:t>Low</w:t>
            </w:r>
          </w:p>
        </w:tc>
        <w:tc>
          <w:tcPr>
            <w:tcW w:w="347" w:type="pct"/>
            <w:vMerge w:val="restart"/>
            <w:tcBorders>
              <w:top w:val="single" w:sz="4" w:space="0" w:color="auto"/>
              <w:left w:val="nil"/>
              <w:right w:val="nil"/>
            </w:tcBorders>
            <w:vAlign w:val="center"/>
          </w:tcPr>
          <w:p w14:paraId="4FBA499F" w14:textId="4AC68A67" w:rsidR="00414183" w:rsidRPr="00E65AA7" w:rsidRDefault="00FC57A2" w:rsidP="00414183">
            <w:pPr>
              <w:jc w:val="center"/>
              <w:rPr>
                <w:rFonts w:eastAsia="Times New Roman"/>
                <w:color w:val="000000"/>
                <w:sz w:val="20"/>
                <w:szCs w:val="20"/>
                <w:lang w:eastAsia="en-MY"/>
              </w:rPr>
            </w:pPr>
            <w:r w:rsidRPr="00E65AA7">
              <w:rPr>
                <w:rFonts w:eastAsia="Times New Roman"/>
                <w:color w:val="000000"/>
                <w:sz w:val="20"/>
                <w:szCs w:val="20"/>
                <w:lang w:eastAsia="en-MY"/>
              </w:rPr>
              <w:t>121</w:t>
            </w:r>
          </w:p>
        </w:tc>
        <w:tc>
          <w:tcPr>
            <w:tcW w:w="378" w:type="pct"/>
            <w:tcBorders>
              <w:top w:val="single" w:sz="4" w:space="0" w:color="auto"/>
              <w:left w:val="nil"/>
              <w:bottom w:val="nil"/>
              <w:right w:val="nil"/>
            </w:tcBorders>
            <w:shd w:val="clear" w:color="auto" w:fill="auto"/>
            <w:noWrap/>
            <w:vAlign w:val="center"/>
            <w:hideMark/>
          </w:tcPr>
          <w:p w14:paraId="0397753D" w14:textId="50EF809C" w:rsidR="00414183" w:rsidRPr="00E65AA7" w:rsidRDefault="00414183" w:rsidP="00414183">
            <w:pPr>
              <w:jc w:val="center"/>
              <w:rPr>
                <w:color w:val="000000"/>
                <w:sz w:val="20"/>
                <w:szCs w:val="20"/>
              </w:rPr>
            </w:pPr>
            <w:r w:rsidRPr="00E65AA7">
              <w:rPr>
                <w:color w:val="000000"/>
                <w:sz w:val="20"/>
                <w:szCs w:val="20"/>
              </w:rPr>
              <w:t>1.03</w:t>
            </w:r>
          </w:p>
        </w:tc>
        <w:tc>
          <w:tcPr>
            <w:tcW w:w="343" w:type="pct"/>
            <w:tcBorders>
              <w:top w:val="single" w:sz="4" w:space="0" w:color="auto"/>
              <w:left w:val="nil"/>
              <w:bottom w:val="nil"/>
              <w:right w:val="nil"/>
            </w:tcBorders>
            <w:shd w:val="clear" w:color="auto" w:fill="auto"/>
            <w:noWrap/>
            <w:vAlign w:val="center"/>
            <w:hideMark/>
          </w:tcPr>
          <w:p w14:paraId="64795B7B" w14:textId="364B7B6F" w:rsidR="00414183" w:rsidRPr="00E65AA7" w:rsidRDefault="00414183" w:rsidP="00414183">
            <w:pPr>
              <w:jc w:val="center"/>
              <w:rPr>
                <w:color w:val="000000"/>
                <w:sz w:val="20"/>
                <w:szCs w:val="20"/>
              </w:rPr>
            </w:pPr>
            <w:r w:rsidRPr="00E65AA7">
              <w:rPr>
                <w:color w:val="000000"/>
                <w:sz w:val="20"/>
                <w:szCs w:val="20"/>
              </w:rPr>
              <w:t>1.29</w:t>
            </w:r>
          </w:p>
        </w:tc>
        <w:tc>
          <w:tcPr>
            <w:tcW w:w="344" w:type="pct"/>
            <w:tcBorders>
              <w:top w:val="single" w:sz="4" w:space="0" w:color="auto"/>
              <w:left w:val="nil"/>
              <w:bottom w:val="nil"/>
              <w:right w:val="nil"/>
            </w:tcBorders>
            <w:shd w:val="clear" w:color="auto" w:fill="auto"/>
            <w:noWrap/>
            <w:vAlign w:val="center"/>
            <w:hideMark/>
          </w:tcPr>
          <w:p w14:paraId="1EB771FA" w14:textId="74410791" w:rsidR="00414183" w:rsidRPr="00E65AA7" w:rsidRDefault="00414183" w:rsidP="00414183">
            <w:pPr>
              <w:jc w:val="center"/>
              <w:rPr>
                <w:color w:val="000000"/>
                <w:sz w:val="20"/>
                <w:szCs w:val="20"/>
              </w:rPr>
            </w:pPr>
            <w:r w:rsidRPr="00E65AA7">
              <w:rPr>
                <w:color w:val="000000"/>
                <w:sz w:val="20"/>
                <w:szCs w:val="20"/>
              </w:rPr>
              <w:t>1.28</w:t>
            </w:r>
          </w:p>
        </w:tc>
        <w:tc>
          <w:tcPr>
            <w:tcW w:w="344" w:type="pct"/>
            <w:tcBorders>
              <w:top w:val="single" w:sz="4" w:space="0" w:color="auto"/>
              <w:left w:val="nil"/>
              <w:bottom w:val="nil"/>
              <w:right w:val="nil"/>
            </w:tcBorders>
            <w:shd w:val="clear" w:color="auto" w:fill="auto"/>
            <w:noWrap/>
            <w:vAlign w:val="center"/>
            <w:hideMark/>
          </w:tcPr>
          <w:p w14:paraId="7E9C33B2" w14:textId="1EA7B140" w:rsidR="00414183" w:rsidRPr="00E65AA7" w:rsidRDefault="00414183" w:rsidP="00414183">
            <w:pPr>
              <w:jc w:val="center"/>
              <w:rPr>
                <w:color w:val="000000"/>
                <w:sz w:val="20"/>
                <w:szCs w:val="20"/>
              </w:rPr>
            </w:pPr>
            <w:r w:rsidRPr="00E65AA7">
              <w:rPr>
                <w:color w:val="000000"/>
                <w:sz w:val="20"/>
                <w:szCs w:val="20"/>
              </w:rPr>
              <w:t>1.46</w:t>
            </w:r>
          </w:p>
        </w:tc>
        <w:tc>
          <w:tcPr>
            <w:tcW w:w="344" w:type="pct"/>
            <w:tcBorders>
              <w:top w:val="single" w:sz="4" w:space="0" w:color="auto"/>
              <w:left w:val="nil"/>
              <w:bottom w:val="nil"/>
              <w:right w:val="nil"/>
            </w:tcBorders>
            <w:shd w:val="clear" w:color="auto" w:fill="auto"/>
            <w:noWrap/>
            <w:vAlign w:val="center"/>
            <w:hideMark/>
          </w:tcPr>
          <w:p w14:paraId="4978367D" w14:textId="30078712" w:rsidR="00414183" w:rsidRPr="00E65AA7" w:rsidRDefault="00414183" w:rsidP="00414183">
            <w:pPr>
              <w:jc w:val="center"/>
              <w:rPr>
                <w:color w:val="000000"/>
                <w:sz w:val="20"/>
                <w:szCs w:val="20"/>
              </w:rPr>
            </w:pPr>
            <w:r w:rsidRPr="00E65AA7">
              <w:rPr>
                <w:color w:val="000000"/>
                <w:sz w:val="20"/>
                <w:szCs w:val="20"/>
              </w:rPr>
              <w:t>1.62</w:t>
            </w:r>
          </w:p>
        </w:tc>
        <w:tc>
          <w:tcPr>
            <w:tcW w:w="344" w:type="pct"/>
            <w:tcBorders>
              <w:top w:val="single" w:sz="4" w:space="0" w:color="auto"/>
              <w:left w:val="nil"/>
              <w:bottom w:val="nil"/>
              <w:right w:val="nil"/>
            </w:tcBorders>
            <w:shd w:val="clear" w:color="auto" w:fill="auto"/>
            <w:noWrap/>
            <w:vAlign w:val="center"/>
            <w:hideMark/>
          </w:tcPr>
          <w:p w14:paraId="23CF38F2" w14:textId="3A570A58" w:rsidR="00414183" w:rsidRPr="00E65AA7" w:rsidRDefault="00414183" w:rsidP="00414183">
            <w:pPr>
              <w:jc w:val="center"/>
              <w:rPr>
                <w:color w:val="000000"/>
                <w:sz w:val="20"/>
                <w:szCs w:val="20"/>
              </w:rPr>
            </w:pPr>
            <w:r w:rsidRPr="00E65AA7">
              <w:rPr>
                <w:color w:val="000000"/>
                <w:sz w:val="20"/>
                <w:szCs w:val="20"/>
              </w:rPr>
              <w:t>1.73</w:t>
            </w:r>
          </w:p>
        </w:tc>
        <w:tc>
          <w:tcPr>
            <w:tcW w:w="344" w:type="pct"/>
            <w:tcBorders>
              <w:top w:val="single" w:sz="4" w:space="0" w:color="auto"/>
              <w:left w:val="nil"/>
              <w:bottom w:val="nil"/>
              <w:right w:val="nil"/>
            </w:tcBorders>
            <w:shd w:val="clear" w:color="auto" w:fill="auto"/>
            <w:noWrap/>
            <w:vAlign w:val="center"/>
            <w:hideMark/>
          </w:tcPr>
          <w:p w14:paraId="5FC86617" w14:textId="57767875" w:rsidR="00414183" w:rsidRPr="00E65AA7" w:rsidRDefault="00414183" w:rsidP="00414183">
            <w:pPr>
              <w:jc w:val="center"/>
              <w:rPr>
                <w:color w:val="000000"/>
                <w:sz w:val="20"/>
                <w:szCs w:val="20"/>
              </w:rPr>
            </w:pPr>
            <w:r w:rsidRPr="00E65AA7">
              <w:rPr>
                <w:color w:val="000000"/>
                <w:sz w:val="20"/>
                <w:szCs w:val="20"/>
              </w:rPr>
              <w:t>1.80</w:t>
            </w:r>
          </w:p>
        </w:tc>
        <w:tc>
          <w:tcPr>
            <w:tcW w:w="344" w:type="pct"/>
            <w:tcBorders>
              <w:top w:val="single" w:sz="4" w:space="0" w:color="auto"/>
              <w:left w:val="nil"/>
              <w:bottom w:val="nil"/>
              <w:right w:val="nil"/>
            </w:tcBorders>
            <w:shd w:val="clear" w:color="auto" w:fill="auto"/>
            <w:noWrap/>
            <w:vAlign w:val="center"/>
            <w:hideMark/>
          </w:tcPr>
          <w:p w14:paraId="260179D1" w14:textId="23150A97" w:rsidR="00414183" w:rsidRPr="00E65AA7" w:rsidRDefault="00414183" w:rsidP="00414183">
            <w:pPr>
              <w:jc w:val="center"/>
              <w:rPr>
                <w:color w:val="000000"/>
                <w:sz w:val="20"/>
                <w:szCs w:val="20"/>
              </w:rPr>
            </w:pPr>
            <w:r w:rsidRPr="00E65AA7">
              <w:rPr>
                <w:color w:val="000000"/>
                <w:sz w:val="20"/>
                <w:szCs w:val="20"/>
              </w:rPr>
              <w:t>2.15</w:t>
            </w:r>
          </w:p>
        </w:tc>
        <w:tc>
          <w:tcPr>
            <w:tcW w:w="344" w:type="pct"/>
            <w:tcBorders>
              <w:top w:val="single" w:sz="4" w:space="0" w:color="auto"/>
              <w:left w:val="nil"/>
              <w:bottom w:val="nil"/>
              <w:right w:val="nil"/>
            </w:tcBorders>
            <w:shd w:val="clear" w:color="auto" w:fill="auto"/>
            <w:noWrap/>
            <w:vAlign w:val="center"/>
            <w:hideMark/>
          </w:tcPr>
          <w:p w14:paraId="21AB0B43" w14:textId="41FFCD83" w:rsidR="00414183" w:rsidRPr="00E65AA7" w:rsidRDefault="00414183" w:rsidP="00414183">
            <w:pPr>
              <w:jc w:val="center"/>
              <w:rPr>
                <w:color w:val="000000"/>
                <w:sz w:val="20"/>
                <w:szCs w:val="20"/>
              </w:rPr>
            </w:pPr>
            <w:r w:rsidRPr="00E65AA7">
              <w:rPr>
                <w:color w:val="000000"/>
                <w:sz w:val="20"/>
                <w:szCs w:val="20"/>
              </w:rPr>
              <w:t>2.28</w:t>
            </w:r>
          </w:p>
        </w:tc>
        <w:tc>
          <w:tcPr>
            <w:tcW w:w="378" w:type="pct"/>
            <w:tcBorders>
              <w:top w:val="single" w:sz="4" w:space="0" w:color="auto"/>
              <w:left w:val="nil"/>
              <w:bottom w:val="nil"/>
              <w:right w:val="nil"/>
            </w:tcBorders>
            <w:shd w:val="clear" w:color="auto" w:fill="auto"/>
            <w:noWrap/>
            <w:vAlign w:val="center"/>
            <w:hideMark/>
          </w:tcPr>
          <w:p w14:paraId="39DBD5FE" w14:textId="689363AA" w:rsidR="00414183" w:rsidRPr="00E65AA7" w:rsidRDefault="00414183" w:rsidP="00414183">
            <w:pPr>
              <w:jc w:val="center"/>
              <w:rPr>
                <w:color w:val="000000"/>
                <w:sz w:val="20"/>
                <w:szCs w:val="20"/>
              </w:rPr>
            </w:pPr>
            <w:r w:rsidRPr="00E65AA7">
              <w:rPr>
                <w:color w:val="000000"/>
                <w:sz w:val="20"/>
                <w:szCs w:val="20"/>
              </w:rPr>
              <w:t>2.69</w:t>
            </w:r>
          </w:p>
        </w:tc>
        <w:tc>
          <w:tcPr>
            <w:tcW w:w="406" w:type="pct"/>
            <w:tcBorders>
              <w:top w:val="single" w:sz="4" w:space="0" w:color="auto"/>
              <w:left w:val="nil"/>
              <w:bottom w:val="nil"/>
              <w:right w:val="nil"/>
            </w:tcBorders>
            <w:shd w:val="clear" w:color="auto" w:fill="auto"/>
            <w:noWrap/>
            <w:vAlign w:val="center"/>
            <w:hideMark/>
          </w:tcPr>
          <w:p w14:paraId="41AD4425" w14:textId="7D8F4059" w:rsidR="00414183" w:rsidRPr="00E65AA7" w:rsidRDefault="00414183" w:rsidP="00414183">
            <w:pPr>
              <w:jc w:val="center"/>
              <w:rPr>
                <w:color w:val="000000"/>
                <w:sz w:val="20"/>
                <w:szCs w:val="20"/>
              </w:rPr>
            </w:pPr>
            <w:r w:rsidRPr="00E65AA7">
              <w:rPr>
                <w:color w:val="000000"/>
                <w:sz w:val="20"/>
                <w:szCs w:val="20"/>
              </w:rPr>
              <w:t>1.67</w:t>
            </w:r>
          </w:p>
        </w:tc>
      </w:tr>
      <w:tr w:rsidR="00414183" w:rsidRPr="00E65AA7" w14:paraId="69B4BAB7" w14:textId="77777777" w:rsidTr="005F51C8">
        <w:trPr>
          <w:trHeight w:hRule="exact" w:val="255"/>
        </w:trPr>
        <w:tc>
          <w:tcPr>
            <w:tcW w:w="739" w:type="pct"/>
            <w:vMerge/>
            <w:tcBorders>
              <w:top w:val="nil"/>
              <w:left w:val="nil"/>
              <w:right w:val="nil"/>
            </w:tcBorders>
            <w:vAlign w:val="center"/>
            <w:hideMark/>
          </w:tcPr>
          <w:p w14:paraId="136C3850" w14:textId="77777777" w:rsidR="00414183" w:rsidRPr="00E65AA7" w:rsidRDefault="00414183" w:rsidP="00414183">
            <w:pPr>
              <w:rPr>
                <w:rFonts w:eastAsia="Times New Roman"/>
                <w:b/>
                <w:color w:val="000000"/>
                <w:sz w:val="20"/>
                <w:szCs w:val="20"/>
                <w:lang w:eastAsia="en-MY"/>
              </w:rPr>
            </w:pPr>
          </w:p>
        </w:tc>
        <w:tc>
          <w:tcPr>
            <w:tcW w:w="347" w:type="pct"/>
            <w:vMerge/>
            <w:tcBorders>
              <w:left w:val="nil"/>
              <w:right w:val="nil"/>
            </w:tcBorders>
            <w:vAlign w:val="center"/>
          </w:tcPr>
          <w:p w14:paraId="0B837C8F" w14:textId="77777777" w:rsidR="00414183" w:rsidRPr="00E65AA7" w:rsidRDefault="00414183" w:rsidP="00414183">
            <w:pPr>
              <w:jc w:val="center"/>
              <w:rPr>
                <w:rFonts w:eastAsia="Times New Roman"/>
                <w:sz w:val="20"/>
                <w:szCs w:val="20"/>
                <w:lang w:eastAsia="en-MY"/>
              </w:rPr>
            </w:pPr>
          </w:p>
        </w:tc>
        <w:tc>
          <w:tcPr>
            <w:tcW w:w="378" w:type="pct"/>
            <w:tcBorders>
              <w:top w:val="nil"/>
              <w:left w:val="nil"/>
              <w:right w:val="nil"/>
            </w:tcBorders>
            <w:shd w:val="clear" w:color="auto" w:fill="auto"/>
            <w:noWrap/>
            <w:vAlign w:val="center"/>
            <w:hideMark/>
          </w:tcPr>
          <w:p w14:paraId="262377F0" w14:textId="7C8640CF" w:rsidR="00414183" w:rsidRPr="00E65AA7" w:rsidRDefault="00414183" w:rsidP="00414183">
            <w:pPr>
              <w:jc w:val="center"/>
              <w:rPr>
                <w:color w:val="000000"/>
                <w:sz w:val="20"/>
                <w:szCs w:val="20"/>
              </w:rPr>
            </w:pPr>
            <w:r w:rsidRPr="00E65AA7">
              <w:rPr>
                <w:color w:val="000000"/>
                <w:sz w:val="20"/>
                <w:szCs w:val="20"/>
              </w:rPr>
              <w:t>(3.03)</w:t>
            </w:r>
          </w:p>
        </w:tc>
        <w:tc>
          <w:tcPr>
            <w:tcW w:w="343" w:type="pct"/>
            <w:tcBorders>
              <w:top w:val="nil"/>
              <w:left w:val="nil"/>
              <w:right w:val="nil"/>
            </w:tcBorders>
            <w:shd w:val="clear" w:color="auto" w:fill="auto"/>
            <w:noWrap/>
            <w:vAlign w:val="center"/>
            <w:hideMark/>
          </w:tcPr>
          <w:p w14:paraId="39BCFE77" w14:textId="236C8A2B" w:rsidR="00414183" w:rsidRPr="00E65AA7" w:rsidRDefault="00414183" w:rsidP="00414183">
            <w:pPr>
              <w:jc w:val="center"/>
              <w:rPr>
                <w:color w:val="000000"/>
                <w:sz w:val="20"/>
                <w:szCs w:val="20"/>
              </w:rPr>
            </w:pPr>
            <w:r w:rsidRPr="00E65AA7">
              <w:rPr>
                <w:color w:val="000000"/>
                <w:sz w:val="20"/>
                <w:szCs w:val="20"/>
              </w:rPr>
              <w:t>(3.28)</w:t>
            </w:r>
          </w:p>
        </w:tc>
        <w:tc>
          <w:tcPr>
            <w:tcW w:w="344" w:type="pct"/>
            <w:tcBorders>
              <w:top w:val="nil"/>
              <w:left w:val="nil"/>
              <w:right w:val="nil"/>
            </w:tcBorders>
            <w:shd w:val="clear" w:color="auto" w:fill="auto"/>
            <w:noWrap/>
            <w:vAlign w:val="center"/>
            <w:hideMark/>
          </w:tcPr>
          <w:p w14:paraId="227AF1A0" w14:textId="31E7ECE2" w:rsidR="00414183" w:rsidRPr="00E65AA7" w:rsidRDefault="00414183" w:rsidP="00414183">
            <w:pPr>
              <w:jc w:val="center"/>
              <w:rPr>
                <w:color w:val="000000"/>
                <w:sz w:val="20"/>
                <w:szCs w:val="20"/>
              </w:rPr>
            </w:pPr>
            <w:r w:rsidRPr="00E65AA7">
              <w:rPr>
                <w:color w:val="000000"/>
                <w:sz w:val="20"/>
                <w:szCs w:val="20"/>
              </w:rPr>
              <w:t>(2.83)</w:t>
            </w:r>
          </w:p>
        </w:tc>
        <w:tc>
          <w:tcPr>
            <w:tcW w:w="344" w:type="pct"/>
            <w:tcBorders>
              <w:top w:val="nil"/>
              <w:left w:val="nil"/>
              <w:right w:val="nil"/>
            </w:tcBorders>
            <w:shd w:val="clear" w:color="auto" w:fill="auto"/>
            <w:noWrap/>
            <w:vAlign w:val="center"/>
            <w:hideMark/>
          </w:tcPr>
          <w:p w14:paraId="61944B28" w14:textId="648E2E68" w:rsidR="00414183" w:rsidRPr="00E65AA7" w:rsidRDefault="00414183" w:rsidP="00414183">
            <w:pPr>
              <w:jc w:val="center"/>
              <w:rPr>
                <w:color w:val="000000"/>
                <w:sz w:val="20"/>
                <w:szCs w:val="20"/>
              </w:rPr>
            </w:pPr>
            <w:r w:rsidRPr="00E65AA7">
              <w:rPr>
                <w:color w:val="000000"/>
                <w:sz w:val="20"/>
                <w:szCs w:val="20"/>
              </w:rPr>
              <w:t>(3.04)</w:t>
            </w:r>
          </w:p>
        </w:tc>
        <w:tc>
          <w:tcPr>
            <w:tcW w:w="344" w:type="pct"/>
            <w:tcBorders>
              <w:top w:val="nil"/>
              <w:left w:val="nil"/>
              <w:right w:val="nil"/>
            </w:tcBorders>
            <w:shd w:val="clear" w:color="auto" w:fill="auto"/>
            <w:noWrap/>
            <w:vAlign w:val="center"/>
            <w:hideMark/>
          </w:tcPr>
          <w:p w14:paraId="11143B0A" w14:textId="6AFB3163" w:rsidR="00414183" w:rsidRPr="00E65AA7" w:rsidRDefault="00414183" w:rsidP="00414183">
            <w:pPr>
              <w:jc w:val="center"/>
              <w:rPr>
                <w:color w:val="000000"/>
                <w:sz w:val="20"/>
                <w:szCs w:val="20"/>
              </w:rPr>
            </w:pPr>
            <w:r w:rsidRPr="00E65AA7">
              <w:rPr>
                <w:color w:val="000000"/>
                <w:sz w:val="20"/>
                <w:szCs w:val="20"/>
              </w:rPr>
              <w:t>(3.11)</w:t>
            </w:r>
          </w:p>
        </w:tc>
        <w:tc>
          <w:tcPr>
            <w:tcW w:w="344" w:type="pct"/>
            <w:tcBorders>
              <w:top w:val="nil"/>
              <w:left w:val="nil"/>
              <w:right w:val="nil"/>
            </w:tcBorders>
            <w:shd w:val="clear" w:color="auto" w:fill="auto"/>
            <w:noWrap/>
            <w:vAlign w:val="center"/>
            <w:hideMark/>
          </w:tcPr>
          <w:p w14:paraId="5029ABA0" w14:textId="1632679E" w:rsidR="00414183" w:rsidRPr="00E65AA7" w:rsidRDefault="00414183" w:rsidP="00414183">
            <w:pPr>
              <w:jc w:val="center"/>
              <w:rPr>
                <w:color w:val="000000"/>
                <w:sz w:val="20"/>
                <w:szCs w:val="20"/>
              </w:rPr>
            </w:pPr>
            <w:r w:rsidRPr="00E65AA7">
              <w:rPr>
                <w:color w:val="000000"/>
                <w:sz w:val="20"/>
                <w:szCs w:val="20"/>
              </w:rPr>
              <w:t>(3.11)</w:t>
            </w:r>
          </w:p>
        </w:tc>
        <w:tc>
          <w:tcPr>
            <w:tcW w:w="344" w:type="pct"/>
            <w:tcBorders>
              <w:top w:val="nil"/>
              <w:left w:val="nil"/>
              <w:right w:val="nil"/>
            </w:tcBorders>
            <w:shd w:val="clear" w:color="auto" w:fill="auto"/>
            <w:noWrap/>
            <w:vAlign w:val="center"/>
            <w:hideMark/>
          </w:tcPr>
          <w:p w14:paraId="69A9ED6B" w14:textId="5A90BE8E" w:rsidR="00414183" w:rsidRPr="00E65AA7" w:rsidRDefault="00414183" w:rsidP="00414183">
            <w:pPr>
              <w:jc w:val="center"/>
              <w:rPr>
                <w:color w:val="000000"/>
                <w:sz w:val="20"/>
                <w:szCs w:val="20"/>
              </w:rPr>
            </w:pPr>
            <w:r w:rsidRPr="00E65AA7">
              <w:rPr>
                <w:color w:val="000000"/>
                <w:sz w:val="20"/>
                <w:szCs w:val="20"/>
              </w:rPr>
              <w:t>(3.04)</w:t>
            </w:r>
          </w:p>
        </w:tc>
        <w:tc>
          <w:tcPr>
            <w:tcW w:w="344" w:type="pct"/>
            <w:tcBorders>
              <w:top w:val="nil"/>
              <w:left w:val="nil"/>
              <w:right w:val="nil"/>
            </w:tcBorders>
            <w:shd w:val="clear" w:color="auto" w:fill="auto"/>
            <w:noWrap/>
            <w:vAlign w:val="center"/>
            <w:hideMark/>
          </w:tcPr>
          <w:p w14:paraId="370608F9" w14:textId="41D5AC73" w:rsidR="00414183" w:rsidRPr="00E65AA7" w:rsidRDefault="00414183" w:rsidP="00414183">
            <w:pPr>
              <w:jc w:val="center"/>
              <w:rPr>
                <w:color w:val="000000"/>
                <w:sz w:val="20"/>
                <w:szCs w:val="20"/>
              </w:rPr>
            </w:pPr>
            <w:r w:rsidRPr="00E65AA7">
              <w:rPr>
                <w:color w:val="000000"/>
                <w:sz w:val="20"/>
                <w:szCs w:val="20"/>
              </w:rPr>
              <w:t>(3.28)</w:t>
            </w:r>
          </w:p>
        </w:tc>
        <w:tc>
          <w:tcPr>
            <w:tcW w:w="344" w:type="pct"/>
            <w:tcBorders>
              <w:top w:val="nil"/>
              <w:left w:val="nil"/>
              <w:right w:val="nil"/>
            </w:tcBorders>
            <w:shd w:val="clear" w:color="auto" w:fill="auto"/>
            <w:noWrap/>
            <w:vAlign w:val="center"/>
            <w:hideMark/>
          </w:tcPr>
          <w:p w14:paraId="7D930FE5" w14:textId="31D621BA" w:rsidR="00414183" w:rsidRPr="00E65AA7" w:rsidRDefault="00414183" w:rsidP="00414183">
            <w:pPr>
              <w:jc w:val="center"/>
              <w:rPr>
                <w:color w:val="000000"/>
                <w:sz w:val="20"/>
                <w:szCs w:val="20"/>
              </w:rPr>
            </w:pPr>
            <w:r w:rsidRPr="00E65AA7">
              <w:rPr>
                <w:color w:val="000000"/>
                <w:sz w:val="20"/>
                <w:szCs w:val="20"/>
              </w:rPr>
              <w:t>(3.16)</w:t>
            </w:r>
          </w:p>
        </w:tc>
        <w:tc>
          <w:tcPr>
            <w:tcW w:w="378" w:type="pct"/>
            <w:tcBorders>
              <w:top w:val="nil"/>
              <w:left w:val="nil"/>
              <w:right w:val="nil"/>
            </w:tcBorders>
            <w:shd w:val="clear" w:color="auto" w:fill="auto"/>
            <w:noWrap/>
            <w:vAlign w:val="center"/>
            <w:hideMark/>
          </w:tcPr>
          <w:p w14:paraId="0DD5C36C" w14:textId="5F338ACD" w:rsidR="00414183" w:rsidRPr="00E65AA7" w:rsidRDefault="00414183" w:rsidP="00414183">
            <w:pPr>
              <w:jc w:val="center"/>
              <w:rPr>
                <w:color w:val="000000"/>
                <w:sz w:val="20"/>
                <w:szCs w:val="20"/>
              </w:rPr>
            </w:pPr>
            <w:r w:rsidRPr="00E65AA7">
              <w:rPr>
                <w:color w:val="000000"/>
                <w:sz w:val="20"/>
                <w:szCs w:val="20"/>
              </w:rPr>
              <w:t>(3.2</w:t>
            </w:r>
            <w:r w:rsidR="00027811" w:rsidRPr="00E65AA7">
              <w:rPr>
                <w:color w:val="000000"/>
                <w:sz w:val="20"/>
                <w:szCs w:val="20"/>
              </w:rPr>
              <w:t>0</w:t>
            </w:r>
            <w:r w:rsidRPr="00E65AA7">
              <w:rPr>
                <w:color w:val="000000"/>
                <w:sz w:val="20"/>
                <w:szCs w:val="20"/>
              </w:rPr>
              <w:t>)</w:t>
            </w:r>
          </w:p>
        </w:tc>
        <w:tc>
          <w:tcPr>
            <w:tcW w:w="406" w:type="pct"/>
            <w:tcBorders>
              <w:top w:val="nil"/>
              <w:left w:val="nil"/>
              <w:right w:val="nil"/>
            </w:tcBorders>
            <w:shd w:val="clear" w:color="auto" w:fill="auto"/>
            <w:noWrap/>
            <w:vAlign w:val="center"/>
            <w:hideMark/>
          </w:tcPr>
          <w:p w14:paraId="5CB6CA31" w14:textId="18111134" w:rsidR="00414183" w:rsidRPr="00E65AA7" w:rsidRDefault="00414183" w:rsidP="00414183">
            <w:pPr>
              <w:jc w:val="center"/>
              <w:rPr>
                <w:color w:val="000000"/>
                <w:sz w:val="20"/>
                <w:szCs w:val="20"/>
              </w:rPr>
            </w:pPr>
            <w:r w:rsidRPr="00E65AA7">
              <w:rPr>
                <w:color w:val="000000"/>
                <w:sz w:val="20"/>
                <w:szCs w:val="20"/>
              </w:rPr>
              <w:t>(2.74)</w:t>
            </w:r>
          </w:p>
        </w:tc>
      </w:tr>
      <w:tr w:rsidR="00414183" w:rsidRPr="00E65AA7" w14:paraId="36A59DD1" w14:textId="77777777" w:rsidTr="005F51C8">
        <w:trPr>
          <w:trHeight w:hRule="exact" w:val="255"/>
        </w:trPr>
        <w:tc>
          <w:tcPr>
            <w:tcW w:w="739" w:type="pct"/>
            <w:vMerge w:val="restart"/>
            <w:tcBorders>
              <w:top w:val="nil"/>
              <w:left w:val="nil"/>
              <w:right w:val="nil"/>
            </w:tcBorders>
            <w:vAlign w:val="center"/>
          </w:tcPr>
          <w:p w14:paraId="7583AC06" w14:textId="3382C923" w:rsidR="00414183" w:rsidRPr="00E65AA7" w:rsidRDefault="00414183" w:rsidP="00414183">
            <w:pPr>
              <w:rPr>
                <w:rFonts w:eastAsia="Times New Roman"/>
                <w:b/>
                <w:color w:val="000000"/>
                <w:sz w:val="20"/>
                <w:szCs w:val="20"/>
                <w:lang w:eastAsia="en-MY"/>
              </w:rPr>
            </w:pPr>
            <w:r w:rsidRPr="00E65AA7">
              <w:rPr>
                <w:rFonts w:eastAsia="Times New Roman"/>
                <w:b/>
                <w:color w:val="000000"/>
                <w:sz w:val="20"/>
                <w:szCs w:val="20"/>
                <w:lang w:eastAsia="en-MY"/>
              </w:rPr>
              <w:t>2</w:t>
            </w:r>
          </w:p>
        </w:tc>
        <w:tc>
          <w:tcPr>
            <w:tcW w:w="347" w:type="pct"/>
            <w:vMerge w:val="restart"/>
            <w:tcBorders>
              <w:left w:val="nil"/>
              <w:right w:val="nil"/>
            </w:tcBorders>
            <w:vAlign w:val="center"/>
          </w:tcPr>
          <w:p w14:paraId="576B6048" w14:textId="7B1CBB02" w:rsidR="00414183" w:rsidRPr="00E65AA7" w:rsidRDefault="00FC57A2" w:rsidP="00414183">
            <w:pPr>
              <w:jc w:val="center"/>
              <w:rPr>
                <w:rFonts w:eastAsia="Times New Roman"/>
                <w:sz w:val="20"/>
                <w:szCs w:val="20"/>
                <w:lang w:eastAsia="en-MY"/>
              </w:rPr>
            </w:pPr>
            <w:r w:rsidRPr="00E65AA7">
              <w:rPr>
                <w:rFonts w:eastAsia="Times New Roman"/>
                <w:color w:val="000000"/>
                <w:sz w:val="20"/>
                <w:szCs w:val="20"/>
                <w:lang w:eastAsia="en-MY"/>
              </w:rPr>
              <w:t>117</w:t>
            </w:r>
          </w:p>
        </w:tc>
        <w:tc>
          <w:tcPr>
            <w:tcW w:w="378" w:type="pct"/>
            <w:tcBorders>
              <w:top w:val="nil"/>
              <w:left w:val="nil"/>
              <w:bottom w:val="nil"/>
              <w:right w:val="nil"/>
            </w:tcBorders>
            <w:shd w:val="clear" w:color="auto" w:fill="auto"/>
            <w:noWrap/>
            <w:vAlign w:val="center"/>
          </w:tcPr>
          <w:p w14:paraId="4D599EF8" w14:textId="3380AD08" w:rsidR="00414183" w:rsidRPr="00E65AA7" w:rsidRDefault="00414183" w:rsidP="00414183">
            <w:pPr>
              <w:jc w:val="center"/>
              <w:rPr>
                <w:color w:val="000000"/>
                <w:sz w:val="20"/>
                <w:szCs w:val="20"/>
              </w:rPr>
            </w:pPr>
            <w:r w:rsidRPr="00E65AA7">
              <w:rPr>
                <w:color w:val="000000"/>
                <w:sz w:val="20"/>
                <w:szCs w:val="20"/>
              </w:rPr>
              <w:t>1.10</w:t>
            </w:r>
          </w:p>
        </w:tc>
        <w:tc>
          <w:tcPr>
            <w:tcW w:w="343" w:type="pct"/>
            <w:tcBorders>
              <w:top w:val="nil"/>
              <w:left w:val="nil"/>
              <w:bottom w:val="nil"/>
              <w:right w:val="nil"/>
            </w:tcBorders>
            <w:shd w:val="clear" w:color="auto" w:fill="auto"/>
            <w:noWrap/>
            <w:vAlign w:val="center"/>
          </w:tcPr>
          <w:p w14:paraId="023470C1" w14:textId="089E789F" w:rsidR="00414183" w:rsidRPr="00E65AA7" w:rsidRDefault="00414183" w:rsidP="00414183">
            <w:pPr>
              <w:jc w:val="center"/>
              <w:rPr>
                <w:color w:val="000000"/>
                <w:sz w:val="20"/>
                <w:szCs w:val="20"/>
              </w:rPr>
            </w:pPr>
            <w:r w:rsidRPr="00E65AA7">
              <w:rPr>
                <w:color w:val="000000"/>
                <w:sz w:val="20"/>
                <w:szCs w:val="20"/>
              </w:rPr>
              <w:t>1.27</w:t>
            </w:r>
          </w:p>
        </w:tc>
        <w:tc>
          <w:tcPr>
            <w:tcW w:w="344" w:type="pct"/>
            <w:tcBorders>
              <w:top w:val="nil"/>
              <w:left w:val="nil"/>
              <w:bottom w:val="nil"/>
              <w:right w:val="nil"/>
            </w:tcBorders>
            <w:shd w:val="clear" w:color="auto" w:fill="auto"/>
            <w:noWrap/>
            <w:vAlign w:val="center"/>
          </w:tcPr>
          <w:p w14:paraId="30D65BBB" w14:textId="2F40CF22" w:rsidR="00414183" w:rsidRPr="00E65AA7" w:rsidRDefault="00414183" w:rsidP="00414183">
            <w:pPr>
              <w:jc w:val="center"/>
              <w:rPr>
                <w:color w:val="000000"/>
                <w:sz w:val="20"/>
                <w:szCs w:val="20"/>
              </w:rPr>
            </w:pPr>
            <w:r w:rsidRPr="00E65AA7">
              <w:rPr>
                <w:color w:val="000000"/>
                <w:sz w:val="20"/>
                <w:szCs w:val="20"/>
              </w:rPr>
              <w:t>1.36</w:t>
            </w:r>
          </w:p>
        </w:tc>
        <w:tc>
          <w:tcPr>
            <w:tcW w:w="344" w:type="pct"/>
            <w:tcBorders>
              <w:top w:val="nil"/>
              <w:left w:val="nil"/>
              <w:bottom w:val="nil"/>
              <w:right w:val="nil"/>
            </w:tcBorders>
            <w:shd w:val="clear" w:color="auto" w:fill="auto"/>
            <w:noWrap/>
            <w:vAlign w:val="center"/>
          </w:tcPr>
          <w:p w14:paraId="2A89D095" w14:textId="7DD5FEFF" w:rsidR="00414183" w:rsidRPr="00E65AA7" w:rsidRDefault="00414183" w:rsidP="00414183">
            <w:pPr>
              <w:jc w:val="center"/>
              <w:rPr>
                <w:color w:val="000000"/>
                <w:sz w:val="20"/>
                <w:szCs w:val="20"/>
              </w:rPr>
            </w:pPr>
            <w:r w:rsidRPr="00E65AA7">
              <w:rPr>
                <w:color w:val="000000"/>
                <w:sz w:val="20"/>
                <w:szCs w:val="20"/>
              </w:rPr>
              <w:t>1.52</w:t>
            </w:r>
          </w:p>
        </w:tc>
        <w:tc>
          <w:tcPr>
            <w:tcW w:w="344" w:type="pct"/>
            <w:tcBorders>
              <w:top w:val="nil"/>
              <w:left w:val="nil"/>
              <w:bottom w:val="nil"/>
              <w:right w:val="nil"/>
            </w:tcBorders>
            <w:shd w:val="clear" w:color="auto" w:fill="auto"/>
            <w:noWrap/>
            <w:vAlign w:val="center"/>
          </w:tcPr>
          <w:p w14:paraId="04139EBA" w14:textId="60E3469C" w:rsidR="00414183" w:rsidRPr="00E65AA7" w:rsidRDefault="00414183" w:rsidP="00414183">
            <w:pPr>
              <w:jc w:val="center"/>
              <w:rPr>
                <w:color w:val="000000"/>
                <w:sz w:val="20"/>
                <w:szCs w:val="20"/>
              </w:rPr>
            </w:pPr>
            <w:r w:rsidRPr="00E65AA7">
              <w:rPr>
                <w:color w:val="000000"/>
                <w:sz w:val="20"/>
                <w:szCs w:val="20"/>
              </w:rPr>
              <w:t>1.58</w:t>
            </w:r>
          </w:p>
        </w:tc>
        <w:tc>
          <w:tcPr>
            <w:tcW w:w="344" w:type="pct"/>
            <w:tcBorders>
              <w:top w:val="nil"/>
              <w:left w:val="nil"/>
              <w:bottom w:val="nil"/>
              <w:right w:val="nil"/>
            </w:tcBorders>
            <w:shd w:val="clear" w:color="auto" w:fill="auto"/>
            <w:noWrap/>
            <w:vAlign w:val="center"/>
          </w:tcPr>
          <w:p w14:paraId="7FBCFAB1" w14:textId="70390D6C" w:rsidR="00414183" w:rsidRPr="00E65AA7" w:rsidRDefault="00414183" w:rsidP="00414183">
            <w:pPr>
              <w:jc w:val="center"/>
              <w:rPr>
                <w:color w:val="000000"/>
                <w:sz w:val="20"/>
                <w:szCs w:val="20"/>
              </w:rPr>
            </w:pPr>
            <w:r w:rsidRPr="00E65AA7">
              <w:rPr>
                <w:color w:val="000000"/>
                <w:sz w:val="20"/>
                <w:szCs w:val="20"/>
              </w:rPr>
              <w:t>1.75</w:t>
            </w:r>
          </w:p>
        </w:tc>
        <w:tc>
          <w:tcPr>
            <w:tcW w:w="344" w:type="pct"/>
            <w:tcBorders>
              <w:top w:val="nil"/>
              <w:left w:val="nil"/>
              <w:bottom w:val="nil"/>
              <w:right w:val="nil"/>
            </w:tcBorders>
            <w:shd w:val="clear" w:color="auto" w:fill="auto"/>
            <w:noWrap/>
            <w:vAlign w:val="center"/>
          </w:tcPr>
          <w:p w14:paraId="0FEA5030" w14:textId="352D63DB" w:rsidR="00414183" w:rsidRPr="00E65AA7" w:rsidRDefault="00414183" w:rsidP="00414183">
            <w:pPr>
              <w:jc w:val="center"/>
              <w:rPr>
                <w:color w:val="000000"/>
                <w:sz w:val="20"/>
                <w:szCs w:val="20"/>
              </w:rPr>
            </w:pPr>
            <w:r w:rsidRPr="00E65AA7">
              <w:rPr>
                <w:color w:val="000000"/>
                <w:sz w:val="20"/>
                <w:szCs w:val="20"/>
              </w:rPr>
              <w:t>1.90</w:t>
            </w:r>
          </w:p>
        </w:tc>
        <w:tc>
          <w:tcPr>
            <w:tcW w:w="344" w:type="pct"/>
            <w:tcBorders>
              <w:top w:val="nil"/>
              <w:left w:val="nil"/>
              <w:bottom w:val="nil"/>
              <w:right w:val="nil"/>
            </w:tcBorders>
            <w:shd w:val="clear" w:color="auto" w:fill="auto"/>
            <w:noWrap/>
            <w:vAlign w:val="center"/>
          </w:tcPr>
          <w:p w14:paraId="2B130CE4" w14:textId="60B82145" w:rsidR="00414183" w:rsidRPr="00E65AA7" w:rsidRDefault="00414183" w:rsidP="00414183">
            <w:pPr>
              <w:jc w:val="center"/>
              <w:rPr>
                <w:color w:val="000000"/>
                <w:sz w:val="20"/>
                <w:szCs w:val="20"/>
              </w:rPr>
            </w:pPr>
            <w:r w:rsidRPr="00E65AA7">
              <w:rPr>
                <w:color w:val="000000"/>
                <w:sz w:val="20"/>
                <w:szCs w:val="20"/>
              </w:rPr>
              <w:t>2.10</w:t>
            </w:r>
          </w:p>
        </w:tc>
        <w:tc>
          <w:tcPr>
            <w:tcW w:w="344" w:type="pct"/>
            <w:tcBorders>
              <w:top w:val="nil"/>
              <w:left w:val="nil"/>
              <w:bottom w:val="nil"/>
              <w:right w:val="nil"/>
            </w:tcBorders>
            <w:shd w:val="clear" w:color="auto" w:fill="auto"/>
            <w:noWrap/>
            <w:vAlign w:val="center"/>
          </w:tcPr>
          <w:p w14:paraId="14E25D4C" w14:textId="6603B3EC" w:rsidR="00414183" w:rsidRPr="00E65AA7" w:rsidRDefault="00414183" w:rsidP="00414183">
            <w:pPr>
              <w:jc w:val="center"/>
              <w:rPr>
                <w:color w:val="000000"/>
                <w:sz w:val="20"/>
                <w:szCs w:val="20"/>
              </w:rPr>
            </w:pPr>
            <w:r w:rsidRPr="00E65AA7">
              <w:rPr>
                <w:color w:val="000000"/>
                <w:sz w:val="20"/>
                <w:szCs w:val="20"/>
              </w:rPr>
              <w:t>2.45</w:t>
            </w:r>
          </w:p>
        </w:tc>
        <w:tc>
          <w:tcPr>
            <w:tcW w:w="378" w:type="pct"/>
            <w:tcBorders>
              <w:top w:val="nil"/>
              <w:left w:val="nil"/>
              <w:bottom w:val="nil"/>
              <w:right w:val="nil"/>
            </w:tcBorders>
            <w:shd w:val="clear" w:color="auto" w:fill="auto"/>
            <w:noWrap/>
            <w:vAlign w:val="center"/>
          </w:tcPr>
          <w:p w14:paraId="4B21F79D" w14:textId="07F5DB83" w:rsidR="00414183" w:rsidRPr="00E65AA7" w:rsidRDefault="00414183" w:rsidP="00414183">
            <w:pPr>
              <w:jc w:val="center"/>
              <w:rPr>
                <w:color w:val="000000"/>
                <w:sz w:val="20"/>
                <w:szCs w:val="20"/>
              </w:rPr>
            </w:pPr>
            <w:r w:rsidRPr="00E65AA7">
              <w:rPr>
                <w:color w:val="000000"/>
                <w:sz w:val="20"/>
                <w:szCs w:val="20"/>
              </w:rPr>
              <w:t>2.79</w:t>
            </w:r>
          </w:p>
        </w:tc>
        <w:tc>
          <w:tcPr>
            <w:tcW w:w="406" w:type="pct"/>
            <w:tcBorders>
              <w:top w:val="nil"/>
              <w:left w:val="nil"/>
              <w:bottom w:val="nil"/>
              <w:right w:val="nil"/>
            </w:tcBorders>
            <w:shd w:val="clear" w:color="auto" w:fill="auto"/>
            <w:noWrap/>
            <w:vAlign w:val="center"/>
          </w:tcPr>
          <w:p w14:paraId="7125150E" w14:textId="3BB2485B" w:rsidR="00414183" w:rsidRPr="00E65AA7" w:rsidRDefault="00414183" w:rsidP="00414183">
            <w:pPr>
              <w:jc w:val="center"/>
              <w:rPr>
                <w:color w:val="000000"/>
                <w:sz w:val="20"/>
                <w:szCs w:val="20"/>
              </w:rPr>
            </w:pPr>
            <w:r w:rsidRPr="00E65AA7">
              <w:rPr>
                <w:color w:val="000000"/>
                <w:sz w:val="20"/>
                <w:szCs w:val="20"/>
              </w:rPr>
              <w:t>1.69</w:t>
            </w:r>
          </w:p>
        </w:tc>
      </w:tr>
      <w:tr w:rsidR="00414183" w:rsidRPr="00E65AA7" w14:paraId="127D2137" w14:textId="77777777" w:rsidTr="005F51C8">
        <w:trPr>
          <w:trHeight w:hRule="exact" w:val="255"/>
        </w:trPr>
        <w:tc>
          <w:tcPr>
            <w:tcW w:w="739" w:type="pct"/>
            <w:vMerge/>
            <w:tcBorders>
              <w:left w:val="nil"/>
              <w:bottom w:val="nil"/>
              <w:right w:val="nil"/>
            </w:tcBorders>
            <w:vAlign w:val="center"/>
          </w:tcPr>
          <w:p w14:paraId="5E7B858A" w14:textId="77777777" w:rsidR="00414183" w:rsidRPr="00E65AA7" w:rsidRDefault="00414183" w:rsidP="00414183">
            <w:pPr>
              <w:rPr>
                <w:rFonts w:eastAsia="Times New Roman"/>
                <w:b/>
                <w:color w:val="000000"/>
                <w:sz w:val="20"/>
                <w:szCs w:val="20"/>
                <w:lang w:eastAsia="en-MY"/>
              </w:rPr>
            </w:pPr>
          </w:p>
        </w:tc>
        <w:tc>
          <w:tcPr>
            <w:tcW w:w="347" w:type="pct"/>
            <w:vMerge/>
            <w:tcBorders>
              <w:left w:val="nil"/>
              <w:bottom w:val="nil"/>
              <w:right w:val="nil"/>
            </w:tcBorders>
            <w:vAlign w:val="center"/>
          </w:tcPr>
          <w:p w14:paraId="43BEF8BE" w14:textId="77777777" w:rsidR="00414183" w:rsidRPr="00E65AA7" w:rsidRDefault="00414183" w:rsidP="00414183">
            <w:pPr>
              <w:jc w:val="center"/>
              <w:rPr>
                <w:rFonts w:eastAsia="Times New Roman"/>
                <w:sz w:val="20"/>
                <w:szCs w:val="20"/>
                <w:lang w:eastAsia="en-MY"/>
              </w:rPr>
            </w:pPr>
          </w:p>
        </w:tc>
        <w:tc>
          <w:tcPr>
            <w:tcW w:w="378" w:type="pct"/>
            <w:tcBorders>
              <w:top w:val="nil"/>
              <w:left w:val="nil"/>
              <w:bottom w:val="nil"/>
              <w:right w:val="nil"/>
            </w:tcBorders>
            <w:shd w:val="clear" w:color="auto" w:fill="auto"/>
            <w:noWrap/>
            <w:vAlign w:val="center"/>
          </w:tcPr>
          <w:p w14:paraId="1059634C" w14:textId="47629650" w:rsidR="00414183" w:rsidRPr="00E65AA7" w:rsidRDefault="00414183" w:rsidP="00414183">
            <w:pPr>
              <w:jc w:val="center"/>
              <w:rPr>
                <w:color w:val="000000"/>
                <w:sz w:val="20"/>
                <w:szCs w:val="20"/>
              </w:rPr>
            </w:pPr>
            <w:r w:rsidRPr="00E65AA7">
              <w:rPr>
                <w:color w:val="000000"/>
                <w:sz w:val="20"/>
                <w:szCs w:val="20"/>
              </w:rPr>
              <w:t>(3.96)</w:t>
            </w:r>
          </w:p>
        </w:tc>
        <w:tc>
          <w:tcPr>
            <w:tcW w:w="343" w:type="pct"/>
            <w:tcBorders>
              <w:top w:val="nil"/>
              <w:left w:val="nil"/>
              <w:bottom w:val="nil"/>
              <w:right w:val="nil"/>
            </w:tcBorders>
            <w:shd w:val="clear" w:color="auto" w:fill="auto"/>
            <w:noWrap/>
            <w:vAlign w:val="center"/>
          </w:tcPr>
          <w:p w14:paraId="50431F05" w14:textId="60502869" w:rsidR="00414183" w:rsidRPr="00E65AA7" w:rsidRDefault="00414183" w:rsidP="00414183">
            <w:pPr>
              <w:jc w:val="center"/>
              <w:rPr>
                <w:color w:val="000000"/>
                <w:sz w:val="20"/>
                <w:szCs w:val="20"/>
              </w:rPr>
            </w:pPr>
            <w:r w:rsidRPr="00E65AA7">
              <w:rPr>
                <w:color w:val="000000"/>
                <w:sz w:val="20"/>
                <w:szCs w:val="20"/>
              </w:rPr>
              <w:t>(3.56)</w:t>
            </w:r>
          </w:p>
        </w:tc>
        <w:tc>
          <w:tcPr>
            <w:tcW w:w="344" w:type="pct"/>
            <w:tcBorders>
              <w:top w:val="nil"/>
              <w:left w:val="nil"/>
              <w:bottom w:val="nil"/>
              <w:right w:val="nil"/>
            </w:tcBorders>
            <w:shd w:val="clear" w:color="auto" w:fill="auto"/>
            <w:noWrap/>
            <w:vAlign w:val="center"/>
          </w:tcPr>
          <w:p w14:paraId="3A09D670" w14:textId="58CAEB77" w:rsidR="00414183" w:rsidRPr="00E65AA7" w:rsidRDefault="00414183" w:rsidP="00414183">
            <w:pPr>
              <w:jc w:val="center"/>
              <w:rPr>
                <w:color w:val="000000"/>
                <w:sz w:val="20"/>
                <w:szCs w:val="20"/>
              </w:rPr>
            </w:pPr>
            <w:r w:rsidRPr="00E65AA7">
              <w:rPr>
                <w:color w:val="000000"/>
                <w:sz w:val="20"/>
                <w:szCs w:val="20"/>
              </w:rPr>
              <w:t>(3.23)</w:t>
            </w:r>
          </w:p>
        </w:tc>
        <w:tc>
          <w:tcPr>
            <w:tcW w:w="344" w:type="pct"/>
            <w:tcBorders>
              <w:top w:val="nil"/>
              <w:left w:val="nil"/>
              <w:bottom w:val="nil"/>
              <w:right w:val="nil"/>
            </w:tcBorders>
            <w:shd w:val="clear" w:color="auto" w:fill="auto"/>
            <w:noWrap/>
            <w:vAlign w:val="center"/>
          </w:tcPr>
          <w:p w14:paraId="26745570" w14:textId="1671CD78" w:rsidR="00414183" w:rsidRPr="00E65AA7" w:rsidRDefault="00414183" w:rsidP="00414183">
            <w:pPr>
              <w:jc w:val="center"/>
              <w:rPr>
                <w:color w:val="000000"/>
                <w:sz w:val="20"/>
                <w:szCs w:val="20"/>
              </w:rPr>
            </w:pPr>
            <w:r w:rsidRPr="00E65AA7">
              <w:rPr>
                <w:color w:val="000000"/>
                <w:sz w:val="20"/>
                <w:szCs w:val="20"/>
              </w:rPr>
              <w:t>(3.3</w:t>
            </w:r>
            <w:r w:rsidR="00027811" w:rsidRPr="00E65AA7">
              <w:rPr>
                <w:color w:val="000000"/>
                <w:sz w:val="20"/>
                <w:szCs w:val="20"/>
              </w:rPr>
              <w:t>0</w:t>
            </w:r>
            <w:r w:rsidRPr="00E65AA7">
              <w:rPr>
                <w:color w:val="000000"/>
                <w:sz w:val="20"/>
                <w:szCs w:val="20"/>
              </w:rPr>
              <w:t>)</w:t>
            </w:r>
          </w:p>
        </w:tc>
        <w:tc>
          <w:tcPr>
            <w:tcW w:w="344" w:type="pct"/>
            <w:tcBorders>
              <w:top w:val="nil"/>
              <w:left w:val="nil"/>
              <w:bottom w:val="nil"/>
              <w:right w:val="nil"/>
            </w:tcBorders>
            <w:shd w:val="clear" w:color="auto" w:fill="auto"/>
            <w:noWrap/>
            <w:vAlign w:val="center"/>
          </w:tcPr>
          <w:p w14:paraId="57FE7FDB" w14:textId="37D1BCAE" w:rsidR="00414183" w:rsidRPr="00E65AA7" w:rsidRDefault="00414183" w:rsidP="00414183">
            <w:pPr>
              <w:jc w:val="center"/>
              <w:rPr>
                <w:color w:val="000000"/>
                <w:sz w:val="20"/>
                <w:szCs w:val="20"/>
              </w:rPr>
            </w:pPr>
            <w:r w:rsidRPr="00E65AA7">
              <w:rPr>
                <w:color w:val="000000"/>
                <w:sz w:val="20"/>
                <w:szCs w:val="20"/>
              </w:rPr>
              <w:t>(3.16)</w:t>
            </w:r>
          </w:p>
        </w:tc>
        <w:tc>
          <w:tcPr>
            <w:tcW w:w="344" w:type="pct"/>
            <w:tcBorders>
              <w:top w:val="nil"/>
              <w:left w:val="nil"/>
              <w:bottom w:val="nil"/>
              <w:right w:val="nil"/>
            </w:tcBorders>
            <w:shd w:val="clear" w:color="auto" w:fill="auto"/>
            <w:noWrap/>
            <w:vAlign w:val="center"/>
          </w:tcPr>
          <w:p w14:paraId="597BCA0D" w14:textId="2E9A3C3E" w:rsidR="00414183" w:rsidRPr="00E65AA7" w:rsidRDefault="00414183" w:rsidP="00414183">
            <w:pPr>
              <w:jc w:val="center"/>
              <w:rPr>
                <w:color w:val="000000"/>
                <w:sz w:val="20"/>
                <w:szCs w:val="20"/>
              </w:rPr>
            </w:pPr>
            <w:r w:rsidRPr="00E65AA7">
              <w:rPr>
                <w:color w:val="000000"/>
                <w:sz w:val="20"/>
                <w:szCs w:val="20"/>
              </w:rPr>
              <w:t>(3.26)</w:t>
            </w:r>
          </w:p>
        </w:tc>
        <w:tc>
          <w:tcPr>
            <w:tcW w:w="344" w:type="pct"/>
            <w:tcBorders>
              <w:top w:val="nil"/>
              <w:left w:val="nil"/>
              <w:bottom w:val="nil"/>
              <w:right w:val="nil"/>
            </w:tcBorders>
            <w:shd w:val="clear" w:color="auto" w:fill="auto"/>
            <w:noWrap/>
            <w:vAlign w:val="center"/>
          </w:tcPr>
          <w:p w14:paraId="7D033839" w14:textId="71289C64" w:rsidR="00414183" w:rsidRPr="00E65AA7" w:rsidRDefault="00414183" w:rsidP="00414183">
            <w:pPr>
              <w:jc w:val="center"/>
              <w:rPr>
                <w:color w:val="000000"/>
                <w:sz w:val="20"/>
                <w:szCs w:val="20"/>
              </w:rPr>
            </w:pPr>
            <w:r w:rsidRPr="00E65AA7">
              <w:rPr>
                <w:color w:val="000000"/>
                <w:sz w:val="20"/>
                <w:szCs w:val="20"/>
              </w:rPr>
              <w:t>(3.19)</w:t>
            </w:r>
          </w:p>
        </w:tc>
        <w:tc>
          <w:tcPr>
            <w:tcW w:w="344" w:type="pct"/>
            <w:tcBorders>
              <w:top w:val="nil"/>
              <w:left w:val="nil"/>
              <w:bottom w:val="nil"/>
              <w:right w:val="nil"/>
            </w:tcBorders>
            <w:shd w:val="clear" w:color="auto" w:fill="auto"/>
            <w:noWrap/>
            <w:vAlign w:val="center"/>
          </w:tcPr>
          <w:p w14:paraId="7F90EB4C" w14:textId="358C11D5" w:rsidR="00414183" w:rsidRPr="00E65AA7" w:rsidRDefault="00414183" w:rsidP="00414183">
            <w:pPr>
              <w:jc w:val="center"/>
              <w:rPr>
                <w:color w:val="000000"/>
                <w:sz w:val="20"/>
                <w:szCs w:val="20"/>
              </w:rPr>
            </w:pPr>
            <w:r w:rsidRPr="00E65AA7">
              <w:rPr>
                <w:color w:val="000000"/>
                <w:sz w:val="20"/>
                <w:szCs w:val="20"/>
              </w:rPr>
              <w:t>(3.3</w:t>
            </w:r>
            <w:r w:rsidR="00027811" w:rsidRPr="00E65AA7">
              <w:rPr>
                <w:color w:val="000000"/>
                <w:sz w:val="20"/>
                <w:szCs w:val="20"/>
              </w:rPr>
              <w:t>0</w:t>
            </w:r>
            <w:r w:rsidRPr="00E65AA7">
              <w:rPr>
                <w:color w:val="000000"/>
                <w:sz w:val="20"/>
                <w:szCs w:val="20"/>
              </w:rPr>
              <w:t>)</w:t>
            </w:r>
          </w:p>
        </w:tc>
        <w:tc>
          <w:tcPr>
            <w:tcW w:w="344" w:type="pct"/>
            <w:tcBorders>
              <w:top w:val="nil"/>
              <w:left w:val="nil"/>
              <w:bottom w:val="nil"/>
              <w:right w:val="nil"/>
            </w:tcBorders>
            <w:shd w:val="clear" w:color="auto" w:fill="auto"/>
            <w:noWrap/>
            <w:vAlign w:val="center"/>
          </w:tcPr>
          <w:p w14:paraId="759FC7E7" w14:textId="21D60C76" w:rsidR="00414183" w:rsidRPr="00E65AA7" w:rsidRDefault="00414183" w:rsidP="00414183">
            <w:pPr>
              <w:jc w:val="center"/>
              <w:rPr>
                <w:color w:val="000000"/>
                <w:sz w:val="20"/>
                <w:szCs w:val="20"/>
              </w:rPr>
            </w:pPr>
            <w:r w:rsidRPr="00E65AA7">
              <w:rPr>
                <w:color w:val="000000"/>
                <w:sz w:val="20"/>
                <w:szCs w:val="20"/>
              </w:rPr>
              <w:t>(3.45)</w:t>
            </w:r>
          </w:p>
        </w:tc>
        <w:tc>
          <w:tcPr>
            <w:tcW w:w="378" w:type="pct"/>
            <w:tcBorders>
              <w:top w:val="nil"/>
              <w:left w:val="nil"/>
              <w:bottom w:val="nil"/>
              <w:right w:val="nil"/>
            </w:tcBorders>
            <w:shd w:val="clear" w:color="auto" w:fill="auto"/>
            <w:noWrap/>
            <w:vAlign w:val="center"/>
          </w:tcPr>
          <w:p w14:paraId="0DC4EE85" w14:textId="31ECF2AA" w:rsidR="00414183" w:rsidRPr="00E65AA7" w:rsidRDefault="00414183" w:rsidP="00414183">
            <w:pPr>
              <w:jc w:val="center"/>
              <w:rPr>
                <w:color w:val="000000"/>
                <w:sz w:val="20"/>
                <w:szCs w:val="20"/>
              </w:rPr>
            </w:pPr>
            <w:r w:rsidRPr="00E65AA7">
              <w:rPr>
                <w:color w:val="000000"/>
                <w:sz w:val="20"/>
                <w:szCs w:val="20"/>
              </w:rPr>
              <w:t>(3.2</w:t>
            </w:r>
            <w:r w:rsidR="00027811" w:rsidRPr="00E65AA7">
              <w:rPr>
                <w:color w:val="000000"/>
                <w:sz w:val="20"/>
                <w:szCs w:val="20"/>
              </w:rPr>
              <w:t>0</w:t>
            </w:r>
            <w:r w:rsidRPr="00E65AA7">
              <w:rPr>
                <w:color w:val="000000"/>
                <w:sz w:val="20"/>
                <w:szCs w:val="20"/>
              </w:rPr>
              <w:t>)</w:t>
            </w:r>
          </w:p>
        </w:tc>
        <w:tc>
          <w:tcPr>
            <w:tcW w:w="406" w:type="pct"/>
            <w:tcBorders>
              <w:top w:val="nil"/>
              <w:left w:val="nil"/>
              <w:bottom w:val="nil"/>
              <w:right w:val="nil"/>
            </w:tcBorders>
            <w:shd w:val="clear" w:color="auto" w:fill="auto"/>
            <w:noWrap/>
            <w:vAlign w:val="center"/>
          </w:tcPr>
          <w:p w14:paraId="56FF12B2" w14:textId="1E9479B6" w:rsidR="00414183" w:rsidRPr="00E65AA7" w:rsidRDefault="00414183" w:rsidP="00414183">
            <w:pPr>
              <w:jc w:val="center"/>
              <w:rPr>
                <w:color w:val="000000"/>
                <w:sz w:val="20"/>
                <w:szCs w:val="20"/>
              </w:rPr>
            </w:pPr>
            <w:r w:rsidRPr="00E65AA7">
              <w:rPr>
                <w:color w:val="000000"/>
                <w:sz w:val="20"/>
                <w:szCs w:val="20"/>
              </w:rPr>
              <w:t>(2.42)</w:t>
            </w:r>
          </w:p>
        </w:tc>
      </w:tr>
      <w:tr w:rsidR="00414183" w:rsidRPr="00E65AA7" w14:paraId="106ED9FC" w14:textId="77777777" w:rsidTr="005F51C8">
        <w:trPr>
          <w:trHeight w:hRule="exact" w:val="255"/>
        </w:trPr>
        <w:tc>
          <w:tcPr>
            <w:tcW w:w="739" w:type="pct"/>
            <w:vMerge w:val="restart"/>
            <w:tcBorders>
              <w:left w:val="nil"/>
              <w:bottom w:val="nil"/>
              <w:right w:val="nil"/>
            </w:tcBorders>
            <w:shd w:val="clear" w:color="auto" w:fill="auto"/>
            <w:noWrap/>
            <w:vAlign w:val="center"/>
            <w:hideMark/>
          </w:tcPr>
          <w:p w14:paraId="5C4C58A1" w14:textId="556E3377" w:rsidR="00414183" w:rsidRPr="00E65AA7" w:rsidRDefault="00414183" w:rsidP="00414183">
            <w:pPr>
              <w:rPr>
                <w:rFonts w:eastAsia="Times New Roman"/>
                <w:b/>
                <w:color w:val="000000"/>
                <w:sz w:val="20"/>
                <w:szCs w:val="20"/>
                <w:lang w:eastAsia="en-MY"/>
              </w:rPr>
            </w:pPr>
            <w:r w:rsidRPr="00E65AA7">
              <w:rPr>
                <w:rFonts w:eastAsia="Times New Roman"/>
                <w:b/>
                <w:color w:val="000000"/>
                <w:sz w:val="20"/>
                <w:szCs w:val="20"/>
                <w:lang w:eastAsia="en-MY"/>
              </w:rPr>
              <w:t>3</w:t>
            </w:r>
          </w:p>
        </w:tc>
        <w:tc>
          <w:tcPr>
            <w:tcW w:w="347" w:type="pct"/>
            <w:vMerge w:val="restart"/>
            <w:tcBorders>
              <w:left w:val="nil"/>
              <w:right w:val="nil"/>
            </w:tcBorders>
            <w:vAlign w:val="center"/>
          </w:tcPr>
          <w:p w14:paraId="77F0FDCA" w14:textId="2BE5622C" w:rsidR="00414183" w:rsidRPr="00E65AA7" w:rsidRDefault="00FC57A2" w:rsidP="00414183">
            <w:pPr>
              <w:jc w:val="center"/>
              <w:rPr>
                <w:rFonts w:eastAsia="Times New Roman"/>
                <w:color w:val="000000"/>
                <w:sz w:val="20"/>
                <w:szCs w:val="20"/>
                <w:lang w:eastAsia="en-MY"/>
              </w:rPr>
            </w:pPr>
            <w:r w:rsidRPr="00E65AA7">
              <w:rPr>
                <w:rFonts w:eastAsia="Times New Roman"/>
                <w:color w:val="000000"/>
                <w:sz w:val="20"/>
                <w:szCs w:val="20"/>
                <w:lang w:eastAsia="en-MY"/>
              </w:rPr>
              <w:t>114</w:t>
            </w:r>
          </w:p>
        </w:tc>
        <w:tc>
          <w:tcPr>
            <w:tcW w:w="378" w:type="pct"/>
            <w:tcBorders>
              <w:left w:val="nil"/>
              <w:bottom w:val="nil"/>
              <w:right w:val="nil"/>
            </w:tcBorders>
            <w:shd w:val="clear" w:color="auto" w:fill="auto"/>
            <w:noWrap/>
            <w:vAlign w:val="center"/>
            <w:hideMark/>
          </w:tcPr>
          <w:p w14:paraId="73451E66" w14:textId="178DB136" w:rsidR="00414183" w:rsidRPr="00E65AA7" w:rsidRDefault="00414183" w:rsidP="00414183">
            <w:pPr>
              <w:jc w:val="center"/>
              <w:rPr>
                <w:color w:val="000000"/>
                <w:sz w:val="20"/>
                <w:szCs w:val="20"/>
              </w:rPr>
            </w:pPr>
            <w:r w:rsidRPr="00E65AA7">
              <w:rPr>
                <w:color w:val="000000"/>
                <w:sz w:val="20"/>
                <w:szCs w:val="20"/>
              </w:rPr>
              <w:t>1.08</w:t>
            </w:r>
          </w:p>
        </w:tc>
        <w:tc>
          <w:tcPr>
            <w:tcW w:w="343" w:type="pct"/>
            <w:tcBorders>
              <w:left w:val="nil"/>
              <w:bottom w:val="nil"/>
              <w:right w:val="nil"/>
            </w:tcBorders>
            <w:shd w:val="clear" w:color="auto" w:fill="auto"/>
            <w:noWrap/>
            <w:vAlign w:val="center"/>
            <w:hideMark/>
          </w:tcPr>
          <w:p w14:paraId="3DAC1E2C" w14:textId="3193180C" w:rsidR="00414183" w:rsidRPr="00E65AA7" w:rsidRDefault="00414183" w:rsidP="00414183">
            <w:pPr>
              <w:jc w:val="center"/>
              <w:rPr>
                <w:color w:val="000000"/>
                <w:sz w:val="20"/>
                <w:szCs w:val="20"/>
              </w:rPr>
            </w:pPr>
            <w:r w:rsidRPr="00E65AA7">
              <w:rPr>
                <w:color w:val="000000"/>
                <w:sz w:val="20"/>
                <w:szCs w:val="20"/>
              </w:rPr>
              <w:t>1.09</w:t>
            </w:r>
          </w:p>
        </w:tc>
        <w:tc>
          <w:tcPr>
            <w:tcW w:w="344" w:type="pct"/>
            <w:tcBorders>
              <w:left w:val="nil"/>
              <w:bottom w:val="nil"/>
              <w:right w:val="nil"/>
            </w:tcBorders>
            <w:shd w:val="clear" w:color="auto" w:fill="auto"/>
            <w:noWrap/>
            <w:vAlign w:val="center"/>
            <w:hideMark/>
          </w:tcPr>
          <w:p w14:paraId="0F0E6637" w14:textId="05C5844B" w:rsidR="00414183" w:rsidRPr="00E65AA7" w:rsidRDefault="00414183" w:rsidP="00414183">
            <w:pPr>
              <w:jc w:val="center"/>
              <w:rPr>
                <w:color w:val="000000"/>
                <w:sz w:val="20"/>
                <w:szCs w:val="20"/>
              </w:rPr>
            </w:pPr>
            <w:r w:rsidRPr="00E65AA7">
              <w:rPr>
                <w:color w:val="000000"/>
                <w:sz w:val="20"/>
                <w:szCs w:val="20"/>
              </w:rPr>
              <w:t>1.06</w:t>
            </w:r>
          </w:p>
        </w:tc>
        <w:tc>
          <w:tcPr>
            <w:tcW w:w="344" w:type="pct"/>
            <w:tcBorders>
              <w:left w:val="nil"/>
              <w:bottom w:val="nil"/>
              <w:right w:val="nil"/>
            </w:tcBorders>
            <w:shd w:val="clear" w:color="auto" w:fill="auto"/>
            <w:noWrap/>
            <w:vAlign w:val="center"/>
            <w:hideMark/>
          </w:tcPr>
          <w:p w14:paraId="3673F27F" w14:textId="58ACCBBD" w:rsidR="00414183" w:rsidRPr="00E65AA7" w:rsidRDefault="00414183" w:rsidP="00414183">
            <w:pPr>
              <w:jc w:val="center"/>
              <w:rPr>
                <w:color w:val="000000"/>
                <w:sz w:val="20"/>
                <w:szCs w:val="20"/>
              </w:rPr>
            </w:pPr>
            <w:r w:rsidRPr="00E65AA7">
              <w:rPr>
                <w:color w:val="000000"/>
                <w:sz w:val="20"/>
                <w:szCs w:val="20"/>
              </w:rPr>
              <w:t>1.07</w:t>
            </w:r>
          </w:p>
        </w:tc>
        <w:tc>
          <w:tcPr>
            <w:tcW w:w="344" w:type="pct"/>
            <w:tcBorders>
              <w:left w:val="nil"/>
              <w:bottom w:val="nil"/>
              <w:right w:val="nil"/>
            </w:tcBorders>
            <w:shd w:val="clear" w:color="auto" w:fill="auto"/>
            <w:noWrap/>
            <w:vAlign w:val="center"/>
            <w:hideMark/>
          </w:tcPr>
          <w:p w14:paraId="192AB38D" w14:textId="3CAB9939" w:rsidR="00414183" w:rsidRPr="00E65AA7" w:rsidRDefault="00414183" w:rsidP="00414183">
            <w:pPr>
              <w:jc w:val="center"/>
              <w:rPr>
                <w:color w:val="000000"/>
                <w:sz w:val="20"/>
                <w:szCs w:val="20"/>
              </w:rPr>
            </w:pPr>
            <w:r w:rsidRPr="00E65AA7">
              <w:rPr>
                <w:color w:val="000000"/>
                <w:sz w:val="20"/>
                <w:szCs w:val="20"/>
              </w:rPr>
              <w:t>1.17</w:t>
            </w:r>
          </w:p>
        </w:tc>
        <w:tc>
          <w:tcPr>
            <w:tcW w:w="344" w:type="pct"/>
            <w:tcBorders>
              <w:left w:val="nil"/>
              <w:bottom w:val="nil"/>
              <w:right w:val="nil"/>
            </w:tcBorders>
            <w:shd w:val="clear" w:color="auto" w:fill="auto"/>
            <w:noWrap/>
            <w:vAlign w:val="center"/>
            <w:hideMark/>
          </w:tcPr>
          <w:p w14:paraId="1636F1A8" w14:textId="18B43E6E" w:rsidR="00414183" w:rsidRPr="00E65AA7" w:rsidRDefault="00414183" w:rsidP="00414183">
            <w:pPr>
              <w:jc w:val="center"/>
              <w:rPr>
                <w:color w:val="000000"/>
                <w:sz w:val="20"/>
                <w:szCs w:val="20"/>
              </w:rPr>
            </w:pPr>
            <w:r w:rsidRPr="00E65AA7">
              <w:rPr>
                <w:color w:val="000000"/>
                <w:sz w:val="20"/>
                <w:szCs w:val="20"/>
              </w:rPr>
              <w:t>1.21</w:t>
            </w:r>
          </w:p>
        </w:tc>
        <w:tc>
          <w:tcPr>
            <w:tcW w:w="344" w:type="pct"/>
            <w:tcBorders>
              <w:left w:val="nil"/>
              <w:bottom w:val="nil"/>
              <w:right w:val="nil"/>
            </w:tcBorders>
            <w:shd w:val="clear" w:color="auto" w:fill="auto"/>
            <w:noWrap/>
            <w:vAlign w:val="center"/>
            <w:hideMark/>
          </w:tcPr>
          <w:p w14:paraId="54E16DCE" w14:textId="05580034" w:rsidR="00414183" w:rsidRPr="00E65AA7" w:rsidRDefault="00414183" w:rsidP="00414183">
            <w:pPr>
              <w:jc w:val="center"/>
              <w:rPr>
                <w:color w:val="000000"/>
                <w:sz w:val="20"/>
                <w:szCs w:val="20"/>
              </w:rPr>
            </w:pPr>
            <w:r w:rsidRPr="00E65AA7">
              <w:rPr>
                <w:color w:val="000000"/>
                <w:sz w:val="20"/>
                <w:szCs w:val="20"/>
              </w:rPr>
              <w:t>1.19</w:t>
            </w:r>
          </w:p>
        </w:tc>
        <w:tc>
          <w:tcPr>
            <w:tcW w:w="344" w:type="pct"/>
            <w:tcBorders>
              <w:left w:val="nil"/>
              <w:bottom w:val="nil"/>
              <w:right w:val="nil"/>
            </w:tcBorders>
            <w:shd w:val="clear" w:color="auto" w:fill="auto"/>
            <w:noWrap/>
            <w:vAlign w:val="center"/>
            <w:hideMark/>
          </w:tcPr>
          <w:p w14:paraId="673E6561" w14:textId="28D1115F" w:rsidR="00414183" w:rsidRPr="00E65AA7" w:rsidRDefault="00414183" w:rsidP="00414183">
            <w:pPr>
              <w:jc w:val="center"/>
              <w:rPr>
                <w:color w:val="000000"/>
                <w:sz w:val="20"/>
                <w:szCs w:val="20"/>
              </w:rPr>
            </w:pPr>
            <w:r w:rsidRPr="00E65AA7">
              <w:rPr>
                <w:color w:val="000000"/>
                <w:sz w:val="20"/>
                <w:szCs w:val="20"/>
              </w:rPr>
              <w:t>1.26</w:t>
            </w:r>
          </w:p>
        </w:tc>
        <w:tc>
          <w:tcPr>
            <w:tcW w:w="344" w:type="pct"/>
            <w:tcBorders>
              <w:left w:val="nil"/>
              <w:bottom w:val="nil"/>
              <w:right w:val="nil"/>
            </w:tcBorders>
            <w:shd w:val="clear" w:color="auto" w:fill="auto"/>
            <w:noWrap/>
            <w:vAlign w:val="center"/>
            <w:hideMark/>
          </w:tcPr>
          <w:p w14:paraId="5FC42981" w14:textId="0A34100C" w:rsidR="00414183" w:rsidRPr="00E65AA7" w:rsidRDefault="00414183" w:rsidP="00414183">
            <w:pPr>
              <w:jc w:val="center"/>
              <w:rPr>
                <w:color w:val="000000"/>
                <w:sz w:val="20"/>
                <w:szCs w:val="20"/>
              </w:rPr>
            </w:pPr>
            <w:r w:rsidRPr="00E65AA7">
              <w:rPr>
                <w:color w:val="000000"/>
                <w:sz w:val="20"/>
                <w:szCs w:val="20"/>
              </w:rPr>
              <w:t>1.28</w:t>
            </w:r>
          </w:p>
        </w:tc>
        <w:tc>
          <w:tcPr>
            <w:tcW w:w="378" w:type="pct"/>
            <w:tcBorders>
              <w:left w:val="nil"/>
              <w:bottom w:val="nil"/>
              <w:right w:val="nil"/>
            </w:tcBorders>
            <w:shd w:val="clear" w:color="auto" w:fill="auto"/>
            <w:noWrap/>
            <w:vAlign w:val="center"/>
            <w:hideMark/>
          </w:tcPr>
          <w:p w14:paraId="03792FF4" w14:textId="7B7F7971" w:rsidR="00414183" w:rsidRPr="00E65AA7" w:rsidRDefault="00414183" w:rsidP="00414183">
            <w:pPr>
              <w:jc w:val="center"/>
              <w:rPr>
                <w:color w:val="000000"/>
                <w:sz w:val="20"/>
                <w:szCs w:val="20"/>
              </w:rPr>
            </w:pPr>
            <w:r w:rsidRPr="00E65AA7">
              <w:rPr>
                <w:color w:val="000000"/>
                <w:sz w:val="20"/>
                <w:szCs w:val="20"/>
              </w:rPr>
              <w:t>1.42</w:t>
            </w:r>
          </w:p>
        </w:tc>
        <w:tc>
          <w:tcPr>
            <w:tcW w:w="406" w:type="pct"/>
            <w:tcBorders>
              <w:left w:val="nil"/>
              <w:bottom w:val="nil"/>
              <w:right w:val="nil"/>
            </w:tcBorders>
            <w:shd w:val="clear" w:color="auto" w:fill="auto"/>
            <w:noWrap/>
            <w:vAlign w:val="center"/>
            <w:hideMark/>
          </w:tcPr>
          <w:p w14:paraId="5B31614E" w14:textId="79B3E3E2" w:rsidR="00414183" w:rsidRPr="00E65AA7" w:rsidRDefault="00414183" w:rsidP="00414183">
            <w:pPr>
              <w:jc w:val="center"/>
              <w:rPr>
                <w:color w:val="000000"/>
                <w:sz w:val="20"/>
                <w:szCs w:val="20"/>
              </w:rPr>
            </w:pPr>
            <w:r w:rsidRPr="00E65AA7">
              <w:rPr>
                <w:color w:val="000000"/>
                <w:sz w:val="20"/>
                <w:szCs w:val="20"/>
              </w:rPr>
              <w:t>0.34</w:t>
            </w:r>
          </w:p>
        </w:tc>
      </w:tr>
      <w:tr w:rsidR="00414183" w:rsidRPr="00E65AA7" w14:paraId="10A1657E" w14:textId="77777777" w:rsidTr="005F51C8">
        <w:trPr>
          <w:trHeight w:hRule="exact" w:val="255"/>
        </w:trPr>
        <w:tc>
          <w:tcPr>
            <w:tcW w:w="739" w:type="pct"/>
            <w:vMerge/>
            <w:tcBorders>
              <w:top w:val="nil"/>
              <w:left w:val="nil"/>
              <w:bottom w:val="nil"/>
              <w:right w:val="nil"/>
            </w:tcBorders>
            <w:vAlign w:val="center"/>
            <w:hideMark/>
          </w:tcPr>
          <w:p w14:paraId="07AD5A90" w14:textId="77777777" w:rsidR="00414183" w:rsidRPr="00E65AA7" w:rsidRDefault="00414183" w:rsidP="00414183">
            <w:pPr>
              <w:rPr>
                <w:rFonts w:eastAsia="Times New Roman"/>
                <w:b/>
                <w:color w:val="000000"/>
                <w:sz w:val="20"/>
                <w:szCs w:val="20"/>
                <w:lang w:eastAsia="en-MY"/>
              </w:rPr>
            </w:pPr>
          </w:p>
        </w:tc>
        <w:tc>
          <w:tcPr>
            <w:tcW w:w="347" w:type="pct"/>
            <w:vMerge/>
            <w:tcBorders>
              <w:left w:val="nil"/>
              <w:right w:val="nil"/>
            </w:tcBorders>
            <w:vAlign w:val="center"/>
          </w:tcPr>
          <w:p w14:paraId="2077FAC4" w14:textId="77777777" w:rsidR="00414183" w:rsidRPr="00E65AA7" w:rsidRDefault="00414183" w:rsidP="00414183">
            <w:pPr>
              <w:jc w:val="center"/>
              <w:rPr>
                <w:rFonts w:eastAsia="Times New Roman"/>
                <w:sz w:val="20"/>
                <w:szCs w:val="20"/>
                <w:lang w:eastAsia="en-MY"/>
              </w:rPr>
            </w:pPr>
          </w:p>
        </w:tc>
        <w:tc>
          <w:tcPr>
            <w:tcW w:w="378" w:type="pct"/>
            <w:tcBorders>
              <w:top w:val="nil"/>
              <w:left w:val="nil"/>
              <w:bottom w:val="nil"/>
              <w:right w:val="nil"/>
            </w:tcBorders>
            <w:shd w:val="clear" w:color="auto" w:fill="auto"/>
            <w:noWrap/>
            <w:vAlign w:val="center"/>
            <w:hideMark/>
          </w:tcPr>
          <w:p w14:paraId="35DBEA60" w14:textId="2CF3FB0F" w:rsidR="00414183" w:rsidRPr="00E65AA7" w:rsidRDefault="00414183" w:rsidP="00414183">
            <w:pPr>
              <w:jc w:val="center"/>
              <w:rPr>
                <w:color w:val="000000"/>
                <w:sz w:val="20"/>
                <w:szCs w:val="20"/>
              </w:rPr>
            </w:pPr>
            <w:r w:rsidRPr="00E65AA7">
              <w:rPr>
                <w:color w:val="000000"/>
                <w:sz w:val="20"/>
                <w:szCs w:val="20"/>
              </w:rPr>
              <w:t>(3.84)</w:t>
            </w:r>
          </w:p>
        </w:tc>
        <w:tc>
          <w:tcPr>
            <w:tcW w:w="343" w:type="pct"/>
            <w:tcBorders>
              <w:top w:val="nil"/>
              <w:left w:val="nil"/>
              <w:bottom w:val="nil"/>
              <w:right w:val="nil"/>
            </w:tcBorders>
            <w:shd w:val="clear" w:color="auto" w:fill="auto"/>
            <w:noWrap/>
            <w:vAlign w:val="center"/>
            <w:hideMark/>
          </w:tcPr>
          <w:p w14:paraId="50BB2F0E" w14:textId="5929EA1A" w:rsidR="00414183" w:rsidRPr="00E65AA7" w:rsidRDefault="00414183" w:rsidP="00414183">
            <w:pPr>
              <w:jc w:val="center"/>
              <w:rPr>
                <w:color w:val="000000"/>
                <w:sz w:val="20"/>
                <w:szCs w:val="20"/>
              </w:rPr>
            </w:pPr>
            <w:r w:rsidRPr="00E65AA7">
              <w:rPr>
                <w:color w:val="000000"/>
                <w:sz w:val="20"/>
                <w:szCs w:val="20"/>
              </w:rPr>
              <w:t>(3.21)</w:t>
            </w:r>
          </w:p>
        </w:tc>
        <w:tc>
          <w:tcPr>
            <w:tcW w:w="344" w:type="pct"/>
            <w:tcBorders>
              <w:top w:val="nil"/>
              <w:left w:val="nil"/>
              <w:bottom w:val="nil"/>
              <w:right w:val="nil"/>
            </w:tcBorders>
            <w:shd w:val="clear" w:color="auto" w:fill="auto"/>
            <w:noWrap/>
            <w:vAlign w:val="center"/>
            <w:hideMark/>
          </w:tcPr>
          <w:p w14:paraId="3808FF2F" w14:textId="7ABE0AD0" w:rsidR="00414183" w:rsidRPr="00E65AA7" w:rsidRDefault="00414183" w:rsidP="00414183">
            <w:pPr>
              <w:jc w:val="center"/>
              <w:rPr>
                <w:color w:val="000000"/>
                <w:sz w:val="20"/>
                <w:szCs w:val="20"/>
              </w:rPr>
            </w:pPr>
            <w:r w:rsidRPr="00E65AA7">
              <w:rPr>
                <w:color w:val="000000"/>
                <w:sz w:val="20"/>
                <w:szCs w:val="20"/>
              </w:rPr>
              <w:t>(2.83)</w:t>
            </w:r>
          </w:p>
        </w:tc>
        <w:tc>
          <w:tcPr>
            <w:tcW w:w="344" w:type="pct"/>
            <w:tcBorders>
              <w:top w:val="nil"/>
              <w:left w:val="nil"/>
              <w:bottom w:val="nil"/>
              <w:right w:val="nil"/>
            </w:tcBorders>
            <w:shd w:val="clear" w:color="auto" w:fill="auto"/>
            <w:noWrap/>
            <w:vAlign w:val="center"/>
            <w:hideMark/>
          </w:tcPr>
          <w:p w14:paraId="4C327269" w14:textId="2835EC4C" w:rsidR="00414183" w:rsidRPr="00E65AA7" w:rsidRDefault="00414183" w:rsidP="00414183">
            <w:pPr>
              <w:jc w:val="center"/>
              <w:rPr>
                <w:color w:val="000000"/>
                <w:sz w:val="20"/>
                <w:szCs w:val="20"/>
              </w:rPr>
            </w:pPr>
            <w:r w:rsidRPr="00E65AA7">
              <w:rPr>
                <w:color w:val="000000"/>
                <w:sz w:val="20"/>
                <w:szCs w:val="20"/>
              </w:rPr>
              <w:t>(2.64)</w:t>
            </w:r>
          </w:p>
        </w:tc>
        <w:tc>
          <w:tcPr>
            <w:tcW w:w="344" w:type="pct"/>
            <w:tcBorders>
              <w:top w:val="nil"/>
              <w:left w:val="nil"/>
              <w:bottom w:val="nil"/>
              <w:right w:val="nil"/>
            </w:tcBorders>
            <w:shd w:val="clear" w:color="auto" w:fill="auto"/>
            <w:noWrap/>
            <w:vAlign w:val="center"/>
            <w:hideMark/>
          </w:tcPr>
          <w:p w14:paraId="465BF2CC" w14:textId="0198C63E" w:rsidR="00414183" w:rsidRPr="00E65AA7" w:rsidRDefault="00414183" w:rsidP="00414183">
            <w:pPr>
              <w:jc w:val="center"/>
              <w:rPr>
                <w:color w:val="000000"/>
                <w:sz w:val="20"/>
                <w:szCs w:val="20"/>
              </w:rPr>
            </w:pPr>
            <w:r w:rsidRPr="00E65AA7">
              <w:rPr>
                <w:color w:val="000000"/>
                <w:sz w:val="20"/>
                <w:szCs w:val="20"/>
              </w:rPr>
              <w:t>(2.8</w:t>
            </w:r>
            <w:r w:rsidR="00027811" w:rsidRPr="00E65AA7">
              <w:rPr>
                <w:color w:val="000000"/>
                <w:sz w:val="20"/>
                <w:szCs w:val="20"/>
              </w:rPr>
              <w:t>0</w:t>
            </w:r>
            <w:r w:rsidRPr="00E65AA7">
              <w:rPr>
                <w:color w:val="000000"/>
                <w:sz w:val="20"/>
                <w:szCs w:val="20"/>
              </w:rPr>
              <w:t>)</w:t>
            </w:r>
          </w:p>
        </w:tc>
        <w:tc>
          <w:tcPr>
            <w:tcW w:w="344" w:type="pct"/>
            <w:tcBorders>
              <w:top w:val="nil"/>
              <w:left w:val="nil"/>
              <w:bottom w:val="nil"/>
              <w:right w:val="nil"/>
            </w:tcBorders>
            <w:shd w:val="clear" w:color="auto" w:fill="auto"/>
            <w:noWrap/>
            <w:vAlign w:val="center"/>
            <w:hideMark/>
          </w:tcPr>
          <w:p w14:paraId="507E4EFB" w14:textId="2AB1CFFE" w:rsidR="00414183" w:rsidRPr="00E65AA7" w:rsidRDefault="00414183" w:rsidP="00414183">
            <w:pPr>
              <w:jc w:val="center"/>
              <w:rPr>
                <w:color w:val="000000"/>
                <w:sz w:val="20"/>
                <w:szCs w:val="20"/>
              </w:rPr>
            </w:pPr>
            <w:r w:rsidRPr="00E65AA7">
              <w:rPr>
                <w:color w:val="000000"/>
                <w:sz w:val="20"/>
                <w:szCs w:val="20"/>
              </w:rPr>
              <w:t>(2.63)</w:t>
            </w:r>
          </w:p>
        </w:tc>
        <w:tc>
          <w:tcPr>
            <w:tcW w:w="344" w:type="pct"/>
            <w:tcBorders>
              <w:top w:val="nil"/>
              <w:left w:val="nil"/>
              <w:bottom w:val="nil"/>
              <w:right w:val="nil"/>
            </w:tcBorders>
            <w:shd w:val="clear" w:color="auto" w:fill="auto"/>
            <w:noWrap/>
            <w:vAlign w:val="center"/>
            <w:hideMark/>
          </w:tcPr>
          <w:p w14:paraId="18A8C8FB" w14:textId="44B29620" w:rsidR="00414183" w:rsidRPr="00E65AA7" w:rsidRDefault="00414183" w:rsidP="00414183">
            <w:pPr>
              <w:jc w:val="center"/>
              <w:rPr>
                <w:color w:val="000000"/>
                <w:sz w:val="20"/>
                <w:szCs w:val="20"/>
              </w:rPr>
            </w:pPr>
            <w:r w:rsidRPr="00E65AA7">
              <w:rPr>
                <w:color w:val="000000"/>
                <w:sz w:val="20"/>
                <w:szCs w:val="20"/>
              </w:rPr>
              <w:t>(2.44)</w:t>
            </w:r>
          </w:p>
        </w:tc>
        <w:tc>
          <w:tcPr>
            <w:tcW w:w="344" w:type="pct"/>
            <w:tcBorders>
              <w:top w:val="nil"/>
              <w:left w:val="nil"/>
              <w:bottom w:val="nil"/>
              <w:right w:val="nil"/>
            </w:tcBorders>
            <w:shd w:val="clear" w:color="auto" w:fill="auto"/>
            <w:noWrap/>
            <w:vAlign w:val="center"/>
            <w:hideMark/>
          </w:tcPr>
          <w:p w14:paraId="1E32F7D6" w14:textId="4E4282C6" w:rsidR="00414183" w:rsidRPr="00E65AA7" w:rsidRDefault="00414183" w:rsidP="00414183">
            <w:pPr>
              <w:jc w:val="center"/>
              <w:rPr>
                <w:color w:val="000000"/>
                <w:sz w:val="20"/>
                <w:szCs w:val="20"/>
              </w:rPr>
            </w:pPr>
            <w:r w:rsidRPr="00E65AA7">
              <w:rPr>
                <w:color w:val="000000"/>
                <w:sz w:val="20"/>
                <w:szCs w:val="20"/>
              </w:rPr>
              <w:t>(2.4</w:t>
            </w:r>
            <w:r w:rsidR="00027811" w:rsidRPr="00E65AA7">
              <w:rPr>
                <w:color w:val="000000"/>
                <w:sz w:val="20"/>
                <w:szCs w:val="20"/>
              </w:rPr>
              <w:t>0</w:t>
            </w:r>
            <w:r w:rsidRPr="00E65AA7">
              <w:rPr>
                <w:color w:val="000000"/>
                <w:sz w:val="20"/>
                <w:szCs w:val="20"/>
              </w:rPr>
              <w:t>)</w:t>
            </w:r>
          </w:p>
        </w:tc>
        <w:tc>
          <w:tcPr>
            <w:tcW w:w="344" w:type="pct"/>
            <w:tcBorders>
              <w:top w:val="nil"/>
              <w:left w:val="nil"/>
              <w:bottom w:val="nil"/>
              <w:right w:val="nil"/>
            </w:tcBorders>
            <w:shd w:val="clear" w:color="auto" w:fill="auto"/>
            <w:noWrap/>
            <w:vAlign w:val="center"/>
            <w:hideMark/>
          </w:tcPr>
          <w:p w14:paraId="245A9E7E" w14:textId="7D45A08B" w:rsidR="00414183" w:rsidRPr="00E65AA7" w:rsidRDefault="00414183" w:rsidP="00414183">
            <w:pPr>
              <w:jc w:val="center"/>
              <w:rPr>
                <w:color w:val="000000"/>
                <w:sz w:val="20"/>
                <w:szCs w:val="20"/>
              </w:rPr>
            </w:pPr>
            <w:r w:rsidRPr="00E65AA7">
              <w:rPr>
                <w:color w:val="000000"/>
                <w:sz w:val="20"/>
                <w:szCs w:val="20"/>
              </w:rPr>
              <w:t>(2.26)</w:t>
            </w:r>
          </w:p>
        </w:tc>
        <w:tc>
          <w:tcPr>
            <w:tcW w:w="378" w:type="pct"/>
            <w:tcBorders>
              <w:top w:val="nil"/>
              <w:left w:val="nil"/>
              <w:bottom w:val="nil"/>
              <w:right w:val="nil"/>
            </w:tcBorders>
            <w:shd w:val="clear" w:color="auto" w:fill="auto"/>
            <w:noWrap/>
            <w:vAlign w:val="center"/>
            <w:hideMark/>
          </w:tcPr>
          <w:p w14:paraId="437F01C5" w14:textId="1EB168FB" w:rsidR="00414183" w:rsidRPr="00E65AA7" w:rsidRDefault="00414183" w:rsidP="00414183">
            <w:pPr>
              <w:jc w:val="center"/>
              <w:rPr>
                <w:color w:val="000000"/>
                <w:sz w:val="20"/>
                <w:szCs w:val="20"/>
              </w:rPr>
            </w:pPr>
            <w:r w:rsidRPr="00E65AA7">
              <w:rPr>
                <w:color w:val="000000"/>
                <w:sz w:val="20"/>
                <w:szCs w:val="20"/>
              </w:rPr>
              <w:t>(2.06)</w:t>
            </w:r>
          </w:p>
        </w:tc>
        <w:tc>
          <w:tcPr>
            <w:tcW w:w="406" w:type="pct"/>
            <w:tcBorders>
              <w:top w:val="nil"/>
              <w:left w:val="nil"/>
              <w:bottom w:val="nil"/>
              <w:right w:val="nil"/>
            </w:tcBorders>
            <w:shd w:val="clear" w:color="auto" w:fill="auto"/>
            <w:noWrap/>
            <w:vAlign w:val="center"/>
            <w:hideMark/>
          </w:tcPr>
          <w:p w14:paraId="42B40E9D" w14:textId="5B271581" w:rsidR="00414183" w:rsidRPr="00E65AA7" w:rsidRDefault="00414183" w:rsidP="00414183">
            <w:pPr>
              <w:jc w:val="center"/>
              <w:rPr>
                <w:color w:val="000000"/>
                <w:sz w:val="20"/>
                <w:szCs w:val="20"/>
              </w:rPr>
            </w:pPr>
            <w:r w:rsidRPr="00E65AA7">
              <w:rPr>
                <w:color w:val="000000"/>
                <w:sz w:val="20"/>
                <w:szCs w:val="20"/>
              </w:rPr>
              <w:t>(0.61)</w:t>
            </w:r>
          </w:p>
        </w:tc>
      </w:tr>
      <w:tr w:rsidR="00414183" w:rsidRPr="00E65AA7" w14:paraId="0A5605F1" w14:textId="77777777" w:rsidTr="005F51C8">
        <w:trPr>
          <w:trHeight w:hRule="exact" w:val="255"/>
        </w:trPr>
        <w:tc>
          <w:tcPr>
            <w:tcW w:w="739" w:type="pct"/>
            <w:vMerge w:val="restart"/>
            <w:tcBorders>
              <w:top w:val="nil"/>
              <w:left w:val="nil"/>
              <w:right w:val="nil"/>
            </w:tcBorders>
            <w:vAlign w:val="center"/>
          </w:tcPr>
          <w:p w14:paraId="1ABF5F0E" w14:textId="27CB4DC3" w:rsidR="00414183" w:rsidRPr="00E65AA7" w:rsidRDefault="00414183" w:rsidP="00414183">
            <w:pPr>
              <w:rPr>
                <w:rFonts w:eastAsia="Times New Roman"/>
                <w:b/>
                <w:color w:val="000000"/>
                <w:sz w:val="20"/>
                <w:szCs w:val="20"/>
                <w:lang w:eastAsia="en-MY"/>
              </w:rPr>
            </w:pPr>
            <w:r w:rsidRPr="00E65AA7">
              <w:rPr>
                <w:rFonts w:eastAsia="Times New Roman"/>
                <w:b/>
                <w:color w:val="000000"/>
                <w:sz w:val="20"/>
                <w:szCs w:val="20"/>
                <w:lang w:eastAsia="en-MY"/>
              </w:rPr>
              <w:t>4</w:t>
            </w:r>
          </w:p>
        </w:tc>
        <w:tc>
          <w:tcPr>
            <w:tcW w:w="347" w:type="pct"/>
            <w:vMerge w:val="restart"/>
            <w:tcBorders>
              <w:left w:val="nil"/>
              <w:right w:val="nil"/>
            </w:tcBorders>
            <w:vAlign w:val="center"/>
          </w:tcPr>
          <w:p w14:paraId="3AAE4C1E" w14:textId="4CBFF972" w:rsidR="00414183" w:rsidRPr="00E65AA7" w:rsidRDefault="00FC57A2" w:rsidP="00414183">
            <w:pPr>
              <w:jc w:val="center"/>
              <w:rPr>
                <w:rFonts w:eastAsia="Times New Roman"/>
                <w:sz w:val="20"/>
                <w:szCs w:val="20"/>
                <w:lang w:eastAsia="en-MY"/>
              </w:rPr>
            </w:pPr>
            <w:r w:rsidRPr="00E65AA7">
              <w:rPr>
                <w:rFonts w:eastAsia="Times New Roman"/>
                <w:color w:val="000000"/>
                <w:sz w:val="20"/>
                <w:szCs w:val="20"/>
                <w:lang w:eastAsia="en-MY"/>
              </w:rPr>
              <w:t>121</w:t>
            </w:r>
          </w:p>
        </w:tc>
        <w:tc>
          <w:tcPr>
            <w:tcW w:w="378" w:type="pct"/>
            <w:tcBorders>
              <w:top w:val="nil"/>
              <w:left w:val="nil"/>
              <w:bottom w:val="nil"/>
              <w:right w:val="nil"/>
            </w:tcBorders>
            <w:shd w:val="clear" w:color="auto" w:fill="auto"/>
            <w:noWrap/>
            <w:vAlign w:val="center"/>
          </w:tcPr>
          <w:p w14:paraId="4BAADEEF" w14:textId="649A4CC3" w:rsidR="00414183" w:rsidRPr="00E65AA7" w:rsidRDefault="00414183" w:rsidP="00414183">
            <w:pPr>
              <w:jc w:val="center"/>
              <w:rPr>
                <w:color w:val="000000"/>
                <w:sz w:val="20"/>
                <w:szCs w:val="20"/>
              </w:rPr>
            </w:pPr>
            <w:r w:rsidRPr="00E65AA7">
              <w:rPr>
                <w:color w:val="000000"/>
                <w:sz w:val="20"/>
                <w:szCs w:val="20"/>
              </w:rPr>
              <w:t>0.95</w:t>
            </w:r>
          </w:p>
        </w:tc>
        <w:tc>
          <w:tcPr>
            <w:tcW w:w="343" w:type="pct"/>
            <w:tcBorders>
              <w:top w:val="nil"/>
              <w:left w:val="nil"/>
              <w:bottom w:val="nil"/>
              <w:right w:val="nil"/>
            </w:tcBorders>
            <w:shd w:val="clear" w:color="auto" w:fill="auto"/>
            <w:noWrap/>
            <w:vAlign w:val="center"/>
          </w:tcPr>
          <w:p w14:paraId="75374DF7" w14:textId="535FFAC1" w:rsidR="00414183" w:rsidRPr="00E65AA7" w:rsidRDefault="00414183" w:rsidP="00414183">
            <w:pPr>
              <w:jc w:val="center"/>
              <w:rPr>
                <w:color w:val="000000"/>
                <w:sz w:val="20"/>
                <w:szCs w:val="20"/>
              </w:rPr>
            </w:pPr>
            <w:r w:rsidRPr="00E65AA7">
              <w:rPr>
                <w:color w:val="000000"/>
                <w:sz w:val="20"/>
                <w:szCs w:val="20"/>
              </w:rPr>
              <w:t>0.97</w:t>
            </w:r>
          </w:p>
        </w:tc>
        <w:tc>
          <w:tcPr>
            <w:tcW w:w="344" w:type="pct"/>
            <w:tcBorders>
              <w:top w:val="nil"/>
              <w:left w:val="nil"/>
              <w:bottom w:val="nil"/>
              <w:right w:val="nil"/>
            </w:tcBorders>
            <w:shd w:val="clear" w:color="auto" w:fill="auto"/>
            <w:noWrap/>
            <w:vAlign w:val="center"/>
          </w:tcPr>
          <w:p w14:paraId="65B6E015" w14:textId="03D9E535" w:rsidR="00414183" w:rsidRPr="00E65AA7" w:rsidRDefault="00414183" w:rsidP="00414183">
            <w:pPr>
              <w:jc w:val="center"/>
              <w:rPr>
                <w:color w:val="000000"/>
                <w:sz w:val="20"/>
                <w:szCs w:val="20"/>
              </w:rPr>
            </w:pPr>
            <w:r w:rsidRPr="00E65AA7">
              <w:rPr>
                <w:color w:val="000000"/>
                <w:sz w:val="20"/>
                <w:szCs w:val="20"/>
              </w:rPr>
              <w:t>0.85</w:t>
            </w:r>
          </w:p>
        </w:tc>
        <w:tc>
          <w:tcPr>
            <w:tcW w:w="344" w:type="pct"/>
            <w:tcBorders>
              <w:top w:val="nil"/>
              <w:left w:val="nil"/>
              <w:bottom w:val="nil"/>
              <w:right w:val="nil"/>
            </w:tcBorders>
            <w:shd w:val="clear" w:color="auto" w:fill="auto"/>
            <w:noWrap/>
            <w:vAlign w:val="center"/>
          </w:tcPr>
          <w:p w14:paraId="33BF8070" w14:textId="3E82B6FF" w:rsidR="00414183" w:rsidRPr="00E65AA7" w:rsidRDefault="00414183" w:rsidP="00414183">
            <w:pPr>
              <w:jc w:val="center"/>
              <w:rPr>
                <w:color w:val="000000"/>
                <w:sz w:val="20"/>
                <w:szCs w:val="20"/>
              </w:rPr>
            </w:pPr>
            <w:r w:rsidRPr="00E65AA7">
              <w:rPr>
                <w:color w:val="000000"/>
                <w:sz w:val="20"/>
                <w:szCs w:val="20"/>
              </w:rPr>
              <w:t>0.91</w:t>
            </w:r>
          </w:p>
        </w:tc>
        <w:tc>
          <w:tcPr>
            <w:tcW w:w="344" w:type="pct"/>
            <w:tcBorders>
              <w:top w:val="nil"/>
              <w:left w:val="nil"/>
              <w:bottom w:val="nil"/>
              <w:right w:val="nil"/>
            </w:tcBorders>
            <w:shd w:val="clear" w:color="auto" w:fill="auto"/>
            <w:noWrap/>
            <w:vAlign w:val="center"/>
          </w:tcPr>
          <w:p w14:paraId="54AF175C" w14:textId="7160E09A" w:rsidR="00414183" w:rsidRPr="00E65AA7" w:rsidRDefault="00414183" w:rsidP="00414183">
            <w:pPr>
              <w:jc w:val="center"/>
              <w:rPr>
                <w:color w:val="000000"/>
                <w:sz w:val="20"/>
                <w:szCs w:val="20"/>
              </w:rPr>
            </w:pPr>
            <w:r w:rsidRPr="00E65AA7">
              <w:rPr>
                <w:color w:val="000000"/>
                <w:sz w:val="20"/>
                <w:szCs w:val="20"/>
              </w:rPr>
              <w:t>0.99</w:t>
            </w:r>
          </w:p>
        </w:tc>
        <w:tc>
          <w:tcPr>
            <w:tcW w:w="344" w:type="pct"/>
            <w:tcBorders>
              <w:top w:val="nil"/>
              <w:left w:val="nil"/>
              <w:bottom w:val="nil"/>
              <w:right w:val="nil"/>
            </w:tcBorders>
            <w:shd w:val="clear" w:color="auto" w:fill="auto"/>
            <w:noWrap/>
            <w:vAlign w:val="center"/>
          </w:tcPr>
          <w:p w14:paraId="5C2019FC" w14:textId="7803BC1C" w:rsidR="00414183" w:rsidRPr="00E65AA7" w:rsidRDefault="00414183" w:rsidP="00414183">
            <w:pPr>
              <w:jc w:val="center"/>
              <w:rPr>
                <w:color w:val="000000"/>
                <w:sz w:val="20"/>
                <w:szCs w:val="20"/>
              </w:rPr>
            </w:pPr>
            <w:r w:rsidRPr="00E65AA7">
              <w:rPr>
                <w:color w:val="000000"/>
                <w:sz w:val="20"/>
                <w:szCs w:val="20"/>
              </w:rPr>
              <w:t>0.76</w:t>
            </w:r>
          </w:p>
        </w:tc>
        <w:tc>
          <w:tcPr>
            <w:tcW w:w="344" w:type="pct"/>
            <w:tcBorders>
              <w:top w:val="nil"/>
              <w:left w:val="nil"/>
              <w:bottom w:val="nil"/>
              <w:right w:val="nil"/>
            </w:tcBorders>
            <w:shd w:val="clear" w:color="auto" w:fill="auto"/>
            <w:noWrap/>
            <w:vAlign w:val="center"/>
          </w:tcPr>
          <w:p w14:paraId="5691B229" w14:textId="3CD4ADF7" w:rsidR="00414183" w:rsidRPr="00E65AA7" w:rsidRDefault="00414183" w:rsidP="00414183">
            <w:pPr>
              <w:jc w:val="center"/>
              <w:rPr>
                <w:color w:val="000000"/>
                <w:sz w:val="20"/>
                <w:szCs w:val="20"/>
              </w:rPr>
            </w:pPr>
            <w:r w:rsidRPr="00E65AA7">
              <w:rPr>
                <w:color w:val="000000"/>
                <w:sz w:val="20"/>
                <w:szCs w:val="20"/>
              </w:rPr>
              <w:t>0.84</w:t>
            </w:r>
          </w:p>
        </w:tc>
        <w:tc>
          <w:tcPr>
            <w:tcW w:w="344" w:type="pct"/>
            <w:tcBorders>
              <w:top w:val="nil"/>
              <w:left w:val="nil"/>
              <w:bottom w:val="nil"/>
              <w:right w:val="nil"/>
            </w:tcBorders>
            <w:shd w:val="clear" w:color="auto" w:fill="auto"/>
            <w:noWrap/>
            <w:vAlign w:val="center"/>
          </w:tcPr>
          <w:p w14:paraId="2E6CB207" w14:textId="3ED0D90B" w:rsidR="00414183" w:rsidRPr="00E65AA7" w:rsidRDefault="00414183" w:rsidP="00414183">
            <w:pPr>
              <w:jc w:val="center"/>
              <w:rPr>
                <w:color w:val="000000"/>
                <w:sz w:val="20"/>
                <w:szCs w:val="20"/>
              </w:rPr>
            </w:pPr>
            <w:r w:rsidRPr="00E65AA7">
              <w:rPr>
                <w:color w:val="000000"/>
                <w:sz w:val="20"/>
                <w:szCs w:val="20"/>
              </w:rPr>
              <w:t>0.58</w:t>
            </w:r>
          </w:p>
        </w:tc>
        <w:tc>
          <w:tcPr>
            <w:tcW w:w="344" w:type="pct"/>
            <w:tcBorders>
              <w:top w:val="nil"/>
              <w:left w:val="nil"/>
              <w:bottom w:val="nil"/>
              <w:right w:val="nil"/>
            </w:tcBorders>
            <w:shd w:val="clear" w:color="auto" w:fill="auto"/>
            <w:noWrap/>
            <w:vAlign w:val="center"/>
          </w:tcPr>
          <w:p w14:paraId="1AF675EF" w14:textId="01603190" w:rsidR="00414183" w:rsidRPr="00E65AA7" w:rsidRDefault="00414183" w:rsidP="00414183">
            <w:pPr>
              <w:jc w:val="center"/>
              <w:rPr>
                <w:color w:val="000000"/>
                <w:sz w:val="20"/>
                <w:szCs w:val="20"/>
              </w:rPr>
            </w:pPr>
            <w:r w:rsidRPr="00E65AA7">
              <w:rPr>
                <w:color w:val="000000"/>
                <w:sz w:val="20"/>
                <w:szCs w:val="20"/>
              </w:rPr>
              <w:t>0.55</w:t>
            </w:r>
          </w:p>
        </w:tc>
        <w:tc>
          <w:tcPr>
            <w:tcW w:w="378" w:type="pct"/>
            <w:tcBorders>
              <w:top w:val="nil"/>
              <w:left w:val="nil"/>
              <w:bottom w:val="nil"/>
              <w:right w:val="nil"/>
            </w:tcBorders>
            <w:shd w:val="clear" w:color="auto" w:fill="auto"/>
            <w:noWrap/>
            <w:vAlign w:val="center"/>
          </w:tcPr>
          <w:p w14:paraId="7C171EEC" w14:textId="33EAE5EC" w:rsidR="00414183" w:rsidRPr="00E65AA7" w:rsidRDefault="00414183" w:rsidP="00414183">
            <w:pPr>
              <w:jc w:val="center"/>
              <w:rPr>
                <w:color w:val="000000"/>
                <w:sz w:val="20"/>
                <w:szCs w:val="20"/>
              </w:rPr>
            </w:pPr>
            <w:r w:rsidRPr="00E65AA7">
              <w:rPr>
                <w:color w:val="000000"/>
                <w:sz w:val="20"/>
                <w:szCs w:val="20"/>
              </w:rPr>
              <w:t>0.24</w:t>
            </w:r>
          </w:p>
        </w:tc>
        <w:tc>
          <w:tcPr>
            <w:tcW w:w="406" w:type="pct"/>
            <w:tcBorders>
              <w:top w:val="nil"/>
              <w:left w:val="nil"/>
              <w:bottom w:val="nil"/>
              <w:right w:val="nil"/>
            </w:tcBorders>
            <w:shd w:val="clear" w:color="auto" w:fill="auto"/>
            <w:noWrap/>
            <w:vAlign w:val="center"/>
          </w:tcPr>
          <w:p w14:paraId="1E0A406B" w14:textId="1C010FBE" w:rsidR="00414183" w:rsidRPr="00E65AA7" w:rsidRDefault="00885FCE" w:rsidP="00414183">
            <w:pPr>
              <w:jc w:val="center"/>
              <w:rPr>
                <w:color w:val="000000"/>
                <w:sz w:val="20"/>
                <w:szCs w:val="20"/>
              </w:rPr>
            </w:pPr>
            <w:r>
              <w:rPr>
                <w:color w:val="000000"/>
                <w:sz w:val="20"/>
                <w:szCs w:val="20"/>
              </w:rPr>
              <w:t>-</w:t>
            </w:r>
            <w:r w:rsidR="00414183" w:rsidRPr="00E65AA7">
              <w:rPr>
                <w:color w:val="000000"/>
                <w:sz w:val="20"/>
                <w:szCs w:val="20"/>
              </w:rPr>
              <w:t>0.71</w:t>
            </w:r>
          </w:p>
        </w:tc>
      </w:tr>
      <w:tr w:rsidR="00414183" w:rsidRPr="00E65AA7" w14:paraId="38E31F7E" w14:textId="77777777" w:rsidTr="005F51C8">
        <w:trPr>
          <w:trHeight w:hRule="exact" w:val="255"/>
        </w:trPr>
        <w:tc>
          <w:tcPr>
            <w:tcW w:w="739" w:type="pct"/>
            <w:vMerge/>
            <w:tcBorders>
              <w:left w:val="nil"/>
              <w:bottom w:val="nil"/>
              <w:right w:val="nil"/>
            </w:tcBorders>
            <w:vAlign w:val="center"/>
          </w:tcPr>
          <w:p w14:paraId="212EA374" w14:textId="77777777" w:rsidR="00414183" w:rsidRPr="00E65AA7" w:rsidRDefault="00414183" w:rsidP="00414183">
            <w:pPr>
              <w:rPr>
                <w:rFonts w:eastAsia="Times New Roman"/>
                <w:b/>
                <w:color w:val="000000"/>
                <w:sz w:val="20"/>
                <w:szCs w:val="20"/>
                <w:lang w:eastAsia="en-MY"/>
              </w:rPr>
            </w:pPr>
          </w:p>
        </w:tc>
        <w:tc>
          <w:tcPr>
            <w:tcW w:w="347" w:type="pct"/>
            <w:vMerge/>
            <w:tcBorders>
              <w:left w:val="nil"/>
              <w:bottom w:val="nil"/>
              <w:right w:val="nil"/>
            </w:tcBorders>
            <w:vAlign w:val="center"/>
          </w:tcPr>
          <w:p w14:paraId="154155C3" w14:textId="77777777" w:rsidR="00414183" w:rsidRPr="00E65AA7" w:rsidRDefault="00414183" w:rsidP="00414183">
            <w:pPr>
              <w:jc w:val="center"/>
              <w:rPr>
                <w:rFonts w:eastAsia="Times New Roman"/>
                <w:sz w:val="20"/>
                <w:szCs w:val="20"/>
                <w:lang w:eastAsia="en-MY"/>
              </w:rPr>
            </w:pPr>
          </w:p>
        </w:tc>
        <w:tc>
          <w:tcPr>
            <w:tcW w:w="378" w:type="pct"/>
            <w:tcBorders>
              <w:top w:val="nil"/>
              <w:left w:val="nil"/>
              <w:bottom w:val="nil"/>
              <w:right w:val="nil"/>
            </w:tcBorders>
            <w:shd w:val="clear" w:color="auto" w:fill="auto"/>
            <w:noWrap/>
            <w:vAlign w:val="center"/>
          </w:tcPr>
          <w:p w14:paraId="0683CB4C" w14:textId="345F86E5" w:rsidR="00414183" w:rsidRPr="00E65AA7" w:rsidRDefault="00414183" w:rsidP="00414183">
            <w:pPr>
              <w:jc w:val="center"/>
              <w:rPr>
                <w:color w:val="000000"/>
                <w:sz w:val="20"/>
                <w:szCs w:val="20"/>
              </w:rPr>
            </w:pPr>
            <w:r w:rsidRPr="00E65AA7">
              <w:rPr>
                <w:color w:val="000000"/>
                <w:sz w:val="20"/>
                <w:szCs w:val="20"/>
              </w:rPr>
              <w:t>(3.33)</w:t>
            </w:r>
          </w:p>
        </w:tc>
        <w:tc>
          <w:tcPr>
            <w:tcW w:w="343" w:type="pct"/>
            <w:tcBorders>
              <w:top w:val="nil"/>
              <w:left w:val="nil"/>
              <w:bottom w:val="nil"/>
              <w:right w:val="nil"/>
            </w:tcBorders>
            <w:shd w:val="clear" w:color="auto" w:fill="auto"/>
            <w:noWrap/>
            <w:vAlign w:val="center"/>
          </w:tcPr>
          <w:p w14:paraId="091AD198" w14:textId="1AB77720" w:rsidR="00414183" w:rsidRPr="00E65AA7" w:rsidRDefault="00414183" w:rsidP="00414183">
            <w:pPr>
              <w:jc w:val="center"/>
              <w:rPr>
                <w:color w:val="000000"/>
                <w:sz w:val="20"/>
                <w:szCs w:val="20"/>
              </w:rPr>
            </w:pPr>
            <w:r w:rsidRPr="00E65AA7">
              <w:rPr>
                <w:color w:val="000000"/>
                <w:sz w:val="20"/>
                <w:szCs w:val="20"/>
              </w:rPr>
              <w:t>(2.79)</w:t>
            </w:r>
          </w:p>
        </w:tc>
        <w:tc>
          <w:tcPr>
            <w:tcW w:w="344" w:type="pct"/>
            <w:tcBorders>
              <w:top w:val="nil"/>
              <w:left w:val="nil"/>
              <w:bottom w:val="nil"/>
              <w:right w:val="nil"/>
            </w:tcBorders>
            <w:shd w:val="clear" w:color="auto" w:fill="auto"/>
            <w:noWrap/>
            <w:vAlign w:val="center"/>
          </w:tcPr>
          <w:p w14:paraId="64E7636C" w14:textId="28CDB7DB" w:rsidR="00414183" w:rsidRPr="00E65AA7" w:rsidRDefault="00414183" w:rsidP="00414183">
            <w:pPr>
              <w:jc w:val="center"/>
              <w:rPr>
                <w:color w:val="000000"/>
                <w:sz w:val="20"/>
                <w:szCs w:val="20"/>
              </w:rPr>
            </w:pPr>
            <w:r w:rsidRPr="00E65AA7">
              <w:rPr>
                <w:color w:val="000000"/>
                <w:sz w:val="20"/>
                <w:szCs w:val="20"/>
              </w:rPr>
              <w:t>(2.3</w:t>
            </w:r>
            <w:r w:rsidR="00027811" w:rsidRPr="00E65AA7">
              <w:rPr>
                <w:color w:val="000000"/>
                <w:sz w:val="20"/>
                <w:szCs w:val="20"/>
              </w:rPr>
              <w:t>0</w:t>
            </w:r>
            <w:r w:rsidRPr="00E65AA7">
              <w:rPr>
                <w:color w:val="000000"/>
                <w:sz w:val="20"/>
                <w:szCs w:val="20"/>
              </w:rPr>
              <w:t>)</w:t>
            </w:r>
          </w:p>
        </w:tc>
        <w:tc>
          <w:tcPr>
            <w:tcW w:w="344" w:type="pct"/>
            <w:tcBorders>
              <w:top w:val="nil"/>
              <w:left w:val="nil"/>
              <w:bottom w:val="nil"/>
              <w:right w:val="nil"/>
            </w:tcBorders>
            <w:shd w:val="clear" w:color="auto" w:fill="auto"/>
            <w:noWrap/>
            <w:vAlign w:val="center"/>
          </w:tcPr>
          <w:p w14:paraId="1BDE10B6" w14:textId="2ADBB8A3" w:rsidR="00414183" w:rsidRPr="00E65AA7" w:rsidRDefault="00414183" w:rsidP="00414183">
            <w:pPr>
              <w:jc w:val="center"/>
              <w:rPr>
                <w:color w:val="000000"/>
                <w:sz w:val="20"/>
                <w:szCs w:val="20"/>
              </w:rPr>
            </w:pPr>
            <w:r w:rsidRPr="00E65AA7">
              <w:rPr>
                <w:color w:val="000000"/>
                <w:sz w:val="20"/>
                <w:szCs w:val="20"/>
              </w:rPr>
              <w:t>(2.24)</w:t>
            </w:r>
          </w:p>
        </w:tc>
        <w:tc>
          <w:tcPr>
            <w:tcW w:w="344" w:type="pct"/>
            <w:tcBorders>
              <w:top w:val="nil"/>
              <w:left w:val="nil"/>
              <w:bottom w:val="nil"/>
              <w:right w:val="nil"/>
            </w:tcBorders>
            <w:shd w:val="clear" w:color="auto" w:fill="auto"/>
            <w:noWrap/>
            <w:vAlign w:val="center"/>
          </w:tcPr>
          <w:p w14:paraId="3133CDDD" w14:textId="2063489A" w:rsidR="00414183" w:rsidRPr="00E65AA7" w:rsidRDefault="00414183" w:rsidP="00414183">
            <w:pPr>
              <w:jc w:val="center"/>
              <w:rPr>
                <w:color w:val="000000"/>
                <w:sz w:val="20"/>
                <w:szCs w:val="20"/>
              </w:rPr>
            </w:pPr>
            <w:r w:rsidRPr="00E65AA7">
              <w:rPr>
                <w:color w:val="000000"/>
                <w:sz w:val="20"/>
                <w:szCs w:val="20"/>
              </w:rPr>
              <w:t>(2.24)</w:t>
            </w:r>
          </w:p>
        </w:tc>
        <w:tc>
          <w:tcPr>
            <w:tcW w:w="344" w:type="pct"/>
            <w:tcBorders>
              <w:top w:val="nil"/>
              <w:left w:val="nil"/>
              <w:bottom w:val="nil"/>
              <w:right w:val="nil"/>
            </w:tcBorders>
            <w:shd w:val="clear" w:color="auto" w:fill="auto"/>
            <w:noWrap/>
            <w:vAlign w:val="center"/>
          </w:tcPr>
          <w:p w14:paraId="2B6D7685" w14:textId="3DBB3A9E" w:rsidR="00414183" w:rsidRPr="00E65AA7" w:rsidRDefault="00414183" w:rsidP="00414183">
            <w:pPr>
              <w:jc w:val="center"/>
              <w:rPr>
                <w:color w:val="000000"/>
                <w:sz w:val="20"/>
                <w:szCs w:val="20"/>
              </w:rPr>
            </w:pPr>
            <w:r w:rsidRPr="00E65AA7">
              <w:rPr>
                <w:color w:val="000000"/>
                <w:sz w:val="20"/>
                <w:szCs w:val="20"/>
              </w:rPr>
              <w:t>(1.68)</w:t>
            </w:r>
          </w:p>
        </w:tc>
        <w:tc>
          <w:tcPr>
            <w:tcW w:w="344" w:type="pct"/>
            <w:tcBorders>
              <w:top w:val="nil"/>
              <w:left w:val="nil"/>
              <w:bottom w:val="nil"/>
              <w:right w:val="nil"/>
            </w:tcBorders>
            <w:shd w:val="clear" w:color="auto" w:fill="auto"/>
            <w:noWrap/>
            <w:vAlign w:val="center"/>
          </w:tcPr>
          <w:p w14:paraId="2168A0FD" w14:textId="57C51289" w:rsidR="00414183" w:rsidRPr="00E65AA7" w:rsidRDefault="00414183" w:rsidP="00414183">
            <w:pPr>
              <w:jc w:val="center"/>
              <w:rPr>
                <w:color w:val="000000"/>
                <w:sz w:val="20"/>
                <w:szCs w:val="20"/>
              </w:rPr>
            </w:pPr>
            <w:r w:rsidRPr="00E65AA7">
              <w:rPr>
                <w:color w:val="000000"/>
                <w:sz w:val="20"/>
                <w:szCs w:val="20"/>
              </w:rPr>
              <w:t>(1.67)</w:t>
            </w:r>
          </w:p>
        </w:tc>
        <w:tc>
          <w:tcPr>
            <w:tcW w:w="344" w:type="pct"/>
            <w:tcBorders>
              <w:top w:val="nil"/>
              <w:left w:val="nil"/>
              <w:bottom w:val="nil"/>
              <w:right w:val="nil"/>
            </w:tcBorders>
            <w:shd w:val="clear" w:color="auto" w:fill="auto"/>
            <w:noWrap/>
            <w:vAlign w:val="center"/>
          </w:tcPr>
          <w:p w14:paraId="45F4C720" w14:textId="407EB38B" w:rsidR="00414183" w:rsidRPr="00E65AA7" w:rsidRDefault="00414183" w:rsidP="00414183">
            <w:pPr>
              <w:jc w:val="center"/>
              <w:rPr>
                <w:color w:val="000000"/>
                <w:sz w:val="20"/>
                <w:szCs w:val="20"/>
              </w:rPr>
            </w:pPr>
            <w:r w:rsidRPr="00E65AA7">
              <w:rPr>
                <w:color w:val="000000"/>
                <w:sz w:val="20"/>
                <w:szCs w:val="20"/>
              </w:rPr>
              <w:t>(1.08)</w:t>
            </w:r>
          </w:p>
        </w:tc>
        <w:tc>
          <w:tcPr>
            <w:tcW w:w="344" w:type="pct"/>
            <w:tcBorders>
              <w:top w:val="nil"/>
              <w:left w:val="nil"/>
              <w:bottom w:val="nil"/>
              <w:right w:val="nil"/>
            </w:tcBorders>
            <w:shd w:val="clear" w:color="auto" w:fill="auto"/>
            <w:noWrap/>
            <w:vAlign w:val="center"/>
          </w:tcPr>
          <w:p w14:paraId="5A87FFD3" w14:textId="2FBA6234" w:rsidR="00414183" w:rsidRPr="00E65AA7" w:rsidRDefault="00414183" w:rsidP="00414183">
            <w:pPr>
              <w:jc w:val="center"/>
              <w:rPr>
                <w:color w:val="000000"/>
                <w:sz w:val="20"/>
                <w:szCs w:val="20"/>
              </w:rPr>
            </w:pPr>
            <w:r w:rsidRPr="00E65AA7">
              <w:rPr>
                <w:color w:val="000000"/>
                <w:sz w:val="20"/>
                <w:szCs w:val="20"/>
              </w:rPr>
              <w:t>(0.91)</w:t>
            </w:r>
          </w:p>
        </w:tc>
        <w:tc>
          <w:tcPr>
            <w:tcW w:w="378" w:type="pct"/>
            <w:tcBorders>
              <w:top w:val="nil"/>
              <w:left w:val="nil"/>
              <w:bottom w:val="nil"/>
              <w:right w:val="nil"/>
            </w:tcBorders>
            <w:shd w:val="clear" w:color="auto" w:fill="auto"/>
            <w:noWrap/>
            <w:vAlign w:val="center"/>
          </w:tcPr>
          <w:p w14:paraId="2E6E1C64" w14:textId="2F0E3305" w:rsidR="00414183" w:rsidRPr="00E65AA7" w:rsidRDefault="00414183" w:rsidP="00414183">
            <w:pPr>
              <w:jc w:val="center"/>
              <w:rPr>
                <w:color w:val="000000"/>
                <w:sz w:val="20"/>
                <w:szCs w:val="20"/>
              </w:rPr>
            </w:pPr>
            <w:r w:rsidRPr="00E65AA7">
              <w:rPr>
                <w:color w:val="000000"/>
                <w:sz w:val="20"/>
                <w:szCs w:val="20"/>
              </w:rPr>
              <w:t>(0.33)</w:t>
            </w:r>
          </w:p>
        </w:tc>
        <w:tc>
          <w:tcPr>
            <w:tcW w:w="406" w:type="pct"/>
            <w:tcBorders>
              <w:top w:val="nil"/>
              <w:left w:val="nil"/>
              <w:bottom w:val="nil"/>
              <w:right w:val="nil"/>
            </w:tcBorders>
            <w:shd w:val="clear" w:color="auto" w:fill="auto"/>
            <w:noWrap/>
            <w:vAlign w:val="center"/>
          </w:tcPr>
          <w:p w14:paraId="514400E5" w14:textId="12CEAF2B" w:rsidR="00414183" w:rsidRPr="00E65AA7" w:rsidRDefault="005573E2" w:rsidP="00414183">
            <w:pPr>
              <w:jc w:val="center"/>
              <w:rPr>
                <w:color w:val="000000"/>
                <w:sz w:val="20"/>
                <w:szCs w:val="20"/>
              </w:rPr>
            </w:pPr>
            <w:r>
              <w:rPr>
                <w:color w:val="000000"/>
                <w:sz w:val="20"/>
                <w:szCs w:val="20"/>
              </w:rPr>
              <w:t>(</w:t>
            </w:r>
            <w:r w:rsidR="00885FCE">
              <w:rPr>
                <w:color w:val="000000"/>
                <w:sz w:val="20"/>
                <w:szCs w:val="20"/>
              </w:rPr>
              <w:t>-</w:t>
            </w:r>
            <w:r w:rsidR="00414183" w:rsidRPr="00E65AA7">
              <w:rPr>
                <w:color w:val="000000"/>
                <w:sz w:val="20"/>
                <w:szCs w:val="20"/>
              </w:rPr>
              <w:t>1.18)</w:t>
            </w:r>
          </w:p>
        </w:tc>
      </w:tr>
      <w:tr w:rsidR="00414183" w:rsidRPr="00E65AA7" w14:paraId="6FDE0205" w14:textId="77777777" w:rsidTr="005F51C8">
        <w:trPr>
          <w:trHeight w:hRule="exact" w:val="255"/>
        </w:trPr>
        <w:tc>
          <w:tcPr>
            <w:tcW w:w="739" w:type="pct"/>
            <w:vMerge w:val="restart"/>
            <w:tcBorders>
              <w:left w:val="nil"/>
              <w:bottom w:val="nil"/>
              <w:right w:val="nil"/>
            </w:tcBorders>
            <w:shd w:val="clear" w:color="auto" w:fill="auto"/>
            <w:noWrap/>
            <w:vAlign w:val="center"/>
            <w:hideMark/>
          </w:tcPr>
          <w:p w14:paraId="7ED5416A" w14:textId="62118E86" w:rsidR="00414183" w:rsidRPr="00E65AA7" w:rsidRDefault="00414183" w:rsidP="00414183">
            <w:pPr>
              <w:rPr>
                <w:rFonts w:eastAsia="Times New Roman"/>
                <w:b/>
                <w:color w:val="000000"/>
                <w:sz w:val="20"/>
                <w:szCs w:val="20"/>
                <w:lang w:eastAsia="en-MY"/>
              </w:rPr>
            </w:pPr>
            <w:r w:rsidRPr="00E65AA7">
              <w:rPr>
                <w:rFonts w:eastAsia="Times New Roman"/>
                <w:b/>
                <w:color w:val="000000"/>
                <w:sz w:val="20"/>
                <w:szCs w:val="20"/>
                <w:lang w:eastAsia="en-MY"/>
              </w:rPr>
              <w:t>High</w:t>
            </w:r>
          </w:p>
        </w:tc>
        <w:tc>
          <w:tcPr>
            <w:tcW w:w="347" w:type="pct"/>
            <w:vMerge w:val="restart"/>
            <w:tcBorders>
              <w:left w:val="nil"/>
              <w:right w:val="nil"/>
            </w:tcBorders>
            <w:vAlign w:val="center"/>
          </w:tcPr>
          <w:p w14:paraId="563B6CFA" w14:textId="454659C0" w:rsidR="00414183" w:rsidRPr="00E65AA7" w:rsidRDefault="00FC57A2" w:rsidP="00414183">
            <w:pPr>
              <w:jc w:val="center"/>
              <w:rPr>
                <w:rFonts w:eastAsia="Times New Roman"/>
                <w:color w:val="000000"/>
                <w:sz w:val="20"/>
                <w:szCs w:val="20"/>
                <w:lang w:eastAsia="en-MY"/>
              </w:rPr>
            </w:pPr>
            <w:r w:rsidRPr="00E65AA7">
              <w:rPr>
                <w:rFonts w:eastAsia="Times New Roman"/>
                <w:color w:val="000000"/>
                <w:sz w:val="20"/>
                <w:szCs w:val="20"/>
                <w:lang w:eastAsia="en-MY"/>
              </w:rPr>
              <w:t>120</w:t>
            </w:r>
          </w:p>
        </w:tc>
        <w:tc>
          <w:tcPr>
            <w:tcW w:w="378" w:type="pct"/>
            <w:tcBorders>
              <w:left w:val="nil"/>
              <w:bottom w:val="nil"/>
              <w:right w:val="nil"/>
            </w:tcBorders>
            <w:shd w:val="clear" w:color="auto" w:fill="auto"/>
            <w:noWrap/>
            <w:vAlign w:val="center"/>
            <w:hideMark/>
          </w:tcPr>
          <w:p w14:paraId="40D09B32" w14:textId="40656BEA" w:rsidR="00414183" w:rsidRPr="00E65AA7" w:rsidRDefault="00414183" w:rsidP="00414183">
            <w:pPr>
              <w:jc w:val="center"/>
              <w:rPr>
                <w:color w:val="000000"/>
                <w:sz w:val="20"/>
                <w:szCs w:val="20"/>
              </w:rPr>
            </w:pPr>
            <w:r w:rsidRPr="00E65AA7">
              <w:rPr>
                <w:color w:val="000000"/>
                <w:sz w:val="20"/>
                <w:szCs w:val="20"/>
              </w:rPr>
              <w:t>1.51</w:t>
            </w:r>
          </w:p>
        </w:tc>
        <w:tc>
          <w:tcPr>
            <w:tcW w:w="343" w:type="pct"/>
            <w:tcBorders>
              <w:left w:val="nil"/>
              <w:bottom w:val="nil"/>
              <w:right w:val="nil"/>
            </w:tcBorders>
            <w:shd w:val="clear" w:color="auto" w:fill="auto"/>
            <w:noWrap/>
            <w:vAlign w:val="center"/>
            <w:hideMark/>
          </w:tcPr>
          <w:p w14:paraId="1DDEA7FB" w14:textId="5F21EDBF" w:rsidR="00414183" w:rsidRPr="00E65AA7" w:rsidRDefault="00414183" w:rsidP="00414183">
            <w:pPr>
              <w:jc w:val="center"/>
              <w:rPr>
                <w:color w:val="000000"/>
                <w:sz w:val="20"/>
                <w:szCs w:val="20"/>
              </w:rPr>
            </w:pPr>
            <w:r w:rsidRPr="00E65AA7">
              <w:rPr>
                <w:color w:val="000000"/>
                <w:sz w:val="20"/>
                <w:szCs w:val="20"/>
              </w:rPr>
              <w:t>1.41</w:t>
            </w:r>
          </w:p>
        </w:tc>
        <w:tc>
          <w:tcPr>
            <w:tcW w:w="344" w:type="pct"/>
            <w:tcBorders>
              <w:left w:val="nil"/>
              <w:bottom w:val="nil"/>
              <w:right w:val="nil"/>
            </w:tcBorders>
            <w:shd w:val="clear" w:color="auto" w:fill="auto"/>
            <w:noWrap/>
            <w:vAlign w:val="center"/>
            <w:hideMark/>
          </w:tcPr>
          <w:p w14:paraId="01DF015C" w14:textId="368115A6" w:rsidR="00414183" w:rsidRPr="00E65AA7" w:rsidRDefault="00414183" w:rsidP="00414183">
            <w:pPr>
              <w:jc w:val="center"/>
              <w:rPr>
                <w:color w:val="000000"/>
                <w:sz w:val="20"/>
                <w:szCs w:val="20"/>
              </w:rPr>
            </w:pPr>
            <w:r w:rsidRPr="00E65AA7">
              <w:rPr>
                <w:color w:val="000000"/>
                <w:sz w:val="20"/>
                <w:szCs w:val="20"/>
              </w:rPr>
              <w:t>1.35</w:t>
            </w:r>
          </w:p>
        </w:tc>
        <w:tc>
          <w:tcPr>
            <w:tcW w:w="344" w:type="pct"/>
            <w:tcBorders>
              <w:left w:val="nil"/>
              <w:bottom w:val="nil"/>
              <w:right w:val="nil"/>
            </w:tcBorders>
            <w:shd w:val="clear" w:color="auto" w:fill="auto"/>
            <w:noWrap/>
            <w:vAlign w:val="center"/>
            <w:hideMark/>
          </w:tcPr>
          <w:p w14:paraId="6343CA3C" w14:textId="558ADD1C" w:rsidR="00414183" w:rsidRPr="00E65AA7" w:rsidRDefault="00414183" w:rsidP="00414183">
            <w:pPr>
              <w:jc w:val="center"/>
              <w:rPr>
                <w:color w:val="000000"/>
                <w:sz w:val="20"/>
                <w:szCs w:val="20"/>
              </w:rPr>
            </w:pPr>
            <w:r w:rsidRPr="00E65AA7">
              <w:rPr>
                <w:color w:val="000000"/>
                <w:sz w:val="20"/>
                <w:szCs w:val="20"/>
              </w:rPr>
              <w:t>1.22</w:t>
            </w:r>
          </w:p>
        </w:tc>
        <w:tc>
          <w:tcPr>
            <w:tcW w:w="344" w:type="pct"/>
            <w:tcBorders>
              <w:left w:val="nil"/>
              <w:bottom w:val="nil"/>
              <w:right w:val="nil"/>
            </w:tcBorders>
            <w:shd w:val="clear" w:color="auto" w:fill="auto"/>
            <w:noWrap/>
            <w:vAlign w:val="center"/>
            <w:hideMark/>
          </w:tcPr>
          <w:p w14:paraId="3AB25942" w14:textId="0D3F42D9" w:rsidR="00414183" w:rsidRPr="00E65AA7" w:rsidRDefault="00414183" w:rsidP="00414183">
            <w:pPr>
              <w:jc w:val="center"/>
              <w:rPr>
                <w:color w:val="000000"/>
                <w:sz w:val="20"/>
                <w:szCs w:val="20"/>
              </w:rPr>
            </w:pPr>
            <w:r w:rsidRPr="00E65AA7">
              <w:rPr>
                <w:color w:val="000000"/>
                <w:sz w:val="20"/>
                <w:szCs w:val="20"/>
              </w:rPr>
              <w:t>1.23</w:t>
            </w:r>
          </w:p>
        </w:tc>
        <w:tc>
          <w:tcPr>
            <w:tcW w:w="344" w:type="pct"/>
            <w:tcBorders>
              <w:left w:val="nil"/>
              <w:bottom w:val="nil"/>
              <w:right w:val="nil"/>
            </w:tcBorders>
            <w:shd w:val="clear" w:color="auto" w:fill="auto"/>
            <w:noWrap/>
            <w:vAlign w:val="center"/>
            <w:hideMark/>
          </w:tcPr>
          <w:p w14:paraId="67171450" w14:textId="0923D369" w:rsidR="00414183" w:rsidRPr="00E65AA7" w:rsidRDefault="00414183" w:rsidP="00414183">
            <w:pPr>
              <w:jc w:val="center"/>
              <w:rPr>
                <w:color w:val="000000"/>
                <w:sz w:val="20"/>
                <w:szCs w:val="20"/>
              </w:rPr>
            </w:pPr>
            <w:r w:rsidRPr="00E65AA7">
              <w:rPr>
                <w:color w:val="000000"/>
                <w:sz w:val="20"/>
                <w:szCs w:val="20"/>
              </w:rPr>
              <w:t>1.04</w:t>
            </w:r>
          </w:p>
        </w:tc>
        <w:tc>
          <w:tcPr>
            <w:tcW w:w="344" w:type="pct"/>
            <w:tcBorders>
              <w:left w:val="nil"/>
              <w:bottom w:val="nil"/>
              <w:right w:val="nil"/>
            </w:tcBorders>
            <w:shd w:val="clear" w:color="auto" w:fill="auto"/>
            <w:noWrap/>
            <w:vAlign w:val="center"/>
            <w:hideMark/>
          </w:tcPr>
          <w:p w14:paraId="7B732B02" w14:textId="38FA6D86" w:rsidR="00414183" w:rsidRPr="00E65AA7" w:rsidRDefault="00414183" w:rsidP="00414183">
            <w:pPr>
              <w:jc w:val="center"/>
              <w:rPr>
                <w:color w:val="000000"/>
                <w:sz w:val="20"/>
                <w:szCs w:val="20"/>
              </w:rPr>
            </w:pPr>
            <w:r w:rsidRPr="00E65AA7">
              <w:rPr>
                <w:color w:val="000000"/>
                <w:sz w:val="20"/>
                <w:szCs w:val="20"/>
              </w:rPr>
              <w:t>0.85</w:t>
            </w:r>
          </w:p>
        </w:tc>
        <w:tc>
          <w:tcPr>
            <w:tcW w:w="344" w:type="pct"/>
            <w:tcBorders>
              <w:left w:val="nil"/>
              <w:bottom w:val="nil"/>
              <w:right w:val="nil"/>
            </w:tcBorders>
            <w:shd w:val="clear" w:color="auto" w:fill="auto"/>
            <w:noWrap/>
            <w:vAlign w:val="center"/>
            <w:hideMark/>
          </w:tcPr>
          <w:p w14:paraId="0C45E5CA" w14:textId="47E074E4" w:rsidR="00414183" w:rsidRPr="00E65AA7" w:rsidRDefault="00414183" w:rsidP="00414183">
            <w:pPr>
              <w:jc w:val="center"/>
              <w:rPr>
                <w:color w:val="000000"/>
                <w:sz w:val="20"/>
                <w:szCs w:val="20"/>
              </w:rPr>
            </w:pPr>
            <w:r w:rsidRPr="00E65AA7">
              <w:rPr>
                <w:color w:val="000000"/>
                <w:sz w:val="20"/>
                <w:szCs w:val="20"/>
              </w:rPr>
              <w:t>0.65</w:t>
            </w:r>
          </w:p>
        </w:tc>
        <w:tc>
          <w:tcPr>
            <w:tcW w:w="344" w:type="pct"/>
            <w:tcBorders>
              <w:left w:val="nil"/>
              <w:bottom w:val="nil"/>
              <w:right w:val="nil"/>
            </w:tcBorders>
            <w:shd w:val="clear" w:color="auto" w:fill="auto"/>
            <w:noWrap/>
            <w:vAlign w:val="center"/>
            <w:hideMark/>
          </w:tcPr>
          <w:p w14:paraId="708D25CF" w14:textId="2587073F" w:rsidR="00414183" w:rsidRPr="00E65AA7" w:rsidRDefault="00414183" w:rsidP="00414183">
            <w:pPr>
              <w:jc w:val="center"/>
              <w:rPr>
                <w:color w:val="000000"/>
                <w:sz w:val="20"/>
                <w:szCs w:val="20"/>
              </w:rPr>
            </w:pPr>
            <w:r w:rsidRPr="00E65AA7">
              <w:rPr>
                <w:color w:val="000000"/>
                <w:sz w:val="20"/>
                <w:szCs w:val="20"/>
              </w:rPr>
              <w:t>0.55</w:t>
            </w:r>
          </w:p>
        </w:tc>
        <w:tc>
          <w:tcPr>
            <w:tcW w:w="378" w:type="pct"/>
            <w:tcBorders>
              <w:left w:val="nil"/>
              <w:bottom w:val="nil"/>
              <w:right w:val="nil"/>
            </w:tcBorders>
            <w:shd w:val="clear" w:color="auto" w:fill="auto"/>
            <w:noWrap/>
            <w:vAlign w:val="center"/>
            <w:hideMark/>
          </w:tcPr>
          <w:p w14:paraId="71F07593" w14:textId="1C9909DB" w:rsidR="00414183" w:rsidRPr="00E65AA7" w:rsidRDefault="00414183" w:rsidP="00414183">
            <w:pPr>
              <w:jc w:val="center"/>
              <w:rPr>
                <w:color w:val="000000"/>
                <w:sz w:val="20"/>
                <w:szCs w:val="20"/>
              </w:rPr>
            </w:pPr>
            <w:r w:rsidRPr="00E65AA7">
              <w:rPr>
                <w:color w:val="000000"/>
                <w:sz w:val="20"/>
                <w:szCs w:val="20"/>
              </w:rPr>
              <w:t>-0.24</w:t>
            </w:r>
          </w:p>
        </w:tc>
        <w:tc>
          <w:tcPr>
            <w:tcW w:w="406" w:type="pct"/>
            <w:tcBorders>
              <w:left w:val="nil"/>
              <w:bottom w:val="nil"/>
              <w:right w:val="nil"/>
            </w:tcBorders>
            <w:shd w:val="clear" w:color="auto" w:fill="auto"/>
            <w:noWrap/>
            <w:vAlign w:val="center"/>
            <w:hideMark/>
          </w:tcPr>
          <w:p w14:paraId="30DB8083" w14:textId="34AF43A4" w:rsidR="00414183" w:rsidRPr="00E65AA7" w:rsidRDefault="00885FCE" w:rsidP="00414183">
            <w:pPr>
              <w:jc w:val="center"/>
              <w:rPr>
                <w:color w:val="000000"/>
                <w:sz w:val="20"/>
                <w:szCs w:val="20"/>
              </w:rPr>
            </w:pPr>
            <w:r>
              <w:rPr>
                <w:color w:val="000000"/>
                <w:sz w:val="20"/>
                <w:szCs w:val="20"/>
              </w:rPr>
              <w:t>-</w:t>
            </w:r>
            <w:r w:rsidR="00414183" w:rsidRPr="00E65AA7">
              <w:rPr>
                <w:color w:val="000000"/>
                <w:sz w:val="20"/>
                <w:szCs w:val="20"/>
              </w:rPr>
              <w:t>1.75</w:t>
            </w:r>
          </w:p>
        </w:tc>
      </w:tr>
      <w:tr w:rsidR="00414183" w:rsidRPr="00E65AA7" w14:paraId="0582E829" w14:textId="77777777" w:rsidTr="005F51C8">
        <w:trPr>
          <w:trHeight w:hRule="exact" w:val="255"/>
        </w:trPr>
        <w:tc>
          <w:tcPr>
            <w:tcW w:w="739" w:type="pct"/>
            <w:vMerge/>
            <w:tcBorders>
              <w:top w:val="nil"/>
              <w:left w:val="nil"/>
              <w:bottom w:val="single" w:sz="4" w:space="0" w:color="auto"/>
              <w:right w:val="nil"/>
            </w:tcBorders>
            <w:vAlign w:val="center"/>
            <w:hideMark/>
          </w:tcPr>
          <w:p w14:paraId="33007141" w14:textId="77777777" w:rsidR="00414183" w:rsidRPr="00E65AA7" w:rsidRDefault="00414183" w:rsidP="00414183">
            <w:pPr>
              <w:rPr>
                <w:rFonts w:eastAsia="Times New Roman"/>
                <w:b/>
                <w:color w:val="000000"/>
                <w:sz w:val="20"/>
                <w:szCs w:val="20"/>
                <w:lang w:eastAsia="en-MY"/>
              </w:rPr>
            </w:pPr>
          </w:p>
        </w:tc>
        <w:tc>
          <w:tcPr>
            <w:tcW w:w="347" w:type="pct"/>
            <w:vMerge/>
            <w:tcBorders>
              <w:left w:val="nil"/>
              <w:bottom w:val="single" w:sz="4" w:space="0" w:color="auto"/>
              <w:right w:val="nil"/>
            </w:tcBorders>
            <w:vAlign w:val="center"/>
          </w:tcPr>
          <w:p w14:paraId="330592C5" w14:textId="77777777" w:rsidR="00414183" w:rsidRPr="00E65AA7" w:rsidRDefault="00414183" w:rsidP="00414183">
            <w:pPr>
              <w:jc w:val="center"/>
              <w:rPr>
                <w:rFonts w:eastAsia="Times New Roman"/>
                <w:sz w:val="20"/>
                <w:szCs w:val="20"/>
                <w:lang w:eastAsia="en-MY"/>
              </w:rPr>
            </w:pPr>
          </w:p>
        </w:tc>
        <w:tc>
          <w:tcPr>
            <w:tcW w:w="378" w:type="pct"/>
            <w:tcBorders>
              <w:top w:val="nil"/>
              <w:left w:val="nil"/>
              <w:bottom w:val="single" w:sz="4" w:space="0" w:color="auto"/>
              <w:right w:val="nil"/>
            </w:tcBorders>
            <w:shd w:val="clear" w:color="auto" w:fill="auto"/>
            <w:noWrap/>
            <w:vAlign w:val="center"/>
            <w:hideMark/>
          </w:tcPr>
          <w:p w14:paraId="77DC6655" w14:textId="3B67086E" w:rsidR="00414183" w:rsidRPr="00E65AA7" w:rsidRDefault="00414183" w:rsidP="00414183">
            <w:pPr>
              <w:jc w:val="center"/>
              <w:rPr>
                <w:color w:val="000000"/>
                <w:sz w:val="20"/>
                <w:szCs w:val="20"/>
              </w:rPr>
            </w:pPr>
            <w:r w:rsidRPr="00E65AA7">
              <w:rPr>
                <w:color w:val="000000"/>
                <w:sz w:val="20"/>
                <w:szCs w:val="20"/>
              </w:rPr>
              <w:t>(5.73)</w:t>
            </w:r>
          </w:p>
        </w:tc>
        <w:tc>
          <w:tcPr>
            <w:tcW w:w="343" w:type="pct"/>
            <w:tcBorders>
              <w:top w:val="nil"/>
              <w:left w:val="nil"/>
              <w:bottom w:val="single" w:sz="4" w:space="0" w:color="auto"/>
              <w:right w:val="nil"/>
            </w:tcBorders>
            <w:shd w:val="clear" w:color="auto" w:fill="auto"/>
            <w:noWrap/>
            <w:vAlign w:val="center"/>
            <w:hideMark/>
          </w:tcPr>
          <w:p w14:paraId="5D4EB1C1" w14:textId="4870B126" w:rsidR="00414183" w:rsidRPr="00E65AA7" w:rsidRDefault="00414183" w:rsidP="00414183">
            <w:pPr>
              <w:jc w:val="center"/>
              <w:rPr>
                <w:color w:val="000000"/>
                <w:sz w:val="20"/>
                <w:szCs w:val="20"/>
              </w:rPr>
            </w:pPr>
            <w:r w:rsidRPr="00E65AA7">
              <w:rPr>
                <w:color w:val="000000"/>
                <w:sz w:val="20"/>
                <w:szCs w:val="20"/>
              </w:rPr>
              <w:t>(4.5</w:t>
            </w:r>
            <w:r w:rsidR="00027811" w:rsidRPr="00E65AA7">
              <w:rPr>
                <w:color w:val="000000"/>
                <w:sz w:val="20"/>
                <w:szCs w:val="20"/>
              </w:rPr>
              <w:t>0</w:t>
            </w:r>
            <w:r w:rsidRPr="00E65AA7">
              <w:rPr>
                <w:color w:val="000000"/>
                <w:sz w:val="20"/>
                <w:szCs w:val="20"/>
              </w:rPr>
              <w:t>)</w:t>
            </w:r>
          </w:p>
        </w:tc>
        <w:tc>
          <w:tcPr>
            <w:tcW w:w="344" w:type="pct"/>
            <w:tcBorders>
              <w:top w:val="nil"/>
              <w:left w:val="nil"/>
              <w:bottom w:val="single" w:sz="4" w:space="0" w:color="auto"/>
              <w:right w:val="nil"/>
            </w:tcBorders>
            <w:shd w:val="clear" w:color="auto" w:fill="auto"/>
            <w:noWrap/>
            <w:vAlign w:val="center"/>
            <w:hideMark/>
          </w:tcPr>
          <w:p w14:paraId="2F062217" w14:textId="4CB86BE3" w:rsidR="00414183" w:rsidRPr="00E65AA7" w:rsidRDefault="00414183" w:rsidP="00414183">
            <w:pPr>
              <w:jc w:val="center"/>
              <w:rPr>
                <w:color w:val="000000"/>
                <w:sz w:val="20"/>
                <w:szCs w:val="20"/>
              </w:rPr>
            </w:pPr>
            <w:r w:rsidRPr="00E65AA7">
              <w:rPr>
                <w:color w:val="000000"/>
                <w:sz w:val="20"/>
                <w:szCs w:val="20"/>
              </w:rPr>
              <w:t>(3.84)</w:t>
            </w:r>
          </w:p>
        </w:tc>
        <w:tc>
          <w:tcPr>
            <w:tcW w:w="344" w:type="pct"/>
            <w:tcBorders>
              <w:top w:val="nil"/>
              <w:left w:val="nil"/>
              <w:bottom w:val="single" w:sz="4" w:space="0" w:color="auto"/>
              <w:right w:val="nil"/>
            </w:tcBorders>
            <w:shd w:val="clear" w:color="auto" w:fill="auto"/>
            <w:noWrap/>
            <w:vAlign w:val="center"/>
            <w:hideMark/>
          </w:tcPr>
          <w:p w14:paraId="19569231" w14:textId="27A4D91B" w:rsidR="00414183" w:rsidRPr="00E65AA7" w:rsidRDefault="00414183" w:rsidP="00414183">
            <w:pPr>
              <w:jc w:val="center"/>
              <w:rPr>
                <w:color w:val="000000"/>
                <w:sz w:val="20"/>
                <w:szCs w:val="20"/>
              </w:rPr>
            </w:pPr>
            <w:r w:rsidRPr="00E65AA7">
              <w:rPr>
                <w:color w:val="000000"/>
                <w:sz w:val="20"/>
                <w:szCs w:val="20"/>
              </w:rPr>
              <w:t>(3.19)</w:t>
            </w:r>
          </w:p>
        </w:tc>
        <w:tc>
          <w:tcPr>
            <w:tcW w:w="344" w:type="pct"/>
            <w:tcBorders>
              <w:top w:val="nil"/>
              <w:left w:val="nil"/>
              <w:bottom w:val="single" w:sz="4" w:space="0" w:color="auto"/>
              <w:right w:val="nil"/>
            </w:tcBorders>
            <w:shd w:val="clear" w:color="auto" w:fill="auto"/>
            <w:noWrap/>
            <w:vAlign w:val="center"/>
            <w:hideMark/>
          </w:tcPr>
          <w:p w14:paraId="2933205E" w14:textId="2C2CB806" w:rsidR="00414183" w:rsidRPr="00E65AA7" w:rsidRDefault="00414183" w:rsidP="00414183">
            <w:pPr>
              <w:jc w:val="center"/>
              <w:rPr>
                <w:color w:val="000000"/>
                <w:sz w:val="20"/>
                <w:szCs w:val="20"/>
              </w:rPr>
            </w:pPr>
            <w:r w:rsidRPr="00E65AA7">
              <w:rPr>
                <w:color w:val="000000"/>
                <w:sz w:val="20"/>
                <w:szCs w:val="20"/>
              </w:rPr>
              <w:t>(3.03)</w:t>
            </w:r>
          </w:p>
        </w:tc>
        <w:tc>
          <w:tcPr>
            <w:tcW w:w="344" w:type="pct"/>
            <w:tcBorders>
              <w:top w:val="nil"/>
              <w:left w:val="nil"/>
              <w:bottom w:val="single" w:sz="4" w:space="0" w:color="auto"/>
              <w:right w:val="nil"/>
            </w:tcBorders>
            <w:shd w:val="clear" w:color="auto" w:fill="auto"/>
            <w:noWrap/>
            <w:vAlign w:val="center"/>
            <w:hideMark/>
          </w:tcPr>
          <w:p w14:paraId="296D8354" w14:textId="726FE148" w:rsidR="00414183" w:rsidRPr="00E65AA7" w:rsidRDefault="00414183" w:rsidP="00414183">
            <w:pPr>
              <w:jc w:val="center"/>
              <w:rPr>
                <w:color w:val="000000"/>
                <w:sz w:val="20"/>
                <w:szCs w:val="20"/>
              </w:rPr>
            </w:pPr>
            <w:r w:rsidRPr="00E65AA7">
              <w:rPr>
                <w:color w:val="000000"/>
                <w:sz w:val="20"/>
                <w:szCs w:val="20"/>
              </w:rPr>
              <w:t>(2.32)</w:t>
            </w:r>
          </w:p>
        </w:tc>
        <w:tc>
          <w:tcPr>
            <w:tcW w:w="344" w:type="pct"/>
            <w:tcBorders>
              <w:top w:val="nil"/>
              <w:left w:val="nil"/>
              <w:bottom w:val="single" w:sz="4" w:space="0" w:color="auto"/>
              <w:right w:val="nil"/>
            </w:tcBorders>
            <w:shd w:val="clear" w:color="auto" w:fill="auto"/>
            <w:noWrap/>
            <w:vAlign w:val="center"/>
            <w:hideMark/>
          </w:tcPr>
          <w:p w14:paraId="6953E470" w14:textId="4B457677" w:rsidR="00414183" w:rsidRPr="00E65AA7" w:rsidRDefault="00414183" w:rsidP="00414183">
            <w:pPr>
              <w:jc w:val="center"/>
              <w:rPr>
                <w:color w:val="000000"/>
                <w:sz w:val="20"/>
                <w:szCs w:val="20"/>
              </w:rPr>
            </w:pPr>
            <w:r w:rsidRPr="00E65AA7">
              <w:rPr>
                <w:color w:val="000000"/>
                <w:sz w:val="20"/>
                <w:szCs w:val="20"/>
              </w:rPr>
              <w:t>(1.74)</w:t>
            </w:r>
          </w:p>
        </w:tc>
        <w:tc>
          <w:tcPr>
            <w:tcW w:w="344" w:type="pct"/>
            <w:tcBorders>
              <w:top w:val="nil"/>
              <w:left w:val="nil"/>
              <w:bottom w:val="single" w:sz="4" w:space="0" w:color="auto"/>
              <w:right w:val="nil"/>
            </w:tcBorders>
            <w:shd w:val="clear" w:color="auto" w:fill="auto"/>
            <w:noWrap/>
            <w:vAlign w:val="center"/>
            <w:hideMark/>
          </w:tcPr>
          <w:p w14:paraId="526F7BFF" w14:textId="6D24B0BD" w:rsidR="00414183" w:rsidRPr="00E65AA7" w:rsidRDefault="00414183" w:rsidP="00414183">
            <w:pPr>
              <w:jc w:val="center"/>
              <w:rPr>
                <w:color w:val="000000"/>
                <w:sz w:val="20"/>
                <w:szCs w:val="20"/>
              </w:rPr>
            </w:pPr>
            <w:r w:rsidRPr="00E65AA7">
              <w:rPr>
                <w:color w:val="000000"/>
                <w:sz w:val="20"/>
                <w:szCs w:val="20"/>
              </w:rPr>
              <w:t>(1.22)</w:t>
            </w:r>
          </w:p>
        </w:tc>
        <w:tc>
          <w:tcPr>
            <w:tcW w:w="344" w:type="pct"/>
            <w:tcBorders>
              <w:top w:val="nil"/>
              <w:left w:val="nil"/>
              <w:bottom w:val="single" w:sz="4" w:space="0" w:color="auto"/>
              <w:right w:val="nil"/>
            </w:tcBorders>
            <w:shd w:val="clear" w:color="auto" w:fill="auto"/>
            <w:noWrap/>
            <w:vAlign w:val="center"/>
            <w:hideMark/>
          </w:tcPr>
          <w:p w14:paraId="19F4C147" w14:textId="2E8EBE7C" w:rsidR="00414183" w:rsidRPr="00E65AA7" w:rsidRDefault="00414183" w:rsidP="00414183">
            <w:pPr>
              <w:jc w:val="center"/>
              <w:rPr>
                <w:color w:val="000000"/>
                <w:sz w:val="20"/>
                <w:szCs w:val="20"/>
              </w:rPr>
            </w:pPr>
            <w:r w:rsidRPr="00E65AA7">
              <w:rPr>
                <w:color w:val="000000"/>
                <w:sz w:val="20"/>
                <w:szCs w:val="20"/>
              </w:rPr>
              <w:t>(0.88)</w:t>
            </w:r>
          </w:p>
        </w:tc>
        <w:tc>
          <w:tcPr>
            <w:tcW w:w="378" w:type="pct"/>
            <w:tcBorders>
              <w:top w:val="nil"/>
              <w:left w:val="nil"/>
              <w:bottom w:val="single" w:sz="4" w:space="0" w:color="auto"/>
              <w:right w:val="nil"/>
            </w:tcBorders>
            <w:shd w:val="clear" w:color="auto" w:fill="auto"/>
            <w:noWrap/>
            <w:vAlign w:val="center"/>
            <w:hideMark/>
          </w:tcPr>
          <w:p w14:paraId="5DA779E3" w14:textId="51752394" w:rsidR="00414183" w:rsidRPr="00E65AA7" w:rsidRDefault="00414183" w:rsidP="00414183">
            <w:pPr>
              <w:jc w:val="center"/>
              <w:rPr>
                <w:color w:val="000000"/>
                <w:sz w:val="20"/>
                <w:szCs w:val="20"/>
              </w:rPr>
            </w:pPr>
            <w:r w:rsidRPr="00E65AA7">
              <w:rPr>
                <w:color w:val="000000"/>
                <w:sz w:val="20"/>
                <w:szCs w:val="20"/>
              </w:rPr>
              <w:t>(-0.29)</w:t>
            </w:r>
          </w:p>
        </w:tc>
        <w:tc>
          <w:tcPr>
            <w:tcW w:w="406" w:type="pct"/>
            <w:tcBorders>
              <w:top w:val="nil"/>
              <w:left w:val="nil"/>
              <w:bottom w:val="single" w:sz="4" w:space="0" w:color="auto"/>
              <w:right w:val="nil"/>
            </w:tcBorders>
            <w:shd w:val="clear" w:color="auto" w:fill="auto"/>
            <w:noWrap/>
            <w:vAlign w:val="center"/>
            <w:hideMark/>
          </w:tcPr>
          <w:p w14:paraId="6641CDD9" w14:textId="5CD4C3E2" w:rsidR="00414183" w:rsidRPr="00E65AA7" w:rsidRDefault="005573E2" w:rsidP="00414183">
            <w:pPr>
              <w:jc w:val="center"/>
              <w:rPr>
                <w:color w:val="000000"/>
                <w:sz w:val="20"/>
                <w:szCs w:val="20"/>
              </w:rPr>
            </w:pPr>
            <w:r>
              <w:rPr>
                <w:color w:val="000000"/>
                <w:sz w:val="20"/>
                <w:szCs w:val="20"/>
              </w:rPr>
              <w:t>(</w:t>
            </w:r>
            <w:r w:rsidR="00885FCE">
              <w:rPr>
                <w:color w:val="000000"/>
                <w:sz w:val="20"/>
                <w:szCs w:val="20"/>
              </w:rPr>
              <w:t>-</w:t>
            </w:r>
            <w:r w:rsidR="00414183" w:rsidRPr="00E65AA7">
              <w:rPr>
                <w:color w:val="000000"/>
                <w:sz w:val="20"/>
                <w:szCs w:val="20"/>
              </w:rPr>
              <w:t>2.5</w:t>
            </w:r>
            <w:r w:rsidR="00FC57A2" w:rsidRPr="00E65AA7">
              <w:rPr>
                <w:color w:val="000000"/>
                <w:sz w:val="20"/>
                <w:szCs w:val="20"/>
              </w:rPr>
              <w:t>0</w:t>
            </w:r>
            <w:r w:rsidR="00414183" w:rsidRPr="00E65AA7">
              <w:rPr>
                <w:color w:val="000000"/>
                <w:sz w:val="20"/>
                <w:szCs w:val="20"/>
              </w:rPr>
              <w:t>)</w:t>
            </w:r>
          </w:p>
        </w:tc>
      </w:tr>
    </w:tbl>
    <w:p w14:paraId="5BC45888" w14:textId="2A2E1C45" w:rsidR="005F51C8" w:rsidRPr="00E65AA7" w:rsidRDefault="005F51C8" w:rsidP="005F51C8">
      <w:pPr>
        <w:rPr>
          <w:rFonts w:eastAsia="Times New Roman"/>
          <w:szCs w:val="20"/>
          <w:lang w:eastAsia="en-AU"/>
        </w:rPr>
      </w:pPr>
    </w:p>
    <w:p w14:paraId="45FF5689" w14:textId="77777777" w:rsidR="007C5713" w:rsidRPr="00E65AA7" w:rsidRDefault="007C5713" w:rsidP="005F51C8">
      <w:pPr>
        <w:rPr>
          <w:rFonts w:eastAsia="Times New Roman"/>
          <w:szCs w:val="20"/>
          <w:lang w:eastAsia="en-AU"/>
        </w:rPr>
      </w:pPr>
    </w:p>
    <w:p w14:paraId="5D59C36C" w14:textId="77777777" w:rsidR="005F51C8" w:rsidRPr="00E65AA7" w:rsidRDefault="005F51C8" w:rsidP="005F51C8">
      <w:pPr>
        <w:rPr>
          <w:rFonts w:eastAsia="Times New Roman"/>
          <w:szCs w:val="20"/>
          <w:lang w:eastAsia="en-AU"/>
        </w:rPr>
      </w:pPr>
    </w:p>
    <w:p w14:paraId="4C0639A2" w14:textId="3E9EE20C" w:rsidR="00831198" w:rsidRDefault="00831198">
      <w:pPr>
        <w:spacing w:after="120"/>
        <w:rPr>
          <w:rFonts w:eastAsia="Times New Roman"/>
          <w:szCs w:val="20"/>
          <w:lang w:eastAsia="en-AU"/>
        </w:rPr>
      </w:pPr>
      <w:r>
        <w:rPr>
          <w:rFonts w:eastAsia="Times New Roman"/>
          <w:szCs w:val="20"/>
          <w:lang w:eastAsia="en-AU"/>
        </w:rPr>
        <w:br w:type="page"/>
      </w:r>
    </w:p>
    <w:p w14:paraId="2BCBDB48" w14:textId="2C4A15A2" w:rsidR="00E932B1" w:rsidRDefault="00E932B1" w:rsidP="00E932B1">
      <w:pPr>
        <w:spacing w:after="240"/>
        <w:rPr>
          <w:sz w:val="20"/>
          <w:szCs w:val="20"/>
        </w:rPr>
      </w:pPr>
      <w:r>
        <w:rPr>
          <w:b/>
          <w:sz w:val="20"/>
          <w:szCs w:val="20"/>
        </w:rPr>
        <w:lastRenderedPageBreak/>
        <w:t xml:space="preserve">Table </w:t>
      </w:r>
      <w:r w:rsidR="003F2D69">
        <w:rPr>
          <w:b/>
          <w:sz w:val="20"/>
          <w:szCs w:val="20"/>
        </w:rPr>
        <w:t>6</w:t>
      </w:r>
      <w:r w:rsidRPr="00E65AA7">
        <w:rPr>
          <w:b/>
          <w:sz w:val="20"/>
          <w:szCs w:val="20"/>
        </w:rPr>
        <w:t xml:space="preserve">: </w:t>
      </w:r>
      <w:r w:rsidR="00CF79C5">
        <w:rPr>
          <w:b/>
          <w:sz w:val="20"/>
          <w:szCs w:val="20"/>
        </w:rPr>
        <w:t>Monthly Returns of MAX-sorted Portfolios Conditioned on Sentiment Dynamics</w:t>
      </w:r>
      <w:r w:rsidRPr="00E65AA7">
        <w:rPr>
          <w:b/>
          <w:sz w:val="20"/>
          <w:szCs w:val="20"/>
        </w:rPr>
        <w:t xml:space="preserve">, 1964 to 2014. </w:t>
      </w:r>
      <w:r w:rsidRPr="00E65AA7">
        <w:rPr>
          <w:noProof/>
          <w:sz w:val="20"/>
          <w:szCs w:val="20"/>
        </w:rPr>
        <w:t xml:space="preserve">In each month </w:t>
      </w:r>
      <w:r w:rsidRPr="00E65AA7">
        <w:rPr>
          <w:i/>
          <w:noProof/>
          <w:sz w:val="20"/>
          <w:szCs w:val="20"/>
        </w:rPr>
        <w:t>t</w:t>
      </w:r>
      <w:r w:rsidRPr="00E65AA7">
        <w:rPr>
          <w:noProof/>
          <w:sz w:val="20"/>
          <w:szCs w:val="20"/>
        </w:rPr>
        <w:t xml:space="preserve">, we form decile portfolios according to the </w:t>
      </w:r>
      <w:r w:rsidR="00CD0709">
        <w:rPr>
          <w:noProof/>
          <w:sz w:val="20"/>
          <w:szCs w:val="20"/>
        </w:rPr>
        <w:t>daily maximum returns of each stock over the past one month (</w:t>
      </w:r>
      <w:r w:rsidR="00CD0709">
        <w:rPr>
          <w:i/>
          <w:noProof/>
          <w:sz w:val="20"/>
          <w:szCs w:val="20"/>
        </w:rPr>
        <w:t>t</w:t>
      </w:r>
      <w:r w:rsidR="00CD0709">
        <w:rPr>
          <w:noProof/>
          <w:sz w:val="20"/>
          <w:szCs w:val="20"/>
        </w:rPr>
        <w:t>-1)</w:t>
      </w:r>
      <w:r w:rsidRPr="00E65AA7">
        <w:rPr>
          <w:noProof/>
          <w:sz w:val="20"/>
          <w:szCs w:val="20"/>
        </w:rPr>
        <w:t>.</w:t>
      </w:r>
      <w:r w:rsidRPr="00E65AA7">
        <w:rPr>
          <w:sz w:val="20"/>
          <w:szCs w:val="20"/>
        </w:rPr>
        <w:t xml:space="preserve"> </w:t>
      </w:r>
      <w:r w:rsidR="00440D89">
        <w:rPr>
          <w:sz w:val="20"/>
          <w:szCs w:val="20"/>
        </w:rPr>
        <w:t xml:space="preserve">Portfolio P1 (P10) is the portfolio with the lowest (highest) maximum daily returns over the past one month. </w:t>
      </w:r>
      <w:r w:rsidR="00FE64E6">
        <w:rPr>
          <w:sz w:val="20"/>
          <w:szCs w:val="20"/>
        </w:rPr>
        <w:t>We report average</w:t>
      </w:r>
      <w:r w:rsidRPr="00E65AA7">
        <w:rPr>
          <w:sz w:val="20"/>
          <w:szCs w:val="20"/>
        </w:rPr>
        <w:t xml:space="preserve"> returns </w:t>
      </w:r>
      <w:r w:rsidR="00FE64E6">
        <w:rPr>
          <w:sz w:val="20"/>
          <w:szCs w:val="20"/>
        </w:rPr>
        <w:t xml:space="preserve">of MAX decile portfolios </w:t>
      </w:r>
      <w:r w:rsidRPr="00E65AA7">
        <w:rPr>
          <w:sz w:val="20"/>
          <w:szCs w:val="20"/>
        </w:rPr>
        <w:t xml:space="preserve">based on sentiment dynamics. </w:t>
      </w:r>
      <w:r w:rsidR="00654DCF" w:rsidRPr="00E65AA7">
        <w:rPr>
          <w:sz w:val="20"/>
          <w:szCs w:val="20"/>
        </w:rPr>
        <w:t xml:space="preserve">We define H/H (L/L) sentiment state if STM in month </w:t>
      </w:r>
      <w:r w:rsidR="00654DCF" w:rsidRPr="00E65AA7">
        <w:rPr>
          <w:i/>
          <w:sz w:val="20"/>
          <w:szCs w:val="20"/>
        </w:rPr>
        <w:t>t-1</w:t>
      </w:r>
      <w:r w:rsidR="00654DCF" w:rsidRPr="00E65AA7">
        <w:rPr>
          <w:sz w:val="20"/>
          <w:szCs w:val="20"/>
        </w:rPr>
        <w:t xml:space="preserve"> and ▲STM in month </w:t>
      </w:r>
      <w:r w:rsidR="00654DCF" w:rsidRPr="00E65AA7">
        <w:rPr>
          <w:i/>
          <w:sz w:val="20"/>
          <w:szCs w:val="20"/>
        </w:rPr>
        <w:t>t</w:t>
      </w:r>
      <w:r w:rsidR="00654DCF" w:rsidRPr="00E65AA7">
        <w:rPr>
          <w:sz w:val="20"/>
          <w:szCs w:val="20"/>
        </w:rPr>
        <w:t xml:space="preserve"> are positive (negative). Furthermore, we classify H/L (L/H) sentiment state if STM in month </w:t>
      </w:r>
      <w:r w:rsidR="00654DCF" w:rsidRPr="00E65AA7">
        <w:rPr>
          <w:i/>
          <w:sz w:val="20"/>
          <w:szCs w:val="20"/>
        </w:rPr>
        <w:t>t</w:t>
      </w:r>
      <w:r w:rsidR="00654DCF" w:rsidRPr="00E65AA7">
        <w:rPr>
          <w:sz w:val="20"/>
          <w:szCs w:val="20"/>
        </w:rPr>
        <w:t xml:space="preserve">-1 is positive (negative) and ▲STM in month </w:t>
      </w:r>
      <w:r w:rsidR="00654DCF" w:rsidRPr="00E65AA7">
        <w:rPr>
          <w:i/>
          <w:sz w:val="20"/>
          <w:szCs w:val="20"/>
        </w:rPr>
        <w:t>t</w:t>
      </w:r>
      <w:r w:rsidR="00654DCF" w:rsidRPr="00E65AA7">
        <w:rPr>
          <w:sz w:val="20"/>
          <w:szCs w:val="20"/>
        </w:rPr>
        <w:t xml:space="preserve"> is negative (positive).</w:t>
      </w:r>
      <w:r w:rsidR="00B47F6B">
        <w:rPr>
          <w:sz w:val="20"/>
          <w:szCs w:val="20"/>
        </w:rPr>
        <w:t xml:space="preserve"> </w:t>
      </w:r>
      <w:r w:rsidR="00AA3DB1">
        <w:rPr>
          <w:sz w:val="20"/>
          <w:szCs w:val="20"/>
        </w:rPr>
        <w:t>We report</w:t>
      </w:r>
      <w:r w:rsidR="00440D89" w:rsidRPr="00E65AA7">
        <w:rPr>
          <w:sz w:val="20"/>
          <w:szCs w:val="20"/>
        </w:rPr>
        <w:t xml:space="preserve"> </w:t>
      </w:r>
      <w:r w:rsidR="00445430">
        <w:rPr>
          <w:sz w:val="20"/>
          <w:szCs w:val="20"/>
        </w:rPr>
        <w:t>equal</w:t>
      </w:r>
      <w:r w:rsidR="00AA3DB1">
        <w:rPr>
          <w:sz w:val="20"/>
          <w:szCs w:val="20"/>
        </w:rPr>
        <w:t xml:space="preserve">-weighted and value-weighted </w:t>
      </w:r>
      <w:r w:rsidR="00440D89" w:rsidRPr="00E65AA7">
        <w:rPr>
          <w:sz w:val="20"/>
          <w:szCs w:val="20"/>
        </w:rPr>
        <w:t xml:space="preserve">monthly returns in percentage and </w:t>
      </w:r>
      <w:r w:rsidR="00440D89" w:rsidRPr="00E65AA7">
        <w:rPr>
          <w:i/>
          <w:sz w:val="20"/>
          <w:szCs w:val="20"/>
        </w:rPr>
        <w:t>t</w:t>
      </w:r>
      <w:r w:rsidR="00440D89" w:rsidRPr="00E65AA7">
        <w:rPr>
          <w:sz w:val="20"/>
          <w:szCs w:val="20"/>
        </w:rPr>
        <w:t>-statistics in parenthesis.</w:t>
      </w:r>
    </w:p>
    <w:tbl>
      <w:tblPr>
        <w:tblW w:w="5000" w:type="pct"/>
        <w:tblLook w:val="04A0" w:firstRow="1" w:lastRow="0" w:firstColumn="1" w:lastColumn="0" w:noHBand="0" w:noVBand="1"/>
      </w:tblPr>
      <w:tblGrid>
        <w:gridCol w:w="1157"/>
        <w:gridCol w:w="369"/>
        <w:gridCol w:w="735"/>
        <w:gridCol w:w="58"/>
        <w:gridCol w:w="1120"/>
        <w:gridCol w:w="58"/>
        <w:gridCol w:w="1124"/>
        <w:gridCol w:w="59"/>
        <w:gridCol w:w="1124"/>
        <w:gridCol w:w="59"/>
        <w:gridCol w:w="1124"/>
        <w:gridCol w:w="59"/>
        <w:gridCol w:w="1124"/>
        <w:gridCol w:w="59"/>
        <w:gridCol w:w="1124"/>
        <w:gridCol w:w="59"/>
        <w:gridCol w:w="1124"/>
        <w:gridCol w:w="59"/>
        <w:gridCol w:w="1124"/>
        <w:gridCol w:w="59"/>
        <w:gridCol w:w="1124"/>
        <w:gridCol w:w="59"/>
        <w:gridCol w:w="1124"/>
        <w:gridCol w:w="59"/>
        <w:gridCol w:w="1226"/>
        <w:gridCol w:w="28"/>
      </w:tblGrid>
      <w:tr w:rsidR="00445430" w:rsidRPr="00E65AA7" w14:paraId="54727772" w14:textId="77777777" w:rsidTr="00614DBB">
        <w:trPr>
          <w:gridAfter w:val="1"/>
          <w:wAfter w:w="9" w:type="pct"/>
          <w:trHeight w:hRule="exact" w:val="255"/>
        </w:trPr>
        <w:tc>
          <w:tcPr>
            <w:tcW w:w="4991" w:type="pct"/>
            <w:gridSpan w:val="25"/>
            <w:tcBorders>
              <w:top w:val="single" w:sz="4" w:space="0" w:color="auto"/>
              <w:left w:val="nil"/>
              <w:bottom w:val="single" w:sz="4" w:space="0" w:color="auto"/>
              <w:right w:val="nil"/>
            </w:tcBorders>
            <w:shd w:val="clear" w:color="auto" w:fill="auto"/>
            <w:vAlign w:val="center"/>
          </w:tcPr>
          <w:p w14:paraId="3805E016" w14:textId="3F6F6B85" w:rsidR="00445430" w:rsidRPr="00E65AA7" w:rsidRDefault="00566F4A" w:rsidP="00F8573A">
            <w:pPr>
              <w:jc w:val="center"/>
              <w:rPr>
                <w:rFonts w:eastAsia="Times New Roman"/>
                <w:b/>
                <w:bCs/>
                <w:color w:val="000000"/>
                <w:sz w:val="20"/>
                <w:szCs w:val="20"/>
                <w:lang w:eastAsia="en-MY"/>
              </w:rPr>
            </w:pPr>
            <w:r>
              <w:rPr>
                <w:rFonts w:eastAsia="Times New Roman"/>
                <w:b/>
                <w:bCs/>
                <w:color w:val="000000"/>
                <w:sz w:val="20"/>
                <w:szCs w:val="20"/>
                <w:lang w:eastAsia="en-MY"/>
              </w:rPr>
              <w:t>Panel A: Equal-Weighted Monthly Returns Based on Daily Maximum R</w:t>
            </w:r>
            <w:r w:rsidR="00445430">
              <w:rPr>
                <w:rFonts w:eastAsia="Times New Roman"/>
                <w:b/>
                <w:bCs/>
                <w:color w:val="000000"/>
                <w:sz w:val="20"/>
                <w:szCs w:val="20"/>
                <w:lang w:eastAsia="en-MY"/>
              </w:rPr>
              <w:t>eturns</w:t>
            </w:r>
          </w:p>
        </w:tc>
      </w:tr>
      <w:tr w:rsidR="00445430" w:rsidRPr="00E65AA7" w14:paraId="5E61D578" w14:textId="77777777" w:rsidTr="004A532A">
        <w:trPr>
          <w:gridAfter w:val="1"/>
          <w:wAfter w:w="9" w:type="pct"/>
          <w:trHeight w:hRule="exact" w:val="255"/>
        </w:trPr>
        <w:tc>
          <w:tcPr>
            <w:tcW w:w="376" w:type="pct"/>
            <w:tcBorders>
              <w:top w:val="single" w:sz="4" w:space="0" w:color="auto"/>
              <w:left w:val="nil"/>
              <w:bottom w:val="single" w:sz="4" w:space="0" w:color="auto"/>
              <w:right w:val="nil"/>
            </w:tcBorders>
            <w:shd w:val="clear" w:color="auto" w:fill="auto"/>
            <w:vAlign w:val="center"/>
          </w:tcPr>
          <w:p w14:paraId="465D26E2" w14:textId="77777777" w:rsidR="00445430" w:rsidRPr="00E65AA7" w:rsidRDefault="00445430" w:rsidP="00F46D92">
            <w:pPr>
              <w:rPr>
                <w:rFonts w:eastAsia="Times New Roman"/>
                <w:b/>
                <w:bCs/>
                <w:color w:val="000000"/>
                <w:sz w:val="20"/>
                <w:szCs w:val="20"/>
                <w:lang w:eastAsia="en-MY"/>
              </w:rPr>
            </w:pPr>
            <w:r>
              <w:rPr>
                <w:rFonts w:eastAsia="Times New Roman"/>
                <w:b/>
                <w:bCs/>
                <w:color w:val="000000"/>
                <w:sz w:val="20"/>
                <w:szCs w:val="20"/>
                <w:lang w:eastAsia="en-MY"/>
              </w:rPr>
              <w:t>Sentiment</w:t>
            </w:r>
          </w:p>
        </w:tc>
        <w:tc>
          <w:tcPr>
            <w:tcW w:w="359" w:type="pct"/>
            <w:gridSpan w:val="2"/>
            <w:tcBorders>
              <w:top w:val="single" w:sz="4" w:space="0" w:color="auto"/>
              <w:left w:val="nil"/>
              <w:bottom w:val="single" w:sz="4" w:space="0" w:color="auto"/>
              <w:right w:val="nil"/>
            </w:tcBorders>
            <w:shd w:val="clear" w:color="auto" w:fill="auto"/>
            <w:vAlign w:val="center"/>
          </w:tcPr>
          <w:p w14:paraId="7EA9771A" w14:textId="77777777" w:rsidR="00445430" w:rsidRPr="00E65AA7" w:rsidRDefault="00445430" w:rsidP="00F8573A">
            <w:pPr>
              <w:jc w:val="center"/>
              <w:rPr>
                <w:rFonts w:eastAsia="Times New Roman"/>
                <w:b/>
                <w:bCs/>
                <w:color w:val="000000"/>
                <w:sz w:val="20"/>
                <w:szCs w:val="20"/>
                <w:lang w:eastAsia="en-MY"/>
              </w:rPr>
            </w:pPr>
            <w:r>
              <w:rPr>
                <w:rFonts w:eastAsia="Times New Roman"/>
                <w:b/>
                <w:bCs/>
                <w:color w:val="000000"/>
                <w:sz w:val="20"/>
                <w:szCs w:val="20"/>
                <w:lang w:eastAsia="en-MY"/>
              </w:rPr>
              <w:t>N</w:t>
            </w:r>
          </w:p>
        </w:tc>
        <w:tc>
          <w:tcPr>
            <w:tcW w:w="383" w:type="pct"/>
            <w:gridSpan w:val="2"/>
            <w:tcBorders>
              <w:top w:val="single" w:sz="4" w:space="0" w:color="auto"/>
              <w:left w:val="nil"/>
              <w:bottom w:val="single" w:sz="4" w:space="0" w:color="auto"/>
              <w:right w:val="nil"/>
            </w:tcBorders>
            <w:shd w:val="clear" w:color="auto" w:fill="auto"/>
            <w:vAlign w:val="center"/>
            <w:hideMark/>
          </w:tcPr>
          <w:p w14:paraId="464B19D4"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84" w:type="pct"/>
            <w:gridSpan w:val="2"/>
            <w:tcBorders>
              <w:top w:val="single" w:sz="4" w:space="0" w:color="auto"/>
              <w:left w:val="nil"/>
              <w:bottom w:val="single" w:sz="4" w:space="0" w:color="auto"/>
              <w:right w:val="nil"/>
            </w:tcBorders>
            <w:shd w:val="clear" w:color="auto" w:fill="auto"/>
            <w:vAlign w:val="center"/>
            <w:hideMark/>
          </w:tcPr>
          <w:p w14:paraId="4A2ABDBF"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84" w:type="pct"/>
            <w:gridSpan w:val="2"/>
            <w:tcBorders>
              <w:top w:val="single" w:sz="4" w:space="0" w:color="auto"/>
              <w:left w:val="nil"/>
              <w:bottom w:val="single" w:sz="4" w:space="0" w:color="auto"/>
              <w:right w:val="nil"/>
            </w:tcBorders>
            <w:shd w:val="clear" w:color="auto" w:fill="auto"/>
            <w:vAlign w:val="center"/>
            <w:hideMark/>
          </w:tcPr>
          <w:p w14:paraId="64BE1928"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84" w:type="pct"/>
            <w:gridSpan w:val="2"/>
            <w:tcBorders>
              <w:top w:val="single" w:sz="4" w:space="0" w:color="auto"/>
              <w:left w:val="nil"/>
              <w:bottom w:val="single" w:sz="4" w:space="0" w:color="auto"/>
              <w:right w:val="nil"/>
            </w:tcBorders>
            <w:shd w:val="clear" w:color="auto" w:fill="auto"/>
            <w:vAlign w:val="center"/>
            <w:hideMark/>
          </w:tcPr>
          <w:p w14:paraId="6BD80C63"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84" w:type="pct"/>
            <w:gridSpan w:val="2"/>
            <w:tcBorders>
              <w:top w:val="single" w:sz="4" w:space="0" w:color="auto"/>
              <w:left w:val="nil"/>
              <w:bottom w:val="single" w:sz="4" w:space="0" w:color="auto"/>
              <w:right w:val="nil"/>
            </w:tcBorders>
            <w:shd w:val="clear" w:color="auto" w:fill="auto"/>
            <w:vAlign w:val="center"/>
            <w:hideMark/>
          </w:tcPr>
          <w:p w14:paraId="5A6031A4"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84" w:type="pct"/>
            <w:gridSpan w:val="2"/>
            <w:tcBorders>
              <w:top w:val="single" w:sz="4" w:space="0" w:color="auto"/>
              <w:left w:val="nil"/>
              <w:bottom w:val="single" w:sz="4" w:space="0" w:color="auto"/>
              <w:right w:val="nil"/>
            </w:tcBorders>
            <w:shd w:val="clear" w:color="auto" w:fill="auto"/>
            <w:vAlign w:val="center"/>
            <w:hideMark/>
          </w:tcPr>
          <w:p w14:paraId="375D4E33"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84" w:type="pct"/>
            <w:gridSpan w:val="2"/>
            <w:tcBorders>
              <w:top w:val="single" w:sz="4" w:space="0" w:color="auto"/>
              <w:left w:val="nil"/>
              <w:bottom w:val="single" w:sz="4" w:space="0" w:color="auto"/>
              <w:right w:val="nil"/>
            </w:tcBorders>
            <w:shd w:val="clear" w:color="auto" w:fill="auto"/>
            <w:vAlign w:val="center"/>
            <w:hideMark/>
          </w:tcPr>
          <w:p w14:paraId="118DCA67"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84" w:type="pct"/>
            <w:gridSpan w:val="2"/>
            <w:tcBorders>
              <w:top w:val="single" w:sz="4" w:space="0" w:color="auto"/>
              <w:left w:val="nil"/>
              <w:bottom w:val="single" w:sz="4" w:space="0" w:color="auto"/>
              <w:right w:val="nil"/>
            </w:tcBorders>
            <w:shd w:val="clear" w:color="auto" w:fill="auto"/>
            <w:vAlign w:val="center"/>
            <w:hideMark/>
          </w:tcPr>
          <w:p w14:paraId="079A9D06"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84" w:type="pct"/>
            <w:gridSpan w:val="2"/>
            <w:tcBorders>
              <w:top w:val="single" w:sz="4" w:space="0" w:color="auto"/>
              <w:left w:val="nil"/>
              <w:bottom w:val="single" w:sz="4" w:space="0" w:color="auto"/>
              <w:right w:val="nil"/>
            </w:tcBorders>
            <w:shd w:val="clear" w:color="auto" w:fill="auto"/>
            <w:vAlign w:val="center"/>
            <w:hideMark/>
          </w:tcPr>
          <w:p w14:paraId="5186AD38"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84" w:type="pct"/>
            <w:gridSpan w:val="2"/>
            <w:tcBorders>
              <w:top w:val="single" w:sz="4" w:space="0" w:color="auto"/>
              <w:left w:val="nil"/>
              <w:bottom w:val="single" w:sz="4" w:space="0" w:color="auto"/>
              <w:right w:val="nil"/>
            </w:tcBorders>
            <w:shd w:val="clear" w:color="auto" w:fill="auto"/>
            <w:vAlign w:val="center"/>
            <w:hideMark/>
          </w:tcPr>
          <w:p w14:paraId="36B02678" w14:textId="77777777"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416" w:type="pct"/>
            <w:gridSpan w:val="2"/>
            <w:tcBorders>
              <w:top w:val="single" w:sz="4" w:space="0" w:color="auto"/>
              <w:left w:val="nil"/>
              <w:bottom w:val="single" w:sz="4" w:space="0" w:color="auto"/>
              <w:right w:val="nil"/>
            </w:tcBorders>
            <w:shd w:val="clear" w:color="auto" w:fill="auto"/>
            <w:vAlign w:val="center"/>
            <w:hideMark/>
          </w:tcPr>
          <w:p w14:paraId="1EC09D5E" w14:textId="0B1F5A7C" w:rsidR="00445430" w:rsidRPr="00E65AA7" w:rsidRDefault="00445430"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sidR="00377432">
              <w:rPr>
                <w:rFonts w:eastAsia="Times New Roman"/>
                <w:b/>
                <w:bCs/>
                <w:color w:val="000000"/>
                <w:sz w:val="20"/>
                <w:szCs w:val="20"/>
                <w:lang w:eastAsia="en-MY"/>
              </w:rPr>
              <w:t>0</w:t>
            </w:r>
            <w:r w:rsidRPr="00E65AA7">
              <w:rPr>
                <w:rFonts w:eastAsia="Times New Roman"/>
                <w:b/>
                <w:bCs/>
                <w:color w:val="000000"/>
                <w:sz w:val="20"/>
                <w:szCs w:val="20"/>
                <w:lang w:eastAsia="en-MY"/>
              </w:rPr>
              <w:t>-P1</w:t>
            </w:r>
          </w:p>
        </w:tc>
      </w:tr>
      <w:tr w:rsidR="004A532A" w:rsidRPr="00E65AA7" w14:paraId="5F890D5F" w14:textId="77777777" w:rsidTr="004A532A">
        <w:trPr>
          <w:trHeight w:hRule="exact" w:val="255"/>
        </w:trPr>
        <w:tc>
          <w:tcPr>
            <w:tcW w:w="496" w:type="pct"/>
            <w:gridSpan w:val="2"/>
            <w:vMerge w:val="restart"/>
            <w:tcBorders>
              <w:top w:val="single" w:sz="4" w:space="0" w:color="auto"/>
              <w:left w:val="nil"/>
              <w:bottom w:val="nil"/>
              <w:right w:val="nil"/>
            </w:tcBorders>
            <w:shd w:val="clear" w:color="auto" w:fill="auto"/>
            <w:vAlign w:val="center"/>
            <w:hideMark/>
          </w:tcPr>
          <w:p w14:paraId="6A4750E1"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8" w:type="pct"/>
            <w:gridSpan w:val="2"/>
            <w:vMerge w:val="restart"/>
            <w:tcBorders>
              <w:top w:val="single" w:sz="4" w:space="0" w:color="auto"/>
              <w:left w:val="nil"/>
              <w:right w:val="nil"/>
            </w:tcBorders>
            <w:vAlign w:val="center"/>
          </w:tcPr>
          <w:p w14:paraId="4CF6C458" w14:textId="6E28EAA3"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152</w:t>
            </w:r>
          </w:p>
        </w:tc>
        <w:tc>
          <w:tcPr>
            <w:tcW w:w="383" w:type="pct"/>
            <w:gridSpan w:val="2"/>
            <w:tcBorders>
              <w:top w:val="single" w:sz="4" w:space="0" w:color="auto"/>
              <w:left w:val="nil"/>
              <w:bottom w:val="nil"/>
              <w:right w:val="nil"/>
            </w:tcBorders>
            <w:shd w:val="clear" w:color="auto" w:fill="auto"/>
            <w:noWrap/>
            <w:vAlign w:val="center"/>
            <w:hideMark/>
          </w:tcPr>
          <w:p w14:paraId="31D7406E" w14:textId="40F2D9AE" w:rsidR="004A532A" w:rsidRPr="00E65AA7" w:rsidRDefault="004A532A" w:rsidP="004A532A">
            <w:pPr>
              <w:jc w:val="center"/>
              <w:rPr>
                <w:color w:val="000000"/>
                <w:sz w:val="20"/>
                <w:szCs w:val="20"/>
              </w:rPr>
            </w:pPr>
            <w:r>
              <w:rPr>
                <w:color w:val="000000"/>
                <w:sz w:val="20"/>
                <w:szCs w:val="20"/>
              </w:rPr>
              <w:t>1.99</w:t>
            </w:r>
          </w:p>
        </w:tc>
        <w:tc>
          <w:tcPr>
            <w:tcW w:w="384" w:type="pct"/>
            <w:gridSpan w:val="2"/>
            <w:tcBorders>
              <w:top w:val="single" w:sz="4" w:space="0" w:color="auto"/>
              <w:left w:val="nil"/>
              <w:bottom w:val="nil"/>
              <w:right w:val="nil"/>
            </w:tcBorders>
            <w:shd w:val="clear" w:color="auto" w:fill="auto"/>
            <w:noWrap/>
            <w:vAlign w:val="center"/>
            <w:hideMark/>
          </w:tcPr>
          <w:p w14:paraId="29CF9B59" w14:textId="6F285F8E" w:rsidR="004A532A" w:rsidRPr="00E65AA7" w:rsidRDefault="004A532A" w:rsidP="004A532A">
            <w:pPr>
              <w:jc w:val="center"/>
              <w:rPr>
                <w:color w:val="000000"/>
                <w:sz w:val="20"/>
                <w:szCs w:val="20"/>
              </w:rPr>
            </w:pPr>
            <w:r>
              <w:rPr>
                <w:color w:val="000000"/>
                <w:sz w:val="20"/>
                <w:szCs w:val="20"/>
              </w:rPr>
              <w:t>2.31</w:t>
            </w:r>
          </w:p>
        </w:tc>
        <w:tc>
          <w:tcPr>
            <w:tcW w:w="384" w:type="pct"/>
            <w:gridSpan w:val="2"/>
            <w:tcBorders>
              <w:top w:val="single" w:sz="4" w:space="0" w:color="auto"/>
              <w:left w:val="nil"/>
              <w:bottom w:val="nil"/>
              <w:right w:val="nil"/>
            </w:tcBorders>
            <w:shd w:val="clear" w:color="auto" w:fill="auto"/>
            <w:noWrap/>
            <w:vAlign w:val="center"/>
            <w:hideMark/>
          </w:tcPr>
          <w:p w14:paraId="1C876194" w14:textId="02BC5C09" w:rsidR="004A532A" w:rsidRPr="00E65AA7" w:rsidRDefault="004A532A" w:rsidP="004A532A">
            <w:pPr>
              <w:jc w:val="center"/>
              <w:rPr>
                <w:color w:val="000000"/>
                <w:sz w:val="20"/>
                <w:szCs w:val="20"/>
              </w:rPr>
            </w:pPr>
            <w:r>
              <w:rPr>
                <w:color w:val="000000"/>
                <w:sz w:val="20"/>
                <w:szCs w:val="20"/>
              </w:rPr>
              <w:t>2.59</w:t>
            </w:r>
          </w:p>
        </w:tc>
        <w:tc>
          <w:tcPr>
            <w:tcW w:w="384" w:type="pct"/>
            <w:gridSpan w:val="2"/>
            <w:tcBorders>
              <w:top w:val="single" w:sz="4" w:space="0" w:color="auto"/>
              <w:left w:val="nil"/>
              <w:bottom w:val="nil"/>
              <w:right w:val="nil"/>
            </w:tcBorders>
            <w:shd w:val="clear" w:color="auto" w:fill="auto"/>
            <w:noWrap/>
            <w:vAlign w:val="center"/>
            <w:hideMark/>
          </w:tcPr>
          <w:p w14:paraId="10B71FBE" w14:textId="5BC2ACC1" w:rsidR="004A532A" w:rsidRPr="00E65AA7" w:rsidRDefault="004A532A" w:rsidP="004A532A">
            <w:pPr>
              <w:jc w:val="center"/>
              <w:rPr>
                <w:color w:val="000000"/>
                <w:sz w:val="20"/>
                <w:szCs w:val="20"/>
              </w:rPr>
            </w:pPr>
            <w:r>
              <w:rPr>
                <w:color w:val="000000"/>
                <w:sz w:val="20"/>
                <w:szCs w:val="20"/>
              </w:rPr>
              <w:t>2.70</w:t>
            </w:r>
          </w:p>
        </w:tc>
        <w:tc>
          <w:tcPr>
            <w:tcW w:w="384" w:type="pct"/>
            <w:gridSpan w:val="2"/>
            <w:tcBorders>
              <w:top w:val="single" w:sz="4" w:space="0" w:color="auto"/>
              <w:left w:val="nil"/>
              <w:bottom w:val="nil"/>
              <w:right w:val="nil"/>
            </w:tcBorders>
            <w:shd w:val="clear" w:color="auto" w:fill="auto"/>
            <w:noWrap/>
            <w:vAlign w:val="center"/>
            <w:hideMark/>
          </w:tcPr>
          <w:p w14:paraId="5C497F9B" w14:textId="46CCCFAA" w:rsidR="004A532A" w:rsidRPr="00E65AA7" w:rsidRDefault="004A532A" w:rsidP="004A532A">
            <w:pPr>
              <w:jc w:val="center"/>
              <w:rPr>
                <w:color w:val="000000"/>
                <w:sz w:val="20"/>
                <w:szCs w:val="20"/>
              </w:rPr>
            </w:pPr>
            <w:r>
              <w:rPr>
                <w:color w:val="000000"/>
                <w:sz w:val="20"/>
                <w:szCs w:val="20"/>
              </w:rPr>
              <w:t>2.87</w:t>
            </w:r>
          </w:p>
        </w:tc>
        <w:tc>
          <w:tcPr>
            <w:tcW w:w="384" w:type="pct"/>
            <w:gridSpan w:val="2"/>
            <w:tcBorders>
              <w:top w:val="single" w:sz="4" w:space="0" w:color="auto"/>
              <w:left w:val="nil"/>
              <w:bottom w:val="nil"/>
              <w:right w:val="nil"/>
            </w:tcBorders>
            <w:shd w:val="clear" w:color="auto" w:fill="auto"/>
            <w:noWrap/>
            <w:vAlign w:val="center"/>
            <w:hideMark/>
          </w:tcPr>
          <w:p w14:paraId="0AB1575F" w14:textId="64F50DE6" w:rsidR="004A532A" w:rsidRPr="00E65AA7" w:rsidRDefault="004A532A" w:rsidP="004A532A">
            <w:pPr>
              <w:jc w:val="center"/>
              <w:rPr>
                <w:color w:val="000000"/>
                <w:sz w:val="20"/>
                <w:szCs w:val="20"/>
              </w:rPr>
            </w:pPr>
            <w:r>
              <w:rPr>
                <w:color w:val="000000"/>
                <w:sz w:val="20"/>
                <w:szCs w:val="20"/>
              </w:rPr>
              <w:t>2.96</w:t>
            </w:r>
          </w:p>
        </w:tc>
        <w:tc>
          <w:tcPr>
            <w:tcW w:w="384" w:type="pct"/>
            <w:gridSpan w:val="2"/>
            <w:tcBorders>
              <w:top w:val="single" w:sz="4" w:space="0" w:color="auto"/>
              <w:left w:val="nil"/>
              <w:bottom w:val="nil"/>
              <w:right w:val="nil"/>
            </w:tcBorders>
            <w:shd w:val="clear" w:color="auto" w:fill="auto"/>
            <w:noWrap/>
            <w:vAlign w:val="center"/>
            <w:hideMark/>
          </w:tcPr>
          <w:p w14:paraId="507186DE" w14:textId="6657D393" w:rsidR="004A532A" w:rsidRPr="00E65AA7" w:rsidRDefault="004A532A" w:rsidP="004A532A">
            <w:pPr>
              <w:jc w:val="center"/>
              <w:rPr>
                <w:color w:val="000000"/>
                <w:sz w:val="20"/>
                <w:szCs w:val="20"/>
              </w:rPr>
            </w:pPr>
            <w:r>
              <w:rPr>
                <w:color w:val="000000"/>
                <w:sz w:val="20"/>
                <w:szCs w:val="20"/>
              </w:rPr>
              <w:t>2.98</w:t>
            </w:r>
          </w:p>
        </w:tc>
        <w:tc>
          <w:tcPr>
            <w:tcW w:w="384" w:type="pct"/>
            <w:gridSpan w:val="2"/>
            <w:tcBorders>
              <w:top w:val="single" w:sz="4" w:space="0" w:color="auto"/>
              <w:left w:val="nil"/>
              <w:bottom w:val="nil"/>
              <w:right w:val="nil"/>
            </w:tcBorders>
            <w:shd w:val="clear" w:color="auto" w:fill="auto"/>
            <w:noWrap/>
            <w:vAlign w:val="center"/>
            <w:hideMark/>
          </w:tcPr>
          <w:p w14:paraId="2E4FC4B2" w14:textId="436A9E1E" w:rsidR="004A532A" w:rsidRPr="00E65AA7" w:rsidRDefault="004A532A" w:rsidP="004A532A">
            <w:pPr>
              <w:jc w:val="center"/>
              <w:rPr>
                <w:color w:val="000000"/>
                <w:sz w:val="20"/>
                <w:szCs w:val="20"/>
              </w:rPr>
            </w:pPr>
            <w:r>
              <w:rPr>
                <w:color w:val="000000"/>
                <w:sz w:val="20"/>
                <w:szCs w:val="20"/>
              </w:rPr>
              <w:t>3.02</w:t>
            </w:r>
          </w:p>
        </w:tc>
        <w:tc>
          <w:tcPr>
            <w:tcW w:w="384" w:type="pct"/>
            <w:gridSpan w:val="2"/>
            <w:tcBorders>
              <w:top w:val="single" w:sz="4" w:space="0" w:color="auto"/>
              <w:left w:val="nil"/>
              <w:bottom w:val="nil"/>
              <w:right w:val="nil"/>
            </w:tcBorders>
            <w:shd w:val="clear" w:color="auto" w:fill="auto"/>
            <w:noWrap/>
            <w:vAlign w:val="center"/>
            <w:hideMark/>
          </w:tcPr>
          <w:p w14:paraId="4539B688" w14:textId="0A890E58" w:rsidR="004A532A" w:rsidRPr="00E65AA7" w:rsidRDefault="004A532A" w:rsidP="004A532A">
            <w:pPr>
              <w:jc w:val="center"/>
              <w:rPr>
                <w:color w:val="000000"/>
                <w:sz w:val="20"/>
                <w:szCs w:val="20"/>
              </w:rPr>
            </w:pPr>
            <w:r>
              <w:rPr>
                <w:color w:val="000000"/>
                <w:sz w:val="20"/>
                <w:szCs w:val="20"/>
              </w:rPr>
              <w:t>3.09</w:t>
            </w:r>
          </w:p>
        </w:tc>
        <w:tc>
          <w:tcPr>
            <w:tcW w:w="384" w:type="pct"/>
            <w:gridSpan w:val="2"/>
            <w:tcBorders>
              <w:top w:val="single" w:sz="4" w:space="0" w:color="auto"/>
              <w:left w:val="nil"/>
              <w:bottom w:val="nil"/>
              <w:right w:val="nil"/>
            </w:tcBorders>
            <w:shd w:val="clear" w:color="auto" w:fill="auto"/>
            <w:noWrap/>
            <w:vAlign w:val="center"/>
            <w:hideMark/>
          </w:tcPr>
          <w:p w14:paraId="521C5F63" w14:textId="3400C6E1" w:rsidR="004A532A" w:rsidRPr="00E65AA7" w:rsidRDefault="004A532A" w:rsidP="004A532A">
            <w:pPr>
              <w:jc w:val="center"/>
              <w:rPr>
                <w:color w:val="000000"/>
                <w:sz w:val="20"/>
                <w:szCs w:val="20"/>
              </w:rPr>
            </w:pPr>
            <w:r>
              <w:rPr>
                <w:color w:val="000000"/>
                <w:sz w:val="20"/>
                <w:szCs w:val="20"/>
              </w:rPr>
              <w:t>2.65</w:t>
            </w:r>
          </w:p>
        </w:tc>
        <w:tc>
          <w:tcPr>
            <w:tcW w:w="405" w:type="pct"/>
            <w:gridSpan w:val="2"/>
            <w:tcBorders>
              <w:top w:val="single" w:sz="4" w:space="0" w:color="auto"/>
              <w:left w:val="nil"/>
              <w:bottom w:val="nil"/>
              <w:right w:val="nil"/>
            </w:tcBorders>
            <w:shd w:val="clear" w:color="auto" w:fill="auto"/>
            <w:noWrap/>
            <w:vAlign w:val="center"/>
            <w:hideMark/>
          </w:tcPr>
          <w:p w14:paraId="25844CF5" w14:textId="01BF8C16" w:rsidR="004A532A" w:rsidRPr="00E65AA7" w:rsidRDefault="004A532A" w:rsidP="004A532A">
            <w:pPr>
              <w:jc w:val="center"/>
              <w:rPr>
                <w:color w:val="000000"/>
                <w:sz w:val="20"/>
                <w:szCs w:val="20"/>
              </w:rPr>
            </w:pPr>
            <w:r>
              <w:rPr>
                <w:color w:val="000000"/>
                <w:sz w:val="20"/>
                <w:szCs w:val="20"/>
              </w:rPr>
              <w:t>0.66</w:t>
            </w:r>
          </w:p>
        </w:tc>
      </w:tr>
      <w:tr w:rsidR="004A532A" w:rsidRPr="00E65AA7" w14:paraId="4EDF47E4" w14:textId="77777777" w:rsidTr="004A532A">
        <w:trPr>
          <w:trHeight w:hRule="exact" w:val="255"/>
        </w:trPr>
        <w:tc>
          <w:tcPr>
            <w:tcW w:w="496" w:type="pct"/>
            <w:gridSpan w:val="2"/>
            <w:vMerge/>
            <w:tcBorders>
              <w:top w:val="nil"/>
              <w:left w:val="nil"/>
              <w:bottom w:val="nil"/>
              <w:right w:val="nil"/>
            </w:tcBorders>
            <w:vAlign w:val="center"/>
            <w:hideMark/>
          </w:tcPr>
          <w:p w14:paraId="27D2E276" w14:textId="77777777" w:rsidR="004A532A" w:rsidRPr="00E65AA7" w:rsidRDefault="004A532A" w:rsidP="004A532A">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60468063" w14:textId="77777777" w:rsidR="004A532A" w:rsidRPr="00E65AA7" w:rsidRDefault="004A532A" w:rsidP="004A532A">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0BB846A9" w14:textId="0B1C7835" w:rsidR="004A532A" w:rsidRPr="00E65AA7" w:rsidRDefault="004A532A" w:rsidP="004A532A">
            <w:pPr>
              <w:jc w:val="center"/>
              <w:rPr>
                <w:color w:val="000000"/>
                <w:sz w:val="20"/>
                <w:szCs w:val="20"/>
              </w:rPr>
            </w:pPr>
            <w:r>
              <w:rPr>
                <w:color w:val="000000"/>
                <w:sz w:val="20"/>
                <w:szCs w:val="20"/>
              </w:rPr>
              <w:t>(7.96)</w:t>
            </w:r>
          </w:p>
        </w:tc>
        <w:tc>
          <w:tcPr>
            <w:tcW w:w="384" w:type="pct"/>
            <w:gridSpan w:val="2"/>
            <w:tcBorders>
              <w:top w:val="nil"/>
              <w:left w:val="nil"/>
              <w:bottom w:val="nil"/>
              <w:right w:val="nil"/>
            </w:tcBorders>
            <w:shd w:val="clear" w:color="auto" w:fill="auto"/>
            <w:noWrap/>
            <w:vAlign w:val="center"/>
            <w:hideMark/>
          </w:tcPr>
          <w:p w14:paraId="377B7C10" w14:textId="46BF1171" w:rsidR="004A532A" w:rsidRPr="00E65AA7" w:rsidRDefault="004A532A" w:rsidP="004A532A">
            <w:pPr>
              <w:jc w:val="center"/>
              <w:rPr>
                <w:color w:val="000000"/>
                <w:sz w:val="20"/>
                <w:szCs w:val="20"/>
              </w:rPr>
            </w:pPr>
            <w:r>
              <w:rPr>
                <w:color w:val="000000"/>
                <w:sz w:val="20"/>
                <w:szCs w:val="20"/>
              </w:rPr>
              <w:t>(8.52)</w:t>
            </w:r>
          </w:p>
        </w:tc>
        <w:tc>
          <w:tcPr>
            <w:tcW w:w="384" w:type="pct"/>
            <w:gridSpan w:val="2"/>
            <w:tcBorders>
              <w:top w:val="nil"/>
              <w:left w:val="nil"/>
              <w:bottom w:val="nil"/>
              <w:right w:val="nil"/>
            </w:tcBorders>
            <w:shd w:val="clear" w:color="auto" w:fill="auto"/>
            <w:noWrap/>
            <w:vAlign w:val="center"/>
            <w:hideMark/>
          </w:tcPr>
          <w:p w14:paraId="17535445" w14:textId="2E07FD8F" w:rsidR="004A532A" w:rsidRPr="00E65AA7" w:rsidRDefault="004A532A" w:rsidP="004A532A">
            <w:pPr>
              <w:jc w:val="center"/>
              <w:rPr>
                <w:color w:val="000000"/>
                <w:sz w:val="20"/>
                <w:szCs w:val="20"/>
              </w:rPr>
            </w:pPr>
            <w:r>
              <w:rPr>
                <w:color w:val="000000"/>
                <w:sz w:val="20"/>
                <w:szCs w:val="20"/>
              </w:rPr>
              <w:t>(8.44)</w:t>
            </w:r>
          </w:p>
        </w:tc>
        <w:tc>
          <w:tcPr>
            <w:tcW w:w="384" w:type="pct"/>
            <w:gridSpan w:val="2"/>
            <w:tcBorders>
              <w:top w:val="nil"/>
              <w:left w:val="nil"/>
              <w:bottom w:val="nil"/>
              <w:right w:val="nil"/>
            </w:tcBorders>
            <w:shd w:val="clear" w:color="auto" w:fill="auto"/>
            <w:noWrap/>
            <w:vAlign w:val="center"/>
            <w:hideMark/>
          </w:tcPr>
          <w:p w14:paraId="72D4A877" w14:textId="57158B23" w:rsidR="004A532A" w:rsidRPr="00E65AA7" w:rsidRDefault="004A532A" w:rsidP="004A532A">
            <w:pPr>
              <w:jc w:val="center"/>
              <w:rPr>
                <w:color w:val="000000"/>
                <w:sz w:val="20"/>
                <w:szCs w:val="20"/>
              </w:rPr>
            </w:pPr>
            <w:r>
              <w:rPr>
                <w:color w:val="000000"/>
                <w:sz w:val="20"/>
                <w:szCs w:val="20"/>
              </w:rPr>
              <w:t>(7.81)</w:t>
            </w:r>
          </w:p>
        </w:tc>
        <w:tc>
          <w:tcPr>
            <w:tcW w:w="384" w:type="pct"/>
            <w:gridSpan w:val="2"/>
            <w:tcBorders>
              <w:top w:val="nil"/>
              <w:left w:val="nil"/>
              <w:bottom w:val="nil"/>
              <w:right w:val="nil"/>
            </w:tcBorders>
            <w:shd w:val="clear" w:color="auto" w:fill="auto"/>
            <w:noWrap/>
            <w:vAlign w:val="center"/>
            <w:hideMark/>
          </w:tcPr>
          <w:p w14:paraId="634FCF6B" w14:textId="1C9196FA" w:rsidR="004A532A" w:rsidRPr="00E65AA7" w:rsidRDefault="004A532A" w:rsidP="004A532A">
            <w:pPr>
              <w:jc w:val="center"/>
              <w:rPr>
                <w:color w:val="000000"/>
                <w:sz w:val="20"/>
                <w:szCs w:val="20"/>
              </w:rPr>
            </w:pPr>
            <w:r>
              <w:rPr>
                <w:color w:val="000000"/>
                <w:sz w:val="20"/>
                <w:szCs w:val="20"/>
              </w:rPr>
              <w:t>(7.35)</w:t>
            </w:r>
          </w:p>
        </w:tc>
        <w:tc>
          <w:tcPr>
            <w:tcW w:w="384" w:type="pct"/>
            <w:gridSpan w:val="2"/>
            <w:tcBorders>
              <w:top w:val="nil"/>
              <w:left w:val="nil"/>
              <w:bottom w:val="nil"/>
              <w:right w:val="nil"/>
            </w:tcBorders>
            <w:shd w:val="clear" w:color="auto" w:fill="auto"/>
            <w:noWrap/>
            <w:vAlign w:val="center"/>
            <w:hideMark/>
          </w:tcPr>
          <w:p w14:paraId="07D5352F" w14:textId="38EB726F" w:rsidR="004A532A" w:rsidRPr="00E65AA7" w:rsidRDefault="004A532A" w:rsidP="004A532A">
            <w:pPr>
              <w:jc w:val="center"/>
              <w:rPr>
                <w:color w:val="000000"/>
                <w:sz w:val="20"/>
                <w:szCs w:val="20"/>
              </w:rPr>
            </w:pPr>
            <w:r>
              <w:rPr>
                <w:color w:val="000000"/>
                <w:sz w:val="20"/>
                <w:szCs w:val="20"/>
              </w:rPr>
              <w:t>(6.9</w:t>
            </w:r>
            <w:r w:rsidR="001816CE">
              <w:rPr>
                <w:color w:val="000000"/>
                <w:sz w:val="20"/>
                <w:szCs w:val="20"/>
              </w:rPr>
              <w:t>0</w:t>
            </w:r>
            <w:r>
              <w:rPr>
                <w:color w:val="000000"/>
                <w:sz w:val="20"/>
                <w:szCs w:val="20"/>
              </w:rPr>
              <w:t>)</w:t>
            </w:r>
          </w:p>
        </w:tc>
        <w:tc>
          <w:tcPr>
            <w:tcW w:w="384" w:type="pct"/>
            <w:gridSpan w:val="2"/>
            <w:tcBorders>
              <w:top w:val="nil"/>
              <w:left w:val="nil"/>
              <w:bottom w:val="nil"/>
              <w:right w:val="nil"/>
            </w:tcBorders>
            <w:shd w:val="clear" w:color="auto" w:fill="auto"/>
            <w:noWrap/>
            <w:vAlign w:val="center"/>
            <w:hideMark/>
          </w:tcPr>
          <w:p w14:paraId="1966027A" w14:textId="419C5EA2" w:rsidR="004A532A" w:rsidRPr="00E65AA7" w:rsidRDefault="004A532A" w:rsidP="004A532A">
            <w:pPr>
              <w:jc w:val="center"/>
              <w:rPr>
                <w:color w:val="000000"/>
                <w:sz w:val="20"/>
                <w:szCs w:val="20"/>
              </w:rPr>
            </w:pPr>
            <w:r>
              <w:rPr>
                <w:color w:val="000000"/>
                <w:sz w:val="20"/>
                <w:szCs w:val="20"/>
              </w:rPr>
              <w:t>(6.04)</w:t>
            </w:r>
          </w:p>
        </w:tc>
        <w:tc>
          <w:tcPr>
            <w:tcW w:w="384" w:type="pct"/>
            <w:gridSpan w:val="2"/>
            <w:tcBorders>
              <w:top w:val="nil"/>
              <w:left w:val="nil"/>
              <w:bottom w:val="nil"/>
              <w:right w:val="nil"/>
            </w:tcBorders>
            <w:shd w:val="clear" w:color="auto" w:fill="auto"/>
            <w:noWrap/>
            <w:vAlign w:val="center"/>
            <w:hideMark/>
          </w:tcPr>
          <w:p w14:paraId="7979B0D9" w14:textId="038EA4E0" w:rsidR="004A532A" w:rsidRPr="00E65AA7" w:rsidRDefault="004A532A" w:rsidP="004A532A">
            <w:pPr>
              <w:jc w:val="center"/>
              <w:rPr>
                <w:color w:val="000000"/>
                <w:sz w:val="20"/>
                <w:szCs w:val="20"/>
              </w:rPr>
            </w:pPr>
            <w:r>
              <w:rPr>
                <w:color w:val="000000"/>
                <w:sz w:val="20"/>
                <w:szCs w:val="20"/>
              </w:rPr>
              <w:t>(5.6</w:t>
            </w:r>
            <w:r w:rsidR="001816CE">
              <w:rPr>
                <w:color w:val="000000"/>
                <w:sz w:val="20"/>
                <w:szCs w:val="20"/>
              </w:rPr>
              <w:t>0</w:t>
            </w:r>
            <w:r>
              <w:rPr>
                <w:color w:val="000000"/>
                <w:sz w:val="20"/>
                <w:szCs w:val="20"/>
              </w:rPr>
              <w:t>)</w:t>
            </w:r>
          </w:p>
        </w:tc>
        <w:tc>
          <w:tcPr>
            <w:tcW w:w="384" w:type="pct"/>
            <w:gridSpan w:val="2"/>
            <w:tcBorders>
              <w:top w:val="nil"/>
              <w:left w:val="nil"/>
              <w:bottom w:val="nil"/>
              <w:right w:val="nil"/>
            </w:tcBorders>
            <w:shd w:val="clear" w:color="auto" w:fill="auto"/>
            <w:noWrap/>
            <w:vAlign w:val="center"/>
            <w:hideMark/>
          </w:tcPr>
          <w:p w14:paraId="4C826D51" w14:textId="4E8A2C5B" w:rsidR="004A532A" w:rsidRPr="00E65AA7" w:rsidRDefault="004A532A" w:rsidP="004A532A">
            <w:pPr>
              <w:jc w:val="center"/>
              <w:rPr>
                <w:color w:val="000000"/>
                <w:sz w:val="20"/>
                <w:szCs w:val="20"/>
              </w:rPr>
            </w:pPr>
            <w:r>
              <w:rPr>
                <w:color w:val="000000"/>
                <w:sz w:val="20"/>
                <w:szCs w:val="20"/>
              </w:rPr>
              <w:t>(4.99)</w:t>
            </w:r>
          </w:p>
        </w:tc>
        <w:tc>
          <w:tcPr>
            <w:tcW w:w="384" w:type="pct"/>
            <w:gridSpan w:val="2"/>
            <w:tcBorders>
              <w:top w:val="nil"/>
              <w:left w:val="nil"/>
              <w:bottom w:val="nil"/>
              <w:right w:val="nil"/>
            </w:tcBorders>
            <w:shd w:val="clear" w:color="auto" w:fill="auto"/>
            <w:noWrap/>
            <w:vAlign w:val="center"/>
            <w:hideMark/>
          </w:tcPr>
          <w:p w14:paraId="42A89943" w14:textId="6511CB7F" w:rsidR="004A532A" w:rsidRPr="00E65AA7" w:rsidRDefault="004A532A" w:rsidP="004A532A">
            <w:pPr>
              <w:jc w:val="center"/>
              <w:rPr>
                <w:color w:val="000000"/>
                <w:sz w:val="20"/>
                <w:szCs w:val="20"/>
              </w:rPr>
            </w:pPr>
            <w:r>
              <w:rPr>
                <w:color w:val="000000"/>
                <w:sz w:val="20"/>
                <w:szCs w:val="20"/>
              </w:rPr>
              <w:t>(3.54)</w:t>
            </w:r>
          </w:p>
        </w:tc>
        <w:tc>
          <w:tcPr>
            <w:tcW w:w="405" w:type="pct"/>
            <w:gridSpan w:val="2"/>
            <w:tcBorders>
              <w:top w:val="nil"/>
              <w:left w:val="nil"/>
              <w:bottom w:val="nil"/>
              <w:right w:val="nil"/>
            </w:tcBorders>
            <w:shd w:val="clear" w:color="auto" w:fill="auto"/>
            <w:noWrap/>
            <w:vAlign w:val="center"/>
            <w:hideMark/>
          </w:tcPr>
          <w:p w14:paraId="590C7B33" w14:textId="296DEA29" w:rsidR="004A532A" w:rsidRPr="00E65AA7" w:rsidRDefault="004A532A" w:rsidP="004A532A">
            <w:pPr>
              <w:jc w:val="center"/>
              <w:rPr>
                <w:color w:val="000000"/>
                <w:sz w:val="20"/>
                <w:szCs w:val="20"/>
              </w:rPr>
            </w:pPr>
            <w:r>
              <w:rPr>
                <w:color w:val="000000"/>
                <w:sz w:val="20"/>
                <w:szCs w:val="20"/>
              </w:rPr>
              <w:t>(1.05)</w:t>
            </w:r>
          </w:p>
        </w:tc>
      </w:tr>
      <w:tr w:rsidR="004A532A" w:rsidRPr="00E65AA7" w14:paraId="6E5DAA44" w14:textId="77777777" w:rsidTr="004A532A">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66D5D309"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8" w:type="pct"/>
            <w:gridSpan w:val="2"/>
            <w:vMerge w:val="restart"/>
            <w:tcBorders>
              <w:top w:val="nil"/>
              <w:left w:val="nil"/>
              <w:right w:val="nil"/>
            </w:tcBorders>
            <w:vAlign w:val="center"/>
          </w:tcPr>
          <w:p w14:paraId="340DFEF9" w14:textId="4E637204"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170</w:t>
            </w:r>
          </w:p>
        </w:tc>
        <w:tc>
          <w:tcPr>
            <w:tcW w:w="383" w:type="pct"/>
            <w:gridSpan w:val="2"/>
            <w:tcBorders>
              <w:top w:val="nil"/>
              <w:left w:val="nil"/>
              <w:bottom w:val="nil"/>
              <w:right w:val="nil"/>
            </w:tcBorders>
            <w:shd w:val="clear" w:color="auto" w:fill="auto"/>
            <w:noWrap/>
            <w:vAlign w:val="center"/>
            <w:hideMark/>
          </w:tcPr>
          <w:p w14:paraId="17FB7638" w14:textId="0148B238" w:rsidR="004A532A" w:rsidRPr="00E65AA7" w:rsidRDefault="004A532A" w:rsidP="004A532A">
            <w:pPr>
              <w:jc w:val="center"/>
              <w:rPr>
                <w:color w:val="000000"/>
                <w:sz w:val="20"/>
                <w:szCs w:val="20"/>
              </w:rPr>
            </w:pPr>
            <w:r>
              <w:rPr>
                <w:color w:val="000000"/>
                <w:sz w:val="20"/>
                <w:szCs w:val="20"/>
              </w:rPr>
              <w:t>0.41</w:t>
            </w:r>
          </w:p>
        </w:tc>
        <w:tc>
          <w:tcPr>
            <w:tcW w:w="384" w:type="pct"/>
            <w:gridSpan w:val="2"/>
            <w:tcBorders>
              <w:top w:val="nil"/>
              <w:left w:val="nil"/>
              <w:bottom w:val="nil"/>
              <w:right w:val="nil"/>
            </w:tcBorders>
            <w:shd w:val="clear" w:color="auto" w:fill="auto"/>
            <w:noWrap/>
            <w:vAlign w:val="center"/>
            <w:hideMark/>
          </w:tcPr>
          <w:p w14:paraId="24F2FB11" w14:textId="10FC4D1A" w:rsidR="004A532A" w:rsidRPr="00E65AA7" w:rsidRDefault="004A532A" w:rsidP="004A532A">
            <w:pPr>
              <w:jc w:val="center"/>
              <w:rPr>
                <w:color w:val="000000"/>
                <w:sz w:val="20"/>
                <w:szCs w:val="20"/>
              </w:rPr>
            </w:pPr>
            <w:r>
              <w:rPr>
                <w:color w:val="000000"/>
                <w:sz w:val="20"/>
                <w:szCs w:val="20"/>
              </w:rPr>
              <w:t>0.46</w:t>
            </w:r>
          </w:p>
        </w:tc>
        <w:tc>
          <w:tcPr>
            <w:tcW w:w="384" w:type="pct"/>
            <w:gridSpan w:val="2"/>
            <w:tcBorders>
              <w:top w:val="nil"/>
              <w:left w:val="nil"/>
              <w:bottom w:val="nil"/>
              <w:right w:val="nil"/>
            </w:tcBorders>
            <w:shd w:val="clear" w:color="auto" w:fill="auto"/>
            <w:noWrap/>
            <w:vAlign w:val="center"/>
            <w:hideMark/>
          </w:tcPr>
          <w:p w14:paraId="189681E9" w14:textId="73968977" w:rsidR="004A532A" w:rsidRPr="00E65AA7" w:rsidRDefault="004A532A" w:rsidP="004A532A">
            <w:pPr>
              <w:jc w:val="center"/>
              <w:rPr>
                <w:color w:val="000000"/>
                <w:sz w:val="20"/>
                <w:szCs w:val="20"/>
              </w:rPr>
            </w:pPr>
            <w:r>
              <w:rPr>
                <w:color w:val="000000"/>
                <w:sz w:val="20"/>
                <w:szCs w:val="20"/>
              </w:rPr>
              <w:t>0.23</w:t>
            </w:r>
          </w:p>
        </w:tc>
        <w:tc>
          <w:tcPr>
            <w:tcW w:w="384" w:type="pct"/>
            <w:gridSpan w:val="2"/>
            <w:tcBorders>
              <w:top w:val="nil"/>
              <w:left w:val="nil"/>
              <w:bottom w:val="nil"/>
              <w:right w:val="nil"/>
            </w:tcBorders>
            <w:shd w:val="clear" w:color="auto" w:fill="auto"/>
            <w:noWrap/>
            <w:vAlign w:val="center"/>
            <w:hideMark/>
          </w:tcPr>
          <w:p w14:paraId="61028D1A" w14:textId="2356D0BB" w:rsidR="004A532A" w:rsidRPr="00E65AA7" w:rsidRDefault="004A532A" w:rsidP="004A532A">
            <w:pPr>
              <w:jc w:val="center"/>
              <w:rPr>
                <w:color w:val="000000"/>
                <w:sz w:val="20"/>
                <w:szCs w:val="20"/>
              </w:rPr>
            </w:pPr>
            <w:r>
              <w:rPr>
                <w:color w:val="000000"/>
                <w:sz w:val="20"/>
                <w:szCs w:val="20"/>
              </w:rPr>
              <w:t>-0.12</w:t>
            </w:r>
          </w:p>
        </w:tc>
        <w:tc>
          <w:tcPr>
            <w:tcW w:w="384" w:type="pct"/>
            <w:gridSpan w:val="2"/>
            <w:tcBorders>
              <w:top w:val="nil"/>
              <w:left w:val="nil"/>
              <w:bottom w:val="nil"/>
              <w:right w:val="nil"/>
            </w:tcBorders>
            <w:shd w:val="clear" w:color="auto" w:fill="auto"/>
            <w:noWrap/>
            <w:vAlign w:val="center"/>
            <w:hideMark/>
          </w:tcPr>
          <w:p w14:paraId="39EC06E5" w14:textId="104CD6D0" w:rsidR="004A532A" w:rsidRPr="00E65AA7" w:rsidRDefault="004A532A" w:rsidP="004A532A">
            <w:pPr>
              <w:jc w:val="center"/>
              <w:rPr>
                <w:color w:val="000000"/>
                <w:sz w:val="20"/>
                <w:szCs w:val="20"/>
              </w:rPr>
            </w:pPr>
            <w:r>
              <w:rPr>
                <w:color w:val="000000"/>
                <w:sz w:val="20"/>
                <w:szCs w:val="20"/>
              </w:rPr>
              <w:t>-0.53</w:t>
            </w:r>
          </w:p>
        </w:tc>
        <w:tc>
          <w:tcPr>
            <w:tcW w:w="384" w:type="pct"/>
            <w:gridSpan w:val="2"/>
            <w:tcBorders>
              <w:top w:val="nil"/>
              <w:left w:val="nil"/>
              <w:bottom w:val="nil"/>
              <w:right w:val="nil"/>
            </w:tcBorders>
            <w:shd w:val="clear" w:color="auto" w:fill="auto"/>
            <w:noWrap/>
            <w:vAlign w:val="center"/>
            <w:hideMark/>
          </w:tcPr>
          <w:p w14:paraId="2ED160F9" w14:textId="2E3F10BC" w:rsidR="004A532A" w:rsidRPr="00E65AA7" w:rsidRDefault="004A532A" w:rsidP="004A532A">
            <w:pPr>
              <w:jc w:val="center"/>
              <w:rPr>
                <w:color w:val="000000"/>
                <w:sz w:val="20"/>
                <w:szCs w:val="20"/>
              </w:rPr>
            </w:pPr>
            <w:r>
              <w:rPr>
                <w:color w:val="000000"/>
                <w:sz w:val="20"/>
                <w:szCs w:val="20"/>
              </w:rPr>
              <w:t>-0.91</w:t>
            </w:r>
          </w:p>
        </w:tc>
        <w:tc>
          <w:tcPr>
            <w:tcW w:w="384" w:type="pct"/>
            <w:gridSpan w:val="2"/>
            <w:tcBorders>
              <w:top w:val="nil"/>
              <w:left w:val="nil"/>
              <w:bottom w:val="nil"/>
              <w:right w:val="nil"/>
            </w:tcBorders>
            <w:shd w:val="clear" w:color="auto" w:fill="auto"/>
            <w:noWrap/>
            <w:vAlign w:val="center"/>
            <w:hideMark/>
          </w:tcPr>
          <w:p w14:paraId="31820BDF" w14:textId="5E6A4BCC" w:rsidR="004A532A" w:rsidRPr="00E65AA7" w:rsidRDefault="004A532A" w:rsidP="004A532A">
            <w:pPr>
              <w:jc w:val="center"/>
              <w:rPr>
                <w:color w:val="000000"/>
                <w:sz w:val="20"/>
                <w:szCs w:val="20"/>
              </w:rPr>
            </w:pPr>
            <w:r>
              <w:rPr>
                <w:color w:val="000000"/>
                <w:sz w:val="20"/>
                <w:szCs w:val="20"/>
              </w:rPr>
              <w:t>-1.38</w:t>
            </w:r>
          </w:p>
        </w:tc>
        <w:tc>
          <w:tcPr>
            <w:tcW w:w="384" w:type="pct"/>
            <w:gridSpan w:val="2"/>
            <w:tcBorders>
              <w:top w:val="nil"/>
              <w:left w:val="nil"/>
              <w:bottom w:val="nil"/>
              <w:right w:val="nil"/>
            </w:tcBorders>
            <w:shd w:val="clear" w:color="auto" w:fill="auto"/>
            <w:noWrap/>
            <w:vAlign w:val="center"/>
            <w:hideMark/>
          </w:tcPr>
          <w:p w14:paraId="650E3490" w14:textId="00810658" w:rsidR="004A532A" w:rsidRPr="00E65AA7" w:rsidRDefault="004A532A" w:rsidP="004A532A">
            <w:pPr>
              <w:jc w:val="center"/>
              <w:rPr>
                <w:color w:val="000000"/>
                <w:sz w:val="20"/>
                <w:szCs w:val="20"/>
              </w:rPr>
            </w:pPr>
            <w:r>
              <w:rPr>
                <w:color w:val="000000"/>
                <w:sz w:val="20"/>
                <w:szCs w:val="20"/>
              </w:rPr>
              <w:t>-1.71</w:t>
            </w:r>
          </w:p>
        </w:tc>
        <w:tc>
          <w:tcPr>
            <w:tcW w:w="384" w:type="pct"/>
            <w:gridSpan w:val="2"/>
            <w:tcBorders>
              <w:top w:val="nil"/>
              <w:left w:val="nil"/>
              <w:bottom w:val="nil"/>
              <w:right w:val="nil"/>
            </w:tcBorders>
            <w:shd w:val="clear" w:color="auto" w:fill="auto"/>
            <w:noWrap/>
            <w:vAlign w:val="center"/>
            <w:hideMark/>
          </w:tcPr>
          <w:p w14:paraId="6D036E3F" w14:textId="6AC82189" w:rsidR="004A532A" w:rsidRPr="00E65AA7" w:rsidRDefault="004A532A" w:rsidP="004A532A">
            <w:pPr>
              <w:jc w:val="center"/>
              <w:rPr>
                <w:color w:val="000000"/>
                <w:sz w:val="20"/>
                <w:szCs w:val="20"/>
              </w:rPr>
            </w:pPr>
            <w:r>
              <w:rPr>
                <w:color w:val="000000"/>
                <w:sz w:val="20"/>
                <w:szCs w:val="20"/>
              </w:rPr>
              <w:t>-2.32</w:t>
            </w:r>
          </w:p>
        </w:tc>
        <w:tc>
          <w:tcPr>
            <w:tcW w:w="384" w:type="pct"/>
            <w:gridSpan w:val="2"/>
            <w:tcBorders>
              <w:top w:val="nil"/>
              <w:left w:val="nil"/>
              <w:bottom w:val="nil"/>
              <w:right w:val="nil"/>
            </w:tcBorders>
            <w:shd w:val="clear" w:color="auto" w:fill="auto"/>
            <w:noWrap/>
            <w:vAlign w:val="center"/>
            <w:hideMark/>
          </w:tcPr>
          <w:p w14:paraId="37A96358" w14:textId="23CFB9E6" w:rsidR="004A532A" w:rsidRPr="00E65AA7" w:rsidRDefault="004A532A" w:rsidP="004A532A">
            <w:pPr>
              <w:jc w:val="center"/>
              <w:rPr>
                <w:color w:val="000000"/>
                <w:sz w:val="20"/>
                <w:szCs w:val="20"/>
              </w:rPr>
            </w:pPr>
            <w:r>
              <w:rPr>
                <w:color w:val="000000"/>
                <w:sz w:val="20"/>
                <w:szCs w:val="20"/>
              </w:rPr>
              <w:t>-2.85</w:t>
            </w:r>
          </w:p>
        </w:tc>
        <w:tc>
          <w:tcPr>
            <w:tcW w:w="405" w:type="pct"/>
            <w:gridSpan w:val="2"/>
            <w:tcBorders>
              <w:top w:val="nil"/>
              <w:left w:val="nil"/>
              <w:bottom w:val="nil"/>
              <w:right w:val="nil"/>
            </w:tcBorders>
            <w:shd w:val="clear" w:color="auto" w:fill="auto"/>
            <w:noWrap/>
            <w:vAlign w:val="center"/>
            <w:hideMark/>
          </w:tcPr>
          <w:p w14:paraId="7854F591" w14:textId="00F44E65" w:rsidR="004A532A" w:rsidRPr="00E65AA7" w:rsidRDefault="004A532A" w:rsidP="004A532A">
            <w:pPr>
              <w:jc w:val="center"/>
              <w:rPr>
                <w:color w:val="000000"/>
                <w:sz w:val="20"/>
                <w:szCs w:val="20"/>
              </w:rPr>
            </w:pPr>
            <w:r>
              <w:rPr>
                <w:color w:val="000000"/>
                <w:sz w:val="20"/>
                <w:szCs w:val="20"/>
              </w:rPr>
              <w:t>-3.27</w:t>
            </w:r>
          </w:p>
        </w:tc>
      </w:tr>
      <w:tr w:rsidR="004A532A" w:rsidRPr="00E65AA7" w14:paraId="2BA25347" w14:textId="77777777" w:rsidTr="004A532A">
        <w:trPr>
          <w:trHeight w:hRule="exact" w:val="255"/>
        </w:trPr>
        <w:tc>
          <w:tcPr>
            <w:tcW w:w="496" w:type="pct"/>
            <w:gridSpan w:val="2"/>
            <w:vMerge/>
            <w:tcBorders>
              <w:top w:val="nil"/>
              <w:left w:val="nil"/>
              <w:bottom w:val="nil"/>
              <w:right w:val="nil"/>
            </w:tcBorders>
            <w:vAlign w:val="center"/>
            <w:hideMark/>
          </w:tcPr>
          <w:p w14:paraId="1A59F6CE" w14:textId="77777777" w:rsidR="004A532A" w:rsidRPr="00E65AA7" w:rsidRDefault="004A532A" w:rsidP="004A532A">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085DF94F" w14:textId="77777777" w:rsidR="004A532A" w:rsidRPr="00E65AA7" w:rsidRDefault="004A532A" w:rsidP="004A532A">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1831EF38" w14:textId="653E8096" w:rsidR="004A532A" w:rsidRPr="00E65AA7" w:rsidRDefault="004A532A" w:rsidP="004A532A">
            <w:pPr>
              <w:jc w:val="center"/>
              <w:rPr>
                <w:color w:val="000000"/>
                <w:sz w:val="20"/>
                <w:szCs w:val="20"/>
              </w:rPr>
            </w:pPr>
            <w:r>
              <w:rPr>
                <w:color w:val="000000"/>
                <w:sz w:val="20"/>
                <w:szCs w:val="20"/>
              </w:rPr>
              <w:t>(1.45)</w:t>
            </w:r>
          </w:p>
        </w:tc>
        <w:tc>
          <w:tcPr>
            <w:tcW w:w="384" w:type="pct"/>
            <w:gridSpan w:val="2"/>
            <w:tcBorders>
              <w:top w:val="nil"/>
              <w:left w:val="nil"/>
              <w:bottom w:val="nil"/>
              <w:right w:val="nil"/>
            </w:tcBorders>
            <w:shd w:val="clear" w:color="auto" w:fill="auto"/>
            <w:noWrap/>
            <w:vAlign w:val="center"/>
            <w:hideMark/>
          </w:tcPr>
          <w:p w14:paraId="4EB2EE91" w14:textId="5A0D5AA0" w:rsidR="004A532A" w:rsidRPr="00E65AA7" w:rsidRDefault="004A532A" w:rsidP="004A532A">
            <w:pPr>
              <w:jc w:val="center"/>
              <w:rPr>
                <w:color w:val="000000"/>
                <w:sz w:val="20"/>
                <w:szCs w:val="20"/>
              </w:rPr>
            </w:pPr>
            <w:r>
              <w:rPr>
                <w:color w:val="000000"/>
                <w:sz w:val="20"/>
                <w:szCs w:val="20"/>
              </w:rPr>
              <w:t>(1.36)</w:t>
            </w:r>
          </w:p>
        </w:tc>
        <w:tc>
          <w:tcPr>
            <w:tcW w:w="384" w:type="pct"/>
            <w:gridSpan w:val="2"/>
            <w:tcBorders>
              <w:top w:val="nil"/>
              <w:left w:val="nil"/>
              <w:bottom w:val="nil"/>
              <w:right w:val="nil"/>
            </w:tcBorders>
            <w:shd w:val="clear" w:color="auto" w:fill="auto"/>
            <w:noWrap/>
            <w:vAlign w:val="center"/>
            <w:hideMark/>
          </w:tcPr>
          <w:p w14:paraId="4177057F" w14:textId="257BBEC6" w:rsidR="004A532A" w:rsidRPr="00E65AA7" w:rsidRDefault="004A532A" w:rsidP="004A532A">
            <w:pPr>
              <w:jc w:val="center"/>
              <w:rPr>
                <w:color w:val="000000"/>
                <w:sz w:val="20"/>
                <w:szCs w:val="20"/>
              </w:rPr>
            </w:pPr>
            <w:r>
              <w:rPr>
                <w:color w:val="000000"/>
                <w:sz w:val="20"/>
                <w:szCs w:val="20"/>
              </w:rPr>
              <w:t>(0.62)</w:t>
            </w:r>
          </w:p>
        </w:tc>
        <w:tc>
          <w:tcPr>
            <w:tcW w:w="384" w:type="pct"/>
            <w:gridSpan w:val="2"/>
            <w:tcBorders>
              <w:top w:val="nil"/>
              <w:left w:val="nil"/>
              <w:bottom w:val="nil"/>
              <w:right w:val="nil"/>
            </w:tcBorders>
            <w:shd w:val="clear" w:color="auto" w:fill="auto"/>
            <w:noWrap/>
            <w:vAlign w:val="center"/>
            <w:hideMark/>
          </w:tcPr>
          <w:p w14:paraId="0E1AA44B" w14:textId="7CC50159" w:rsidR="004A532A" w:rsidRPr="00E65AA7" w:rsidRDefault="004A532A" w:rsidP="004A532A">
            <w:pPr>
              <w:jc w:val="center"/>
              <w:rPr>
                <w:color w:val="000000"/>
                <w:sz w:val="20"/>
                <w:szCs w:val="20"/>
              </w:rPr>
            </w:pPr>
            <w:r>
              <w:rPr>
                <w:color w:val="000000"/>
                <w:sz w:val="20"/>
                <w:szCs w:val="20"/>
              </w:rPr>
              <w:t>(-0.3</w:t>
            </w:r>
            <w:r w:rsidR="001816CE">
              <w:rPr>
                <w:color w:val="000000"/>
                <w:sz w:val="20"/>
                <w:szCs w:val="20"/>
              </w:rPr>
              <w:t>0</w:t>
            </w:r>
            <w:r>
              <w:rPr>
                <w:color w:val="000000"/>
                <w:sz w:val="20"/>
                <w:szCs w:val="20"/>
              </w:rPr>
              <w:t>)</w:t>
            </w:r>
          </w:p>
        </w:tc>
        <w:tc>
          <w:tcPr>
            <w:tcW w:w="384" w:type="pct"/>
            <w:gridSpan w:val="2"/>
            <w:tcBorders>
              <w:top w:val="nil"/>
              <w:left w:val="nil"/>
              <w:bottom w:val="nil"/>
              <w:right w:val="nil"/>
            </w:tcBorders>
            <w:shd w:val="clear" w:color="auto" w:fill="auto"/>
            <w:noWrap/>
            <w:vAlign w:val="center"/>
            <w:hideMark/>
          </w:tcPr>
          <w:p w14:paraId="2F1D8BD7" w14:textId="68FECA27" w:rsidR="004A532A" w:rsidRPr="00E65AA7" w:rsidRDefault="004A532A" w:rsidP="004A532A">
            <w:pPr>
              <w:jc w:val="center"/>
              <w:rPr>
                <w:color w:val="000000"/>
                <w:sz w:val="20"/>
                <w:szCs w:val="20"/>
              </w:rPr>
            </w:pPr>
            <w:r>
              <w:rPr>
                <w:color w:val="000000"/>
                <w:sz w:val="20"/>
                <w:szCs w:val="20"/>
              </w:rPr>
              <w:t>(-1.23)</w:t>
            </w:r>
          </w:p>
        </w:tc>
        <w:tc>
          <w:tcPr>
            <w:tcW w:w="384" w:type="pct"/>
            <w:gridSpan w:val="2"/>
            <w:tcBorders>
              <w:top w:val="nil"/>
              <w:left w:val="nil"/>
              <w:bottom w:val="nil"/>
              <w:right w:val="nil"/>
            </w:tcBorders>
            <w:shd w:val="clear" w:color="auto" w:fill="auto"/>
            <w:noWrap/>
            <w:vAlign w:val="center"/>
            <w:hideMark/>
          </w:tcPr>
          <w:p w14:paraId="1B8A9298" w14:textId="78D13E21" w:rsidR="004A532A" w:rsidRPr="00E65AA7" w:rsidRDefault="004A532A" w:rsidP="004A532A">
            <w:pPr>
              <w:jc w:val="center"/>
              <w:rPr>
                <w:color w:val="000000"/>
                <w:sz w:val="20"/>
                <w:szCs w:val="20"/>
              </w:rPr>
            </w:pPr>
            <w:r>
              <w:rPr>
                <w:color w:val="000000"/>
                <w:sz w:val="20"/>
                <w:szCs w:val="20"/>
              </w:rPr>
              <w:t>(-2.03)</w:t>
            </w:r>
          </w:p>
        </w:tc>
        <w:tc>
          <w:tcPr>
            <w:tcW w:w="384" w:type="pct"/>
            <w:gridSpan w:val="2"/>
            <w:tcBorders>
              <w:top w:val="nil"/>
              <w:left w:val="nil"/>
              <w:bottom w:val="nil"/>
              <w:right w:val="nil"/>
            </w:tcBorders>
            <w:shd w:val="clear" w:color="auto" w:fill="auto"/>
            <w:noWrap/>
            <w:vAlign w:val="center"/>
            <w:hideMark/>
          </w:tcPr>
          <w:p w14:paraId="2E26A2BE" w14:textId="3061867B" w:rsidR="004A532A" w:rsidRPr="00E65AA7" w:rsidRDefault="004A532A" w:rsidP="004A532A">
            <w:pPr>
              <w:jc w:val="center"/>
              <w:rPr>
                <w:color w:val="000000"/>
                <w:sz w:val="20"/>
                <w:szCs w:val="20"/>
              </w:rPr>
            </w:pPr>
            <w:r>
              <w:rPr>
                <w:color w:val="000000"/>
                <w:sz w:val="20"/>
                <w:szCs w:val="20"/>
              </w:rPr>
              <w:t>(-2.87)</w:t>
            </w:r>
          </w:p>
        </w:tc>
        <w:tc>
          <w:tcPr>
            <w:tcW w:w="384" w:type="pct"/>
            <w:gridSpan w:val="2"/>
            <w:tcBorders>
              <w:top w:val="nil"/>
              <w:left w:val="nil"/>
              <w:bottom w:val="nil"/>
              <w:right w:val="nil"/>
            </w:tcBorders>
            <w:shd w:val="clear" w:color="auto" w:fill="auto"/>
            <w:noWrap/>
            <w:vAlign w:val="center"/>
            <w:hideMark/>
          </w:tcPr>
          <w:p w14:paraId="1B3E1E7B" w14:textId="107D668E" w:rsidR="004A532A" w:rsidRPr="00E65AA7" w:rsidRDefault="004A532A" w:rsidP="004A532A">
            <w:pPr>
              <w:jc w:val="center"/>
              <w:rPr>
                <w:color w:val="000000"/>
                <w:sz w:val="20"/>
                <w:szCs w:val="20"/>
              </w:rPr>
            </w:pPr>
            <w:r>
              <w:rPr>
                <w:color w:val="000000"/>
                <w:sz w:val="20"/>
                <w:szCs w:val="20"/>
              </w:rPr>
              <w:t>(-3.27)</w:t>
            </w:r>
          </w:p>
        </w:tc>
        <w:tc>
          <w:tcPr>
            <w:tcW w:w="384" w:type="pct"/>
            <w:gridSpan w:val="2"/>
            <w:tcBorders>
              <w:top w:val="nil"/>
              <w:left w:val="nil"/>
              <w:bottom w:val="nil"/>
              <w:right w:val="nil"/>
            </w:tcBorders>
            <w:shd w:val="clear" w:color="auto" w:fill="auto"/>
            <w:noWrap/>
            <w:vAlign w:val="center"/>
            <w:hideMark/>
          </w:tcPr>
          <w:p w14:paraId="392404CA" w14:textId="215B68C6" w:rsidR="004A532A" w:rsidRPr="00E65AA7" w:rsidRDefault="004A532A" w:rsidP="004A532A">
            <w:pPr>
              <w:jc w:val="center"/>
              <w:rPr>
                <w:color w:val="000000"/>
                <w:sz w:val="20"/>
                <w:szCs w:val="20"/>
              </w:rPr>
            </w:pPr>
            <w:r>
              <w:rPr>
                <w:color w:val="000000"/>
                <w:sz w:val="20"/>
                <w:szCs w:val="20"/>
              </w:rPr>
              <w:t>(-4.22)</w:t>
            </w:r>
          </w:p>
        </w:tc>
        <w:tc>
          <w:tcPr>
            <w:tcW w:w="384" w:type="pct"/>
            <w:gridSpan w:val="2"/>
            <w:tcBorders>
              <w:top w:val="nil"/>
              <w:left w:val="nil"/>
              <w:bottom w:val="nil"/>
              <w:right w:val="nil"/>
            </w:tcBorders>
            <w:shd w:val="clear" w:color="auto" w:fill="auto"/>
            <w:noWrap/>
            <w:vAlign w:val="center"/>
            <w:hideMark/>
          </w:tcPr>
          <w:p w14:paraId="35D88463" w14:textId="094425A7" w:rsidR="004A532A" w:rsidRPr="00E65AA7" w:rsidRDefault="004A532A" w:rsidP="004A532A">
            <w:pPr>
              <w:jc w:val="center"/>
              <w:rPr>
                <w:color w:val="000000"/>
                <w:sz w:val="20"/>
                <w:szCs w:val="20"/>
              </w:rPr>
            </w:pPr>
            <w:r>
              <w:rPr>
                <w:color w:val="000000"/>
                <w:sz w:val="20"/>
                <w:szCs w:val="20"/>
              </w:rPr>
              <w:t>(-4.51)</w:t>
            </w:r>
          </w:p>
        </w:tc>
        <w:tc>
          <w:tcPr>
            <w:tcW w:w="405" w:type="pct"/>
            <w:gridSpan w:val="2"/>
            <w:tcBorders>
              <w:top w:val="nil"/>
              <w:left w:val="nil"/>
              <w:bottom w:val="nil"/>
              <w:right w:val="nil"/>
            </w:tcBorders>
            <w:shd w:val="clear" w:color="auto" w:fill="auto"/>
            <w:noWrap/>
            <w:vAlign w:val="center"/>
            <w:hideMark/>
          </w:tcPr>
          <w:p w14:paraId="4E5B9CFC" w14:textId="443D44B5" w:rsidR="004A532A" w:rsidRPr="00E65AA7" w:rsidRDefault="004A532A" w:rsidP="004A532A">
            <w:pPr>
              <w:jc w:val="center"/>
              <w:rPr>
                <w:color w:val="000000"/>
                <w:sz w:val="20"/>
                <w:szCs w:val="20"/>
              </w:rPr>
            </w:pPr>
            <w:r>
              <w:rPr>
                <w:color w:val="000000"/>
                <w:sz w:val="20"/>
                <w:szCs w:val="20"/>
              </w:rPr>
              <w:t>(-6.55)</w:t>
            </w:r>
          </w:p>
        </w:tc>
      </w:tr>
      <w:tr w:rsidR="004A532A" w:rsidRPr="00E65AA7" w14:paraId="5D68E2A0" w14:textId="77777777" w:rsidTr="004A532A">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0D619B92"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8" w:type="pct"/>
            <w:gridSpan w:val="2"/>
            <w:vMerge w:val="restart"/>
            <w:tcBorders>
              <w:top w:val="nil"/>
              <w:left w:val="nil"/>
              <w:right w:val="nil"/>
            </w:tcBorders>
            <w:vAlign w:val="center"/>
          </w:tcPr>
          <w:p w14:paraId="7499DC2B" w14:textId="7245C3AF"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124</w:t>
            </w:r>
          </w:p>
        </w:tc>
        <w:tc>
          <w:tcPr>
            <w:tcW w:w="383" w:type="pct"/>
            <w:gridSpan w:val="2"/>
            <w:tcBorders>
              <w:top w:val="nil"/>
              <w:left w:val="nil"/>
              <w:bottom w:val="nil"/>
              <w:right w:val="nil"/>
            </w:tcBorders>
            <w:shd w:val="clear" w:color="auto" w:fill="auto"/>
            <w:noWrap/>
            <w:vAlign w:val="center"/>
            <w:hideMark/>
          </w:tcPr>
          <w:p w14:paraId="4DA05D4C" w14:textId="704FB005" w:rsidR="004A532A" w:rsidRPr="00E65AA7" w:rsidRDefault="004A532A" w:rsidP="004A532A">
            <w:pPr>
              <w:jc w:val="center"/>
              <w:rPr>
                <w:color w:val="000000"/>
                <w:sz w:val="20"/>
                <w:szCs w:val="20"/>
              </w:rPr>
            </w:pPr>
            <w:r>
              <w:rPr>
                <w:color w:val="000000"/>
                <w:sz w:val="20"/>
                <w:szCs w:val="20"/>
              </w:rPr>
              <w:t>0.23</w:t>
            </w:r>
          </w:p>
        </w:tc>
        <w:tc>
          <w:tcPr>
            <w:tcW w:w="384" w:type="pct"/>
            <w:gridSpan w:val="2"/>
            <w:tcBorders>
              <w:top w:val="nil"/>
              <w:left w:val="nil"/>
              <w:bottom w:val="nil"/>
              <w:right w:val="nil"/>
            </w:tcBorders>
            <w:shd w:val="clear" w:color="auto" w:fill="auto"/>
            <w:noWrap/>
            <w:vAlign w:val="center"/>
            <w:hideMark/>
          </w:tcPr>
          <w:p w14:paraId="1C281A3B" w14:textId="4D2A4045" w:rsidR="004A532A" w:rsidRPr="00E65AA7" w:rsidRDefault="004A532A" w:rsidP="004A532A">
            <w:pPr>
              <w:jc w:val="center"/>
              <w:rPr>
                <w:color w:val="000000"/>
                <w:sz w:val="20"/>
                <w:szCs w:val="20"/>
              </w:rPr>
            </w:pPr>
            <w:r>
              <w:rPr>
                <w:color w:val="000000"/>
                <w:sz w:val="20"/>
                <w:szCs w:val="20"/>
              </w:rPr>
              <w:t>0.27</w:t>
            </w:r>
          </w:p>
        </w:tc>
        <w:tc>
          <w:tcPr>
            <w:tcW w:w="384" w:type="pct"/>
            <w:gridSpan w:val="2"/>
            <w:tcBorders>
              <w:top w:val="nil"/>
              <w:left w:val="nil"/>
              <w:bottom w:val="nil"/>
              <w:right w:val="nil"/>
            </w:tcBorders>
            <w:shd w:val="clear" w:color="auto" w:fill="auto"/>
            <w:noWrap/>
            <w:vAlign w:val="center"/>
            <w:hideMark/>
          </w:tcPr>
          <w:p w14:paraId="4983194F" w14:textId="6BB51F9D" w:rsidR="004A532A" w:rsidRPr="00E65AA7" w:rsidRDefault="004A532A" w:rsidP="004A532A">
            <w:pPr>
              <w:jc w:val="center"/>
              <w:rPr>
                <w:color w:val="000000"/>
                <w:sz w:val="20"/>
                <w:szCs w:val="20"/>
              </w:rPr>
            </w:pPr>
            <w:r>
              <w:rPr>
                <w:color w:val="000000"/>
                <w:sz w:val="20"/>
                <w:szCs w:val="20"/>
              </w:rPr>
              <w:t>0.24</w:t>
            </w:r>
          </w:p>
        </w:tc>
        <w:tc>
          <w:tcPr>
            <w:tcW w:w="384" w:type="pct"/>
            <w:gridSpan w:val="2"/>
            <w:tcBorders>
              <w:top w:val="nil"/>
              <w:left w:val="nil"/>
              <w:bottom w:val="nil"/>
              <w:right w:val="nil"/>
            </w:tcBorders>
            <w:shd w:val="clear" w:color="auto" w:fill="auto"/>
            <w:noWrap/>
            <w:vAlign w:val="center"/>
            <w:hideMark/>
          </w:tcPr>
          <w:p w14:paraId="456EB74D" w14:textId="4BE80A37" w:rsidR="004A532A" w:rsidRPr="00E65AA7" w:rsidRDefault="004A532A" w:rsidP="004A532A">
            <w:pPr>
              <w:jc w:val="center"/>
              <w:rPr>
                <w:color w:val="000000"/>
                <w:sz w:val="20"/>
                <w:szCs w:val="20"/>
              </w:rPr>
            </w:pPr>
            <w:r>
              <w:rPr>
                <w:color w:val="000000"/>
                <w:sz w:val="20"/>
                <w:szCs w:val="20"/>
              </w:rPr>
              <w:t>0.02</w:t>
            </w:r>
          </w:p>
        </w:tc>
        <w:tc>
          <w:tcPr>
            <w:tcW w:w="384" w:type="pct"/>
            <w:gridSpan w:val="2"/>
            <w:tcBorders>
              <w:top w:val="nil"/>
              <w:left w:val="nil"/>
              <w:bottom w:val="nil"/>
              <w:right w:val="nil"/>
            </w:tcBorders>
            <w:shd w:val="clear" w:color="auto" w:fill="auto"/>
            <w:noWrap/>
            <w:vAlign w:val="center"/>
            <w:hideMark/>
          </w:tcPr>
          <w:p w14:paraId="437AE960" w14:textId="74AE7DFB" w:rsidR="004A532A" w:rsidRPr="00E65AA7" w:rsidRDefault="004A532A" w:rsidP="004A532A">
            <w:pPr>
              <w:jc w:val="center"/>
              <w:rPr>
                <w:color w:val="000000"/>
                <w:sz w:val="20"/>
                <w:szCs w:val="20"/>
              </w:rPr>
            </w:pPr>
            <w:r>
              <w:rPr>
                <w:color w:val="000000"/>
                <w:sz w:val="20"/>
                <w:szCs w:val="20"/>
              </w:rPr>
              <w:t>-0.05</w:t>
            </w:r>
          </w:p>
        </w:tc>
        <w:tc>
          <w:tcPr>
            <w:tcW w:w="384" w:type="pct"/>
            <w:gridSpan w:val="2"/>
            <w:tcBorders>
              <w:top w:val="nil"/>
              <w:left w:val="nil"/>
              <w:bottom w:val="nil"/>
              <w:right w:val="nil"/>
            </w:tcBorders>
            <w:shd w:val="clear" w:color="auto" w:fill="auto"/>
            <w:noWrap/>
            <w:vAlign w:val="center"/>
            <w:hideMark/>
          </w:tcPr>
          <w:p w14:paraId="5D57F0FF" w14:textId="2FC2D069" w:rsidR="004A532A" w:rsidRPr="00E65AA7" w:rsidRDefault="004A532A" w:rsidP="004A532A">
            <w:pPr>
              <w:jc w:val="center"/>
              <w:rPr>
                <w:color w:val="000000"/>
                <w:sz w:val="20"/>
                <w:szCs w:val="20"/>
              </w:rPr>
            </w:pPr>
            <w:r>
              <w:rPr>
                <w:color w:val="000000"/>
                <w:sz w:val="20"/>
                <w:szCs w:val="20"/>
              </w:rPr>
              <w:t>-0.23</w:t>
            </w:r>
          </w:p>
        </w:tc>
        <w:tc>
          <w:tcPr>
            <w:tcW w:w="384" w:type="pct"/>
            <w:gridSpan w:val="2"/>
            <w:tcBorders>
              <w:top w:val="nil"/>
              <w:left w:val="nil"/>
              <w:bottom w:val="nil"/>
              <w:right w:val="nil"/>
            </w:tcBorders>
            <w:shd w:val="clear" w:color="auto" w:fill="auto"/>
            <w:noWrap/>
            <w:vAlign w:val="center"/>
            <w:hideMark/>
          </w:tcPr>
          <w:p w14:paraId="11C560C6" w14:textId="31C2D990" w:rsidR="004A532A" w:rsidRPr="00E65AA7" w:rsidRDefault="004A532A" w:rsidP="004A532A">
            <w:pPr>
              <w:jc w:val="center"/>
              <w:rPr>
                <w:color w:val="000000"/>
                <w:sz w:val="20"/>
                <w:szCs w:val="20"/>
              </w:rPr>
            </w:pPr>
            <w:r>
              <w:rPr>
                <w:color w:val="000000"/>
                <w:sz w:val="20"/>
                <w:szCs w:val="20"/>
              </w:rPr>
              <w:t>-0.36</w:t>
            </w:r>
          </w:p>
        </w:tc>
        <w:tc>
          <w:tcPr>
            <w:tcW w:w="384" w:type="pct"/>
            <w:gridSpan w:val="2"/>
            <w:tcBorders>
              <w:top w:val="nil"/>
              <w:left w:val="nil"/>
              <w:bottom w:val="nil"/>
              <w:right w:val="nil"/>
            </w:tcBorders>
            <w:shd w:val="clear" w:color="auto" w:fill="auto"/>
            <w:noWrap/>
            <w:vAlign w:val="center"/>
            <w:hideMark/>
          </w:tcPr>
          <w:p w14:paraId="5C1E4240" w14:textId="64007906" w:rsidR="004A532A" w:rsidRPr="00E65AA7" w:rsidRDefault="004A532A" w:rsidP="004A532A">
            <w:pPr>
              <w:jc w:val="center"/>
              <w:rPr>
                <w:color w:val="000000"/>
                <w:sz w:val="20"/>
                <w:szCs w:val="20"/>
              </w:rPr>
            </w:pPr>
            <w:r>
              <w:rPr>
                <w:color w:val="000000"/>
                <w:sz w:val="20"/>
                <w:szCs w:val="20"/>
              </w:rPr>
              <w:t>-0.73</w:t>
            </w:r>
          </w:p>
        </w:tc>
        <w:tc>
          <w:tcPr>
            <w:tcW w:w="384" w:type="pct"/>
            <w:gridSpan w:val="2"/>
            <w:tcBorders>
              <w:top w:val="nil"/>
              <w:left w:val="nil"/>
              <w:bottom w:val="nil"/>
              <w:right w:val="nil"/>
            </w:tcBorders>
            <w:shd w:val="clear" w:color="auto" w:fill="auto"/>
            <w:noWrap/>
            <w:vAlign w:val="center"/>
            <w:hideMark/>
          </w:tcPr>
          <w:p w14:paraId="0FE0858B" w14:textId="1EB06D72" w:rsidR="004A532A" w:rsidRPr="00E65AA7" w:rsidRDefault="004A532A" w:rsidP="004A532A">
            <w:pPr>
              <w:jc w:val="center"/>
              <w:rPr>
                <w:color w:val="000000"/>
                <w:sz w:val="20"/>
                <w:szCs w:val="20"/>
              </w:rPr>
            </w:pPr>
            <w:r>
              <w:rPr>
                <w:color w:val="000000"/>
                <w:sz w:val="20"/>
                <w:szCs w:val="20"/>
              </w:rPr>
              <w:t>-1.22</w:t>
            </w:r>
          </w:p>
        </w:tc>
        <w:tc>
          <w:tcPr>
            <w:tcW w:w="384" w:type="pct"/>
            <w:gridSpan w:val="2"/>
            <w:tcBorders>
              <w:top w:val="nil"/>
              <w:left w:val="nil"/>
              <w:bottom w:val="nil"/>
              <w:right w:val="nil"/>
            </w:tcBorders>
            <w:shd w:val="clear" w:color="auto" w:fill="auto"/>
            <w:noWrap/>
            <w:vAlign w:val="center"/>
            <w:hideMark/>
          </w:tcPr>
          <w:p w14:paraId="336FD560" w14:textId="1146F01C" w:rsidR="004A532A" w:rsidRPr="00E65AA7" w:rsidRDefault="004A532A" w:rsidP="004A532A">
            <w:pPr>
              <w:jc w:val="center"/>
              <w:rPr>
                <w:color w:val="000000"/>
                <w:sz w:val="20"/>
                <w:szCs w:val="20"/>
              </w:rPr>
            </w:pPr>
            <w:r>
              <w:rPr>
                <w:color w:val="000000"/>
                <w:sz w:val="20"/>
                <w:szCs w:val="20"/>
              </w:rPr>
              <w:t>-1.97</w:t>
            </w:r>
          </w:p>
        </w:tc>
        <w:tc>
          <w:tcPr>
            <w:tcW w:w="405" w:type="pct"/>
            <w:gridSpan w:val="2"/>
            <w:tcBorders>
              <w:top w:val="nil"/>
              <w:left w:val="nil"/>
              <w:bottom w:val="nil"/>
              <w:right w:val="nil"/>
            </w:tcBorders>
            <w:shd w:val="clear" w:color="auto" w:fill="auto"/>
            <w:noWrap/>
            <w:vAlign w:val="center"/>
            <w:hideMark/>
          </w:tcPr>
          <w:p w14:paraId="6459A056" w14:textId="74AD3601" w:rsidR="004A532A" w:rsidRPr="00E65AA7" w:rsidRDefault="004A532A" w:rsidP="004A532A">
            <w:pPr>
              <w:jc w:val="center"/>
              <w:rPr>
                <w:color w:val="000000"/>
                <w:sz w:val="20"/>
                <w:szCs w:val="20"/>
              </w:rPr>
            </w:pPr>
            <w:r>
              <w:rPr>
                <w:color w:val="000000"/>
                <w:sz w:val="20"/>
                <w:szCs w:val="20"/>
              </w:rPr>
              <w:t>-2.20</w:t>
            </w:r>
          </w:p>
        </w:tc>
      </w:tr>
      <w:tr w:rsidR="004A532A" w:rsidRPr="00E65AA7" w14:paraId="7F14B9FF" w14:textId="77777777" w:rsidTr="004A532A">
        <w:trPr>
          <w:trHeight w:hRule="exact" w:val="255"/>
        </w:trPr>
        <w:tc>
          <w:tcPr>
            <w:tcW w:w="496" w:type="pct"/>
            <w:gridSpan w:val="2"/>
            <w:vMerge/>
            <w:tcBorders>
              <w:top w:val="nil"/>
              <w:left w:val="nil"/>
              <w:right w:val="nil"/>
            </w:tcBorders>
            <w:vAlign w:val="center"/>
            <w:hideMark/>
          </w:tcPr>
          <w:p w14:paraId="1BCAF6BC" w14:textId="77777777" w:rsidR="004A532A" w:rsidRPr="00E65AA7" w:rsidRDefault="004A532A" w:rsidP="004A532A">
            <w:pPr>
              <w:rPr>
                <w:rFonts w:eastAsia="Times New Roman"/>
                <w:color w:val="000000"/>
                <w:sz w:val="20"/>
                <w:szCs w:val="20"/>
                <w:lang w:eastAsia="en-MY"/>
              </w:rPr>
            </w:pPr>
          </w:p>
        </w:tc>
        <w:tc>
          <w:tcPr>
            <w:tcW w:w="258" w:type="pct"/>
            <w:gridSpan w:val="2"/>
            <w:vMerge/>
            <w:tcBorders>
              <w:left w:val="nil"/>
              <w:right w:val="nil"/>
            </w:tcBorders>
            <w:vAlign w:val="center"/>
          </w:tcPr>
          <w:p w14:paraId="54683F45" w14:textId="77777777" w:rsidR="004A532A" w:rsidRPr="00E65AA7" w:rsidRDefault="004A532A" w:rsidP="004A532A">
            <w:pPr>
              <w:rPr>
                <w:rFonts w:eastAsia="Times New Roman"/>
                <w:sz w:val="20"/>
                <w:szCs w:val="20"/>
                <w:lang w:eastAsia="en-MY"/>
              </w:rPr>
            </w:pPr>
          </w:p>
        </w:tc>
        <w:tc>
          <w:tcPr>
            <w:tcW w:w="383" w:type="pct"/>
            <w:gridSpan w:val="2"/>
            <w:tcBorders>
              <w:top w:val="nil"/>
              <w:left w:val="nil"/>
              <w:right w:val="nil"/>
            </w:tcBorders>
            <w:shd w:val="clear" w:color="auto" w:fill="auto"/>
            <w:noWrap/>
            <w:vAlign w:val="center"/>
            <w:hideMark/>
          </w:tcPr>
          <w:p w14:paraId="3E502404" w14:textId="28FD8557" w:rsidR="004A532A" w:rsidRPr="00E65AA7" w:rsidRDefault="004A532A" w:rsidP="004A532A">
            <w:pPr>
              <w:jc w:val="center"/>
              <w:rPr>
                <w:color w:val="000000"/>
                <w:sz w:val="20"/>
                <w:szCs w:val="20"/>
              </w:rPr>
            </w:pPr>
            <w:r>
              <w:rPr>
                <w:color w:val="000000"/>
                <w:sz w:val="20"/>
                <w:szCs w:val="20"/>
              </w:rPr>
              <w:t>(0.63)</w:t>
            </w:r>
          </w:p>
        </w:tc>
        <w:tc>
          <w:tcPr>
            <w:tcW w:w="384" w:type="pct"/>
            <w:gridSpan w:val="2"/>
            <w:tcBorders>
              <w:top w:val="nil"/>
              <w:left w:val="nil"/>
              <w:right w:val="nil"/>
            </w:tcBorders>
            <w:shd w:val="clear" w:color="auto" w:fill="auto"/>
            <w:noWrap/>
            <w:vAlign w:val="center"/>
            <w:hideMark/>
          </w:tcPr>
          <w:p w14:paraId="23828126" w14:textId="5C28DC9E" w:rsidR="004A532A" w:rsidRPr="00E65AA7" w:rsidRDefault="004A532A" w:rsidP="004A532A">
            <w:pPr>
              <w:jc w:val="center"/>
              <w:rPr>
                <w:color w:val="000000"/>
                <w:sz w:val="20"/>
                <w:szCs w:val="20"/>
              </w:rPr>
            </w:pPr>
            <w:r>
              <w:rPr>
                <w:color w:val="000000"/>
                <w:sz w:val="20"/>
                <w:szCs w:val="20"/>
              </w:rPr>
              <w:t>(0.65)</w:t>
            </w:r>
          </w:p>
        </w:tc>
        <w:tc>
          <w:tcPr>
            <w:tcW w:w="384" w:type="pct"/>
            <w:gridSpan w:val="2"/>
            <w:tcBorders>
              <w:top w:val="nil"/>
              <w:left w:val="nil"/>
              <w:right w:val="nil"/>
            </w:tcBorders>
            <w:shd w:val="clear" w:color="auto" w:fill="auto"/>
            <w:noWrap/>
            <w:vAlign w:val="center"/>
            <w:hideMark/>
          </w:tcPr>
          <w:p w14:paraId="60A16485" w14:textId="162F3585" w:rsidR="004A532A" w:rsidRPr="00E65AA7" w:rsidRDefault="004A532A" w:rsidP="004A532A">
            <w:pPr>
              <w:jc w:val="center"/>
              <w:rPr>
                <w:color w:val="000000"/>
                <w:sz w:val="20"/>
                <w:szCs w:val="20"/>
              </w:rPr>
            </w:pPr>
            <w:r>
              <w:rPr>
                <w:color w:val="000000"/>
                <w:sz w:val="20"/>
                <w:szCs w:val="20"/>
              </w:rPr>
              <w:t>(0.5</w:t>
            </w:r>
            <w:r w:rsidR="001816CE">
              <w:rPr>
                <w:color w:val="000000"/>
                <w:sz w:val="20"/>
                <w:szCs w:val="20"/>
              </w:rPr>
              <w:t>0</w:t>
            </w:r>
            <w:r>
              <w:rPr>
                <w:color w:val="000000"/>
                <w:sz w:val="20"/>
                <w:szCs w:val="20"/>
              </w:rPr>
              <w:t>)</w:t>
            </w:r>
          </w:p>
        </w:tc>
        <w:tc>
          <w:tcPr>
            <w:tcW w:w="384" w:type="pct"/>
            <w:gridSpan w:val="2"/>
            <w:tcBorders>
              <w:top w:val="nil"/>
              <w:left w:val="nil"/>
              <w:right w:val="nil"/>
            </w:tcBorders>
            <w:shd w:val="clear" w:color="auto" w:fill="auto"/>
            <w:noWrap/>
            <w:vAlign w:val="center"/>
            <w:hideMark/>
          </w:tcPr>
          <w:p w14:paraId="2A9A3ABA" w14:textId="45AB2160" w:rsidR="004A532A" w:rsidRPr="00E65AA7" w:rsidRDefault="004A532A" w:rsidP="004A532A">
            <w:pPr>
              <w:jc w:val="center"/>
              <w:rPr>
                <w:color w:val="000000"/>
                <w:sz w:val="20"/>
                <w:szCs w:val="20"/>
              </w:rPr>
            </w:pPr>
            <w:r>
              <w:rPr>
                <w:color w:val="000000"/>
                <w:sz w:val="20"/>
                <w:szCs w:val="20"/>
              </w:rPr>
              <w:t>(0.03)</w:t>
            </w:r>
          </w:p>
        </w:tc>
        <w:tc>
          <w:tcPr>
            <w:tcW w:w="384" w:type="pct"/>
            <w:gridSpan w:val="2"/>
            <w:tcBorders>
              <w:top w:val="nil"/>
              <w:left w:val="nil"/>
              <w:right w:val="nil"/>
            </w:tcBorders>
            <w:shd w:val="clear" w:color="auto" w:fill="auto"/>
            <w:noWrap/>
            <w:vAlign w:val="center"/>
            <w:hideMark/>
          </w:tcPr>
          <w:p w14:paraId="79CBC76F" w14:textId="2B74F336" w:rsidR="004A532A" w:rsidRPr="00E65AA7" w:rsidRDefault="004A532A" w:rsidP="004A532A">
            <w:pPr>
              <w:jc w:val="center"/>
              <w:rPr>
                <w:color w:val="000000"/>
                <w:sz w:val="20"/>
                <w:szCs w:val="20"/>
              </w:rPr>
            </w:pPr>
            <w:r>
              <w:rPr>
                <w:color w:val="000000"/>
                <w:sz w:val="20"/>
                <w:szCs w:val="20"/>
              </w:rPr>
              <w:t>(-0.09)</w:t>
            </w:r>
          </w:p>
        </w:tc>
        <w:tc>
          <w:tcPr>
            <w:tcW w:w="384" w:type="pct"/>
            <w:gridSpan w:val="2"/>
            <w:tcBorders>
              <w:top w:val="nil"/>
              <w:left w:val="nil"/>
              <w:right w:val="nil"/>
            </w:tcBorders>
            <w:shd w:val="clear" w:color="auto" w:fill="auto"/>
            <w:noWrap/>
            <w:vAlign w:val="center"/>
            <w:hideMark/>
          </w:tcPr>
          <w:p w14:paraId="19AEF3AC" w14:textId="756CDC3F" w:rsidR="004A532A" w:rsidRPr="00E65AA7" w:rsidRDefault="004A532A" w:rsidP="004A532A">
            <w:pPr>
              <w:jc w:val="center"/>
              <w:rPr>
                <w:color w:val="000000"/>
                <w:sz w:val="20"/>
                <w:szCs w:val="20"/>
              </w:rPr>
            </w:pPr>
            <w:r>
              <w:rPr>
                <w:color w:val="000000"/>
                <w:sz w:val="20"/>
                <w:szCs w:val="20"/>
              </w:rPr>
              <w:t>(-0.4</w:t>
            </w:r>
            <w:r w:rsidR="001816CE">
              <w:rPr>
                <w:color w:val="000000"/>
                <w:sz w:val="20"/>
                <w:szCs w:val="20"/>
              </w:rPr>
              <w:t>0</w:t>
            </w:r>
            <w:r>
              <w:rPr>
                <w:color w:val="000000"/>
                <w:sz w:val="20"/>
                <w:szCs w:val="20"/>
              </w:rPr>
              <w:t>)</w:t>
            </w:r>
          </w:p>
        </w:tc>
        <w:tc>
          <w:tcPr>
            <w:tcW w:w="384" w:type="pct"/>
            <w:gridSpan w:val="2"/>
            <w:tcBorders>
              <w:top w:val="nil"/>
              <w:left w:val="nil"/>
              <w:right w:val="nil"/>
            </w:tcBorders>
            <w:shd w:val="clear" w:color="auto" w:fill="auto"/>
            <w:noWrap/>
            <w:vAlign w:val="center"/>
            <w:hideMark/>
          </w:tcPr>
          <w:p w14:paraId="67C6DB2F" w14:textId="09BC5551" w:rsidR="004A532A" w:rsidRPr="00E65AA7" w:rsidRDefault="004A532A" w:rsidP="004A532A">
            <w:pPr>
              <w:jc w:val="center"/>
              <w:rPr>
                <w:color w:val="000000"/>
                <w:sz w:val="20"/>
                <w:szCs w:val="20"/>
              </w:rPr>
            </w:pPr>
            <w:r>
              <w:rPr>
                <w:color w:val="000000"/>
                <w:sz w:val="20"/>
                <w:szCs w:val="20"/>
              </w:rPr>
              <w:t>(-0.58)</w:t>
            </w:r>
          </w:p>
        </w:tc>
        <w:tc>
          <w:tcPr>
            <w:tcW w:w="384" w:type="pct"/>
            <w:gridSpan w:val="2"/>
            <w:tcBorders>
              <w:top w:val="nil"/>
              <w:left w:val="nil"/>
              <w:right w:val="nil"/>
            </w:tcBorders>
            <w:shd w:val="clear" w:color="auto" w:fill="auto"/>
            <w:noWrap/>
            <w:vAlign w:val="center"/>
            <w:hideMark/>
          </w:tcPr>
          <w:p w14:paraId="52D381C6" w14:textId="3F003A6D" w:rsidR="004A532A" w:rsidRPr="00E65AA7" w:rsidRDefault="004A532A" w:rsidP="004A532A">
            <w:pPr>
              <w:jc w:val="center"/>
              <w:rPr>
                <w:color w:val="000000"/>
                <w:sz w:val="20"/>
                <w:szCs w:val="20"/>
              </w:rPr>
            </w:pPr>
            <w:r>
              <w:rPr>
                <w:color w:val="000000"/>
                <w:sz w:val="20"/>
                <w:szCs w:val="20"/>
              </w:rPr>
              <w:t>(-1.09)</w:t>
            </w:r>
          </w:p>
        </w:tc>
        <w:tc>
          <w:tcPr>
            <w:tcW w:w="384" w:type="pct"/>
            <w:gridSpan w:val="2"/>
            <w:tcBorders>
              <w:top w:val="nil"/>
              <w:left w:val="nil"/>
              <w:right w:val="nil"/>
            </w:tcBorders>
            <w:shd w:val="clear" w:color="auto" w:fill="auto"/>
            <w:noWrap/>
            <w:vAlign w:val="center"/>
            <w:hideMark/>
          </w:tcPr>
          <w:p w14:paraId="172671C2" w14:textId="2F2A7476" w:rsidR="004A532A" w:rsidRPr="00E65AA7" w:rsidRDefault="004A532A" w:rsidP="004A532A">
            <w:pPr>
              <w:jc w:val="center"/>
              <w:rPr>
                <w:color w:val="000000"/>
                <w:sz w:val="20"/>
                <w:szCs w:val="20"/>
              </w:rPr>
            </w:pPr>
            <w:r>
              <w:rPr>
                <w:color w:val="000000"/>
                <w:sz w:val="20"/>
                <w:szCs w:val="20"/>
              </w:rPr>
              <w:t>(-1.71)</w:t>
            </w:r>
          </w:p>
        </w:tc>
        <w:tc>
          <w:tcPr>
            <w:tcW w:w="384" w:type="pct"/>
            <w:gridSpan w:val="2"/>
            <w:tcBorders>
              <w:top w:val="nil"/>
              <w:left w:val="nil"/>
              <w:right w:val="nil"/>
            </w:tcBorders>
            <w:shd w:val="clear" w:color="auto" w:fill="auto"/>
            <w:noWrap/>
            <w:vAlign w:val="center"/>
            <w:hideMark/>
          </w:tcPr>
          <w:p w14:paraId="38E6D760" w14:textId="6491852A" w:rsidR="004A532A" w:rsidRPr="00E65AA7" w:rsidRDefault="004A532A" w:rsidP="004A532A">
            <w:pPr>
              <w:jc w:val="center"/>
              <w:rPr>
                <w:color w:val="000000"/>
                <w:sz w:val="20"/>
                <w:szCs w:val="20"/>
              </w:rPr>
            </w:pPr>
            <w:r>
              <w:rPr>
                <w:color w:val="000000"/>
                <w:sz w:val="20"/>
                <w:szCs w:val="20"/>
              </w:rPr>
              <w:t>(-2.62)</w:t>
            </w:r>
          </w:p>
        </w:tc>
        <w:tc>
          <w:tcPr>
            <w:tcW w:w="405" w:type="pct"/>
            <w:gridSpan w:val="2"/>
            <w:tcBorders>
              <w:top w:val="nil"/>
              <w:left w:val="nil"/>
              <w:right w:val="nil"/>
            </w:tcBorders>
            <w:shd w:val="clear" w:color="auto" w:fill="auto"/>
            <w:noWrap/>
            <w:vAlign w:val="center"/>
            <w:hideMark/>
          </w:tcPr>
          <w:p w14:paraId="0AE144B0" w14:textId="6A9BFBBE" w:rsidR="004A532A" w:rsidRPr="00E65AA7" w:rsidRDefault="004A532A" w:rsidP="004A532A">
            <w:pPr>
              <w:jc w:val="center"/>
              <w:rPr>
                <w:color w:val="000000"/>
                <w:sz w:val="20"/>
                <w:szCs w:val="20"/>
              </w:rPr>
            </w:pPr>
            <w:r>
              <w:rPr>
                <w:color w:val="000000"/>
                <w:sz w:val="20"/>
                <w:szCs w:val="20"/>
              </w:rPr>
              <w:t>(-4.47)</w:t>
            </w:r>
          </w:p>
        </w:tc>
      </w:tr>
      <w:tr w:rsidR="004A532A" w:rsidRPr="00E65AA7" w14:paraId="517544B3" w14:textId="77777777" w:rsidTr="004A532A">
        <w:trPr>
          <w:trHeight w:hRule="exact" w:val="255"/>
        </w:trPr>
        <w:tc>
          <w:tcPr>
            <w:tcW w:w="496" w:type="pct"/>
            <w:gridSpan w:val="2"/>
            <w:vMerge w:val="restart"/>
            <w:tcBorders>
              <w:top w:val="nil"/>
              <w:left w:val="nil"/>
              <w:right w:val="nil"/>
            </w:tcBorders>
            <w:vAlign w:val="center"/>
          </w:tcPr>
          <w:p w14:paraId="59307654"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58" w:type="pct"/>
            <w:gridSpan w:val="2"/>
            <w:vMerge w:val="restart"/>
            <w:tcBorders>
              <w:top w:val="nil"/>
              <w:left w:val="nil"/>
              <w:right w:val="nil"/>
            </w:tcBorders>
            <w:vAlign w:val="center"/>
          </w:tcPr>
          <w:p w14:paraId="333856BF" w14:textId="0041A3C4"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147</w:t>
            </w:r>
          </w:p>
        </w:tc>
        <w:tc>
          <w:tcPr>
            <w:tcW w:w="383" w:type="pct"/>
            <w:gridSpan w:val="2"/>
            <w:tcBorders>
              <w:top w:val="nil"/>
              <w:left w:val="nil"/>
              <w:right w:val="nil"/>
            </w:tcBorders>
            <w:shd w:val="clear" w:color="auto" w:fill="auto"/>
            <w:noWrap/>
            <w:vAlign w:val="center"/>
          </w:tcPr>
          <w:p w14:paraId="1364BC40" w14:textId="3E461FE5" w:rsidR="004A532A" w:rsidRPr="00E65AA7" w:rsidRDefault="004A532A" w:rsidP="004A532A">
            <w:pPr>
              <w:jc w:val="center"/>
              <w:rPr>
                <w:color w:val="000000"/>
                <w:sz w:val="20"/>
                <w:szCs w:val="20"/>
              </w:rPr>
            </w:pPr>
            <w:r>
              <w:rPr>
                <w:color w:val="000000"/>
                <w:sz w:val="20"/>
                <w:szCs w:val="20"/>
              </w:rPr>
              <w:t>2.20</w:t>
            </w:r>
          </w:p>
        </w:tc>
        <w:tc>
          <w:tcPr>
            <w:tcW w:w="384" w:type="pct"/>
            <w:gridSpan w:val="2"/>
            <w:tcBorders>
              <w:top w:val="nil"/>
              <w:left w:val="nil"/>
              <w:right w:val="nil"/>
            </w:tcBorders>
            <w:shd w:val="clear" w:color="auto" w:fill="auto"/>
            <w:noWrap/>
            <w:vAlign w:val="center"/>
          </w:tcPr>
          <w:p w14:paraId="1A969514" w14:textId="4752F144" w:rsidR="004A532A" w:rsidRPr="00E65AA7" w:rsidRDefault="004A532A" w:rsidP="004A532A">
            <w:pPr>
              <w:jc w:val="center"/>
              <w:rPr>
                <w:color w:val="000000"/>
                <w:sz w:val="20"/>
                <w:szCs w:val="20"/>
              </w:rPr>
            </w:pPr>
            <w:r>
              <w:rPr>
                <w:color w:val="000000"/>
                <w:sz w:val="20"/>
                <w:szCs w:val="20"/>
              </w:rPr>
              <w:t>2.25</w:t>
            </w:r>
          </w:p>
        </w:tc>
        <w:tc>
          <w:tcPr>
            <w:tcW w:w="384" w:type="pct"/>
            <w:gridSpan w:val="2"/>
            <w:tcBorders>
              <w:top w:val="nil"/>
              <w:left w:val="nil"/>
              <w:right w:val="nil"/>
            </w:tcBorders>
            <w:shd w:val="clear" w:color="auto" w:fill="auto"/>
            <w:noWrap/>
            <w:vAlign w:val="center"/>
          </w:tcPr>
          <w:p w14:paraId="1DE1F217" w14:textId="6A7E305A" w:rsidR="004A532A" w:rsidRPr="00E65AA7" w:rsidRDefault="004A532A" w:rsidP="004A532A">
            <w:pPr>
              <w:jc w:val="center"/>
              <w:rPr>
                <w:color w:val="000000"/>
                <w:sz w:val="20"/>
                <w:szCs w:val="20"/>
              </w:rPr>
            </w:pPr>
            <w:r>
              <w:rPr>
                <w:color w:val="000000"/>
                <w:sz w:val="20"/>
                <w:szCs w:val="20"/>
              </w:rPr>
              <w:t>2.75</w:t>
            </w:r>
          </w:p>
        </w:tc>
        <w:tc>
          <w:tcPr>
            <w:tcW w:w="384" w:type="pct"/>
            <w:gridSpan w:val="2"/>
            <w:tcBorders>
              <w:top w:val="nil"/>
              <w:left w:val="nil"/>
              <w:right w:val="nil"/>
            </w:tcBorders>
            <w:shd w:val="clear" w:color="auto" w:fill="auto"/>
            <w:noWrap/>
            <w:vAlign w:val="center"/>
          </w:tcPr>
          <w:p w14:paraId="00111D53" w14:textId="78DC83AC" w:rsidR="004A532A" w:rsidRPr="00E65AA7" w:rsidRDefault="004A532A" w:rsidP="004A532A">
            <w:pPr>
              <w:jc w:val="center"/>
              <w:rPr>
                <w:color w:val="000000"/>
                <w:sz w:val="20"/>
                <w:szCs w:val="20"/>
              </w:rPr>
            </w:pPr>
            <w:r>
              <w:rPr>
                <w:color w:val="000000"/>
                <w:sz w:val="20"/>
                <w:szCs w:val="20"/>
              </w:rPr>
              <w:t>3.11</w:t>
            </w:r>
          </w:p>
        </w:tc>
        <w:tc>
          <w:tcPr>
            <w:tcW w:w="384" w:type="pct"/>
            <w:gridSpan w:val="2"/>
            <w:tcBorders>
              <w:top w:val="nil"/>
              <w:left w:val="nil"/>
              <w:right w:val="nil"/>
            </w:tcBorders>
            <w:shd w:val="clear" w:color="auto" w:fill="auto"/>
            <w:noWrap/>
            <w:vAlign w:val="center"/>
          </w:tcPr>
          <w:p w14:paraId="2B9E98C6" w14:textId="26C04E9A" w:rsidR="004A532A" w:rsidRPr="00E65AA7" w:rsidRDefault="004A532A" w:rsidP="004A532A">
            <w:pPr>
              <w:jc w:val="center"/>
              <w:rPr>
                <w:color w:val="000000"/>
                <w:sz w:val="20"/>
                <w:szCs w:val="20"/>
              </w:rPr>
            </w:pPr>
            <w:r>
              <w:rPr>
                <w:color w:val="000000"/>
                <w:sz w:val="20"/>
                <w:szCs w:val="20"/>
              </w:rPr>
              <w:t>3.38</w:t>
            </w:r>
          </w:p>
        </w:tc>
        <w:tc>
          <w:tcPr>
            <w:tcW w:w="384" w:type="pct"/>
            <w:gridSpan w:val="2"/>
            <w:tcBorders>
              <w:top w:val="nil"/>
              <w:left w:val="nil"/>
              <w:right w:val="nil"/>
            </w:tcBorders>
            <w:shd w:val="clear" w:color="auto" w:fill="auto"/>
            <w:noWrap/>
            <w:vAlign w:val="center"/>
          </w:tcPr>
          <w:p w14:paraId="7E57B06E" w14:textId="6352BAB3" w:rsidR="004A532A" w:rsidRPr="00E65AA7" w:rsidRDefault="004A532A" w:rsidP="004A532A">
            <w:pPr>
              <w:jc w:val="center"/>
              <w:rPr>
                <w:color w:val="000000"/>
                <w:sz w:val="20"/>
                <w:szCs w:val="20"/>
              </w:rPr>
            </w:pPr>
            <w:r>
              <w:rPr>
                <w:color w:val="000000"/>
                <w:sz w:val="20"/>
                <w:szCs w:val="20"/>
              </w:rPr>
              <w:t>3.69</w:t>
            </w:r>
          </w:p>
        </w:tc>
        <w:tc>
          <w:tcPr>
            <w:tcW w:w="384" w:type="pct"/>
            <w:gridSpan w:val="2"/>
            <w:tcBorders>
              <w:top w:val="nil"/>
              <w:left w:val="nil"/>
              <w:right w:val="nil"/>
            </w:tcBorders>
            <w:shd w:val="clear" w:color="auto" w:fill="auto"/>
            <w:noWrap/>
            <w:vAlign w:val="center"/>
          </w:tcPr>
          <w:p w14:paraId="051864E6" w14:textId="35E088B8" w:rsidR="004A532A" w:rsidRPr="00E65AA7" w:rsidRDefault="004A532A" w:rsidP="004A532A">
            <w:pPr>
              <w:jc w:val="center"/>
              <w:rPr>
                <w:color w:val="000000"/>
                <w:sz w:val="20"/>
                <w:szCs w:val="20"/>
              </w:rPr>
            </w:pPr>
            <w:r>
              <w:rPr>
                <w:color w:val="000000"/>
                <w:sz w:val="20"/>
                <w:szCs w:val="20"/>
              </w:rPr>
              <w:t>4.03</w:t>
            </w:r>
          </w:p>
        </w:tc>
        <w:tc>
          <w:tcPr>
            <w:tcW w:w="384" w:type="pct"/>
            <w:gridSpan w:val="2"/>
            <w:tcBorders>
              <w:top w:val="nil"/>
              <w:left w:val="nil"/>
              <w:right w:val="nil"/>
            </w:tcBorders>
            <w:shd w:val="clear" w:color="auto" w:fill="auto"/>
            <w:noWrap/>
            <w:vAlign w:val="center"/>
          </w:tcPr>
          <w:p w14:paraId="13E385A1" w14:textId="034EC6B7" w:rsidR="004A532A" w:rsidRPr="00E65AA7" w:rsidRDefault="004A532A" w:rsidP="004A532A">
            <w:pPr>
              <w:jc w:val="center"/>
              <w:rPr>
                <w:color w:val="000000"/>
                <w:sz w:val="20"/>
                <w:szCs w:val="20"/>
              </w:rPr>
            </w:pPr>
            <w:r>
              <w:rPr>
                <w:color w:val="000000"/>
                <w:sz w:val="20"/>
                <w:szCs w:val="20"/>
              </w:rPr>
              <w:t>4.57</w:t>
            </w:r>
          </w:p>
        </w:tc>
        <w:tc>
          <w:tcPr>
            <w:tcW w:w="384" w:type="pct"/>
            <w:gridSpan w:val="2"/>
            <w:tcBorders>
              <w:top w:val="nil"/>
              <w:left w:val="nil"/>
              <w:right w:val="nil"/>
            </w:tcBorders>
            <w:shd w:val="clear" w:color="auto" w:fill="auto"/>
            <w:noWrap/>
            <w:vAlign w:val="center"/>
          </w:tcPr>
          <w:p w14:paraId="1A8A1C33" w14:textId="67D0DF66" w:rsidR="004A532A" w:rsidRPr="00E65AA7" w:rsidRDefault="004A532A" w:rsidP="004A532A">
            <w:pPr>
              <w:jc w:val="center"/>
              <w:rPr>
                <w:color w:val="000000"/>
                <w:sz w:val="20"/>
                <w:szCs w:val="20"/>
              </w:rPr>
            </w:pPr>
            <w:r>
              <w:rPr>
                <w:color w:val="000000"/>
                <w:sz w:val="20"/>
                <w:szCs w:val="20"/>
              </w:rPr>
              <w:t>4.58</w:t>
            </w:r>
          </w:p>
        </w:tc>
        <w:tc>
          <w:tcPr>
            <w:tcW w:w="384" w:type="pct"/>
            <w:gridSpan w:val="2"/>
            <w:tcBorders>
              <w:top w:val="nil"/>
              <w:left w:val="nil"/>
              <w:right w:val="nil"/>
            </w:tcBorders>
            <w:shd w:val="clear" w:color="auto" w:fill="auto"/>
            <w:noWrap/>
            <w:vAlign w:val="center"/>
          </w:tcPr>
          <w:p w14:paraId="3F689889" w14:textId="3AE24303" w:rsidR="004A532A" w:rsidRPr="00E65AA7" w:rsidRDefault="004A532A" w:rsidP="004A532A">
            <w:pPr>
              <w:jc w:val="center"/>
              <w:rPr>
                <w:color w:val="000000"/>
                <w:sz w:val="20"/>
                <w:szCs w:val="20"/>
              </w:rPr>
            </w:pPr>
            <w:r>
              <w:rPr>
                <w:color w:val="000000"/>
                <w:sz w:val="20"/>
                <w:szCs w:val="20"/>
              </w:rPr>
              <w:t>4.82</w:t>
            </w:r>
          </w:p>
        </w:tc>
        <w:tc>
          <w:tcPr>
            <w:tcW w:w="405" w:type="pct"/>
            <w:gridSpan w:val="2"/>
            <w:tcBorders>
              <w:top w:val="nil"/>
              <w:left w:val="nil"/>
              <w:right w:val="nil"/>
            </w:tcBorders>
            <w:shd w:val="clear" w:color="auto" w:fill="auto"/>
            <w:noWrap/>
            <w:vAlign w:val="center"/>
          </w:tcPr>
          <w:p w14:paraId="2AB0889A" w14:textId="2A540B30" w:rsidR="004A532A" w:rsidRPr="00E65AA7" w:rsidRDefault="004A532A" w:rsidP="004A532A">
            <w:pPr>
              <w:jc w:val="center"/>
              <w:rPr>
                <w:color w:val="000000"/>
                <w:sz w:val="20"/>
                <w:szCs w:val="20"/>
              </w:rPr>
            </w:pPr>
            <w:r>
              <w:rPr>
                <w:color w:val="000000"/>
                <w:sz w:val="20"/>
                <w:szCs w:val="20"/>
              </w:rPr>
              <w:t>2.62</w:t>
            </w:r>
          </w:p>
        </w:tc>
      </w:tr>
      <w:tr w:rsidR="004A532A" w:rsidRPr="00E65AA7" w14:paraId="38CA73F1" w14:textId="77777777" w:rsidTr="004A532A">
        <w:trPr>
          <w:trHeight w:hRule="exact" w:val="255"/>
        </w:trPr>
        <w:tc>
          <w:tcPr>
            <w:tcW w:w="496" w:type="pct"/>
            <w:gridSpan w:val="2"/>
            <w:vMerge/>
            <w:tcBorders>
              <w:left w:val="nil"/>
              <w:bottom w:val="single" w:sz="4" w:space="0" w:color="auto"/>
              <w:right w:val="nil"/>
            </w:tcBorders>
            <w:vAlign w:val="center"/>
          </w:tcPr>
          <w:p w14:paraId="1AD96F2E" w14:textId="77777777" w:rsidR="004A532A" w:rsidRPr="00E65AA7" w:rsidRDefault="004A532A" w:rsidP="004A532A">
            <w:pPr>
              <w:rPr>
                <w:rFonts w:eastAsia="Times New Roman"/>
                <w:color w:val="000000"/>
                <w:sz w:val="20"/>
                <w:szCs w:val="20"/>
                <w:lang w:eastAsia="en-MY"/>
              </w:rPr>
            </w:pPr>
          </w:p>
        </w:tc>
        <w:tc>
          <w:tcPr>
            <w:tcW w:w="258" w:type="pct"/>
            <w:gridSpan w:val="2"/>
            <w:vMerge/>
            <w:tcBorders>
              <w:left w:val="nil"/>
              <w:bottom w:val="single" w:sz="4" w:space="0" w:color="auto"/>
              <w:right w:val="nil"/>
            </w:tcBorders>
            <w:vAlign w:val="center"/>
          </w:tcPr>
          <w:p w14:paraId="228AFD9F" w14:textId="77777777" w:rsidR="004A532A" w:rsidRPr="00E65AA7" w:rsidRDefault="004A532A" w:rsidP="004A532A">
            <w:pPr>
              <w:jc w:val="center"/>
              <w:rPr>
                <w:rFonts w:eastAsia="Times New Roman"/>
                <w:sz w:val="20"/>
                <w:szCs w:val="20"/>
                <w:lang w:eastAsia="en-MY"/>
              </w:rPr>
            </w:pPr>
          </w:p>
        </w:tc>
        <w:tc>
          <w:tcPr>
            <w:tcW w:w="383" w:type="pct"/>
            <w:gridSpan w:val="2"/>
            <w:tcBorders>
              <w:left w:val="nil"/>
              <w:bottom w:val="single" w:sz="4" w:space="0" w:color="auto"/>
              <w:right w:val="nil"/>
            </w:tcBorders>
            <w:shd w:val="clear" w:color="auto" w:fill="auto"/>
            <w:noWrap/>
            <w:vAlign w:val="center"/>
          </w:tcPr>
          <w:p w14:paraId="4930824C" w14:textId="67EF1988" w:rsidR="004A532A" w:rsidRPr="00E65AA7" w:rsidRDefault="004A532A" w:rsidP="004A532A">
            <w:pPr>
              <w:jc w:val="center"/>
              <w:rPr>
                <w:color w:val="000000"/>
                <w:sz w:val="20"/>
                <w:szCs w:val="20"/>
              </w:rPr>
            </w:pPr>
            <w:r>
              <w:rPr>
                <w:color w:val="000000"/>
                <w:sz w:val="20"/>
                <w:szCs w:val="20"/>
              </w:rPr>
              <w:t>(6.47)</w:t>
            </w:r>
          </w:p>
        </w:tc>
        <w:tc>
          <w:tcPr>
            <w:tcW w:w="384" w:type="pct"/>
            <w:gridSpan w:val="2"/>
            <w:tcBorders>
              <w:left w:val="nil"/>
              <w:bottom w:val="single" w:sz="4" w:space="0" w:color="auto"/>
              <w:right w:val="nil"/>
            </w:tcBorders>
            <w:shd w:val="clear" w:color="auto" w:fill="auto"/>
            <w:noWrap/>
            <w:vAlign w:val="center"/>
          </w:tcPr>
          <w:p w14:paraId="650366AA" w14:textId="3030A37C" w:rsidR="004A532A" w:rsidRPr="00E65AA7" w:rsidRDefault="004A532A" w:rsidP="004A532A">
            <w:pPr>
              <w:jc w:val="center"/>
              <w:rPr>
                <w:color w:val="000000"/>
                <w:sz w:val="20"/>
                <w:szCs w:val="20"/>
              </w:rPr>
            </w:pPr>
            <w:r>
              <w:rPr>
                <w:color w:val="000000"/>
                <w:sz w:val="20"/>
                <w:szCs w:val="20"/>
              </w:rPr>
              <w:t>(6.26)</w:t>
            </w:r>
          </w:p>
        </w:tc>
        <w:tc>
          <w:tcPr>
            <w:tcW w:w="384" w:type="pct"/>
            <w:gridSpan w:val="2"/>
            <w:tcBorders>
              <w:left w:val="nil"/>
              <w:bottom w:val="single" w:sz="4" w:space="0" w:color="auto"/>
              <w:right w:val="nil"/>
            </w:tcBorders>
            <w:shd w:val="clear" w:color="auto" w:fill="auto"/>
            <w:noWrap/>
            <w:vAlign w:val="center"/>
          </w:tcPr>
          <w:p w14:paraId="4E86656B" w14:textId="5D2E800E" w:rsidR="004A532A" w:rsidRPr="00E65AA7" w:rsidRDefault="004A532A" w:rsidP="004A532A">
            <w:pPr>
              <w:jc w:val="center"/>
              <w:rPr>
                <w:color w:val="000000"/>
                <w:sz w:val="20"/>
                <w:szCs w:val="20"/>
              </w:rPr>
            </w:pPr>
            <w:r>
              <w:rPr>
                <w:color w:val="000000"/>
                <w:sz w:val="20"/>
                <w:szCs w:val="20"/>
              </w:rPr>
              <w:t>(6.7</w:t>
            </w:r>
            <w:r w:rsidR="001816CE">
              <w:rPr>
                <w:color w:val="000000"/>
                <w:sz w:val="20"/>
                <w:szCs w:val="20"/>
              </w:rPr>
              <w:t>0</w:t>
            </w:r>
            <w:r>
              <w:rPr>
                <w:color w:val="000000"/>
                <w:sz w:val="20"/>
                <w:szCs w:val="20"/>
              </w:rPr>
              <w:t>)</w:t>
            </w:r>
          </w:p>
        </w:tc>
        <w:tc>
          <w:tcPr>
            <w:tcW w:w="384" w:type="pct"/>
            <w:gridSpan w:val="2"/>
            <w:tcBorders>
              <w:left w:val="nil"/>
              <w:bottom w:val="single" w:sz="4" w:space="0" w:color="auto"/>
              <w:right w:val="nil"/>
            </w:tcBorders>
            <w:shd w:val="clear" w:color="auto" w:fill="auto"/>
            <w:noWrap/>
            <w:vAlign w:val="center"/>
          </w:tcPr>
          <w:p w14:paraId="14ED95A9" w14:textId="7F84A558" w:rsidR="004A532A" w:rsidRPr="00E65AA7" w:rsidRDefault="004A532A" w:rsidP="004A532A">
            <w:pPr>
              <w:jc w:val="center"/>
              <w:rPr>
                <w:color w:val="000000"/>
                <w:sz w:val="20"/>
                <w:szCs w:val="20"/>
              </w:rPr>
            </w:pPr>
            <w:r>
              <w:rPr>
                <w:color w:val="000000"/>
                <w:sz w:val="20"/>
                <w:szCs w:val="20"/>
              </w:rPr>
              <w:t>(6.95)</w:t>
            </w:r>
          </w:p>
        </w:tc>
        <w:tc>
          <w:tcPr>
            <w:tcW w:w="384" w:type="pct"/>
            <w:gridSpan w:val="2"/>
            <w:tcBorders>
              <w:left w:val="nil"/>
              <w:bottom w:val="single" w:sz="4" w:space="0" w:color="auto"/>
              <w:right w:val="nil"/>
            </w:tcBorders>
            <w:shd w:val="clear" w:color="auto" w:fill="auto"/>
            <w:noWrap/>
            <w:vAlign w:val="center"/>
          </w:tcPr>
          <w:p w14:paraId="79933B6C" w14:textId="7F797D9F" w:rsidR="004A532A" w:rsidRPr="00E65AA7" w:rsidRDefault="004A532A" w:rsidP="004A532A">
            <w:pPr>
              <w:jc w:val="center"/>
              <w:rPr>
                <w:color w:val="000000"/>
                <w:sz w:val="20"/>
                <w:szCs w:val="20"/>
              </w:rPr>
            </w:pPr>
            <w:r>
              <w:rPr>
                <w:color w:val="000000"/>
                <w:sz w:val="20"/>
                <w:szCs w:val="20"/>
              </w:rPr>
              <w:t>(7.04)</w:t>
            </w:r>
          </w:p>
        </w:tc>
        <w:tc>
          <w:tcPr>
            <w:tcW w:w="384" w:type="pct"/>
            <w:gridSpan w:val="2"/>
            <w:tcBorders>
              <w:left w:val="nil"/>
              <w:bottom w:val="single" w:sz="4" w:space="0" w:color="auto"/>
              <w:right w:val="nil"/>
            </w:tcBorders>
            <w:shd w:val="clear" w:color="auto" w:fill="auto"/>
            <w:noWrap/>
            <w:vAlign w:val="center"/>
          </w:tcPr>
          <w:p w14:paraId="205BA5EF" w14:textId="77FB53C9" w:rsidR="004A532A" w:rsidRPr="00E65AA7" w:rsidRDefault="004A532A" w:rsidP="004A532A">
            <w:pPr>
              <w:jc w:val="center"/>
              <w:rPr>
                <w:color w:val="000000"/>
                <w:sz w:val="20"/>
                <w:szCs w:val="20"/>
              </w:rPr>
            </w:pPr>
            <w:r>
              <w:rPr>
                <w:color w:val="000000"/>
                <w:sz w:val="20"/>
                <w:szCs w:val="20"/>
              </w:rPr>
              <w:t>(7.02)</w:t>
            </w:r>
          </w:p>
        </w:tc>
        <w:tc>
          <w:tcPr>
            <w:tcW w:w="384" w:type="pct"/>
            <w:gridSpan w:val="2"/>
            <w:tcBorders>
              <w:left w:val="nil"/>
              <w:bottom w:val="single" w:sz="4" w:space="0" w:color="auto"/>
              <w:right w:val="nil"/>
            </w:tcBorders>
            <w:shd w:val="clear" w:color="auto" w:fill="auto"/>
            <w:noWrap/>
            <w:vAlign w:val="center"/>
          </w:tcPr>
          <w:p w14:paraId="76F97380" w14:textId="0B14EB91" w:rsidR="004A532A" w:rsidRPr="00E65AA7" w:rsidRDefault="004A532A" w:rsidP="004A532A">
            <w:pPr>
              <w:jc w:val="center"/>
              <w:rPr>
                <w:color w:val="000000"/>
                <w:sz w:val="20"/>
                <w:szCs w:val="20"/>
              </w:rPr>
            </w:pPr>
            <w:r>
              <w:rPr>
                <w:color w:val="000000"/>
                <w:sz w:val="20"/>
                <w:szCs w:val="20"/>
              </w:rPr>
              <w:t>(7.12)</w:t>
            </w:r>
          </w:p>
        </w:tc>
        <w:tc>
          <w:tcPr>
            <w:tcW w:w="384" w:type="pct"/>
            <w:gridSpan w:val="2"/>
            <w:tcBorders>
              <w:left w:val="nil"/>
              <w:bottom w:val="single" w:sz="4" w:space="0" w:color="auto"/>
              <w:right w:val="nil"/>
            </w:tcBorders>
            <w:shd w:val="clear" w:color="auto" w:fill="auto"/>
            <w:noWrap/>
            <w:vAlign w:val="center"/>
          </w:tcPr>
          <w:p w14:paraId="5AD0DFBF" w14:textId="0AF13892" w:rsidR="004A532A" w:rsidRPr="00E65AA7" w:rsidRDefault="004A532A" w:rsidP="004A532A">
            <w:pPr>
              <w:jc w:val="center"/>
              <w:rPr>
                <w:color w:val="000000"/>
                <w:sz w:val="20"/>
                <w:szCs w:val="20"/>
              </w:rPr>
            </w:pPr>
            <w:r>
              <w:rPr>
                <w:color w:val="000000"/>
                <w:sz w:val="20"/>
                <w:szCs w:val="20"/>
              </w:rPr>
              <w:t>(7.12)</w:t>
            </w:r>
          </w:p>
        </w:tc>
        <w:tc>
          <w:tcPr>
            <w:tcW w:w="384" w:type="pct"/>
            <w:gridSpan w:val="2"/>
            <w:tcBorders>
              <w:left w:val="nil"/>
              <w:bottom w:val="single" w:sz="4" w:space="0" w:color="auto"/>
              <w:right w:val="nil"/>
            </w:tcBorders>
            <w:shd w:val="clear" w:color="auto" w:fill="auto"/>
            <w:noWrap/>
            <w:vAlign w:val="center"/>
          </w:tcPr>
          <w:p w14:paraId="1A24921C" w14:textId="0E99134D" w:rsidR="004A532A" w:rsidRPr="00E65AA7" w:rsidRDefault="004A532A" w:rsidP="004A532A">
            <w:pPr>
              <w:jc w:val="center"/>
              <w:rPr>
                <w:color w:val="000000"/>
                <w:sz w:val="20"/>
                <w:szCs w:val="20"/>
              </w:rPr>
            </w:pPr>
            <w:r>
              <w:rPr>
                <w:color w:val="000000"/>
                <w:sz w:val="20"/>
                <w:szCs w:val="20"/>
              </w:rPr>
              <w:t>(6.71)</w:t>
            </w:r>
          </w:p>
        </w:tc>
        <w:tc>
          <w:tcPr>
            <w:tcW w:w="384" w:type="pct"/>
            <w:gridSpan w:val="2"/>
            <w:tcBorders>
              <w:left w:val="nil"/>
              <w:bottom w:val="single" w:sz="4" w:space="0" w:color="auto"/>
              <w:right w:val="nil"/>
            </w:tcBorders>
            <w:shd w:val="clear" w:color="auto" w:fill="auto"/>
            <w:noWrap/>
            <w:vAlign w:val="center"/>
          </w:tcPr>
          <w:p w14:paraId="0805E8FC" w14:textId="7BAA3CB1" w:rsidR="004A532A" w:rsidRPr="00E65AA7" w:rsidRDefault="004A532A" w:rsidP="004A532A">
            <w:pPr>
              <w:jc w:val="center"/>
              <w:rPr>
                <w:color w:val="000000"/>
                <w:sz w:val="20"/>
                <w:szCs w:val="20"/>
              </w:rPr>
            </w:pPr>
            <w:r>
              <w:rPr>
                <w:color w:val="000000"/>
                <w:sz w:val="20"/>
                <w:szCs w:val="20"/>
              </w:rPr>
              <w:t>(6.3</w:t>
            </w:r>
            <w:r w:rsidR="001816CE">
              <w:rPr>
                <w:color w:val="000000"/>
                <w:sz w:val="20"/>
                <w:szCs w:val="20"/>
              </w:rPr>
              <w:t>0</w:t>
            </w:r>
            <w:r>
              <w:rPr>
                <w:color w:val="000000"/>
                <w:sz w:val="20"/>
                <w:szCs w:val="20"/>
              </w:rPr>
              <w:t>)</w:t>
            </w:r>
          </w:p>
        </w:tc>
        <w:tc>
          <w:tcPr>
            <w:tcW w:w="405" w:type="pct"/>
            <w:gridSpan w:val="2"/>
            <w:tcBorders>
              <w:left w:val="nil"/>
              <w:bottom w:val="single" w:sz="4" w:space="0" w:color="auto"/>
              <w:right w:val="nil"/>
            </w:tcBorders>
            <w:shd w:val="clear" w:color="auto" w:fill="auto"/>
            <w:noWrap/>
            <w:vAlign w:val="center"/>
          </w:tcPr>
          <w:p w14:paraId="65C7B07C" w14:textId="15678F87" w:rsidR="004A532A" w:rsidRPr="00E65AA7" w:rsidRDefault="004A532A" w:rsidP="004A532A">
            <w:pPr>
              <w:jc w:val="center"/>
              <w:rPr>
                <w:color w:val="000000"/>
                <w:sz w:val="20"/>
                <w:szCs w:val="20"/>
              </w:rPr>
            </w:pPr>
            <w:r>
              <w:rPr>
                <w:color w:val="000000"/>
                <w:sz w:val="20"/>
                <w:szCs w:val="20"/>
              </w:rPr>
              <w:t>(4.61)</w:t>
            </w:r>
          </w:p>
        </w:tc>
      </w:tr>
    </w:tbl>
    <w:p w14:paraId="322ECFD6" w14:textId="386E9830" w:rsidR="005F51C8" w:rsidRDefault="005F51C8" w:rsidP="005F51C8">
      <w:pPr>
        <w:rPr>
          <w:rFonts w:eastAsia="Times New Roman"/>
          <w:szCs w:val="20"/>
          <w:lang w:eastAsia="en-AU"/>
        </w:rPr>
      </w:pPr>
    </w:p>
    <w:tbl>
      <w:tblPr>
        <w:tblW w:w="5000" w:type="pct"/>
        <w:tblLook w:val="04A0" w:firstRow="1" w:lastRow="0" w:firstColumn="1" w:lastColumn="0" w:noHBand="0" w:noVBand="1"/>
      </w:tblPr>
      <w:tblGrid>
        <w:gridCol w:w="1157"/>
        <w:gridCol w:w="369"/>
        <w:gridCol w:w="735"/>
        <w:gridCol w:w="58"/>
        <w:gridCol w:w="1120"/>
        <w:gridCol w:w="58"/>
        <w:gridCol w:w="1124"/>
        <w:gridCol w:w="59"/>
        <w:gridCol w:w="1124"/>
        <w:gridCol w:w="59"/>
        <w:gridCol w:w="1124"/>
        <w:gridCol w:w="59"/>
        <w:gridCol w:w="1124"/>
        <w:gridCol w:w="59"/>
        <w:gridCol w:w="1124"/>
        <w:gridCol w:w="59"/>
        <w:gridCol w:w="1124"/>
        <w:gridCol w:w="59"/>
        <w:gridCol w:w="1124"/>
        <w:gridCol w:w="59"/>
        <w:gridCol w:w="1124"/>
        <w:gridCol w:w="59"/>
        <w:gridCol w:w="1124"/>
        <w:gridCol w:w="59"/>
        <w:gridCol w:w="1226"/>
        <w:gridCol w:w="28"/>
      </w:tblGrid>
      <w:tr w:rsidR="00C0313B" w:rsidRPr="00E65AA7" w14:paraId="293E8509" w14:textId="77777777" w:rsidTr="00614DBB">
        <w:trPr>
          <w:gridAfter w:val="1"/>
          <w:wAfter w:w="9" w:type="pct"/>
          <w:trHeight w:hRule="exact" w:val="255"/>
        </w:trPr>
        <w:tc>
          <w:tcPr>
            <w:tcW w:w="4991" w:type="pct"/>
            <w:gridSpan w:val="25"/>
            <w:tcBorders>
              <w:top w:val="single" w:sz="4" w:space="0" w:color="auto"/>
              <w:left w:val="nil"/>
              <w:bottom w:val="single" w:sz="4" w:space="0" w:color="auto"/>
              <w:right w:val="nil"/>
            </w:tcBorders>
            <w:shd w:val="clear" w:color="auto" w:fill="auto"/>
            <w:vAlign w:val="center"/>
          </w:tcPr>
          <w:p w14:paraId="752BB7FE" w14:textId="7C75A280" w:rsidR="00C0313B" w:rsidRPr="00E65AA7" w:rsidRDefault="00C0313B" w:rsidP="00F8573A">
            <w:pPr>
              <w:jc w:val="center"/>
              <w:rPr>
                <w:rFonts w:eastAsia="Times New Roman"/>
                <w:b/>
                <w:bCs/>
                <w:color w:val="000000"/>
                <w:sz w:val="20"/>
                <w:szCs w:val="20"/>
                <w:lang w:eastAsia="en-MY"/>
              </w:rPr>
            </w:pPr>
            <w:r>
              <w:rPr>
                <w:rFonts w:eastAsia="Times New Roman"/>
                <w:b/>
                <w:bCs/>
                <w:color w:val="000000"/>
                <w:sz w:val="20"/>
                <w:szCs w:val="20"/>
                <w:lang w:eastAsia="en-MY"/>
              </w:rPr>
              <w:t>Panel B: Value-</w:t>
            </w:r>
            <w:r w:rsidR="00566F4A">
              <w:rPr>
                <w:rFonts w:eastAsia="Times New Roman"/>
                <w:b/>
                <w:bCs/>
                <w:color w:val="000000"/>
                <w:sz w:val="20"/>
                <w:szCs w:val="20"/>
                <w:lang w:eastAsia="en-MY"/>
              </w:rPr>
              <w:t xml:space="preserve"> Weighted Monthly Returns Based on Daily Maximum Returns</w:t>
            </w:r>
          </w:p>
        </w:tc>
      </w:tr>
      <w:tr w:rsidR="00445430" w:rsidRPr="00E65AA7" w14:paraId="04BDDF1E" w14:textId="77777777" w:rsidTr="004A532A">
        <w:trPr>
          <w:gridAfter w:val="1"/>
          <w:wAfter w:w="9" w:type="pct"/>
          <w:trHeight w:hRule="exact" w:val="255"/>
        </w:trPr>
        <w:tc>
          <w:tcPr>
            <w:tcW w:w="376" w:type="pct"/>
            <w:tcBorders>
              <w:top w:val="single" w:sz="4" w:space="0" w:color="auto"/>
              <w:left w:val="nil"/>
              <w:bottom w:val="single" w:sz="4" w:space="0" w:color="auto"/>
              <w:right w:val="nil"/>
            </w:tcBorders>
            <w:shd w:val="clear" w:color="auto" w:fill="auto"/>
            <w:vAlign w:val="center"/>
          </w:tcPr>
          <w:p w14:paraId="5E826430" w14:textId="77777777" w:rsidR="00C0313B" w:rsidRPr="00E65AA7" w:rsidRDefault="00C0313B" w:rsidP="00F46D92">
            <w:pPr>
              <w:rPr>
                <w:rFonts w:eastAsia="Times New Roman"/>
                <w:b/>
                <w:bCs/>
                <w:color w:val="000000"/>
                <w:sz w:val="20"/>
                <w:szCs w:val="20"/>
                <w:lang w:eastAsia="en-MY"/>
              </w:rPr>
            </w:pPr>
            <w:r>
              <w:rPr>
                <w:rFonts w:eastAsia="Times New Roman"/>
                <w:b/>
                <w:bCs/>
                <w:color w:val="000000"/>
                <w:sz w:val="20"/>
                <w:szCs w:val="20"/>
                <w:lang w:eastAsia="en-MY"/>
              </w:rPr>
              <w:t>Sentiment</w:t>
            </w:r>
          </w:p>
        </w:tc>
        <w:tc>
          <w:tcPr>
            <w:tcW w:w="359" w:type="pct"/>
            <w:gridSpan w:val="2"/>
            <w:tcBorders>
              <w:top w:val="single" w:sz="4" w:space="0" w:color="auto"/>
              <w:left w:val="nil"/>
              <w:bottom w:val="single" w:sz="4" w:space="0" w:color="auto"/>
              <w:right w:val="nil"/>
            </w:tcBorders>
            <w:shd w:val="clear" w:color="auto" w:fill="auto"/>
            <w:vAlign w:val="center"/>
          </w:tcPr>
          <w:p w14:paraId="4B4A6EF0" w14:textId="77777777" w:rsidR="00C0313B" w:rsidRPr="00E65AA7" w:rsidRDefault="00C0313B" w:rsidP="00F8573A">
            <w:pPr>
              <w:jc w:val="center"/>
              <w:rPr>
                <w:rFonts w:eastAsia="Times New Roman"/>
                <w:b/>
                <w:bCs/>
                <w:color w:val="000000"/>
                <w:sz w:val="20"/>
                <w:szCs w:val="20"/>
                <w:lang w:eastAsia="en-MY"/>
              </w:rPr>
            </w:pPr>
            <w:r>
              <w:rPr>
                <w:rFonts w:eastAsia="Times New Roman"/>
                <w:b/>
                <w:bCs/>
                <w:color w:val="000000"/>
                <w:sz w:val="20"/>
                <w:szCs w:val="20"/>
                <w:lang w:eastAsia="en-MY"/>
              </w:rPr>
              <w:t>N</w:t>
            </w:r>
          </w:p>
        </w:tc>
        <w:tc>
          <w:tcPr>
            <w:tcW w:w="383" w:type="pct"/>
            <w:gridSpan w:val="2"/>
            <w:tcBorders>
              <w:top w:val="single" w:sz="4" w:space="0" w:color="auto"/>
              <w:left w:val="nil"/>
              <w:bottom w:val="single" w:sz="4" w:space="0" w:color="auto"/>
              <w:right w:val="nil"/>
            </w:tcBorders>
            <w:shd w:val="clear" w:color="auto" w:fill="auto"/>
            <w:vAlign w:val="center"/>
            <w:hideMark/>
          </w:tcPr>
          <w:p w14:paraId="018EBD71"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84" w:type="pct"/>
            <w:gridSpan w:val="2"/>
            <w:tcBorders>
              <w:top w:val="single" w:sz="4" w:space="0" w:color="auto"/>
              <w:left w:val="nil"/>
              <w:bottom w:val="single" w:sz="4" w:space="0" w:color="auto"/>
              <w:right w:val="nil"/>
            </w:tcBorders>
            <w:shd w:val="clear" w:color="auto" w:fill="auto"/>
            <w:vAlign w:val="center"/>
            <w:hideMark/>
          </w:tcPr>
          <w:p w14:paraId="5C0639C4"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84" w:type="pct"/>
            <w:gridSpan w:val="2"/>
            <w:tcBorders>
              <w:top w:val="single" w:sz="4" w:space="0" w:color="auto"/>
              <w:left w:val="nil"/>
              <w:bottom w:val="single" w:sz="4" w:space="0" w:color="auto"/>
              <w:right w:val="nil"/>
            </w:tcBorders>
            <w:shd w:val="clear" w:color="auto" w:fill="auto"/>
            <w:vAlign w:val="center"/>
            <w:hideMark/>
          </w:tcPr>
          <w:p w14:paraId="75E30A5D"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84" w:type="pct"/>
            <w:gridSpan w:val="2"/>
            <w:tcBorders>
              <w:top w:val="single" w:sz="4" w:space="0" w:color="auto"/>
              <w:left w:val="nil"/>
              <w:bottom w:val="single" w:sz="4" w:space="0" w:color="auto"/>
              <w:right w:val="nil"/>
            </w:tcBorders>
            <w:shd w:val="clear" w:color="auto" w:fill="auto"/>
            <w:vAlign w:val="center"/>
            <w:hideMark/>
          </w:tcPr>
          <w:p w14:paraId="22118840"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84" w:type="pct"/>
            <w:gridSpan w:val="2"/>
            <w:tcBorders>
              <w:top w:val="single" w:sz="4" w:space="0" w:color="auto"/>
              <w:left w:val="nil"/>
              <w:bottom w:val="single" w:sz="4" w:space="0" w:color="auto"/>
              <w:right w:val="nil"/>
            </w:tcBorders>
            <w:shd w:val="clear" w:color="auto" w:fill="auto"/>
            <w:vAlign w:val="center"/>
            <w:hideMark/>
          </w:tcPr>
          <w:p w14:paraId="15A4B979"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84" w:type="pct"/>
            <w:gridSpan w:val="2"/>
            <w:tcBorders>
              <w:top w:val="single" w:sz="4" w:space="0" w:color="auto"/>
              <w:left w:val="nil"/>
              <w:bottom w:val="single" w:sz="4" w:space="0" w:color="auto"/>
              <w:right w:val="nil"/>
            </w:tcBorders>
            <w:shd w:val="clear" w:color="auto" w:fill="auto"/>
            <w:vAlign w:val="center"/>
            <w:hideMark/>
          </w:tcPr>
          <w:p w14:paraId="6B6C0F9A"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84" w:type="pct"/>
            <w:gridSpan w:val="2"/>
            <w:tcBorders>
              <w:top w:val="single" w:sz="4" w:space="0" w:color="auto"/>
              <w:left w:val="nil"/>
              <w:bottom w:val="single" w:sz="4" w:space="0" w:color="auto"/>
              <w:right w:val="nil"/>
            </w:tcBorders>
            <w:shd w:val="clear" w:color="auto" w:fill="auto"/>
            <w:vAlign w:val="center"/>
            <w:hideMark/>
          </w:tcPr>
          <w:p w14:paraId="2B9F6D13"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84" w:type="pct"/>
            <w:gridSpan w:val="2"/>
            <w:tcBorders>
              <w:top w:val="single" w:sz="4" w:space="0" w:color="auto"/>
              <w:left w:val="nil"/>
              <w:bottom w:val="single" w:sz="4" w:space="0" w:color="auto"/>
              <w:right w:val="nil"/>
            </w:tcBorders>
            <w:shd w:val="clear" w:color="auto" w:fill="auto"/>
            <w:vAlign w:val="center"/>
            <w:hideMark/>
          </w:tcPr>
          <w:p w14:paraId="1E283B8F"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84" w:type="pct"/>
            <w:gridSpan w:val="2"/>
            <w:tcBorders>
              <w:top w:val="single" w:sz="4" w:space="0" w:color="auto"/>
              <w:left w:val="nil"/>
              <w:bottom w:val="single" w:sz="4" w:space="0" w:color="auto"/>
              <w:right w:val="nil"/>
            </w:tcBorders>
            <w:shd w:val="clear" w:color="auto" w:fill="auto"/>
            <w:vAlign w:val="center"/>
            <w:hideMark/>
          </w:tcPr>
          <w:p w14:paraId="0881A5A2"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84" w:type="pct"/>
            <w:gridSpan w:val="2"/>
            <w:tcBorders>
              <w:top w:val="single" w:sz="4" w:space="0" w:color="auto"/>
              <w:left w:val="nil"/>
              <w:bottom w:val="single" w:sz="4" w:space="0" w:color="auto"/>
              <w:right w:val="nil"/>
            </w:tcBorders>
            <w:shd w:val="clear" w:color="auto" w:fill="auto"/>
            <w:vAlign w:val="center"/>
            <w:hideMark/>
          </w:tcPr>
          <w:p w14:paraId="70BBF2AB" w14:textId="77777777"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416" w:type="pct"/>
            <w:gridSpan w:val="2"/>
            <w:tcBorders>
              <w:top w:val="single" w:sz="4" w:space="0" w:color="auto"/>
              <w:left w:val="nil"/>
              <w:bottom w:val="single" w:sz="4" w:space="0" w:color="auto"/>
              <w:right w:val="nil"/>
            </w:tcBorders>
            <w:shd w:val="clear" w:color="auto" w:fill="auto"/>
            <w:vAlign w:val="center"/>
            <w:hideMark/>
          </w:tcPr>
          <w:p w14:paraId="75597A83" w14:textId="73A622C0" w:rsidR="00C0313B" w:rsidRPr="00E65AA7" w:rsidRDefault="00C0313B" w:rsidP="00F8573A">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sidR="00AF6ECC">
              <w:rPr>
                <w:rFonts w:eastAsia="Times New Roman"/>
                <w:b/>
                <w:bCs/>
                <w:color w:val="000000"/>
                <w:sz w:val="20"/>
                <w:szCs w:val="20"/>
                <w:lang w:eastAsia="en-MY"/>
              </w:rPr>
              <w:t>0</w:t>
            </w:r>
            <w:r w:rsidRPr="00E65AA7">
              <w:rPr>
                <w:rFonts w:eastAsia="Times New Roman"/>
                <w:b/>
                <w:bCs/>
                <w:color w:val="000000"/>
                <w:sz w:val="20"/>
                <w:szCs w:val="20"/>
                <w:lang w:eastAsia="en-MY"/>
              </w:rPr>
              <w:t>-P1</w:t>
            </w:r>
          </w:p>
        </w:tc>
      </w:tr>
      <w:tr w:rsidR="004A532A" w:rsidRPr="00E65AA7" w14:paraId="42D5156F" w14:textId="77777777" w:rsidTr="004A532A">
        <w:trPr>
          <w:trHeight w:hRule="exact" w:val="255"/>
        </w:trPr>
        <w:tc>
          <w:tcPr>
            <w:tcW w:w="496" w:type="pct"/>
            <w:gridSpan w:val="2"/>
            <w:vMerge w:val="restart"/>
            <w:tcBorders>
              <w:top w:val="single" w:sz="4" w:space="0" w:color="auto"/>
              <w:left w:val="nil"/>
              <w:bottom w:val="nil"/>
              <w:right w:val="nil"/>
            </w:tcBorders>
            <w:shd w:val="clear" w:color="auto" w:fill="auto"/>
            <w:vAlign w:val="center"/>
            <w:hideMark/>
          </w:tcPr>
          <w:p w14:paraId="03252831"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8" w:type="pct"/>
            <w:gridSpan w:val="2"/>
            <w:vMerge w:val="restart"/>
            <w:tcBorders>
              <w:top w:val="single" w:sz="4" w:space="0" w:color="auto"/>
              <w:left w:val="nil"/>
              <w:right w:val="nil"/>
            </w:tcBorders>
            <w:vAlign w:val="center"/>
          </w:tcPr>
          <w:p w14:paraId="43838C4F" w14:textId="2D5BE53D"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152</w:t>
            </w:r>
          </w:p>
        </w:tc>
        <w:tc>
          <w:tcPr>
            <w:tcW w:w="383" w:type="pct"/>
            <w:gridSpan w:val="2"/>
            <w:tcBorders>
              <w:top w:val="single" w:sz="4" w:space="0" w:color="auto"/>
              <w:left w:val="nil"/>
              <w:bottom w:val="nil"/>
              <w:right w:val="nil"/>
            </w:tcBorders>
            <w:shd w:val="clear" w:color="auto" w:fill="auto"/>
            <w:noWrap/>
            <w:vAlign w:val="center"/>
            <w:hideMark/>
          </w:tcPr>
          <w:p w14:paraId="28AA887F" w14:textId="02297612" w:rsidR="004A532A" w:rsidRPr="00E65AA7" w:rsidRDefault="004A532A" w:rsidP="004A532A">
            <w:pPr>
              <w:jc w:val="center"/>
              <w:rPr>
                <w:color w:val="000000"/>
                <w:sz w:val="20"/>
                <w:szCs w:val="20"/>
              </w:rPr>
            </w:pPr>
            <w:r>
              <w:rPr>
                <w:color w:val="000000"/>
                <w:sz w:val="20"/>
                <w:szCs w:val="20"/>
              </w:rPr>
              <w:t>1.33</w:t>
            </w:r>
          </w:p>
        </w:tc>
        <w:tc>
          <w:tcPr>
            <w:tcW w:w="384" w:type="pct"/>
            <w:gridSpan w:val="2"/>
            <w:tcBorders>
              <w:top w:val="single" w:sz="4" w:space="0" w:color="auto"/>
              <w:left w:val="nil"/>
              <w:bottom w:val="nil"/>
              <w:right w:val="nil"/>
            </w:tcBorders>
            <w:shd w:val="clear" w:color="auto" w:fill="auto"/>
            <w:noWrap/>
            <w:vAlign w:val="center"/>
            <w:hideMark/>
          </w:tcPr>
          <w:p w14:paraId="314339CB" w14:textId="0FFF6FF1" w:rsidR="004A532A" w:rsidRPr="00E65AA7" w:rsidRDefault="004A532A" w:rsidP="004A532A">
            <w:pPr>
              <w:jc w:val="center"/>
              <w:rPr>
                <w:color w:val="000000"/>
                <w:sz w:val="20"/>
                <w:szCs w:val="20"/>
              </w:rPr>
            </w:pPr>
            <w:r>
              <w:rPr>
                <w:color w:val="000000"/>
                <w:sz w:val="20"/>
                <w:szCs w:val="20"/>
              </w:rPr>
              <w:t>1.57</w:t>
            </w:r>
          </w:p>
        </w:tc>
        <w:tc>
          <w:tcPr>
            <w:tcW w:w="384" w:type="pct"/>
            <w:gridSpan w:val="2"/>
            <w:tcBorders>
              <w:top w:val="single" w:sz="4" w:space="0" w:color="auto"/>
              <w:left w:val="nil"/>
              <w:bottom w:val="nil"/>
              <w:right w:val="nil"/>
            </w:tcBorders>
            <w:shd w:val="clear" w:color="auto" w:fill="auto"/>
            <w:noWrap/>
            <w:vAlign w:val="center"/>
            <w:hideMark/>
          </w:tcPr>
          <w:p w14:paraId="7B0CE96C" w14:textId="337E11A4" w:rsidR="004A532A" w:rsidRPr="00E65AA7" w:rsidRDefault="004A532A" w:rsidP="004A532A">
            <w:pPr>
              <w:jc w:val="center"/>
              <w:rPr>
                <w:color w:val="000000"/>
                <w:sz w:val="20"/>
                <w:szCs w:val="20"/>
              </w:rPr>
            </w:pPr>
            <w:r>
              <w:rPr>
                <w:color w:val="000000"/>
                <w:sz w:val="20"/>
                <w:szCs w:val="20"/>
              </w:rPr>
              <w:t>1.78</w:t>
            </w:r>
          </w:p>
        </w:tc>
        <w:tc>
          <w:tcPr>
            <w:tcW w:w="384" w:type="pct"/>
            <w:gridSpan w:val="2"/>
            <w:tcBorders>
              <w:top w:val="single" w:sz="4" w:space="0" w:color="auto"/>
              <w:left w:val="nil"/>
              <w:bottom w:val="nil"/>
              <w:right w:val="nil"/>
            </w:tcBorders>
            <w:shd w:val="clear" w:color="auto" w:fill="auto"/>
            <w:noWrap/>
            <w:vAlign w:val="center"/>
            <w:hideMark/>
          </w:tcPr>
          <w:p w14:paraId="3963DBC8" w14:textId="3620E465" w:rsidR="004A532A" w:rsidRPr="00E65AA7" w:rsidRDefault="004A532A" w:rsidP="004A532A">
            <w:pPr>
              <w:jc w:val="center"/>
              <w:rPr>
                <w:color w:val="000000"/>
                <w:sz w:val="20"/>
                <w:szCs w:val="20"/>
              </w:rPr>
            </w:pPr>
            <w:r>
              <w:rPr>
                <w:color w:val="000000"/>
                <w:sz w:val="20"/>
                <w:szCs w:val="20"/>
              </w:rPr>
              <w:t>2.10</w:t>
            </w:r>
          </w:p>
        </w:tc>
        <w:tc>
          <w:tcPr>
            <w:tcW w:w="384" w:type="pct"/>
            <w:gridSpan w:val="2"/>
            <w:tcBorders>
              <w:top w:val="single" w:sz="4" w:space="0" w:color="auto"/>
              <w:left w:val="nil"/>
              <w:bottom w:val="nil"/>
              <w:right w:val="nil"/>
            </w:tcBorders>
            <w:shd w:val="clear" w:color="auto" w:fill="auto"/>
            <w:noWrap/>
            <w:vAlign w:val="center"/>
            <w:hideMark/>
          </w:tcPr>
          <w:p w14:paraId="46F351C3" w14:textId="011F9478" w:rsidR="004A532A" w:rsidRPr="00E65AA7" w:rsidRDefault="004A532A" w:rsidP="004A532A">
            <w:pPr>
              <w:jc w:val="center"/>
              <w:rPr>
                <w:color w:val="000000"/>
                <w:sz w:val="20"/>
                <w:szCs w:val="20"/>
              </w:rPr>
            </w:pPr>
            <w:r>
              <w:rPr>
                <w:color w:val="000000"/>
                <w:sz w:val="20"/>
                <w:szCs w:val="20"/>
              </w:rPr>
              <w:t>2.24</w:t>
            </w:r>
          </w:p>
        </w:tc>
        <w:tc>
          <w:tcPr>
            <w:tcW w:w="384" w:type="pct"/>
            <w:gridSpan w:val="2"/>
            <w:tcBorders>
              <w:top w:val="single" w:sz="4" w:space="0" w:color="auto"/>
              <w:left w:val="nil"/>
              <w:bottom w:val="nil"/>
              <w:right w:val="nil"/>
            </w:tcBorders>
            <w:shd w:val="clear" w:color="auto" w:fill="auto"/>
            <w:noWrap/>
            <w:vAlign w:val="center"/>
            <w:hideMark/>
          </w:tcPr>
          <w:p w14:paraId="7F9471F7" w14:textId="2060F52C" w:rsidR="004A532A" w:rsidRPr="00E65AA7" w:rsidRDefault="004A532A" w:rsidP="004A532A">
            <w:pPr>
              <w:jc w:val="center"/>
              <w:rPr>
                <w:color w:val="000000"/>
                <w:sz w:val="20"/>
                <w:szCs w:val="20"/>
              </w:rPr>
            </w:pPr>
            <w:r>
              <w:rPr>
                <w:color w:val="000000"/>
                <w:sz w:val="20"/>
                <w:szCs w:val="20"/>
              </w:rPr>
              <w:t>2.56</w:t>
            </w:r>
          </w:p>
        </w:tc>
        <w:tc>
          <w:tcPr>
            <w:tcW w:w="384" w:type="pct"/>
            <w:gridSpan w:val="2"/>
            <w:tcBorders>
              <w:top w:val="single" w:sz="4" w:space="0" w:color="auto"/>
              <w:left w:val="nil"/>
              <w:bottom w:val="nil"/>
              <w:right w:val="nil"/>
            </w:tcBorders>
            <w:shd w:val="clear" w:color="auto" w:fill="auto"/>
            <w:noWrap/>
            <w:vAlign w:val="center"/>
            <w:hideMark/>
          </w:tcPr>
          <w:p w14:paraId="7CE4FF8C" w14:textId="1D7BA77D" w:rsidR="004A532A" w:rsidRPr="00E65AA7" w:rsidRDefault="004A532A" w:rsidP="004A532A">
            <w:pPr>
              <w:jc w:val="center"/>
              <w:rPr>
                <w:color w:val="000000"/>
                <w:sz w:val="20"/>
                <w:szCs w:val="20"/>
              </w:rPr>
            </w:pPr>
            <w:r>
              <w:rPr>
                <w:color w:val="000000"/>
                <w:sz w:val="20"/>
                <w:szCs w:val="20"/>
              </w:rPr>
              <w:t>2.80</w:t>
            </w:r>
          </w:p>
        </w:tc>
        <w:tc>
          <w:tcPr>
            <w:tcW w:w="384" w:type="pct"/>
            <w:gridSpan w:val="2"/>
            <w:tcBorders>
              <w:top w:val="single" w:sz="4" w:space="0" w:color="auto"/>
              <w:left w:val="nil"/>
              <w:bottom w:val="nil"/>
              <w:right w:val="nil"/>
            </w:tcBorders>
            <w:shd w:val="clear" w:color="auto" w:fill="auto"/>
            <w:noWrap/>
            <w:vAlign w:val="center"/>
            <w:hideMark/>
          </w:tcPr>
          <w:p w14:paraId="782C9092" w14:textId="2D681BEF" w:rsidR="004A532A" w:rsidRPr="00E65AA7" w:rsidRDefault="004A532A" w:rsidP="004A532A">
            <w:pPr>
              <w:jc w:val="center"/>
              <w:rPr>
                <w:color w:val="000000"/>
                <w:sz w:val="20"/>
                <w:szCs w:val="20"/>
              </w:rPr>
            </w:pPr>
            <w:r>
              <w:rPr>
                <w:color w:val="000000"/>
                <w:sz w:val="20"/>
                <w:szCs w:val="20"/>
              </w:rPr>
              <w:t>2.62</w:t>
            </w:r>
          </w:p>
        </w:tc>
        <w:tc>
          <w:tcPr>
            <w:tcW w:w="384" w:type="pct"/>
            <w:gridSpan w:val="2"/>
            <w:tcBorders>
              <w:top w:val="single" w:sz="4" w:space="0" w:color="auto"/>
              <w:left w:val="nil"/>
              <w:bottom w:val="nil"/>
              <w:right w:val="nil"/>
            </w:tcBorders>
            <w:shd w:val="clear" w:color="auto" w:fill="auto"/>
            <w:noWrap/>
            <w:vAlign w:val="center"/>
            <w:hideMark/>
          </w:tcPr>
          <w:p w14:paraId="60B334D6" w14:textId="5B776F0B" w:rsidR="004A532A" w:rsidRPr="00E65AA7" w:rsidRDefault="004A532A" w:rsidP="004A532A">
            <w:pPr>
              <w:jc w:val="center"/>
              <w:rPr>
                <w:color w:val="000000"/>
                <w:sz w:val="20"/>
                <w:szCs w:val="20"/>
              </w:rPr>
            </w:pPr>
            <w:r>
              <w:rPr>
                <w:color w:val="000000"/>
                <w:sz w:val="20"/>
                <w:szCs w:val="20"/>
              </w:rPr>
              <w:t>2.65</w:t>
            </w:r>
          </w:p>
        </w:tc>
        <w:tc>
          <w:tcPr>
            <w:tcW w:w="384" w:type="pct"/>
            <w:gridSpan w:val="2"/>
            <w:tcBorders>
              <w:top w:val="single" w:sz="4" w:space="0" w:color="auto"/>
              <w:left w:val="nil"/>
              <w:bottom w:val="nil"/>
              <w:right w:val="nil"/>
            </w:tcBorders>
            <w:shd w:val="clear" w:color="auto" w:fill="auto"/>
            <w:noWrap/>
            <w:vAlign w:val="center"/>
            <w:hideMark/>
          </w:tcPr>
          <w:p w14:paraId="55FEE310" w14:textId="65BF0502" w:rsidR="004A532A" w:rsidRPr="00E65AA7" w:rsidRDefault="004A532A" w:rsidP="004A532A">
            <w:pPr>
              <w:jc w:val="center"/>
              <w:rPr>
                <w:color w:val="000000"/>
                <w:sz w:val="20"/>
                <w:szCs w:val="20"/>
              </w:rPr>
            </w:pPr>
            <w:r>
              <w:rPr>
                <w:color w:val="000000"/>
                <w:sz w:val="20"/>
                <w:szCs w:val="20"/>
              </w:rPr>
              <w:t>2.14</w:t>
            </w:r>
          </w:p>
        </w:tc>
        <w:tc>
          <w:tcPr>
            <w:tcW w:w="405" w:type="pct"/>
            <w:gridSpan w:val="2"/>
            <w:tcBorders>
              <w:top w:val="single" w:sz="4" w:space="0" w:color="auto"/>
              <w:left w:val="nil"/>
              <w:bottom w:val="nil"/>
              <w:right w:val="nil"/>
            </w:tcBorders>
            <w:shd w:val="clear" w:color="auto" w:fill="auto"/>
            <w:noWrap/>
            <w:vAlign w:val="center"/>
            <w:hideMark/>
          </w:tcPr>
          <w:p w14:paraId="2E59B72D" w14:textId="0741E6F7" w:rsidR="004A532A" w:rsidRPr="00E65AA7" w:rsidRDefault="004A532A" w:rsidP="004A532A">
            <w:pPr>
              <w:jc w:val="center"/>
              <w:rPr>
                <w:color w:val="000000"/>
                <w:sz w:val="20"/>
                <w:szCs w:val="20"/>
              </w:rPr>
            </w:pPr>
            <w:r>
              <w:rPr>
                <w:color w:val="000000"/>
                <w:sz w:val="20"/>
                <w:szCs w:val="20"/>
              </w:rPr>
              <w:t>0.81</w:t>
            </w:r>
          </w:p>
        </w:tc>
      </w:tr>
      <w:tr w:rsidR="004A532A" w:rsidRPr="00E65AA7" w14:paraId="17FB30B3" w14:textId="77777777" w:rsidTr="004A532A">
        <w:trPr>
          <w:trHeight w:hRule="exact" w:val="255"/>
        </w:trPr>
        <w:tc>
          <w:tcPr>
            <w:tcW w:w="496" w:type="pct"/>
            <w:gridSpan w:val="2"/>
            <w:vMerge/>
            <w:tcBorders>
              <w:top w:val="nil"/>
              <w:left w:val="nil"/>
              <w:bottom w:val="nil"/>
              <w:right w:val="nil"/>
            </w:tcBorders>
            <w:vAlign w:val="center"/>
            <w:hideMark/>
          </w:tcPr>
          <w:p w14:paraId="03A4263C" w14:textId="77777777" w:rsidR="004A532A" w:rsidRPr="00E65AA7" w:rsidRDefault="004A532A" w:rsidP="004A532A">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4B5B7648" w14:textId="77777777" w:rsidR="004A532A" w:rsidRPr="00E65AA7" w:rsidRDefault="004A532A" w:rsidP="004A532A">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0ED581A0" w14:textId="4EF129E9" w:rsidR="004A532A" w:rsidRPr="00E65AA7" w:rsidRDefault="004A532A" w:rsidP="004A532A">
            <w:pPr>
              <w:jc w:val="center"/>
              <w:rPr>
                <w:color w:val="000000"/>
                <w:sz w:val="20"/>
                <w:szCs w:val="20"/>
              </w:rPr>
            </w:pPr>
            <w:r>
              <w:rPr>
                <w:color w:val="000000"/>
                <w:sz w:val="20"/>
                <w:szCs w:val="20"/>
              </w:rPr>
              <w:t>(5.22)</w:t>
            </w:r>
          </w:p>
        </w:tc>
        <w:tc>
          <w:tcPr>
            <w:tcW w:w="384" w:type="pct"/>
            <w:gridSpan w:val="2"/>
            <w:tcBorders>
              <w:top w:val="nil"/>
              <w:left w:val="nil"/>
              <w:bottom w:val="nil"/>
              <w:right w:val="nil"/>
            </w:tcBorders>
            <w:shd w:val="clear" w:color="auto" w:fill="auto"/>
            <w:noWrap/>
            <w:vAlign w:val="center"/>
            <w:hideMark/>
          </w:tcPr>
          <w:p w14:paraId="2FDA85F5" w14:textId="319FBB2B" w:rsidR="004A532A" w:rsidRPr="00E65AA7" w:rsidRDefault="004A532A" w:rsidP="004A532A">
            <w:pPr>
              <w:jc w:val="center"/>
              <w:rPr>
                <w:color w:val="000000"/>
                <w:sz w:val="20"/>
                <w:szCs w:val="20"/>
              </w:rPr>
            </w:pPr>
            <w:r>
              <w:rPr>
                <w:color w:val="000000"/>
                <w:sz w:val="20"/>
                <w:szCs w:val="20"/>
              </w:rPr>
              <w:t>(5.38)</w:t>
            </w:r>
          </w:p>
        </w:tc>
        <w:tc>
          <w:tcPr>
            <w:tcW w:w="384" w:type="pct"/>
            <w:gridSpan w:val="2"/>
            <w:tcBorders>
              <w:top w:val="nil"/>
              <w:left w:val="nil"/>
              <w:bottom w:val="nil"/>
              <w:right w:val="nil"/>
            </w:tcBorders>
            <w:shd w:val="clear" w:color="auto" w:fill="auto"/>
            <w:noWrap/>
            <w:vAlign w:val="center"/>
            <w:hideMark/>
          </w:tcPr>
          <w:p w14:paraId="6D51CFA2" w14:textId="325A84FA" w:rsidR="004A532A" w:rsidRPr="00E65AA7" w:rsidRDefault="004A532A" w:rsidP="004A532A">
            <w:pPr>
              <w:jc w:val="center"/>
              <w:rPr>
                <w:color w:val="000000"/>
                <w:sz w:val="20"/>
                <w:szCs w:val="20"/>
              </w:rPr>
            </w:pPr>
            <w:r>
              <w:rPr>
                <w:color w:val="000000"/>
                <w:sz w:val="20"/>
                <w:szCs w:val="20"/>
              </w:rPr>
              <w:t>(5.75)</w:t>
            </w:r>
          </w:p>
        </w:tc>
        <w:tc>
          <w:tcPr>
            <w:tcW w:w="384" w:type="pct"/>
            <w:gridSpan w:val="2"/>
            <w:tcBorders>
              <w:top w:val="nil"/>
              <w:left w:val="nil"/>
              <w:bottom w:val="nil"/>
              <w:right w:val="nil"/>
            </w:tcBorders>
            <w:shd w:val="clear" w:color="auto" w:fill="auto"/>
            <w:noWrap/>
            <w:vAlign w:val="center"/>
            <w:hideMark/>
          </w:tcPr>
          <w:p w14:paraId="76976C90" w14:textId="4C2660D3" w:rsidR="004A532A" w:rsidRPr="00E65AA7" w:rsidRDefault="004A532A" w:rsidP="004A532A">
            <w:pPr>
              <w:jc w:val="center"/>
              <w:rPr>
                <w:color w:val="000000"/>
                <w:sz w:val="20"/>
                <w:szCs w:val="20"/>
              </w:rPr>
            </w:pPr>
            <w:r>
              <w:rPr>
                <w:color w:val="000000"/>
                <w:sz w:val="20"/>
                <w:szCs w:val="20"/>
              </w:rPr>
              <w:t>(5.84)</w:t>
            </w:r>
          </w:p>
        </w:tc>
        <w:tc>
          <w:tcPr>
            <w:tcW w:w="384" w:type="pct"/>
            <w:gridSpan w:val="2"/>
            <w:tcBorders>
              <w:top w:val="nil"/>
              <w:left w:val="nil"/>
              <w:bottom w:val="nil"/>
              <w:right w:val="nil"/>
            </w:tcBorders>
            <w:shd w:val="clear" w:color="auto" w:fill="auto"/>
            <w:noWrap/>
            <w:vAlign w:val="center"/>
            <w:hideMark/>
          </w:tcPr>
          <w:p w14:paraId="2A2CD41D" w14:textId="5596CEBC" w:rsidR="004A532A" w:rsidRPr="00E65AA7" w:rsidRDefault="004A532A" w:rsidP="004A532A">
            <w:pPr>
              <w:jc w:val="center"/>
              <w:rPr>
                <w:color w:val="000000"/>
                <w:sz w:val="20"/>
                <w:szCs w:val="20"/>
              </w:rPr>
            </w:pPr>
            <w:r>
              <w:rPr>
                <w:color w:val="000000"/>
                <w:sz w:val="20"/>
                <w:szCs w:val="20"/>
              </w:rPr>
              <w:t>(5.87)</w:t>
            </w:r>
          </w:p>
        </w:tc>
        <w:tc>
          <w:tcPr>
            <w:tcW w:w="384" w:type="pct"/>
            <w:gridSpan w:val="2"/>
            <w:tcBorders>
              <w:top w:val="nil"/>
              <w:left w:val="nil"/>
              <w:bottom w:val="nil"/>
              <w:right w:val="nil"/>
            </w:tcBorders>
            <w:shd w:val="clear" w:color="auto" w:fill="auto"/>
            <w:noWrap/>
            <w:vAlign w:val="center"/>
            <w:hideMark/>
          </w:tcPr>
          <w:p w14:paraId="14D2237F" w14:textId="4C29F313" w:rsidR="004A532A" w:rsidRPr="00E65AA7" w:rsidRDefault="004A532A" w:rsidP="004A532A">
            <w:pPr>
              <w:jc w:val="center"/>
              <w:rPr>
                <w:color w:val="000000"/>
                <w:sz w:val="20"/>
                <w:szCs w:val="20"/>
              </w:rPr>
            </w:pPr>
            <w:r>
              <w:rPr>
                <w:color w:val="000000"/>
                <w:sz w:val="20"/>
                <w:szCs w:val="20"/>
              </w:rPr>
              <w:t>(6.14)</w:t>
            </w:r>
          </w:p>
        </w:tc>
        <w:tc>
          <w:tcPr>
            <w:tcW w:w="384" w:type="pct"/>
            <w:gridSpan w:val="2"/>
            <w:tcBorders>
              <w:top w:val="nil"/>
              <w:left w:val="nil"/>
              <w:bottom w:val="nil"/>
              <w:right w:val="nil"/>
            </w:tcBorders>
            <w:shd w:val="clear" w:color="auto" w:fill="auto"/>
            <w:noWrap/>
            <w:vAlign w:val="center"/>
            <w:hideMark/>
          </w:tcPr>
          <w:p w14:paraId="5CA87323" w14:textId="58156EE2" w:rsidR="004A532A" w:rsidRPr="00E65AA7" w:rsidRDefault="004A532A" w:rsidP="004A532A">
            <w:pPr>
              <w:jc w:val="center"/>
              <w:rPr>
                <w:color w:val="000000"/>
                <w:sz w:val="20"/>
                <w:szCs w:val="20"/>
              </w:rPr>
            </w:pPr>
            <w:r>
              <w:rPr>
                <w:color w:val="000000"/>
                <w:sz w:val="20"/>
                <w:szCs w:val="20"/>
              </w:rPr>
              <w:t>(5.79)</w:t>
            </w:r>
          </w:p>
        </w:tc>
        <w:tc>
          <w:tcPr>
            <w:tcW w:w="384" w:type="pct"/>
            <w:gridSpan w:val="2"/>
            <w:tcBorders>
              <w:top w:val="nil"/>
              <w:left w:val="nil"/>
              <w:bottom w:val="nil"/>
              <w:right w:val="nil"/>
            </w:tcBorders>
            <w:shd w:val="clear" w:color="auto" w:fill="auto"/>
            <w:noWrap/>
            <w:vAlign w:val="center"/>
            <w:hideMark/>
          </w:tcPr>
          <w:p w14:paraId="4555E1CD" w14:textId="777F550E" w:rsidR="004A532A" w:rsidRPr="00E65AA7" w:rsidRDefault="004A532A" w:rsidP="004A532A">
            <w:pPr>
              <w:jc w:val="center"/>
              <w:rPr>
                <w:color w:val="000000"/>
                <w:sz w:val="20"/>
                <w:szCs w:val="20"/>
              </w:rPr>
            </w:pPr>
            <w:r>
              <w:rPr>
                <w:color w:val="000000"/>
                <w:sz w:val="20"/>
                <w:szCs w:val="20"/>
              </w:rPr>
              <w:t>(5.34)</w:t>
            </w:r>
          </w:p>
        </w:tc>
        <w:tc>
          <w:tcPr>
            <w:tcW w:w="384" w:type="pct"/>
            <w:gridSpan w:val="2"/>
            <w:tcBorders>
              <w:top w:val="nil"/>
              <w:left w:val="nil"/>
              <w:bottom w:val="nil"/>
              <w:right w:val="nil"/>
            </w:tcBorders>
            <w:shd w:val="clear" w:color="auto" w:fill="auto"/>
            <w:noWrap/>
            <w:vAlign w:val="center"/>
            <w:hideMark/>
          </w:tcPr>
          <w:p w14:paraId="0AC45862" w14:textId="6A9216D2" w:rsidR="004A532A" w:rsidRPr="00E65AA7" w:rsidRDefault="004A532A" w:rsidP="004A532A">
            <w:pPr>
              <w:jc w:val="center"/>
              <w:rPr>
                <w:color w:val="000000"/>
                <w:sz w:val="20"/>
                <w:szCs w:val="20"/>
              </w:rPr>
            </w:pPr>
            <w:r>
              <w:rPr>
                <w:color w:val="000000"/>
                <w:sz w:val="20"/>
                <w:szCs w:val="20"/>
              </w:rPr>
              <w:t>(4.75)</w:t>
            </w:r>
          </w:p>
        </w:tc>
        <w:tc>
          <w:tcPr>
            <w:tcW w:w="384" w:type="pct"/>
            <w:gridSpan w:val="2"/>
            <w:tcBorders>
              <w:top w:val="nil"/>
              <w:left w:val="nil"/>
              <w:bottom w:val="nil"/>
              <w:right w:val="nil"/>
            </w:tcBorders>
            <w:shd w:val="clear" w:color="auto" w:fill="auto"/>
            <w:noWrap/>
            <w:vAlign w:val="center"/>
            <w:hideMark/>
          </w:tcPr>
          <w:p w14:paraId="297F5216" w14:textId="02ACEC9C" w:rsidR="004A532A" w:rsidRPr="00E65AA7" w:rsidRDefault="004A532A" w:rsidP="004A532A">
            <w:pPr>
              <w:jc w:val="center"/>
              <w:rPr>
                <w:color w:val="000000"/>
                <w:sz w:val="20"/>
                <w:szCs w:val="20"/>
              </w:rPr>
            </w:pPr>
            <w:r>
              <w:rPr>
                <w:color w:val="000000"/>
                <w:sz w:val="20"/>
                <w:szCs w:val="20"/>
              </w:rPr>
              <w:t>(3.73)</w:t>
            </w:r>
          </w:p>
        </w:tc>
        <w:tc>
          <w:tcPr>
            <w:tcW w:w="405" w:type="pct"/>
            <w:gridSpan w:val="2"/>
            <w:tcBorders>
              <w:top w:val="nil"/>
              <w:left w:val="nil"/>
              <w:bottom w:val="nil"/>
              <w:right w:val="nil"/>
            </w:tcBorders>
            <w:shd w:val="clear" w:color="auto" w:fill="auto"/>
            <w:noWrap/>
            <w:vAlign w:val="center"/>
            <w:hideMark/>
          </w:tcPr>
          <w:p w14:paraId="147CEF76" w14:textId="278C3CFB" w:rsidR="004A532A" w:rsidRPr="00E65AA7" w:rsidRDefault="004A532A" w:rsidP="004A532A">
            <w:pPr>
              <w:jc w:val="center"/>
              <w:rPr>
                <w:color w:val="000000"/>
                <w:sz w:val="20"/>
                <w:szCs w:val="20"/>
              </w:rPr>
            </w:pPr>
            <w:r>
              <w:rPr>
                <w:color w:val="000000"/>
                <w:sz w:val="20"/>
                <w:szCs w:val="20"/>
              </w:rPr>
              <w:t>(1.46)</w:t>
            </w:r>
          </w:p>
        </w:tc>
      </w:tr>
      <w:tr w:rsidR="004A532A" w:rsidRPr="00E65AA7" w14:paraId="4923D402" w14:textId="77777777" w:rsidTr="004A532A">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1A880AA9"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8" w:type="pct"/>
            <w:gridSpan w:val="2"/>
            <w:vMerge w:val="restart"/>
            <w:tcBorders>
              <w:top w:val="nil"/>
              <w:left w:val="nil"/>
              <w:right w:val="nil"/>
            </w:tcBorders>
            <w:vAlign w:val="center"/>
          </w:tcPr>
          <w:p w14:paraId="700DC1BE" w14:textId="031EA565"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170</w:t>
            </w:r>
          </w:p>
        </w:tc>
        <w:tc>
          <w:tcPr>
            <w:tcW w:w="383" w:type="pct"/>
            <w:gridSpan w:val="2"/>
            <w:tcBorders>
              <w:top w:val="nil"/>
              <w:left w:val="nil"/>
              <w:bottom w:val="nil"/>
              <w:right w:val="nil"/>
            </w:tcBorders>
            <w:shd w:val="clear" w:color="auto" w:fill="auto"/>
            <w:noWrap/>
            <w:vAlign w:val="center"/>
            <w:hideMark/>
          </w:tcPr>
          <w:p w14:paraId="5ACE99BF" w14:textId="51B0C328" w:rsidR="004A532A" w:rsidRPr="00E65AA7" w:rsidRDefault="004A532A" w:rsidP="004A532A">
            <w:pPr>
              <w:jc w:val="center"/>
              <w:rPr>
                <w:color w:val="000000"/>
                <w:sz w:val="20"/>
                <w:szCs w:val="20"/>
              </w:rPr>
            </w:pPr>
            <w:r>
              <w:rPr>
                <w:color w:val="000000"/>
                <w:sz w:val="20"/>
                <w:szCs w:val="20"/>
              </w:rPr>
              <w:t>0.92</w:t>
            </w:r>
          </w:p>
        </w:tc>
        <w:tc>
          <w:tcPr>
            <w:tcW w:w="384" w:type="pct"/>
            <w:gridSpan w:val="2"/>
            <w:tcBorders>
              <w:top w:val="nil"/>
              <w:left w:val="nil"/>
              <w:bottom w:val="nil"/>
              <w:right w:val="nil"/>
            </w:tcBorders>
            <w:shd w:val="clear" w:color="auto" w:fill="auto"/>
            <w:noWrap/>
            <w:vAlign w:val="center"/>
            <w:hideMark/>
          </w:tcPr>
          <w:p w14:paraId="42ED1AD0" w14:textId="5CEC0AE2" w:rsidR="004A532A" w:rsidRPr="00E65AA7" w:rsidRDefault="004A532A" w:rsidP="004A532A">
            <w:pPr>
              <w:jc w:val="center"/>
              <w:rPr>
                <w:color w:val="000000"/>
                <w:sz w:val="20"/>
                <w:szCs w:val="20"/>
              </w:rPr>
            </w:pPr>
            <w:r>
              <w:rPr>
                <w:color w:val="000000"/>
                <w:sz w:val="20"/>
                <w:szCs w:val="20"/>
              </w:rPr>
              <w:t>0.62</w:t>
            </w:r>
          </w:p>
        </w:tc>
        <w:tc>
          <w:tcPr>
            <w:tcW w:w="384" w:type="pct"/>
            <w:gridSpan w:val="2"/>
            <w:tcBorders>
              <w:top w:val="nil"/>
              <w:left w:val="nil"/>
              <w:bottom w:val="nil"/>
              <w:right w:val="nil"/>
            </w:tcBorders>
            <w:shd w:val="clear" w:color="auto" w:fill="auto"/>
            <w:noWrap/>
            <w:vAlign w:val="center"/>
            <w:hideMark/>
          </w:tcPr>
          <w:p w14:paraId="1D2A8305" w14:textId="194B6140" w:rsidR="004A532A" w:rsidRPr="00E65AA7" w:rsidRDefault="004A532A" w:rsidP="004A532A">
            <w:pPr>
              <w:jc w:val="center"/>
              <w:rPr>
                <w:color w:val="000000"/>
                <w:sz w:val="20"/>
                <w:szCs w:val="20"/>
              </w:rPr>
            </w:pPr>
            <w:r>
              <w:rPr>
                <w:color w:val="000000"/>
                <w:sz w:val="20"/>
                <w:szCs w:val="20"/>
              </w:rPr>
              <w:t>0.27</w:t>
            </w:r>
          </w:p>
        </w:tc>
        <w:tc>
          <w:tcPr>
            <w:tcW w:w="384" w:type="pct"/>
            <w:gridSpan w:val="2"/>
            <w:tcBorders>
              <w:top w:val="nil"/>
              <w:left w:val="nil"/>
              <w:bottom w:val="nil"/>
              <w:right w:val="nil"/>
            </w:tcBorders>
            <w:shd w:val="clear" w:color="auto" w:fill="auto"/>
            <w:noWrap/>
            <w:vAlign w:val="center"/>
            <w:hideMark/>
          </w:tcPr>
          <w:p w14:paraId="02F1080C" w14:textId="260379F9" w:rsidR="004A532A" w:rsidRPr="00E65AA7" w:rsidRDefault="004A532A" w:rsidP="004A532A">
            <w:pPr>
              <w:jc w:val="center"/>
              <w:rPr>
                <w:color w:val="000000"/>
                <w:sz w:val="20"/>
                <w:szCs w:val="20"/>
              </w:rPr>
            </w:pPr>
            <w:r>
              <w:rPr>
                <w:color w:val="000000"/>
                <w:sz w:val="20"/>
                <w:szCs w:val="20"/>
              </w:rPr>
              <w:t>-0.20</w:t>
            </w:r>
          </w:p>
        </w:tc>
        <w:tc>
          <w:tcPr>
            <w:tcW w:w="384" w:type="pct"/>
            <w:gridSpan w:val="2"/>
            <w:tcBorders>
              <w:top w:val="nil"/>
              <w:left w:val="nil"/>
              <w:bottom w:val="nil"/>
              <w:right w:val="nil"/>
            </w:tcBorders>
            <w:shd w:val="clear" w:color="auto" w:fill="auto"/>
            <w:noWrap/>
            <w:vAlign w:val="center"/>
            <w:hideMark/>
          </w:tcPr>
          <w:p w14:paraId="73CE74CB" w14:textId="1BDF17D7" w:rsidR="004A532A" w:rsidRPr="00E65AA7" w:rsidRDefault="004A532A" w:rsidP="004A532A">
            <w:pPr>
              <w:jc w:val="center"/>
              <w:rPr>
                <w:color w:val="000000"/>
                <w:sz w:val="20"/>
                <w:szCs w:val="20"/>
              </w:rPr>
            </w:pPr>
            <w:r>
              <w:rPr>
                <w:color w:val="000000"/>
                <w:sz w:val="20"/>
                <w:szCs w:val="20"/>
              </w:rPr>
              <w:t>-0.47</w:t>
            </w:r>
          </w:p>
        </w:tc>
        <w:tc>
          <w:tcPr>
            <w:tcW w:w="384" w:type="pct"/>
            <w:gridSpan w:val="2"/>
            <w:tcBorders>
              <w:top w:val="nil"/>
              <w:left w:val="nil"/>
              <w:bottom w:val="nil"/>
              <w:right w:val="nil"/>
            </w:tcBorders>
            <w:shd w:val="clear" w:color="auto" w:fill="auto"/>
            <w:noWrap/>
            <w:vAlign w:val="center"/>
            <w:hideMark/>
          </w:tcPr>
          <w:p w14:paraId="5263980B" w14:textId="65A58659" w:rsidR="004A532A" w:rsidRPr="00E65AA7" w:rsidRDefault="004A532A" w:rsidP="004A532A">
            <w:pPr>
              <w:jc w:val="center"/>
              <w:rPr>
                <w:color w:val="000000"/>
                <w:sz w:val="20"/>
                <w:szCs w:val="20"/>
              </w:rPr>
            </w:pPr>
            <w:r>
              <w:rPr>
                <w:color w:val="000000"/>
                <w:sz w:val="20"/>
                <w:szCs w:val="20"/>
              </w:rPr>
              <w:t>-0.76</w:t>
            </w:r>
          </w:p>
        </w:tc>
        <w:tc>
          <w:tcPr>
            <w:tcW w:w="384" w:type="pct"/>
            <w:gridSpan w:val="2"/>
            <w:tcBorders>
              <w:top w:val="nil"/>
              <w:left w:val="nil"/>
              <w:bottom w:val="nil"/>
              <w:right w:val="nil"/>
            </w:tcBorders>
            <w:shd w:val="clear" w:color="auto" w:fill="auto"/>
            <w:noWrap/>
            <w:vAlign w:val="center"/>
            <w:hideMark/>
          </w:tcPr>
          <w:p w14:paraId="51CCB7FC" w14:textId="584C9999" w:rsidR="004A532A" w:rsidRPr="00E65AA7" w:rsidRDefault="004A532A" w:rsidP="004A532A">
            <w:pPr>
              <w:jc w:val="center"/>
              <w:rPr>
                <w:color w:val="000000"/>
                <w:sz w:val="20"/>
                <w:szCs w:val="20"/>
              </w:rPr>
            </w:pPr>
            <w:r>
              <w:rPr>
                <w:color w:val="000000"/>
                <w:sz w:val="20"/>
                <w:szCs w:val="20"/>
              </w:rPr>
              <w:t>-1.52</w:t>
            </w:r>
          </w:p>
        </w:tc>
        <w:tc>
          <w:tcPr>
            <w:tcW w:w="384" w:type="pct"/>
            <w:gridSpan w:val="2"/>
            <w:tcBorders>
              <w:top w:val="nil"/>
              <w:left w:val="nil"/>
              <w:bottom w:val="nil"/>
              <w:right w:val="nil"/>
            </w:tcBorders>
            <w:shd w:val="clear" w:color="auto" w:fill="auto"/>
            <w:noWrap/>
            <w:vAlign w:val="center"/>
            <w:hideMark/>
          </w:tcPr>
          <w:p w14:paraId="35BB1E28" w14:textId="4F3DE737" w:rsidR="004A532A" w:rsidRPr="00E65AA7" w:rsidRDefault="004A532A" w:rsidP="004A532A">
            <w:pPr>
              <w:jc w:val="center"/>
              <w:rPr>
                <w:color w:val="000000"/>
                <w:sz w:val="20"/>
                <w:szCs w:val="20"/>
              </w:rPr>
            </w:pPr>
            <w:r>
              <w:rPr>
                <w:color w:val="000000"/>
                <w:sz w:val="20"/>
                <w:szCs w:val="20"/>
              </w:rPr>
              <w:t>-1.77</w:t>
            </w:r>
          </w:p>
        </w:tc>
        <w:tc>
          <w:tcPr>
            <w:tcW w:w="384" w:type="pct"/>
            <w:gridSpan w:val="2"/>
            <w:tcBorders>
              <w:top w:val="nil"/>
              <w:left w:val="nil"/>
              <w:bottom w:val="nil"/>
              <w:right w:val="nil"/>
            </w:tcBorders>
            <w:shd w:val="clear" w:color="auto" w:fill="auto"/>
            <w:noWrap/>
            <w:vAlign w:val="center"/>
            <w:hideMark/>
          </w:tcPr>
          <w:p w14:paraId="6680B5AD" w14:textId="58E632A1" w:rsidR="004A532A" w:rsidRPr="00E65AA7" w:rsidRDefault="004A532A" w:rsidP="004A532A">
            <w:pPr>
              <w:jc w:val="center"/>
              <w:rPr>
                <w:color w:val="000000"/>
                <w:sz w:val="20"/>
                <w:szCs w:val="20"/>
              </w:rPr>
            </w:pPr>
            <w:r>
              <w:rPr>
                <w:color w:val="000000"/>
                <w:sz w:val="20"/>
                <w:szCs w:val="20"/>
              </w:rPr>
              <w:t>-2.82</w:t>
            </w:r>
          </w:p>
        </w:tc>
        <w:tc>
          <w:tcPr>
            <w:tcW w:w="384" w:type="pct"/>
            <w:gridSpan w:val="2"/>
            <w:tcBorders>
              <w:top w:val="nil"/>
              <w:left w:val="nil"/>
              <w:bottom w:val="nil"/>
              <w:right w:val="nil"/>
            </w:tcBorders>
            <w:shd w:val="clear" w:color="auto" w:fill="auto"/>
            <w:noWrap/>
            <w:vAlign w:val="center"/>
            <w:hideMark/>
          </w:tcPr>
          <w:p w14:paraId="72C6A32F" w14:textId="05B554E0" w:rsidR="004A532A" w:rsidRPr="00E65AA7" w:rsidRDefault="004A532A" w:rsidP="004A532A">
            <w:pPr>
              <w:jc w:val="center"/>
              <w:rPr>
                <w:color w:val="000000"/>
                <w:sz w:val="20"/>
                <w:szCs w:val="20"/>
              </w:rPr>
            </w:pPr>
            <w:r>
              <w:rPr>
                <w:color w:val="000000"/>
                <w:sz w:val="20"/>
                <w:szCs w:val="20"/>
              </w:rPr>
              <w:t>-3.38</w:t>
            </w:r>
          </w:p>
        </w:tc>
        <w:tc>
          <w:tcPr>
            <w:tcW w:w="405" w:type="pct"/>
            <w:gridSpan w:val="2"/>
            <w:tcBorders>
              <w:top w:val="nil"/>
              <w:left w:val="nil"/>
              <w:bottom w:val="nil"/>
              <w:right w:val="nil"/>
            </w:tcBorders>
            <w:shd w:val="clear" w:color="auto" w:fill="auto"/>
            <w:noWrap/>
            <w:vAlign w:val="center"/>
            <w:hideMark/>
          </w:tcPr>
          <w:p w14:paraId="496F2D26" w14:textId="615FCEE1" w:rsidR="004A532A" w:rsidRPr="00E65AA7" w:rsidRDefault="004A532A" w:rsidP="004A532A">
            <w:pPr>
              <w:jc w:val="center"/>
              <w:rPr>
                <w:color w:val="000000"/>
                <w:sz w:val="20"/>
                <w:szCs w:val="20"/>
              </w:rPr>
            </w:pPr>
            <w:r>
              <w:rPr>
                <w:color w:val="000000"/>
                <w:sz w:val="20"/>
                <w:szCs w:val="20"/>
              </w:rPr>
              <w:t>-4.30</w:t>
            </w:r>
          </w:p>
        </w:tc>
      </w:tr>
      <w:tr w:rsidR="004A532A" w:rsidRPr="00E65AA7" w14:paraId="1447DF65" w14:textId="77777777" w:rsidTr="004A532A">
        <w:trPr>
          <w:trHeight w:hRule="exact" w:val="255"/>
        </w:trPr>
        <w:tc>
          <w:tcPr>
            <w:tcW w:w="496" w:type="pct"/>
            <w:gridSpan w:val="2"/>
            <w:vMerge/>
            <w:tcBorders>
              <w:top w:val="nil"/>
              <w:left w:val="nil"/>
              <w:bottom w:val="nil"/>
              <w:right w:val="nil"/>
            </w:tcBorders>
            <w:vAlign w:val="center"/>
            <w:hideMark/>
          </w:tcPr>
          <w:p w14:paraId="7E893C52" w14:textId="77777777" w:rsidR="004A532A" w:rsidRPr="00E65AA7" w:rsidRDefault="004A532A" w:rsidP="004A532A">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71DC0FB2" w14:textId="77777777" w:rsidR="004A532A" w:rsidRPr="00E65AA7" w:rsidRDefault="004A532A" w:rsidP="004A532A">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22530DE3" w14:textId="4A0FBA54" w:rsidR="004A532A" w:rsidRPr="00E65AA7" w:rsidRDefault="004A532A" w:rsidP="004A532A">
            <w:pPr>
              <w:jc w:val="center"/>
              <w:rPr>
                <w:color w:val="000000"/>
                <w:sz w:val="20"/>
                <w:szCs w:val="20"/>
              </w:rPr>
            </w:pPr>
            <w:r>
              <w:rPr>
                <w:color w:val="000000"/>
                <w:sz w:val="20"/>
                <w:szCs w:val="20"/>
              </w:rPr>
              <w:t>(3.26)</w:t>
            </w:r>
          </w:p>
        </w:tc>
        <w:tc>
          <w:tcPr>
            <w:tcW w:w="384" w:type="pct"/>
            <w:gridSpan w:val="2"/>
            <w:tcBorders>
              <w:top w:val="nil"/>
              <w:left w:val="nil"/>
              <w:bottom w:val="nil"/>
              <w:right w:val="nil"/>
            </w:tcBorders>
            <w:shd w:val="clear" w:color="auto" w:fill="auto"/>
            <w:noWrap/>
            <w:vAlign w:val="center"/>
            <w:hideMark/>
          </w:tcPr>
          <w:p w14:paraId="6748786E" w14:textId="42CB6CEC" w:rsidR="004A532A" w:rsidRPr="00E65AA7" w:rsidRDefault="004A532A" w:rsidP="004A532A">
            <w:pPr>
              <w:jc w:val="center"/>
              <w:rPr>
                <w:color w:val="000000"/>
                <w:sz w:val="20"/>
                <w:szCs w:val="20"/>
              </w:rPr>
            </w:pPr>
            <w:r>
              <w:rPr>
                <w:color w:val="000000"/>
                <w:sz w:val="20"/>
                <w:szCs w:val="20"/>
              </w:rPr>
              <w:t>(2.01)</w:t>
            </w:r>
          </w:p>
        </w:tc>
        <w:tc>
          <w:tcPr>
            <w:tcW w:w="384" w:type="pct"/>
            <w:gridSpan w:val="2"/>
            <w:tcBorders>
              <w:top w:val="nil"/>
              <w:left w:val="nil"/>
              <w:bottom w:val="nil"/>
              <w:right w:val="nil"/>
            </w:tcBorders>
            <w:shd w:val="clear" w:color="auto" w:fill="auto"/>
            <w:noWrap/>
            <w:vAlign w:val="center"/>
            <w:hideMark/>
          </w:tcPr>
          <w:p w14:paraId="6241124A" w14:textId="554DC237" w:rsidR="004A532A" w:rsidRPr="00E65AA7" w:rsidRDefault="004A532A" w:rsidP="004A532A">
            <w:pPr>
              <w:jc w:val="center"/>
              <w:rPr>
                <w:color w:val="000000"/>
                <w:sz w:val="20"/>
                <w:szCs w:val="20"/>
              </w:rPr>
            </w:pPr>
            <w:r>
              <w:rPr>
                <w:color w:val="000000"/>
                <w:sz w:val="20"/>
                <w:szCs w:val="20"/>
              </w:rPr>
              <w:t>(0.74)</w:t>
            </w:r>
          </w:p>
        </w:tc>
        <w:tc>
          <w:tcPr>
            <w:tcW w:w="384" w:type="pct"/>
            <w:gridSpan w:val="2"/>
            <w:tcBorders>
              <w:top w:val="nil"/>
              <w:left w:val="nil"/>
              <w:bottom w:val="nil"/>
              <w:right w:val="nil"/>
            </w:tcBorders>
            <w:shd w:val="clear" w:color="auto" w:fill="auto"/>
            <w:noWrap/>
            <w:vAlign w:val="center"/>
            <w:hideMark/>
          </w:tcPr>
          <w:p w14:paraId="75678429" w14:textId="35869FF1" w:rsidR="004A532A" w:rsidRPr="00E65AA7" w:rsidRDefault="004A532A" w:rsidP="004A532A">
            <w:pPr>
              <w:jc w:val="center"/>
              <w:rPr>
                <w:color w:val="000000"/>
                <w:sz w:val="20"/>
                <w:szCs w:val="20"/>
              </w:rPr>
            </w:pPr>
            <w:r>
              <w:rPr>
                <w:color w:val="000000"/>
                <w:sz w:val="20"/>
                <w:szCs w:val="20"/>
              </w:rPr>
              <w:t>(-0.53)</w:t>
            </w:r>
          </w:p>
        </w:tc>
        <w:tc>
          <w:tcPr>
            <w:tcW w:w="384" w:type="pct"/>
            <w:gridSpan w:val="2"/>
            <w:tcBorders>
              <w:top w:val="nil"/>
              <w:left w:val="nil"/>
              <w:bottom w:val="nil"/>
              <w:right w:val="nil"/>
            </w:tcBorders>
            <w:shd w:val="clear" w:color="auto" w:fill="auto"/>
            <w:noWrap/>
            <w:vAlign w:val="center"/>
            <w:hideMark/>
          </w:tcPr>
          <w:p w14:paraId="1F460C96" w14:textId="4AE1E8CB" w:rsidR="004A532A" w:rsidRPr="00E65AA7" w:rsidRDefault="004A532A" w:rsidP="004A532A">
            <w:pPr>
              <w:jc w:val="center"/>
              <w:rPr>
                <w:color w:val="000000"/>
                <w:sz w:val="20"/>
                <w:szCs w:val="20"/>
              </w:rPr>
            </w:pPr>
            <w:r>
              <w:rPr>
                <w:color w:val="000000"/>
                <w:sz w:val="20"/>
                <w:szCs w:val="20"/>
              </w:rPr>
              <w:t>(-1.12)</w:t>
            </w:r>
          </w:p>
        </w:tc>
        <w:tc>
          <w:tcPr>
            <w:tcW w:w="384" w:type="pct"/>
            <w:gridSpan w:val="2"/>
            <w:tcBorders>
              <w:top w:val="nil"/>
              <w:left w:val="nil"/>
              <w:bottom w:val="nil"/>
              <w:right w:val="nil"/>
            </w:tcBorders>
            <w:shd w:val="clear" w:color="auto" w:fill="auto"/>
            <w:noWrap/>
            <w:vAlign w:val="center"/>
            <w:hideMark/>
          </w:tcPr>
          <w:p w14:paraId="5D5D9B5A" w14:textId="136FB1C5" w:rsidR="004A532A" w:rsidRPr="00E65AA7" w:rsidRDefault="004A532A" w:rsidP="004A532A">
            <w:pPr>
              <w:jc w:val="center"/>
              <w:rPr>
                <w:color w:val="000000"/>
                <w:sz w:val="20"/>
                <w:szCs w:val="20"/>
              </w:rPr>
            </w:pPr>
            <w:r>
              <w:rPr>
                <w:color w:val="000000"/>
                <w:sz w:val="20"/>
                <w:szCs w:val="20"/>
              </w:rPr>
              <w:t>(-1.62)</w:t>
            </w:r>
          </w:p>
        </w:tc>
        <w:tc>
          <w:tcPr>
            <w:tcW w:w="384" w:type="pct"/>
            <w:gridSpan w:val="2"/>
            <w:tcBorders>
              <w:top w:val="nil"/>
              <w:left w:val="nil"/>
              <w:bottom w:val="nil"/>
              <w:right w:val="nil"/>
            </w:tcBorders>
            <w:shd w:val="clear" w:color="auto" w:fill="auto"/>
            <w:noWrap/>
            <w:vAlign w:val="center"/>
            <w:hideMark/>
          </w:tcPr>
          <w:p w14:paraId="6B1DA2C2" w14:textId="04822DF3" w:rsidR="004A532A" w:rsidRPr="00E65AA7" w:rsidRDefault="004A532A" w:rsidP="004A532A">
            <w:pPr>
              <w:jc w:val="center"/>
              <w:rPr>
                <w:color w:val="000000"/>
                <w:sz w:val="20"/>
                <w:szCs w:val="20"/>
              </w:rPr>
            </w:pPr>
            <w:r>
              <w:rPr>
                <w:color w:val="000000"/>
                <w:sz w:val="20"/>
                <w:szCs w:val="20"/>
              </w:rPr>
              <w:t>(-2.99)</w:t>
            </w:r>
          </w:p>
        </w:tc>
        <w:tc>
          <w:tcPr>
            <w:tcW w:w="384" w:type="pct"/>
            <w:gridSpan w:val="2"/>
            <w:tcBorders>
              <w:top w:val="nil"/>
              <w:left w:val="nil"/>
              <w:bottom w:val="nil"/>
              <w:right w:val="nil"/>
            </w:tcBorders>
            <w:shd w:val="clear" w:color="auto" w:fill="auto"/>
            <w:noWrap/>
            <w:vAlign w:val="center"/>
            <w:hideMark/>
          </w:tcPr>
          <w:p w14:paraId="6AF9EF39" w14:textId="7DF464D6" w:rsidR="004A532A" w:rsidRPr="00E65AA7" w:rsidRDefault="004A532A" w:rsidP="004A532A">
            <w:pPr>
              <w:jc w:val="center"/>
              <w:rPr>
                <w:color w:val="000000"/>
                <w:sz w:val="20"/>
                <w:szCs w:val="20"/>
              </w:rPr>
            </w:pPr>
            <w:r>
              <w:rPr>
                <w:color w:val="000000"/>
                <w:sz w:val="20"/>
                <w:szCs w:val="20"/>
              </w:rPr>
              <w:t>(-2.96)</w:t>
            </w:r>
          </w:p>
        </w:tc>
        <w:tc>
          <w:tcPr>
            <w:tcW w:w="384" w:type="pct"/>
            <w:gridSpan w:val="2"/>
            <w:tcBorders>
              <w:top w:val="nil"/>
              <w:left w:val="nil"/>
              <w:bottom w:val="nil"/>
              <w:right w:val="nil"/>
            </w:tcBorders>
            <w:shd w:val="clear" w:color="auto" w:fill="auto"/>
            <w:noWrap/>
            <w:vAlign w:val="center"/>
            <w:hideMark/>
          </w:tcPr>
          <w:p w14:paraId="115B5C90" w14:textId="16F86741" w:rsidR="004A532A" w:rsidRPr="00E65AA7" w:rsidRDefault="004A532A" w:rsidP="004A532A">
            <w:pPr>
              <w:jc w:val="center"/>
              <w:rPr>
                <w:color w:val="000000"/>
                <w:sz w:val="20"/>
                <w:szCs w:val="20"/>
              </w:rPr>
            </w:pPr>
            <w:r>
              <w:rPr>
                <w:color w:val="000000"/>
                <w:sz w:val="20"/>
                <w:szCs w:val="20"/>
              </w:rPr>
              <w:t>(-4.38)</w:t>
            </w:r>
          </w:p>
        </w:tc>
        <w:tc>
          <w:tcPr>
            <w:tcW w:w="384" w:type="pct"/>
            <w:gridSpan w:val="2"/>
            <w:tcBorders>
              <w:top w:val="nil"/>
              <w:left w:val="nil"/>
              <w:bottom w:val="nil"/>
              <w:right w:val="nil"/>
            </w:tcBorders>
            <w:shd w:val="clear" w:color="auto" w:fill="auto"/>
            <w:noWrap/>
            <w:vAlign w:val="center"/>
            <w:hideMark/>
          </w:tcPr>
          <w:p w14:paraId="78FAC7B7" w14:textId="0E72C020" w:rsidR="004A532A" w:rsidRPr="00E65AA7" w:rsidRDefault="004A532A" w:rsidP="004A532A">
            <w:pPr>
              <w:jc w:val="center"/>
              <w:rPr>
                <w:color w:val="000000"/>
                <w:sz w:val="20"/>
                <w:szCs w:val="20"/>
              </w:rPr>
            </w:pPr>
            <w:r>
              <w:rPr>
                <w:color w:val="000000"/>
                <w:sz w:val="20"/>
                <w:szCs w:val="20"/>
              </w:rPr>
              <w:t>(-4.95)</w:t>
            </w:r>
          </w:p>
        </w:tc>
        <w:tc>
          <w:tcPr>
            <w:tcW w:w="405" w:type="pct"/>
            <w:gridSpan w:val="2"/>
            <w:tcBorders>
              <w:top w:val="nil"/>
              <w:left w:val="nil"/>
              <w:bottom w:val="nil"/>
              <w:right w:val="nil"/>
            </w:tcBorders>
            <w:shd w:val="clear" w:color="auto" w:fill="auto"/>
            <w:noWrap/>
            <w:vAlign w:val="center"/>
            <w:hideMark/>
          </w:tcPr>
          <w:p w14:paraId="47CCBBA7" w14:textId="57D408FD" w:rsidR="004A532A" w:rsidRPr="00E65AA7" w:rsidRDefault="004A532A" w:rsidP="004A532A">
            <w:pPr>
              <w:jc w:val="center"/>
              <w:rPr>
                <w:color w:val="000000"/>
                <w:sz w:val="20"/>
                <w:szCs w:val="20"/>
              </w:rPr>
            </w:pPr>
            <w:r>
              <w:rPr>
                <w:color w:val="000000"/>
                <w:sz w:val="20"/>
                <w:szCs w:val="20"/>
              </w:rPr>
              <w:t>(-7.58)</w:t>
            </w:r>
          </w:p>
        </w:tc>
      </w:tr>
      <w:tr w:rsidR="004A532A" w:rsidRPr="00E65AA7" w14:paraId="1FD30FE1" w14:textId="77777777" w:rsidTr="004A532A">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2451E47C"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8" w:type="pct"/>
            <w:gridSpan w:val="2"/>
            <w:vMerge w:val="restart"/>
            <w:tcBorders>
              <w:top w:val="nil"/>
              <w:left w:val="nil"/>
              <w:right w:val="nil"/>
            </w:tcBorders>
            <w:vAlign w:val="center"/>
          </w:tcPr>
          <w:p w14:paraId="74B724C3" w14:textId="44C8E34D"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124</w:t>
            </w:r>
          </w:p>
        </w:tc>
        <w:tc>
          <w:tcPr>
            <w:tcW w:w="383" w:type="pct"/>
            <w:gridSpan w:val="2"/>
            <w:tcBorders>
              <w:top w:val="nil"/>
              <w:left w:val="nil"/>
              <w:bottom w:val="nil"/>
              <w:right w:val="nil"/>
            </w:tcBorders>
            <w:shd w:val="clear" w:color="auto" w:fill="auto"/>
            <w:noWrap/>
            <w:vAlign w:val="center"/>
            <w:hideMark/>
          </w:tcPr>
          <w:p w14:paraId="310A4420" w14:textId="7EE5BFC9" w:rsidR="004A532A" w:rsidRPr="00E65AA7" w:rsidRDefault="004A532A" w:rsidP="004A532A">
            <w:pPr>
              <w:jc w:val="center"/>
              <w:rPr>
                <w:color w:val="000000"/>
                <w:sz w:val="20"/>
                <w:szCs w:val="20"/>
              </w:rPr>
            </w:pPr>
            <w:r>
              <w:rPr>
                <w:color w:val="000000"/>
                <w:sz w:val="20"/>
                <w:szCs w:val="20"/>
              </w:rPr>
              <w:t>0.27</w:t>
            </w:r>
          </w:p>
        </w:tc>
        <w:tc>
          <w:tcPr>
            <w:tcW w:w="384" w:type="pct"/>
            <w:gridSpan w:val="2"/>
            <w:tcBorders>
              <w:top w:val="nil"/>
              <w:left w:val="nil"/>
              <w:bottom w:val="nil"/>
              <w:right w:val="nil"/>
            </w:tcBorders>
            <w:shd w:val="clear" w:color="auto" w:fill="auto"/>
            <w:noWrap/>
            <w:vAlign w:val="center"/>
            <w:hideMark/>
          </w:tcPr>
          <w:p w14:paraId="71E4600E" w14:textId="22D949C8" w:rsidR="004A532A" w:rsidRPr="00E65AA7" w:rsidRDefault="004A532A" w:rsidP="004A532A">
            <w:pPr>
              <w:jc w:val="center"/>
              <w:rPr>
                <w:color w:val="000000"/>
                <w:sz w:val="20"/>
                <w:szCs w:val="20"/>
              </w:rPr>
            </w:pPr>
            <w:r>
              <w:rPr>
                <w:color w:val="000000"/>
                <w:sz w:val="20"/>
                <w:szCs w:val="20"/>
              </w:rPr>
              <w:t>0.38</w:t>
            </w:r>
          </w:p>
        </w:tc>
        <w:tc>
          <w:tcPr>
            <w:tcW w:w="384" w:type="pct"/>
            <w:gridSpan w:val="2"/>
            <w:tcBorders>
              <w:top w:val="nil"/>
              <w:left w:val="nil"/>
              <w:bottom w:val="nil"/>
              <w:right w:val="nil"/>
            </w:tcBorders>
            <w:shd w:val="clear" w:color="auto" w:fill="auto"/>
            <w:noWrap/>
            <w:vAlign w:val="center"/>
            <w:hideMark/>
          </w:tcPr>
          <w:p w14:paraId="6145F085" w14:textId="114B6C7A" w:rsidR="004A532A" w:rsidRPr="00E65AA7" w:rsidRDefault="004A532A" w:rsidP="004A532A">
            <w:pPr>
              <w:jc w:val="center"/>
              <w:rPr>
                <w:color w:val="000000"/>
                <w:sz w:val="20"/>
                <w:szCs w:val="20"/>
              </w:rPr>
            </w:pPr>
            <w:r>
              <w:rPr>
                <w:color w:val="000000"/>
                <w:sz w:val="20"/>
                <w:szCs w:val="20"/>
              </w:rPr>
              <w:t>0.30</w:t>
            </w:r>
          </w:p>
        </w:tc>
        <w:tc>
          <w:tcPr>
            <w:tcW w:w="384" w:type="pct"/>
            <w:gridSpan w:val="2"/>
            <w:tcBorders>
              <w:top w:val="nil"/>
              <w:left w:val="nil"/>
              <w:bottom w:val="nil"/>
              <w:right w:val="nil"/>
            </w:tcBorders>
            <w:shd w:val="clear" w:color="auto" w:fill="auto"/>
            <w:noWrap/>
            <w:vAlign w:val="center"/>
            <w:hideMark/>
          </w:tcPr>
          <w:p w14:paraId="53290CD6" w14:textId="6959D3F9" w:rsidR="004A532A" w:rsidRPr="00E65AA7" w:rsidRDefault="004A532A" w:rsidP="004A532A">
            <w:pPr>
              <w:jc w:val="center"/>
              <w:rPr>
                <w:color w:val="000000"/>
                <w:sz w:val="20"/>
                <w:szCs w:val="20"/>
              </w:rPr>
            </w:pPr>
            <w:r>
              <w:rPr>
                <w:color w:val="000000"/>
                <w:sz w:val="20"/>
                <w:szCs w:val="20"/>
              </w:rPr>
              <w:t>0.10</w:t>
            </w:r>
          </w:p>
        </w:tc>
        <w:tc>
          <w:tcPr>
            <w:tcW w:w="384" w:type="pct"/>
            <w:gridSpan w:val="2"/>
            <w:tcBorders>
              <w:top w:val="nil"/>
              <w:left w:val="nil"/>
              <w:bottom w:val="nil"/>
              <w:right w:val="nil"/>
            </w:tcBorders>
            <w:shd w:val="clear" w:color="auto" w:fill="auto"/>
            <w:noWrap/>
            <w:vAlign w:val="center"/>
            <w:hideMark/>
          </w:tcPr>
          <w:p w14:paraId="68DE4482" w14:textId="665665B3" w:rsidR="004A532A" w:rsidRPr="00E65AA7" w:rsidRDefault="004A532A" w:rsidP="004A532A">
            <w:pPr>
              <w:jc w:val="center"/>
              <w:rPr>
                <w:color w:val="000000"/>
                <w:sz w:val="20"/>
                <w:szCs w:val="20"/>
              </w:rPr>
            </w:pPr>
            <w:r>
              <w:rPr>
                <w:color w:val="000000"/>
                <w:sz w:val="20"/>
                <w:szCs w:val="20"/>
              </w:rPr>
              <w:t>0.22</w:t>
            </w:r>
          </w:p>
        </w:tc>
        <w:tc>
          <w:tcPr>
            <w:tcW w:w="384" w:type="pct"/>
            <w:gridSpan w:val="2"/>
            <w:tcBorders>
              <w:top w:val="nil"/>
              <w:left w:val="nil"/>
              <w:bottom w:val="nil"/>
              <w:right w:val="nil"/>
            </w:tcBorders>
            <w:shd w:val="clear" w:color="auto" w:fill="auto"/>
            <w:noWrap/>
            <w:vAlign w:val="center"/>
            <w:hideMark/>
          </w:tcPr>
          <w:p w14:paraId="31F7161B" w14:textId="5AF2EEE5" w:rsidR="004A532A" w:rsidRPr="00E65AA7" w:rsidRDefault="004A532A" w:rsidP="004A532A">
            <w:pPr>
              <w:jc w:val="center"/>
              <w:rPr>
                <w:color w:val="000000"/>
                <w:sz w:val="20"/>
                <w:szCs w:val="20"/>
              </w:rPr>
            </w:pPr>
            <w:r>
              <w:rPr>
                <w:color w:val="000000"/>
                <w:sz w:val="20"/>
                <w:szCs w:val="20"/>
              </w:rPr>
              <w:t>0.10</w:t>
            </w:r>
          </w:p>
        </w:tc>
        <w:tc>
          <w:tcPr>
            <w:tcW w:w="384" w:type="pct"/>
            <w:gridSpan w:val="2"/>
            <w:tcBorders>
              <w:top w:val="nil"/>
              <w:left w:val="nil"/>
              <w:bottom w:val="nil"/>
              <w:right w:val="nil"/>
            </w:tcBorders>
            <w:shd w:val="clear" w:color="auto" w:fill="auto"/>
            <w:noWrap/>
            <w:vAlign w:val="center"/>
            <w:hideMark/>
          </w:tcPr>
          <w:p w14:paraId="6F17CC58" w14:textId="52024AB0" w:rsidR="004A532A" w:rsidRPr="00E65AA7" w:rsidRDefault="004A532A" w:rsidP="004A532A">
            <w:pPr>
              <w:jc w:val="center"/>
              <w:rPr>
                <w:color w:val="000000"/>
                <w:sz w:val="20"/>
                <w:szCs w:val="20"/>
              </w:rPr>
            </w:pPr>
            <w:r>
              <w:rPr>
                <w:color w:val="000000"/>
                <w:sz w:val="20"/>
                <w:szCs w:val="20"/>
              </w:rPr>
              <w:t>-0.38</w:t>
            </w:r>
          </w:p>
        </w:tc>
        <w:tc>
          <w:tcPr>
            <w:tcW w:w="384" w:type="pct"/>
            <w:gridSpan w:val="2"/>
            <w:tcBorders>
              <w:top w:val="nil"/>
              <w:left w:val="nil"/>
              <w:bottom w:val="nil"/>
              <w:right w:val="nil"/>
            </w:tcBorders>
            <w:shd w:val="clear" w:color="auto" w:fill="auto"/>
            <w:noWrap/>
            <w:vAlign w:val="center"/>
            <w:hideMark/>
          </w:tcPr>
          <w:p w14:paraId="7F073131" w14:textId="152914A6" w:rsidR="004A532A" w:rsidRPr="00E65AA7" w:rsidRDefault="004A532A" w:rsidP="004A532A">
            <w:pPr>
              <w:jc w:val="center"/>
              <w:rPr>
                <w:color w:val="000000"/>
                <w:sz w:val="20"/>
                <w:szCs w:val="20"/>
              </w:rPr>
            </w:pPr>
            <w:r>
              <w:rPr>
                <w:color w:val="000000"/>
                <w:sz w:val="20"/>
                <w:szCs w:val="20"/>
              </w:rPr>
              <w:t>-0.55</w:t>
            </w:r>
          </w:p>
        </w:tc>
        <w:tc>
          <w:tcPr>
            <w:tcW w:w="384" w:type="pct"/>
            <w:gridSpan w:val="2"/>
            <w:tcBorders>
              <w:top w:val="nil"/>
              <w:left w:val="nil"/>
              <w:bottom w:val="nil"/>
              <w:right w:val="nil"/>
            </w:tcBorders>
            <w:shd w:val="clear" w:color="auto" w:fill="auto"/>
            <w:noWrap/>
            <w:vAlign w:val="center"/>
            <w:hideMark/>
          </w:tcPr>
          <w:p w14:paraId="51F7344A" w14:textId="6ADE2BD9" w:rsidR="004A532A" w:rsidRPr="00E65AA7" w:rsidRDefault="004A532A" w:rsidP="004A532A">
            <w:pPr>
              <w:jc w:val="center"/>
              <w:rPr>
                <w:color w:val="000000"/>
                <w:sz w:val="20"/>
                <w:szCs w:val="20"/>
              </w:rPr>
            </w:pPr>
            <w:r>
              <w:rPr>
                <w:color w:val="000000"/>
                <w:sz w:val="20"/>
                <w:szCs w:val="20"/>
              </w:rPr>
              <w:t>-0.95</w:t>
            </w:r>
          </w:p>
        </w:tc>
        <w:tc>
          <w:tcPr>
            <w:tcW w:w="384" w:type="pct"/>
            <w:gridSpan w:val="2"/>
            <w:tcBorders>
              <w:top w:val="nil"/>
              <w:left w:val="nil"/>
              <w:bottom w:val="nil"/>
              <w:right w:val="nil"/>
            </w:tcBorders>
            <w:shd w:val="clear" w:color="auto" w:fill="auto"/>
            <w:noWrap/>
            <w:vAlign w:val="center"/>
            <w:hideMark/>
          </w:tcPr>
          <w:p w14:paraId="139DCEBB" w14:textId="3E846A9A" w:rsidR="004A532A" w:rsidRPr="00E65AA7" w:rsidRDefault="004A532A" w:rsidP="004A532A">
            <w:pPr>
              <w:jc w:val="center"/>
              <w:rPr>
                <w:color w:val="000000"/>
                <w:sz w:val="20"/>
                <w:szCs w:val="20"/>
              </w:rPr>
            </w:pPr>
            <w:r>
              <w:rPr>
                <w:color w:val="000000"/>
                <w:sz w:val="20"/>
                <w:szCs w:val="20"/>
              </w:rPr>
              <w:t>-1.28</w:t>
            </w:r>
          </w:p>
        </w:tc>
        <w:tc>
          <w:tcPr>
            <w:tcW w:w="405" w:type="pct"/>
            <w:gridSpan w:val="2"/>
            <w:tcBorders>
              <w:top w:val="nil"/>
              <w:left w:val="nil"/>
              <w:bottom w:val="nil"/>
              <w:right w:val="nil"/>
            </w:tcBorders>
            <w:shd w:val="clear" w:color="auto" w:fill="auto"/>
            <w:noWrap/>
            <w:vAlign w:val="center"/>
            <w:hideMark/>
          </w:tcPr>
          <w:p w14:paraId="2810993A" w14:textId="3A1DE983" w:rsidR="004A532A" w:rsidRPr="00E65AA7" w:rsidRDefault="004A532A" w:rsidP="004A532A">
            <w:pPr>
              <w:jc w:val="center"/>
              <w:rPr>
                <w:color w:val="000000"/>
                <w:sz w:val="20"/>
                <w:szCs w:val="20"/>
              </w:rPr>
            </w:pPr>
            <w:r>
              <w:rPr>
                <w:color w:val="000000"/>
                <w:sz w:val="20"/>
                <w:szCs w:val="20"/>
              </w:rPr>
              <w:t>-1.55</w:t>
            </w:r>
          </w:p>
        </w:tc>
      </w:tr>
      <w:tr w:rsidR="004A532A" w:rsidRPr="00E65AA7" w14:paraId="0FDD1E40" w14:textId="77777777" w:rsidTr="004A532A">
        <w:trPr>
          <w:trHeight w:hRule="exact" w:val="255"/>
        </w:trPr>
        <w:tc>
          <w:tcPr>
            <w:tcW w:w="496" w:type="pct"/>
            <w:gridSpan w:val="2"/>
            <w:vMerge/>
            <w:tcBorders>
              <w:top w:val="nil"/>
              <w:left w:val="nil"/>
              <w:right w:val="nil"/>
            </w:tcBorders>
            <w:vAlign w:val="center"/>
            <w:hideMark/>
          </w:tcPr>
          <w:p w14:paraId="7F14DAFD" w14:textId="77777777" w:rsidR="004A532A" w:rsidRPr="00E65AA7" w:rsidRDefault="004A532A" w:rsidP="004A532A">
            <w:pPr>
              <w:rPr>
                <w:rFonts w:eastAsia="Times New Roman"/>
                <w:color w:val="000000"/>
                <w:sz w:val="20"/>
                <w:szCs w:val="20"/>
                <w:lang w:eastAsia="en-MY"/>
              </w:rPr>
            </w:pPr>
          </w:p>
        </w:tc>
        <w:tc>
          <w:tcPr>
            <w:tcW w:w="258" w:type="pct"/>
            <w:gridSpan w:val="2"/>
            <w:vMerge/>
            <w:tcBorders>
              <w:left w:val="nil"/>
              <w:right w:val="nil"/>
            </w:tcBorders>
            <w:vAlign w:val="center"/>
          </w:tcPr>
          <w:p w14:paraId="5E221B36" w14:textId="77777777" w:rsidR="004A532A" w:rsidRPr="00E65AA7" w:rsidRDefault="004A532A" w:rsidP="004A532A">
            <w:pPr>
              <w:rPr>
                <w:rFonts w:eastAsia="Times New Roman"/>
                <w:sz w:val="20"/>
                <w:szCs w:val="20"/>
                <w:lang w:eastAsia="en-MY"/>
              </w:rPr>
            </w:pPr>
          </w:p>
        </w:tc>
        <w:tc>
          <w:tcPr>
            <w:tcW w:w="383" w:type="pct"/>
            <w:gridSpan w:val="2"/>
            <w:tcBorders>
              <w:top w:val="nil"/>
              <w:left w:val="nil"/>
              <w:right w:val="nil"/>
            </w:tcBorders>
            <w:shd w:val="clear" w:color="auto" w:fill="auto"/>
            <w:noWrap/>
            <w:vAlign w:val="center"/>
            <w:hideMark/>
          </w:tcPr>
          <w:p w14:paraId="5D7AD7D5" w14:textId="54AA3945" w:rsidR="004A532A" w:rsidRPr="00E65AA7" w:rsidRDefault="004A532A" w:rsidP="004A532A">
            <w:pPr>
              <w:jc w:val="center"/>
              <w:rPr>
                <w:color w:val="000000"/>
                <w:sz w:val="20"/>
                <w:szCs w:val="20"/>
              </w:rPr>
            </w:pPr>
            <w:r>
              <w:rPr>
                <w:color w:val="000000"/>
                <w:sz w:val="20"/>
                <w:szCs w:val="20"/>
              </w:rPr>
              <w:t>(0.84)</w:t>
            </w:r>
          </w:p>
        </w:tc>
        <w:tc>
          <w:tcPr>
            <w:tcW w:w="384" w:type="pct"/>
            <w:gridSpan w:val="2"/>
            <w:tcBorders>
              <w:top w:val="nil"/>
              <w:left w:val="nil"/>
              <w:right w:val="nil"/>
            </w:tcBorders>
            <w:shd w:val="clear" w:color="auto" w:fill="auto"/>
            <w:noWrap/>
            <w:vAlign w:val="center"/>
            <w:hideMark/>
          </w:tcPr>
          <w:p w14:paraId="4CB6F1D3" w14:textId="143D9B81" w:rsidR="004A532A" w:rsidRPr="00E65AA7" w:rsidRDefault="004A532A" w:rsidP="004A532A">
            <w:pPr>
              <w:jc w:val="center"/>
              <w:rPr>
                <w:color w:val="000000"/>
                <w:sz w:val="20"/>
                <w:szCs w:val="20"/>
              </w:rPr>
            </w:pPr>
            <w:r>
              <w:rPr>
                <w:color w:val="000000"/>
                <w:sz w:val="20"/>
                <w:szCs w:val="20"/>
              </w:rPr>
              <w:t>(1.03)</w:t>
            </w:r>
          </w:p>
        </w:tc>
        <w:tc>
          <w:tcPr>
            <w:tcW w:w="384" w:type="pct"/>
            <w:gridSpan w:val="2"/>
            <w:tcBorders>
              <w:top w:val="nil"/>
              <w:left w:val="nil"/>
              <w:right w:val="nil"/>
            </w:tcBorders>
            <w:shd w:val="clear" w:color="auto" w:fill="auto"/>
            <w:noWrap/>
            <w:vAlign w:val="center"/>
            <w:hideMark/>
          </w:tcPr>
          <w:p w14:paraId="216817A0" w14:textId="3B1F3D43" w:rsidR="004A532A" w:rsidRPr="00E65AA7" w:rsidRDefault="004A532A" w:rsidP="004A532A">
            <w:pPr>
              <w:jc w:val="center"/>
              <w:rPr>
                <w:color w:val="000000"/>
                <w:sz w:val="20"/>
                <w:szCs w:val="20"/>
              </w:rPr>
            </w:pPr>
            <w:r>
              <w:rPr>
                <w:color w:val="000000"/>
                <w:sz w:val="20"/>
                <w:szCs w:val="20"/>
              </w:rPr>
              <w:t>(0.69)</w:t>
            </w:r>
          </w:p>
        </w:tc>
        <w:tc>
          <w:tcPr>
            <w:tcW w:w="384" w:type="pct"/>
            <w:gridSpan w:val="2"/>
            <w:tcBorders>
              <w:top w:val="nil"/>
              <w:left w:val="nil"/>
              <w:right w:val="nil"/>
            </w:tcBorders>
            <w:shd w:val="clear" w:color="auto" w:fill="auto"/>
            <w:noWrap/>
            <w:vAlign w:val="center"/>
            <w:hideMark/>
          </w:tcPr>
          <w:p w14:paraId="315F2526" w14:textId="5595FD59" w:rsidR="004A532A" w:rsidRPr="00E65AA7" w:rsidRDefault="004A532A" w:rsidP="004A532A">
            <w:pPr>
              <w:jc w:val="center"/>
              <w:rPr>
                <w:color w:val="000000"/>
                <w:sz w:val="20"/>
                <w:szCs w:val="20"/>
              </w:rPr>
            </w:pPr>
            <w:r>
              <w:rPr>
                <w:color w:val="000000"/>
                <w:sz w:val="20"/>
                <w:szCs w:val="20"/>
              </w:rPr>
              <w:t>(0.22)</w:t>
            </w:r>
          </w:p>
        </w:tc>
        <w:tc>
          <w:tcPr>
            <w:tcW w:w="384" w:type="pct"/>
            <w:gridSpan w:val="2"/>
            <w:tcBorders>
              <w:top w:val="nil"/>
              <w:left w:val="nil"/>
              <w:right w:val="nil"/>
            </w:tcBorders>
            <w:shd w:val="clear" w:color="auto" w:fill="auto"/>
            <w:noWrap/>
            <w:vAlign w:val="center"/>
            <w:hideMark/>
          </w:tcPr>
          <w:p w14:paraId="2A20FC58" w14:textId="0BA7979A" w:rsidR="004A532A" w:rsidRPr="00E65AA7" w:rsidRDefault="004A532A" w:rsidP="004A532A">
            <w:pPr>
              <w:jc w:val="center"/>
              <w:rPr>
                <w:color w:val="000000"/>
                <w:sz w:val="20"/>
                <w:szCs w:val="20"/>
              </w:rPr>
            </w:pPr>
            <w:r>
              <w:rPr>
                <w:color w:val="000000"/>
                <w:sz w:val="20"/>
                <w:szCs w:val="20"/>
              </w:rPr>
              <w:t>(0.41)</w:t>
            </w:r>
          </w:p>
        </w:tc>
        <w:tc>
          <w:tcPr>
            <w:tcW w:w="384" w:type="pct"/>
            <w:gridSpan w:val="2"/>
            <w:tcBorders>
              <w:top w:val="nil"/>
              <w:left w:val="nil"/>
              <w:right w:val="nil"/>
            </w:tcBorders>
            <w:shd w:val="clear" w:color="auto" w:fill="auto"/>
            <w:noWrap/>
            <w:vAlign w:val="center"/>
            <w:hideMark/>
          </w:tcPr>
          <w:p w14:paraId="4E7D9821" w14:textId="53DBB6B2" w:rsidR="004A532A" w:rsidRPr="00E65AA7" w:rsidRDefault="004A532A" w:rsidP="004A532A">
            <w:pPr>
              <w:jc w:val="center"/>
              <w:rPr>
                <w:color w:val="000000"/>
                <w:sz w:val="20"/>
                <w:szCs w:val="20"/>
              </w:rPr>
            </w:pPr>
            <w:r>
              <w:rPr>
                <w:color w:val="000000"/>
                <w:sz w:val="20"/>
                <w:szCs w:val="20"/>
              </w:rPr>
              <w:t>(0.17)</w:t>
            </w:r>
          </w:p>
        </w:tc>
        <w:tc>
          <w:tcPr>
            <w:tcW w:w="384" w:type="pct"/>
            <w:gridSpan w:val="2"/>
            <w:tcBorders>
              <w:top w:val="nil"/>
              <w:left w:val="nil"/>
              <w:right w:val="nil"/>
            </w:tcBorders>
            <w:shd w:val="clear" w:color="auto" w:fill="auto"/>
            <w:noWrap/>
            <w:vAlign w:val="center"/>
            <w:hideMark/>
          </w:tcPr>
          <w:p w14:paraId="434213DD" w14:textId="2CBB807C" w:rsidR="004A532A" w:rsidRPr="00E65AA7" w:rsidRDefault="004A532A" w:rsidP="004A532A">
            <w:pPr>
              <w:jc w:val="center"/>
              <w:rPr>
                <w:color w:val="000000"/>
                <w:sz w:val="20"/>
                <w:szCs w:val="20"/>
              </w:rPr>
            </w:pPr>
            <w:r>
              <w:rPr>
                <w:color w:val="000000"/>
                <w:sz w:val="20"/>
                <w:szCs w:val="20"/>
              </w:rPr>
              <w:t>(-0.64)</w:t>
            </w:r>
          </w:p>
        </w:tc>
        <w:tc>
          <w:tcPr>
            <w:tcW w:w="384" w:type="pct"/>
            <w:gridSpan w:val="2"/>
            <w:tcBorders>
              <w:top w:val="nil"/>
              <w:left w:val="nil"/>
              <w:right w:val="nil"/>
            </w:tcBorders>
            <w:shd w:val="clear" w:color="auto" w:fill="auto"/>
            <w:noWrap/>
            <w:vAlign w:val="center"/>
            <w:hideMark/>
          </w:tcPr>
          <w:p w14:paraId="5900D203" w14:textId="2C3DD0CB" w:rsidR="004A532A" w:rsidRPr="00E65AA7" w:rsidRDefault="004A532A" w:rsidP="004A532A">
            <w:pPr>
              <w:jc w:val="center"/>
              <w:rPr>
                <w:color w:val="000000"/>
                <w:sz w:val="20"/>
                <w:szCs w:val="20"/>
              </w:rPr>
            </w:pPr>
            <w:r>
              <w:rPr>
                <w:color w:val="000000"/>
                <w:sz w:val="20"/>
                <w:szCs w:val="20"/>
              </w:rPr>
              <w:t>(-0.81)</w:t>
            </w:r>
          </w:p>
        </w:tc>
        <w:tc>
          <w:tcPr>
            <w:tcW w:w="384" w:type="pct"/>
            <w:gridSpan w:val="2"/>
            <w:tcBorders>
              <w:top w:val="nil"/>
              <w:left w:val="nil"/>
              <w:right w:val="nil"/>
            </w:tcBorders>
            <w:shd w:val="clear" w:color="auto" w:fill="auto"/>
            <w:noWrap/>
            <w:vAlign w:val="center"/>
            <w:hideMark/>
          </w:tcPr>
          <w:p w14:paraId="0F8596EF" w14:textId="745CF6BB" w:rsidR="004A532A" w:rsidRPr="00E65AA7" w:rsidRDefault="004A532A" w:rsidP="004A532A">
            <w:pPr>
              <w:jc w:val="center"/>
              <w:rPr>
                <w:color w:val="000000"/>
                <w:sz w:val="20"/>
                <w:szCs w:val="20"/>
              </w:rPr>
            </w:pPr>
            <w:r>
              <w:rPr>
                <w:color w:val="000000"/>
                <w:sz w:val="20"/>
                <w:szCs w:val="20"/>
              </w:rPr>
              <w:t>(-1.35)</w:t>
            </w:r>
          </w:p>
        </w:tc>
        <w:tc>
          <w:tcPr>
            <w:tcW w:w="384" w:type="pct"/>
            <w:gridSpan w:val="2"/>
            <w:tcBorders>
              <w:top w:val="nil"/>
              <w:left w:val="nil"/>
              <w:right w:val="nil"/>
            </w:tcBorders>
            <w:shd w:val="clear" w:color="auto" w:fill="auto"/>
            <w:noWrap/>
            <w:vAlign w:val="center"/>
            <w:hideMark/>
          </w:tcPr>
          <w:p w14:paraId="12FBFA23" w14:textId="583CE407" w:rsidR="004A532A" w:rsidRPr="00E65AA7" w:rsidRDefault="004A532A" w:rsidP="004A532A">
            <w:pPr>
              <w:jc w:val="center"/>
              <w:rPr>
                <w:color w:val="000000"/>
                <w:sz w:val="20"/>
                <w:szCs w:val="20"/>
              </w:rPr>
            </w:pPr>
            <w:r>
              <w:rPr>
                <w:color w:val="000000"/>
                <w:sz w:val="20"/>
                <w:szCs w:val="20"/>
              </w:rPr>
              <w:t>(-1.6</w:t>
            </w:r>
            <w:r w:rsidR="001816CE">
              <w:rPr>
                <w:color w:val="000000"/>
                <w:sz w:val="20"/>
                <w:szCs w:val="20"/>
              </w:rPr>
              <w:t>0</w:t>
            </w:r>
            <w:r>
              <w:rPr>
                <w:color w:val="000000"/>
                <w:sz w:val="20"/>
                <w:szCs w:val="20"/>
              </w:rPr>
              <w:t>)</w:t>
            </w:r>
          </w:p>
        </w:tc>
        <w:tc>
          <w:tcPr>
            <w:tcW w:w="405" w:type="pct"/>
            <w:gridSpan w:val="2"/>
            <w:tcBorders>
              <w:top w:val="nil"/>
              <w:left w:val="nil"/>
              <w:right w:val="nil"/>
            </w:tcBorders>
            <w:shd w:val="clear" w:color="auto" w:fill="auto"/>
            <w:noWrap/>
            <w:vAlign w:val="center"/>
            <w:hideMark/>
          </w:tcPr>
          <w:p w14:paraId="67B7C3BD" w14:textId="4939EBB0" w:rsidR="004A532A" w:rsidRPr="00E65AA7" w:rsidRDefault="004A532A" w:rsidP="004A532A">
            <w:pPr>
              <w:jc w:val="center"/>
              <w:rPr>
                <w:color w:val="000000"/>
                <w:sz w:val="20"/>
                <w:szCs w:val="20"/>
              </w:rPr>
            </w:pPr>
            <w:r>
              <w:rPr>
                <w:color w:val="000000"/>
                <w:sz w:val="20"/>
                <w:szCs w:val="20"/>
              </w:rPr>
              <w:t>(-2.49)</w:t>
            </w:r>
          </w:p>
        </w:tc>
      </w:tr>
      <w:tr w:rsidR="004A532A" w:rsidRPr="00E65AA7" w14:paraId="1F1F6997" w14:textId="77777777" w:rsidTr="004A532A">
        <w:trPr>
          <w:trHeight w:hRule="exact" w:val="255"/>
        </w:trPr>
        <w:tc>
          <w:tcPr>
            <w:tcW w:w="496" w:type="pct"/>
            <w:gridSpan w:val="2"/>
            <w:vMerge w:val="restart"/>
            <w:tcBorders>
              <w:top w:val="nil"/>
              <w:left w:val="nil"/>
              <w:right w:val="nil"/>
            </w:tcBorders>
            <w:vAlign w:val="center"/>
          </w:tcPr>
          <w:p w14:paraId="30DE4901" w14:textId="77777777" w:rsidR="004A532A" w:rsidRPr="00E65AA7" w:rsidRDefault="004A532A" w:rsidP="004A532A">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58" w:type="pct"/>
            <w:gridSpan w:val="2"/>
            <w:vMerge w:val="restart"/>
            <w:tcBorders>
              <w:top w:val="nil"/>
              <w:left w:val="nil"/>
              <w:right w:val="nil"/>
            </w:tcBorders>
            <w:vAlign w:val="center"/>
          </w:tcPr>
          <w:p w14:paraId="5AA37757" w14:textId="42ABD0F9" w:rsidR="004A532A" w:rsidRPr="00E65AA7" w:rsidRDefault="004A532A" w:rsidP="004A532A">
            <w:pPr>
              <w:rPr>
                <w:rFonts w:eastAsia="Times New Roman"/>
                <w:color w:val="000000"/>
                <w:sz w:val="20"/>
                <w:szCs w:val="20"/>
                <w:lang w:eastAsia="en-MY"/>
              </w:rPr>
            </w:pPr>
            <w:r w:rsidRPr="00E65AA7">
              <w:rPr>
                <w:rFonts w:eastAsia="Times New Roman"/>
                <w:color w:val="000000"/>
                <w:sz w:val="20"/>
                <w:szCs w:val="20"/>
                <w:lang w:eastAsia="en-MY"/>
              </w:rPr>
              <w:t>147</w:t>
            </w:r>
          </w:p>
        </w:tc>
        <w:tc>
          <w:tcPr>
            <w:tcW w:w="383" w:type="pct"/>
            <w:gridSpan w:val="2"/>
            <w:tcBorders>
              <w:top w:val="nil"/>
              <w:left w:val="nil"/>
              <w:right w:val="nil"/>
            </w:tcBorders>
            <w:shd w:val="clear" w:color="auto" w:fill="auto"/>
            <w:noWrap/>
            <w:vAlign w:val="center"/>
          </w:tcPr>
          <w:p w14:paraId="4C26257D" w14:textId="5E6ED7C5" w:rsidR="004A532A" w:rsidRPr="00E65AA7" w:rsidRDefault="004A532A" w:rsidP="004A532A">
            <w:pPr>
              <w:jc w:val="center"/>
              <w:rPr>
                <w:color w:val="000000"/>
                <w:sz w:val="20"/>
                <w:szCs w:val="20"/>
              </w:rPr>
            </w:pPr>
            <w:r>
              <w:rPr>
                <w:color w:val="000000"/>
                <w:sz w:val="20"/>
                <w:szCs w:val="20"/>
              </w:rPr>
              <w:t>0.89</w:t>
            </w:r>
          </w:p>
        </w:tc>
        <w:tc>
          <w:tcPr>
            <w:tcW w:w="384" w:type="pct"/>
            <w:gridSpan w:val="2"/>
            <w:tcBorders>
              <w:top w:val="nil"/>
              <w:left w:val="nil"/>
              <w:right w:val="nil"/>
            </w:tcBorders>
            <w:shd w:val="clear" w:color="auto" w:fill="auto"/>
            <w:noWrap/>
            <w:vAlign w:val="center"/>
          </w:tcPr>
          <w:p w14:paraId="6E7900ED" w14:textId="26D853E5" w:rsidR="004A532A" w:rsidRPr="00E65AA7" w:rsidRDefault="004A532A" w:rsidP="004A532A">
            <w:pPr>
              <w:jc w:val="center"/>
              <w:rPr>
                <w:color w:val="000000"/>
                <w:sz w:val="20"/>
                <w:szCs w:val="20"/>
              </w:rPr>
            </w:pPr>
            <w:r>
              <w:rPr>
                <w:color w:val="000000"/>
                <w:sz w:val="20"/>
                <w:szCs w:val="20"/>
              </w:rPr>
              <w:t>1.12</w:t>
            </w:r>
          </w:p>
        </w:tc>
        <w:tc>
          <w:tcPr>
            <w:tcW w:w="384" w:type="pct"/>
            <w:gridSpan w:val="2"/>
            <w:tcBorders>
              <w:top w:val="nil"/>
              <w:left w:val="nil"/>
              <w:right w:val="nil"/>
            </w:tcBorders>
            <w:shd w:val="clear" w:color="auto" w:fill="auto"/>
            <w:noWrap/>
            <w:vAlign w:val="center"/>
          </w:tcPr>
          <w:p w14:paraId="3325801B" w14:textId="1A12585A" w:rsidR="004A532A" w:rsidRPr="00E65AA7" w:rsidRDefault="004A532A" w:rsidP="004A532A">
            <w:pPr>
              <w:jc w:val="center"/>
              <w:rPr>
                <w:color w:val="000000"/>
                <w:sz w:val="20"/>
                <w:szCs w:val="20"/>
              </w:rPr>
            </w:pPr>
            <w:r>
              <w:rPr>
                <w:color w:val="000000"/>
                <w:sz w:val="20"/>
                <w:szCs w:val="20"/>
              </w:rPr>
              <w:t>1.37</w:t>
            </w:r>
          </w:p>
        </w:tc>
        <w:tc>
          <w:tcPr>
            <w:tcW w:w="384" w:type="pct"/>
            <w:gridSpan w:val="2"/>
            <w:tcBorders>
              <w:top w:val="nil"/>
              <w:left w:val="nil"/>
              <w:right w:val="nil"/>
            </w:tcBorders>
            <w:shd w:val="clear" w:color="auto" w:fill="auto"/>
            <w:noWrap/>
            <w:vAlign w:val="center"/>
          </w:tcPr>
          <w:p w14:paraId="40B056F6" w14:textId="0606E444" w:rsidR="004A532A" w:rsidRPr="00E65AA7" w:rsidRDefault="004A532A" w:rsidP="004A532A">
            <w:pPr>
              <w:jc w:val="center"/>
              <w:rPr>
                <w:color w:val="000000"/>
                <w:sz w:val="20"/>
                <w:szCs w:val="20"/>
              </w:rPr>
            </w:pPr>
            <w:r>
              <w:rPr>
                <w:color w:val="000000"/>
                <w:sz w:val="20"/>
                <w:szCs w:val="20"/>
              </w:rPr>
              <w:t>1.98</w:t>
            </w:r>
          </w:p>
        </w:tc>
        <w:tc>
          <w:tcPr>
            <w:tcW w:w="384" w:type="pct"/>
            <w:gridSpan w:val="2"/>
            <w:tcBorders>
              <w:top w:val="nil"/>
              <w:left w:val="nil"/>
              <w:right w:val="nil"/>
            </w:tcBorders>
            <w:shd w:val="clear" w:color="auto" w:fill="auto"/>
            <w:noWrap/>
            <w:vAlign w:val="center"/>
          </w:tcPr>
          <w:p w14:paraId="4804FC53" w14:textId="479A5BA1" w:rsidR="004A532A" w:rsidRPr="00E65AA7" w:rsidRDefault="004A532A" w:rsidP="004A532A">
            <w:pPr>
              <w:jc w:val="center"/>
              <w:rPr>
                <w:color w:val="000000"/>
                <w:sz w:val="20"/>
                <w:szCs w:val="20"/>
              </w:rPr>
            </w:pPr>
            <w:r>
              <w:rPr>
                <w:color w:val="000000"/>
                <w:sz w:val="20"/>
                <w:szCs w:val="20"/>
              </w:rPr>
              <w:t>2.08</w:t>
            </w:r>
          </w:p>
        </w:tc>
        <w:tc>
          <w:tcPr>
            <w:tcW w:w="384" w:type="pct"/>
            <w:gridSpan w:val="2"/>
            <w:tcBorders>
              <w:top w:val="nil"/>
              <w:left w:val="nil"/>
              <w:right w:val="nil"/>
            </w:tcBorders>
            <w:shd w:val="clear" w:color="auto" w:fill="auto"/>
            <w:noWrap/>
            <w:vAlign w:val="center"/>
          </w:tcPr>
          <w:p w14:paraId="0250D7A5" w14:textId="096331E7" w:rsidR="004A532A" w:rsidRPr="00E65AA7" w:rsidRDefault="004A532A" w:rsidP="004A532A">
            <w:pPr>
              <w:jc w:val="center"/>
              <w:rPr>
                <w:color w:val="000000"/>
                <w:sz w:val="20"/>
                <w:szCs w:val="20"/>
              </w:rPr>
            </w:pPr>
            <w:r>
              <w:rPr>
                <w:color w:val="000000"/>
                <w:sz w:val="20"/>
                <w:szCs w:val="20"/>
              </w:rPr>
              <w:t>2.38</w:t>
            </w:r>
          </w:p>
        </w:tc>
        <w:tc>
          <w:tcPr>
            <w:tcW w:w="384" w:type="pct"/>
            <w:gridSpan w:val="2"/>
            <w:tcBorders>
              <w:top w:val="nil"/>
              <w:left w:val="nil"/>
              <w:right w:val="nil"/>
            </w:tcBorders>
            <w:shd w:val="clear" w:color="auto" w:fill="auto"/>
            <w:noWrap/>
            <w:vAlign w:val="center"/>
          </w:tcPr>
          <w:p w14:paraId="726D8019" w14:textId="2C3B2507" w:rsidR="004A532A" w:rsidRPr="00E65AA7" w:rsidRDefault="004A532A" w:rsidP="004A532A">
            <w:pPr>
              <w:jc w:val="center"/>
              <w:rPr>
                <w:color w:val="000000"/>
                <w:sz w:val="20"/>
                <w:szCs w:val="20"/>
              </w:rPr>
            </w:pPr>
            <w:r>
              <w:rPr>
                <w:color w:val="000000"/>
                <w:sz w:val="20"/>
                <w:szCs w:val="20"/>
              </w:rPr>
              <w:t>2.87</w:t>
            </w:r>
          </w:p>
        </w:tc>
        <w:tc>
          <w:tcPr>
            <w:tcW w:w="384" w:type="pct"/>
            <w:gridSpan w:val="2"/>
            <w:tcBorders>
              <w:top w:val="nil"/>
              <w:left w:val="nil"/>
              <w:right w:val="nil"/>
            </w:tcBorders>
            <w:shd w:val="clear" w:color="auto" w:fill="auto"/>
            <w:noWrap/>
            <w:vAlign w:val="center"/>
          </w:tcPr>
          <w:p w14:paraId="6DD830E6" w14:textId="7AD16D07" w:rsidR="004A532A" w:rsidRPr="00E65AA7" w:rsidRDefault="004A532A" w:rsidP="004A532A">
            <w:pPr>
              <w:jc w:val="center"/>
              <w:rPr>
                <w:color w:val="000000"/>
                <w:sz w:val="20"/>
                <w:szCs w:val="20"/>
              </w:rPr>
            </w:pPr>
            <w:r>
              <w:rPr>
                <w:color w:val="000000"/>
                <w:sz w:val="20"/>
                <w:szCs w:val="20"/>
              </w:rPr>
              <w:t>3.16</w:t>
            </w:r>
          </w:p>
        </w:tc>
        <w:tc>
          <w:tcPr>
            <w:tcW w:w="384" w:type="pct"/>
            <w:gridSpan w:val="2"/>
            <w:tcBorders>
              <w:top w:val="nil"/>
              <w:left w:val="nil"/>
              <w:right w:val="nil"/>
            </w:tcBorders>
            <w:shd w:val="clear" w:color="auto" w:fill="auto"/>
            <w:noWrap/>
            <w:vAlign w:val="center"/>
          </w:tcPr>
          <w:p w14:paraId="19D8D507" w14:textId="61024404" w:rsidR="004A532A" w:rsidRPr="00E65AA7" w:rsidRDefault="004A532A" w:rsidP="004A532A">
            <w:pPr>
              <w:jc w:val="center"/>
              <w:rPr>
                <w:color w:val="000000"/>
                <w:sz w:val="20"/>
                <w:szCs w:val="20"/>
              </w:rPr>
            </w:pPr>
            <w:r>
              <w:rPr>
                <w:color w:val="000000"/>
                <w:sz w:val="20"/>
                <w:szCs w:val="20"/>
              </w:rPr>
              <w:t>3.51</w:t>
            </w:r>
          </w:p>
        </w:tc>
        <w:tc>
          <w:tcPr>
            <w:tcW w:w="384" w:type="pct"/>
            <w:gridSpan w:val="2"/>
            <w:tcBorders>
              <w:top w:val="nil"/>
              <w:left w:val="nil"/>
              <w:right w:val="nil"/>
            </w:tcBorders>
            <w:shd w:val="clear" w:color="auto" w:fill="auto"/>
            <w:noWrap/>
            <w:vAlign w:val="center"/>
          </w:tcPr>
          <w:p w14:paraId="2E712F8E" w14:textId="02D7051A" w:rsidR="004A532A" w:rsidRPr="00E65AA7" w:rsidRDefault="004A532A" w:rsidP="004A532A">
            <w:pPr>
              <w:jc w:val="center"/>
              <w:rPr>
                <w:color w:val="000000"/>
                <w:sz w:val="20"/>
                <w:szCs w:val="20"/>
              </w:rPr>
            </w:pPr>
            <w:r>
              <w:rPr>
                <w:color w:val="000000"/>
                <w:sz w:val="20"/>
                <w:szCs w:val="20"/>
              </w:rPr>
              <w:t>3.35</w:t>
            </w:r>
          </w:p>
        </w:tc>
        <w:tc>
          <w:tcPr>
            <w:tcW w:w="405" w:type="pct"/>
            <w:gridSpan w:val="2"/>
            <w:tcBorders>
              <w:top w:val="nil"/>
              <w:left w:val="nil"/>
              <w:right w:val="nil"/>
            </w:tcBorders>
            <w:shd w:val="clear" w:color="auto" w:fill="auto"/>
            <w:noWrap/>
            <w:vAlign w:val="center"/>
          </w:tcPr>
          <w:p w14:paraId="473A3566" w14:textId="198808B7" w:rsidR="004A532A" w:rsidRPr="00E65AA7" w:rsidRDefault="004A532A" w:rsidP="004A532A">
            <w:pPr>
              <w:jc w:val="center"/>
              <w:rPr>
                <w:color w:val="000000"/>
                <w:sz w:val="20"/>
                <w:szCs w:val="20"/>
              </w:rPr>
            </w:pPr>
            <w:r>
              <w:rPr>
                <w:color w:val="000000"/>
                <w:sz w:val="20"/>
                <w:szCs w:val="20"/>
              </w:rPr>
              <w:t>2.46</w:t>
            </w:r>
          </w:p>
        </w:tc>
      </w:tr>
      <w:tr w:rsidR="004A532A" w:rsidRPr="00E65AA7" w14:paraId="00048EC6" w14:textId="77777777" w:rsidTr="004A532A">
        <w:trPr>
          <w:trHeight w:hRule="exact" w:val="255"/>
        </w:trPr>
        <w:tc>
          <w:tcPr>
            <w:tcW w:w="496" w:type="pct"/>
            <w:gridSpan w:val="2"/>
            <w:vMerge/>
            <w:tcBorders>
              <w:left w:val="nil"/>
              <w:bottom w:val="single" w:sz="4" w:space="0" w:color="auto"/>
              <w:right w:val="nil"/>
            </w:tcBorders>
            <w:vAlign w:val="center"/>
          </w:tcPr>
          <w:p w14:paraId="1322900A" w14:textId="77777777" w:rsidR="004A532A" w:rsidRPr="00E65AA7" w:rsidRDefault="004A532A" w:rsidP="004A532A">
            <w:pPr>
              <w:rPr>
                <w:rFonts w:eastAsia="Times New Roman"/>
                <w:color w:val="000000"/>
                <w:sz w:val="20"/>
                <w:szCs w:val="20"/>
                <w:lang w:eastAsia="en-MY"/>
              </w:rPr>
            </w:pPr>
          </w:p>
        </w:tc>
        <w:tc>
          <w:tcPr>
            <w:tcW w:w="258" w:type="pct"/>
            <w:gridSpan w:val="2"/>
            <w:vMerge/>
            <w:tcBorders>
              <w:left w:val="nil"/>
              <w:bottom w:val="single" w:sz="4" w:space="0" w:color="auto"/>
              <w:right w:val="nil"/>
            </w:tcBorders>
            <w:vAlign w:val="center"/>
          </w:tcPr>
          <w:p w14:paraId="2FFC7C5E" w14:textId="77777777" w:rsidR="004A532A" w:rsidRPr="00E65AA7" w:rsidRDefault="004A532A" w:rsidP="004A532A">
            <w:pPr>
              <w:jc w:val="center"/>
              <w:rPr>
                <w:rFonts w:eastAsia="Times New Roman"/>
                <w:sz w:val="20"/>
                <w:szCs w:val="20"/>
                <w:lang w:eastAsia="en-MY"/>
              </w:rPr>
            </w:pPr>
          </w:p>
        </w:tc>
        <w:tc>
          <w:tcPr>
            <w:tcW w:w="383" w:type="pct"/>
            <w:gridSpan w:val="2"/>
            <w:tcBorders>
              <w:left w:val="nil"/>
              <w:bottom w:val="single" w:sz="4" w:space="0" w:color="auto"/>
              <w:right w:val="nil"/>
            </w:tcBorders>
            <w:shd w:val="clear" w:color="auto" w:fill="auto"/>
            <w:noWrap/>
            <w:vAlign w:val="center"/>
          </w:tcPr>
          <w:p w14:paraId="043BE67D" w14:textId="02BDE1B0" w:rsidR="004A532A" w:rsidRPr="00E65AA7" w:rsidRDefault="004A532A" w:rsidP="004A532A">
            <w:pPr>
              <w:jc w:val="center"/>
              <w:rPr>
                <w:color w:val="000000"/>
                <w:sz w:val="20"/>
                <w:szCs w:val="20"/>
              </w:rPr>
            </w:pPr>
            <w:r>
              <w:rPr>
                <w:color w:val="000000"/>
                <w:sz w:val="20"/>
                <w:szCs w:val="20"/>
              </w:rPr>
              <w:t>(3.00)</w:t>
            </w:r>
          </w:p>
        </w:tc>
        <w:tc>
          <w:tcPr>
            <w:tcW w:w="384" w:type="pct"/>
            <w:gridSpan w:val="2"/>
            <w:tcBorders>
              <w:left w:val="nil"/>
              <w:bottom w:val="single" w:sz="4" w:space="0" w:color="auto"/>
              <w:right w:val="nil"/>
            </w:tcBorders>
            <w:shd w:val="clear" w:color="auto" w:fill="auto"/>
            <w:noWrap/>
            <w:vAlign w:val="center"/>
          </w:tcPr>
          <w:p w14:paraId="0905EFB4" w14:textId="1A4B7A6E" w:rsidR="004A532A" w:rsidRPr="00E65AA7" w:rsidRDefault="004A532A" w:rsidP="004A532A">
            <w:pPr>
              <w:jc w:val="center"/>
              <w:rPr>
                <w:color w:val="000000"/>
                <w:sz w:val="20"/>
                <w:szCs w:val="20"/>
              </w:rPr>
            </w:pPr>
            <w:r>
              <w:rPr>
                <w:color w:val="000000"/>
                <w:sz w:val="20"/>
                <w:szCs w:val="20"/>
              </w:rPr>
              <w:t>(3.46)</w:t>
            </w:r>
          </w:p>
        </w:tc>
        <w:tc>
          <w:tcPr>
            <w:tcW w:w="384" w:type="pct"/>
            <w:gridSpan w:val="2"/>
            <w:tcBorders>
              <w:left w:val="nil"/>
              <w:bottom w:val="single" w:sz="4" w:space="0" w:color="auto"/>
              <w:right w:val="nil"/>
            </w:tcBorders>
            <w:shd w:val="clear" w:color="auto" w:fill="auto"/>
            <w:noWrap/>
            <w:vAlign w:val="center"/>
          </w:tcPr>
          <w:p w14:paraId="43C978E6" w14:textId="0F4FFA22" w:rsidR="004A532A" w:rsidRPr="00E65AA7" w:rsidRDefault="004A532A" w:rsidP="004A532A">
            <w:pPr>
              <w:jc w:val="center"/>
              <w:rPr>
                <w:color w:val="000000"/>
                <w:sz w:val="20"/>
                <w:szCs w:val="20"/>
              </w:rPr>
            </w:pPr>
            <w:r>
              <w:rPr>
                <w:color w:val="000000"/>
                <w:sz w:val="20"/>
                <w:szCs w:val="20"/>
              </w:rPr>
              <w:t>(3.80)</w:t>
            </w:r>
          </w:p>
        </w:tc>
        <w:tc>
          <w:tcPr>
            <w:tcW w:w="384" w:type="pct"/>
            <w:gridSpan w:val="2"/>
            <w:tcBorders>
              <w:left w:val="nil"/>
              <w:bottom w:val="single" w:sz="4" w:space="0" w:color="auto"/>
              <w:right w:val="nil"/>
            </w:tcBorders>
            <w:shd w:val="clear" w:color="auto" w:fill="auto"/>
            <w:noWrap/>
            <w:vAlign w:val="center"/>
          </w:tcPr>
          <w:p w14:paraId="232FE55A" w14:textId="511925AA" w:rsidR="004A532A" w:rsidRPr="00E65AA7" w:rsidRDefault="004A532A" w:rsidP="004A532A">
            <w:pPr>
              <w:jc w:val="center"/>
              <w:rPr>
                <w:color w:val="000000"/>
                <w:sz w:val="20"/>
                <w:szCs w:val="20"/>
              </w:rPr>
            </w:pPr>
            <w:r>
              <w:rPr>
                <w:color w:val="000000"/>
                <w:sz w:val="20"/>
                <w:szCs w:val="20"/>
              </w:rPr>
              <w:t>(5.18)</w:t>
            </w:r>
          </w:p>
        </w:tc>
        <w:tc>
          <w:tcPr>
            <w:tcW w:w="384" w:type="pct"/>
            <w:gridSpan w:val="2"/>
            <w:tcBorders>
              <w:left w:val="nil"/>
              <w:bottom w:val="single" w:sz="4" w:space="0" w:color="auto"/>
              <w:right w:val="nil"/>
            </w:tcBorders>
            <w:shd w:val="clear" w:color="auto" w:fill="auto"/>
            <w:noWrap/>
            <w:vAlign w:val="center"/>
          </w:tcPr>
          <w:p w14:paraId="7F7E6058" w14:textId="7F8AFD99" w:rsidR="004A532A" w:rsidRPr="00E65AA7" w:rsidRDefault="004A532A" w:rsidP="004A532A">
            <w:pPr>
              <w:jc w:val="center"/>
              <w:rPr>
                <w:color w:val="000000"/>
                <w:sz w:val="20"/>
                <w:szCs w:val="20"/>
              </w:rPr>
            </w:pPr>
            <w:r>
              <w:rPr>
                <w:color w:val="000000"/>
                <w:sz w:val="20"/>
                <w:szCs w:val="20"/>
              </w:rPr>
              <w:t>(4.93)</w:t>
            </w:r>
          </w:p>
        </w:tc>
        <w:tc>
          <w:tcPr>
            <w:tcW w:w="384" w:type="pct"/>
            <w:gridSpan w:val="2"/>
            <w:tcBorders>
              <w:left w:val="nil"/>
              <w:bottom w:val="single" w:sz="4" w:space="0" w:color="auto"/>
              <w:right w:val="nil"/>
            </w:tcBorders>
            <w:shd w:val="clear" w:color="auto" w:fill="auto"/>
            <w:noWrap/>
            <w:vAlign w:val="center"/>
          </w:tcPr>
          <w:p w14:paraId="2E430815" w14:textId="4DE88A71" w:rsidR="004A532A" w:rsidRPr="00E65AA7" w:rsidRDefault="004A532A" w:rsidP="004A532A">
            <w:pPr>
              <w:jc w:val="center"/>
              <w:rPr>
                <w:color w:val="000000"/>
                <w:sz w:val="20"/>
                <w:szCs w:val="20"/>
              </w:rPr>
            </w:pPr>
            <w:r>
              <w:rPr>
                <w:color w:val="000000"/>
                <w:sz w:val="20"/>
                <w:szCs w:val="20"/>
              </w:rPr>
              <w:t>(4.97)</w:t>
            </w:r>
          </w:p>
        </w:tc>
        <w:tc>
          <w:tcPr>
            <w:tcW w:w="384" w:type="pct"/>
            <w:gridSpan w:val="2"/>
            <w:tcBorders>
              <w:left w:val="nil"/>
              <w:bottom w:val="single" w:sz="4" w:space="0" w:color="auto"/>
              <w:right w:val="nil"/>
            </w:tcBorders>
            <w:shd w:val="clear" w:color="auto" w:fill="auto"/>
            <w:noWrap/>
            <w:vAlign w:val="center"/>
          </w:tcPr>
          <w:p w14:paraId="5C99C7B2" w14:textId="310FD407" w:rsidR="004A532A" w:rsidRPr="00E65AA7" w:rsidRDefault="004A532A" w:rsidP="004A532A">
            <w:pPr>
              <w:jc w:val="center"/>
              <w:rPr>
                <w:color w:val="000000"/>
                <w:sz w:val="20"/>
                <w:szCs w:val="20"/>
              </w:rPr>
            </w:pPr>
            <w:r>
              <w:rPr>
                <w:color w:val="000000"/>
                <w:sz w:val="20"/>
                <w:szCs w:val="20"/>
              </w:rPr>
              <w:t>(5.88)</w:t>
            </w:r>
          </w:p>
        </w:tc>
        <w:tc>
          <w:tcPr>
            <w:tcW w:w="384" w:type="pct"/>
            <w:gridSpan w:val="2"/>
            <w:tcBorders>
              <w:left w:val="nil"/>
              <w:bottom w:val="single" w:sz="4" w:space="0" w:color="auto"/>
              <w:right w:val="nil"/>
            </w:tcBorders>
            <w:shd w:val="clear" w:color="auto" w:fill="auto"/>
            <w:noWrap/>
            <w:vAlign w:val="center"/>
          </w:tcPr>
          <w:p w14:paraId="128EEF1A" w14:textId="5C273259" w:rsidR="004A532A" w:rsidRPr="00E65AA7" w:rsidRDefault="004A532A" w:rsidP="004A532A">
            <w:pPr>
              <w:jc w:val="center"/>
              <w:rPr>
                <w:color w:val="000000"/>
                <w:sz w:val="20"/>
                <w:szCs w:val="20"/>
              </w:rPr>
            </w:pPr>
            <w:r>
              <w:rPr>
                <w:color w:val="000000"/>
                <w:sz w:val="20"/>
                <w:szCs w:val="20"/>
              </w:rPr>
              <w:t>(5.28)</w:t>
            </w:r>
          </w:p>
        </w:tc>
        <w:tc>
          <w:tcPr>
            <w:tcW w:w="384" w:type="pct"/>
            <w:gridSpan w:val="2"/>
            <w:tcBorders>
              <w:left w:val="nil"/>
              <w:bottom w:val="single" w:sz="4" w:space="0" w:color="auto"/>
              <w:right w:val="nil"/>
            </w:tcBorders>
            <w:shd w:val="clear" w:color="auto" w:fill="auto"/>
            <w:noWrap/>
            <w:vAlign w:val="center"/>
          </w:tcPr>
          <w:p w14:paraId="10778074" w14:textId="6FEB55B4" w:rsidR="004A532A" w:rsidRPr="00E65AA7" w:rsidRDefault="004A532A" w:rsidP="004A532A">
            <w:pPr>
              <w:jc w:val="center"/>
              <w:rPr>
                <w:color w:val="000000"/>
                <w:sz w:val="20"/>
                <w:szCs w:val="20"/>
              </w:rPr>
            </w:pPr>
            <w:r>
              <w:rPr>
                <w:color w:val="000000"/>
                <w:sz w:val="20"/>
                <w:szCs w:val="20"/>
              </w:rPr>
              <w:t>(5.71)</w:t>
            </w:r>
          </w:p>
        </w:tc>
        <w:tc>
          <w:tcPr>
            <w:tcW w:w="384" w:type="pct"/>
            <w:gridSpan w:val="2"/>
            <w:tcBorders>
              <w:left w:val="nil"/>
              <w:bottom w:val="single" w:sz="4" w:space="0" w:color="auto"/>
              <w:right w:val="nil"/>
            </w:tcBorders>
            <w:shd w:val="clear" w:color="auto" w:fill="auto"/>
            <w:noWrap/>
            <w:vAlign w:val="center"/>
          </w:tcPr>
          <w:p w14:paraId="5387AAF8" w14:textId="706AC7DC" w:rsidR="004A532A" w:rsidRPr="00E65AA7" w:rsidRDefault="004A532A" w:rsidP="004A532A">
            <w:pPr>
              <w:jc w:val="center"/>
              <w:rPr>
                <w:color w:val="000000"/>
                <w:sz w:val="20"/>
                <w:szCs w:val="20"/>
              </w:rPr>
            </w:pPr>
            <w:r>
              <w:rPr>
                <w:color w:val="000000"/>
                <w:sz w:val="20"/>
                <w:szCs w:val="20"/>
              </w:rPr>
              <w:t>(4.63)</w:t>
            </w:r>
          </w:p>
        </w:tc>
        <w:tc>
          <w:tcPr>
            <w:tcW w:w="405" w:type="pct"/>
            <w:gridSpan w:val="2"/>
            <w:tcBorders>
              <w:left w:val="nil"/>
              <w:bottom w:val="single" w:sz="4" w:space="0" w:color="auto"/>
              <w:right w:val="nil"/>
            </w:tcBorders>
            <w:shd w:val="clear" w:color="auto" w:fill="auto"/>
            <w:noWrap/>
            <w:vAlign w:val="center"/>
          </w:tcPr>
          <w:p w14:paraId="16B6DB37" w14:textId="5CFD2F79" w:rsidR="004A532A" w:rsidRPr="00E65AA7" w:rsidRDefault="004A532A" w:rsidP="004A532A">
            <w:pPr>
              <w:jc w:val="center"/>
              <w:rPr>
                <w:color w:val="000000"/>
                <w:sz w:val="20"/>
                <w:szCs w:val="20"/>
              </w:rPr>
            </w:pPr>
            <w:r>
              <w:rPr>
                <w:color w:val="000000"/>
                <w:sz w:val="20"/>
                <w:szCs w:val="20"/>
              </w:rPr>
              <w:t>(3.92)</w:t>
            </w:r>
          </w:p>
        </w:tc>
      </w:tr>
    </w:tbl>
    <w:p w14:paraId="77FE51CB" w14:textId="77777777" w:rsidR="00C0313B" w:rsidRPr="00E65AA7" w:rsidRDefault="00C0313B" w:rsidP="005F51C8">
      <w:pPr>
        <w:rPr>
          <w:rFonts w:eastAsia="Times New Roman"/>
          <w:szCs w:val="20"/>
          <w:lang w:eastAsia="en-AU"/>
        </w:rPr>
        <w:sectPr w:rsidR="00C0313B" w:rsidRPr="00E65AA7" w:rsidSect="00A42E4B">
          <w:pgSz w:w="16838" w:h="11906" w:orient="landscape" w:code="9"/>
          <w:pgMar w:top="720" w:right="720" w:bottom="720" w:left="720" w:header="709" w:footer="709" w:gutter="0"/>
          <w:cols w:space="708"/>
          <w:docGrid w:linePitch="360"/>
        </w:sectPr>
      </w:pPr>
    </w:p>
    <w:p w14:paraId="0FD7AE45" w14:textId="00569612" w:rsidR="00FF6E58" w:rsidRPr="00E65AA7" w:rsidRDefault="00FF6E58">
      <w:pPr>
        <w:spacing w:after="120"/>
        <w:rPr>
          <w:rFonts w:eastAsia="Times New Roman"/>
          <w:b/>
          <w:bCs/>
          <w:noProof/>
          <w:szCs w:val="20"/>
          <w:lang w:eastAsia="en-AU"/>
        </w:rPr>
      </w:pPr>
      <w:r w:rsidRPr="00E65AA7">
        <w:rPr>
          <w:b/>
          <w:sz w:val="20"/>
          <w:szCs w:val="20"/>
        </w:rPr>
        <w:lastRenderedPageBreak/>
        <w:t>Tabl</w:t>
      </w:r>
      <w:r w:rsidR="007047F6">
        <w:rPr>
          <w:b/>
          <w:sz w:val="20"/>
          <w:szCs w:val="20"/>
        </w:rPr>
        <w:t xml:space="preserve">e </w:t>
      </w:r>
      <w:r w:rsidR="003F2D69">
        <w:rPr>
          <w:b/>
          <w:sz w:val="20"/>
          <w:szCs w:val="20"/>
        </w:rPr>
        <w:t>7</w:t>
      </w:r>
      <w:r w:rsidRPr="00E65AA7">
        <w:rPr>
          <w:b/>
          <w:sz w:val="20"/>
          <w:szCs w:val="20"/>
        </w:rPr>
        <w:t xml:space="preserve">: Risk-Adjusted Returns </w:t>
      </w:r>
      <w:r w:rsidR="002A6ED7">
        <w:rPr>
          <w:b/>
          <w:sz w:val="20"/>
          <w:szCs w:val="20"/>
        </w:rPr>
        <w:t>of Characteristic-sorted Portfolios Conditioned on</w:t>
      </w:r>
      <w:r w:rsidR="00155CA0">
        <w:rPr>
          <w:b/>
          <w:sz w:val="20"/>
          <w:szCs w:val="20"/>
        </w:rPr>
        <w:t xml:space="preserve"> </w:t>
      </w:r>
      <w:r w:rsidR="006D6EAD">
        <w:rPr>
          <w:b/>
          <w:sz w:val="20"/>
          <w:szCs w:val="20"/>
        </w:rPr>
        <w:t>Sentiment Dynamics</w:t>
      </w:r>
      <w:r w:rsidRPr="00E65AA7">
        <w:rPr>
          <w:b/>
          <w:sz w:val="20"/>
          <w:szCs w:val="20"/>
        </w:rPr>
        <w:t xml:space="preserve">, 1964 to 2014. </w:t>
      </w:r>
      <w:r w:rsidRPr="00E65AA7">
        <w:rPr>
          <w:sz w:val="20"/>
          <w:szCs w:val="20"/>
        </w:rPr>
        <w:t xml:space="preserve">This Table provides the risk-adjusted returns of </w:t>
      </w:r>
      <w:r w:rsidRPr="00E65AA7">
        <w:rPr>
          <w:rFonts w:eastAsia="Times New Roman" w:hint="eastAsia"/>
          <w:sz w:val="20"/>
          <w:szCs w:val="20"/>
          <w:lang w:eastAsia="en-AU"/>
        </w:rPr>
        <w:t>P1</w:t>
      </w:r>
      <w:r w:rsidR="00C45B7C">
        <w:rPr>
          <w:rFonts w:eastAsia="Times New Roman"/>
          <w:sz w:val="20"/>
          <w:szCs w:val="20"/>
          <w:lang w:eastAsia="en-AU"/>
        </w:rPr>
        <w:t>0</w:t>
      </w:r>
      <w:r w:rsidR="00C45B7C">
        <w:rPr>
          <w:rFonts w:eastAsia="Times New Roman" w:hint="eastAsia"/>
          <w:sz w:val="20"/>
          <w:szCs w:val="20"/>
          <w:lang w:eastAsia="en-AU"/>
        </w:rPr>
        <w:t>-P1</w:t>
      </w:r>
      <w:r w:rsidRPr="00E65AA7">
        <w:rPr>
          <w:rFonts w:eastAsia="Times New Roman" w:hint="eastAsia"/>
          <w:sz w:val="20"/>
          <w:szCs w:val="20"/>
          <w:lang w:eastAsia="en-AU"/>
        </w:rPr>
        <w:t xml:space="preserve"> and </w:t>
      </w:r>
      <w:r w:rsidR="004C64BA" w:rsidRPr="00E65AA7">
        <w:rPr>
          <w:rFonts w:eastAsia="Times New Roman" w:hint="eastAsia"/>
          <w:sz w:val="20"/>
          <w:szCs w:val="20"/>
        </w:rPr>
        <w:t>≤0 - ≥0</w:t>
      </w:r>
      <w:r w:rsidRPr="00E65AA7">
        <w:rPr>
          <w:rFonts w:eastAsia="Times New Roman" w:hint="eastAsia"/>
          <w:sz w:val="20"/>
          <w:szCs w:val="20"/>
          <w:lang w:eastAsia="en-AU"/>
        </w:rPr>
        <w:t xml:space="preserve"> portfolios</w:t>
      </w:r>
      <w:r w:rsidRPr="00E65AA7">
        <w:rPr>
          <w:rFonts w:eastAsia="Times New Roman"/>
          <w:sz w:val="20"/>
          <w:szCs w:val="20"/>
          <w:lang w:eastAsia="en-AU"/>
        </w:rPr>
        <w:t xml:space="preserve"> based on firm characteristics and </w:t>
      </w:r>
      <w:r w:rsidR="007B5FA9" w:rsidRPr="00E65AA7">
        <w:rPr>
          <w:rFonts w:eastAsia="Times New Roman"/>
          <w:sz w:val="20"/>
          <w:szCs w:val="20"/>
          <w:lang w:eastAsia="en-AU"/>
        </w:rPr>
        <w:t>High</w:t>
      </w:r>
      <w:r w:rsidRPr="00E65AA7">
        <w:rPr>
          <w:rFonts w:eastAsia="Times New Roman"/>
          <w:sz w:val="20"/>
          <w:szCs w:val="20"/>
          <w:lang w:eastAsia="en-AU"/>
        </w:rPr>
        <w:t xml:space="preserve"> and </w:t>
      </w:r>
      <w:r w:rsidR="007B5FA9" w:rsidRPr="00E65AA7">
        <w:rPr>
          <w:rFonts w:eastAsia="Times New Roman"/>
          <w:sz w:val="20"/>
          <w:szCs w:val="20"/>
          <w:lang w:eastAsia="en-AU"/>
        </w:rPr>
        <w:t>Low</w:t>
      </w:r>
      <w:r w:rsidRPr="00E65AA7">
        <w:rPr>
          <w:rFonts w:eastAsia="Times New Roman"/>
          <w:sz w:val="20"/>
          <w:szCs w:val="20"/>
          <w:lang w:eastAsia="en-AU"/>
        </w:rPr>
        <w:t xml:space="preserve"> sentiment states</w:t>
      </w:r>
      <w:r w:rsidRPr="00E65AA7">
        <w:rPr>
          <w:rFonts w:eastAsia="Times New Roman" w:hint="eastAsia"/>
          <w:sz w:val="20"/>
          <w:szCs w:val="20"/>
          <w:lang w:eastAsia="en-AU"/>
        </w:rPr>
        <w:t xml:space="preserve">. </w:t>
      </w:r>
      <w:r w:rsidRPr="00E65AA7">
        <w:rPr>
          <w:rFonts w:eastAsia="Times New Roman"/>
          <w:sz w:val="20"/>
          <w:szCs w:val="20"/>
          <w:lang w:eastAsia="en-AU"/>
        </w:rPr>
        <w:t>W</w:t>
      </w:r>
      <w:r w:rsidRPr="00E65AA7">
        <w:rPr>
          <w:rFonts w:eastAsia="Times New Roman" w:hint="eastAsia"/>
          <w:sz w:val="20"/>
          <w:szCs w:val="20"/>
          <w:lang w:eastAsia="en-AU"/>
        </w:rPr>
        <w:t xml:space="preserve">e regress the returns of </w:t>
      </w:r>
      <w:r w:rsidR="00D2496A" w:rsidRPr="00E65AA7">
        <w:rPr>
          <w:rFonts w:eastAsia="Times New Roman" w:hint="eastAsia"/>
          <w:sz w:val="20"/>
          <w:szCs w:val="20"/>
          <w:lang w:eastAsia="en-AU"/>
        </w:rPr>
        <w:t>P1</w:t>
      </w:r>
      <w:r w:rsidR="00D2496A">
        <w:rPr>
          <w:rFonts w:eastAsia="Times New Roman"/>
          <w:sz w:val="20"/>
          <w:szCs w:val="20"/>
          <w:lang w:eastAsia="en-AU"/>
        </w:rPr>
        <w:t>0</w:t>
      </w:r>
      <w:r w:rsidR="00D2496A">
        <w:rPr>
          <w:rFonts w:eastAsia="Times New Roman" w:hint="eastAsia"/>
          <w:sz w:val="20"/>
          <w:szCs w:val="20"/>
          <w:lang w:eastAsia="en-AU"/>
        </w:rPr>
        <w:t>-P1</w:t>
      </w:r>
      <w:r w:rsidR="00D2496A" w:rsidRPr="00E65AA7">
        <w:rPr>
          <w:rFonts w:eastAsia="Times New Roman" w:hint="eastAsia"/>
          <w:sz w:val="20"/>
          <w:szCs w:val="20"/>
          <w:lang w:eastAsia="en-AU"/>
        </w:rPr>
        <w:t xml:space="preserve"> and </w:t>
      </w:r>
      <w:r w:rsidR="004C64BA" w:rsidRPr="00E65AA7">
        <w:rPr>
          <w:rFonts w:eastAsia="Times New Roman" w:hint="eastAsia"/>
          <w:sz w:val="20"/>
          <w:szCs w:val="20"/>
        </w:rPr>
        <w:t>≤0 - ≥0</w:t>
      </w:r>
      <w:r w:rsidRPr="00E65AA7">
        <w:rPr>
          <w:rFonts w:eastAsia="Times New Roman" w:hint="eastAsia"/>
          <w:sz w:val="20"/>
          <w:szCs w:val="20"/>
          <w:lang w:eastAsia="en-AU"/>
        </w:rPr>
        <w:t xml:space="preserve"> portfolios separately on the CAPM (RMRF), and the </w:t>
      </w:r>
      <w:proofErr w:type="spellStart"/>
      <w:r w:rsidRPr="00E65AA7">
        <w:rPr>
          <w:rFonts w:eastAsia="Times New Roman" w:hint="eastAsia"/>
          <w:sz w:val="20"/>
          <w:szCs w:val="20"/>
          <w:lang w:eastAsia="en-AU"/>
        </w:rPr>
        <w:t>Fama</w:t>
      </w:r>
      <w:proofErr w:type="spellEnd"/>
      <w:r w:rsidRPr="00E65AA7">
        <w:rPr>
          <w:rFonts w:eastAsia="Times New Roman" w:hint="eastAsia"/>
          <w:sz w:val="20"/>
          <w:szCs w:val="20"/>
          <w:lang w:eastAsia="en-AU"/>
        </w:rPr>
        <w:t>-French facto</w:t>
      </w:r>
      <w:r w:rsidRPr="00E65AA7">
        <w:rPr>
          <w:rFonts w:eastAsia="Times New Roman"/>
          <w:sz w:val="20"/>
          <w:szCs w:val="20"/>
          <w:lang w:eastAsia="en-AU"/>
        </w:rPr>
        <w:t>rs (RMRF, SMB, ML) plus a momentum factor (UMD) and a constant to obtain factor loadings (β). RMRF is the excess return of the market, SMB is the small-minus-big size premium, HML is the high-book-to-market-minus-low-book-to-market premium, and UMD is the high-minus-low momentum premium. We do not include SMB in the regression when we use s</w:t>
      </w:r>
      <w:r w:rsidR="00DD1F66">
        <w:rPr>
          <w:rFonts w:eastAsia="Times New Roman"/>
          <w:sz w:val="20"/>
          <w:szCs w:val="20"/>
          <w:lang w:eastAsia="en-AU"/>
        </w:rPr>
        <w:t>ize as a proxy to define hard to</w:t>
      </w:r>
      <w:r w:rsidRPr="00E65AA7">
        <w:rPr>
          <w:rFonts w:eastAsia="Times New Roman"/>
          <w:sz w:val="20"/>
          <w:szCs w:val="20"/>
          <w:lang w:eastAsia="en-AU"/>
        </w:rPr>
        <w:t xml:space="preserve"> value stocks.</w:t>
      </w:r>
      <w:r w:rsidR="00B52D00" w:rsidRPr="00E65AA7">
        <w:rPr>
          <w:rFonts w:eastAsia="Times New Roman"/>
          <w:sz w:val="20"/>
          <w:szCs w:val="20"/>
          <w:lang w:eastAsia="en-AU"/>
        </w:rPr>
        <w:t xml:space="preserve"> </w:t>
      </w:r>
      <w:r w:rsidRPr="00E65AA7">
        <w:rPr>
          <w:rFonts w:eastAsia="Times New Roman"/>
          <w:sz w:val="20"/>
          <w:szCs w:val="20"/>
          <w:lang w:eastAsia="en-AU"/>
        </w:rPr>
        <w:t xml:space="preserve">The risk adjusted returns for each month </w:t>
      </w:r>
      <w:r w:rsidR="004E2A76" w:rsidRPr="00E65AA7">
        <w:rPr>
          <w:rFonts w:eastAsia="Times New Roman"/>
          <w:i/>
          <w:sz w:val="20"/>
          <w:szCs w:val="20"/>
          <w:lang w:eastAsia="en-AU"/>
        </w:rPr>
        <w:t>t</w:t>
      </w:r>
      <w:r w:rsidRPr="00E65AA7">
        <w:rPr>
          <w:rFonts w:eastAsia="Times New Roman"/>
          <w:sz w:val="20"/>
          <w:szCs w:val="20"/>
          <w:lang w:eastAsia="en-AU"/>
        </w:rPr>
        <w:t xml:space="preserve"> are </w:t>
      </w:r>
      <m:oMath>
        <m:sSubSup>
          <m:sSubSupPr>
            <m:ctrlPr>
              <w:rPr>
                <w:rFonts w:ascii="Cambria Math" w:hAnsi="Cambria Math"/>
                <w:i/>
                <w:sz w:val="20"/>
                <w:szCs w:val="20"/>
              </w:rPr>
            </m:ctrlPr>
          </m:sSubSupPr>
          <m:e>
            <m:r>
              <w:rPr>
                <w:rFonts w:ascii="Cambria Math" w:hAnsi="Cambria Math"/>
                <w:sz w:val="20"/>
                <w:szCs w:val="20"/>
              </w:rPr>
              <m:t>R</m:t>
            </m:r>
          </m:e>
          <m: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sub>
          <m:sup>
            <m:r>
              <w:rPr>
                <w:rFonts w:ascii="Cambria Math" w:hAnsi="Cambria Math"/>
                <w:sz w:val="20"/>
                <w:szCs w:val="20"/>
              </w:rPr>
              <m:t>adj</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i</m:t>
            </m:r>
          </m:sub>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xt</m:t>
                </m:r>
              </m:sub>
            </m:s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it</m:t>
                </m:r>
              </m:sub>
            </m:sSub>
          </m:e>
        </m:nary>
      </m:oMath>
      <w:r w:rsidRPr="00E65AA7">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R</m:t>
            </m:r>
          </m:e>
          <m: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t</m:t>
                </m:r>
              </m:sub>
            </m:sSub>
          </m:sub>
        </m:sSub>
      </m:oMath>
      <w:r w:rsidRPr="00E65AA7">
        <w:rPr>
          <w:i/>
          <w:sz w:val="20"/>
          <w:szCs w:val="20"/>
          <w:vertAlign w:val="subscript"/>
        </w:rPr>
        <w:t xml:space="preserve"> </w:t>
      </w:r>
      <w:r w:rsidRPr="00E65AA7">
        <w:rPr>
          <w:sz w:val="20"/>
          <w:szCs w:val="20"/>
        </w:rPr>
        <w:t>is</w:t>
      </w:r>
      <w:r w:rsidR="00D2496A">
        <w:rPr>
          <w:sz w:val="20"/>
          <w:szCs w:val="20"/>
        </w:rPr>
        <w:t xml:space="preserve"> the raw returns from P10-P1 or</w:t>
      </w:r>
      <w:r w:rsidR="00D2496A" w:rsidRPr="00E65AA7">
        <w:rPr>
          <w:rFonts w:eastAsia="Times New Roman" w:hint="eastAsia"/>
          <w:sz w:val="20"/>
          <w:szCs w:val="20"/>
          <w:lang w:eastAsia="en-AU"/>
        </w:rPr>
        <w:t xml:space="preserve"> </w:t>
      </w:r>
      <w:r w:rsidR="00723E6F" w:rsidRPr="00E65AA7">
        <w:rPr>
          <w:rFonts w:eastAsia="Times New Roman" w:hint="eastAsia"/>
          <w:sz w:val="20"/>
          <w:szCs w:val="20"/>
        </w:rPr>
        <w:t>≤0 - ≥0</w:t>
      </w:r>
      <w:r w:rsidR="00723E6F">
        <w:rPr>
          <w:rFonts w:eastAsia="Times New Roman"/>
          <w:sz w:val="20"/>
          <w:szCs w:val="20"/>
        </w:rPr>
        <w:t xml:space="preserve"> </w:t>
      </w:r>
      <w:r w:rsidRPr="00E65AA7">
        <w:rPr>
          <w:rFonts w:eastAsia="Times New Roman"/>
          <w:sz w:val="20"/>
          <w:szCs w:val="20"/>
        </w:rPr>
        <w:t>portfolio for</w:t>
      </w:r>
      <w:r w:rsidRPr="00E65AA7">
        <w:rPr>
          <w:sz w:val="20"/>
          <w:szCs w:val="20"/>
        </w:rPr>
        <w:t xml:space="preserve"> each month </w:t>
      </w:r>
      <w:r w:rsidR="004E2A76" w:rsidRPr="00E65AA7">
        <w:rPr>
          <w:i/>
          <w:sz w:val="20"/>
          <w:szCs w:val="20"/>
        </w:rPr>
        <w:t>t</w:t>
      </w:r>
      <w:r w:rsidRPr="00E65AA7">
        <w:rPr>
          <w:sz w:val="20"/>
          <w:szCs w:val="20"/>
        </w:rPr>
        <w:t xml:space="preserve">, </w:t>
      </w:r>
      <w:r w:rsidRPr="00E65AA7">
        <w:rPr>
          <w:i/>
          <w:sz w:val="20"/>
          <w:szCs w:val="20"/>
        </w:rPr>
        <w:t>f</w:t>
      </w:r>
      <w:r w:rsidRPr="00E65AA7">
        <w:rPr>
          <w:i/>
          <w:sz w:val="20"/>
          <w:szCs w:val="20"/>
          <w:vertAlign w:val="subscript"/>
        </w:rPr>
        <w:t>it</w:t>
      </w:r>
      <w:r w:rsidRPr="00E65AA7">
        <w:rPr>
          <w:sz w:val="20"/>
          <w:szCs w:val="20"/>
          <w:vertAlign w:val="subscript"/>
        </w:rPr>
        <w:t xml:space="preserve"> </w:t>
      </w:r>
      <w:r w:rsidRPr="00E65AA7">
        <w:rPr>
          <w:noProof/>
          <w:sz w:val="20"/>
          <w:szCs w:val="20"/>
        </w:rPr>
        <w:t xml:space="preserve">is </w:t>
      </w:r>
      <w:r w:rsidRPr="00E65AA7">
        <w:rPr>
          <w:sz w:val="20"/>
          <w:szCs w:val="20"/>
        </w:rPr>
        <w:t xml:space="preserve">the realization factor </w:t>
      </w:r>
      <w:proofErr w:type="spellStart"/>
      <w:r w:rsidRPr="00E65AA7">
        <w:rPr>
          <w:i/>
          <w:sz w:val="20"/>
          <w:szCs w:val="20"/>
        </w:rPr>
        <w:t>i</w:t>
      </w:r>
      <w:proofErr w:type="spellEnd"/>
      <w:r w:rsidRPr="00E65AA7">
        <w:rPr>
          <w:sz w:val="20"/>
          <w:szCs w:val="20"/>
        </w:rPr>
        <w:t xml:space="preserve"> in month </w:t>
      </w:r>
      <w:r w:rsidR="004E2A76" w:rsidRPr="00E65AA7">
        <w:rPr>
          <w:i/>
          <w:sz w:val="20"/>
          <w:szCs w:val="20"/>
        </w:rPr>
        <w:t>t</w:t>
      </w:r>
      <w:r w:rsidRPr="00E65AA7">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xt</m:t>
            </m:r>
          </m:sub>
        </m:sSub>
      </m:oMath>
      <w:r w:rsidRPr="00E65AA7">
        <w:rPr>
          <w:sz w:val="20"/>
          <w:szCs w:val="20"/>
        </w:rPr>
        <w:t xml:space="preserve"> is the estimated factor loading of the time-series of the raw returns of P10-P1 or </w:t>
      </w:r>
      <w:r w:rsidRPr="00E65AA7">
        <w:rPr>
          <w:rFonts w:eastAsia="Times New Roman" w:hint="eastAsia"/>
          <w:sz w:val="20"/>
          <w:szCs w:val="20"/>
        </w:rPr>
        <w:t>≤0 - ≥0</w:t>
      </w:r>
      <w:r w:rsidRPr="00E65AA7">
        <w:rPr>
          <w:rFonts w:eastAsia="Times New Roman"/>
          <w:sz w:val="20"/>
          <w:szCs w:val="20"/>
        </w:rPr>
        <w:t xml:space="preserve"> portfolio </w:t>
      </w:r>
      <w:r w:rsidRPr="00E65AA7">
        <w:rPr>
          <w:sz w:val="20"/>
          <w:szCs w:val="20"/>
        </w:rPr>
        <w:t xml:space="preserve">on the appropriate risk factors and a constant. </w:t>
      </w:r>
      <w:r w:rsidR="00074699" w:rsidRPr="00E65AA7">
        <w:rPr>
          <w:sz w:val="20"/>
          <w:szCs w:val="20"/>
        </w:rPr>
        <w:t xml:space="preserve">We define H/H (L/L) sentiment state if STM in month </w:t>
      </w:r>
      <w:r w:rsidR="00074699" w:rsidRPr="00E65AA7">
        <w:rPr>
          <w:i/>
          <w:sz w:val="20"/>
          <w:szCs w:val="20"/>
        </w:rPr>
        <w:t>t-1</w:t>
      </w:r>
      <w:r w:rsidR="00074699" w:rsidRPr="00E65AA7">
        <w:rPr>
          <w:sz w:val="20"/>
          <w:szCs w:val="20"/>
        </w:rPr>
        <w:t xml:space="preserve"> and ▲STM in month </w:t>
      </w:r>
      <w:r w:rsidR="00074699" w:rsidRPr="00E65AA7">
        <w:rPr>
          <w:i/>
          <w:sz w:val="20"/>
          <w:szCs w:val="20"/>
        </w:rPr>
        <w:t>t</w:t>
      </w:r>
      <w:r w:rsidR="00074699" w:rsidRPr="00E65AA7">
        <w:rPr>
          <w:sz w:val="20"/>
          <w:szCs w:val="20"/>
        </w:rPr>
        <w:t xml:space="preserve"> are positive (negative). Furthermore, we classify H/L (L/H) sentiment state if STM in month </w:t>
      </w:r>
      <w:r w:rsidR="00074699" w:rsidRPr="00E65AA7">
        <w:rPr>
          <w:i/>
          <w:sz w:val="20"/>
          <w:szCs w:val="20"/>
        </w:rPr>
        <w:t>t</w:t>
      </w:r>
      <w:r w:rsidR="00074699" w:rsidRPr="00E65AA7">
        <w:rPr>
          <w:sz w:val="20"/>
          <w:szCs w:val="20"/>
        </w:rPr>
        <w:t xml:space="preserve">-1 is positive (negative) and ▲STM in month </w:t>
      </w:r>
      <w:r w:rsidR="00074699" w:rsidRPr="00E65AA7">
        <w:rPr>
          <w:i/>
          <w:sz w:val="20"/>
          <w:szCs w:val="20"/>
        </w:rPr>
        <w:t>t</w:t>
      </w:r>
      <w:r w:rsidR="00074699" w:rsidRPr="00E65AA7">
        <w:rPr>
          <w:sz w:val="20"/>
          <w:szCs w:val="20"/>
        </w:rPr>
        <w:t xml:space="preserve"> is negative (positive).</w:t>
      </w:r>
      <w:r w:rsidR="00591173">
        <w:rPr>
          <w:sz w:val="20"/>
          <w:szCs w:val="20"/>
        </w:rPr>
        <w:t xml:space="preserve"> </w:t>
      </w:r>
      <w:r w:rsidRPr="00E65AA7">
        <w:rPr>
          <w:sz w:val="20"/>
          <w:szCs w:val="20"/>
        </w:rPr>
        <w:t xml:space="preserve">We report average monthly returns in percentage and </w:t>
      </w:r>
      <w:r w:rsidR="004E2A76" w:rsidRPr="00E65AA7">
        <w:rPr>
          <w:i/>
          <w:sz w:val="20"/>
          <w:szCs w:val="20"/>
        </w:rPr>
        <w:t>t</w:t>
      </w:r>
      <w:r w:rsidRPr="00E65AA7">
        <w:rPr>
          <w:sz w:val="20"/>
          <w:szCs w:val="20"/>
        </w:rPr>
        <w:t>-statistics in parenthesis.</w:t>
      </w:r>
    </w:p>
    <w:tbl>
      <w:tblPr>
        <w:tblW w:w="5000" w:type="pct"/>
        <w:tblBorders>
          <w:top w:val="single" w:sz="4" w:space="0" w:color="auto"/>
          <w:bottom w:val="single" w:sz="4" w:space="0" w:color="auto"/>
        </w:tblBorders>
        <w:tblLook w:val="04A0" w:firstRow="1" w:lastRow="0" w:firstColumn="1" w:lastColumn="0" w:noHBand="0" w:noVBand="1"/>
      </w:tblPr>
      <w:tblGrid>
        <w:gridCol w:w="1201"/>
        <w:gridCol w:w="1572"/>
        <w:gridCol w:w="1201"/>
        <w:gridCol w:w="2688"/>
        <w:gridCol w:w="1181"/>
        <w:gridCol w:w="2623"/>
      </w:tblGrid>
      <w:tr w:rsidR="00DE6D22" w:rsidRPr="00E65AA7" w14:paraId="5275789C" w14:textId="77777777" w:rsidTr="00DE6D22">
        <w:trPr>
          <w:trHeight w:hRule="exact" w:val="340"/>
        </w:trPr>
        <w:tc>
          <w:tcPr>
            <w:tcW w:w="3183" w:type="pct"/>
            <w:gridSpan w:val="4"/>
            <w:tcBorders>
              <w:top w:val="single" w:sz="4" w:space="0" w:color="auto"/>
              <w:bottom w:val="single" w:sz="4" w:space="0" w:color="auto"/>
              <w:right w:val="single" w:sz="4" w:space="0" w:color="auto"/>
            </w:tcBorders>
            <w:shd w:val="clear" w:color="auto" w:fill="auto"/>
            <w:noWrap/>
            <w:vAlign w:val="center"/>
          </w:tcPr>
          <w:p w14:paraId="762545EA" w14:textId="7360F582" w:rsidR="00DE6D22" w:rsidRPr="00E65AA7" w:rsidRDefault="00DE6D22" w:rsidP="00DE6D22">
            <w:pPr>
              <w:jc w:val="center"/>
              <w:rPr>
                <w:rFonts w:eastAsia="Times New Roman"/>
                <w:b/>
                <w:bCs/>
                <w:color w:val="000000"/>
                <w:sz w:val="20"/>
                <w:szCs w:val="20"/>
                <w:lang w:eastAsia="en-MY"/>
              </w:rPr>
            </w:pPr>
            <w:r w:rsidRPr="00E65AA7">
              <w:rPr>
                <w:rFonts w:eastAsia="Times New Roman"/>
                <w:b/>
                <w:bCs/>
                <w:color w:val="000000"/>
                <w:sz w:val="20"/>
                <w:szCs w:val="20"/>
                <w:lang w:eastAsia="en-MY"/>
              </w:rPr>
              <w:t>CAPM Adjusted Returns</w:t>
            </w:r>
          </w:p>
        </w:tc>
        <w:tc>
          <w:tcPr>
            <w:tcW w:w="1817" w:type="pct"/>
            <w:gridSpan w:val="2"/>
            <w:tcBorders>
              <w:top w:val="single" w:sz="4" w:space="0" w:color="auto"/>
              <w:left w:val="single" w:sz="4" w:space="0" w:color="auto"/>
              <w:bottom w:val="single" w:sz="4" w:space="0" w:color="auto"/>
            </w:tcBorders>
            <w:shd w:val="clear" w:color="auto" w:fill="auto"/>
            <w:vAlign w:val="center"/>
          </w:tcPr>
          <w:p w14:paraId="5FB589D4" w14:textId="03E95FC1" w:rsidR="00DE6D22" w:rsidRPr="00E65AA7" w:rsidRDefault="00EB6E17" w:rsidP="00DE6D22">
            <w:pPr>
              <w:rPr>
                <w:rFonts w:eastAsia="Times New Roman"/>
                <w:b/>
                <w:bCs/>
                <w:color w:val="000000"/>
                <w:sz w:val="20"/>
                <w:szCs w:val="20"/>
                <w:lang w:eastAsia="en-MY"/>
              </w:rPr>
            </w:pPr>
            <w:r w:rsidRPr="00E65AA7">
              <w:rPr>
                <w:rFonts w:eastAsia="Times New Roman"/>
                <w:b/>
                <w:bCs/>
                <w:color w:val="000000"/>
                <w:sz w:val="20"/>
                <w:szCs w:val="20"/>
                <w:lang w:eastAsia="en-MY"/>
              </w:rPr>
              <w:t>FF p</w:t>
            </w:r>
            <w:r w:rsidR="00DE6D22" w:rsidRPr="00E65AA7">
              <w:rPr>
                <w:rFonts w:eastAsia="Times New Roman"/>
                <w:b/>
                <w:bCs/>
                <w:color w:val="000000"/>
                <w:sz w:val="20"/>
                <w:szCs w:val="20"/>
                <w:lang w:eastAsia="en-MY"/>
              </w:rPr>
              <w:t>lus UMD Factors Adjusted Returns</w:t>
            </w:r>
          </w:p>
        </w:tc>
      </w:tr>
      <w:tr w:rsidR="00921C0C" w:rsidRPr="00E65AA7" w14:paraId="55392645" w14:textId="77777777" w:rsidTr="00DE6D22">
        <w:trPr>
          <w:trHeight w:hRule="exact" w:val="340"/>
        </w:trPr>
        <w:tc>
          <w:tcPr>
            <w:tcW w:w="574" w:type="pct"/>
            <w:tcBorders>
              <w:top w:val="single" w:sz="4" w:space="0" w:color="auto"/>
              <w:bottom w:val="single" w:sz="4" w:space="0" w:color="auto"/>
            </w:tcBorders>
            <w:shd w:val="clear" w:color="auto" w:fill="auto"/>
            <w:noWrap/>
            <w:vAlign w:val="center"/>
            <w:hideMark/>
          </w:tcPr>
          <w:p w14:paraId="5953257E" w14:textId="77777777" w:rsidR="00921C0C" w:rsidRPr="00E65AA7" w:rsidRDefault="00921C0C" w:rsidP="00921C0C">
            <w:pPr>
              <w:rPr>
                <w:rFonts w:eastAsia="Times New Roman"/>
                <w:b/>
                <w:sz w:val="20"/>
                <w:szCs w:val="20"/>
                <w:lang w:val="en-MY" w:eastAsia="en-MY"/>
              </w:rPr>
            </w:pPr>
          </w:p>
        </w:tc>
        <w:tc>
          <w:tcPr>
            <w:tcW w:w="751" w:type="pct"/>
            <w:tcBorders>
              <w:top w:val="single" w:sz="4" w:space="0" w:color="auto"/>
              <w:bottom w:val="single" w:sz="4" w:space="0" w:color="auto"/>
            </w:tcBorders>
            <w:shd w:val="clear" w:color="auto" w:fill="auto"/>
            <w:noWrap/>
            <w:vAlign w:val="center"/>
            <w:hideMark/>
          </w:tcPr>
          <w:p w14:paraId="65D2377A" w14:textId="77777777" w:rsidR="00921C0C" w:rsidRPr="00E65AA7" w:rsidRDefault="00921C0C" w:rsidP="00921C0C">
            <w:pPr>
              <w:rPr>
                <w:rFonts w:eastAsia="Times New Roman"/>
                <w:b/>
                <w:sz w:val="20"/>
                <w:szCs w:val="20"/>
                <w:lang w:val="en-MY" w:eastAsia="en-MY"/>
              </w:rPr>
            </w:pPr>
            <w:r w:rsidRPr="00E65AA7">
              <w:rPr>
                <w:rFonts w:eastAsia="Times New Roman"/>
                <w:b/>
                <w:sz w:val="20"/>
                <w:szCs w:val="20"/>
                <w:lang w:val="en-MY" w:eastAsia="en-MY"/>
              </w:rPr>
              <w:t>Sentiment</w:t>
            </w:r>
          </w:p>
        </w:tc>
        <w:tc>
          <w:tcPr>
            <w:tcW w:w="574" w:type="pct"/>
            <w:tcBorders>
              <w:top w:val="single" w:sz="4" w:space="0" w:color="auto"/>
              <w:bottom w:val="single" w:sz="4" w:space="0" w:color="auto"/>
            </w:tcBorders>
            <w:shd w:val="clear" w:color="auto" w:fill="auto"/>
            <w:vAlign w:val="center"/>
            <w:hideMark/>
          </w:tcPr>
          <w:p w14:paraId="4CA721F4" w14:textId="3C071344" w:rsidR="00921C0C" w:rsidRPr="00E65AA7" w:rsidRDefault="00921C0C" w:rsidP="00921C0C">
            <w:pPr>
              <w:jc w:val="center"/>
              <w:rPr>
                <w:rFonts w:eastAsia="Times New Roman"/>
                <w:b/>
                <w:bCs/>
                <w:color w:val="000000"/>
                <w:sz w:val="20"/>
                <w:szCs w:val="20"/>
                <w:lang w:val="en-MY" w:eastAsia="en-MY"/>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c>
          <w:tcPr>
            <w:tcW w:w="1284" w:type="pct"/>
            <w:tcBorders>
              <w:top w:val="single" w:sz="4" w:space="0" w:color="auto"/>
              <w:bottom w:val="single" w:sz="4" w:space="0" w:color="auto"/>
              <w:right w:val="single" w:sz="4" w:space="0" w:color="auto"/>
            </w:tcBorders>
            <w:shd w:val="clear" w:color="auto" w:fill="auto"/>
            <w:vAlign w:val="center"/>
            <w:hideMark/>
          </w:tcPr>
          <w:p w14:paraId="2C17E261" w14:textId="3C906D15" w:rsidR="00921C0C" w:rsidRPr="00E65AA7" w:rsidRDefault="005F0EDD" w:rsidP="00921C0C">
            <w:pPr>
              <w:jc w:val="center"/>
              <w:rPr>
                <w:rFonts w:eastAsia="Times New Roman"/>
                <w:b/>
                <w:bCs/>
                <w:color w:val="000000"/>
                <w:sz w:val="20"/>
                <w:szCs w:val="20"/>
                <w:lang w:val="en-MY" w:eastAsia="en-MY"/>
              </w:rPr>
            </w:pPr>
            <w:r w:rsidRPr="00E65AA7">
              <w:rPr>
                <w:rFonts w:eastAsia="Times New Roman"/>
                <w:b/>
                <w:bCs/>
                <w:color w:val="000000"/>
                <w:sz w:val="20"/>
                <w:szCs w:val="20"/>
                <w:lang w:eastAsia="en-MY"/>
              </w:rPr>
              <w:t>≤0</w:t>
            </w:r>
            <w:r>
              <w:rPr>
                <w:rFonts w:eastAsia="Times New Roman"/>
                <w:b/>
                <w:bCs/>
                <w:color w:val="000000"/>
                <w:sz w:val="20"/>
                <w:szCs w:val="20"/>
                <w:lang w:eastAsia="en-MY"/>
              </w:rPr>
              <w:t xml:space="preserve"> - </w:t>
            </w:r>
            <w:r w:rsidRPr="00E65AA7">
              <w:rPr>
                <w:rFonts w:eastAsia="Times New Roman"/>
                <w:b/>
                <w:bCs/>
                <w:color w:val="000000"/>
                <w:sz w:val="20"/>
                <w:szCs w:val="20"/>
                <w:lang w:eastAsia="en-MY"/>
              </w:rPr>
              <w:t>≥0</w:t>
            </w:r>
          </w:p>
        </w:tc>
        <w:tc>
          <w:tcPr>
            <w:tcW w:w="564" w:type="pct"/>
            <w:tcBorders>
              <w:top w:val="single" w:sz="4" w:space="0" w:color="auto"/>
              <w:left w:val="single" w:sz="4" w:space="0" w:color="auto"/>
              <w:bottom w:val="single" w:sz="4" w:space="0" w:color="auto"/>
            </w:tcBorders>
            <w:shd w:val="clear" w:color="auto" w:fill="auto"/>
            <w:vAlign w:val="center"/>
            <w:hideMark/>
          </w:tcPr>
          <w:p w14:paraId="2B5473CA" w14:textId="0E4A10A3" w:rsidR="00921C0C" w:rsidRPr="00E65AA7" w:rsidRDefault="00921C0C" w:rsidP="00921C0C">
            <w:pPr>
              <w:jc w:val="center"/>
              <w:rPr>
                <w:rFonts w:eastAsia="Times New Roman"/>
                <w:b/>
                <w:bCs/>
                <w:color w:val="000000"/>
                <w:sz w:val="20"/>
                <w:szCs w:val="20"/>
                <w:lang w:val="en-MY" w:eastAsia="en-MY"/>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c>
          <w:tcPr>
            <w:tcW w:w="1253" w:type="pct"/>
            <w:tcBorders>
              <w:top w:val="single" w:sz="4" w:space="0" w:color="auto"/>
              <w:bottom w:val="single" w:sz="4" w:space="0" w:color="auto"/>
            </w:tcBorders>
            <w:shd w:val="clear" w:color="auto" w:fill="auto"/>
            <w:vAlign w:val="center"/>
            <w:hideMark/>
          </w:tcPr>
          <w:p w14:paraId="1F1073DA" w14:textId="419CE215" w:rsidR="00921C0C" w:rsidRPr="00E65AA7" w:rsidRDefault="00E6777E" w:rsidP="00921C0C">
            <w:pPr>
              <w:jc w:val="center"/>
              <w:rPr>
                <w:rFonts w:eastAsia="Times New Roman"/>
                <w:b/>
                <w:bCs/>
                <w:color w:val="000000"/>
                <w:sz w:val="20"/>
                <w:szCs w:val="20"/>
                <w:lang w:val="en-MY" w:eastAsia="en-MY"/>
              </w:rPr>
            </w:pPr>
            <w:r w:rsidRPr="00E65AA7">
              <w:rPr>
                <w:rFonts w:eastAsia="Times New Roman"/>
                <w:b/>
                <w:bCs/>
                <w:color w:val="000000"/>
                <w:sz w:val="20"/>
                <w:szCs w:val="20"/>
                <w:lang w:eastAsia="en-MY"/>
              </w:rPr>
              <w:t>≤0</w:t>
            </w:r>
            <w:r>
              <w:rPr>
                <w:rFonts w:eastAsia="Times New Roman"/>
                <w:b/>
                <w:bCs/>
                <w:color w:val="000000"/>
                <w:sz w:val="20"/>
                <w:szCs w:val="20"/>
                <w:lang w:eastAsia="en-MY"/>
              </w:rPr>
              <w:t xml:space="preserve"> - </w:t>
            </w:r>
            <w:r w:rsidRPr="00E65AA7">
              <w:rPr>
                <w:rFonts w:eastAsia="Times New Roman"/>
                <w:b/>
                <w:bCs/>
                <w:color w:val="000000"/>
                <w:sz w:val="20"/>
                <w:szCs w:val="20"/>
                <w:lang w:eastAsia="en-MY"/>
              </w:rPr>
              <w:t>≥0</w:t>
            </w:r>
          </w:p>
        </w:tc>
      </w:tr>
      <w:tr w:rsidR="00C15660" w:rsidRPr="00E65AA7" w14:paraId="1CB8937E" w14:textId="77777777" w:rsidTr="00DE6D22">
        <w:trPr>
          <w:trHeight w:hRule="exact" w:val="340"/>
        </w:trPr>
        <w:tc>
          <w:tcPr>
            <w:tcW w:w="574" w:type="pct"/>
            <w:vMerge w:val="restart"/>
            <w:tcBorders>
              <w:top w:val="single" w:sz="4" w:space="0" w:color="auto"/>
            </w:tcBorders>
            <w:shd w:val="clear" w:color="auto" w:fill="auto"/>
            <w:noWrap/>
            <w:vAlign w:val="center"/>
            <w:hideMark/>
          </w:tcPr>
          <w:p w14:paraId="0C7E0820" w14:textId="20C58889" w:rsidR="00C15660" w:rsidRPr="00E65AA7" w:rsidRDefault="00C15660" w:rsidP="00C1566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SIGMA</w:t>
            </w:r>
          </w:p>
        </w:tc>
        <w:tc>
          <w:tcPr>
            <w:tcW w:w="751" w:type="pct"/>
            <w:vMerge w:val="restart"/>
            <w:tcBorders>
              <w:top w:val="single" w:sz="4" w:space="0" w:color="auto"/>
            </w:tcBorders>
            <w:shd w:val="clear" w:color="auto" w:fill="auto"/>
            <w:noWrap/>
            <w:vAlign w:val="center"/>
            <w:hideMark/>
          </w:tcPr>
          <w:p w14:paraId="5A0A6C0B" w14:textId="21A135CD" w:rsidR="00C15660" w:rsidRPr="00E65AA7" w:rsidRDefault="00C15660" w:rsidP="00C1566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574" w:type="pct"/>
            <w:tcBorders>
              <w:top w:val="single" w:sz="4" w:space="0" w:color="auto"/>
            </w:tcBorders>
            <w:shd w:val="clear" w:color="auto" w:fill="auto"/>
            <w:noWrap/>
            <w:vAlign w:val="center"/>
            <w:hideMark/>
          </w:tcPr>
          <w:p w14:paraId="5CDFD995" w14:textId="64F70445" w:rsidR="00C15660" w:rsidRPr="00E12F2F" w:rsidRDefault="00C15660" w:rsidP="00C15660">
            <w:pPr>
              <w:jc w:val="center"/>
              <w:rPr>
                <w:rFonts w:eastAsia="Times New Roman"/>
                <w:color w:val="000000"/>
                <w:sz w:val="20"/>
                <w:szCs w:val="20"/>
                <w:lang w:val="en-MY" w:eastAsia="en-MY"/>
              </w:rPr>
            </w:pPr>
            <w:r>
              <w:rPr>
                <w:color w:val="000000"/>
                <w:sz w:val="20"/>
                <w:szCs w:val="20"/>
              </w:rPr>
              <w:t>0.41</w:t>
            </w:r>
          </w:p>
        </w:tc>
        <w:tc>
          <w:tcPr>
            <w:tcW w:w="1284" w:type="pct"/>
            <w:tcBorders>
              <w:top w:val="single" w:sz="4" w:space="0" w:color="auto"/>
              <w:right w:val="single" w:sz="4" w:space="0" w:color="auto"/>
            </w:tcBorders>
            <w:shd w:val="clear" w:color="auto" w:fill="auto"/>
            <w:noWrap/>
            <w:vAlign w:val="center"/>
            <w:hideMark/>
          </w:tcPr>
          <w:p w14:paraId="68057747" w14:textId="77777777" w:rsidR="00C15660" w:rsidRPr="00E12F2F" w:rsidRDefault="00C15660" w:rsidP="00C15660">
            <w:pPr>
              <w:jc w:val="center"/>
              <w:rPr>
                <w:rFonts w:eastAsia="Times New Roman"/>
                <w:color w:val="000000"/>
                <w:sz w:val="20"/>
                <w:szCs w:val="20"/>
                <w:lang w:val="en-MY" w:eastAsia="en-MY"/>
              </w:rPr>
            </w:pPr>
          </w:p>
        </w:tc>
        <w:tc>
          <w:tcPr>
            <w:tcW w:w="564" w:type="pct"/>
            <w:tcBorders>
              <w:top w:val="single" w:sz="4" w:space="0" w:color="auto"/>
              <w:left w:val="single" w:sz="4" w:space="0" w:color="auto"/>
            </w:tcBorders>
            <w:shd w:val="clear" w:color="auto" w:fill="auto"/>
            <w:noWrap/>
            <w:vAlign w:val="center"/>
            <w:hideMark/>
          </w:tcPr>
          <w:p w14:paraId="34BDBFE7" w14:textId="7D9471FB" w:rsidR="00C15660" w:rsidRPr="00E12F2F" w:rsidRDefault="00C15660" w:rsidP="00C15660">
            <w:pPr>
              <w:jc w:val="center"/>
              <w:rPr>
                <w:rFonts w:eastAsia="Times New Roman"/>
                <w:color w:val="000000"/>
                <w:sz w:val="20"/>
                <w:szCs w:val="20"/>
                <w:lang w:val="en-MY" w:eastAsia="en-MY"/>
              </w:rPr>
            </w:pPr>
            <w:r>
              <w:rPr>
                <w:color w:val="000000"/>
                <w:sz w:val="20"/>
                <w:szCs w:val="20"/>
              </w:rPr>
              <w:t>-0.47</w:t>
            </w:r>
          </w:p>
        </w:tc>
        <w:tc>
          <w:tcPr>
            <w:tcW w:w="1253" w:type="pct"/>
            <w:tcBorders>
              <w:top w:val="single" w:sz="4" w:space="0" w:color="auto"/>
            </w:tcBorders>
            <w:shd w:val="clear" w:color="auto" w:fill="auto"/>
            <w:noWrap/>
            <w:vAlign w:val="center"/>
            <w:hideMark/>
          </w:tcPr>
          <w:p w14:paraId="1B90CA96"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43DD80EA" w14:textId="77777777" w:rsidTr="00DE6D22">
        <w:trPr>
          <w:trHeight w:hRule="exact" w:val="340"/>
        </w:trPr>
        <w:tc>
          <w:tcPr>
            <w:tcW w:w="574" w:type="pct"/>
            <w:vMerge/>
            <w:vAlign w:val="center"/>
            <w:hideMark/>
          </w:tcPr>
          <w:p w14:paraId="6FFF08AF" w14:textId="77777777" w:rsidR="00C15660" w:rsidRPr="00E65AA7" w:rsidRDefault="00C15660" w:rsidP="00C15660">
            <w:pPr>
              <w:jc w:val="center"/>
              <w:rPr>
                <w:rFonts w:eastAsia="Times New Roman"/>
                <w:b/>
                <w:color w:val="000000"/>
                <w:sz w:val="20"/>
                <w:szCs w:val="20"/>
                <w:lang w:val="en-MY" w:eastAsia="en-MY"/>
              </w:rPr>
            </w:pPr>
          </w:p>
        </w:tc>
        <w:tc>
          <w:tcPr>
            <w:tcW w:w="751" w:type="pct"/>
            <w:vMerge/>
            <w:vAlign w:val="center"/>
            <w:hideMark/>
          </w:tcPr>
          <w:p w14:paraId="25FD1F75" w14:textId="77777777" w:rsidR="00C15660" w:rsidRPr="00E65AA7" w:rsidRDefault="00C15660" w:rsidP="00C15660">
            <w:pPr>
              <w:jc w:val="center"/>
              <w:rPr>
                <w:rFonts w:eastAsia="Times New Roman"/>
                <w:b/>
                <w:color w:val="000000"/>
                <w:sz w:val="20"/>
                <w:szCs w:val="20"/>
                <w:lang w:val="en-MY" w:eastAsia="en-MY"/>
              </w:rPr>
            </w:pPr>
          </w:p>
        </w:tc>
        <w:tc>
          <w:tcPr>
            <w:tcW w:w="574" w:type="pct"/>
            <w:shd w:val="clear" w:color="auto" w:fill="auto"/>
            <w:noWrap/>
            <w:vAlign w:val="center"/>
            <w:hideMark/>
          </w:tcPr>
          <w:p w14:paraId="7AAC84F8" w14:textId="07B59B03" w:rsidR="00C15660" w:rsidRPr="00E12F2F" w:rsidRDefault="00C15660" w:rsidP="00C15660">
            <w:pPr>
              <w:jc w:val="center"/>
              <w:rPr>
                <w:rFonts w:eastAsia="Times New Roman"/>
                <w:color w:val="000000"/>
                <w:sz w:val="20"/>
                <w:szCs w:val="20"/>
                <w:lang w:val="en-MY" w:eastAsia="en-MY"/>
              </w:rPr>
            </w:pPr>
            <w:r>
              <w:rPr>
                <w:color w:val="000000"/>
                <w:sz w:val="20"/>
                <w:szCs w:val="20"/>
              </w:rPr>
              <w:t>(0.78)</w:t>
            </w:r>
          </w:p>
        </w:tc>
        <w:tc>
          <w:tcPr>
            <w:tcW w:w="1284" w:type="pct"/>
            <w:tcBorders>
              <w:right w:val="single" w:sz="4" w:space="0" w:color="auto"/>
            </w:tcBorders>
            <w:shd w:val="clear" w:color="auto" w:fill="auto"/>
            <w:noWrap/>
            <w:vAlign w:val="center"/>
            <w:hideMark/>
          </w:tcPr>
          <w:p w14:paraId="737F9E76" w14:textId="77777777" w:rsidR="00C15660" w:rsidRPr="00E12F2F" w:rsidRDefault="00C15660" w:rsidP="00C15660">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hideMark/>
          </w:tcPr>
          <w:p w14:paraId="01EF17EC" w14:textId="01D751EB" w:rsidR="00C15660" w:rsidRPr="00E12F2F" w:rsidRDefault="00C15660" w:rsidP="00C15660">
            <w:pPr>
              <w:jc w:val="center"/>
              <w:rPr>
                <w:rFonts w:eastAsia="Times New Roman"/>
                <w:color w:val="000000"/>
                <w:sz w:val="20"/>
                <w:szCs w:val="20"/>
                <w:lang w:val="en-MY" w:eastAsia="en-MY"/>
              </w:rPr>
            </w:pPr>
            <w:r>
              <w:rPr>
                <w:color w:val="000000"/>
                <w:sz w:val="20"/>
                <w:szCs w:val="20"/>
              </w:rPr>
              <w:t>(-1.43)</w:t>
            </w:r>
          </w:p>
        </w:tc>
        <w:tc>
          <w:tcPr>
            <w:tcW w:w="1253" w:type="pct"/>
            <w:shd w:val="clear" w:color="auto" w:fill="auto"/>
            <w:noWrap/>
            <w:vAlign w:val="center"/>
            <w:hideMark/>
          </w:tcPr>
          <w:p w14:paraId="49BF1D8D"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6469E2BE" w14:textId="77777777" w:rsidTr="00DE6D22">
        <w:trPr>
          <w:trHeight w:hRule="exact" w:val="340"/>
        </w:trPr>
        <w:tc>
          <w:tcPr>
            <w:tcW w:w="574" w:type="pct"/>
            <w:vMerge/>
            <w:vAlign w:val="center"/>
            <w:hideMark/>
          </w:tcPr>
          <w:p w14:paraId="23A770EB" w14:textId="77777777" w:rsidR="00C15660" w:rsidRPr="00E65AA7" w:rsidRDefault="00C15660" w:rsidP="00C15660">
            <w:pPr>
              <w:jc w:val="center"/>
              <w:rPr>
                <w:rFonts w:eastAsia="Times New Roman"/>
                <w:b/>
                <w:color w:val="000000"/>
                <w:sz w:val="20"/>
                <w:szCs w:val="20"/>
                <w:lang w:val="en-MY" w:eastAsia="en-MY"/>
              </w:rPr>
            </w:pPr>
          </w:p>
        </w:tc>
        <w:tc>
          <w:tcPr>
            <w:tcW w:w="751" w:type="pct"/>
            <w:vMerge w:val="restart"/>
            <w:shd w:val="clear" w:color="auto" w:fill="auto"/>
            <w:noWrap/>
            <w:vAlign w:val="center"/>
            <w:hideMark/>
          </w:tcPr>
          <w:p w14:paraId="69A3AE07" w14:textId="72DAABA8" w:rsidR="00C15660" w:rsidRPr="00E65AA7" w:rsidRDefault="00C15660" w:rsidP="00C1566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574" w:type="pct"/>
            <w:shd w:val="clear" w:color="auto" w:fill="auto"/>
            <w:noWrap/>
            <w:vAlign w:val="center"/>
            <w:hideMark/>
          </w:tcPr>
          <w:p w14:paraId="47582765" w14:textId="288D4D9C"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-2.56</w:t>
            </w:r>
          </w:p>
        </w:tc>
        <w:tc>
          <w:tcPr>
            <w:tcW w:w="1284" w:type="pct"/>
            <w:tcBorders>
              <w:right w:val="single" w:sz="4" w:space="0" w:color="auto"/>
            </w:tcBorders>
            <w:shd w:val="clear" w:color="auto" w:fill="auto"/>
            <w:noWrap/>
            <w:vAlign w:val="center"/>
            <w:hideMark/>
          </w:tcPr>
          <w:p w14:paraId="72AA6751" w14:textId="77777777" w:rsidR="00C15660" w:rsidRPr="00E65AA7" w:rsidRDefault="00C15660" w:rsidP="00C15660">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hideMark/>
          </w:tcPr>
          <w:p w14:paraId="0E4A93F4" w14:textId="727FF6BC"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-0.87</w:t>
            </w:r>
          </w:p>
        </w:tc>
        <w:tc>
          <w:tcPr>
            <w:tcW w:w="1253" w:type="pct"/>
            <w:shd w:val="clear" w:color="auto" w:fill="auto"/>
            <w:noWrap/>
            <w:vAlign w:val="center"/>
            <w:hideMark/>
          </w:tcPr>
          <w:p w14:paraId="3E79DEEC"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5ED2EBBC" w14:textId="77777777" w:rsidTr="00DE6D22">
        <w:trPr>
          <w:trHeight w:hRule="exact" w:val="340"/>
        </w:trPr>
        <w:tc>
          <w:tcPr>
            <w:tcW w:w="574" w:type="pct"/>
            <w:vMerge/>
            <w:vAlign w:val="center"/>
            <w:hideMark/>
          </w:tcPr>
          <w:p w14:paraId="4D2C7926" w14:textId="77777777" w:rsidR="00C15660" w:rsidRPr="00E65AA7" w:rsidRDefault="00C15660" w:rsidP="00C15660">
            <w:pPr>
              <w:jc w:val="center"/>
              <w:rPr>
                <w:rFonts w:eastAsia="Times New Roman"/>
                <w:b/>
                <w:color w:val="000000"/>
                <w:sz w:val="20"/>
                <w:szCs w:val="20"/>
                <w:lang w:val="en-MY" w:eastAsia="en-MY"/>
              </w:rPr>
            </w:pPr>
          </w:p>
        </w:tc>
        <w:tc>
          <w:tcPr>
            <w:tcW w:w="751" w:type="pct"/>
            <w:vMerge/>
            <w:vAlign w:val="center"/>
            <w:hideMark/>
          </w:tcPr>
          <w:p w14:paraId="3E3096BF" w14:textId="77777777" w:rsidR="00C15660" w:rsidRPr="00E65AA7" w:rsidRDefault="00C15660" w:rsidP="00C15660">
            <w:pPr>
              <w:jc w:val="center"/>
              <w:rPr>
                <w:rFonts w:eastAsia="Times New Roman"/>
                <w:b/>
                <w:color w:val="000000"/>
                <w:sz w:val="20"/>
                <w:szCs w:val="20"/>
                <w:lang w:val="en-MY" w:eastAsia="en-MY"/>
              </w:rPr>
            </w:pPr>
          </w:p>
        </w:tc>
        <w:tc>
          <w:tcPr>
            <w:tcW w:w="574" w:type="pct"/>
            <w:shd w:val="clear" w:color="auto" w:fill="auto"/>
            <w:noWrap/>
            <w:vAlign w:val="center"/>
            <w:hideMark/>
          </w:tcPr>
          <w:p w14:paraId="69140576" w14:textId="4E969C5C"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(-7.1</w:t>
            </w:r>
            <w:r w:rsidR="00093BC1">
              <w:rPr>
                <w:b/>
                <w:color w:val="000000"/>
                <w:sz w:val="20"/>
                <w:szCs w:val="20"/>
              </w:rPr>
              <w:t>0</w:t>
            </w:r>
            <w:r w:rsidRPr="00C15660">
              <w:rPr>
                <w:b/>
                <w:color w:val="000000"/>
                <w:sz w:val="20"/>
                <w:szCs w:val="20"/>
              </w:rPr>
              <w:t>)</w:t>
            </w:r>
          </w:p>
        </w:tc>
        <w:tc>
          <w:tcPr>
            <w:tcW w:w="1284" w:type="pct"/>
            <w:tcBorders>
              <w:right w:val="single" w:sz="4" w:space="0" w:color="auto"/>
            </w:tcBorders>
            <w:shd w:val="clear" w:color="auto" w:fill="auto"/>
            <w:noWrap/>
            <w:vAlign w:val="center"/>
            <w:hideMark/>
          </w:tcPr>
          <w:p w14:paraId="6C27E642" w14:textId="77777777" w:rsidR="00C15660" w:rsidRPr="00E65AA7" w:rsidRDefault="00C15660" w:rsidP="00C15660">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hideMark/>
          </w:tcPr>
          <w:p w14:paraId="51B95329" w14:textId="7C868526"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(-2.8</w:t>
            </w:r>
            <w:r>
              <w:rPr>
                <w:b/>
                <w:color w:val="000000"/>
                <w:sz w:val="20"/>
                <w:szCs w:val="20"/>
              </w:rPr>
              <w:t>0</w:t>
            </w:r>
            <w:r w:rsidRPr="00C15660">
              <w:rPr>
                <w:b/>
                <w:color w:val="000000"/>
                <w:sz w:val="20"/>
                <w:szCs w:val="20"/>
              </w:rPr>
              <w:t>)</w:t>
            </w:r>
          </w:p>
        </w:tc>
        <w:tc>
          <w:tcPr>
            <w:tcW w:w="1253" w:type="pct"/>
            <w:shd w:val="clear" w:color="auto" w:fill="auto"/>
            <w:noWrap/>
            <w:vAlign w:val="center"/>
            <w:hideMark/>
          </w:tcPr>
          <w:p w14:paraId="7CF1AEFC"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7E8D05C5" w14:textId="77777777" w:rsidTr="00DE6D22">
        <w:trPr>
          <w:trHeight w:hRule="exact" w:val="340"/>
        </w:trPr>
        <w:tc>
          <w:tcPr>
            <w:tcW w:w="574" w:type="pct"/>
            <w:vMerge/>
            <w:vAlign w:val="center"/>
          </w:tcPr>
          <w:p w14:paraId="5CAA849B" w14:textId="77777777" w:rsidR="00C15660" w:rsidRPr="00E65AA7" w:rsidRDefault="00C15660" w:rsidP="00C15660">
            <w:pPr>
              <w:jc w:val="center"/>
              <w:rPr>
                <w:rFonts w:eastAsia="Times New Roman"/>
                <w:b/>
                <w:color w:val="000000"/>
                <w:sz w:val="20"/>
                <w:szCs w:val="20"/>
                <w:lang w:val="en-MY" w:eastAsia="en-MY"/>
              </w:rPr>
            </w:pPr>
          </w:p>
        </w:tc>
        <w:tc>
          <w:tcPr>
            <w:tcW w:w="751" w:type="pct"/>
            <w:vMerge w:val="restart"/>
            <w:vAlign w:val="center"/>
          </w:tcPr>
          <w:p w14:paraId="14AE0B13" w14:textId="6B47D4B6" w:rsidR="00C15660" w:rsidRPr="00E65AA7" w:rsidRDefault="00C15660" w:rsidP="00C1566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574" w:type="pct"/>
            <w:shd w:val="clear" w:color="auto" w:fill="auto"/>
            <w:noWrap/>
            <w:vAlign w:val="center"/>
          </w:tcPr>
          <w:p w14:paraId="73EB866E" w14:textId="5D48C281"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-1.43</w:t>
            </w:r>
          </w:p>
        </w:tc>
        <w:tc>
          <w:tcPr>
            <w:tcW w:w="1284" w:type="pct"/>
            <w:tcBorders>
              <w:right w:val="single" w:sz="4" w:space="0" w:color="auto"/>
            </w:tcBorders>
            <w:shd w:val="clear" w:color="auto" w:fill="auto"/>
            <w:noWrap/>
            <w:vAlign w:val="center"/>
          </w:tcPr>
          <w:p w14:paraId="31F10F1D" w14:textId="77777777" w:rsidR="00C15660" w:rsidRPr="00E65AA7" w:rsidRDefault="00C15660" w:rsidP="00C15660">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07DD998A" w14:textId="13FF56D3" w:rsidR="00C15660" w:rsidRPr="009C0A86" w:rsidRDefault="00C15660" w:rsidP="00C15660">
            <w:pPr>
              <w:jc w:val="center"/>
              <w:rPr>
                <w:rFonts w:eastAsia="Times New Roman"/>
                <w:b/>
                <w:color w:val="000000"/>
                <w:sz w:val="20"/>
                <w:szCs w:val="20"/>
                <w:lang w:val="en-MY" w:eastAsia="en-MY"/>
              </w:rPr>
            </w:pPr>
            <w:r>
              <w:rPr>
                <w:color w:val="000000"/>
                <w:sz w:val="20"/>
                <w:szCs w:val="20"/>
              </w:rPr>
              <w:t>-0.32</w:t>
            </w:r>
          </w:p>
        </w:tc>
        <w:tc>
          <w:tcPr>
            <w:tcW w:w="1253" w:type="pct"/>
            <w:shd w:val="clear" w:color="auto" w:fill="auto"/>
            <w:noWrap/>
            <w:vAlign w:val="center"/>
          </w:tcPr>
          <w:p w14:paraId="6BBAF670"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174229B0" w14:textId="77777777" w:rsidTr="00DE6D22">
        <w:trPr>
          <w:trHeight w:hRule="exact" w:val="340"/>
        </w:trPr>
        <w:tc>
          <w:tcPr>
            <w:tcW w:w="574" w:type="pct"/>
            <w:vMerge/>
            <w:vAlign w:val="center"/>
          </w:tcPr>
          <w:p w14:paraId="032343BE" w14:textId="77777777" w:rsidR="00C15660" w:rsidRPr="00E65AA7" w:rsidRDefault="00C15660" w:rsidP="00C15660">
            <w:pPr>
              <w:jc w:val="center"/>
              <w:rPr>
                <w:rFonts w:eastAsia="Times New Roman"/>
                <w:b/>
                <w:color w:val="000000"/>
                <w:sz w:val="20"/>
                <w:szCs w:val="20"/>
                <w:lang w:val="en-MY" w:eastAsia="en-MY"/>
              </w:rPr>
            </w:pPr>
          </w:p>
        </w:tc>
        <w:tc>
          <w:tcPr>
            <w:tcW w:w="751" w:type="pct"/>
            <w:vMerge/>
            <w:vAlign w:val="center"/>
          </w:tcPr>
          <w:p w14:paraId="7AEA7629" w14:textId="77777777" w:rsidR="00C15660" w:rsidRPr="00E65AA7" w:rsidRDefault="00C15660" w:rsidP="00C15660">
            <w:pPr>
              <w:jc w:val="center"/>
              <w:rPr>
                <w:rFonts w:eastAsia="Times New Roman"/>
                <w:b/>
                <w:color w:val="000000"/>
                <w:sz w:val="20"/>
                <w:szCs w:val="20"/>
                <w:lang w:val="en-MY" w:eastAsia="en-MY"/>
              </w:rPr>
            </w:pPr>
          </w:p>
        </w:tc>
        <w:tc>
          <w:tcPr>
            <w:tcW w:w="574" w:type="pct"/>
            <w:shd w:val="clear" w:color="auto" w:fill="auto"/>
            <w:noWrap/>
            <w:vAlign w:val="center"/>
          </w:tcPr>
          <w:p w14:paraId="0FC3EE33" w14:textId="7190ACCE"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(-3.75)</w:t>
            </w:r>
          </w:p>
        </w:tc>
        <w:tc>
          <w:tcPr>
            <w:tcW w:w="1284" w:type="pct"/>
            <w:tcBorders>
              <w:right w:val="single" w:sz="4" w:space="0" w:color="auto"/>
            </w:tcBorders>
            <w:shd w:val="clear" w:color="auto" w:fill="auto"/>
            <w:noWrap/>
            <w:vAlign w:val="center"/>
          </w:tcPr>
          <w:p w14:paraId="1593D0D8" w14:textId="77777777" w:rsidR="00C15660" w:rsidRPr="00E65AA7" w:rsidRDefault="00C15660" w:rsidP="00C15660">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62BFAB9C" w14:textId="711613B7" w:rsidR="00C15660" w:rsidRPr="009C0A86" w:rsidRDefault="00C15660" w:rsidP="00C15660">
            <w:pPr>
              <w:jc w:val="center"/>
              <w:rPr>
                <w:rFonts w:eastAsia="Times New Roman"/>
                <w:b/>
                <w:color w:val="000000"/>
                <w:sz w:val="20"/>
                <w:szCs w:val="20"/>
                <w:lang w:val="en-MY" w:eastAsia="en-MY"/>
              </w:rPr>
            </w:pPr>
            <w:r>
              <w:rPr>
                <w:color w:val="000000"/>
                <w:sz w:val="20"/>
                <w:szCs w:val="20"/>
              </w:rPr>
              <w:t>(-1.01)</w:t>
            </w:r>
          </w:p>
        </w:tc>
        <w:tc>
          <w:tcPr>
            <w:tcW w:w="1253" w:type="pct"/>
            <w:shd w:val="clear" w:color="auto" w:fill="auto"/>
            <w:noWrap/>
            <w:vAlign w:val="center"/>
          </w:tcPr>
          <w:p w14:paraId="765ADFA1"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77A01EA5" w14:textId="77777777" w:rsidTr="00DE6D22">
        <w:trPr>
          <w:trHeight w:hRule="exact" w:val="340"/>
        </w:trPr>
        <w:tc>
          <w:tcPr>
            <w:tcW w:w="574" w:type="pct"/>
            <w:vMerge/>
            <w:vAlign w:val="center"/>
          </w:tcPr>
          <w:p w14:paraId="604604B3" w14:textId="77777777" w:rsidR="00C15660" w:rsidRPr="00E65AA7" w:rsidRDefault="00C15660" w:rsidP="00C15660">
            <w:pPr>
              <w:jc w:val="center"/>
              <w:rPr>
                <w:rFonts w:eastAsia="Times New Roman"/>
                <w:b/>
                <w:color w:val="000000"/>
                <w:sz w:val="20"/>
                <w:szCs w:val="20"/>
                <w:lang w:val="en-MY" w:eastAsia="en-MY"/>
              </w:rPr>
            </w:pPr>
          </w:p>
        </w:tc>
        <w:tc>
          <w:tcPr>
            <w:tcW w:w="751" w:type="pct"/>
            <w:vMerge w:val="restart"/>
            <w:vAlign w:val="center"/>
          </w:tcPr>
          <w:p w14:paraId="792F36F8" w14:textId="5D8137B0" w:rsidR="00C15660" w:rsidRPr="00E65AA7" w:rsidRDefault="00C15660" w:rsidP="00C1566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574" w:type="pct"/>
            <w:shd w:val="clear" w:color="auto" w:fill="auto"/>
            <w:noWrap/>
            <w:vAlign w:val="center"/>
          </w:tcPr>
          <w:p w14:paraId="235CB02C" w14:textId="4B075C3E"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2.75</w:t>
            </w:r>
          </w:p>
        </w:tc>
        <w:tc>
          <w:tcPr>
            <w:tcW w:w="1284" w:type="pct"/>
            <w:tcBorders>
              <w:right w:val="single" w:sz="4" w:space="0" w:color="auto"/>
            </w:tcBorders>
            <w:shd w:val="clear" w:color="auto" w:fill="auto"/>
            <w:noWrap/>
            <w:vAlign w:val="center"/>
          </w:tcPr>
          <w:p w14:paraId="72660DAE" w14:textId="77777777" w:rsidR="00C15660" w:rsidRPr="00E65AA7" w:rsidRDefault="00C15660" w:rsidP="00C15660">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5027D421" w14:textId="39183654"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1.39</w:t>
            </w:r>
          </w:p>
        </w:tc>
        <w:tc>
          <w:tcPr>
            <w:tcW w:w="1253" w:type="pct"/>
            <w:shd w:val="clear" w:color="auto" w:fill="auto"/>
            <w:noWrap/>
            <w:vAlign w:val="center"/>
          </w:tcPr>
          <w:p w14:paraId="22462257" w14:textId="77777777" w:rsidR="00C15660" w:rsidRPr="00E65AA7" w:rsidRDefault="00C15660" w:rsidP="00C15660">
            <w:pPr>
              <w:jc w:val="center"/>
              <w:rPr>
                <w:rFonts w:eastAsia="Times New Roman"/>
                <w:color w:val="000000"/>
                <w:sz w:val="20"/>
                <w:szCs w:val="20"/>
                <w:lang w:val="en-MY" w:eastAsia="en-MY"/>
              </w:rPr>
            </w:pPr>
          </w:p>
        </w:tc>
      </w:tr>
      <w:tr w:rsidR="00C15660" w:rsidRPr="00E65AA7" w14:paraId="5BC389E7" w14:textId="77777777" w:rsidTr="00DE6D22">
        <w:trPr>
          <w:trHeight w:hRule="exact" w:val="340"/>
        </w:trPr>
        <w:tc>
          <w:tcPr>
            <w:tcW w:w="574" w:type="pct"/>
            <w:vMerge/>
            <w:vAlign w:val="center"/>
          </w:tcPr>
          <w:p w14:paraId="54C4A53D" w14:textId="77777777" w:rsidR="00C15660" w:rsidRPr="00E65AA7" w:rsidRDefault="00C15660" w:rsidP="00C15660">
            <w:pPr>
              <w:jc w:val="center"/>
              <w:rPr>
                <w:rFonts w:eastAsia="Times New Roman"/>
                <w:b/>
                <w:color w:val="000000"/>
                <w:sz w:val="20"/>
                <w:szCs w:val="20"/>
                <w:lang w:val="en-MY" w:eastAsia="en-MY"/>
              </w:rPr>
            </w:pPr>
          </w:p>
        </w:tc>
        <w:tc>
          <w:tcPr>
            <w:tcW w:w="751" w:type="pct"/>
            <w:vMerge/>
            <w:vAlign w:val="center"/>
          </w:tcPr>
          <w:p w14:paraId="1703F466" w14:textId="77777777" w:rsidR="00C15660" w:rsidRPr="00E65AA7" w:rsidRDefault="00C15660" w:rsidP="00C15660">
            <w:pPr>
              <w:jc w:val="center"/>
              <w:rPr>
                <w:rFonts w:eastAsia="Times New Roman"/>
                <w:b/>
                <w:color w:val="000000"/>
                <w:sz w:val="20"/>
                <w:szCs w:val="20"/>
                <w:lang w:val="en-MY" w:eastAsia="en-MY"/>
              </w:rPr>
            </w:pPr>
          </w:p>
        </w:tc>
        <w:tc>
          <w:tcPr>
            <w:tcW w:w="574" w:type="pct"/>
            <w:shd w:val="clear" w:color="auto" w:fill="auto"/>
            <w:noWrap/>
            <w:vAlign w:val="center"/>
          </w:tcPr>
          <w:p w14:paraId="0DC39B5D" w14:textId="35A7432D"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(6.13)</w:t>
            </w:r>
          </w:p>
        </w:tc>
        <w:tc>
          <w:tcPr>
            <w:tcW w:w="1284" w:type="pct"/>
            <w:tcBorders>
              <w:right w:val="single" w:sz="4" w:space="0" w:color="auto"/>
            </w:tcBorders>
            <w:shd w:val="clear" w:color="auto" w:fill="auto"/>
            <w:noWrap/>
            <w:vAlign w:val="center"/>
          </w:tcPr>
          <w:p w14:paraId="3CF00044" w14:textId="77777777" w:rsidR="00C15660" w:rsidRPr="00E65AA7" w:rsidRDefault="00C15660" w:rsidP="00C15660">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5E470944" w14:textId="379F0D51" w:rsidR="00C15660" w:rsidRPr="00C15660" w:rsidRDefault="00C15660" w:rsidP="00C15660">
            <w:pPr>
              <w:jc w:val="center"/>
              <w:rPr>
                <w:rFonts w:eastAsia="Times New Roman"/>
                <w:b/>
                <w:color w:val="000000"/>
                <w:sz w:val="20"/>
                <w:szCs w:val="20"/>
                <w:lang w:val="en-MY" w:eastAsia="en-MY"/>
              </w:rPr>
            </w:pPr>
            <w:r w:rsidRPr="00C15660">
              <w:rPr>
                <w:b/>
                <w:color w:val="000000"/>
                <w:sz w:val="20"/>
                <w:szCs w:val="20"/>
              </w:rPr>
              <w:t>(4.31)</w:t>
            </w:r>
          </w:p>
        </w:tc>
        <w:tc>
          <w:tcPr>
            <w:tcW w:w="1253" w:type="pct"/>
            <w:shd w:val="clear" w:color="auto" w:fill="auto"/>
            <w:noWrap/>
            <w:vAlign w:val="center"/>
          </w:tcPr>
          <w:p w14:paraId="2A4CB4DF" w14:textId="77777777" w:rsidR="00C15660" w:rsidRPr="00E65AA7" w:rsidRDefault="00C15660" w:rsidP="00C15660">
            <w:pPr>
              <w:jc w:val="center"/>
              <w:rPr>
                <w:rFonts w:eastAsia="Times New Roman"/>
                <w:color w:val="000000"/>
                <w:sz w:val="20"/>
                <w:szCs w:val="20"/>
                <w:lang w:val="en-MY" w:eastAsia="en-MY"/>
              </w:rPr>
            </w:pPr>
          </w:p>
        </w:tc>
      </w:tr>
      <w:tr w:rsidR="00F867B9" w:rsidRPr="00E65AA7" w14:paraId="426DDE79" w14:textId="77777777" w:rsidTr="00DE6D22">
        <w:trPr>
          <w:trHeight w:hRule="exact" w:val="340"/>
        </w:trPr>
        <w:tc>
          <w:tcPr>
            <w:tcW w:w="574" w:type="pct"/>
            <w:vMerge w:val="restart"/>
            <w:tcBorders>
              <w:top w:val="single" w:sz="4" w:space="0" w:color="auto"/>
            </w:tcBorders>
            <w:shd w:val="clear" w:color="auto" w:fill="auto"/>
            <w:noWrap/>
            <w:vAlign w:val="center"/>
            <w:hideMark/>
          </w:tcPr>
          <w:p w14:paraId="3D73DB0F" w14:textId="3BEB7A28"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AGE</w:t>
            </w:r>
          </w:p>
        </w:tc>
        <w:tc>
          <w:tcPr>
            <w:tcW w:w="751" w:type="pct"/>
            <w:vMerge w:val="restart"/>
            <w:tcBorders>
              <w:top w:val="single" w:sz="4" w:space="0" w:color="auto"/>
            </w:tcBorders>
            <w:shd w:val="clear" w:color="auto" w:fill="auto"/>
            <w:noWrap/>
            <w:vAlign w:val="center"/>
            <w:hideMark/>
          </w:tcPr>
          <w:p w14:paraId="20A79E7A" w14:textId="3D9A376B"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574" w:type="pct"/>
            <w:tcBorders>
              <w:top w:val="single" w:sz="4" w:space="0" w:color="auto"/>
            </w:tcBorders>
            <w:shd w:val="clear" w:color="auto" w:fill="auto"/>
            <w:noWrap/>
            <w:vAlign w:val="center"/>
          </w:tcPr>
          <w:p w14:paraId="5977617F" w14:textId="1105BD02" w:rsidR="00F867B9" w:rsidRPr="008E436A" w:rsidRDefault="00F867B9" w:rsidP="00F867B9">
            <w:pPr>
              <w:jc w:val="center"/>
              <w:rPr>
                <w:rFonts w:eastAsia="Times New Roman"/>
                <w:b/>
                <w:color w:val="000000"/>
                <w:sz w:val="20"/>
                <w:szCs w:val="20"/>
                <w:lang w:val="en-MY" w:eastAsia="en-MY"/>
              </w:rPr>
            </w:pPr>
            <w:r>
              <w:rPr>
                <w:color w:val="000000"/>
                <w:sz w:val="20"/>
                <w:szCs w:val="20"/>
              </w:rPr>
              <w:t>-0.32</w:t>
            </w:r>
          </w:p>
        </w:tc>
        <w:tc>
          <w:tcPr>
            <w:tcW w:w="1284" w:type="pct"/>
            <w:tcBorders>
              <w:top w:val="single" w:sz="4" w:space="0" w:color="auto"/>
              <w:right w:val="single" w:sz="4" w:space="0" w:color="auto"/>
            </w:tcBorders>
            <w:shd w:val="clear" w:color="auto" w:fill="auto"/>
            <w:noWrap/>
            <w:vAlign w:val="center"/>
          </w:tcPr>
          <w:p w14:paraId="77DC43C5" w14:textId="77777777" w:rsidR="00F867B9" w:rsidRPr="00E65AA7" w:rsidRDefault="00F867B9" w:rsidP="00F867B9">
            <w:pPr>
              <w:jc w:val="center"/>
              <w:rPr>
                <w:rFonts w:eastAsia="Times New Roman"/>
                <w:b/>
                <w:color w:val="000000"/>
                <w:sz w:val="20"/>
                <w:szCs w:val="20"/>
                <w:lang w:val="en-MY" w:eastAsia="en-MY"/>
              </w:rPr>
            </w:pPr>
          </w:p>
        </w:tc>
        <w:tc>
          <w:tcPr>
            <w:tcW w:w="564" w:type="pct"/>
            <w:tcBorders>
              <w:top w:val="single" w:sz="4" w:space="0" w:color="auto"/>
              <w:left w:val="single" w:sz="4" w:space="0" w:color="auto"/>
            </w:tcBorders>
            <w:shd w:val="clear" w:color="auto" w:fill="auto"/>
            <w:noWrap/>
            <w:vAlign w:val="center"/>
          </w:tcPr>
          <w:p w14:paraId="5820DCC4" w14:textId="740F6D2C" w:rsidR="00F867B9" w:rsidRPr="004B38E6" w:rsidRDefault="00F867B9" w:rsidP="00F867B9">
            <w:pPr>
              <w:jc w:val="center"/>
              <w:rPr>
                <w:rFonts w:eastAsia="Times New Roman"/>
                <w:color w:val="000000"/>
                <w:sz w:val="20"/>
                <w:szCs w:val="20"/>
                <w:lang w:val="en-MY" w:eastAsia="en-MY"/>
              </w:rPr>
            </w:pPr>
            <w:r>
              <w:rPr>
                <w:color w:val="000000"/>
                <w:sz w:val="20"/>
                <w:szCs w:val="20"/>
              </w:rPr>
              <w:t>0.41</w:t>
            </w:r>
          </w:p>
        </w:tc>
        <w:tc>
          <w:tcPr>
            <w:tcW w:w="1253" w:type="pct"/>
            <w:tcBorders>
              <w:top w:val="single" w:sz="4" w:space="0" w:color="auto"/>
            </w:tcBorders>
            <w:shd w:val="clear" w:color="auto" w:fill="auto"/>
            <w:noWrap/>
            <w:vAlign w:val="center"/>
            <w:hideMark/>
          </w:tcPr>
          <w:p w14:paraId="5BF0DD7D"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3B657D5E" w14:textId="77777777" w:rsidTr="00DE6D22">
        <w:trPr>
          <w:trHeight w:hRule="exact" w:val="340"/>
        </w:trPr>
        <w:tc>
          <w:tcPr>
            <w:tcW w:w="574" w:type="pct"/>
            <w:vMerge/>
            <w:vAlign w:val="center"/>
            <w:hideMark/>
          </w:tcPr>
          <w:p w14:paraId="0BFCAE8A"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hideMark/>
          </w:tcPr>
          <w:p w14:paraId="77C08ACB"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30998376" w14:textId="7C6D23D0" w:rsidR="00F867B9" w:rsidRPr="008E436A" w:rsidRDefault="00F867B9" w:rsidP="00F867B9">
            <w:pPr>
              <w:jc w:val="center"/>
              <w:rPr>
                <w:rFonts w:eastAsia="Times New Roman"/>
                <w:b/>
                <w:color w:val="000000"/>
                <w:sz w:val="20"/>
                <w:szCs w:val="20"/>
                <w:lang w:val="en-MY" w:eastAsia="en-MY"/>
              </w:rPr>
            </w:pPr>
            <w:r>
              <w:rPr>
                <w:color w:val="000000"/>
                <w:sz w:val="20"/>
                <w:szCs w:val="20"/>
              </w:rPr>
              <w:t>(-0.84)</w:t>
            </w:r>
          </w:p>
        </w:tc>
        <w:tc>
          <w:tcPr>
            <w:tcW w:w="1284" w:type="pct"/>
            <w:tcBorders>
              <w:right w:val="single" w:sz="4" w:space="0" w:color="auto"/>
            </w:tcBorders>
            <w:shd w:val="clear" w:color="auto" w:fill="auto"/>
            <w:noWrap/>
            <w:vAlign w:val="center"/>
          </w:tcPr>
          <w:p w14:paraId="43E666DA"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79047FA0" w14:textId="1EFB2781" w:rsidR="00F867B9" w:rsidRPr="004B38E6" w:rsidRDefault="00F867B9" w:rsidP="00F867B9">
            <w:pPr>
              <w:jc w:val="center"/>
              <w:rPr>
                <w:rFonts w:eastAsia="Times New Roman"/>
                <w:color w:val="000000"/>
                <w:sz w:val="20"/>
                <w:szCs w:val="20"/>
                <w:lang w:val="en-MY" w:eastAsia="en-MY"/>
              </w:rPr>
            </w:pPr>
            <w:r>
              <w:rPr>
                <w:color w:val="000000"/>
                <w:sz w:val="20"/>
                <w:szCs w:val="20"/>
              </w:rPr>
              <w:t>(1.6</w:t>
            </w:r>
            <w:r w:rsidR="00093BC1">
              <w:rPr>
                <w:color w:val="000000"/>
                <w:sz w:val="20"/>
                <w:szCs w:val="20"/>
              </w:rPr>
              <w:t>0</w:t>
            </w:r>
            <w:r>
              <w:rPr>
                <w:color w:val="000000"/>
                <w:sz w:val="20"/>
                <w:szCs w:val="20"/>
              </w:rPr>
              <w:t>)</w:t>
            </w:r>
          </w:p>
        </w:tc>
        <w:tc>
          <w:tcPr>
            <w:tcW w:w="1253" w:type="pct"/>
            <w:shd w:val="clear" w:color="auto" w:fill="auto"/>
            <w:noWrap/>
            <w:vAlign w:val="center"/>
            <w:hideMark/>
          </w:tcPr>
          <w:p w14:paraId="0C5BDE22"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42172D58" w14:textId="77777777" w:rsidTr="00DE6D22">
        <w:trPr>
          <w:trHeight w:hRule="exact" w:val="340"/>
        </w:trPr>
        <w:tc>
          <w:tcPr>
            <w:tcW w:w="574" w:type="pct"/>
            <w:vMerge/>
            <w:vAlign w:val="center"/>
            <w:hideMark/>
          </w:tcPr>
          <w:p w14:paraId="3F874FC6"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shd w:val="clear" w:color="auto" w:fill="auto"/>
            <w:noWrap/>
            <w:vAlign w:val="center"/>
            <w:hideMark/>
          </w:tcPr>
          <w:p w14:paraId="450C237D" w14:textId="1A72C0BF"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574" w:type="pct"/>
            <w:shd w:val="clear" w:color="auto" w:fill="auto"/>
            <w:noWrap/>
            <w:vAlign w:val="center"/>
          </w:tcPr>
          <w:p w14:paraId="7DBA53F7" w14:textId="6BBD3853"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1.62</w:t>
            </w:r>
          </w:p>
        </w:tc>
        <w:tc>
          <w:tcPr>
            <w:tcW w:w="1284" w:type="pct"/>
            <w:tcBorders>
              <w:right w:val="single" w:sz="4" w:space="0" w:color="auto"/>
            </w:tcBorders>
            <w:shd w:val="clear" w:color="auto" w:fill="auto"/>
            <w:noWrap/>
            <w:vAlign w:val="center"/>
          </w:tcPr>
          <w:p w14:paraId="02D9DDAF"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7B1A3FB6" w14:textId="71071D03" w:rsidR="00F867B9" w:rsidRPr="008E436A" w:rsidRDefault="00F867B9" w:rsidP="00F867B9">
            <w:pPr>
              <w:jc w:val="center"/>
              <w:rPr>
                <w:rFonts w:eastAsia="Times New Roman"/>
                <w:b/>
                <w:color w:val="000000"/>
                <w:sz w:val="20"/>
                <w:szCs w:val="20"/>
                <w:lang w:val="en-MY" w:eastAsia="en-MY"/>
              </w:rPr>
            </w:pPr>
            <w:r>
              <w:rPr>
                <w:color w:val="000000"/>
                <w:sz w:val="20"/>
                <w:szCs w:val="20"/>
              </w:rPr>
              <w:t>-0.04</w:t>
            </w:r>
          </w:p>
        </w:tc>
        <w:tc>
          <w:tcPr>
            <w:tcW w:w="1253" w:type="pct"/>
            <w:shd w:val="clear" w:color="auto" w:fill="auto"/>
            <w:noWrap/>
            <w:vAlign w:val="center"/>
            <w:hideMark/>
          </w:tcPr>
          <w:p w14:paraId="0D885450"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03508AD8" w14:textId="77777777" w:rsidTr="00DE6D22">
        <w:trPr>
          <w:trHeight w:hRule="exact" w:val="340"/>
        </w:trPr>
        <w:tc>
          <w:tcPr>
            <w:tcW w:w="574" w:type="pct"/>
            <w:vMerge/>
            <w:vAlign w:val="center"/>
            <w:hideMark/>
          </w:tcPr>
          <w:p w14:paraId="0E337039"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hideMark/>
          </w:tcPr>
          <w:p w14:paraId="6664F9B8"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4ACCFED4" w14:textId="4A296798"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(4.91)</w:t>
            </w:r>
          </w:p>
        </w:tc>
        <w:tc>
          <w:tcPr>
            <w:tcW w:w="1284" w:type="pct"/>
            <w:tcBorders>
              <w:right w:val="single" w:sz="4" w:space="0" w:color="auto"/>
            </w:tcBorders>
            <w:shd w:val="clear" w:color="auto" w:fill="auto"/>
            <w:noWrap/>
            <w:vAlign w:val="center"/>
          </w:tcPr>
          <w:p w14:paraId="16B13AE6"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282D3A1C" w14:textId="0CAA6200" w:rsidR="00F867B9" w:rsidRPr="008E436A" w:rsidRDefault="00F867B9" w:rsidP="00F867B9">
            <w:pPr>
              <w:jc w:val="center"/>
              <w:rPr>
                <w:rFonts w:eastAsia="Times New Roman"/>
                <w:b/>
                <w:color w:val="000000"/>
                <w:sz w:val="20"/>
                <w:szCs w:val="20"/>
                <w:lang w:val="en-MY" w:eastAsia="en-MY"/>
              </w:rPr>
            </w:pPr>
            <w:r>
              <w:rPr>
                <w:color w:val="000000"/>
                <w:sz w:val="20"/>
                <w:szCs w:val="20"/>
              </w:rPr>
              <w:t>(-0.12)</w:t>
            </w:r>
          </w:p>
        </w:tc>
        <w:tc>
          <w:tcPr>
            <w:tcW w:w="1253" w:type="pct"/>
            <w:shd w:val="clear" w:color="auto" w:fill="auto"/>
            <w:noWrap/>
            <w:vAlign w:val="center"/>
            <w:hideMark/>
          </w:tcPr>
          <w:p w14:paraId="23B574DA"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0C10EDE2" w14:textId="77777777" w:rsidTr="00DE6D22">
        <w:trPr>
          <w:trHeight w:hRule="exact" w:val="340"/>
        </w:trPr>
        <w:tc>
          <w:tcPr>
            <w:tcW w:w="574" w:type="pct"/>
            <w:vMerge/>
            <w:vAlign w:val="center"/>
          </w:tcPr>
          <w:p w14:paraId="43EB240F"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vAlign w:val="center"/>
          </w:tcPr>
          <w:p w14:paraId="2ED33802" w14:textId="01B37EAA"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574" w:type="pct"/>
            <w:shd w:val="clear" w:color="auto" w:fill="auto"/>
            <w:noWrap/>
            <w:vAlign w:val="center"/>
          </w:tcPr>
          <w:p w14:paraId="78186610" w14:textId="6792B4AD"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0.59</w:t>
            </w:r>
          </w:p>
        </w:tc>
        <w:tc>
          <w:tcPr>
            <w:tcW w:w="1284" w:type="pct"/>
            <w:tcBorders>
              <w:right w:val="single" w:sz="4" w:space="0" w:color="auto"/>
            </w:tcBorders>
            <w:shd w:val="clear" w:color="auto" w:fill="auto"/>
            <w:noWrap/>
            <w:vAlign w:val="center"/>
          </w:tcPr>
          <w:p w14:paraId="38946A00"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30B34A4F" w14:textId="29A047D1" w:rsidR="00F867B9" w:rsidRPr="008E436A" w:rsidRDefault="00F867B9" w:rsidP="00F867B9">
            <w:pPr>
              <w:jc w:val="center"/>
              <w:rPr>
                <w:rFonts w:eastAsia="Times New Roman"/>
                <w:b/>
                <w:color w:val="000000"/>
                <w:sz w:val="20"/>
                <w:szCs w:val="20"/>
                <w:lang w:val="en-MY" w:eastAsia="en-MY"/>
              </w:rPr>
            </w:pPr>
            <w:r>
              <w:rPr>
                <w:color w:val="000000"/>
                <w:sz w:val="20"/>
                <w:szCs w:val="20"/>
              </w:rPr>
              <w:t>-0.30</w:t>
            </w:r>
          </w:p>
        </w:tc>
        <w:tc>
          <w:tcPr>
            <w:tcW w:w="1253" w:type="pct"/>
            <w:shd w:val="clear" w:color="auto" w:fill="auto"/>
            <w:noWrap/>
            <w:vAlign w:val="center"/>
          </w:tcPr>
          <w:p w14:paraId="2BE1AF5B"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6CA36B7B" w14:textId="77777777" w:rsidTr="00DE6D22">
        <w:trPr>
          <w:trHeight w:hRule="exact" w:val="340"/>
        </w:trPr>
        <w:tc>
          <w:tcPr>
            <w:tcW w:w="574" w:type="pct"/>
            <w:vMerge/>
            <w:vAlign w:val="center"/>
          </w:tcPr>
          <w:p w14:paraId="0082B6F2"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tcPr>
          <w:p w14:paraId="31B10C1A"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7029FF09" w14:textId="2AA56638"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(2.05)</w:t>
            </w:r>
          </w:p>
        </w:tc>
        <w:tc>
          <w:tcPr>
            <w:tcW w:w="1284" w:type="pct"/>
            <w:tcBorders>
              <w:right w:val="single" w:sz="4" w:space="0" w:color="auto"/>
            </w:tcBorders>
            <w:shd w:val="clear" w:color="auto" w:fill="auto"/>
            <w:noWrap/>
            <w:vAlign w:val="center"/>
          </w:tcPr>
          <w:p w14:paraId="19567D9C"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261D8026" w14:textId="00BE7E36" w:rsidR="00F867B9" w:rsidRPr="008E436A" w:rsidRDefault="00F867B9" w:rsidP="00F867B9">
            <w:pPr>
              <w:jc w:val="center"/>
              <w:rPr>
                <w:rFonts w:eastAsia="Times New Roman"/>
                <w:b/>
                <w:color w:val="000000"/>
                <w:sz w:val="20"/>
                <w:szCs w:val="20"/>
                <w:lang w:val="en-MY" w:eastAsia="en-MY"/>
              </w:rPr>
            </w:pPr>
            <w:r>
              <w:rPr>
                <w:color w:val="000000"/>
                <w:sz w:val="20"/>
                <w:szCs w:val="20"/>
              </w:rPr>
              <w:t>(-1.12)</w:t>
            </w:r>
          </w:p>
        </w:tc>
        <w:tc>
          <w:tcPr>
            <w:tcW w:w="1253" w:type="pct"/>
            <w:shd w:val="clear" w:color="auto" w:fill="auto"/>
            <w:noWrap/>
            <w:vAlign w:val="center"/>
          </w:tcPr>
          <w:p w14:paraId="10C4E575"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67666342" w14:textId="77777777" w:rsidTr="00DE6D22">
        <w:trPr>
          <w:trHeight w:hRule="exact" w:val="340"/>
        </w:trPr>
        <w:tc>
          <w:tcPr>
            <w:tcW w:w="574" w:type="pct"/>
            <w:vMerge/>
            <w:vAlign w:val="center"/>
          </w:tcPr>
          <w:p w14:paraId="545F2D71"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vAlign w:val="center"/>
          </w:tcPr>
          <w:p w14:paraId="625F2748" w14:textId="7CA298AD"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574" w:type="pct"/>
            <w:shd w:val="clear" w:color="auto" w:fill="auto"/>
            <w:noWrap/>
            <w:vAlign w:val="center"/>
          </w:tcPr>
          <w:p w14:paraId="7772F02F" w14:textId="470B9F36"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-1.14</w:t>
            </w:r>
          </w:p>
        </w:tc>
        <w:tc>
          <w:tcPr>
            <w:tcW w:w="1284" w:type="pct"/>
            <w:tcBorders>
              <w:right w:val="single" w:sz="4" w:space="0" w:color="auto"/>
            </w:tcBorders>
            <w:shd w:val="clear" w:color="auto" w:fill="auto"/>
            <w:noWrap/>
            <w:vAlign w:val="center"/>
          </w:tcPr>
          <w:p w14:paraId="22612847"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0453003E" w14:textId="44178338" w:rsidR="00F867B9" w:rsidRPr="00E65AA7" w:rsidRDefault="00F867B9" w:rsidP="00F867B9">
            <w:pPr>
              <w:jc w:val="center"/>
              <w:rPr>
                <w:rFonts w:eastAsia="Times New Roman"/>
                <w:b/>
                <w:color w:val="000000"/>
                <w:sz w:val="20"/>
                <w:szCs w:val="20"/>
                <w:lang w:val="en-MY" w:eastAsia="en-MY"/>
              </w:rPr>
            </w:pPr>
            <w:r>
              <w:rPr>
                <w:color w:val="000000"/>
                <w:sz w:val="20"/>
                <w:szCs w:val="20"/>
              </w:rPr>
              <w:t>-0.18</w:t>
            </w:r>
          </w:p>
        </w:tc>
        <w:tc>
          <w:tcPr>
            <w:tcW w:w="1253" w:type="pct"/>
            <w:shd w:val="clear" w:color="auto" w:fill="auto"/>
            <w:noWrap/>
            <w:vAlign w:val="center"/>
          </w:tcPr>
          <w:p w14:paraId="1742593E"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04CB8308" w14:textId="77777777" w:rsidTr="00DE6D22">
        <w:trPr>
          <w:trHeight w:hRule="exact" w:val="340"/>
        </w:trPr>
        <w:tc>
          <w:tcPr>
            <w:tcW w:w="574" w:type="pct"/>
            <w:vMerge/>
            <w:vAlign w:val="center"/>
          </w:tcPr>
          <w:p w14:paraId="5DFABC9B"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tcPr>
          <w:p w14:paraId="77227A25"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00B4D69B" w14:textId="0C05728A"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(-3.72)</w:t>
            </w:r>
          </w:p>
        </w:tc>
        <w:tc>
          <w:tcPr>
            <w:tcW w:w="1284" w:type="pct"/>
            <w:tcBorders>
              <w:right w:val="single" w:sz="4" w:space="0" w:color="auto"/>
            </w:tcBorders>
            <w:shd w:val="clear" w:color="auto" w:fill="auto"/>
            <w:noWrap/>
            <w:vAlign w:val="center"/>
          </w:tcPr>
          <w:p w14:paraId="4A1E7A28"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0E411D13" w14:textId="2578ECE3" w:rsidR="00F867B9" w:rsidRPr="00E65AA7" w:rsidRDefault="00F867B9" w:rsidP="00F867B9">
            <w:pPr>
              <w:jc w:val="center"/>
              <w:rPr>
                <w:rFonts w:eastAsia="Times New Roman"/>
                <w:b/>
                <w:color w:val="000000"/>
                <w:sz w:val="20"/>
                <w:szCs w:val="20"/>
                <w:lang w:val="en-MY" w:eastAsia="en-MY"/>
              </w:rPr>
            </w:pPr>
            <w:r>
              <w:rPr>
                <w:color w:val="000000"/>
                <w:sz w:val="20"/>
                <w:szCs w:val="20"/>
              </w:rPr>
              <w:t>(-0.67)</w:t>
            </w:r>
          </w:p>
        </w:tc>
        <w:tc>
          <w:tcPr>
            <w:tcW w:w="1253" w:type="pct"/>
            <w:shd w:val="clear" w:color="auto" w:fill="auto"/>
            <w:noWrap/>
            <w:vAlign w:val="center"/>
          </w:tcPr>
          <w:p w14:paraId="264D7699"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26F21CBC" w14:textId="77777777" w:rsidTr="00DE6D22">
        <w:trPr>
          <w:trHeight w:hRule="exact" w:val="340"/>
        </w:trPr>
        <w:tc>
          <w:tcPr>
            <w:tcW w:w="574" w:type="pct"/>
            <w:vMerge w:val="restart"/>
            <w:tcBorders>
              <w:top w:val="single" w:sz="4" w:space="0" w:color="auto"/>
            </w:tcBorders>
            <w:shd w:val="clear" w:color="auto" w:fill="auto"/>
            <w:noWrap/>
            <w:vAlign w:val="center"/>
            <w:hideMark/>
          </w:tcPr>
          <w:p w14:paraId="321A87B5" w14:textId="35284F60"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M</w:t>
            </w:r>
            <w:r w:rsidR="00093BC1">
              <w:rPr>
                <w:rFonts w:eastAsia="Times New Roman"/>
                <w:b/>
                <w:color w:val="000000"/>
                <w:sz w:val="20"/>
                <w:szCs w:val="20"/>
                <w:lang w:val="en-MY" w:eastAsia="en-MY"/>
              </w:rPr>
              <w:t>E</w:t>
            </w:r>
          </w:p>
        </w:tc>
        <w:tc>
          <w:tcPr>
            <w:tcW w:w="751" w:type="pct"/>
            <w:vMerge w:val="restart"/>
            <w:tcBorders>
              <w:top w:val="single" w:sz="4" w:space="0" w:color="auto"/>
            </w:tcBorders>
            <w:shd w:val="clear" w:color="auto" w:fill="auto"/>
            <w:noWrap/>
            <w:vAlign w:val="center"/>
            <w:hideMark/>
          </w:tcPr>
          <w:p w14:paraId="3ED50B30" w14:textId="09179C51"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574" w:type="pct"/>
            <w:tcBorders>
              <w:top w:val="single" w:sz="4" w:space="0" w:color="auto"/>
            </w:tcBorders>
            <w:shd w:val="clear" w:color="auto" w:fill="auto"/>
            <w:noWrap/>
            <w:vAlign w:val="center"/>
          </w:tcPr>
          <w:p w14:paraId="0E1B0183" w14:textId="6F86F22C" w:rsidR="00F867B9" w:rsidRPr="00E65AA7" w:rsidRDefault="00F867B9" w:rsidP="00F867B9">
            <w:pPr>
              <w:jc w:val="center"/>
              <w:rPr>
                <w:rFonts w:eastAsia="Times New Roman"/>
                <w:b/>
                <w:color w:val="000000"/>
                <w:sz w:val="20"/>
                <w:szCs w:val="20"/>
                <w:lang w:val="en-MY" w:eastAsia="en-MY"/>
              </w:rPr>
            </w:pPr>
            <w:r>
              <w:rPr>
                <w:b/>
                <w:color w:val="000000"/>
                <w:sz w:val="20"/>
                <w:szCs w:val="20"/>
              </w:rPr>
              <w:t>-1.10</w:t>
            </w:r>
          </w:p>
        </w:tc>
        <w:tc>
          <w:tcPr>
            <w:tcW w:w="1284" w:type="pct"/>
            <w:tcBorders>
              <w:top w:val="single" w:sz="4" w:space="0" w:color="auto"/>
              <w:right w:val="single" w:sz="4" w:space="0" w:color="auto"/>
            </w:tcBorders>
            <w:shd w:val="clear" w:color="auto" w:fill="auto"/>
            <w:noWrap/>
            <w:vAlign w:val="center"/>
          </w:tcPr>
          <w:p w14:paraId="07603F44" w14:textId="77777777" w:rsidR="00F867B9" w:rsidRPr="00E65AA7" w:rsidRDefault="00F867B9" w:rsidP="00F867B9">
            <w:pPr>
              <w:jc w:val="center"/>
              <w:rPr>
                <w:rFonts w:eastAsia="Times New Roman"/>
                <w:b/>
                <w:color w:val="000000"/>
                <w:sz w:val="20"/>
                <w:szCs w:val="20"/>
                <w:lang w:val="en-MY" w:eastAsia="en-MY"/>
              </w:rPr>
            </w:pPr>
          </w:p>
        </w:tc>
        <w:tc>
          <w:tcPr>
            <w:tcW w:w="564" w:type="pct"/>
            <w:tcBorders>
              <w:top w:val="single" w:sz="4" w:space="0" w:color="auto"/>
              <w:left w:val="single" w:sz="4" w:space="0" w:color="auto"/>
            </w:tcBorders>
            <w:shd w:val="clear" w:color="auto" w:fill="auto"/>
            <w:noWrap/>
            <w:vAlign w:val="center"/>
          </w:tcPr>
          <w:p w14:paraId="1267D57E" w14:textId="084FB947"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-1.17</w:t>
            </w:r>
          </w:p>
        </w:tc>
        <w:tc>
          <w:tcPr>
            <w:tcW w:w="1253" w:type="pct"/>
            <w:tcBorders>
              <w:top w:val="single" w:sz="4" w:space="0" w:color="auto"/>
            </w:tcBorders>
            <w:shd w:val="clear" w:color="auto" w:fill="auto"/>
            <w:noWrap/>
            <w:vAlign w:val="center"/>
            <w:hideMark/>
          </w:tcPr>
          <w:p w14:paraId="0EA9E63B"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7B78CEDB" w14:textId="77777777" w:rsidTr="00DE6D22">
        <w:trPr>
          <w:trHeight w:hRule="exact" w:val="340"/>
        </w:trPr>
        <w:tc>
          <w:tcPr>
            <w:tcW w:w="574" w:type="pct"/>
            <w:vMerge/>
            <w:vAlign w:val="center"/>
            <w:hideMark/>
          </w:tcPr>
          <w:p w14:paraId="31450DB9"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hideMark/>
          </w:tcPr>
          <w:p w14:paraId="412C393D"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589CBA7E" w14:textId="309C6CE2" w:rsidR="00F867B9" w:rsidRPr="00E65AA7" w:rsidRDefault="00F867B9" w:rsidP="00F867B9">
            <w:pPr>
              <w:jc w:val="center"/>
              <w:rPr>
                <w:rFonts w:eastAsia="Times New Roman"/>
                <w:b/>
                <w:color w:val="000000"/>
                <w:sz w:val="20"/>
                <w:szCs w:val="20"/>
                <w:lang w:val="en-MY" w:eastAsia="en-MY"/>
              </w:rPr>
            </w:pPr>
            <w:r>
              <w:rPr>
                <w:b/>
                <w:color w:val="000000"/>
                <w:sz w:val="20"/>
                <w:szCs w:val="20"/>
              </w:rPr>
              <w:t>(-2.39</w:t>
            </w:r>
            <w:r w:rsidRPr="00E65AA7">
              <w:rPr>
                <w:b/>
                <w:color w:val="000000"/>
                <w:sz w:val="20"/>
                <w:szCs w:val="20"/>
              </w:rPr>
              <w:t>)</w:t>
            </w:r>
          </w:p>
        </w:tc>
        <w:tc>
          <w:tcPr>
            <w:tcW w:w="1284" w:type="pct"/>
            <w:tcBorders>
              <w:right w:val="single" w:sz="4" w:space="0" w:color="auto"/>
            </w:tcBorders>
            <w:shd w:val="clear" w:color="auto" w:fill="auto"/>
            <w:noWrap/>
            <w:vAlign w:val="center"/>
          </w:tcPr>
          <w:p w14:paraId="4FE40EE0"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7B1B9298" w14:textId="55524616"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(-2.56)</w:t>
            </w:r>
          </w:p>
        </w:tc>
        <w:tc>
          <w:tcPr>
            <w:tcW w:w="1253" w:type="pct"/>
            <w:shd w:val="clear" w:color="auto" w:fill="auto"/>
            <w:noWrap/>
            <w:vAlign w:val="center"/>
            <w:hideMark/>
          </w:tcPr>
          <w:p w14:paraId="4C2D2888"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771E5142" w14:textId="77777777" w:rsidTr="00DE6D22">
        <w:trPr>
          <w:trHeight w:hRule="exact" w:val="340"/>
        </w:trPr>
        <w:tc>
          <w:tcPr>
            <w:tcW w:w="574" w:type="pct"/>
            <w:vMerge/>
            <w:vAlign w:val="center"/>
            <w:hideMark/>
          </w:tcPr>
          <w:p w14:paraId="64A4A583"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shd w:val="clear" w:color="auto" w:fill="auto"/>
            <w:noWrap/>
            <w:vAlign w:val="center"/>
            <w:hideMark/>
          </w:tcPr>
          <w:p w14:paraId="1B6E7978" w14:textId="6947C3C7"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574" w:type="pct"/>
            <w:shd w:val="clear" w:color="auto" w:fill="auto"/>
            <w:noWrap/>
            <w:vAlign w:val="center"/>
          </w:tcPr>
          <w:p w14:paraId="7836B321" w14:textId="40378286" w:rsidR="00F867B9" w:rsidRPr="00E65AA7" w:rsidRDefault="00F867B9" w:rsidP="00F867B9">
            <w:pPr>
              <w:jc w:val="center"/>
              <w:rPr>
                <w:rFonts w:eastAsia="Times New Roman"/>
                <w:b/>
                <w:color w:val="000000"/>
                <w:sz w:val="20"/>
                <w:szCs w:val="20"/>
                <w:lang w:val="en-MY" w:eastAsia="en-MY"/>
              </w:rPr>
            </w:pPr>
            <w:r>
              <w:rPr>
                <w:b/>
                <w:color w:val="000000"/>
                <w:sz w:val="20"/>
                <w:szCs w:val="20"/>
              </w:rPr>
              <w:t>0.93</w:t>
            </w:r>
          </w:p>
        </w:tc>
        <w:tc>
          <w:tcPr>
            <w:tcW w:w="1284" w:type="pct"/>
            <w:tcBorders>
              <w:right w:val="single" w:sz="4" w:space="0" w:color="auto"/>
            </w:tcBorders>
            <w:shd w:val="clear" w:color="auto" w:fill="auto"/>
            <w:noWrap/>
            <w:vAlign w:val="center"/>
          </w:tcPr>
          <w:p w14:paraId="09305895"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1EC30274" w14:textId="4DDD00E0"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0.97</w:t>
            </w:r>
          </w:p>
        </w:tc>
        <w:tc>
          <w:tcPr>
            <w:tcW w:w="1253" w:type="pct"/>
            <w:shd w:val="clear" w:color="auto" w:fill="auto"/>
            <w:noWrap/>
            <w:vAlign w:val="center"/>
            <w:hideMark/>
          </w:tcPr>
          <w:p w14:paraId="35C23955"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49E9978A" w14:textId="77777777" w:rsidTr="00DE6D22">
        <w:trPr>
          <w:trHeight w:hRule="exact" w:val="340"/>
        </w:trPr>
        <w:tc>
          <w:tcPr>
            <w:tcW w:w="574" w:type="pct"/>
            <w:vMerge/>
            <w:vAlign w:val="center"/>
            <w:hideMark/>
          </w:tcPr>
          <w:p w14:paraId="612059F2"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hideMark/>
          </w:tcPr>
          <w:p w14:paraId="31277441"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51A3A533" w14:textId="2EC472C2" w:rsidR="00F867B9" w:rsidRPr="00E65AA7" w:rsidRDefault="00F867B9" w:rsidP="00F867B9">
            <w:pPr>
              <w:jc w:val="center"/>
              <w:rPr>
                <w:rFonts w:eastAsia="Times New Roman"/>
                <w:b/>
                <w:color w:val="000000"/>
                <w:sz w:val="20"/>
                <w:szCs w:val="20"/>
                <w:lang w:val="en-MY" w:eastAsia="en-MY"/>
              </w:rPr>
            </w:pPr>
            <w:r>
              <w:rPr>
                <w:b/>
                <w:color w:val="000000"/>
                <w:sz w:val="20"/>
                <w:szCs w:val="20"/>
              </w:rPr>
              <w:t>(2.83</w:t>
            </w:r>
            <w:r w:rsidRPr="00E65AA7">
              <w:rPr>
                <w:b/>
                <w:color w:val="000000"/>
                <w:sz w:val="20"/>
                <w:szCs w:val="20"/>
              </w:rPr>
              <w:t>)</w:t>
            </w:r>
          </w:p>
        </w:tc>
        <w:tc>
          <w:tcPr>
            <w:tcW w:w="1284" w:type="pct"/>
            <w:tcBorders>
              <w:right w:val="single" w:sz="4" w:space="0" w:color="auto"/>
            </w:tcBorders>
            <w:shd w:val="clear" w:color="auto" w:fill="auto"/>
            <w:noWrap/>
            <w:vAlign w:val="center"/>
          </w:tcPr>
          <w:p w14:paraId="75E578A4"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7F5227CF" w14:textId="2905BDEA"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(2.91)</w:t>
            </w:r>
          </w:p>
        </w:tc>
        <w:tc>
          <w:tcPr>
            <w:tcW w:w="1253" w:type="pct"/>
            <w:shd w:val="clear" w:color="auto" w:fill="auto"/>
            <w:noWrap/>
            <w:vAlign w:val="center"/>
            <w:hideMark/>
          </w:tcPr>
          <w:p w14:paraId="22664ECB"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34E6D4CA" w14:textId="77777777" w:rsidTr="00DE6D22">
        <w:trPr>
          <w:trHeight w:hRule="exact" w:val="340"/>
        </w:trPr>
        <w:tc>
          <w:tcPr>
            <w:tcW w:w="574" w:type="pct"/>
            <w:vMerge/>
            <w:vAlign w:val="center"/>
          </w:tcPr>
          <w:p w14:paraId="21676226"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vAlign w:val="center"/>
          </w:tcPr>
          <w:p w14:paraId="162D1D8E" w14:textId="710D8B47"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574" w:type="pct"/>
            <w:shd w:val="clear" w:color="auto" w:fill="auto"/>
            <w:noWrap/>
            <w:vAlign w:val="center"/>
          </w:tcPr>
          <w:p w14:paraId="5BD38A94" w14:textId="198A644C" w:rsidR="00F867B9" w:rsidRPr="00E65AA7" w:rsidRDefault="00F867B9" w:rsidP="00F867B9">
            <w:pPr>
              <w:jc w:val="center"/>
              <w:rPr>
                <w:rFonts w:eastAsia="Times New Roman"/>
                <w:b/>
                <w:color w:val="000000"/>
                <w:sz w:val="20"/>
                <w:szCs w:val="20"/>
                <w:lang w:val="en-MY" w:eastAsia="en-MY"/>
              </w:rPr>
            </w:pPr>
            <w:r>
              <w:rPr>
                <w:b/>
                <w:color w:val="000000"/>
                <w:sz w:val="20"/>
                <w:szCs w:val="20"/>
              </w:rPr>
              <w:t>0.77</w:t>
            </w:r>
          </w:p>
        </w:tc>
        <w:tc>
          <w:tcPr>
            <w:tcW w:w="1284" w:type="pct"/>
            <w:tcBorders>
              <w:right w:val="single" w:sz="4" w:space="0" w:color="auto"/>
            </w:tcBorders>
            <w:shd w:val="clear" w:color="auto" w:fill="auto"/>
            <w:noWrap/>
            <w:vAlign w:val="center"/>
          </w:tcPr>
          <w:p w14:paraId="189A918E"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7CCEC0DC" w14:textId="0B6D53C0"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0.72</w:t>
            </w:r>
          </w:p>
        </w:tc>
        <w:tc>
          <w:tcPr>
            <w:tcW w:w="1253" w:type="pct"/>
            <w:shd w:val="clear" w:color="auto" w:fill="auto"/>
            <w:noWrap/>
            <w:vAlign w:val="center"/>
          </w:tcPr>
          <w:p w14:paraId="426196E6"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69CFDACA" w14:textId="77777777" w:rsidTr="00DE6D22">
        <w:trPr>
          <w:trHeight w:hRule="exact" w:val="340"/>
        </w:trPr>
        <w:tc>
          <w:tcPr>
            <w:tcW w:w="574" w:type="pct"/>
            <w:vMerge/>
            <w:vAlign w:val="center"/>
          </w:tcPr>
          <w:p w14:paraId="167E1E0E"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tcPr>
          <w:p w14:paraId="7F53BC4C"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4A6BBF2C" w14:textId="1CA6BC9A" w:rsidR="00F867B9" w:rsidRPr="00E65AA7" w:rsidRDefault="00F867B9" w:rsidP="00F867B9">
            <w:pPr>
              <w:jc w:val="center"/>
              <w:rPr>
                <w:rFonts w:eastAsia="Times New Roman"/>
                <w:b/>
                <w:color w:val="000000"/>
                <w:sz w:val="20"/>
                <w:szCs w:val="20"/>
                <w:lang w:val="en-MY" w:eastAsia="en-MY"/>
              </w:rPr>
            </w:pPr>
            <w:r>
              <w:rPr>
                <w:b/>
                <w:color w:val="000000"/>
                <w:sz w:val="20"/>
                <w:szCs w:val="20"/>
              </w:rPr>
              <w:t>(1.8</w:t>
            </w:r>
            <w:r w:rsidRPr="00E65AA7">
              <w:rPr>
                <w:b/>
                <w:color w:val="000000"/>
                <w:sz w:val="20"/>
                <w:szCs w:val="20"/>
              </w:rPr>
              <w:t>9)</w:t>
            </w:r>
          </w:p>
        </w:tc>
        <w:tc>
          <w:tcPr>
            <w:tcW w:w="1284" w:type="pct"/>
            <w:tcBorders>
              <w:right w:val="single" w:sz="4" w:space="0" w:color="auto"/>
            </w:tcBorders>
            <w:shd w:val="clear" w:color="auto" w:fill="auto"/>
            <w:noWrap/>
            <w:vAlign w:val="center"/>
          </w:tcPr>
          <w:p w14:paraId="382E643B" w14:textId="77777777" w:rsidR="00F867B9" w:rsidRPr="00E65AA7" w:rsidRDefault="00F867B9" w:rsidP="00F867B9">
            <w:pPr>
              <w:jc w:val="center"/>
              <w:rPr>
                <w:rFonts w:eastAsia="Times New Roman"/>
                <w:color w:val="000000"/>
                <w:sz w:val="20"/>
                <w:szCs w:val="20"/>
                <w:lang w:val="en-MY" w:eastAsia="en-MY"/>
              </w:rPr>
            </w:pPr>
          </w:p>
        </w:tc>
        <w:tc>
          <w:tcPr>
            <w:tcW w:w="564" w:type="pct"/>
            <w:tcBorders>
              <w:left w:val="single" w:sz="4" w:space="0" w:color="auto"/>
            </w:tcBorders>
            <w:shd w:val="clear" w:color="auto" w:fill="auto"/>
            <w:noWrap/>
            <w:vAlign w:val="center"/>
          </w:tcPr>
          <w:p w14:paraId="66C7FE27" w14:textId="3FE5C3F7"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(1.78)</w:t>
            </w:r>
          </w:p>
        </w:tc>
        <w:tc>
          <w:tcPr>
            <w:tcW w:w="1253" w:type="pct"/>
            <w:shd w:val="clear" w:color="auto" w:fill="auto"/>
            <w:noWrap/>
            <w:vAlign w:val="center"/>
          </w:tcPr>
          <w:p w14:paraId="039442B5"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4C6063B0" w14:textId="77777777" w:rsidTr="00DE6D22">
        <w:trPr>
          <w:trHeight w:hRule="exact" w:val="340"/>
        </w:trPr>
        <w:tc>
          <w:tcPr>
            <w:tcW w:w="574" w:type="pct"/>
            <w:vMerge/>
            <w:vAlign w:val="center"/>
          </w:tcPr>
          <w:p w14:paraId="66096AB2" w14:textId="77777777" w:rsidR="00F867B9" w:rsidRPr="00E65AA7" w:rsidRDefault="00F867B9" w:rsidP="00F867B9">
            <w:pPr>
              <w:jc w:val="center"/>
              <w:rPr>
                <w:rFonts w:eastAsia="Times New Roman"/>
                <w:b/>
                <w:color w:val="000000"/>
                <w:sz w:val="20"/>
                <w:szCs w:val="20"/>
                <w:lang w:val="en-MY" w:eastAsia="en-MY"/>
              </w:rPr>
            </w:pPr>
          </w:p>
        </w:tc>
        <w:tc>
          <w:tcPr>
            <w:tcW w:w="751" w:type="pct"/>
            <w:vMerge w:val="restart"/>
            <w:vAlign w:val="center"/>
          </w:tcPr>
          <w:p w14:paraId="124F1D69" w14:textId="0F340F02" w:rsidR="00F867B9" w:rsidRPr="00E65AA7" w:rsidRDefault="00F867B9" w:rsidP="00F867B9">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574" w:type="pct"/>
            <w:shd w:val="clear" w:color="auto" w:fill="auto"/>
            <w:noWrap/>
            <w:vAlign w:val="center"/>
          </w:tcPr>
          <w:p w14:paraId="00280A75" w14:textId="160EA13A" w:rsidR="00F867B9" w:rsidRPr="00E65AA7" w:rsidRDefault="00F867B9" w:rsidP="00F867B9">
            <w:pPr>
              <w:jc w:val="center"/>
              <w:rPr>
                <w:rFonts w:eastAsia="Times New Roman"/>
                <w:b/>
                <w:color w:val="000000"/>
                <w:sz w:val="20"/>
                <w:szCs w:val="20"/>
                <w:lang w:val="en-MY" w:eastAsia="en-MY"/>
              </w:rPr>
            </w:pPr>
            <w:r>
              <w:rPr>
                <w:b/>
                <w:color w:val="000000"/>
                <w:sz w:val="20"/>
                <w:szCs w:val="20"/>
              </w:rPr>
              <w:t>-3.00</w:t>
            </w:r>
          </w:p>
        </w:tc>
        <w:tc>
          <w:tcPr>
            <w:tcW w:w="1284" w:type="pct"/>
            <w:tcBorders>
              <w:right w:val="single" w:sz="4" w:space="0" w:color="auto"/>
            </w:tcBorders>
            <w:shd w:val="clear" w:color="auto" w:fill="auto"/>
            <w:noWrap/>
            <w:vAlign w:val="center"/>
          </w:tcPr>
          <w:p w14:paraId="0130ED5B"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4D0E627F" w14:textId="29183CFE"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-3.03</w:t>
            </w:r>
          </w:p>
        </w:tc>
        <w:tc>
          <w:tcPr>
            <w:tcW w:w="1253" w:type="pct"/>
            <w:shd w:val="clear" w:color="auto" w:fill="auto"/>
            <w:noWrap/>
            <w:vAlign w:val="center"/>
          </w:tcPr>
          <w:p w14:paraId="3C5CBA35" w14:textId="77777777" w:rsidR="00F867B9" w:rsidRPr="00E65AA7" w:rsidRDefault="00F867B9" w:rsidP="00F867B9">
            <w:pPr>
              <w:jc w:val="center"/>
              <w:rPr>
                <w:rFonts w:eastAsia="Times New Roman"/>
                <w:color w:val="000000"/>
                <w:sz w:val="20"/>
                <w:szCs w:val="20"/>
                <w:lang w:val="en-MY" w:eastAsia="en-MY"/>
              </w:rPr>
            </w:pPr>
          </w:p>
        </w:tc>
      </w:tr>
      <w:tr w:rsidR="00F867B9" w:rsidRPr="00E65AA7" w14:paraId="7226098D" w14:textId="77777777" w:rsidTr="00DE6D22">
        <w:trPr>
          <w:trHeight w:hRule="exact" w:val="340"/>
        </w:trPr>
        <w:tc>
          <w:tcPr>
            <w:tcW w:w="574" w:type="pct"/>
            <w:vMerge/>
            <w:vAlign w:val="center"/>
          </w:tcPr>
          <w:p w14:paraId="28DD2803" w14:textId="77777777" w:rsidR="00F867B9" w:rsidRPr="00E65AA7" w:rsidRDefault="00F867B9" w:rsidP="00F867B9">
            <w:pPr>
              <w:jc w:val="center"/>
              <w:rPr>
                <w:rFonts w:eastAsia="Times New Roman"/>
                <w:b/>
                <w:color w:val="000000"/>
                <w:sz w:val="20"/>
                <w:szCs w:val="20"/>
                <w:lang w:val="en-MY" w:eastAsia="en-MY"/>
              </w:rPr>
            </w:pPr>
          </w:p>
        </w:tc>
        <w:tc>
          <w:tcPr>
            <w:tcW w:w="751" w:type="pct"/>
            <w:vMerge/>
            <w:vAlign w:val="center"/>
          </w:tcPr>
          <w:p w14:paraId="4754C319" w14:textId="77777777" w:rsidR="00F867B9" w:rsidRPr="00E65AA7" w:rsidRDefault="00F867B9" w:rsidP="00F867B9">
            <w:pPr>
              <w:jc w:val="center"/>
              <w:rPr>
                <w:rFonts w:eastAsia="Times New Roman"/>
                <w:b/>
                <w:color w:val="000000"/>
                <w:sz w:val="20"/>
                <w:szCs w:val="20"/>
                <w:lang w:val="en-MY" w:eastAsia="en-MY"/>
              </w:rPr>
            </w:pPr>
          </w:p>
        </w:tc>
        <w:tc>
          <w:tcPr>
            <w:tcW w:w="574" w:type="pct"/>
            <w:shd w:val="clear" w:color="auto" w:fill="auto"/>
            <w:noWrap/>
            <w:vAlign w:val="center"/>
          </w:tcPr>
          <w:p w14:paraId="19CD5EEA" w14:textId="32BADA76" w:rsidR="00F867B9" w:rsidRPr="00E65AA7" w:rsidRDefault="00F867B9" w:rsidP="00F867B9">
            <w:pPr>
              <w:jc w:val="center"/>
              <w:rPr>
                <w:rFonts w:eastAsia="Times New Roman"/>
                <w:b/>
                <w:color w:val="000000"/>
                <w:sz w:val="20"/>
                <w:szCs w:val="20"/>
                <w:lang w:val="en-MY" w:eastAsia="en-MY"/>
              </w:rPr>
            </w:pPr>
            <w:r>
              <w:rPr>
                <w:b/>
                <w:color w:val="000000"/>
                <w:sz w:val="20"/>
                <w:szCs w:val="20"/>
              </w:rPr>
              <w:t>(-7.11</w:t>
            </w:r>
            <w:r w:rsidRPr="00E65AA7">
              <w:rPr>
                <w:b/>
                <w:color w:val="000000"/>
                <w:sz w:val="20"/>
                <w:szCs w:val="20"/>
              </w:rPr>
              <w:t>)</w:t>
            </w:r>
          </w:p>
        </w:tc>
        <w:tc>
          <w:tcPr>
            <w:tcW w:w="1284" w:type="pct"/>
            <w:tcBorders>
              <w:right w:val="single" w:sz="4" w:space="0" w:color="auto"/>
            </w:tcBorders>
            <w:shd w:val="clear" w:color="auto" w:fill="auto"/>
            <w:noWrap/>
            <w:vAlign w:val="center"/>
          </w:tcPr>
          <w:p w14:paraId="3979AD55" w14:textId="77777777" w:rsidR="00F867B9" w:rsidRPr="00E65AA7" w:rsidRDefault="00F867B9" w:rsidP="00F867B9">
            <w:pPr>
              <w:jc w:val="center"/>
              <w:rPr>
                <w:rFonts w:eastAsia="Times New Roman"/>
                <w:b/>
                <w:color w:val="000000"/>
                <w:sz w:val="20"/>
                <w:szCs w:val="20"/>
                <w:lang w:val="en-MY" w:eastAsia="en-MY"/>
              </w:rPr>
            </w:pPr>
          </w:p>
        </w:tc>
        <w:tc>
          <w:tcPr>
            <w:tcW w:w="564" w:type="pct"/>
            <w:tcBorders>
              <w:left w:val="single" w:sz="4" w:space="0" w:color="auto"/>
            </w:tcBorders>
            <w:shd w:val="clear" w:color="auto" w:fill="auto"/>
            <w:noWrap/>
            <w:vAlign w:val="center"/>
          </w:tcPr>
          <w:p w14:paraId="0BFB695A" w14:textId="7632F24F" w:rsidR="00F867B9" w:rsidRPr="00F867B9" w:rsidRDefault="00F867B9" w:rsidP="00F867B9">
            <w:pPr>
              <w:jc w:val="center"/>
              <w:rPr>
                <w:rFonts w:eastAsia="Times New Roman"/>
                <w:b/>
                <w:color w:val="000000"/>
                <w:sz w:val="20"/>
                <w:szCs w:val="20"/>
                <w:lang w:val="en-MY" w:eastAsia="en-MY"/>
              </w:rPr>
            </w:pPr>
            <w:r w:rsidRPr="00F867B9">
              <w:rPr>
                <w:b/>
                <w:color w:val="000000"/>
                <w:sz w:val="20"/>
                <w:szCs w:val="20"/>
              </w:rPr>
              <w:t>(-7.3</w:t>
            </w:r>
            <w:r w:rsidR="002B3769">
              <w:rPr>
                <w:b/>
                <w:color w:val="000000"/>
                <w:sz w:val="20"/>
                <w:szCs w:val="20"/>
              </w:rPr>
              <w:t>0</w:t>
            </w:r>
            <w:r w:rsidRPr="00F867B9">
              <w:rPr>
                <w:b/>
                <w:color w:val="000000"/>
                <w:sz w:val="20"/>
                <w:szCs w:val="20"/>
              </w:rPr>
              <w:t>)</w:t>
            </w:r>
          </w:p>
        </w:tc>
        <w:tc>
          <w:tcPr>
            <w:tcW w:w="1253" w:type="pct"/>
            <w:shd w:val="clear" w:color="auto" w:fill="auto"/>
            <w:noWrap/>
            <w:vAlign w:val="center"/>
          </w:tcPr>
          <w:p w14:paraId="1DAF88F6" w14:textId="77777777" w:rsidR="00F867B9" w:rsidRPr="00E65AA7" w:rsidRDefault="00F867B9" w:rsidP="00F867B9">
            <w:pPr>
              <w:jc w:val="center"/>
              <w:rPr>
                <w:rFonts w:eastAsia="Times New Roman"/>
                <w:color w:val="000000"/>
                <w:sz w:val="20"/>
                <w:szCs w:val="20"/>
                <w:lang w:val="en-MY" w:eastAsia="en-MY"/>
              </w:rPr>
            </w:pPr>
          </w:p>
        </w:tc>
      </w:tr>
    </w:tbl>
    <w:p w14:paraId="7E92AFA5" w14:textId="68F92431" w:rsidR="00FF6E58" w:rsidRPr="00E65AA7" w:rsidRDefault="00FF6E58" w:rsidP="00D9690A">
      <w:pPr>
        <w:spacing w:after="240"/>
        <w:rPr>
          <w:b/>
          <w:sz w:val="20"/>
          <w:szCs w:val="20"/>
        </w:rPr>
      </w:pPr>
      <w:r w:rsidRPr="00E65AA7">
        <w:br w:type="page"/>
      </w:r>
      <w:r w:rsidR="007047F6">
        <w:rPr>
          <w:b/>
          <w:sz w:val="20"/>
          <w:szCs w:val="20"/>
        </w:rPr>
        <w:lastRenderedPageBreak/>
        <w:t xml:space="preserve">Table </w:t>
      </w:r>
      <w:r w:rsidR="00246B42">
        <w:rPr>
          <w:b/>
          <w:sz w:val="20"/>
          <w:szCs w:val="20"/>
        </w:rPr>
        <w:t>7</w:t>
      </w:r>
      <w:r w:rsidRPr="00E65AA7">
        <w:rPr>
          <w:b/>
          <w:sz w:val="20"/>
          <w:szCs w:val="20"/>
        </w:rPr>
        <w:t>: Continued</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701"/>
        <w:gridCol w:w="1701"/>
        <w:gridCol w:w="1700"/>
        <w:gridCol w:w="1562"/>
        <w:gridCol w:w="1970"/>
        <w:gridCol w:w="1832"/>
      </w:tblGrid>
      <w:tr w:rsidR="000159BC" w:rsidRPr="00E65AA7" w14:paraId="7C9CD9E6" w14:textId="77777777" w:rsidTr="00BB1EA4">
        <w:trPr>
          <w:trHeight w:hRule="exact" w:val="340"/>
        </w:trPr>
        <w:tc>
          <w:tcPr>
            <w:tcW w:w="3184" w:type="pct"/>
            <w:gridSpan w:val="4"/>
            <w:tcBorders>
              <w:top w:val="single" w:sz="4" w:space="0" w:color="auto"/>
              <w:right w:val="single" w:sz="4" w:space="0" w:color="auto"/>
            </w:tcBorders>
            <w:shd w:val="clear" w:color="auto" w:fill="auto"/>
            <w:noWrap/>
            <w:vAlign w:val="center"/>
          </w:tcPr>
          <w:p w14:paraId="73EFAC22" w14:textId="30734B08" w:rsidR="000159BC" w:rsidRPr="00E65AA7" w:rsidRDefault="000159BC" w:rsidP="000159BC">
            <w:pPr>
              <w:jc w:val="center"/>
              <w:rPr>
                <w:b/>
                <w:color w:val="000000"/>
                <w:sz w:val="20"/>
                <w:szCs w:val="20"/>
              </w:rPr>
            </w:pPr>
            <w:r w:rsidRPr="00E65AA7">
              <w:rPr>
                <w:rFonts w:eastAsia="Times New Roman"/>
                <w:b/>
                <w:bCs/>
                <w:color w:val="000000"/>
                <w:sz w:val="20"/>
                <w:szCs w:val="20"/>
                <w:lang w:eastAsia="en-MY"/>
              </w:rPr>
              <w:t>CAPM Adjusted Returns</w:t>
            </w:r>
          </w:p>
        </w:tc>
        <w:tc>
          <w:tcPr>
            <w:tcW w:w="1816" w:type="pct"/>
            <w:gridSpan w:val="2"/>
            <w:tcBorders>
              <w:top w:val="single" w:sz="4" w:space="0" w:color="auto"/>
              <w:left w:val="single" w:sz="4" w:space="0" w:color="auto"/>
            </w:tcBorders>
            <w:shd w:val="clear" w:color="auto" w:fill="auto"/>
            <w:noWrap/>
            <w:vAlign w:val="center"/>
          </w:tcPr>
          <w:p w14:paraId="6CD68442" w14:textId="4847F70E" w:rsidR="000159BC" w:rsidRPr="00E65AA7" w:rsidRDefault="00EB6E17" w:rsidP="000159BC">
            <w:pPr>
              <w:jc w:val="center"/>
              <w:rPr>
                <w:b/>
                <w:color w:val="000000"/>
                <w:sz w:val="20"/>
                <w:szCs w:val="20"/>
              </w:rPr>
            </w:pPr>
            <w:r w:rsidRPr="00E65AA7">
              <w:rPr>
                <w:rFonts w:eastAsia="Times New Roman"/>
                <w:b/>
                <w:bCs/>
                <w:color w:val="000000"/>
                <w:sz w:val="20"/>
                <w:szCs w:val="20"/>
                <w:lang w:eastAsia="en-MY"/>
              </w:rPr>
              <w:t>FF p</w:t>
            </w:r>
            <w:r w:rsidR="000159BC" w:rsidRPr="00E65AA7">
              <w:rPr>
                <w:rFonts w:eastAsia="Times New Roman"/>
                <w:b/>
                <w:bCs/>
                <w:color w:val="000000"/>
                <w:sz w:val="20"/>
                <w:szCs w:val="20"/>
                <w:lang w:eastAsia="en-MY"/>
              </w:rPr>
              <w:t>lus UMD Factors Adjusted Returns</w:t>
            </w:r>
          </w:p>
        </w:tc>
      </w:tr>
      <w:tr w:rsidR="00921C0C" w:rsidRPr="00E65AA7" w14:paraId="3848BF97" w14:textId="77777777" w:rsidTr="00BB1EA4">
        <w:trPr>
          <w:trHeight w:hRule="exact" w:val="340"/>
        </w:trPr>
        <w:tc>
          <w:tcPr>
            <w:tcW w:w="813" w:type="pct"/>
            <w:tcBorders>
              <w:top w:val="single" w:sz="4" w:space="0" w:color="auto"/>
            </w:tcBorders>
            <w:shd w:val="clear" w:color="auto" w:fill="auto"/>
            <w:noWrap/>
            <w:vAlign w:val="center"/>
          </w:tcPr>
          <w:p w14:paraId="619B3428" w14:textId="77777777" w:rsidR="00921C0C" w:rsidRPr="00E65AA7" w:rsidRDefault="00921C0C" w:rsidP="00921C0C">
            <w:pPr>
              <w:jc w:val="center"/>
              <w:rPr>
                <w:rFonts w:eastAsia="Times New Roman"/>
                <w:b/>
                <w:color w:val="000000"/>
                <w:sz w:val="20"/>
                <w:szCs w:val="20"/>
                <w:lang w:val="en-MY" w:eastAsia="en-MY"/>
              </w:rPr>
            </w:pPr>
          </w:p>
        </w:tc>
        <w:tc>
          <w:tcPr>
            <w:tcW w:w="813" w:type="pct"/>
            <w:tcBorders>
              <w:top w:val="single" w:sz="4" w:space="0" w:color="auto"/>
            </w:tcBorders>
            <w:shd w:val="clear" w:color="auto" w:fill="auto"/>
            <w:noWrap/>
            <w:vAlign w:val="center"/>
          </w:tcPr>
          <w:p w14:paraId="1A2CBEEC" w14:textId="309A7D9F" w:rsidR="00921C0C" w:rsidRPr="00E65AA7" w:rsidRDefault="00921C0C" w:rsidP="00921C0C">
            <w:pPr>
              <w:jc w:val="center"/>
              <w:rPr>
                <w:rFonts w:eastAsia="Times New Roman"/>
                <w:b/>
                <w:color w:val="000000"/>
                <w:sz w:val="20"/>
                <w:szCs w:val="20"/>
                <w:lang w:val="en-MY" w:eastAsia="en-MY"/>
              </w:rPr>
            </w:pPr>
            <w:r w:rsidRPr="00E65AA7">
              <w:rPr>
                <w:rFonts w:eastAsia="Times New Roman"/>
                <w:b/>
                <w:sz w:val="20"/>
                <w:szCs w:val="20"/>
                <w:lang w:val="en-MY" w:eastAsia="en-MY"/>
              </w:rPr>
              <w:t>Sentiment</w:t>
            </w:r>
          </w:p>
        </w:tc>
        <w:tc>
          <w:tcPr>
            <w:tcW w:w="812" w:type="pct"/>
            <w:tcBorders>
              <w:top w:val="single" w:sz="4" w:space="0" w:color="auto"/>
            </w:tcBorders>
            <w:shd w:val="clear" w:color="auto" w:fill="auto"/>
            <w:noWrap/>
            <w:vAlign w:val="center"/>
          </w:tcPr>
          <w:p w14:paraId="41A515C9" w14:textId="11F1304C" w:rsidR="00921C0C" w:rsidRPr="00E65AA7" w:rsidRDefault="00921C0C" w:rsidP="00921C0C">
            <w:pPr>
              <w:jc w:val="center"/>
              <w:rPr>
                <w:b/>
                <w:color w:val="000000"/>
                <w:sz w:val="20"/>
                <w:szCs w:val="20"/>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c>
          <w:tcPr>
            <w:tcW w:w="746" w:type="pct"/>
            <w:tcBorders>
              <w:top w:val="single" w:sz="4" w:space="0" w:color="auto"/>
              <w:right w:val="single" w:sz="4" w:space="0" w:color="auto"/>
            </w:tcBorders>
            <w:shd w:val="clear" w:color="auto" w:fill="auto"/>
            <w:noWrap/>
            <w:vAlign w:val="center"/>
          </w:tcPr>
          <w:p w14:paraId="7541A6BE" w14:textId="59F3A405" w:rsidR="00921C0C" w:rsidRPr="00E65AA7" w:rsidRDefault="005F0EDD" w:rsidP="00921C0C">
            <w:pPr>
              <w:jc w:val="center"/>
              <w:rPr>
                <w:b/>
                <w:color w:val="000000"/>
                <w:sz w:val="20"/>
                <w:szCs w:val="20"/>
              </w:rPr>
            </w:pPr>
            <w:r w:rsidRPr="00E65AA7">
              <w:rPr>
                <w:rFonts w:eastAsia="Times New Roman"/>
                <w:b/>
                <w:bCs/>
                <w:color w:val="000000"/>
                <w:sz w:val="20"/>
                <w:szCs w:val="20"/>
                <w:lang w:eastAsia="en-MY"/>
              </w:rPr>
              <w:t>≤0</w:t>
            </w:r>
            <w:r>
              <w:rPr>
                <w:rFonts w:eastAsia="Times New Roman"/>
                <w:b/>
                <w:bCs/>
                <w:color w:val="000000"/>
                <w:sz w:val="20"/>
                <w:szCs w:val="20"/>
                <w:lang w:eastAsia="en-MY"/>
              </w:rPr>
              <w:t xml:space="preserve"> - </w:t>
            </w:r>
            <w:r w:rsidRPr="00E65AA7">
              <w:rPr>
                <w:rFonts w:eastAsia="Times New Roman"/>
                <w:b/>
                <w:bCs/>
                <w:color w:val="000000"/>
                <w:sz w:val="20"/>
                <w:szCs w:val="20"/>
                <w:lang w:eastAsia="en-MY"/>
              </w:rPr>
              <w:t>≥0</w:t>
            </w:r>
          </w:p>
        </w:tc>
        <w:tc>
          <w:tcPr>
            <w:tcW w:w="941" w:type="pct"/>
            <w:tcBorders>
              <w:top w:val="single" w:sz="4" w:space="0" w:color="auto"/>
              <w:left w:val="single" w:sz="4" w:space="0" w:color="auto"/>
            </w:tcBorders>
            <w:shd w:val="clear" w:color="auto" w:fill="auto"/>
            <w:noWrap/>
            <w:vAlign w:val="center"/>
          </w:tcPr>
          <w:p w14:paraId="72A6C859" w14:textId="37F677E5" w:rsidR="00921C0C" w:rsidRPr="00E65AA7" w:rsidRDefault="00921C0C" w:rsidP="00921C0C">
            <w:pPr>
              <w:jc w:val="center"/>
              <w:rPr>
                <w:color w:val="000000"/>
                <w:sz w:val="20"/>
                <w:szCs w:val="20"/>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c>
          <w:tcPr>
            <w:tcW w:w="875" w:type="pct"/>
            <w:tcBorders>
              <w:top w:val="single" w:sz="4" w:space="0" w:color="auto"/>
            </w:tcBorders>
            <w:shd w:val="clear" w:color="auto" w:fill="auto"/>
            <w:noWrap/>
            <w:vAlign w:val="center"/>
          </w:tcPr>
          <w:p w14:paraId="0360EBF5" w14:textId="54442FC7" w:rsidR="00921C0C" w:rsidRPr="00E65AA7" w:rsidRDefault="00E6777E" w:rsidP="00921C0C">
            <w:pPr>
              <w:jc w:val="center"/>
              <w:rPr>
                <w:b/>
                <w:color w:val="000000"/>
                <w:sz w:val="20"/>
                <w:szCs w:val="20"/>
              </w:rPr>
            </w:pPr>
            <w:r w:rsidRPr="00E65AA7">
              <w:rPr>
                <w:rFonts w:eastAsia="Times New Roman"/>
                <w:b/>
                <w:bCs/>
                <w:color w:val="000000"/>
                <w:sz w:val="20"/>
                <w:szCs w:val="20"/>
                <w:lang w:eastAsia="en-MY"/>
              </w:rPr>
              <w:t>≤0</w:t>
            </w:r>
            <w:r>
              <w:rPr>
                <w:rFonts w:eastAsia="Times New Roman"/>
                <w:b/>
                <w:bCs/>
                <w:color w:val="000000"/>
                <w:sz w:val="20"/>
                <w:szCs w:val="20"/>
                <w:lang w:eastAsia="en-MY"/>
              </w:rPr>
              <w:t xml:space="preserve"> - </w:t>
            </w:r>
            <w:r w:rsidRPr="00E65AA7">
              <w:rPr>
                <w:rFonts w:eastAsia="Times New Roman"/>
                <w:b/>
                <w:bCs/>
                <w:color w:val="000000"/>
                <w:sz w:val="20"/>
                <w:szCs w:val="20"/>
                <w:lang w:eastAsia="en-MY"/>
              </w:rPr>
              <w:t>≥0</w:t>
            </w:r>
          </w:p>
        </w:tc>
      </w:tr>
      <w:tr w:rsidR="00577A00" w:rsidRPr="00E65AA7" w14:paraId="29C3706C" w14:textId="77777777" w:rsidTr="00BB1EA4">
        <w:trPr>
          <w:trHeight w:hRule="exact" w:val="340"/>
        </w:trPr>
        <w:tc>
          <w:tcPr>
            <w:tcW w:w="813" w:type="pct"/>
            <w:vMerge w:val="restart"/>
            <w:tcBorders>
              <w:top w:val="single" w:sz="4" w:space="0" w:color="auto"/>
            </w:tcBorders>
            <w:shd w:val="clear" w:color="auto" w:fill="auto"/>
            <w:noWrap/>
            <w:vAlign w:val="center"/>
            <w:hideMark/>
          </w:tcPr>
          <w:p w14:paraId="15975D88" w14:textId="7C51C619" w:rsidR="00577A00" w:rsidRPr="00E65AA7" w:rsidRDefault="00577A00" w:rsidP="00577A0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E/BE</w:t>
            </w:r>
          </w:p>
        </w:tc>
        <w:tc>
          <w:tcPr>
            <w:tcW w:w="813" w:type="pct"/>
            <w:vMerge w:val="restart"/>
            <w:tcBorders>
              <w:top w:val="single" w:sz="4" w:space="0" w:color="auto"/>
            </w:tcBorders>
            <w:shd w:val="clear" w:color="auto" w:fill="auto"/>
            <w:noWrap/>
            <w:vAlign w:val="center"/>
            <w:hideMark/>
          </w:tcPr>
          <w:p w14:paraId="6AEBE440" w14:textId="2100C5D2" w:rsidR="00577A00" w:rsidRPr="00E65AA7" w:rsidRDefault="00577A00" w:rsidP="00577A0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812" w:type="pct"/>
            <w:tcBorders>
              <w:top w:val="single" w:sz="4" w:space="0" w:color="auto"/>
            </w:tcBorders>
            <w:shd w:val="clear" w:color="auto" w:fill="auto"/>
            <w:noWrap/>
            <w:vAlign w:val="center"/>
          </w:tcPr>
          <w:p w14:paraId="76A04DC7" w14:textId="31E36D94" w:rsidR="00577A00" w:rsidRPr="00E65AA7" w:rsidRDefault="00577A00" w:rsidP="00577A00">
            <w:pPr>
              <w:jc w:val="center"/>
              <w:rPr>
                <w:rFonts w:eastAsia="Times New Roman"/>
                <w:b/>
                <w:color w:val="000000"/>
                <w:sz w:val="20"/>
                <w:szCs w:val="20"/>
                <w:lang w:val="en-MY" w:eastAsia="en-MY"/>
              </w:rPr>
            </w:pPr>
            <w:r>
              <w:rPr>
                <w:color w:val="000000"/>
                <w:sz w:val="20"/>
                <w:szCs w:val="20"/>
              </w:rPr>
              <w:t>-0.12</w:t>
            </w:r>
          </w:p>
        </w:tc>
        <w:tc>
          <w:tcPr>
            <w:tcW w:w="746" w:type="pct"/>
            <w:tcBorders>
              <w:top w:val="single" w:sz="4" w:space="0" w:color="auto"/>
              <w:right w:val="single" w:sz="4" w:space="0" w:color="auto"/>
            </w:tcBorders>
            <w:shd w:val="clear" w:color="auto" w:fill="auto"/>
            <w:noWrap/>
            <w:vAlign w:val="center"/>
          </w:tcPr>
          <w:p w14:paraId="501B2E68" w14:textId="0EAC5A99" w:rsidR="00577A00" w:rsidRPr="00E65AA7" w:rsidRDefault="00577A00" w:rsidP="00577A00">
            <w:pPr>
              <w:jc w:val="center"/>
              <w:rPr>
                <w:rFonts w:eastAsia="Times New Roman"/>
                <w:b/>
                <w:color w:val="000000"/>
                <w:sz w:val="20"/>
                <w:szCs w:val="20"/>
                <w:lang w:val="en-MY" w:eastAsia="en-MY"/>
              </w:rPr>
            </w:pPr>
            <w:r>
              <w:rPr>
                <w:color w:val="000000"/>
                <w:sz w:val="20"/>
                <w:szCs w:val="20"/>
              </w:rPr>
              <w:t>-0.41</w:t>
            </w:r>
          </w:p>
        </w:tc>
        <w:tc>
          <w:tcPr>
            <w:tcW w:w="941" w:type="pct"/>
            <w:tcBorders>
              <w:top w:val="single" w:sz="4" w:space="0" w:color="auto"/>
              <w:left w:val="single" w:sz="4" w:space="0" w:color="auto"/>
            </w:tcBorders>
            <w:shd w:val="clear" w:color="auto" w:fill="auto"/>
            <w:noWrap/>
            <w:vAlign w:val="center"/>
          </w:tcPr>
          <w:p w14:paraId="3DD0283E" w14:textId="384EF45D" w:rsidR="00577A00" w:rsidRPr="00E65AA7" w:rsidRDefault="00577A00" w:rsidP="00577A00">
            <w:pPr>
              <w:jc w:val="center"/>
              <w:rPr>
                <w:rFonts w:eastAsia="Times New Roman"/>
                <w:color w:val="000000"/>
                <w:sz w:val="20"/>
                <w:szCs w:val="20"/>
                <w:lang w:val="en-MY" w:eastAsia="en-MY"/>
              </w:rPr>
            </w:pPr>
            <w:r>
              <w:rPr>
                <w:color w:val="000000"/>
                <w:sz w:val="20"/>
                <w:szCs w:val="20"/>
              </w:rPr>
              <w:t>0.00</w:t>
            </w:r>
          </w:p>
        </w:tc>
        <w:tc>
          <w:tcPr>
            <w:tcW w:w="875" w:type="pct"/>
            <w:tcBorders>
              <w:top w:val="single" w:sz="4" w:space="0" w:color="auto"/>
            </w:tcBorders>
            <w:shd w:val="clear" w:color="auto" w:fill="auto"/>
            <w:noWrap/>
            <w:vAlign w:val="center"/>
            <w:hideMark/>
          </w:tcPr>
          <w:p w14:paraId="121E26CE" w14:textId="07C10A94" w:rsidR="00577A00" w:rsidRPr="00921C0C" w:rsidRDefault="00E6777E" w:rsidP="00577A00">
            <w:pPr>
              <w:jc w:val="center"/>
              <w:rPr>
                <w:rFonts w:eastAsia="Times New Roman"/>
                <w:b/>
                <w:color w:val="000000"/>
                <w:sz w:val="20"/>
                <w:szCs w:val="20"/>
                <w:lang w:val="en-MY" w:eastAsia="en-MY"/>
              </w:rPr>
            </w:pPr>
            <w:r>
              <w:rPr>
                <w:color w:val="000000"/>
                <w:sz w:val="20"/>
                <w:szCs w:val="20"/>
              </w:rPr>
              <w:t>-</w:t>
            </w:r>
            <w:r w:rsidR="00577A00">
              <w:rPr>
                <w:color w:val="000000"/>
                <w:sz w:val="20"/>
                <w:szCs w:val="20"/>
              </w:rPr>
              <w:t>0.16</w:t>
            </w:r>
          </w:p>
        </w:tc>
      </w:tr>
      <w:tr w:rsidR="00577A00" w:rsidRPr="00E65AA7" w14:paraId="288DBA21" w14:textId="77777777" w:rsidTr="00BB1EA4">
        <w:trPr>
          <w:trHeight w:hRule="exact" w:val="340"/>
        </w:trPr>
        <w:tc>
          <w:tcPr>
            <w:tcW w:w="813" w:type="pct"/>
            <w:vMerge/>
            <w:vAlign w:val="center"/>
            <w:hideMark/>
          </w:tcPr>
          <w:p w14:paraId="49BCB2EE" w14:textId="77777777" w:rsidR="00577A00" w:rsidRPr="00E65AA7" w:rsidRDefault="00577A00" w:rsidP="00577A00">
            <w:pPr>
              <w:jc w:val="center"/>
              <w:rPr>
                <w:rFonts w:eastAsia="Times New Roman"/>
                <w:b/>
                <w:color w:val="000000"/>
                <w:sz w:val="20"/>
                <w:szCs w:val="20"/>
                <w:lang w:val="en-MY" w:eastAsia="en-MY"/>
              </w:rPr>
            </w:pPr>
          </w:p>
        </w:tc>
        <w:tc>
          <w:tcPr>
            <w:tcW w:w="813" w:type="pct"/>
            <w:vMerge/>
            <w:vAlign w:val="center"/>
            <w:hideMark/>
          </w:tcPr>
          <w:p w14:paraId="67292A2D" w14:textId="77777777" w:rsidR="00577A00" w:rsidRPr="00E65AA7" w:rsidRDefault="00577A00" w:rsidP="00577A00">
            <w:pPr>
              <w:jc w:val="center"/>
              <w:rPr>
                <w:rFonts w:eastAsia="Times New Roman"/>
                <w:b/>
                <w:color w:val="000000"/>
                <w:sz w:val="20"/>
                <w:szCs w:val="20"/>
                <w:lang w:val="en-MY" w:eastAsia="en-MY"/>
              </w:rPr>
            </w:pPr>
          </w:p>
        </w:tc>
        <w:tc>
          <w:tcPr>
            <w:tcW w:w="812" w:type="pct"/>
            <w:shd w:val="clear" w:color="auto" w:fill="auto"/>
            <w:noWrap/>
            <w:vAlign w:val="center"/>
          </w:tcPr>
          <w:p w14:paraId="3143F8C2" w14:textId="2B68EF96" w:rsidR="00577A00" w:rsidRPr="00E65AA7" w:rsidRDefault="00577A00" w:rsidP="00577A00">
            <w:pPr>
              <w:jc w:val="center"/>
              <w:rPr>
                <w:rFonts w:eastAsia="Times New Roman"/>
                <w:b/>
                <w:color w:val="000000"/>
                <w:sz w:val="20"/>
                <w:szCs w:val="20"/>
                <w:lang w:val="en-MY" w:eastAsia="en-MY"/>
              </w:rPr>
            </w:pPr>
            <w:r>
              <w:rPr>
                <w:color w:val="000000"/>
                <w:sz w:val="20"/>
                <w:szCs w:val="20"/>
              </w:rPr>
              <w:t>(-0.76)</w:t>
            </w:r>
          </w:p>
        </w:tc>
        <w:tc>
          <w:tcPr>
            <w:tcW w:w="746" w:type="pct"/>
            <w:tcBorders>
              <w:right w:val="single" w:sz="4" w:space="0" w:color="auto"/>
            </w:tcBorders>
            <w:shd w:val="clear" w:color="auto" w:fill="auto"/>
            <w:noWrap/>
            <w:vAlign w:val="center"/>
          </w:tcPr>
          <w:p w14:paraId="2625D145" w14:textId="13A84047" w:rsidR="00577A00" w:rsidRPr="00E65AA7" w:rsidRDefault="00577A00" w:rsidP="00577A00">
            <w:pPr>
              <w:jc w:val="center"/>
              <w:rPr>
                <w:rFonts w:eastAsia="Times New Roman"/>
                <w:b/>
                <w:color w:val="000000"/>
                <w:sz w:val="20"/>
                <w:szCs w:val="20"/>
                <w:lang w:val="en-MY" w:eastAsia="en-MY"/>
              </w:rPr>
            </w:pPr>
            <w:r>
              <w:rPr>
                <w:color w:val="000000"/>
                <w:sz w:val="20"/>
                <w:szCs w:val="20"/>
              </w:rPr>
              <w:t>(-1.06)</w:t>
            </w:r>
          </w:p>
        </w:tc>
        <w:tc>
          <w:tcPr>
            <w:tcW w:w="941" w:type="pct"/>
            <w:tcBorders>
              <w:left w:val="single" w:sz="4" w:space="0" w:color="auto"/>
            </w:tcBorders>
            <w:shd w:val="clear" w:color="auto" w:fill="auto"/>
            <w:noWrap/>
            <w:vAlign w:val="center"/>
          </w:tcPr>
          <w:p w14:paraId="13D9FE70" w14:textId="2D74A71A" w:rsidR="00577A00" w:rsidRPr="00E65AA7" w:rsidRDefault="00577A00" w:rsidP="00577A00">
            <w:pPr>
              <w:jc w:val="center"/>
              <w:rPr>
                <w:rFonts w:eastAsia="Times New Roman"/>
                <w:color w:val="000000"/>
                <w:sz w:val="20"/>
                <w:szCs w:val="20"/>
                <w:lang w:val="en-MY" w:eastAsia="en-MY"/>
              </w:rPr>
            </w:pPr>
            <w:r>
              <w:rPr>
                <w:color w:val="000000"/>
                <w:sz w:val="20"/>
                <w:szCs w:val="20"/>
              </w:rPr>
              <w:t>(0.01)</w:t>
            </w:r>
          </w:p>
        </w:tc>
        <w:tc>
          <w:tcPr>
            <w:tcW w:w="875" w:type="pct"/>
            <w:shd w:val="clear" w:color="auto" w:fill="auto"/>
            <w:noWrap/>
            <w:vAlign w:val="center"/>
            <w:hideMark/>
          </w:tcPr>
          <w:p w14:paraId="3DD17BF8" w14:textId="2C8B1E32" w:rsidR="00577A00" w:rsidRPr="00921C0C" w:rsidRDefault="00577A00" w:rsidP="00577A00">
            <w:pPr>
              <w:jc w:val="center"/>
              <w:rPr>
                <w:rFonts w:eastAsia="Times New Roman"/>
                <w:b/>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0.58)</w:t>
            </w:r>
          </w:p>
        </w:tc>
      </w:tr>
      <w:tr w:rsidR="00577A00" w:rsidRPr="00E65AA7" w14:paraId="13C05889" w14:textId="77777777" w:rsidTr="00BB1EA4">
        <w:trPr>
          <w:trHeight w:hRule="exact" w:val="340"/>
        </w:trPr>
        <w:tc>
          <w:tcPr>
            <w:tcW w:w="813" w:type="pct"/>
            <w:vMerge/>
            <w:vAlign w:val="center"/>
            <w:hideMark/>
          </w:tcPr>
          <w:p w14:paraId="602A4014" w14:textId="77777777" w:rsidR="00577A00" w:rsidRPr="00E65AA7" w:rsidRDefault="00577A00" w:rsidP="00577A00">
            <w:pPr>
              <w:jc w:val="center"/>
              <w:rPr>
                <w:rFonts w:eastAsia="Times New Roman"/>
                <w:b/>
                <w:color w:val="000000"/>
                <w:sz w:val="20"/>
                <w:szCs w:val="20"/>
                <w:lang w:val="en-MY" w:eastAsia="en-MY"/>
              </w:rPr>
            </w:pPr>
          </w:p>
        </w:tc>
        <w:tc>
          <w:tcPr>
            <w:tcW w:w="813" w:type="pct"/>
            <w:vMerge w:val="restart"/>
            <w:shd w:val="clear" w:color="auto" w:fill="auto"/>
            <w:noWrap/>
            <w:vAlign w:val="center"/>
            <w:hideMark/>
          </w:tcPr>
          <w:p w14:paraId="4FE93307" w14:textId="79A55A6C" w:rsidR="00577A00" w:rsidRPr="00E65AA7" w:rsidRDefault="00577A00" w:rsidP="00577A0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812" w:type="pct"/>
            <w:shd w:val="clear" w:color="auto" w:fill="auto"/>
            <w:noWrap/>
            <w:vAlign w:val="center"/>
          </w:tcPr>
          <w:p w14:paraId="405785BC" w14:textId="5328DD75" w:rsidR="00577A00" w:rsidRPr="00E65AA7" w:rsidRDefault="00577A00" w:rsidP="00577A00">
            <w:pPr>
              <w:jc w:val="center"/>
              <w:rPr>
                <w:rFonts w:eastAsia="Times New Roman"/>
                <w:b/>
                <w:color w:val="000000"/>
                <w:sz w:val="20"/>
                <w:szCs w:val="20"/>
                <w:lang w:val="en-MY" w:eastAsia="en-MY"/>
              </w:rPr>
            </w:pPr>
            <w:r>
              <w:rPr>
                <w:color w:val="000000"/>
                <w:sz w:val="20"/>
                <w:szCs w:val="20"/>
              </w:rPr>
              <w:t>0.10</w:t>
            </w:r>
          </w:p>
        </w:tc>
        <w:tc>
          <w:tcPr>
            <w:tcW w:w="746" w:type="pct"/>
            <w:tcBorders>
              <w:right w:val="single" w:sz="4" w:space="0" w:color="auto"/>
            </w:tcBorders>
            <w:shd w:val="clear" w:color="auto" w:fill="auto"/>
            <w:noWrap/>
            <w:vAlign w:val="center"/>
          </w:tcPr>
          <w:p w14:paraId="54FEC090" w14:textId="5207D3F7"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1.40</w:t>
            </w:r>
          </w:p>
        </w:tc>
        <w:tc>
          <w:tcPr>
            <w:tcW w:w="941" w:type="pct"/>
            <w:tcBorders>
              <w:left w:val="single" w:sz="4" w:space="0" w:color="auto"/>
            </w:tcBorders>
            <w:shd w:val="clear" w:color="auto" w:fill="auto"/>
            <w:noWrap/>
            <w:vAlign w:val="center"/>
          </w:tcPr>
          <w:p w14:paraId="4C2E3472" w14:textId="37BA9401"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0.25</w:t>
            </w:r>
          </w:p>
        </w:tc>
        <w:tc>
          <w:tcPr>
            <w:tcW w:w="875" w:type="pct"/>
            <w:shd w:val="clear" w:color="auto" w:fill="auto"/>
            <w:noWrap/>
            <w:vAlign w:val="center"/>
            <w:hideMark/>
          </w:tcPr>
          <w:p w14:paraId="5A51EB65" w14:textId="18205291" w:rsidR="00577A00" w:rsidRPr="00921C0C" w:rsidRDefault="00E6777E" w:rsidP="00577A00">
            <w:pPr>
              <w:jc w:val="center"/>
              <w:rPr>
                <w:rFonts w:eastAsia="Times New Roman"/>
                <w:b/>
                <w:color w:val="000000"/>
                <w:sz w:val="20"/>
                <w:szCs w:val="20"/>
                <w:lang w:val="en-MY" w:eastAsia="en-MY"/>
              </w:rPr>
            </w:pPr>
            <w:r>
              <w:rPr>
                <w:b/>
                <w:color w:val="000000"/>
                <w:sz w:val="20"/>
                <w:szCs w:val="20"/>
              </w:rPr>
              <w:t>-</w:t>
            </w:r>
            <w:r w:rsidR="00577A00" w:rsidRPr="00921C0C">
              <w:rPr>
                <w:b/>
                <w:color w:val="000000"/>
                <w:sz w:val="20"/>
                <w:szCs w:val="20"/>
              </w:rPr>
              <w:t>0.49</w:t>
            </w:r>
          </w:p>
        </w:tc>
      </w:tr>
      <w:tr w:rsidR="00577A00" w:rsidRPr="00E65AA7" w14:paraId="6D4BF150" w14:textId="77777777" w:rsidTr="00BB1EA4">
        <w:trPr>
          <w:trHeight w:hRule="exact" w:val="340"/>
        </w:trPr>
        <w:tc>
          <w:tcPr>
            <w:tcW w:w="813" w:type="pct"/>
            <w:vMerge/>
            <w:vAlign w:val="center"/>
            <w:hideMark/>
          </w:tcPr>
          <w:p w14:paraId="55114740" w14:textId="77777777" w:rsidR="00577A00" w:rsidRPr="00E65AA7" w:rsidRDefault="00577A00" w:rsidP="00577A00">
            <w:pPr>
              <w:jc w:val="center"/>
              <w:rPr>
                <w:rFonts w:eastAsia="Times New Roman"/>
                <w:b/>
                <w:color w:val="000000"/>
                <w:sz w:val="20"/>
                <w:szCs w:val="20"/>
                <w:lang w:val="en-MY" w:eastAsia="en-MY"/>
              </w:rPr>
            </w:pPr>
          </w:p>
        </w:tc>
        <w:tc>
          <w:tcPr>
            <w:tcW w:w="813" w:type="pct"/>
            <w:vMerge/>
            <w:vAlign w:val="center"/>
            <w:hideMark/>
          </w:tcPr>
          <w:p w14:paraId="12E74708" w14:textId="77777777" w:rsidR="00577A00" w:rsidRPr="00E65AA7" w:rsidRDefault="00577A00" w:rsidP="00577A00">
            <w:pPr>
              <w:jc w:val="center"/>
              <w:rPr>
                <w:rFonts w:eastAsia="Times New Roman"/>
                <w:b/>
                <w:color w:val="000000"/>
                <w:sz w:val="20"/>
                <w:szCs w:val="20"/>
                <w:lang w:val="en-MY" w:eastAsia="en-MY"/>
              </w:rPr>
            </w:pPr>
          </w:p>
        </w:tc>
        <w:tc>
          <w:tcPr>
            <w:tcW w:w="812" w:type="pct"/>
            <w:shd w:val="clear" w:color="auto" w:fill="auto"/>
            <w:noWrap/>
            <w:vAlign w:val="center"/>
          </w:tcPr>
          <w:p w14:paraId="4D9CBD25" w14:textId="01A00832" w:rsidR="00577A00" w:rsidRPr="00E65AA7" w:rsidRDefault="00577A00" w:rsidP="00577A00">
            <w:pPr>
              <w:jc w:val="center"/>
              <w:rPr>
                <w:rFonts w:eastAsia="Times New Roman"/>
                <w:b/>
                <w:color w:val="000000"/>
                <w:sz w:val="20"/>
                <w:szCs w:val="20"/>
                <w:lang w:val="en-MY" w:eastAsia="en-MY"/>
              </w:rPr>
            </w:pPr>
            <w:r>
              <w:rPr>
                <w:color w:val="000000"/>
                <w:sz w:val="20"/>
                <w:szCs w:val="20"/>
              </w:rPr>
              <w:t>(0.74)</w:t>
            </w:r>
          </w:p>
        </w:tc>
        <w:tc>
          <w:tcPr>
            <w:tcW w:w="746" w:type="pct"/>
            <w:tcBorders>
              <w:right w:val="single" w:sz="4" w:space="0" w:color="auto"/>
            </w:tcBorders>
            <w:shd w:val="clear" w:color="auto" w:fill="auto"/>
            <w:noWrap/>
            <w:vAlign w:val="center"/>
          </w:tcPr>
          <w:p w14:paraId="1664725A" w14:textId="5338D24E"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(4.89)</w:t>
            </w:r>
          </w:p>
        </w:tc>
        <w:tc>
          <w:tcPr>
            <w:tcW w:w="941" w:type="pct"/>
            <w:tcBorders>
              <w:left w:val="single" w:sz="4" w:space="0" w:color="auto"/>
            </w:tcBorders>
            <w:shd w:val="clear" w:color="auto" w:fill="auto"/>
            <w:noWrap/>
            <w:vAlign w:val="center"/>
          </w:tcPr>
          <w:p w14:paraId="2683A2A4" w14:textId="5524239A"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(1.92)</w:t>
            </w:r>
          </w:p>
        </w:tc>
        <w:tc>
          <w:tcPr>
            <w:tcW w:w="875" w:type="pct"/>
            <w:shd w:val="clear" w:color="auto" w:fill="auto"/>
            <w:noWrap/>
            <w:vAlign w:val="center"/>
            <w:hideMark/>
          </w:tcPr>
          <w:p w14:paraId="7E25055E" w14:textId="78D8D18B"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w:t>
            </w:r>
            <w:r w:rsidR="00E6777E">
              <w:rPr>
                <w:b/>
                <w:color w:val="000000"/>
                <w:sz w:val="20"/>
                <w:szCs w:val="20"/>
              </w:rPr>
              <w:t>-</w:t>
            </w:r>
            <w:r w:rsidRPr="00921C0C">
              <w:rPr>
                <w:b/>
                <w:color w:val="000000"/>
                <w:sz w:val="20"/>
                <w:szCs w:val="20"/>
              </w:rPr>
              <w:t>1.83)</w:t>
            </w:r>
          </w:p>
        </w:tc>
      </w:tr>
      <w:tr w:rsidR="00577A00" w:rsidRPr="00E65AA7" w14:paraId="4AB59D08" w14:textId="77777777" w:rsidTr="00BB1EA4">
        <w:trPr>
          <w:trHeight w:hRule="exact" w:val="340"/>
        </w:trPr>
        <w:tc>
          <w:tcPr>
            <w:tcW w:w="813" w:type="pct"/>
            <w:vMerge/>
            <w:vAlign w:val="center"/>
          </w:tcPr>
          <w:p w14:paraId="1575882B" w14:textId="77777777" w:rsidR="00577A00" w:rsidRPr="00E65AA7" w:rsidRDefault="00577A00" w:rsidP="00577A00">
            <w:pPr>
              <w:jc w:val="center"/>
              <w:rPr>
                <w:rFonts w:eastAsia="Times New Roman"/>
                <w:b/>
                <w:color w:val="000000"/>
                <w:sz w:val="20"/>
                <w:szCs w:val="20"/>
                <w:lang w:val="en-MY" w:eastAsia="en-MY"/>
              </w:rPr>
            </w:pPr>
          </w:p>
        </w:tc>
        <w:tc>
          <w:tcPr>
            <w:tcW w:w="813" w:type="pct"/>
            <w:vMerge w:val="restart"/>
            <w:vAlign w:val="center"/>
          </w:tcPr>
          <w:p w14:paraId="58F5A812" w14:textId="335E50B6" w:rsidR="00577A00" w:rsidRPr="00E65AA7" w:rsidRDefault="00577A00" w:rsidP="00577A0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812" w:type="pct"/>
            <w:shd w:val="clear" w:color="auto" w:fill="auto"/>
            <w:noWrap/>
            <w:vAlign w:val="center"/>
          </w:tcPr>
          <w:p w14:paraId="633D9B32" w14:textId="11AD422D" w:rsidR="00577A00" w:rsidRPr="00E65AA7" w:rsidRDefault="00577A00" w:rsidP="00577A00">
            <w:pPr>
              <w:jc w:val="center"/>
              <w:rPr>
                <w:rFonts w:eastAsia="Times New Roman"/>
                <w:b/>
                <w:color w:val="000000"/>
                <w:sz w:val="20"/>
                <w:szCs w:val="20"/>
                <w:lang w:val="en-MY" w:eastAsia="en-MY"/>
              </w:rPr>
            </w:pPr>
            <w:r>
              <w:rPr>
                <w:color w:val="000000"/>
                <w:sz w:val="20"/>
                <w:szCs w:val="20"/>
              </w:rPr>
              <w:t>-0.15</w:t>
            </w:r>
          </w:p>
        </w:tc>
        <w:tc>
          <w:tcPr>
            <w:tcW w:w="746" w:type="pct"/>
            <w:tcBorders>
              <w:right w:val="single" w:sz="4" w:space="0" w:color="auto"/>
            </w:tcBorders>
            <w:shd w:val="clear" w:color="auto" w:fill="auto"/>
            <w:noWrap/>
            <w:vAlign w:val="center"/>
          </w:tcPr>
          <w:p w14:paraId="66606BF2" w14:textId="5DB6C476"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0.66</w:t>
            </w:r>
          </w:p>
        </w:tc>
        <w:tc>
          <w:tcPr>
            <w:tcW w:w="941" w:type="pct"/>
            <w:tcBorders>
              <w:left w:val="single" w:sz="4" w:space="0" w:color="auto"/>
            </w:tcBorders>
            <w:shd w:val="clear" w:color="auto" w:fill="auto"/>
            <w:noWrap/>
            <w:vAlign w:val="center"/>
          </w:tcPr>
          <w:p w14:paraId="1C1A0778" w14:textId="58B05CD1" w:rsidR="00577A00" w:rsidRPr="00E65AA7" w:rsidRDefault="00577A00" w:rsidP="00577A00">
            <w:pPr>
              <w:jc w:val="center"/>
              <w:rPr>
                <w:rFonts w:eastAsia="Times New Roman"/>
                <w:b/>
                <w:color w:val="000000"/>
                <w:sz w:val="20"/>
                <w:szCs w:val="20"/>
                <w:lang w:val="en-MY" w:eastAsia="en-MY"/>
              </w:rPr>
            </w:pPr>
            <w:r>
              <w:rPr>
                <w:color w:val="000000"/>
                <w:sz w:val="20"/>
                <w:szCs w:val="20"/>
              </w:rPr>
              <w:t>-0.26</w:t>
            </w:r>
          </w:p>
        </w:tc>
        <w:tc>
          <w:tcPr>
            <w:tcW w:w="875" w:type="pct"/>
            <w:shd w:val="clear" w:color="auto" w:fill="auto"/>
            <w:noWrap/>
            <w:vAlign w:val="center"/>
          </w:tcPr>
          <w:p w14:paraId="66D9C05D" w14:textId="1882E66D" w:rsidR="00577A00" w:rsidRPr="00921C0C" w:rsidRDefault="00E6777E" w:rsidP="00577A00">
            <w:pPr>
              <w:jc w:val="center"/>
              <w:rPr>
                <w:rFonts w:eastAsia="Times New Roman"/>
                <w:b/>
                <w:color w:val="000000"/>
                <w:sz w:val="20"/>
                <w:szCs w:val="20"/>
                <w:lang w:val="en-MY" w:eastAsia="en-MY"/>
              </w:rPr>
            </w:pPr>
            <w:r>
              <w:rPr>
                <w:color w:val="000000"/>
                <w:sz w:val="20"/>
                <w:szCs w:val="20"/>
              </w:rPr>
              <w:t>-</w:t>
            </w:r>
            <w:r w:rsidR="00577A00">
              <w:rPr>
                <w:color w:val="000000"/>
                <w:sz w:val="20"/>
                <w:szCs w:val="20"/>
              </w:rPr>
              <w:t>0.02</w:t>
            </w:r>
          </w:p>
        </w:tc>
      </w:tr>
      <w:tr w:rsidR="00577A00" w:rsidRPr="00E65AA7" w14:paraId="5510ACAB" w14:textId="77777777" w:rsidTr="00BB1EA4">
        <w:trPr>
          <w:trHeight w:hRule="exact" w:val="340"/>
        </w:trPr>
        <w:tc>
          <w:tcPr>
            <w:tcW w:w="813" w:type="pct"/>
            <w:vMerge/>
            <w:vAlign w:val="center"/>
          </w:tcPr>
          <w:p w14:paraId="34560F4D" w14:textId="77777777" w:rsidR="00577A00" w:rsidRPr="00E65AA7" w:rsidRDefault="00577A00" w:rsidP="00577A00">
            <w:pPr>
              <w:jc w:val="center"/>
              <w:rPr>
                <w:rFonts w:eastAsia="Times New Roman"/>
                <w:b/>
                <w:color w:val="000000"/>
                <w:sz w:val="20"/>
                <w:szCs w:val="20"/>
                <w:lang w:val="en-MY" w:eastAsia="en-MY"/>
              </w:rPr>
            </w:pPr>
          </w:p>
        </w:tc>
        <w:tc>
          <w:tcPr>
            <w:tcW w:w="813" w:type="pct"/>
            <w:vMerge/>
            <w:vAlign w:val="center"/>
          </w:tcPr>
          <w:p w14:paraId="6495DD2E" w14:textId="77777777" w:rsidR="00577A00" w:rsidRPr="00E65AA7" w:rsidRDefault="00577A00" w:rsidP="00577A00">
            <w:pPr>
              <w:jc w:val="center"/>
              <w:rPr>
                <w:rFonts w:eastAsia="Times New Roman"/>
                <w:b/>
                <w:color w:val="000000"/>
                <w:sz w:val="20"/>
                <w:szCs w:val="20"/>
                <w:lang w:val="en-MY" w:eastAsia="en-MY"/>
              </w:rPr>
            </w:pPr>
          </w:p>
        </w:tc>
        <w:tc>
          <w:tcPr>
            <w:tcW w:w="812" w:type="pct"/>
            <w:shd w:val="clear" w:color="auto" w:fill="auto"/>
            <w:noWrap/>
            <w:vAlign w:val="center"/>
          </w:tcPr>
          <w:p w14:paraId="6453103D" w14:textId="3C6F7FC1" w:rsidR="00577A00" w:rsidRPr="00E65AA7" w:rsidRDefault="00577A00" w:rsidP="00577A00">
            <w:pPr>
              <w:jc w:val="center"/>
              <w:rPr>
                <w:rFonts w:eastAsia="Times New Roman"/>
                <w:b/>
                <w:color w:val="000000"/>
                <w:sz w:val="20"/>
                <w:szCs w:val="20"/>
                <w:lang w:val="en-MY" w:eastAsia="en-MY"/>
              </w:rPr>
            </w:pPr>
            <w:r>
              <w:rPr>
                <w:color w:val="000000"/>
                <w:sz w:val="20"/>
                <w:szCs w:val="20"/>
              </w:rPr>
              <w:t>(-0.84)</w:t>
            </w:r>
          </w:p>
        </w:tc>
        <w:tc>
          <w:tcPr>
            <w:tcW w:w="746" w:type="pct"/>
            <w:tcBorders>
              <w:right w:val="single" w:sz="4" w:space="0" w:color="auto"/>
            </w:tcBorders>
            <w:shd w:val="clear" w:color="auto" w:fill="auto"/>
            <w:noWrap/>
            <w:vAlign w:val="center"/>
          </w:tcPr>
          <w:p w14:paraId="7D7DE0DF" w14:textId="3176AF7D"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(2.42)</w:t>
            </w:r>
          </w:p>
        </w:tc>
        <w:tc>
          <w:tcPr>
            <w:tcW w:w="941" w:type="pct"/>
            <w:tcBorders>
              <w:left w:val="single" w:sz="4" w:space="0" w:color="auto"/>
            </w:tcBorders>
            <w:shd w:val="clear" w:color="auto" w:fill="auto"/>
            <w:noWrap/>
            <w:vAlign w:val="center"/>
          </w:tcPr>
          <w:p w14:paraId="6128CA9D" w14:textId="3D04A94D" w:rsidR="00577A00" w:rsidRPr="00E65AA7" w:rsidRDefault="00577A00" w:rsidP="00577A00">
            <w:pPr>
              <w:jc w:val="center"/>
              <w:rPr>
                <w:rFonts w:eastAsia="Times New Roman"/>
                <w:b/>
                <w:color w:val="000000"/>
                <w:sz w:val="20"/>
                <w:szCs w:val="20"/>
                <w:lang w:val="en-MY" w:eastAsia="en-MY"/>
              </w:rPr>
            </w:pPr>
            <w:r>
              <w:rPr>
                <w:color w:val="000000"/>
                <w:sz w:val="20"/>
                <w:szCs w:val="20"/>
              </w:rPr>
              <w:t>(-1.59)</w:t>
            </w:r>
          </w:p>
        </w:tc>
        <w:tc>
          <w:tcPr>
            <w:tcW w:w="875" w:type="pct"/>
            <w:shd w:val="clear" w:color="auto" w:fill="auto"/>
            <w:noWrap/>
            <w:vAlign w:val="center"/>
          </w:tcPr>
          <w:p w14:paraId="00F51419" w14:textId="0C2E07BF" w:rsidR="00577A00" w:rsidRPr="00921C0C" w:rsidRDefault="00577A00" w:rsidP="00577A00">
            <w:pPr>
              <w:jc w:val="center"/>
              <w:rPr>
                <w:rFonts w:eastAsia="Times New Roman"/>
                <w:b/>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0.06)</w:t>
            </w:r>
          </w:p>
        </w:tc>
      </w:tr>
      <w:tr w:rsidR="00577A00" w:rsidRPr="00E65AA7" w14:paraId="234EF57A" w14:textId="77777777" w:rsidTr="00BB1EA4">
        <w:trPr>
          <w:trHeight w:hRule="exact" w:val="340"/>
        </w:trPr>
        <w:tc>
          <w:tcPr>
            <w:tcW w:w="813" w:type="pct"/>
            <w:vMerge/>
            <w:vAlign w:val="center"/>
          </w:tcPr>
          <w:p w14:paraId="7BBCEEB1" w14:textId="77777777" w:rsidR="00577A00" w:rsidRPr="00E65AA7" w:rsidRDefault="00577A00" w:rsidP="00577A00">
            <w:pPr>
              <w:jc w:val="center"/>
              <w:rPr>
                <w:rFonts w:eastAsia="Times New Roman"/>
                <w:b/>
                <w:color w:val="000000"/>
                <w:sz w:val="20"/>
                <w:szCs w:val="20"/>
                <w:lang w:val="en-MY" w:eastAsia="en-MY"/>
              </w:rPr>
            </w:pPr>
          </w:p>
        </w:tc>
        <w:tc>
          <w:tcPr>
            <w:tcW w:w="813" w:type="pct"/>
            <w:vMerge w:val="restart"/>
            <w:vAlign w:val="center"/>
          </w:tcPr>
          <w:p w14:paraId="1A1DE80D" w14:textId="072781C3" w:rsidR="00577A00" w:rsidRPr="00E65AA7" w:rsidRDefault="00577A00" w:rsidP="00577A00">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812" w:type="pct"/>
            <w:shd w:val="clear" w:color="auto" w:fill="auto"/>
            <w:noWrap/>
            <w:vAlign w:val="center"/>
          </w:tcPr>
          <w:p w14:paraId="085BF5FF" w14:textId="27F3E042"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-0.70</w:t>
            </w:r>
          </w:p>
        </w:tc>
        <w:tc>
          <w:tcPr>
            <w:tcW w:w="746" w:type="pct"/>
            <w:tcBorders>
              <w:right w:val="single" w:sz="4" w:space="0" w:color="auto"/>
            </w:tcBorders>
            <w:shd w:val="clear" w:color="auto" w:fill="auto"/>
            <w:noWrap/>
            <w:vAlign w:val="center"/>
          </w:tcPr>
          <w:p w14:paraId="611A4FAF" w14:textId="59585AA3"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-1.93</w:t>
            </w:r>
          </w:p>
        </w:tc>
        <w:tc>
          <w:tcPr>
            <w:tcW w:w="941" w:type="pct"/>
            <w:tcBorders>
              <w:left w:val="single" w:sz="4" w:space="0" w:color="auto"/>
            </w:tcBorders>
            <w:shd w:val="clear" w:color="auto" w:fill="auto"/>
            <w:noWrap/>
            <w:vAlign w:val="center"/>
          </w:tcPr>
          <w:p w14:paraId="496FC9B6" w14:textId="73F11BCA"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-0.36</w:t>
            </w:r>
          </w:p>
        </w:tc>
        <w:tc>
          <w:tcPr>
            <w:tcW w:w="875" w:type="pct"/>
            <w:shd w:val="clear" w:color="auto" w:fill="auto"/>
            <w:noWrap/>
            <w:vAlign w:val="center"/>
          </w:tcPr>
          <w:p w14:paraId="2ADAB498" w14:textId="4CE9C9F8"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1.03</w:t>
            </w:r>
          </w:p>
        </w:tc>
      </w:tr>
      <w:tr w:rsidR="00577A00" w:rsidRPr="00E65AA7" w14:paraId="50E6B7EF" w14:textId="77777777" w:rsidTr="00BB1EA4">
        <w:trPr>
          <w:trHeight w:hRule="exact" w:val="340"/>
        </w:trPr>
        <w:tc>
          <w:tcPr>
            <w:tcW w:w="813" w:type="pct"/>
            <w:vMerge/>
            <w:vAlign w:val="center"/>
          </w:tcPr>
          <w:p w14:paraId="272BFD06" w14:textId="77777777" w:rsidR="00577A00" w:rsidRPr="00E65AA7" w:rsidRDefault="00577A00" w:rsidP="00577A00">
            <w:pPr>
              <w:jc w:val="center"/>
              <w:rPr>
                <w:rFonts w:eastAsia="Times New Roman"/>
                <w:b/>
                <w:color w:val="000000"/>
                <w:sz w:val="20"/>
                <w:szCs w:val="20"/>
                <w:lang w:val="en-MY" w:eastAsia="en-MY"/>
              </w:rPr>
            </w:pPr>
          </w:p>
        </w:tc>
        <w:tc>
          <w:tcPr>
            <w:tcW w:w="813" w:type="pct"/>
            <w:vMerge/>
            <w:vAlign w:val="center"/>
          </w:tcPr>
          <w:p w14:paraId="5D968F64" w14:textId="77777777" w:rsidR="00577A00" w:rsidRPr="00E65AA7" w:rsidRDefault="00577A00" w:rsidP="00577A00">
            <w:pPr>
              <w:jc w:val="center"/>
              <w:rPr>
                <w:rFonts w:eastAsia="Times New Roman"/>
                <w:b/>
                <w:color w:val="000000"/>
                <w:sz w:val="20"/>
                <w:szCs w:val="20"/>
                <w:lang w:val="en-MY" w:eastAsia="en-MY"/>
              </w:rPr>
            </w:pPr>
          </w:p>
        </w:tc>
        <w:tc>
          <w:tcPr>
            <w:tcW w:w="812" w:type="pct"/>
            <w:shd w:val="clear" w:color="auto" w:fill="auto"/>
            <w:noWrap/>
            <w:vAlign w:val="center"/>
          </w:tcPr>
          <w:p w14:paraId="7407E2B7" w14:textId="08479080"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(-3.12)</w:t>
            </w:r>
          </w:p>
        </w:tc>
        <w:tc>
          <w:tcPr>
            <w:tcW w:w="746" w:type="pct"/>
            <w:tcBorders>
              <w:right w:val="single" w:sz="4" w:space="0" w:color="auto"/>
            </w:tcBorders>
            <w:shd w:val="clear" w:color="auto" w:fill="auto"/>
            <w:noWrap/>
            <w:vAlign w:val="center"/>
          </w:tcPr>
          <w:p w14:paraId="66987687" w14:textId="787900CC" w:rsidR="00577A00" w:rsidRPr="00D4766A" w:rsidRDefault="00577A00" w:rsidP="00577A00">
            <w:pPr>
              <w:jc w:val="center"/>
              <w:rPr>
                <w:rFonts w:eastAsia="Times New Roman"/>
                <w:b/>
                <w:color w:val="000000"/>
                <w:sz w:val="20"/>
                <w:szCs w:val="20"/>
                <w:lang w:val="en-MY" w:eastAsia="en-MY"/>
              </w:rPr>
            </w:pPr>
            <w:r w:rsidRPr="00D4766A">
              <w:rPr>
                <w:b/>
                <w:color w:val="000000"/>
                <w:sz w:val="20"/>
                <w:szCs w:val="20"/>
              </w:rPr>
              <w:t>(-5.22)</w:t>
            </w:r>
          </w:p>
        </w:tc>
        <w:tc>
          <w:tcPr>
            <w:tcW w:w="941" w:type="pct"/>
            <w:tcBorders>
              <w:left w:val="single" w:sz="4" w:space="0" w:color="auto"/>
            </w:tcBorders>
            <w:shd w:val="clear" w:color="auto" w:fill="auto"/>
            <w:noWrap/>
            <w:vAlign w:val="center"/>
          </w:tcPr>
          <w:p w14:paraId="02080266" w14:textId="0DC78037" w:rsidR="00577A00" w:rsidRPr="00921C0C" w:rsidRDefault="00577A00" w:rsidP="00577A00">
            <w:pPr>
              <w:jc w:val="center"/>
              <w:rPr>
                <w:rFonts w:eastAsia="Times New Roman"/>
                <w:b/>
                <w:color w:val="000000"/>
                <w:sz w:val="20"/>
                <w:szCs w:val="20"/>
                <w:lang w:val="en-MY" w:eastAsia="en-MY"/>
              </w:rPr>
            </w:pPr>
            <w:r w:rsidRPr="00921C0C">
              <w:rPr>
                <w:b/>
                <w:color w:val="000000"/>
                <w:sz w:val="20"/>
                <w:szCs w:val="20"/>
              </w:rPr>
              <w:t>(-1.97)</w:t>
            </w:r>
          </w:p>
        </w:tc>
        <w:tc>
          <w:tcPr>
            <w:tcW w:w="875" w:type="pct"/>
            <w:shd w:val="clear" w:color="auto" w:fill="auto"/>
            <w:noWrap/>
            <w:vAlign w:val="center"/>
          </w:tcPr>
          <w:p w14:paraId="7125C440" w14:textId="02B865B3" w:rsidR="00577A00" w:rsidRPr="00921C0C" w:rsidRDefault="00E6777E" w:rsidP="00577A00">
            <w:pPr>
              <w:jc w:val="center"/>
              <w:rPr>
                <w:rFonts w:eastAsia="Times New Roman"/>
                <w:b/>
                <w:color w:val="000000"/>
                <w:sz w:val="20"/>
                <w:szCs w:val="20"/>
                <w:lang w:val="en-MY" w:eastAsia="en-MY"/>
              </w:rPr>
            </w:pPr>
            <w:r>
              <w:rPr>
                <w:b/>
                <w:color w:val="000000"/>
                <w:sz w:val="20"/>
                <w:szCs w:val="20"/>
              </w:rPr>
              <w:t>(</w:t>
            </w:r>
            <w:r w:rsidR="00577A00" w:rsidRPr="00921C0C">
              <w:rPr>
                <w:b/>
                <w:color w:val="000000"/>
                <w:sz w:val="20"/>
                <w:szCs w:val="20"/>
              </w:rPr>
              <w:t>3.31)</w:t>
            </w:r>
          </w:p>
        </w:tc>
      </w:tr>
      <w:tr w:rsidR="00E270EA" w:rsidRPr="00E65AA7" w14:paraId="0F373D7B" w14:textId="77777777" w:rsidTr="00BB1EA4">
        <w:trPr>
          <w:trHeight w:hRule="exact" w:val="340"/>
        </w:trPr>
        <w:tc>
          <w:tcPr>
            <w:tcW w:w="813" w:type="pct"/>
            <w:vMerge w:val="restart"/>
            <w:tcBorders>
              <w:top w:val="single" w:sz="4" w:space="0" w:color="auto"/>
            </w:tcBorders>
            <w:shd w:val="clear" w:color="auto" w:fill="auto"/>
            <w:noWrap/>
            <w:vAlign w:val="center"/>
            <w:hideMark/>
          </w:tcPr>
          <w:p w14:paraId="3E2B249D" w14:textId="4815B19C" w:rsidR="00E270EA" w:rsidRPr="00E65AA7" w:rsidRDefault="00E270EA" w:rsidP="00E270E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D/BE</w:t>
            </w:r>
          </w:p>
        </w:tc>
        <w:tc>
          <w:tcPr>
            <w:tcW w:w="813" w:type="pct"/>
            <w:vMerge w:val="restart"/>
            <w:tcBorders>
              <w:top w:val="single" w:sz="4" w:space="0" w:color="auto"/>
            </w:tcBorders>
            <w:shd w:val="clear" w:color="auto" w:fill="auto"/>
            <w:noWrap/>
            <w:vAlign w:val="center"/>
            <w:hideMark/>
          </w:tcPr>
          <w:p w14:paraId="18287E3E" w14:textId="038C1EEA" w:rsidR="00E270EA" w:rsidRPr="00E65AA7" w:rsidRDefault="00E270EA" w:rsidP="00E270E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812" w:type="pct"/>
            <w:tcBorders>
              <w:top w:val="single" w:sz="4" w:space="0" w:color="auto"/>
            </w:tcBorders>
            <w:shd w:val="clear" w:color="auto" w:fill="auto"/>
            <w:noWrap/>
            <w:vAlign w:val="center"/>
          </w:tcPr>
          <w:p w14:paraId="647FD6E1" w14:textId="585C4A5E" w:rsidR="00E270EA" w:rsidRPr="00E65AA7" w:rsidRDefault="00E270EA" w:rsidP="00E270EA">
            <w:pPr>
              <w:jc w:val="center"/>
              <w:rPr>
                <w:rFonts w:eastAsia="Times New Roman"/>
                <w:b/>
                <w:color w:val="000000"/>
                <w:sz w:val="20"/>
                <w:szCs w:val="20"/>
                <w:lang w:val="en-MY" w:eastAsia="en-MY"/>
              </w:rPr>
            </w:pPr>
            <w:r>
              <w:rPr>
                <w:color w:val="000000"/>
                <w:sz w:val="20"/>
                <w:szCs w:val="20"/>
              </w:rPr>
              <w:t>-0.12</w:t>
            </w:r>
          </w:p>
        </w:tc>
        <w:tc>
          <w:tcPr>
            <w:tcW w:w="746" w:type="pct"/>
            <w:tcBorders>
              <w:top w:val="single" w:sz="4" w:space="0" w:color="auto"/>
              <w:right w:val="single" w:sz="4" w:space="0" w:color="auto"/>
            </w:tcBorders>
            <w:shd w:val="clear" w:color="auto" w:fill="auto"/>
            <w:noWrap/>
            <w:vAlign w:val="center"/>
          </w:tcPr>
          <w:p w14:paraId="68EB02B2" w14:textId="301FBF75" w:rsidR="00E270EA" w:rsidRPr="00E65AA7" w:rsidRDefault="00E270EA" w:rsidP="00E270EA">
            <w:pPr>
              <w:jc w:val="center"/>
              <w:rPr>
                <w:rFonts w:eastAsia="Times New Roman"/>
                <w:color w:val="000000"/>
                <w:sz w:val="20"/>
                <w:szCs w:val="20"/>
                <w:lang w:val="en-MY" w:eastAsia="en-MY"/>
              </w:rPr>
            </w:pPr>
            <w:r>
              <w:rPr>
                <w:color w:val="000000"/>
                <w:sz w:val="20"/>
                <w:szCs w:val="20"/>
              </w:rPr>
              <w:t>-0.51</w:t>
            </w:r>
          </w:p>
        </w:tc>
        <w:tc>
          <w:tcPr>
            <w:tcW w:w="941" w:type="pct"/>
            <w:tcBorders>
              <w:top w:val="single" w:sz="4" w:space="0" w:color="auto"/>
              <w:left w:val="single" w:sz="4" w:space="0" w:color="auto"/>
            </w:tcBorders>
            <w:shd w:val="clear" w:color="auto" w:fill="auto"/>
            <w:noWrap/>
            <w:vAlign w:val="center"/>
          </w:tcPr>
          <w:p w14:paraId="1AD353B0" w14:textId="2B3C374E"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0.29</w:t>
            </w:r>
          </w:p>
        </w:tc>
        <w:tc>
          <w:tcPr>
            <w:tcW w:w="875" w:type="pct"/>
            <w:tcBorders>
              <w:top w:val="single" w:sz="4" w:space="0" w:color="auto"/>
            </w:tcBorders>
            <w:shd w:val="clear" w:color="auto" w:fill="auto"/>
            <w:noWrap/>
            <w:vAlign w:val="center"/>
            <w:hideMark/>
          </w:tcPr>
          <w:p w14:paraId="69557A07" w14:textId="3DE266FB" w:rsidR="00E270EA" w:rsidRPr="00E65AA7" w:rsidRDefault="00E6777E" w:rsidP="00E270EA">
            <w:pPr>
              <w:jc w:val="center"/>
              <w:rPr>
                <w:rFonts w:eastAsia="Times New Roman"/>
                <w:color w:val="000000"/>
                <w:sz w:val="20"/>
                <w:szCs w:val="20"/>
                <w:lang w:val="en-MY" w:eastAsia="en-MY"/>
              </w:rPr>
            </w:pPr>
            <w:r>
              <w:rPr>
                <w:color w:val="000000"/>
                <w:sz w:val="20"/>
                <w:szCs w:val="20"/>
              </w:rPr>
              <w:t>-</w:t>
            </w:r>
            <w:r w:rsidR="00E270EA">
              <w:rPr>
                <w:color w:val="000000"/>
                <w:sz w:val="20"/>
                <w:szCs w:val="20"/>
              </w:rPr>
              <w:t>0.14</w:t>
            </w:r>
          </w:p>
        </w:tc>
      </w:tr>
      <w:tr w:rsidR="00E270EA" w:rsidRPr="00E65AA7" w14:paraId="3717EA0E" w14:textId="77777777" w:rsidTr="00BB1EA4">
        <w:trPr>
          <w:trHeight w:hRule="exact" w:val="340"/>
        </w:trPr>
        <w:tc>
          <w:tcPr>
            <w:tcW w:w="813" w:type="pct"/>
            <w:vMerge/>
            <w:vAlign w:val="center"/>
            <w:hideMark/>
          </w:tcPr>
          <w:p w14:paraId="553E507A" w14:textId="77777777" w:rsidR="00E270EA" w:rsidRPr="00E65AA7" w:rsidRDefault="00E270EA" w:rsidP="00E270EA">
            <w:pPr>
              <w:jc w:val="center"/>
              <w:rPr>
                <w:rFonts w:eastAsia="Times New Roman"/>
                <w:b/>
                <w:color w:val="000000"/>
                <w:sz w:val="20"/>
                <w:szCs w:val="20"/>
                <w:lang w:val="en-MY" w:eastAsia="en-MY"/>
              </w:rPr>
            </w:pPr>
          </w:p>
        </w:tc>
        <w:tc>
          <w:tcPr>
            <w:tcW w:w="813" w:type="pct"/>
            <w:vMerge/>
            <w:vAlign w:val="center"/>
            <w:hideMark/>
          </w:tcPr>
          <w:p w14:paraId="52A24C62" w14:textId="77777777" w:rsidR="00E270EA" w:rsidRPr="00E65AA7" w:rsidRDefault="00E270EA" w:rsidP="00E270EA">
            <w:pPr>
              <w:jc w:val="center"/>
              <w:rPr>
                <w:rFonts w:eastAsia="Times New Roman"/>
                <w:b/>
                <w:color w:val="000000"/>
                <w:sz w:val="20"/>
                <w:szCs w:val="20"/>
                <w:lang w:val="en-MY" w:eastAsia="en-MY"/>
              </w:rPr>
            </w:pPr>
          </w:p>
        </w:tc>
        <w:tc>
          <w:tcPr>
            <w:tcW w:w="812" w:type="pct"/>
            <w:shd w:val="clear" w:color="auto" w:fill="auto"/>
            <w:noWrap/>
            <w:vAlign w:val="center"/>
          </w:tcPr>
          <w:p w14:paraId="3759334E" w14:textId="30A29E06" w:rsidR="00E270EA" w:rsidRPr="00E65AA7" w:rsidRDefault="00E270EA" w:rsidP="00E270EA">
            <w:pPr>
              <w:jc w:val="center"/>
              <w:rPr>
                <w:rFonts w:eastAsia="Times New Roman"/>
                <w:b/>
                <w:color w:val="000000"/>
                <w:sz w:val="20"/>
                <w:szCs w:val="20"/>
                <w:lang w:val="en-MY" w:eastAsia="en-MY"/>
              </w:rPr>
            </w:pPr>
            <w:r>
              <w:rPr>
                <w:color w:val="000000"/>
                <w:sz w:val="20"/>
                <w:szCs w:val="20"/>
              </w:rPr>
              <w:t>(-0.68)</w:t>
            </w:r>
          </w:p>
        </w:tc>
        <w:tc>
          <w:tcPr>
            <w:tcW w:w="746" w:type="pct"/>
            <w:tcBorders>
              <w:right w:val="single" w:sz="4" w:space="0" w:color="auto"/>
            </w:tcBorders>
            <w:shd w:val="clear" w:color="auto" w:fill="auto"/>
            <w:noWrap/>
            <w:vAlign w:val="center"/>
          </w:tcPr>
          <w:p w14:paraId="1A743479" w14:textId="16AA447A" w:rsidR="00E270EA" w:rsidRPr="00E65AA7" w:rsidRDefault="00E270EA" w:rsidP="00E270EA">
            <w:pPr>
              <w:jc w:val="center"/>
              <w:rPr>
                <w:rFonts w:eastAsia="Times New Roman"/>
                <w:color w:val="000000"/>
                <w:sz w:val="20"/>
                <w:szCs w:val="20"/>
                <w:lang w:val="en-MY" w:eastAsia="en-MY"/>
              </w:rPr>
            </w:pPr>
            <w:r>
              <w:rPr>
                <w:color w:val="000000"/>
                <w:sz w:val="20"/>
                <w:szCs w:val="20"/>
              </w:rPr>
              <w:t>(-1.47)</w:t>
            </w:r>
          </w:p>
        </w:tc>
        <w:tc>
          <w:tcPr>
            <w:tcW w:w="941" w:type="pct"/>
            <w:tcBorders>
              <w:left w:val="single" w:sz="4" w:space="0" w:color="auto"/>
            </w:tcBorders>
            <w:shd w:val="clear" w:color="auto" w:fill="auto"/>
            <w:noWrap/>
            <w:vAlign w:val="center"/>
          </w:tcPr>
          <w:p w14:paraId="770DBA07" w14:textId="133252EE"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(2.10)</w:t>
            </w:r>
          </w:p>
        </w:tc>
        <w:tc>
          <w:tcPr>
            <w:tcW w:w="875" w:type="pct"/>
            <w:shd w:val="clear" w:color="auto" w:fill="auto"/>
            <w:noWrap/>
            <w:vAlign w:val="center"/>
            <w:hideMark/>
          </w:tcPr>
          <w:p w14:paraId="0735D423" w14:textId="1B5DDA0A" w:rsidR="00E270EA" w:rsidRPr="00E65AA7" w:rsidRDefault="00E270EA" w:rsidP="00E270EA">
            <w:pPr>
              <w:jc w:val="center"/>
              <w:rPr>
                <w:rFonts w:eastAsia="Times New Roman"/>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0.67)</w:t>
            </w:r>
          </w:p>
        </w:tc>
      </w:tr>
      <w:tr w:rsidR="00E270EA" w:rsidRPr="00E65AA7" w14:paraId="3450DD68" w14:textId="77777777" w:rsidTr="00BB1EA4">
        <w:trPr>
          <w:trHeight w:hRule="exact" w:val="340"/>
        </w:trPr>
        <w:tc>
          <w:tcPr>
            <w:tcW w:w="813" w:type="pct"/>
            <w:vMerge/>
            <w:vAlign w:val="center"/>
            <w:hideMark/>
          </w:tcPr>
          <w:p w14:paraId="2B7ADC6D" w14:textId="77777777" w:rsidR="00E270EA" w:rsidRPr="00E65AA7" w:rsidRDefault="00E270EA" w:rsidP="00E270EA">
            <w:pPr>
              <w:jc w:val="center"/>
              <w:rPr>
                <w:rFonts w:eastAsia="Times New Roman"/>
                <w:b/>
                <w:color w:val="000000"/>
                <w:sz w:val="20"/>
                <w:szCs w:val="20"/>
                <w:lang w:val="en-MY" w:eastAsia="en-MY"/>
              </w:rPr>
            </w:pPr>
          </w:p>
        </w:tc>
        <w:tc>
          <w:tcPr>
            <w:tcW w:w="813" w:type="pct"/>
            <w:vMerge w:val="restart"/>
            <w:shd w:val="clear" w:color="auto" w:fill="auto"/>
            <w:noWrap/>
            <w:vAlign w:val="center"/>
            <w:hideMark/>
          </w:tcPr>
          <w:p w14:paraId="23670410" w14:textId="7E13A3B8" w:rsidR="00E270EA" w:rsidRPr="00E65AA7" w:rsidRDefault="00E270EA" w:rsidP="00E270E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812" w:type="pct"/>
            <w:shd w:val="clear" w:color="auto" w:fill="auto"/>
            <w:noWrap/>
            <w:vAlign w:val="center"/>
          </w:tcPr>
          <w:p w14:paraId="421391B6" w14:textId="4EA847B5"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0.53</w:t>
            </w:r>
          </w:p>
        </w:tc>
        <w:tc>
          <w:tcPr>
            <w:tcW w:w="746" w:type="pct"/>
            <w:tcBorders>
              <w:right w:val="single" w:sz="4" w:space="0" w:color="auto"/>
            </w:tcBorders>
            <w:shd w:val="clear" w:color="auto" w:fill="auto"/>
            <w:noWrap/>
            <w:vAlign w:val="center"/>
          </w:tcPr>
          <w:p w14:paraId="15854A03" w14:textId="5E831464"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1.65</w:t>
            </w:r>
          </w:p>
        </w:tc>
        <w:tc>
          <w:tcPr>
            <w:tcW w:w="941" w:type="pct"/>
            <w:tcBorders>
              <w:left w:val="single" w:sz="4" w:space="0" w:color="auto"/>
            </w:tcBorders>
            <w:shd w:val="clear" w:color="auto" w:fill="auto"/>
            <w:noWrap/>
            <w:vAlign w:val="center"/>
          </w:tcPr>
          <w:p w14:paraId="357510F5" w14:textId="14433D18"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0.24</w:t>
            </w:r>
          </w:p>
        </w:tc>
        <w:tc>
          <w:tcPr>
            <w:tcW w:w="875" w:type="pct"/>
            <w:shd w:val="clear" w:color="auto" w:fill="auto"/>
            <w:noWrap/>
            <w:vAlign w:val="center"/>
            <w:hideMark/>
          </w:tcPr>
          <w:p w14:paraId="1D0DC525" w14:textId="22C74802" w:rsidR="00E270EA" w:rsidRPr="00102A9F" w:rsidRDefault="00E6777E" w:rsidP="00E270EA">
            <w:pPr>
              <w:jc w:val="center"/>
              <w:rPr>
                <w:rFonts w:eastAsia="Times New Roman"/>
                <w:b/>
                <w:color w:val="000000"/>
                <w:sz w:val="20"/>
                <w:szCs w:val="20"/>
                <w:lang w:val="en-MY" w:eastAsia="en-MY"/>
              </w:rPr>
            </w:pPr>
            <w:r>
              <w:rPr>
                <w:b/>
                <w:color w:val="000000"/>
                <w:sz w:val="20"/>
                <w:szCs w:val="20"/>
              </w:rPr>
              <w:t>-</w:t>
            </w:r>
            <w:r w:rsidR="00E270EA" w:rsidRPr="00102A9F">
              <w:rPr>
                <w:b/>
                <w:color w:val="000000"/>
                <w:sz w:val="20"/>
                <w:szCs w:val="20"/>
              </w:rPr>
              <w:t>0.42</w:t>
            </w:r>
          </w:p>
        </w:tc>
      </w:tr>
      <w:tr w:rsidR="00E270EA" w:rsidRPr="00E65AA7" w14:paraId="7FDBBE20" w14:textId="77777777" w:rsidTr="00BB1EA4">
        <w:trPr>
          <w:trHeight w:hRule="exact" w:val="340"/>
        </w:trPr>
        <w:tc>
          <w:tcPr>
            <w:tcW w:w="813" w:type="pct"/>
            <w:vMerge/>
            <w:vAlign w:val="center"/>
            <w:hideMark/>
          </w:tcPr>
          <w:p w14:paraId="1D4AA4C4" w14:textId="77777777" w:rsidR="00E270EA" w:rsidRPr="00E65AA7" w:rsidRDefault="00E270EA" w:rsidP="00E270EA">
            <w:pPr>
              <w:jc w:val="center"/>
              <w:rPr>
                <w:rFonts w:eastAsia="Times New Roman"/>
                <w:b/>
                <w:color w:val="000000"/>
                <w:sz w:val="20"/>
                <w:szCs w:val="20"/>
                <w:lang w:val="en-MY" w:eastAsia="en-MY"/>
              </w:rPr>
            </w:pPr>
          </w:p>
        </w:tc>
        <w:tc>
          <w:tcPr>
            <w:tcW w:w="813" w:type="pct"/>
            <w:vMerge/>
            <w:vAlign w:val="center"/>
            <w:hideMark/>
          </w:tcPr>
          <w:p w14:paraId="539FBFB4" w14:textId="77777777" w:rsidR="00E270EA" w:rsidRPr="00E65AA7" w:rsidRDefault="00E270EA" w:rsidP="00E270EA">
            <w:pPr>
              <w:jc w:val="center"/>
              <w:rPr>
                <w:rFonts w:eastAsia="Times New Roman"/>
                <w:b/>
                <w:color w:val="000000"/>
                <w:sz w:val="20"/>
                <w:szCs w:val="20"/>
                <w:lang w:val="en-MY" w:eastAsia="en-MY"/>
              </w:rPr>
            </w:pPr>
          </w:p>
        </w:tc>
        <w:tc>
          <w:tcPr>
            <w:tcW w:w="812" w:type="pct"/>
            <w:shd w:val="clear" w:color="auto" w:fill="auto"/>
            <w:noWrap/>
            <w:vAlign w:val="center"/>
          </w:tcPr>
          <w:p w14:paraId="328A47B0" w14:textId="7DE4A6CE"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(3.41)</w:t>
            </w:r>
          </w:p>
        </w:tc>
        <w:tc>
          <w:tcPr>
            <w:tcW w:w="746" w:type="pct"/>
            <w:tcBorders>
              <w:right w:val="single" w:sz="4" w:space="0" w:color="auto"/>
            </w:tcBorders>
            <w:shd w:val="clear" w:color="auto" w:fill="auto"/>
            <w:noWrap/>
            <w:vAlign w:val="center"/>
          </w:tcPr>
          <w:p w14:paraId="44546226" w14:textId="7DED6D39"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(6.51)</w:t>
            </w:r>
          </w:p>
        </w:tc>
        <w:tc>
          <w:tcPr>
            <w:tcW w:w="941" w:type="pct"/>
            <w:tcBorders>
              <w:left w:val="single" w:sz="4" w:space="0" w:color="auto"/>
            </w:tcBorders>
            <w:shd w:val="clear" w:color="auto" w:fill="auto"/>
            <w:noWrap/>
            <w:vAlign w:val="center"/>
          </w:tcPr>
          <w:p w14:paraId="74461695" w14:textId="054E3E9D"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(1.86)</w:t>
            </w:r>
          </w:p>
        </w:tc>
        <w:tc>
          <w:tcPr>
            <w:tcW w:w="875" w:type="pct"/>
            <w:shd w:val="clear" w:color="auto" w:fill="auto"/>
            <w:noWrap/>
            <w:vAlign w:val="center"/>
            <w:hideMark/>
          </w:tcPr>
          <w:p w14:paraId="150BC6F1" w14:textId="4BD85496" w:rsidR="00E270EA" w:rsidRPr="00102A9F" w:rsidRDefault="00E270EA" w:rsidP="00E270EA">
            <w:pPr>
              <w:jc w:val="center"/>
              <w:rPr>
                <w:rFonts w:eastAsia="Times New Roman"/>
                <w:b/>
                <w:color w:val="000000"/>
                <w:sz w:val="20"/>
                <w:szCs w:val="20"/>
                <w:lang w:val="en-MY" w:eastAsia="en-MY"/>
              </w:rPr>
            </w:pPr>
            <w:r w:rsidRPr="00102A9F">
              <w:rPr>
                <w:b/>
                <w:color w:val="000000"/>
                <w:sz w:val="20"/>
                <w:szCs w:val="20"/>
              </w:rPr>
              <w:t>(</w:t>
            </w:r>
            <w:r w:rsidR="00E6777E">
              <w:rPr>
                <w:b/>
                <w:color w:val="000000"/>
                <w:sz w:val="20"/>
                <w:szCs w:val="20"/>
              </w:rPr>
              <w:t>-</w:t>
            </w:r>
            <w:r w:rsidRPr="00102A9F">
              <w:rPr>
                <w:b/>
                <w:color w:val="000000"/>
                <w:sz w:val="20"/>
                <w:szCs w:val="20"/>
              </w:rPr>
              <w:t>2.00)</w:t>
            </w:r>
          </w:p>
        </w:tc>
      </w:tr>
      <w:tr w:rsidR="00E270EA" w:rsidRPr="00E65AA7" w14:paraId="2DCCA75B" w14:textId="77777777" w:rsidTr="00BB1EA4">
        <w:trPr>
          <w:trHeight w:hRule="exact" w:val="340"/>
        </w:trPr>
        <w:tc>
          <w:tcPr>
            <w:tcW w:w="813" w:type="pct"/>
            <w:vMerge/>
            <w:vAlign w:val="center"/>
          </w:tcPr>
          <w:p w14:paraId="2C19C2C5" w14:textId="77777777" w:rsidR="00E270EA" w:rsidRPr="00E65AA7" w:rsidRDefault="00E270EA" w:rsidP="00E270EA">
            <w:pPr>
              <w:jc w:val="center"/>
              <w:rPr>
                <w:rFonts w:eastAsia="Times New Roman"/>
                <w:b/>
                <w:color w:val="000000"/>
                <w:sz w:val="20"/>
                <w:szCs w:val="20"/>
                <w:lang w:val="en-MY" w:eastAsia="en-MY"/>
              </w:rPr>
            </w:pPr>
          </w:p>
        </w:tc>
        <w:tc>
          <w:tcPr>
            <w:tcW w:w="813" w:type="pct"/>
            <w:vMerge w:val="restart"/>
            <w:vAlign w:val="center"/>
          </w:tcPr>
          <w:p w14:paraId="7351BDD4" w14:textId="3038A9D6" w:rsidR="00E270EA" w:rsidRPr="00E65AA7" w:rsidRDefault="00E270EA" w:rsidP="00E270E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812" w:type="pct"/>
            <w:shd w:val="clear" w:color="auto" w:fill="auto"/>
            <w:noWrap/>
            <w:vAlign w:val="center"/>
          </w:tcPr>
          <w:p w14:paraId="21EC6C0C" w14:textId="1DB3723A"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0.54</w:t>
            </w:r>
          </w:p>
        </w:tc>
        <w:tc>
          <w:tcPr>
            <w:tcW w:w="746" w:type="pct"/>
            <w:tcBorders>
              <w:right w:val="single" w:sz="4" w:space="0" w:color="auto"/>
            </w:tcBorders>
            <w:shd w:val="clear" w:color="auto" w:fill="auto"/>
            <w:noWrap/>
            <w:vAlign w:val="center"/>
          </w:tcPr>
          <w:p w14:paraId="2AF6E099" w14:textId="7D9C16B0"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0.74</w:t>
            </w:r>
          </w:p>
        </w:tc>
        <w:tc>
          <w:tcPr>
            <w:tcW w:w="941" w:type="pct"/>
            <w:tcBorders>
              <w:left w:val="single" w:sz="4" w:space="0" w:color="auto"/>
            </w:tcBorders>
            <w:shd w:val="clear" w:color="auto" w:fill="auto"/>
            <w:noWrap/>
            <w:vAlign w:val="center"/>
          </w:tcPr>
          <w:p w14:paraId="5C130D1F" w14:textId="1D7C16EF" w:rsidR="00E270EA" w:rsidRPr="00E65AA7" w:rsidRDefault="00E270EA" w:rsidP="00E270EA">
            <w:pPr>
              <w:jc w:val="center"/>
              <w:rPr>
                <w:rFonts w:eastAsia="Times New Roman"/>
                <w:b/>
                <w:color w:val="000000"/>
                <w:sz w:val="20"/>
                <w:szCs w:val="20"/>
                <w:lang w:val="en-MY" w:eastAsia="en-MY"/>
              </w:rPr>
            </w:pPr>
            <w:r>
              <w:rPr>
                <w:color w:val="000000"/>
                <w:sz w:val="20"/>
                <w:szCs w:val="20"/>
              </w:rPr>
              <w:t>0.25</w:t>
            </w:r>
          </w:p>
        </w:tc>
        <w:tc>
          <w:tcPr>
            <w:tcW w:w="875" w:type="pct"/>
            <w:shd w:val="clear" w:color="auto" w:fill="auto"/>
            <w:noWrap/>
            <w:vAlign w:val="center"/>
          </w:tcPr>
          <w:p w14:paraId="21BB698A" w14:textId="50EDBA40" w:rsidR="00E270EA" w:rsidRPr="00E65AA7" w:rsidRDefault="00E6777E" w:rsidP="00E270EA">
            <w:pPr>
              <w:jc w:val="center"/>
              <w:rPr>
                <w:rFonts w:eastAsia="Times New Roman"/>
                <w:color w:val="000000"/>
                <w:sz w:val="20"/>
                <w:szCs w:val="20"/>
                <w:lang w:val="en-MY" w:eastAsia="en-MY"/>
              </w:rPr>
            </w:pPr>
            <w:r>
              <w:rPr>
                <w:color w:val="000000"/>
                <w:sz w:val="20"/>
                <w:szCs w:val="20"/>
              </w:rPr>
              <w:t>-</w:t>
            </w:r>
            <w:r w:rsidR="00E270EA">
              <w:rPr>
                <w:color w:val="000000"/>
                <w:sz w:val="20"/>
                <w:szCs w:val="20"/>
              </w:rPr>
              <w:t>0.03</w:t>
            </w:r>
          </w:p>
        </w:tc>
      </w:tr>
      <w:tr w:rsidR="00E270EA" w:rsidRPr="00E65AA7" w14:paraId="4A4F2B8B" w14:textId="77777777" w:rsidTr="00BB1EA4">
        <w:trPr>
          <w:trHeight w:hRule="exact" w:val="340"/>
        </w:trPr>
        <w:tc>
          <w:tcPr>
            <w:tcW w:w="813" w:type="pct"/>
            <w:vMerge/>
            <w:vAlign w:val="center"/>
          </w:tcPr>
          <w:p w14:paraId="1F3D07D5" w14:textId="77777777" w:rsidR="00E270EA" w:rsidRPr="00E65AA7" w:rsidRDefault="00E270EA" w:rsidP="00E270EA">
            <w:pPr>
              <w:jc w:val="center"/>
              <w:rPr>
                <w:rFonts w:eastAsia="Times New Roman"/>
                <w:b/>
                <w:color w:val="000000"/>
                <w:sz w:val="20"/>
                <w:szCs w:val="20"/>
                <w:lang w:val="en-MY" w:eastAsia="en-MY"/>
              </w:rPr>
            </w:pPr>
          </w:p>
        </w:tc>
        <w:tc>
          <w:tcPr>
            <w:tcW w:w="813" w:type="pct"/>
            <w:vMerge/>
            <w:vAlign w:val="center"/>
          </w:tcPr>
          <w:p w14:paraId="03622B95" w14:textId="77777777" w:rsidR="00E270EA" w:rsidRPr="00E65AA7" w:rsidRDefault="00E270EA" w:rsidP="00E270EA">
            <w:pPr>
              <w:jc w:val="center"/>
              <w:rPr>
                <w:rFonts w:eastAsia="Times New Roman"/>
                <w:b/>
                <w:color w:val="000000"/>
                <w:sz w:val="20"/>
                <w:szCs w:val="20"/>
                <w:lang w:val="en-MY" w:eastAsia="en-MY"/>
              </w:rPr>
            </w:pPr>
          </w:p>
        </w:tc>
        <w:tc>
          <w:tcPr>
            <w:tcW w:w="812" w:type="pct"/>
            <w:shd w:val="clear" w:color="auto" w:fill="auto"/>
            <w:noWrap/>
            <w:vAlign w:val="center"/>
          </w:tcPr>
          <w:p w14:paraId="682EA541" w14:textId="13F5D913"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(2.87)</w:t>
            </w:r>
          </w:p>
        </w:tc>
        <w:tc>
          <w:tcPr>
            <w:tcW w:w="746" w:type="pct"/>
            <w:tcBorders>
              <w:right w:val="single" w:sz="4" w:space="0" w:color="auto"/>
            </w:tcBorders>
            <w:shd w:val="clear" w:color="auto" w:fill="auto"/>
            <w:noWrap/>
            <w:vAlign w:val="center"/>
          </w:tcPr>
          <w:p w14:paraId="2BA2F0FB" w14:textId="55B995E5"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(3.13)</w:t>
            </w:r>
          </w:p>
        </w:tc>
        <w:tc>
          <w:tcPr>
            <w:tcW w:w="941" w:type="pct"/>
            <w:tcBorders>
              <w:left w:val="single" w:sz="4" w:space="0" w:color="auto"/>
            </w:tcBorders>
            <w:shd w:val="clear" w:color="auto" w:fill="auto"/>
            <w:noWrap/>
            <w:vAlign w:val="center"/>
          </w:tcPr>
          <w:p w14:paraId="25038B9A" w14:textId="3F8E5EFF" w:rsidR="00E270EA" w:rsidRPr="00E65AA7" w:rsidRDefault="00E270EA" w:rsidP="00E270EA">
            <w:pPr>
              <w:jc w:val="center"/>
              <w:rPr>
                <w:rFonts w:eastAsia="Times New Roman"/>
                <w:b/>
                <w:color w:val="000000"/>
                <w:sz w:val="20"/>
                <w:szCs w:val="20"/>
                <w:lang w:val="en-MY" w:eastAsia="en-MY"/>
              </w:rPr>
            </w:pPr>
            <w:r>
              <w:rPr>
                <w:color w:val="000000"/>
                <w:sz w:val="20"/>
                <w:szCs w:val="20"/>
              </w:rPr>
              <w:t>(1.51)</w:t>
            </w:r>
          </w:p>
        </w:tc>
        <w:tc>
          <w:tcPr>
            <w:tcW w:w="875" w:type="pct"/>
            <w:shd w:val="clear" w:color="auto" w:fill="auto"/>
            <w:noWrap/>
            <w:vAlign w:val="center"/>
          </w:tcPr>
          <w:p w14:paraId="24938482" w14:textId="3B4D1DDE" w:rsidR="00E270EA" w:rsidRPr="00E65AA7" w:rsidRDefault="00E270EA" w:rsidP="00E270EA">
            <w:pPr>
              <w:jc w:val="center"/>
              <w:rPr>
                <w:rFonts w:eastAsia="Times New Roman"/>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0.16)</w:t>
            </w:r>
          </w:p>
        </w:tc>
      </w:tr>
      <w:tr w:rsidR="00E270EA" w:rsidRPr="00E65AA7" w14:paraId="5B891660" w14:textId="77777777" w:rsidTr="00BB1EA4">
        <w:trPr>
          <w:trHeight w:hRule="exact" w:val="340"/>
        </w:trPr>
        <w:tc>
          <w:tcPr>
            <w:tcW w:w="813" w:type="pct"/>
            <w:vMerge/>
            <w:vAlign w:val="center"/>
          </w:tcPr>
          <w:p w14:paraId="5A4655CD" w14:textId="77777777" w:rsidR="00E270EA" w:rsidRPr="00E65AA7" w:rsidRDefault="00E270EA" w:rsidP="00E270EA">
            <w:pPr>
              <w:jc w:val="center"/>
              <w:rPr>
                <w:rFonts w:eastAsia="Times New Roman"/>
                <w:b/>
                <w:color w:val="000000"/>
                <w:sz w:val="20"/>
                <w:szCs w:val="20"/>
                <w:lang w:val="en-MY" w:eastAsia="en-MY"/>
              </w:rPr>
            </w:pPr>
          </w:p>
        </w:tc>
        <w:tc>
          <w:tcPr>
            <w:tcW w:w="813" w:type="pct"/>
            <w:vMerge w:val="restart"/>
            <w:vAlign w:val="center"/>
          </w:tcPr>
          <w:p w14:paraId="57567F4D" w14:textId="6E3DCCAD" w:rsidR="00E270EA" w:rsidRPr="00E65AA7" w:rsidRDefault="00E270EA" w:rsidP="00E270E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812" w:type="pct"/>
            <w:shd w:val="clear" w:color="auto" w:fill="auto"/>
            <w:noWrap/>
            <w:vAlign w:val="center"/>
          </w:tcPr>
          <w:p w14:paraId="2C5E810B" w14:textId="7C854FD2"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-1.23</w:t>
            </w:r>
          </w:p>
        </w:tc>
        <w:tc>
          <w:tcPr>
            <w:tcW w:w="746" w:type="pct"/>
            <w:tcBorders>
              <w:right w:val="single" w:sz="4" w:space="0" w:color="auto"/>
            </w:tcBorders>
            <w:shd w:val="clear" w:color="auto" w:fill="auto"/>
            <w:noWrap/>
            <w:vAlign w:val="center"/>
          </w:tcPr>
          <w:p w14:paraId="6CD43E0C" w14:textId="3227145A"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-1.99</w:t>
            </w:r>
          </w:p>
        </w:tc>
        <w:tc>
          <w:tcPr>
            <w:tcW w:w="941" w:type="pct"/>
            <w:tcBorders>
              <w:left w:val="single" w:sz="4" w:space="0" w:color="auto"/>
            </w:tcBorders>
            <w:shd w:val="clear" w:color="auto" w:fill="auto"/>
            <w:noWrap/>
            <w:vAlign w:val="center"/>
          </w:tcPr>
          <w:p w14:paraId="255D472D" w14:textId="72F8C46C"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-0.57</w:t>
            </w:r>
          </w:p>
        </w:tc>
        <w:tc>
          <w:tcPr>
            <w:tcW w:w="875" w:type="pct"/>
            <w:shd w:val="clear" w:color="auto" w:fill="auto"/>
            <w:noWrap/>
            <w:vAlign w:val="center"/>
          </w:tcPr>
          <w:p w14:paraId="3F27237C" w14:textId="4B3B3293" w:rsidR="00E270EA" w:rsidRPr="00102A9F" w:rsidRDefault="00E270EA" w:rsidP="00E270EA">
            <w:pPr>
              <w:jc w:val="center"/>
              <w:rPr>
                <w:rFonts w:eastAsia="Times New Roman"/>
                <w:b/>
                <w:color w:val="000000"/>
                <w:sz w:val="20"/>
                <w:szCs w:val="20"/>
                <w:lang w:val="en-MY" w:eastAsia="en-MY"/>
              </w:rPr>
            </w:pPr>
            <w:r w:rsidRPr="00102A9F">
              <w:rPr>
                <w:b/>
                <w:color w:val="000000"/>
                <w:sz w:val="20"/>
                <w:szCs w:val="20"/>
              </w:rPr>
              <w:t>1.09</w:t>
            </w:r>
          </w:p>
        </w:tc>
      </w:tr>
      <w:tr w:rsidR="00E270EA" w:rsidRPr="00E65AA7" w14:paraId="1DB35A35" w14:textId="77777777" w:rsidTr="00BB1EA4">
        <w:trPr>
          <w:trHeight w:hRule="exact" w:val="340"/>
        </w:trPr>
        <w:tc>
          <w:tcPr>
            <w:tcW w:w="813" w:type="pct"/>
            <w:vMerge/>
            <w:vAlign w:val="center"/>
          </w:tcPr>
          <w:p w14:paraId="352C58E9" w14:textId="77777777" w:rsidR="00E270EA" w:rsidRPr="00E65AA7" w:rsidRDefault="00E270EA" w:rsidP="00E270EA">
            <w:pPr>
              <w:jc w:val="center"/>
              <w:rPr>
                <w:rFonts w:eastAsia="Times New Roman"/>
                <w:b/>
                <w:color w:val="000000"/>
                <w:sz w:val="20"/>
                <w:szCs w:val="20"/>
                <w:lang w:val="en-MY" w:eastAsia="en-MY"/>
              </w:rPr>
            </w:pPr>
          </w:p>
        </w:tc>
        <w:tc>
          <w:tcPr>
            <w:tcW w:w="813" w:type="pct"/>
            <w:vMerge/>
            <w:vAlign w:val="center"/>
          </w:tcPr>
          <w:p w14:paraId="015BBC0A" w14:textId="77777777" w:rsidR="00E270EA" w:rsidRPr="00E65AA7" w:rsidRDefault="00E270EA" w:rsidP="00E270EA">
            <w:pPr>
              <w:jc w:val="center"/>
              <w:rPr>
                <w:rFonts w:eastAsia="Times New Roman"/>
                <w:b/>
                <w:color w:val="000000"/>
                <w:sz w:val="20"/>
                <w:szCs w:val="20"/>
                <w:lang w:val="en-MY" w:eastAsia="en-MY"/>
              </w:rPr>
            </w:pPr>
          </w:p>
        </w:tc>
        <w:tc>
          <w:tcPr>
            <w:tcW w:w="812" w:type="pct"/>
            <w:shd w:val="clear" w:color="auto" w:fill="auto"/>
            <w:noWrap/>
            <w:vAlign w:val="center"/>
          </w:tcPr>
          <w:p w14:paraId="3749737F" w14:textId="7F6593EB"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(-5.91)</w:t>
            </w:r>
          </w:p>
        </w:tc>
        <w:tc>
          <w:tcPr>
            <w:tcW w:w="746" w:type="pct"/>
            <w:tcBorders>
              <w:right w:val="single" w:sz="4" w:space="0" w:color="auto"/>
            </w:tcBorders>
            <w:shd w:val="clear" w:color="auto" w:fill="auto"/>
            <w:noWrap/>
            <w:vAlign w:val="center"/>
          </w:tcPr>
          <w:p w14:paraId="6C81D3EE" w14:textId="52DC38CF" w:rsidR="00E270EA" w:rsidRPr="00E270EA" w:rsidRDefault="00E270EA" w:rsidP="00E270EA">
            <w:pPr>
              <w:jc w:val="center"/>
              <w:rPr>
                <w:rFonts w:eastAsia="Times New Roman"/>
                <w:b/>
                <w:color w:val="000000"/>
                <w:sz w:val="20"/>
                <w:szCs w:val="20"/>
                <w:lang w:val="en-MY" w:eastAsia="en-MY"/>
              </w:rPr>
            </w:pPr>
            <w:r w:rsidRPr="00E270EA">
              <w:rPr>
                <w:b/>
                <w:color w:val="000000"/>
                <w:sz w:val="20"/>
                <w:szCs w:val="20"/>
              </w:rPr>
              <w:t>(-6.65)</w:t>
            </w:r>
          </w:p>
        </w:tc>
        <w:tc>
          <w:tcPr>
            <w:tcW w:w="941" w:type="pct"/>
            <w:tcBorders>
              <w:left w:val="single" w:sz="4" w:space="0" w:color="auto"/>
            </w:tcBorders>
            <w:shd w:val="clear" w:color="auto" w:fill="auto"/>
            <w:noWrap/>
            <w:vAlign w:val="center"/>
          </w:tcPr>
          <w:p w14:paraId="4BAC3BA2" w14:textId="022740EF" w:rsidR="00E270EA" w:rsidRPr="00755452" w:rsidRDefault="00E270EA" w:rsidP="00E270EA">
            <w:pPr>
              <w:jc w:val="center"/>
              <w:rPr>
                <w:rFonts w:eastAsia="Times New Roman"/>
                <w:b/>
                <w:color w:val="000000"/>
                <w:sz w:val="20"/>
                <w:szCs w:val="20"/>
                <w:lang w:val="en-MY" w:eastAsia="en-MY"/>
              </w:rPr>
            </w:pPr>
            <w:r w:rsidRPr="00755452">
              <w:rPr>
                <w:b/>
                <w:color w:val="000000"/>
                <w:sz w:val="20"/>
                <w:szCs w:val="20"/>
              </w:rPr>
              <w:t>(-3.48)</w:t>
            </w:r>
          </w:p>
        </w:tc>
        <w:tc>
          <w:tcPr>
            <w:tcW w:w="875" w:type="pct"/>
            <w:shd w:val="clear" w:color="auto" w:fill="auto"/>
            <w:noWrap/>
            <w:vAlign w:val="center"/>
          </w:tcPr>
          <w:p w14:paraId="5C17F232" w14:textId="19EBB4F4" w:rsidR="00E270EA" w:rsidRPr="00102A9F" w:rsidRDefault="00E270EA" w:rsidP="00E270EA">
            <w:pPr>
              <w:jc w:val="center"/>
              <w:rPr>
                <w:rFonts w:eastAsia="Times New Roman"/>
                <w:b/>
                <w:color w:val="000000"/>
                <w:sz w:val="20"/>
                <w:szCs w:val="20"/>
                <w:lang w:val="en-MY" w:eastAsia="en-MY"/>
              </w:rPr>
            </w:pPr>
            <w:r w:rsidRPr="00102A9F">
              <w:rPr>
                <w:b/>
                <w:color w:val="000000"/>
                <w:sz w:val="20"/>
                <w:szCs w:val="20"/>
              </w:rPr>
              <w:t>(-5.07)</w:t>
            </w:r>
          </w:p>
        </w:tc>
      </w:tr>
      <w:tr w:rsidR="00703D1A" w:rsidRPr="00E65AA7" w14:paraId="51644AFA" w14:textId="77777777" w:rsidTr="00452310">
        <w:trPr>
          <w:trHeight w:hRule="exact" w:val="340"/>
        </w:trPr>
        <w:tc>
          <w:tcPr>
            <w:tcW w:w="813" w:type="pct"/>
            <w:vMerge w:val="restart"/>
            <w:tcBorders>
              <w:top w:val="single" w:sz="4" w:space="0" w:color="auto"/>
            </w:tcBorders>
            <w:shd w:val="clear" w:color="auto" w:fill="auto"/>
            <w:noWrap/>
            <w:vAlign w:val="center"/>
            <w:hideMark/>
          </w:tcPr>
          <w:p w14:paraId="63E8246A" w14:textId="77777777" w:rsidR="00703D1A" w:rsidRPr="00E65AA7" w:rsidRDefault="00703D1A" w:rsidP="00703D1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PPE/A</w:t>
            </w:r>
          </w:p>
        </w:tc>
        <w:tc>
          <w:tcPr>
            <w:tcW w:w="813" w:type="pct"/>
            <w:vMerge w:val="restart"/>
            <w:tcBorders>
              <w:top w:val="single" w:sz="4" w:space="0" w:color="auto"/>
            </w:tcBorders>
            <w:shd w:val="clear" w:color="auto" w:fill="auto"/>
            <w:noWrap/>
            <w:vAlign w:val="center"/>
            <w:hideMark/>
          </w:tcPr>
          <w:p w14:paraId="5BC9E89F" w14:textId="77777777" w:rsidR="00703D1A" w:rsidRPr="00E65AA7" w:rsidRDefault="00703D1A" w:rsidP="00703D1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812" w:type="pct"/>
            <w:tcBorders>
              <w:top w:val="single" w:sz="4" w:space="0" w:color="auto"/>
            </w:tcBorders>
            <w:shd w:val="clear" w:color="auto" w:fill="auto"/>
            <w:noWrap/>
            <w:vAlign w:val="center"/>
          </w:tcPr>
          <w:p w14:paraId="6BEE0E1A" w14:textId="2FB5DD17" w:rsidR="00703D1A" w:rsidRPr="00E65AA7" w:rsidRDefault="00703D1A" w:rsidP="00703D1A">
            <w:pPr>
              <w:jc w:val="center"/>
              <w:rPr>
                <w:rFonts w:eastAsia="Times New Roman"/>
                <w:b/>
                <w:color w:val="000000"/>
                <w:sz w:val="20"/>
                <w:szCs w:val="20"/>
                <w:lang w:val="en-MY" w:eastAsia="en-MY"/>
              </w:rPr>
            </w:pPr>
            <w:r>
              <w:rPr>
                <w:color w:val="000000"/>
                <w:sz w:val="20"/>
                <w:szCs w:val="20"/>
              </w:rPr>
              <w:t>-0.33</w:t>
            </w:r>
          </w:p>
        </w:tc>
        <w:tc>
          <w:tcPr>
            <w:tcW w:w="746" w:type="pct"/>
            <w:tcBorders>
              <w:top w:val="single" w:sz="4" w:space="0" w:color="auto"/>
              <w:right w:val="single" w:sz="4" w:space="0" w:color="auto"/>
            </w:tcBorders>
            <w:shd w:val="clear" w:color="auto" w:fill="auto"/>
            <w:noWrap/>
            <w:vAlign w:val="center"/>
          </w:tcPr>
          <w:p w14:paraId="269FDC54" w14:textId="74953ADD" w:rsidR="00703D1A" w:rsidRPr="00E65AA7" w:rsidRDefault="00703D1A" w:rsidP="00703D1A">
            <w:pPr>
              <w:jc w:val="center"/>
              <w:rPr>
                <w:rFonts w:eastAsia="Times New Roman"/>
                <w:color w:val="000000"/>
                <w:sz w:val="20"/>
                <w:szCs w:val="20"/>
                <w:lang w:val="en-MY" w:eastAsia="en-MY"/>
              </w:rPr>
            </w:pPr>
            <w:r>
              <w:rPr>
                <w:color w:val="000000"/>
                <w:sz w:val="20"/>
                <w:szCs w:val="20"/>
              </w:rPr>
              <w:t>0.37</w:t>
            </w:r>
          </w:p>
        </w:tc>
        <w:tc>
          <w:tcPr>
            <w:tcW w:w="941" w:type="pct"/>
            <w:tcBorders>
              <w:top w:val="single" w:sz="4" w:space="0" w:color="auto"/>
              <w:left w:val="single" w:sz="4" w:space="0" w:color="auto"/>
            </w:tcBorders>
            <w:shd w:val="clear" w:color="auto" w:fill="auto"/>
            <w:noWrap/>
            <w:vAlign w:val="center"/>
          </w:tcPr>
          <w:p w14:paraId="5DD4571C" w14:textId="5036CBAE" w:rsidR="00703D1A" w:rsidRPr="00E65AA7" w:rsidRDefault="00703D1A" w:rsidP="00703D1A">
            <w:pPr>
              <w:jc w:val="center"/>
              <w:rPr>
                <w:rFonts w:eastAsia="Times New Roman"/>
                <w:b/>
                <w:color w:val="000000"/>
                <w:sz w:val="20"/>
                <w:szCs w:val="20"/>
                <w:lang w:val="en-MY" w:eastAsia="en-MY"/>
              </w:rPr>
            </w:pPr>
            <w:r>
              <w:rPr>
                <w:color w:val="000000"/>
                <w:sz w:val="20"/>
                <w:szCs w:val="20"/>
              </w:rPr>
              <w:t>-0.02</w:t>
            </w:r>
          </w:p>
        </w:tc>
        <w:tc>
          <w:tcPr>
            <w:tcW w:w="875" w:type="pct"/>
            <w:tcBorders>
              <w:top w:val="single" w:sz="4" w:space="0" w:color="auto"/>
            </w:tcBorders>
            <w:shd w:val="clear" w:color="auto" w:fill="auto"/>
            <w:noWrap/>
            <w:vAlign w:val="center"/>
            <w:hideMark/>
          </w:tcPr>
          <w:p w14:paraId="361EA9C9" w14:textId="5B94B5DA" w:rsidR="00703D1A" w:rsidRPr="00E65AA7" w:rsidRDefault="00E6777E" w:rsidP="00703D1A">
            <w:pPr>
              <w:jc w:val="center"/>
              <w:rPr>
                <w:rFonts w:eastAsia="Times New Roman"/>
                <w:color w:val="000000"/>
                <w:sz w:val="20"/>
                <w:szCs w:val="20"/>
                <w:lang w:val="en-MY" w:eastAsia="en-MY"/>
              </w:rPr>
            </w:pPr>
            <w:r>
              <w:rPr>
                <w:color w:val="000000"/>
                <w:sz w:val="20"/>
                <w:szCs w:val="20"/>
              </w:rPr>
              <w:t>-</w:t>
            </w:r>
            <w:r w:rsidR="00703D1A">
              <w:rPr>
                <w:color w:val="000000"/>
                <w:sz w:val="20"/>
                <w:szCs w:val="20"/>
              </w:rPr>
              <w:t>0.38</w:t>
            </w:r>
          </w:p>
        </w:tc>
      </w:tr>
      <w:tr w:rsidR="00703D1A" w:rsidRPr="00E65AA7" w14:paraId="46B48BD5" w14:textId="77777777" w:rsidTr="00452310">
        <w:trPr>
          <w:trHeight w:hRule="exact" w:val="340"/>
        </w:trPr>
        <w:tc>
          <w:tcPr>
            <w:tcW w:w="813" w:type="pct"/>
            <w:vMerge/>
            <w:vAlign w:val="center"/>
            <w:hideMark/>
          </w:tcPr>
          <w:p w14:paraId="0F9D3330" w14:textId="77777777" w:rsidR="00703D1A" w:rsidRPr="00E65AA7" w:rsidRDefault="00703D1A" w:rsidP="00703D1A">
            <w:pPr>
              <w:jc w:val="center"/>
              <w:rPr>
                <w:rFonts w:eastAsia="Times New Roman"/>
                <w:b/>
                <w:color w:val="000000"/>
                <w:sz w:val="20"/>
                <w:szCs w:val="20"/>
                <w:lang w:val="en-MY" w:eastAsia="en-MY"/>
              </w:rPr>
            </w:pPr>
          </w:p>
        </w:tc>
        <w:tc>
          <w:tcPr>
            <w:tcW w:w="813" w:type="pct"/>
            <w:vMerge/>
            <w:vAlign w:val="center"/>
            <w:hideMark/>
          </w:tcPr>
          <w:p w14:paraId="1CC16E2A" w14:textId="77777777" w:rsidR="00703D1A" w:rsidRPr="00E65AA7" w:rsidRDefault="00703D1A" w:rsidP="00703D1A">
            <w:pPr>
              <w:jc w:val="center"/>
              <w:rPr>
                <w:rFonts w:eastAsia="Times New Roman"/>
                <w:b/>
                <w:color w:val="000000"/>
                <w:sz w:val="20"/>
                <w:szCs w:val="20"/>
                <w:lang w:val="en-MY" w:eastAsia="en-MY"/>
              </w:rPr>
            </w:pPr>
          </w:p>
        </w:tc>
        <w:tc>
          <w:tcPr>
            <w:tcW w:w="812" w:type="pct"/>
            <w:shd w:val="clear" w:color="auto" w:fill="auto"/>
            <w:noWrap/>
            <w:vAlign w:val="center"/>
          </w:tcPr>
          <w:p w14:paraId="43ABFDCD" w14:textId="4DC1439F" w:rsidR="00703D1A" w:rsidRPr="00E65AA7" w:rsidRDefault="00703D1A" w:rsidP="00703D1A">
            <w:pPr>
              <w:jc w:val="center"/>
              <w:rPr>
                <w:rFonts w:eastAsia="Times New Roman"/>
                <w:b/>
                <w:color w:val="000000"/>
                <w:sz w:val="20"/>
                <w:szCs w:val="20"/>
                <w:lang w:val="en-MY" w:eastAsia="en-MY"/>
              </w:rPr>
            </w:pPr>
            <w:r>
              <w:rPr>
                <w:color w:val="000000"/>
                <w:sz w:val="20"/>
                <w:szCs w:val="20"/>
              </w:rPr>
              <w:t>(-1.03)</w:t>
            </w:r>
          </w:p>
        </w:tc>
        <w:tc>
          <w:tcPr>
            <w:tcW w:w="746" w:type="pct"/>
            <w:tcBorders>
              <w:right w:val="single" w:sz="4" w:space="0" w:color="auto"/>
            </w:tcBorders>
            <w:shd w:val="clear" w:color="auto" w:fill="auto"/>
            <w:noWrap/>
            <w:vAlign w:val="center"/>
          </w:tcPr>
          <w:p w14:paraId="38347252" w14:textId="247595CC" w:rsidR="00703D1A" w:rsidRPr="00E65AA7" w:rsidRDefault="00703D1A" w:rsidP="00703D1A">
            <w:pPr>
              <w:jc w:val="center"/>
              <w:rPr>
                <w:rFonts w:eastAsia="Times New Roman"/>
                <w:color w:val="000000"/>
                <w:sz w:val="20"/>
                <w:szCs w:val="20"/>
                <w:lang w:val="en-MY" w:eastAsia="en-MY"/>
              </w:rPr>
            </w:pPr>
            <w:r>
              <w:rPr>
                <w:color w:val="000000"/>
                <w:sz w:val="20"/>
                <w:szCs w:val="20"/>
              </w:rPr>
              <w:t>(1.08)</w:t>
            </w:r>
          </w:p>
        </w:tc>
        <w:tc>
          <w:tcPr>
            <w:tcW w:w="941" w:type="pct"/>
            <w:tcBorders>
              <w:left w:val="single" w:sz="4" w:space="0" w:color="auto"/>
            </w:tcBorders>
            <w:shd w:val="clear" w:color="auto" w:fill="auto"/>
            <w:noWrap/>
            <w:vAlign w:val="center"/>
          </w:tcPr>
          <w:p w14:paraId="4F128D41" w14:textId="16F6FF02" w:rsidR="00703D1A" w:rsidRPr="00E65AA7" w:rsidRDefault="00703D1A" w:rsidP="00703D1A">
            <w:pPr>
              <w:jc w:val="center"/>
              <w:rPr>
                <w:rFonts w:eastAsia="Times New Roman"/>
                <w:b/>
                <w:color w:val="000000"/>
                <w:sz w:val="20"/>
                <w:szCs w:val="20"/>
                <w:lang w:val="en-MY" w:eastAsia="en-MY"/>
              </w:rPr>
            </w:pPr>
            <w:r>
              <w:rPr>
                <w:color w:val="000000"/>
                <w:sz w:val="20"/>
                <w:szCs w:val="20"/>
              </w:rPr>
              <w:t>(-0.07)</w:t>
            </w:r>
          </w:p>
        </w:tc>
        <w:tc>
          <w:tcPr>
            <w:tcW w:w="875" w:type="pct"/>
            <w:shd w:val="clear" w:color="auto" w:fill="auto"/>
            <w:noWrap/>
            <w:vAlign w:val="center"/>
            <w:hideMark/>
          </w:tcPr>
          <w:p w14:paraId="15C1CBCF" w14:textId="24F28685" w:rsidR="00703D1A" w:rsidRPr="00E65AA7" w:rsidRDefault="00703D1A" w:rsidP="00703D1A">
            <w:pPr>
              <w:jc w:val="center"/>
              <w:rPr>
                <w:rFonts w:eastAsia="Times New Roman"/>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1.20)</w:t>
            </w:r>
          </w:p>
        </w:tc>
      </w:tr>
      <w:tr w:rsidR="00703D1A" w:rsidRPr="00E65AA7" w14:paraId="42A7F5C8" w14:textId="77777777" w:rsidTr="00452310">
        <w:trPr>
          <w:trHeight w:hRule="exact" w:val="340"/>
        </w:trPr>
        <w:tc>
          <w:tcPr>
            <w:tcW w:w="813" w:type="pct"/>
            <w:vMerge/>
            <w:vAlign w:val="center"/>
            <w:hideMark/>
          </w:tcPr>
          <w:p w14:paraId="176536BC" w14:textId="77777777" w:rsidR="00703D1A" w:rsidRPr="00E65AA7" w:rsidRDefault="00703D1A" w:rsidP="00703D1A">
            <w:pPr>
              <w:jc w:val="center"/>
              <w:rPr>
                <w:rFonts w:eastAsia="Times New Roman"/>
                <w:b/>
                <w:color w:val="000000"/>
                <w:sz w:val="20"/>
                <w:szCs w:val="20"/>
                <w:lang w:val="en-MY" w:eastAsia="en-MY"/>
              </w:rPr>
            </w:pPr>
          </w:p>
        </w:tc>
        <w:tc>
          <w:tcPr>
            <w:tcW w:w="813" w:type="pct"/>
            <w:vMerge w:val="restart"/>
            <w:shd w:val="clear" w:color="auto" w:fill="auto"/>
            <w:noWrap/>
            <w:vAlign w:val="center"/>
            <w:hideMark/>
          </w:tcPr>
          <w:p w14:paraId="20F1814C" w14:textId="77777777" w:rsidR="00703D1A" w:rsidRPr="00E65AA7" w:rsidRDefault="00703D1A" w:rsidP="00703D1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812" w:type="pct"/>
            <w:shd w:val="clear" w:color="auto" w:fill="auto"/>
            <w:noWrap/>
            <w:vAlign w:val="center"/>
          </w:tcPr>
          <w:p w14:paraId="6BFA0085" w14:textId="01C26AC7"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1.64</w:t>
            </w:r>
          </w:p>
        </w:tc>
        <w:tc>
          <w:tcPr>
            <w:tcW w:w="746" w:type="pct"/>
            <w:tcBorders>
              <w:right w:val="single" w:sz="4" w:space="0" w:color="auto"/>
            </w:tcBorders>
            <w:shd w:val="clear" w:color="auto" w:fill="auto"/>
            <w:noWrap/>
            <w:vAlign w:val="center"/>
          </w:tcPr>
          <w:p w14:paraId="70F2EC31" w14:textId="4A6FB4A9"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-0.65</w:t>
            </w:r>
          </w:p>
        </w:tc>
        <w:tc>
          <w:tcPr>
            <w:tcW w:w="941" w:type="pct"/>
            <w:tcBorders>
              <w:left w:val="single" w:sz="4" w:space="0" w:color="auto"/>
            </w:tcBorders>
            <w:shd w:val="clear" w:color="auto" w:fill="auto"/>
            <w:noWrap/>
            <w:vAlign w:val="center"/>
          </w:tcPr>
          <w:p w14:paraId="325C1A00" w14:textId="739ADFEE" w:rsidR="00703D1A" w:rsidRPr="00E65AA7" w:rsidRDefault="00703D1A" w:rsidP="00703D1A">
            <w:pPr>
              <w:jc w:val="center"/>
              <w:rPr>
                <w:rFonts w:eastAsia="Times New Roman"/>
                <w:color w:val="000000"/>
                <w:sz w:val="20"/>
                <w:szCs w:val="20"/>
                <w:lang w:val="en-MY" w:eastAsia="en-MY"/>
              </w:rPr>
            </w:pPr>
            <w:r>
              <w:rPr>
                <w:color w:val="000000"/>
                <w:sz w:val="20"/>
                <w:szCs w:val="20"/>
              </w:rPr>
              <w:t>0.39</w:t>
            </w:r>
          </w:p>
        </w:tc>
        <w:tc>
          <w:tcPr>
            <w:tcW w:w="875" w:type="pct"/>
            <w:shd w:val="clear" w:color="auto" w:fill="auto"/>
            <w:noWrap/>
            <w:vAlign w:val="center"/>
            <w:hideMark/>
          </w:tcPr>
          <w:p w14:paraId="125E31C4" w14:textId="1082F42E" w:rsidR="00703D1A" w:rsidRPr="00E65AA7" w:rsidRDefault="00703D1A" w:rsidP="00703D1A">
            <w:pPr>
              <w:jc w:val="center"/>
              <w:rPr>
                <w:rFonts w:eastAsia="Times New Roman"/>
                <w:color w:val="000000"/>
                <w:sz w:val="20"/>
                <w:szCs w:val="20"/>
                <w:lang w:val="en-MY" w:eastAsia="en-MY"/>
              </w:rPr>
            </w:pPr>
            <w:r>
              <w:rPr>
                <w:color w:val="000000"/>
                <w:sz w:val="20"/>
                <w:szCs w:val="20"/>
              </w:rPr>
              <w:t>0.03</w:t>
            </w:r>
          </w:p>
        </w:tc>
      </w:tr>
      <w:tr w:rsidR="00703D1A" w:rsidRPr="00E65AA7" w14:paraId="5718CD45" w14:textId="77777777" w:rsidTr="00452310">
        <w:trPr>
          <w:trHeight w:hRule="exact" w:val="340"/>
        </w:trPr>
        <w:tc>
          <w:tcPr>
            <w:tcW w:w="813" w:type="pct"/>
            <w:vMerge/>
            <w:vAlign w:val="center"/>
            <w:hideMark/>
          </w:tcPr>
          <w:p w14:paraId="408CE1BB" w14:textId="77777777" w:rsidR="00703D1A" w:rsidRPr="00E65AA7" w:rsidRDefault="00703D1A" w:rsidP="00703D1A">
            <w:pPr>
              <w:jc w:val="center"/>
              <w:rPr>
                <w:rFonts w:eastAsia="Times New Roman"/>
                <w:b/>
                <w:color w:val="000000"/>
                <w:sz w:val="20"/>
                <w:szCs w:val="20"/>
                <w:lang w:val="en-MY" w:eastAsia="en-MY"/>
              </w:rPr>
            </w:pPr>
          </w:p>
        </w:tc>
        <w:tc>
          <w:tcPr>
            <w:tcW w:w="813" w:type="pct"/>
            <w:vMerge/>
            <w:vAlign w:val="center"/>
            <w:hideMark/>
          </w:tcPr>
          <w:p w14:paraId="77BCA83C" w14:textId="77777777" w:rsidR="00703D1A" w:rsidRPr="00E65AA7" w:rsidRDefault="00703D1A" w:rsidP="00703D1A">
            <w:pPr>
              <w:jc w:val="center"/>
              <w:rPr>
                <w:rFonts w:eastAsia="Times New Roman"/>
                <w:b/>
                <w:color w:val="000000"/>
                <w:sz w:val="20"/>
                <w:szCs w:val="20"/>
                <w:lang w:val="en-MY" w:eastAsia="en-MY"/>
              </w:rPr>
            </w:pPr>
          </w:p>
        </w:tc>
        <w:tc>
          <w:tcPr>
            <w:tcW w:w="812" w:type="pct"/>
            <w:shd w:val="clear" w:color="auto" w:fill="auto"/>
            <w:noWrap/>
            <w:vAlign w:val="center"/>
          </w:tcPr>
          <w:p w14:paraId="1B8EF5D1" w14:textId="51B1F88D"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(5.5</w:t>
            </w:r>
            <w:r w:rsidR="00EE214F">
              <w:rPr>
                <w:b/>
                <w:color w:val="000000"/>
                <w:sz w:val="20"/>
                <w:szCs w:val="20"/>
              </w:rPr>
              <w:t>0</w:t>
            </w:r>
            <w:r w:rsidRPr="00703D1A">
              <w:rPr>
                <w:b/>
                <w:color w:val="000000"/>
                <w:sz w:val="20"/>
                <w:szCs w:val="20"/>
              </w:rPr>
              <w:t>)</w:t>
            </w:r>
          </w:p>
        </w:tc>
        <w:tc>
          <w:tcPr>
            <w:tcW w:w="746" w:type="pct"/>
            <w:tcBorders>
              <w:right w:val="single" w:sz="4" w:space="0" w:color="auto"/>
            </w:tcBorders>
            <w:shd w:val="clear" w:color="auto" w:fill="auto"/>
            <w:noWrap/>
            <w:vAlign w:val="center"/>
          </w:tcPr>
          <w:p w14:paraId="56791BAE" w14:textId="096E71D0"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(-2.25)</w:t>
            </w:r>
          </w:p>
        </w:tc>
        <w:tc>
          <w:tcPr>
            <w:tcW w:w="941" w:type="pct"/>
            <w:tcBorders>
              <w:left w:val="single" w:sz="4" w:space="0" w:color="auto"/>
            </w:tcBorders>
            <w:shd w:val="clear" w:color="auto" w:fill="auto"/>
            <w:noWrap/>
            <w:vAlign w:val="center"/>
          </w:tcPr>
          <w:p w14:paraId="7F27CA5C" w14:textId="1CE01115" w:rsidR="00703D1A" w:rsidRPr="00E65AA7" w:rsidRDefault="00703D1A" w:rsidP="00703D1A">
            <w:pPr>
              <w:jc w:val="center"/>
              <w:rPr>
                <w:rFonts w:eastAsia="Times New Roman"/>
                <w:color w:val="000000"/>
                <w:sz w:val="20"/>
                <w:szCs w:val="20"/>
                <w:lang w:val="en-MY" w:eastAsia="en-MY"/>
              </w:rPr>
            </w:pPr>
            <w:r>
              <w:rPr>
                <w:color w:val="000000"/>
                <w:sz w:val="20"/>
                <w:szCs w:val="20"/>
              </w:rPr>
              <w:t>(1.62)</w:t>
            </w:r>
          </w:p>
        </w:tc>
        <w:tc>
          <w:tcPr>
            <w:tcW w:w="875" w:type="pct"/>
            <w:shd w:val="clear" w:color="auto" w:fill="auto"/>
            <w:noWrap/>
            <w:vAlign w:val="center"/>
            <w:hideMark/>
          </w:tcPr>
          <w:p w14:paraId="348B17B2" w14:textId="4470C185" w:rsidR="00703D1A" w:rsidRPr="00E65AA7" w:rsidRDefault="00E6777E" w:rsidP="00703D1A">
            <w:pPr>
              <w:jc w:val="center"/>
              <w:rPr>
                <w:rFonts w:eastAsia="Times New Roman"/>
                <w:color w:val="000000"/>
                <w:sz w:val="20"/>
                <w:szCs w:val="20"/>
                <w:lang w:val="en-MY" w:eastAsia="en-MY"/>
              </w:rPr>
            </w:pPr>
            <w:r>
              <w:rPr>
                <w:color w:val="000000"/>
                <w:sz w:val="20"/>
                <w:szCs w:val="20"/>
              </w:rPr>
              <w:t>(</w:t>
            </w:r>
            <w:r w:rsidR="00703D1A">
              <w:rPr>
                <w:color w:val="000000"/>
                <w:sz w:val="20"/>
                <w:szCs w:val="20"/>
              </w:rPr>
              <w:t>0.12)</w:t>
            </w:r>
          </w:p>
        </w:tc>
      </w:tr>
      <w:tr w:rsidR="00703D1A" w:rsidRPr="00E65AA7" w14:paraId="7229F21E" w14:textId="77777777" w:rsidTr="00452310">
        <w:trPr>
          <w:trHeight w:hRule="exact" w:val="340"/>
        </w:trPr>
        <w:tc>
          <w:tcPr>
            <w:tcW w:w="813" w:type="pct"/>
            <w:vMerge/>
            <w:vAlign w:val="center"/>
          </w:tcPr>
          <w:p w14:paraId="6D87C673" w14:textId="77777777" w:rsidR="00703D1A" w:rsidRPr="00E65AA7" w:rsidRDefault="00703D1A" w:rsidP="00703D1A">
            <w:pPr>
              <w:jc w:val="center"/>
              <w:rPr>
                <w:rFonts w:eastAsia="Times New Roman"/>
                <w:b/>
                <w:color w:val="000000"/>
                <w:sz w:val="20"/>
                <w:szCs w:val="20"/>
                <w:lang w:val="en-MY" w:eastAsia="en-MY"/>
              </w:rPr>
            </w:pPr>
          </w:p>
        </w:tc>
        <w:tc>
          <w:tcPr>
            <w:tcW w:w="813" w:type="pct"/>
            <w:vMerge w:val="restart"/>
            <w:vAlign w:val="center"/>
          </w:tcPr>
          <w:p w14:paraId="0CD529AF" w14:textId="77777777" w:rsidR="00703D1A" w:rsidRPr="00E65AA7" w:rsidRDefault="00703D1A" w:rsidP="00703D1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812" w:type="pct"/>
            <w:shd w:val="clear" w:color="auto" w:fill="auto"/>
            <w:noWrap/>
            <w:vAlign w:val="center"/>
          </w:tcPr>
          <w:p w14:paraId="68ACD472" w14:textId="3DF9C4C5"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1.33</w:t>
            </w:r>
          </w:p>
        </w:tc>
        <w:tc>
          <w:tcPr>
            <w:tcW w:w="746" w:type="pct"/>
            <w:tcBorders>
              <w:right w:val="single" w:sz="4" w:space="0" w:color="auto"/>
            </w:tcBorders>
            <w:shd w:val="clear" w:color="auto" w:fill="auto"/>
            <w:noWrap/>
            <w:vAlign w:val="center"/>
          </w:tcPr>
          <w:p w14:paraId="495F0A41" w14:textId="0DD4552E" w:rsidR="00703D1A" w:rsidRPr="00E65AA7" w:rsidRDefault="00703D1A" w:rsidP="00703D1A">
            <w:pPr>
              <w:jc w:val="center"/>
              <w:rPr>
                <w:rFonts w:eastAsia="Times New Roman"/>
                <w:color w:val="000000"/>
                <w:sz w:val="20"/>
                <w:szCs w:val="20"/>
                <w:lang w:val="en-MY" w:eastAsia="en-MY"/>
              </w:rPr>
            </w:pPr>
            <w:r>
              <w:rPr>
                <w:color w:val="000000"/>
                <w:sz w:val="20"/>
                <w:szCs w:val="20"/>
              </w:rPr>
              <w:t>-0.25</w:t>
            </w:r>
          </w:p>
        </w:tc>
        <w:tc>
          <w:tcPr>
            <w:tcW w:w="941" w:type="pct"/>
            <w:tcBorders>
              <w:left w:val="single" w:sz="4" w:space="0" w:color="auto"/>
            </w:tcBorders>
            <w:shd w:val="clear" w:color="auto" w:fill="auto"/>
            <w:noWrap/>
            <w:vAlign w:val="center"/>
          </w:tcPr>
          <w:p w14:paraId="5E194E95" w14:textId="5501D91D" w:rsidR="00703D1A" w:rsidRPr="00D02C8D" w:rsidRDefault="00703D1A" w:rsidP="00703D1A">
            <w:pPr>
              <w:jc w:val="center"/>
              <w:rPr>
                <w:rFonts w:eastAsia="Times New Roman"/>
                <w:b/>
                <w:color w:val="000000"/>
                <w:sz w:val="20"/>
                <w:szCs w:val="20"/>
                <w:lang w:val="en-MY" w:eastAsia="en-MY"/>
              </w:rPr>
            </w:pPr>
            <w:r w:rsidRPr="00D02C8D">
              <w:rPr>
                <w:b/>
                <w:color w:val="000000"/>
                <w:sz w:val="20"/>
                <w:szCs w:val="20"/>
              </w:rPr>
              <w:t>0.66</w:t>
            </w:r>
          </w:p>
        </w:tc>
        <w:tc>
          <w:tcPr>
            <w:tcW w:w="875" w:type="pct"/>
            <w:shd w:val="clear" w:color="auto" w:fill="auto"/>
            <w:noWrap/>
            <w:vAlign w:val="center"/>
          </w:tcPr>
          <w:p w14:paraId="0BE88459" w14:textId="1827E868" w:rsidR="00703D1A" w:rsidRPr="00E65AA7" w:rsidRDefault="00E6777E" w:rsidP="00703D1A">
            <w:pPr>
              <w:jc w:val="center"/>
              <w:rPr>
                <w:rFonts w:eastAsia="Times New Roman"/>
                <w:color w:val="000000"/>
                <w:sz w:val="20"/>
                <w:szCs w:val="20"/>
                <w:lang w:val="en-MY" w:eastAsia="en-MY"/>
              </w:rPr>
            </w:pPr>
            <w:r>
              <w:rPr>
                <w:color w:val="000000"/>
                <w:sz w:val="20"/>
                <w:szCs w:val="20"/>
              </w:rPr>
              <w:t>-</w:t>
            </w:r>
            <w:r w:rsidR="00703D1A">
              <w:rPr>
                <w:color w:val="000000"/>
                <w:sz w:val="20"/>
                <w:szCs w:val="20"/>
              </w:rPr>
              <w:t>0.19</w:t>
            </w:r>
          </w:p>
        </w:tc>
      </w:tr>
      <w:tr w:rsidR="00703D1A" w:rsidRPr="00E65AA7" w14:paraId="0E740633" w14:textId="77777777" w:rsidTr="00452310">
        <w:trPr>
          <w:trHeight w:hRule="exact" w:val="340"/>
        </w:trPr>
        <w:tc>
          <w:tcPr>
            <w:tcW w:w="813" w:type="pct"/>
            <w:vMerge/>
            <w:vAlign w:val="center"/>
          </w:tcPr>
          <w:p w14:paraId="4E3A540C" w14:textId="77777777" w:rsidR="00703D1A" w:rsidRPr="00E65AA7" w:rsidRDefault="00703D1A" w:rsidP="00703D1A">
            <w:pPr>
              <w:jc w:val="center"/>
              <w:rPr>
                <w:rFonts w:eastAsia="Times New Roman"/>
                <w:b/>
                <w:color w:val="000000"/>
                <w:sz w:val="20"/>
                <w:szCs w:val="20"/>
                <w:lang w:val="en-MY" w:eastAsia="en-MY"/>
              </w:rPr>
            </w:pPr>
          </w:p>
        </w:tc>
        <w:tc>
          <w:tcPr>
            <w:tcW w:w="813" w:type="pct"/>
            <w:vMerge/>
            <w:vAlign w:val="center"/>
          </w:tcPr>
          <w:p w14:paraId="2EB7209C" w14:textId="77777777" w:rsidR="00703D1A" w:rsidRPr="00E65AA7" w:rsidRDefault="00703D1A" w:rsidP="00703D1A">
            <w:pPr>
              <w:jc w:val="center"/>
              <w:rPr>
                <w:rFonts w:eastAsia="Times New Roman"/>
                <w:b/>
                <w:color w:val="000000"/>
                <w:sz w:val="20"/>
                <w:szCs w:val="20"/>
                <w:lang w:val="en-MY" w:eastAsia="en-MY"/>
              </w:rPr>
            </w:pPr>
          </w:p>
        </w:tc>
        <w:tc>
          <w:tcPr>
            <w:tcW w:w="812" w:type="pct"/>
            <w:shd w:val="clear" w:color="auto" w:fill="auto"/>
            <w:noWrap/>
            <w:vAlign w:val="center"/>
          </w:tcPr>
          <w:p w14:paraId="426AC8C1" w14:textId="66871216"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(5.07)</w:t>
            </w:r>
          </w:p>
        </w:tc>
        <w:tc>
          <w:tcPr>
            <w:tcW w:w="746" w:type="pct"/>
            <w:tcBorders>
              <w:right w:val="single" w:sz="4" w:space="0" w:color="auto"/>
            </w:tcBorders>
            <w:shd w:val="clear" w:color="auto" w:fill="auto"/>
            <w:noWrap/>
            <w:vAlign w:val="center"/>
          </w:tcPr>
          <w:p w14:paraId="15A463EA" w14:textId="7E353526" w:rsidR="00703D1A" w:rsidRPr="00E65AA7" w:rsidRDefault="00703D1A" w:rsidP="00703D1A">
            <w:pPr>
              <w:jc w:val="center"/>
              <w:rPr>
                <w:rFonts w:eastAsia="Times New Roman"/>
                <w:color w:val="000000"/>
                <w:sz w:val="20"/>
                <w:szCs w:val="20"/>
                <w:lang w:val="en-MY" w:eastAsia="en-MY"/>
              </w:rPr>
            </w:pPr>
            <w:r>
              <w:rPr>
                <w:color w:val="000000"/>
                <w:sz w:val="20"/>
                <w:szCs w:val="20"/>
              </w:rPr>
              <w:t>(-0.69)</w:t>
            </w:r>
          </w:p>
        </w:tc>
        <w:tc>
          <w:tcPr>
            <w:tcW w:w="941" w:type="pct"/>
            <w:tcBorders>
              <w:left w:val="single" w:sz="4" w:space="0" w:color="auto"/>
            </w:tcBorders>
            <w:shd w:val="clear" w:color="auto" w:fill="auto"/>
            <w:noWrap/>
            <w:vAlign w:val="center"/>
          </w:tcPr>
          <w:p w14:paraId="5E99CCA4" w14:textId="4043CAA2" w:rsidR="00703D1A" w:rsidRPr="00D02C8D" w:rsidRDefault="00703D1A" w:rsidP="00703D1A">
            <w:pPr>
              <w:jc w:val="center"/>
              <w:rPr>
                <w:rFonts w:eastAsia="Times New Roman"/>
                <w:b/>
                <w:color w:val="000000"/>
                <w:sz w:val="20"/>
                <w:szCs w:val="20"/>
                <w:lang w:val="en-MY" w:eastAsia="en-MY"/>
              </w:rPr>
            </w:pPr>
            <w:r w:rsidRPr="00D02C8D">
              <w:rPr>
                <w:b/>
                <w:color w:val="000000"/>
                <w:sz w:val="20"/>
                <w:szCs w:val="20"/>
              </w:rPr>
              <w:t>(3.11)</w:t>
            </w:r>
          </w:p>
        </w:tc>
        <w:tc>
          <w:tcPr>
            <w:tcW w:w="875" w:type="pct"/>
            <w:shd w:val="clear" w:color="auto" w:fill="auto"/>
            <w:noWrap/>
            <w:vAlign w:val="center"/>
          </w:tcPr>
          <w:p w14:paraId="4D4C981A" w14:textId="289A018A" w:rsidR="00703D1A" w:rsidRPr="00E65AA7" w:rsidRDefault="00703D1A" w:rsidP="00703D1A">
            <w:pPr>
              <w:jc w:val="center"/>
              <w:rPr>
                <w:rFonts w:eastAsia="Times New Roman"/>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0.54)</w:t>
            </w:r>
          </w:p>
        </w:tc>
      </w:tr>
      <w:tr w:rsidR="00703D1A" w:rsidRPr="00E65AA7" w14:paraId="04BEB94C" w14:textId="77777777" w:rsidTr="00452310">
        <w:trPr>
          <w:trHeight w:hRule="exact" w:val="340"/>
        </w:trPr>
        <w:tc>
          <w:tcPr>
            <w:tcW w:w="813" w:type="pct"/>
            <w:vMerge/>
            <w:vAlign w:val="center"/>
          </w:tcPr>
          <w:p w14:paraId="141E8375" w14:textId="77777777" w:rsidR="00703D1A" w:rsidRPr="00E65AA7" w:rsidRDefault="00703D1A" w:rsidP="00703D1A">
            <w:pPr>
              <w:jc w:val="center"/>
              <w:rPr>
                <w:rFonts w:eastAsia="Times New Roman"/>
                <w:b/>
                <w:color w:val="000000"/>
                <w:sz w:val="20"/>
                <w:szCs w:val="20"/>
                <w:lang w:val="en-MY" w:eastAsia="en-MY"/>
              </w:rPr>
            </w:pPr>
          </w:p>
        </w:tc>
        <w:tc>
          <w:tcPr>
            <w:tcW w:w="813" w:type="pct"/>
            <w:vMerge w:val="restart"/>
            <w:vAlign w:val="center"/>
          </w:tcPr>
          <w:p w14:paraId="71A5EA6E" w14:textId="77777777" w:rsidR="00703D1A" w:rsidRPr="00E65AA7" w:rsidRDefault="00703D1A" w:rsidP="00703D1A">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812" w:type="pct"/>
            <w:shd w:val="clear" w:color="auto" w:fill="auto"/>
            <w:noWrap/>
            <w:vAlign w:val="center"/>
          </w:tcPr>
          <w:p w14:paraId="051F7061" w14:textId="20203D03"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-0.93</w:t>
            </w:r>
          </w:p>
        </w:tc>
        <w:tc>
          <w:tcPr>
            <w:tcW w:w="746" w:type="pct"/>
            <w:tcBorders>
              <w:right w:val="single" w:sz="4" w:space="0" w:color="auto"/>
            </w:tcBorders>
            <w:shd w:val="clear" w:color="auto" w:fill="auto"/>
            <w:noWrap/>
            <w:vAlign w:val="center"/>
          </w:tcPr>
          <w:p w14:paraId="2226FACD" w14:textId="700AEFA0" w:rsidR="00703D1A" w:rsidRPr="00E65AA7" w:rsidRDefault="00703D1A" w:rsidP="00703D1A">
            <w:pPr>
              <w:jc w:val="center"/>
              <w:rPr>
                <w:rFonts w:eastAsia="Times New Roman"/>
                <w:b/>
                <w:color w:val="000000"/>
                <w:sz w:val="20"/>
                <w:szCs w:val="20"/>
                <w:lang w:val="en-MY" w:eastAsia="en-MY"/>
              </w:rPr>
            </w:pPr>
            <w:r>
              <w:rPr>
                <w:color w:val="000000"/>
                <w:sz w:val="20"/>
                <w:szCs w:val="20"/>
              </w:rPr>
              <w:t>0.36</w:t>
            </w:r>
          </w:p>
        </w:tc>
        <w:tc>
          <w:tcPr>
            <w:tcW w:w="941" w:type="pct"/>
            <w:tcBorders>
              <w:left w:val="single" w:sz="4" w:space="0" w:color="auto"/>
            </w:tcBorders>
            <w:shd w:val="clear" w:color="auto" w:fill="auto"/>
            <w:noWrap/>
            <w:vAlign w:val="center"/>
          </w:tcPr>
          <w:p w14:paraId="4C7061D7" w14:textId="2E90B99D" w:rsidR="00703D1A" w:rsidRPr="00D02C8D" w:rsidRDefault="00703D1A" w:rsidP="00703D1A">
            <w:pPr>
              <w:jc w:val="center"/>
              <w:rPr>
                <w:rFonts w:eastAsia="Times New Roman"/>
                <w:b/>
                <w:color w:val="000000"/>
                <w:sz w:val="20"/>
                <w:szCs w:val="20"/>
                <w:lang w:val="en-MY" w:eastAsia="en-MY"/>
              </w:rPr>
            </w:pPr>
            <w:r w:rsidRPr="00D02C8D">
              <w:rPr>
                <w:b/>
                <w:color w:val="000000"/>
                <w:sz w:val="20"/>
                <w:szCs w:val="20"/>
              </w:rPr>
              <w:t>-0.51</w:t>
            </w:r>
          </w:p>
        </w:tc>
        <w:tc>
          <w:tcPr>
            <w:tcW w:w="875" w:type="pct"/>
            <w:shd w:val="clear" w:color="auto" w:fill="auto"/>
            <w:noWrap/>
            <w:vAlign w:val="center"/>
          </w:tcPr>
          <w:p w14:paraId="0E664701" w14:textId="5C07F9DF" w:rsidR="00703D1A" w:rsidRPr="00E65AA7" w:rsidRDefault="00E6777E" w:rsidP="00703D1A">
            <w:pPr>
              <w:jc w:val="center"/>
              <w:rPr>
                <w:rFonts w:eastAsia="Times New Roman"/>
                <w:b/>
                <w:color w:val="000000"/>
                <w:sz w:val="20"/>
                <w:szCs w:val="20"/>
                <w:lang w:val="en-MY" w:eastAsia="en-MY"/>
              </w:rPr>
            </w:pPr>
            <w:r>
              <w:rPr>
                <w:color w:val="000000"/>
                <w:sz w:val="20"/>
                <w:szCs w:val="20"/>
              </w:rPr>
              <w:t>-</w:t>
            </w:r>
            <w:r w:rsidR="00703D1A">
              <w:rPr>
                <w:color w:val="000000"/>
                <w:sz w:val="20"/>
                <w:szCs w:val="20"/>
              </w:rPr>
              <w:t>0.21</w:t>
            </w:r>
          </w:p>
        </w:tc>
      </w:tr>
      <w:tr w:rsidR="00703D1A" w:rsidRPr="00E65AA7" w14:paraId="78AC53EB" w14:textId="77777777" w:rsidTr="00452310">
        <w:trPr>
          <w:trHeight w:hRule="exact" w:val="340"/>
        </w:trPr>
        <w:tc>
          <w:tcPr>
            <w:tcW w:w="813" w:type="pct"/>
            <w:vMerge/>
            <w:vAlign w:val="center"/>
          </w:tcPr>
          <w:p w14:paraId="23D75A79" w14:textId="77777777" w:rsidR="00703D1A" w:rsidRPr="00E65AA7" w:rsidRDefault="00703D1A" w:rsidP="00703D1A">
            <w:pPr>
              <w:jc w:val="center"/>
              <w:rPr>
                <w:rFonts w:eastAsia="Times New Roman"/>
                <w:b/>
                <w:color w:val="000000"/>
                <w:sz w:val="20"/>
                <w:szCs w:val="20"/>
                <w:lang w:val="en-MY" w:eastAsia="en-MY"/>
              </w:rPr>
            </w:pPr>
          </w:p>
        </w:tc>
        <w:tc>
          <w:tcPr>
            <w:tcW w:w="813" w:type="pct"/>
            <w:vMerge/>
            <w:vAlign w:val="center"/>
          </w:tcPr>
          <w:p w14:paraId="17B6A0D6" w14:textId="77777777" w:rsidR="00703D1A" w:rsidRPr="00E65AA7" w:rsidRDefault="00703D1A" w:rsidP="00703D1A">
            <w:pPr>
              <w:jc w:val="center"/>
              <w:rPr>
                <w:rFonts w:eastAsia="Times New Roman"/>
                <w:b/>
                <w:color w:val="000000"/>
                <w:sz w:val="20"/>
                <w:szCs w:val="20"/>
                <w:lang w:val="en-MY" w:eastAsia="en-MY"/>
              </w:rPr>
            </w:pPr>
          </w:p>
        </w:tc>
        <w:tc>
          <w:tcPr>
            <w:tcW w:w="812" w:type="pct"/>
            <w:shd w:val="clear" w:color="auto" w:fill="auto"/>
            <w:noWrap/>
            <w:vAlign w:val="center"/>
          </w:tcPr>
          <w:p w14:paraId="5444F327" w14:textId="45068395" w:rsidR="00703D1A" w:rsidRPr="00703D1A" w:rsidRDefault="00703D1A" w:rsidP="00703D1A">
            <w:pPr>
              <w:jc w:val="center"/>
              <w:rPr>
                <w:rFonts w:eastAsia="Times New Roman"/>
                <w:b/>
                <w:color w:val="000000"/>
                <w:sz w:val="20"/>
                <w:szCs w:val="20"/>
                <w:lang w:val="en-MY" w:eastAsia="en-MY"/>
              </w:rPr>
            </w:pPr>
            <w:r w:rsidRPr="00703D1A">
              <w:rPr>
                <w:b/>
                <w:color w:val="000000"/>
                <w:sz w:val="20"/>
                <w:szCs w:val="20"/>
              </w:rPr>
              <w:t>(-3.00)</w:t>
            </w:r>
          </w:p>
        </w:tc>
        <w:tc>
          <w:tcPr>
            <w:tcW w:w="746" w:type="pct"/>
            <w:tcBorders>
              <w:right w:val="single" w:sz="4" w:space="0" w:color="auto"/>
            </w:tcBorders>
            <w:shd w:val="clear" w:color="auto" w:fill="auto"/>
            <w:noWrap/>
            <w:vAlign w:val="center"/>
          </w:tcPr>
          <w:p w14:paraId="74310EF5" w14:textId="56153E5F" w:rsidR="00703D1A" w:rsidRPr="00E65AA7" w:rsidRDefault="00703D1A" w:rsidP="00703D1A">
            <w:pPr>
              <w:jc w:val="center"/>
              <w:rPr>
                <w:rFonts w:eastAsia="Times New Roman"/>
                <w:b/>
                <w:color w:val="000000"/>
                <w:sz w:val="20"/>
                <w:szCs w:val="20"/>
                <w:lang w:val="en-MY" w:eastAsia="en-MY"/>
              </w:rPr>
            </w:pPr>
            <w:r>
              <w:rPr>
                <w:color w:val="000000"/>
                <w:sz w:val="20"/>
                <w:szCs w:val="20"/>
              </w:rPr>
              <w:t>(0.85)</w:t>
            </w:r>
          </w:p>
        </w:tc>
        <w:tc>
          <w:tcPr>
            <w:tcW w:w="941" w:type="pct"/>
            <w:tcBorders>
              <w:left w:val="single" w:sz="4" w:space="0" w:color="auto"/>
            </w:tcBorders>
            <w:shd w:val="clear" w:color="auto" w:fill="auto"/>
            <w:noWrap/>
            <w:vAlign w:val="center"/>
          </w:tcPr>
          <w:p w14:paraId="1917CD82" w14:textId="35E3A903" w:rsidR="00703D1A" w:rsidRPr="00D02C8D" w:rsidRDefault="00703D1A" w:rsidP="00703D1A">
            <w:pPr>
              <w:jc w:val="center"/>
              <w:rPr>
                <w:rFonts w:eastAsia="Times New Roman"/>
                <w:b/>
                <w:color w:val="000000"/>
                <w:sz w:val="20"/>
                <w:szCs w:val="20"/>
                <w:lang w:val="en-MY" w:eastAsia="en-MY"/>
              </w:rPr>
            </w:pPr>
            <w:r w:rsidRPr="00D02C8D">
              <w:rPr>
                <w:b/>
                <w:color w:val="000000"/>
                <w:sz w:val="20"/>
                <w:szCs w:val="20"/>
              </w:rPr>
              <w:t>(-2.03)</w:t>
            </w:r>
          </w:p>
        </w:tc>
        <w:tc>
          <w:tcPr>
            <w:tcW w:w="875" w:type="pct"/>
            <w:shd w:val="clear" w:color="auto" w:fill="auto"/>
            <w:noWrap/>
            <w:vAlign w:val="center"/>
          </w:tcPr>
          <w:p w14:paraId="4133BB7C" w14:textId="0C8F5F7F" w:rsidR="00703D1A" w:rsidRPr="00E65AA7" w:rsidRDefault="00703D1A" w:rsidP="00703D1A">
            <w:pPr>
              <w:jc w:val="center"/>
              <w:rPr>
                <w:rFonts w:eastAsia="Times New Roman"/>
                <w:b/>
                <w:color w:val="000000"/>
                <w:sz w:val="20"/>
                <w:szCs w:val="20"/>
                <w:lang w:val="en-MY" w:eastAsia="en-MY"/>
              </w:rPr>
            </w:pPr>
            <w:r>
              <w:rPr>
                <w:color w:val="000000"/>
                <w:sz w:val="20"/>
                <w:szCs w:val="20"/>
              </w:rPr>
              <w:t>(</w:t>
            </w:r>
            <w:r w:rsidR="00E6777E">
              <w:rPr>
                <w:color w:val="000000"/>
                <w:sz w:val="20"/>
                <w:szCs w:val="20"/>
              </w:rPr>
              <w:t>-</w:t>
            </w:r>
            <w:r>
              <w:rPr>
                <w:color w:val="000000"/>
                <w:sz w:val="20"/>
                <w:szCs w:val="20"/>
              </w:rPr>
              <w:t>0.50)</w:t>
            </w:r>
          </w:p>
        </w:tc>
      </w:tr>
      <w:tr w:rsidR="0011572E" w:rsidRPr="00E65AA7" w14:paraId="06D419E8" w14:textId="77777777" w:rsidTr="00452310">
        <w:trPr>
          <w:trHeight w:hRule="exact" w:val="340"/>
        </w:trPr>
        <w:tc>
          <w:tcPr>
            <w:tcW w:w="813" w:type="pct"/>
            <w:vMerge w:val="restart"/>
            <w:tcBorders>
              <w:top w:val="single" w:sz="4" w:space="0" w:color="auto"/>
            </w:tcBorders>
            <w:shd w:val="clear" w:color="auto" w:fill="auto"/>
            <w:noWrap/>
            <w:vAlign w:val="center"/>
            <w:hideMark/>
          </w:tcPr>
          <w:p w14:paraId="061C5057" w14:textId="77777777" w:rsidR="0011572E" w:rsidRPr="00E65AA7" w:rsidRDefault="0011572E" w:rsidP="0011572E">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RD/A</w:t>
            </w:r>
          </w:p>
        </w:tc>
        <w:tc>
          <w:tcPr>
            <w:tcW w:w="813" w:type="pct"/>
            <w:vMerge w:val="restart"/>
            <w:tcBorders>
              <w:top w:val="single" w:sz="4" w:space="0" w:color="auto"/>
            </w:tcBorders>
            <w:shd w:val="clear" w:color="auto" w:fill="auto"/>
            <w:noWrap/>
            <w:vAlign w:val="center"/>
            <w:hideMark/>
          </w:tcPr>
          <w:p w14:paraId="0742D7BA" w14:textId="77777777" w:rsidR="0011572E" w:rsidRPr="00E65AA7" w:rsidRDefault="0011572E" w:rsidP="0011572E">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H/H</w:t>
            </w:r>
          </w:p>
        </w:tc>
        <w:tc>
          <w:tcPr>
            <w:tcW w:w="812" w:type="pct"/>
            <w:tcBorders>
              <w:top w:val="single" w:sz="4" w:space="0" w:color="auto"/>
            </w:tcBorders>
            <w:shd w:val="clear" w:color="auto" w:fill="auto"/>
            <w:noWrap/>
            <w:vAlign w:val="center"/>
          </w:tcPr>
          <w:p w14:paraId="2A5A9DF0" w14:textId="52DBCEEC"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-0.89</w:t>
            </w:r>
          </w:p>
        </w:tc>
        <w:tc>
          <w:tcPr>
            <w:tcW w:w="746" w:type="pct"/>
            <w:tcBorders>
              <w:top w:val="single" w:sz="4" w:space="0" w:color="auto"/>
              <w:right w:val="single" w:sz="4" w:space="0" w:color="auto"/>
            </w:tcBorders>
            <w:shd w:val="clear" w:color="auto" w:fill="auto"/>
            <w:noWrap/>
            <w:vAlign w:val="center"/>
          </w:tcPr>
          <w:p w14:paraId="7169CFD5" w14:textId="2B1CB658" w:rsidR="0011572E" w:rsidRPr="00E65AA7" w:rsidRDefault="0011572E" w:rsidP="0011572E">
            <w:pPr>
              <w:jc w:val="center"/>
              <w:rPr>
                <w:rFonts w:eastAsia="Times New Roman"/>
                <w:color w:val="000000"/>
                <w:sz w:val="20"/>
                <w:szCs w:val="20"/>
                <w:lang w:val="en-MY" w:eastAsia="en-MY"/>
              </w:rPr>
            </w:pPr>
            <w:r>
              <w:rPr>
                <w:color w:val="000000"/>
                <w:sz w:val="20"/>
                <w:szCs w:val="20"/>
              </w:rPr>
              <w:t>0.34</w:t>
            </w:r>
          </w:p>
        </w:tc>
        <w:tc>
          <w:tcPr>
            <w:tcW w:w="941" w:type="pct"/>
            <w:tcBorders>
              <w:top w:val="single" w:sz="4" w:space="0" w:color="auto"/>
              <w:left w:val="single" w:sz="4" w:space="0" w:color="auto"/>
            </w:tcBorders>
            <w:shd w:val="clear" w:color="auto" w:fill="auto"/>
            <w:noWrap/>
            <w:vAlign w:val="center"/>
          </w:tcPr>
          <w:p w14:paraId="035721CF" w14:textId="12783FE3" w:rsidR="0011572E" w:rsidRPr="00E65AA7" w:rsidRDefault="0011572E" w:rsidP="0011572E">
            <w:pPr>
              <w:jc w:val="center"/>
              <w:rPr>
                <w:rFonts w:eastAsia="Times New Roman"/>
                <w:b/>
                <w:color w:val="000000"/>
                <w:sz w:val="20"/>
                <w:szCs w:val="20"/>
                <w:lang w:val="en-MY" w:eastAsia="en-MY"/>
              </w:rPr>
            </w:pPr>
            <w:r>
              <w:rPr>
                <w:color w:val="000000"/>
                <w:sz w:val="20"/>
                <w:szCs w:val="20"/>
              </w:rPr>
              <w:t>0.02</w:t>
            </w:r>
          </w:p>
        </w:tc>
        <w:tc>
          <w:tcPr>
            <w:tcW w:w="875" w:type="pct"/>
            <w:tcBorders>
              <w:top w:val="single" w:sz="4" w:space="0" w:color="auto"/>
            </w:tcBorders>
            <w:shd w:val="clear" w:color="auto" w:fill="auto"/>
            <w:noWrap/>
            <w:vAlign w:val="center"/>
            <w:hideMark/>
          </w:tcPr>
          <w:p w14:paraId="40B8A664" w14:textId="5D5E8B3B" w:rsidR="0011572E" w:rsidRPr="0011572E" w:rsidRDefault="00E6777E" w:rsidP="0011572E">
            <w:pPr>
              <w:jc w:val="center"/>
              <w:rPr>
                <w:rFonts w:eastAsia="Times New Roman"/>
                <w:b/>
                <w:color w:val="000000"/>
                <w:sz w:val="20"/>
                <w:szCs w:val="20"/>
                <w:lang w:val="en-MY" w:eastAsia="en-MY"/>
              </w:rPr>
            </w:pPr>
            <w:r>
              <w:rPr>
                <w:b/>
                <w:color w:val="000000"/>
                <w:sz w:val="20"/>
                <w:szCs w:val="20"/>
              </w:rPr>
              <w:t>-</w:t>
            </w:r>
            <w:r w:rsidR="0011572E" w:rsidRPr="0011572E">
              <w:rPr>
                <w:b/>
                <w:color w:val="000000"/>
                <w:sz w:val="20"/>
                <w:szCs w:val="20"/>
              </w:rPr>
              <w:t>0.38</w:t>
            </w:r>
          </w:p>
        </w:tc>
      </w:tr>
      <w:tr w:rsidR="0011572E" w:rsidRPr="00E65AA7" w14:paraId="2D9CDF78" w14:textId="77777777" w:rsidTr="00452310">
        <w:trPr>
          <w:trHeight w:hRule="exact" w:val="340"/>
        </w:trPr>
        <w:tc>
          <w:tcPr>
            <w:tcW w:w="813" w:type="pct"/>
            <w:vMerge/>
            <w:vAlign w:val="center"/>
            <w:hideMark/>
          </w:tcPr>
          <w:p w14:paraId="11F28904" w14:textId="77777777" w:rsidR="0011572E" w:rsidRPr="00E65AA7" w:rsidRDefault="0011572E" w:rsidP="0011572E">
            <w:pPr>
              <w:jc w:val="center"/>
              <w:rPr>
                <w:rFonts w:eastAsia="Times New Roman"/>
                <w:b/>
                <w:color w:val="000000"/>
                <w:sz w:val="20"/>
                <w:szCs w:val="20"/>
                <w:lang w:val="en-MY" w:eastAsia="en-MY"/>
              </w:rPr>
            </w:pPr>
          </w:p>
        </w:tc>
        <w:tc>
          <w:tcPr>
            <w:tcW w:w="813" w:type="pct"/>
            <w:vMerge/>
            <w:vAlign w:val="center"/>
            <w:hideMark/>
          </w:tcPr>
          <w:p w14:paraId="207F069E" w14:textId="77777777" w:rsidR="0011572E" w:rsidRPr="00E65AA7" w:rsidRDefault="0011572E" w:rsidP="0011572E">
            <w:pPr>
              <w:jc w:val="center"/>
              <w:rPr>
                <w:rFonts w:eastAsia="Times New Roman"/>
                <w:b/>
                <w:color w:val="000000"/>
                <w:sz w:val="20"/>
                <w:szCs w:val="20"/>
                <w:lang w:val="en-MY" w:eastAsia="en-MY"/>
              </w:rPr>
            </w:pPr>
          </w:p>
        </w:tc>
        <w:tc>
          <w:tcPr>
            <w:tcW w:w="812" w:type="pct"/>
            <w:shd w:val="clear" w:color="auto" w:fill="auto"/>
            <w:noWrap/>
            <w:vAlign w:val="center"/>
          </w:tcPr>
          <w:p w14:paraId="442D9CA9" w14:textId="243100C8"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(-1.79)</w:t>
            </w:r>
          </w:p>
        </w:tc>
        <w:tc>
          <w:tcPr>
            <w:tcW w:w="746" w:type="pct"/>
            <w:tcBorders>
              <w:right w:val="single" w:sz="4" w:space="0" w:color="auto"/>
            </w:tcBorders>
            <w:shd w:val="clear" w:color="auto" w:fill="auto"/>
            <w:noWrap/>
            <w:vAlign w:val="center"/>
          </w:tcPr>
          <w:p w14:paraId="24DFE141" w14:textId="6A61DA2E" w:rsidR="0011572E" w:rsidRPr="00E65AA7" w:rsidRDefault="0011572E" w:rsidP="0011572E">
            <w:pPr>
              <w:jc w:val="center"/>
              <w:rPr>
                <w:rFonts w:eastAsia="Times New Roman"/>
                <w:color w:val="000000"/>
                <w:sz w:val="20"/>
                <w:szCs w:val="20"/>
                <w:lang w:val="en-MY" w:eastAsia="en-MY"/>
              </w:rPr>
            </w:pPr>
            <w:r>
              <w:rPr>
                <w:color w:val="000000"/>
                <w:sz w:val="20"/>
                <w:szCs w:val="20"/>
              </w:rPr>
              <w:t>(1.38)</w:t>
            </w:r>
          </w:p>
        </w:tc>
        <w:tc>
          <w:tcPr>
            <w:tcW w:w="941" w:type="pct"/>
            <w:tcBorders>
              <w:left w:val="single" w:sz="4" w:space="0" w:color="auto"/>
            </w:tcBorders>
            <w:shd w:val="clear" w:color="auto" w:fill="auto"/>
            <w:noWrap/>
            <w:vAlign w:val="center"/>
          </w:tcPr>
          <w:p w14:paraId="3BD136A2" w14:textId="37AAB2E6" w:rsidR="0011572E" w:rsidRPr="00E65AA7" w:rsidRDefault="0011572E" w:rsidP="0011572E">
            <w:pPr>
              <w:jc w:val="center"/>
              <w:rPr>
                <w:rFonts w:eastAsia="Times New Roman"/>
                <w:b/>
                <w:color w:val="000000"/>
                <w:sz w:val="20"/>
                <w:szCs w:val="20"/>
                <w:lang w:val="en-MY" w:eastAsia="en-MY"/>
              </w:rPr>
            </w:pPr>
            <w:r>
              <w:rPr>
                <w:color w:val="000000"/>
                <w:sz w:val="20"/>
                <w:szCs w:val="20"/>
              </w:rPr>
              <w:t>(0.06)</w:t>
            </w:r>
          </w:p>
        </w:tc>
        <w:tc>
          <w:tcPr>
            <w:tcW w:w="875" w:type="pct"/>
            <w:shd w:val="clear" w:color="auto" w:fill="auto"/>
            <w:noWrap/>
            <w:vAlign w:val="center"/>
            <w:hideMark/>
          </w:tcPr>
          <w:p w14:paraId="6429AB48" w14:textId="0FF1847C"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w:t>
            </w:r>
            <w:r w:rsidR="00E6777E">
              <w:rPr>
                <w:b/>
                <w:color w:val="000000"/>
                <w:sz w:val="20"/>
                <w:szCs w:val="20"/>
              </w:rPr>
              <w:t>-</w:t>
            </w:r>
            <w:r w:rsidRPr="0011572E">
              <w:rPr>
                <w:b/>
                <w:color w:val="000000"/>
                <w:sz w:val="20"/>
                <w:szCs w:val="20"/>
              </w:rPr>
              <w:t>2.07)</w:t>
            </w:r>
          </w:p>
        </w:tc>
      </w:tr>
      <w:tr w:rsidR="0011572E" w:rsidRPr="00E65AA7" w14:paraId="405E6379" w14:textId="77777777" w:rsidTr="00452310">
        <w:trPr>
          <w:trHeight w:hRule="exact" w:val="340"/>
        </w:trPr>
        <w:tc>
          <w:tcPr>
            <w:tcW w:w="813" w:type="pct"/>
            <w:vMerge/>
            <w:vAlign w:val="center"/>
            <w:hideMark/>
          </w:tcPr>
          <w:p w14:paraId="7635D129" w14:textId="77777777" w:rsidR="0011572E" w:rsidRPr="00E65AA7" w:rsidRDefault="0011572E" w:rsidP="0011572E">
            <w:pPr>
              <w:jc w:val="center"/>
              <w:rPr>
                <w:rFonts w:eastAsia="Times New Roman"/>
                <w:b/>
                <w:color w:val="000000"/>
                <w:sz w:val="20"/>
                <w:szCs w:val="20"/>
                <w:lang w:val="en-MY" w:eastAsia="en-MY"/>
              </w:rPr>
            </w:pPr>
          </w:p>
        </w:tc>
        <w:tc>
          <w:tcPr>
            <w:tcW w:w="813" w:type="pct"/>
            <w:vMerge w:val="restart"/>
            <w:shd w:val="clear" w:color="auto" w:fill="auto"/>
            <w:noWrap/>
            <w:vAlign w:val="center"/>
            <w:hideMark/>
          </w:tcPr>
          <w:p w14:paraId="09A6188B" w14:textId="77777777" w:rsidR="0011572E" w:rsidRPr="00E65AA7" w:rsidRDefault="0011572E" w:rsidP="0011572E">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H/L</w:t>
            </w:r>
          </w:p>
        </w:tc>
        <w:tc>
          <w:tcPr>
            <w:tcW w:w="812" w:type="pct"/>
            <w:shd w:val="clear" w:color="auto" w:fill="auto"/>
            <w:noWrap/>
            <w:vAlign w:val="center"/>
          </w:tcPr>
          <w:p w14:paraId="44084FB5" w14:textId="4D925D00"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1.34</w:t>
            </w:r>
          </w:p>
        </w:tc>
        <w:tc>
          <w:tcPr>
            <w:tcW w:w="746" w:type="pct"/>
            <w:tcBorders>
              <w:right w:val="single" w:sz="4" w:space="0" w:color="auto"/>
            </w:tcBorders>
            <w:shd w:val="clear" w:color="auto" w:fill="auto"/>
            <w:noWrap/>
            <w:vAlign w:val="center"/>
          </w:tcPr>
          <w:p w14:paraId="0DE6A9F9" w14:textId="3395E1C4"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-0.54</w:t>
            </w:r>
          </w:p>
        </w:tc>
        <w:tc>
          <w:tcPr>
            <w:tcW w:w="941" w:type="pct"/>
            <w:tcBorders>
              <w:left w:val="single" w:sz="4" w:space="0" w:color="auto"/>
            </w:tcBorders>
            <w:shd w:val="clear" w:color="auto" w:fill="auto"/>
            <w:noWrap/>
            <w:vAlign w:val="center"/>
          </w:tcPr>
          <w:p w14:paraId="6513796A" w14:textId="02BC14A7" w:rsidR="0011572E" w:rsidRPr="00B25E0C" w:rsidRDefault="0011572E" w:rsidP="0011572E">
            <w:pPr>
              <w:jc w:val="center"/>
              <w:rPr>
                <w:rFonts w:eastAsia="Times New Roman"/>
                <w:b/>
                <w:color w:val="000000"/>
                <w:sz w:val="20"/>
                <w:szCs w:val="20"/>
                <w:lang w:val="en-MY" w:eastAsia="en-MY"/>
              </w:rPr>
            </w:pPr>
            <w:r>
              <w:rPr>
                <w:color w:val="000000"/>
                <w:sz w:val="20"/>
                <w:szCs w:val="20"/>
              </w:rPr>
              <w:t>0.42</w:t>
            </w:r>
          </w:p>
        </w:tc>
        <w:tc>
          <w:tcPr>
            <w:tcW w:w="875" w:type="pct"/>
            <w:shd w:val="clear" w:color="auto" w:fill="auto"/>
            <w:noWrap/>
            <w:vAlign w:val="center"/>
            <w:hideMark/>
          </w:tcPr>
          <w:p w14:paraId="3725CE0C" w14:textId="0DEAC428" w:rsidR="0011572E" w:rsidRPr="0011572E" w:rsidRDefault="000E49D4" w:rsidP="0011572E">
            <w:pPr>
              <w:jc w:val="center"/>
              <w:rPr>
                <w:rFonts w:eastAsia="Times New Roman"/>
                <w:b/>
                <w:color w:val="000000"/>
                <w:sz w:val="20"/>
                <w:szCs w:val="20"/>
                <w:lang w:val="en-MY" w:eastAsia="en-MY"/>
              </w:rPr>
            </w:pPr>
            <w:r>
              <w:rPr>
                <w:b/>
                <w:color w:val="000000"/>
                <w:sz w:val="20"/>
                <w:szCs w:val="20"/>
              </w:rPr>
              <w:t>-</w:t>
            </w:r>
            <w:r w:rsidR="0011572E" w:rsidRPr="0011572E">
              <w:rPr>
                <w:b/>
                <w:color w:val="000000"/>
                <w:sz w:val="20"/>
                <w:szCs w:val="20"/>
              </w:rPr>
              <w:t>0.34</w:t>
            </w:r>
          </w:p>
        </w:tc>
      </w:tr>
      <w:tr w:rsidR="0011572E" w:rsidRPr="00E65AA7" w14:paraId="458B58E5" w14:textId="77777777" w:rsidTr="00452310">
        <w:trPr>
          <w:trHeight w:hRule="exact" w:val="340"/>
        </w:trPr>
        <w:tc>
          <w:tcPr>
            <w:tcW w:w="813" w:type="pct"/>
            <w:vMerge/>
            <w:vAlign w:val="center"/>
            <w:hideMark/>
          </w:tcPr>
          <w:p w14:paraId="001AECE2" w14:textId="77777777" w:rsidR="0011572E" w:rsidRPr="00E65AA7" w:rsidRDefault="0011572E" w:rsidP="0011572E">
            <w:pPr>
              <w:jc w:val="center"/>
              <w:rPr>
                <w:rFonts w:eastAsia="Times New Roman"/>
                <w:b/>
                <w:color w:val="000000"/>
                <w:sz w:val="20"/>
                <w:szCs w:val="20"/>
                <w:lang w:val="en-MY" w:eastAsia="en-MY"/>
              </w:rPr>
            </w:pPr>
          </w:p>
        </w:tc>
        <w:tc>
          <w:tcPr>
            <w:tcW w:w="813" w:type="pct"/>
            <w:vMerge/>
            <w:vAlign w:val="center"/>
            <w:hideMark/>
          </w:tcPr>
          <w:p w14:paraId="23FE3800" w14:textId="77777777" w:rsidR="0011572E" w:rsidRPr="00E65AA7" w:rsidRDefault="0011572E" w:rsidP="0011572E">
            <w:pPr>
              <w:jc w:val="center"/>
              <w:rPr>
                <w:rFonts w:eastAsia="Times New Roman"/>
                <w:b/>
                <w:color w:val="000000"/>
                <w:sz w:val="20"/>
                <w:szCs w:val="20"/>
                <w:lang w:val="en-MY" w:eastAsia="en-MY"/>
              </w:rPr>
            </w:pPr>
          </w:p>
        </w:tc>
        <w:tc>
          <w:tcPr>
            <w:tcW w:w="812" w:type="pct"/>
            <w:shd w:val="clear" w:color="auto" w:fill="auto"/>
            <w:noWrap/>
            <w:vAlign w:val="center"/>
          </w:tcPr>
          <w:p w14:paraId="6AB71DAF" w14:textId="4321DE21"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(3.51)</w:t>
            </w:r>
          </w:p>
        </w:tc>
        <w:tc>
          <w:tcPr>
            <w:tcW w:w="746" w:type="pct"/>
            <w:tcBorders>
              <w:right w:val="single" w:sz="4" w:space="0" w:color="auto"/>
            </w:tcBorders>
            <w:shd w:val="clear" w:color="auto" w:fill="auto"/>
            <w:noWrap/>
            <w:vAlign w:val="center"/>
          </w:tcPr>
          <w:p w14:paraId="0DFAA7F5" w14:textId="6EB852DF"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(-2.67)</w:t>
            </w:r>
          </w:p>
        </w:tc>
        <w:tc>
          <w:tcPr>
            <w:tcW w:w="941" w:type="pct"/>
            <w:tcBorders>
              <w:left w:val="single" w:sz="4" w:space="0" w:color="auto"/>
            </w:tcBorders>
            <w:shd w:val="clear" w:color="auto" w:fill="auto"/>
            <w:noWrap/>
            <w:vAlign w:val="center"/>
          </w:tcPr>
          <w:p w14:paraId="640A0C43" w14:textId="63325F33" w:rsidR="0011572E" w:rsidRPr="00B25E0C" w:rsidRDefault="0011572E" w:rsidP="0011572E">
            <w:pPr>
              <w:jc w:val="center"/>
              <w:rPr>
                <w:rFonts w:eastAsia="Times New Roman"/>
                <w:b/>
                <w:color w:val="000000"/>
                <w:sz w:val="20"/>
                <w:szCs w:val="20"/>
                <w:lang w:val="en-MY" w:eastAsia="en-MY"/>
              </w:rPr>
            </w:pPr>
            <w:r>
              <w:rPr>
                <w:color w:val="000000"/>
                <w:sz w:val="20"/>
                <w:szCs w:val="20"/>
              </w:rPr>
              <w:t>(1.34)</w:t>
            </w:r>
          </w:p>
        </w:tc>
        <w:tc>
          <w:tcPr>
            <w:tcW w:w="875" w:type="pct"/>
            <w:shd w:val="clear" w:color="auto" w:fill="auto"/>
            <w:noWrap/>
            <w:vAlign w:val="center"/>
            <w:hideMark/>
          </w:tcPr>
          <w:p w14:paraId="70855143" w14:textId="137485B3"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w:t>
            </w:r>
            <w:r w:rsidR="000E49D4">
              <w:rPr>
                <w:b/>
                <w:color w:val="000000"/>
                <w:sz w:val="20"/>
                <w:szCs w:val="20"/>
              </w:rPr>
              <w:t>-</w:t>
            </w:r>
            <w:r w:rsidRPr="0011572E">
              <w:rPr>
                <w:b/>
                <w:color w:val="000000"/>
                <w:sz w:val="20"/>
                <w:szCs w:val="20"/>
              </w:rPr>
              <w:t>2.11)</w:t>
            </w:r>
          </w:p>
        </w:tc>
      </w:tr>
      <w:tr w:rsidR="0011572E" w:rsidRPr="00E65AA7" w14:paraId="2AE31B92" w14:textId="77777777" w:rsidTr="00452310">
        <w:trPr>
          <w:trHeight w:hRule="exact" w:val="340"/>
        </w:trPr>
        <w:tc>
          <w:tcPr>
            <w:tcW w:w="813" w:type="pct"/>
            <w:vMerge/>
            <w:vAlign w:val="center"/>
          </w:tcPr>
          <w:p w14:paraId="0DDE3637" w14:textId="77777777" w:rsidR="0011572E" w:rsidRPr="00E65AA7" w:rsidRDefault="0011572E" w:rsidP="0011572E">
            <w:pPr>
              <w:jc w:val="center"/>
              <w:rPr>
                <w:rFonts w:eastAsia="Times New Roman"/>
                <w:b/>
                <w:color w:val="000000"/>
                <w:sz w:val="20"/>
                <w:szCs w:val="20"/>
                <w:lang w:val="en-MY" w:eastAsia="en-MY"/>
              </w:rPr>
            </w:pPr>
          </w:p>
        </w:tc>
        <w:tc>
          <w:tcPr>
            <w:tcW w:w="813" w:type="pct"/>
            <w:vMerge w:val="restart"/>
            <w:vAlign w:val="center"/>
          </w:tcPr>
          <w:p w14:paraId="20D29A79" w14:textId="77777777" w:rsidR="0011572E" w:rsidRPr="00E65AA7" w:rsidRDefault="0011572E" w:rsidP="0011572E">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L/L</w:t>
            </w:r>
          </w:p>
        </w:tc>
        <w:tc>
          <w:tcPr>
            <w:tcW w:w="812" w:type="pct"/>
            <w:shd w:val="clear" w:color="auto" w:fill="auto"/>
            <w:noWrap/>
            <w:vAlign w:val="center"/>
          </w:tcPr>
          <w:p w14:paraId="4A7CDA2A" w14:textId="1038CF2E" w:rsidR="0011572E" w:rsidRPr="00E65AA7" w:rsidRDefault="0011572E" w:rsidP="0011572E">
            <w:pPr>
              <w:jc w:val="center"/>
              <w:rPr>
                <w:rFonts w:eastAsia="Times New Roman"/>
                <w:b/>
                <w:color w:val="000000"/>
                <w:sz w:val="20"/>
                <w:szCs w:val="20"/>
                <w:lang w:val="en-MY" w:eastAsia="en-MY"/>
              </w:rPr>
            </w:pPr>
            <w:r>
              <w:rPr>
                <w:color w:val="000000"/>
                <w:sz w:val="20"/>
                <w:szCs w:val="20"/>
              </w:rPr>
              <w:t>0.68</w:t>
            </w:r>
          </w:p>
        </w:tc>
        <w:tc>
          <w:tcPr>
            <w:tcW w:w="746" w:type="pct"/>
            <w:tcBorders>
              <w:right w:val="single" w:sz="4" w:space="0" w:color="auto"/>
            </w:tcBorders>
            <w:shd w:val="clear" w:color="auto" w:fill="auto"/>
            <w:noWrap/>
            <w:vAlign w:val="center"/>
          </w:tcPr>
          <w:p w14:paraId="32CA5EAA" w14:textId="778069FF" w:rsidR="0011572E" w:rsidRPr="00E65AA7" w:rsidRDefault="0011572E" w:rsidP="0011572E">
            <w:pPr>
              <w:jc w:val="center"/>
              <w:rPr>
                <w:rFonts w:eastAsia="Times New Roman"/>
                <w:b/>
                <w:color w:val="000000"/>
                <w:sz w:val="20"/>
                <w:szCs w:val="20"/>
                <w:lang w:val="en-MY" w:eastAsia="en-MY"/>
              </w:rPr>
            </w:pPr>
            <w:r>
              <w:rPr>
                <w:color w:val="000000"/>
                <w:sz w:val="20"/>
                <w:szCs w:val="20"/>
              </w:rPr>
              <w:t>-0.16</w:t>
            </w:r>
          </w:p>
        </w:tc>
        <w:tc>
          <w:tcPr>
            <w:tcW w:w="941" w:type="pct"/>
            <w:tcBorders>
              <w:left w:val="single" w:sz="4" w:space="0" w:color="auto"/>
            </w:tcBorders>
            <w:shd w:val="clear" w:color="auto" w:fill="auto"/>
            <w:noWrap/>
            <w:vAlign w:val="center"/>
          </w:tcPr>
          <w:p w14:paraId="189E7EB2" w14:textId="52B62E66" w:rsidR="0011572E" w:rsidRPr="00F850E2" w:rsidRDefault="0011572E" w:rsidP="0011572E">
            <w:pPr>
              <w:jc w:val="center"/>
              <w:rPr>
                <w:rFonts w:eastAsia="Times New Roman"/>
                <w:b/>
                <w:color w:val="000000"/>
                <w:sz w:val="20"/>
                <w:szCs w:val="20"/>
                <w:lang w:val="en-MY" w:eastAsia="en-MY"/>
              </w:rPr>
            </w:pPr>
            <w:r>
              <w:rPr>
                <w:color w:val="000000"/>
                <w:sz w:val="20"/>
                <w:szCs w:val="20"/>
              </w:rPr>
              <w:t>0.03</w:t>
            </w:r>
          </w:p>
        </w:tc>
        <w:tc>
          <w:tcPr>
            <w:tcW w:w="875" w:type="pct"/>
            <w:shd w:val="clear" w:color="auto" w:fill="auto"/>
            <w:noWrap/>
            <w:vAlign w:val="center"/>
          </w:tcPr>
          <w:p w14:paraId="136F2B76" w14:textId="15580DF8" w:rsidR="0011572E" w:rsidRPr="00E65AA7" w:rsidRDefault="000E49D4" w:rsidP="0011572E">
            <w:pPr>
              <w:jc w:val="center"/>
              <w:rPr>
                <w:rFonts w:eastAsia="Times New Roman"/>
                <w:b/>
                <w:color w:val="000000"/>
                <w:sz w:val="20"/>
                <w:szCs w:val="20"/>
                <w:lang w:val="en-MY" w:eastAsia="en-MY"/>
              </w:rPr>
            </w:pPr>
            <w:r>
              <w:rPr>
                <w:color w:val="000000"/>
                <w:sz w:val="20"/>
                <w:szCs w:val="20"/>
              </w:rPr>
              <w:t>-</w:t>
            </w:r>
            <w:r w:rsidR="0011572E">
              <w:rPr>
                <w:color w:val="000000"/>
                <w:sz w:val="20"/>
                <w:szCs w:val="20"/>
              </w:rPr>
              <w:t>0.13</w:t>
            </w:r>
          </w:p>
        </w:tc>
      </w:tr>
      <w:tr w:rsidR="0011572E" w:rsidRPr="00E65AA7" w14:paraId="4F67DCB6" w14:textId="77777777" w:rsidTr="00452310">
        <w:trPr>
          <w:trHeight w:hRule="exact" w:val="340"/>
        </w:trPr>
        <w:tc>
          <w:tcPr>
            <w:tcW w:w="813" w:type="pct"/>
            <w:vMerge/>
            <w:vAlign w:val="center"/>
          </w:tcPr>
          <w:p w14:paraId="65A57160" w14:textId="77777777" w:rsidR="0011572E" w:rsidRPr="00E65AA7" w:rsidRDefault="0011572E" w:rsidP="0011572E">
            <w:pPr>
              <w:jc w:val="center"/>
              <w:rPr>
                <w:rFonts w:eastAsia="Times New Roman"/>
                <w:b/>
                <w:color w:val="000000"/>
                <w:sz w:val="20"/>
                <w:szCs w:val="20"/>
                <w:lang w:val="en-MY" w:eastAsia="en-MY"/>
              </w:rPr>
            </w:pPr>
          </w:p>
        </w:tc>
        <w:tc>
          <w:tcPr>
            <w:tcW w:w="813" w:type="pct"/>
            <w:vMerge/>
            <w:vAlign w:val="center"/>
          </w:tcPr>
          <w:p w14:paraId="16FB58B4" w14:textId="77777777" w:rsidR="0011572E" w:rsidRPr="00E65AA7" w:rsidRDefault="0011572E" w:rsidP="0011572E">
            <w:pPr>
              <w:jc w:val="center"/>
              <w:rPr>
                <w:rFonts w:eastAsia="Times New Roman"/>
                <w:b/>
                <w:color w:val="000000"/>
                <w:sz w:val="20"/>
                <w:szCs w:val="20"/>
                <w:lang w:val="en-MY" w:eastAsia="en-MY"/>
              </w:rPr>
            </w:pPr>
          </w:p>
        </w:tc>
        <w:tc>
          <w:tcPr>
            <w:tcW w:w="812" w:type="pct"/>
            <w:shd w:val="clear" w:color="auto" w:fill="auto"/>
            <w:noWrap/>
            <w:vAlign w:val="center"/>
          </w:tcPr>
          <w:p w14:paraId="4386A94A" w14:textId="0C82771E" w:rsidR="0011572E" w:rsidRPr="00E65AA7" w:rsidRDefault="0011572E" w:rsidP="0011572E">
            <w:pPr>
              <w:jc w:val="center"/>
              <w:rPr>
                <w:rFonts w:eastAsia="Times New Roman"/>
                <w:b/>
                <w:color w:val="000000"/>
                <w:sz w:val="20"/>
                <w:szCs w:val="20"/>
                <w:lang w:val="en-MY" w:eastAsia="en-MY"/>
              </w:rPr>
            </w:pPr>
            <w:r>
              <w:rPr>
                <w:color w:val="000000"/>
                <w:sz w:val="20"/>
                <w:szCs w:val="20"/>
              </w:rPr>
              <w:t>(1.59)</w:t>
            </w:r>
          </w:p>
        </w:tc>
        <w:tc>
          <w:tcPr>
            <w:tcW w:w="746" w:type="pct"/>
            <w:tcBorders>
              <w:right w:val="single" w:sz="4" w:space="0" w:color="auto"/>
            </w:tcBorders>
            <w:shd w:val="clear" w:color="auto" w:fill="auto"/>
            <w:noWrap/>
            <w:vAlign w:val="center"/>
          </w:tcPr>
          <w:p w14:paraId="201942B1" w14:textId="6CD4193E" w:rsidR="0011572E" w:rsidRPr="00E65AA7" w:rsidRDefault="0011572E" w:rsidP="0011572E">
            <w:pPr>
              <w:jc w:val="center"/>
              <w:rPr>
                <w:rFonts w:eastAsia="Times New Roman"/>
                <w:b/>
                <w:color w:val="000000"/>
                <w:sz w:val="20"/>
                <w:szCs w:val="20"/>
                <w:lang w:val="en-MY" w:eastAsia="en-MY"/>
              </w:rPr>
            </w:pPr>
            <w:r>
              <w:rPr>
                <w:color w:val="000000"/>
                <w:sz w:val="20"/>
                <w:szCs w:val="20"/>
              </w:rPr>
              <w:t>(-0.73)</w:t>
            </w:r>
          </w:p>
        </w:tc>
        <w:tc>
          <w:tcPr>
            <w:tcW w:w="941" w:type="pct"/>
            <w:tcBorders>
              <w:left w:val="single" w:sz="4" w:space="0" w:color="auto"/>
            </w:tcBorders>
            <w:shd w:val="clear" w:color="auto" w:fill="auto"/>
            <w:noWrap/>
            <w:vAlign w:val="center"/>
          </w:tcPr>
          <w:p w14:paraId="04204CBB" w14:textId="7BE57B13" w:rsidR="0011572E" w:rsidRPr="00F850E2" w:rsidRDefault="0011572E" w:rsidP="0011572E">
            <w:pPr>
              <w:jc w:val="center"/>
              <w:rPr>
                <w:rFonts w:eastAsia="Times New Roman"/>
                <w:b/>
                <w:color w:val="000000"/>
                <w:sz w:val="20"/>
                <w:szCs w:val="20"/>
                <w:lang w:val="en-MY" w:eastAsia="en-MY"/>
              </w:rPr>
            </w:pPr>
            <w:r>
              <w:rPr>
                <w:color w:val="000000"/>
                <w:sz w:val="20"/>
                <w:szCs w:val="20"/>
              </w:rPr>
              <w:t>(0.1</w:t>
            </w:r>
            <w:r w:rsidR="002758FC">
              <w:rPr>
                <w:color w:val="000000"/>
                <w:sz w:val="20"/>
                <w:szCs w:val="20"/>
              </w:rPr>
              <w:t>0</w:t>
            </w:r>
            <w:r>
              <w:rPr>
                <w:color w:val="000000"/>
                <w:sz w:val="20"/>
                <w:szCs w:val="20"/>
              </w:rPr>
              <w:t>)</w:t>
            </w:r>
          </w:p>
        </w:tc>
        <w:tc>
          <w:tcPr>
            <w:tcW w:w="875" w:type="pct"/>
            <w:shd w:val="clear" w:color="auto" w:fill="auto"/>
            <w:noWrap/>
            <w:vAlign w:val="center"/>
          </w:tcPr>
          <w:p w14:paraId="662C5FE6" w14:textId="212155D4" w:rsidR="0011572E" w:rsidRPr="00E65AA7" w:rsidRDefault="0011572E" w:rsidP="0011572E">
            <w:pPr>
              <w:jc w:val="center"/>
              <w:rPr>
                <w:rFonts w:eastAsia="Times New Roman"/>
                <w:b/>
                <w:color w:val="000000"/>
                <w:sz w:val="20"/>
                <w:szCs w:val="20"/>
                <w:lang w:val="en-MY" w:eastAsia="en-MY"/>
              </w:rPr>
            </w:pPr>
            <w:r>
              <w:rPr>
                <w:color w:val="000000"/>
                <w:sz w:val="20"/>
                <w:szCs w:val="20"/>
              </w:rPr>
              <w:t>(</w:t>
            </w:r>
            <w:r w:rsidR="000E49D4">
              <w:rPr>
                <w:color w:val="000000"/>
                <w:sz w:val="20"/>
                <w:szCs w:val="20"/>
              </w:rPr>
              <w:t>-</w:t>
            </w:r>
            <w:r>
              <w:rPr>
                <w:color w:val="000000"/>
                <w:sz w:val="20"/>
                <w:szCs w:val="20"/>
              </w:rPr>
              <w:t>0.63)</w:t>
            </w:r>
          </w:p>
        </w:tc>
      </w:tr>
      <w:tr w:rsidR="0011572E" w:rsidRPr="00E65AA7" w14:paraId="534BBF28" w14:textId="77777777" w:rsidTr="00452310">
        <w:trPr>
          <w:trHeight w:hRule="exact" w:val="340"/>
        </w:trPr>
        <w:tc>
          <w:tcPr>
            <w:tcW w:w="813" w:type="pct"/>
            <w:vMerge/>
            <w:vAlign w:val="center"/>
          </w:tcPr>
          <w:p w14:paraId="5E8B0A02" w14:textId="77777777" w:rsidR="0011572E" w:rsidRPr="00E65AA7" w:rsidRDefault="0011572E" w:rsidP="0011572E">
            <w:pPr>
              <w:jc w:val="center"/>
              <w:rPr>
                <w:rFonts w:eastAsia="Times New Roman"/>
                <w:b/>
                <w:color w:val="000000"/>
                <w:sz w:val="20"/>
                <w:szCs w:val="20"/>
                <w:lang w:val="en-MY" w:eastAsia="en-MY"/>
              </w:rPr>
            </w:pPr>
          </w:p>
        </w:tc>
        <w:tc>
          <w:tcPr>
            <w:tcW w:w="813" w:type="pct"/>
            <w:vMerge w:val="restart"/>
            <w:vAlign w:val="center"/>
          </w:tcPr>
          <w:p w14:paraId="170BCB0B" w14:textId="77777777" w:rsidR="0011572E" w:rsidRPr="00E65AA7" w:rsidRDefault="0011572E" w:rsidP="0011572E">
            <w:pPr>
              <w:jc w:val="center"/>
              <w:rPr>
                <w:rFonts w:eastAsia="Times New Roman"/>
                <w:b/>
                <w:color w:val="000000"/>
                <w:sz w:val="20"/>
                <w:szCs w:val="20"/>
                <w:lang w:val="en-MY" w:eastAsia="en-MY"/>
              </w:rPr>
            </w:pPr>
            <w:r w:rsidRPr="00E65AA7">
              <w:rPr>
                <w:rFonts w:eastAsia="Times New Roman"/>
                <w:b/>
                <w:color w:val="000000"/>
                <w:sz w:val="20"/>
                <w:szCs w:val="20"/>
                <w:lang w:val="en-MY" w:eastAsia="en-MY"/>
              </w:rPr>
              <w:t>L/H</w:t>
            </w:r>
          </w:p>
        </w:tc>
        <w:tc>
          <w:tcPr>
            <w:tcW w:w="812" w:type="pct"/>
            <w:shd w:val="clear" w:color="auto" w:fill="auto"/>
            <w:noWrap/>
            <w:vAlign w:val="center"/>
          </w:tcPr>
          <w:p w14:paraId="3A791015" w14:textId="6C2F8E75"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-2.53</w:t>
            </w:r>
          </w:p>
        </w:tc>
        <w:tc>
          <w:tcPr>
            <w:tcW w:w="746" w:type="pct"/>
            <w:tcBorders>
              <w:right w:val="single" w:sz="4" w:space="0" w:color="auto"/>
            </w:tcBorders>
            <w:shd w:val="clear" w:color="auto" w:fill="auto"/>
            <w:noWrap/>
            <w:vAlign w:val="center"/>
          </w:tcPr>
          <w:p w14:paraId="516ABA1D" w14:textId="7A37931E" w:rsidR="0011572E" w:rsidRPr="00E65AA7" w:rsidRDefault="0011572E" w:rsidP="0011572E">
            <w:pPr>
              <w:jc w:val="center"/>
              <w:rPr>
                <w:rFonts w:eastAsia="Times New Roman"/>
                <w:b/>
                <w:color w:val="000000"/>
                <w:sz w:val="20"/>
                <w:szCs w:val="20"/>
                <w:lang w:val="en-MY" w:eastAsia="en-MY"/>
              </w:rPr>
            </w:pPr>
            <w:r>
              <w:rPr>
                <w:color w:val="000000"/>
                <w:sz w:val="20"/>
                <w:szCs w:val="20"/>
              </w:rPr>
              <w:t>0.40</w:t>
            </w:r>
          </w:p>
        </w:tc>
        <w:tc>
          <w:tcPr>
            <w:tcW w:w="941" w:type="pct"/>
            <w:tcBorders>
              <w:left w:val="single" w:sz="4" w:space="0" w:color="auto"/>
            </w:tcBorders>
            <w:shd w:val="clear" w:color="auto" w:fill="auto"/>
            <w:noWrap/>
            <w:vAlign w:val="center"/>
          </w:tcPr>
          <w:p w14:paraId="0672C521" w14:textId="26B29DA8"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-0.98</w:t>
            </w:r>
          </w:p>
        </w:tc>
        <w:tc>
          <w:tcPr>
            <w:tcW w:w="875" w:type="pct"/>
            <w:shd w:val="clear" w:color="auto" w:fill="auto"/>
            <w:noWrap/>
            <w:vAlign w:val="center"/>
          </w:tcPr>
          <w:p w14:paraId="7C012740" w14:textId="3E10940B" w:rsidR="0011572E" w:rsidRPr="0011572E" w:rsidRDefault="000E49D4" w:rsidP="0011572E">
            <w:pPr>
              <w:jc w:val="center"/>
              <w:rPr>
                <w:rFonts w:eastAsia="Times New Roman"/>
                <w:b/>
                <w:color w:val="000000"/>
                <w:sz w:val="20"/>
                <w:szCs w:val="20"/>
                <w:lang w:val="en-MY" w:eastAsia="en-MY"/>
              </w:rPr>
            </w:pPr>
            <w:r>
              <w:rPr>
                <w:b/>
                <w:color w:val="000000"/>
                <w:sz w:val="20"/>
                <w:szCs w:val="20"/>
              </w:rPr>
              <w:t>-</w:t>
            </w:r>
            <w:r w:rsidR="0011572E" w:rsidRPr="0011572E">
              <w:rPr>
                <w:b/>
                <w:color w:val="000000"/>
                <w:sz w:val="20"/>
                <w:szCs w:val="20"/>
              </w:rPr>
              <w:t>0.44</w:t>
            </w:r>
          </w:p>
        </w:tc>
      </w:tr>
      <w:tr w:rsidR="0011572E" w:rsidRPr="00E65AA7" w14:paraId="728BF475" w14:textId="77777777" w:rsidTr="00452310">
        <w:trPr>
          <w:trHeight w:hRule="exact" w:val="340"/>
        </w:trPr>
        <w:tc>
          <w:tcPr>
            <w:tcW w:w="813" w:type="pct"/>
            <w:vMerge/>
            <w:tcBorders>
              <w:bottom w:val="single" w:sz="4" w:space="0" w:color="auto"/>
            </w:tcBorders>
            <w:vAlign w:val="center"/>
          </w:tcPr>
          <w:p w14:paraId="1BF13395" w14:textId="77777777" w:rsidR="0011572E" w:rsidRPr="00E65AA7" w:rsidRDefault="0011572E" w:rsidP="0011572E">
            <w:pPr>
              <w:jc w:val="center"/>
              <w:rPr>
                <w:rFonts w:ascii="Calibri" w:eastAsia="Times New Roman" w:hAnsi="Calibri" w:cs="Calibri"/>
                <w:color w:val="000000"/>
                <w:sz w:val="22"/>
                <w:szCs w:val="22"/>
                <w:lang w:val="en-MY" w:eastAsia="en-MY"/>
              </w:rPr>
            </w:pPr>
          </w:p>
        </w:tc>
        <w:tc>
          <w:tcPr>
            <w:tcW w:w="813" w:type="pct"/>
            <w:vMerge/>
            <w:tcBorders>
              <w:bottom w:val="single" w:sz="4" w:space="0" w:color="auto"/>
            </w:tcBorders>
            <w:vAlign w:val="center"/>
          </w:tcPr>
          <w:p w14:paraId="0F548AA3" w14:textId="77777777" w:rsidR="0011572E" w:rsidRPr="00E65AA7" w:rsidRDefault="0011572E" w:rsidP="0011572E">
            <w:pPr>
              <w:jc w:val="center"/>
              <w:rPr>
                <w:rFonts w:ascii="Calibri" w:eastAsia="Times New Roman" w:hAnsi="Calibri" w:cs="Calibri"/>
                <w:color w:val="000000"/>
                <w:sz w:val="22"/>
                <w:szCs w:val="22"/>
                <w:lang w:val="en-MY" w:eastAsia="en-MY"/>
              </w:rPr>
            </w:pPr>
          </w:p>
        </w:tc>
        <w:tc>
          <w:tcPr>
            <w:tcW w:w="812" w:type="pct"/>
            <w:tcBorders>
              <w:bottom w:val="single" w:sz="4" w:space="0" w:color="auto"/>
            </w:tcBorders>
            <w:shd w:val="clear" w:color="auto" w:fill="auto"/>
            <w:noWrap/>
            <w:vAlign w:val="center"/>
          </w:tcPr>
          <w:p w14:paraId="395748D6" w14:textId="34C835AD"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(-5.72)</w:t>
            </w:r>
          </w:p>
        </w:tc>
        <w:tc>
          <w:tcPr>
            <w:tcW w:w="746" w:type="pct"/>
            <w:tcBorders>
              <w:bottom w:val="single" w:sz="4" w:space="0" w:color="auto"/>
              <w:right w:val="single" w:sz="4" w:space="0" w:color="auto"/>
            </w:tcBorders>
            <w:shd w:val="clear" w:color="auto" w:fill="auto"/>
            <w:noWrap/>
            <w:vAlign w:val="center"/>
          </w:tcPr>
          <w:p w14:paraId="6492075E" w14:textId="00CF0C56" w:rsidR="0011572E" w:rsidRPr="00E65AA7" w:rsidRDefault="0011572E" w:rsidP="0011572E">
            <w:pPr>
              <w:jc w:val="center"/>
              <w:rPr>
                <w:rFonts w:eastAsia="Times New Roman"/>
                <w:b/>
                <w:color w:val="000000"/>
                <w:sz w:val="20"/>
                <w:szCs w:val="20"/>
                <w:lang w:val="en-MY" w:eastAsia="en-MY"/>
              </w:rPr>
            </w:pPr>
            <w:r>
              <w:rPr>
                <w:color w:val="000000"/>
                <w:sz w:val="20"/>
                <w:szCs w:val="20"/>
              </w:rPr>
              <w:t>(1.44)</w:t>
            </w:r>
          </w:p>
        </w:tc>
        <w:tc>
          <w:tcPr>
            <w:tcW w:w="941" w:type="pct"/>
            <w:tcBorders>
              <w:left w:val="single" w:sz="4" w:space="0" w:color="auto"/>
            </w:tcBorders>
            <w:shd w:val="clear" w:color="auto" w:fill="auto"/>
            <w:noWrap/>
            <w:vAlign w:val="center"/>
          </w:tcPr>
          <w:p w14:paraId="513181E1" w14:textId="6BC6DDAA"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(-3.35)</w:t>
            </w:r>
          </w:p>
        </w:tc>
        <w:tc>
          <w:tcPr>
            <w:tcW w:w="875" w:type="pct"/>
            <w:shd w:val="clear" w:color="auto" w:fill="auto"/>
            <w:noWrap/>
            <w:vAlign w:val="center"/>
          </w:tcPr>
          <w:p w14:paraId="735081AE" w14:textId="63980714" w:rsidR="0011572E" w:rsidRPr="0011572E" w:rsidRDefault="0011572E" w:rsidP="0011572E">
            <w:pPr>
              <w:jc w:val="center"/>
              <w:rPr>
                <w:rFonts w:eastAsia="Times New Roman"/>
                <w:b/>
                <w:color w:val="000000"/>
                <w:sz w:val="20"/>
                <w:szCs w:val="20"/>
                <w:lang w:val="en-MY" w:eastAsia="en-MY"/>
              </w:rPr>
            </w:pPr>
            <w:r w:rsidRPr="0011572E">
              <w:rPr>
                <w:b/>
                <w:color w:val="000000"/>
                <w:sz w:val="20"/>
                <w:szCs w:val="20"/>
              </w:rPr>
              <w:t>(</w:t>
            </w:r>
            <w:r w:rsidR="000E49D4">
              <w:rPr>
                <w:b/>
                <w:color w:val="000000"/>
                <w:sz w:val="20"/>
                <w:szCs w:val="20"/>
              </w:rPr>
              <w:t>-</w:t>
            </w:r>
            <w:r w:rsidRPr="0011572E">
              <w:rPr>
                <w:b/>
                <w:color w:val="000000"/>
                <w:sz w:val="20"/>
                <w:szCs w:val="20"/>
              </w:rPr>
              <w:t>1.91)</w:t>
            </w:r>
          </w:p>
        </w:tc>
      </w:tr>
    </w:tbl>
    <w:p w14:paraId="14D697A7" w14:textId="77777777" w:rsidR="005F3074" w:rsidRPr="00E65AA7" w:rsidRDefault="005F3074">
      <w:pPr>
        <w:spacing w:after="120"/>
        <w:rPr>
          <w:rFonts w:eastAsia="Times New Roman"/>
          <w:b/>
          <w:bCs/>
          <w:noProof/>
          <w:szCs w:val="20"/>
          <w:lang w:eastAsia="en-AU"/>
        </w:rPr>
      </w:pPr>
    </w:p>
    <w:p w14:paraId="096742DD" w14:textId="77777777" w:rsidR="0068058C" w:rsidRPr="00E65AA7" w:rsidRDefault="0068058C" w:rsidP="0068058C">
      <w:pPr>
        <w:rPr>
          <w:rFonts w:eastAsia="Times New Roman"/>
          <w:szCs w:val="20"/>
          <w:lang w:eastAsia="en-AU"/>
        </w:rPr>
      </w:pPr>
    </w:p>
    <w:p w14:paraId="259E929F" w14:textId="77777777" w:rsidR="0068058C" w:rsidRPr="00E65AA7" w:rsidRDefault="0068058C" w:rsidP="0068058C">
      <w:pPr>
        <w:rPr>
          <w:rFonts w:eastAsia="Times New Roman"/>
          <w:szCs w:val="20"/>
          <w:lang w:eastAsia="en-AU"/>
        </w:rPr>
      </w:pPr>
    </w:p>
    <w:p w14:paraId="277D4D35" w14:textId="283939A1" w:rsidR="0068058C" w:rsidRPr="00E65AA7" w:rsidRDefault="0068058C" w:rsidP="0068058C">
      <w:pPr>
        <w:rPr>
          <w:rFonts w:eastAsia="Times New Roman"/>
          <w:szCs w:val="20"/>
          <w:lang w:eastAsia="en-AU"/>
        </w:rPr>
      </w:pPr>
    </w:p>
    <w:p w14:paraId="1F2FCED2" w14:textId="77777777" w:rsidR="0068058C" w:rsidRPr="00E65AA7" w:rsidRDefault="0068058C" w:rsidP="0068058C">
      <w:pPr>
        <w:rPr>
          <w:rFonts w:eastAsia="Times New Roman"/>
          <w:szCs w:val="20"/>
          <w:lang w:eastAsia="en-AU"/>
        </w:rPr>
      </w:pPr>
    </w:p>
    <w:p w14:paraId="3664A0F1" w14:textId="1DC571B0" w:rsidR="0068058C" w:rsidRPr="00E65AA7" w:rsidRDefault="0068058C" w:rsidP="0068058C">
      <w:pPr>
        <w:tabs>
          <w:tab w:val="left" w:pos="2715"/>
        </w:tabs>
        <w:rPr>
          <w:rFonts w:eastAsia="Times New Roman"/>
          <w:szCs w:val="20"/>
          <w:lang w:eastAsia="en-AU"/>
        </w:rPr>
      </w:pPr>
      <w:r w:rsidRPr="00E65AA7">
        <w:rPr>
          <w:rFonts w:eastAsia="Times New Roman"/>
          <w:szCs w:val="20"/>
          <w:lang w:eastAsia="en-AU"/>
        </w:rPr>
        <w:tab/>
      </w:r>
    </w:p>
    <w:p w14:paraId="71D38F11" w14:textId="0787BB0F" w:rsidR="0043272C" w:rsidRPr="00E65AA7" w:rsidRDefault="0068058C" w:rsidP="0068058C">
      <w:pPr>
        <w:tabs>
          <w:tab w:val="left" w:pos="2715"/>
        </w:tabs>
        <w:rPr>
          <w:rFonts w:eastAsia="Times New Roman"/>
          <w:szCs w:val="20"/>
          <w:lang w:eastAsia="en-AU"/>
        </w:rPr>
        <w:sectPr w:rsidR="0043272C" w:rsidRPr="00E65AA7" w:rsidSect="000D20F1">
          <w:pgSz w:w="11906" w:h="16838" w:code="9"/>
          <w:pgMar w:top="720" w:right="720" w:bottom="720" w:left="720" w:header="709" w:footer="709" w:gutter="0"/>
          <w:cols w:space="708"/>
          <w:docGrid w:linePitch="360"/>
        </w:sectPr>
      </w:pPr>
      <w:r w:rsidRPr="00E65AA7">
        <w:rPr>
          <w:rFonts w:eastAsia="Times New Roman"/>
          <w:szCs w:val="20"/>
          <w:lang w:eastAsia="en-AU"/>
        </w:rPr>
        <w:tab/>
      </w:r>
    </w:p>
    <w:p w14:paraId="74158145" w14:textId="3DC76AC9" w:rsidR="00BC7169" w:rsidRPr="00E65AA7" w:rsidRDefault="00B3198E" w:rsidP="00BC6E7D">
      <w:pPr>
        <w:spacing w:after="240"/>
        <w:rPr>
          <w:rFonts w:eastAsia="Times New Roman"/>
          <w:b/>
          <w:bCs/>
          <w:color w:val="000000"/>
          <w:sz w:val="20"/>
          <w:szCs w:val="20"/>
          <w:lang w:eastAsia="en-MY"/>
        </w:rPr>
      </w:pPr>
      <w:r>
        <w:rPr>
          <w:b/>
          <w:sz w:val="20"/>
          <w:szCs w:val="20"/>
        </w:rPr>
        <w:lastRenderedPageBreak/>
        <w:t xml:space="preserve">Table </w:t>
      </w:r>
      <w:r w:rsidR="003F2D69">
        <w:rPr>
          <w:b/>
          <w:sz w:val="20"/>
          <w:szCs w:val="20"/>
        </w:rPr>
        <w:t>8</w:t>
      </w:r>
      <w:r w:rsidR="004011E5" w:rsidRPr="00E65AA7">
        <w:rPr>
          <w:b/>
          <w:sz w:val="20"/>
          <w:szCs w:val="20"/>
        </w:rPr>
        <w:t xml:space="preserve">: </w:t>
      </w:r>
      <w:r w:rsidR="00074699">
        <w:rPr>
          <w:b/>
          <w:sz w:val="20"/>
          <w:szCs w:val="20"/>
        </w:rPr>
        <w:t xml:space="preserve">Alternative </w:t>
      </w:r>
      <w:r w:rsidR="004011E5" w:rsidRPr="00E65AA7">
        <w:rPr>
          <w:b/>
          <w:sz w:val="20"/>
          <w:szCs w:val="20"/>
        </w:rPr>
        <w:t xml:space="preserve">Sentiment Dynamics </w:t>
      </w:r>
      <w:r w:rsidR="00074699">
        <w:rPr>
          <w:b/>
          <w:sz w:val="20"/>
          <w:szCs w:val="20"/>
        </w:rPr>
        <w:t>Proxies</w:t>
      </w:r>
      <w:r w:rsidR="004011E5" w:rsidRPr="00E65AA7">
        <w:rPr>
          <w:b/>
          <w:sz w:val="20"/>
          <w:szCs w:val="20"/>
        </w:rPr>
        <w:t xml:space="preserve"> and Monthly Returns </w:t>
      </w:r>
      <w:r w:rsidR="006731F2">
        <w:rPr>
          <w:b/>
          <w:sz w:val="20"/>
          <w:szCs w:val="20"/>
        </w:rPr>
        <w:t>of Volatility</w:t>
      </w:r>
      <w:r w:rsidR="00CF79C5">
        <w:rPr>
          <w:b/>
          <w:sz w:val="20"/>
          <w:szCs w:val="20"/>
        </w:rPr>
        <w:t>-sorted</w:t>
      </w:r>
      <w:r w:rsidR="006731F2">
        <w:rPr>
          <w:b/>
          <w:sz w:val="20"/>
          <w:szCs w:val="20"/>
        </w:rPr>
        <w:t xml:space="preserve"> Portfolios</w:t>
      </w:r>
      <w:r w:rsidR="004011E5" w:rsidRPr="00E65AA7">
        <w:rPr>
          <w:b/>
          <w:sz w:val="20"/>
          <w:szCs w:val="20"/>
        </w:rPr>
        <w:t xml:space="preserve">, 1964 to 2014. </w:t>
      </w:r>
      <w:r w:rsidR="004011E5" w:rsidRPr="00E65AA7">
        <w:rPr>
          <w:noProof/>
          <w:sz w:val="20"/>
          <w:szCs w:val="20"/>
        </w:rPr>
        <w:t xml:space="preserve">In each month </w:t>
      </w:r>
      <w:r w:rsidR="004011E5" w:rsidRPr="00E65AA7">
        <w:rPr>
          <w:i/>
          <w:noProof/>
          <w:sz w:val="20"/>
          <w:szCs w:val="20"/>
        </w:rPr>
        <w:t>t</w:t>
      </w:r>
      <w:r w:rsidR="004011E5" w:rsidRPr="00E65AA7">
        <w:rPr>
          <w:noProof/>
          <w:sz w:val="20"/>
          <w:szCs w:val="20"/>
        </w:rPr>
        <w:t xml:space="preserve">, we form decile portfolios according to the NYSE breakpoints </w:t>
      </w:r>
      <w:r w:rsidR="00074699">
        <w:rPr>
          <w:noProof/>
          <w:sz w:val="20"/>
          <w:szCs w:val="20"/>
        </w:rPr>
        <w:t>of</w:t>
      </w:r>
      <w:r w:rsidR="00C7409E">
        <w:rPr>
          <w:noProof/>
          <w:sz w:val="20"/>
          <w:szCs w:val="20"/>
        </w:rPr>
        <w:t xml:space="preserve"> </w:t>
      </w:r>
      <w:r w:rsidR="00707585" w:rsidRPr="00E65AA7">
        <w:rPr>
          <w:noProof/>
          <w:sz w:val="20"/>
          <w:szCs w:val="20"/>
        </w:rPr>
        <w:t>volatility</w:t>
      </w:r>
      <w:r w:rsidR="00707585">
        <w:rPr>
          <w:noProof/>
          <w:sz w:val="20"/>
          <w:szCs w:val="20"/>
        </w:rPr>
        <w:t>.</w:t>
      </w:r>
      <w:r w:rsidR="00707585" w:rsidRPr="00E65AA7">
        <w:rPr>
          <w:sz w:val="20"/>
          <w:szCs w:val="20"/>
        </w:rPr>
        <w:t xml:space="preserve"> We</w:t>
      </w:r>
      <w:r w:rsidR="004011E5" w:rsidRPr="00E65AA7">
        <w:rPr>
          <w:sz w:val="20"/>
          <w:szCs w:val="20"/>
        </w:rPr>
        <w:t xml:space="preserve"> report average portfolio returns based on sentiment dynamics. We define </w:t>
      </w:r>
      <w:r w:rsidR="007B5FA9" w:rsidRPr="00E65AA7">
        <w:rPr>
          <w:sz w:val="20"/>
          <w:szCs w:val="20"/>
        </w:rPr>
        <w:t>H/H</w:t>
      </w:r>
      <w:r w:rsidR="005768C8" w:rsidRPr="00E65AA7">
        <w:rPr>
          <w:sz w:val="20"/>
          <w:szCs w:val="20"/>
        </w:rPr>
        <w:t xml:space="preserve">, H/L, </w:t>
      </w:r>
      <w:r w:rsidR="007B5FA9" w:rsidRPr="00E65AA7">
        <w:rPr>
          <w:sz w:val="20"/>
          <w:szCs w:val="20"/>
        </w:rPr>
        <w:t>L/L</w:t>
      </w:r>
      <w:r w:rsidR="005768C8" w:rsidRPr="00E65AA7">
        <w:rPr>
          <w:sz w:val="20"/>
          <w:szCs w:val="20"/>
        </w:rPr>
        <w:t xml:space="preserve"> and L/H</w:t>
      </w:r>
      <w:r w:rsidR="004011E5" w:rsidRPr="00E65AA7">
        <w:rPr>
          <w:sz w:val="20"/>
          <w:szCs w:val="20"/>
        </w:rPr>
        <w:t xml:space="preserve"> sentiment state </w:t>
      </w:r>
      <w:r w:rsidR="005768C8" w:rsidRPr="00E65AA7">
        <w:rPr>
          <w:sz w:val="20"/>
          <w:szCs w:val="20"/>
        </w:rPr>
        <w:t xml:space="preserve">using </w:t>
      </w:r>
      <w:r w:rsidR="005768C8" w:rsidRPr="00E65AA7">
        <w:rPr>
          <w:rFonts w:hint="eastAsia"/>
          <w:sz w:val="20"/>
          <w:szCs w:val="20"/>
        </w:rPr>
        <w:t>▲</w:t>
      </w:r>
      <w:r w:rsidR="005768C8" w:rsidRPr="00E65AA7">
        <w:rPr>
          <w:rFonts w:hint="eastAsia"/>
          <w:sz w:val="20"/>
          <w:szCs w:val="20"/>
        </w:rPr>
        <w:t xml:space="preserve">VIX, </w:t>
      </w:r>
      <w:r w:rsidR="005768C8" w:rsidRPr="00E65AA7">
        <w:rPr>
          <w:rFonts w:hint="eastAsia"/>
          <w:sz w:val="20"/>
          <w:szCs w:val="20"/>
        </w:rPr>
        <w:t>▲</w:t>
      </w:r>
      <w:r w:rsidR="005768C8" w:rsidRPr="00E65AA7">
        <w:rPr>
          <w:rFonts w:hint="eastAsia"/>
          <w:sz w:val="20"/>
          <w:szCs w:val="20"/>
        </w:rPr>
        <w:t>PC, and BBS</w:t>
      </w:r>
      <w:r w:rsidR="005768C8" w:rsidRPr="00E65AA7">
        <w:rPr>
          <w:sz w:val="20"/>
          <w:szCs w:val="20"/>
        </w:rPr>
        <w:t xml:space="preserve">. H/H (L/L) </w:t>
      </w:r>
      <w:r w:rsidR="00445E93" w:rsidRPr="00E65AA7">
        <w:rPr>
          <w:sz w:val="20"/>
          <w:szCs w:val="20"/>
        </w:rPr>
        <w:t>represents sentiment continuation in High (Low) states, while H/L (L/H) captures the transition in sentiment from High to Low (Low to High) states</w:t>
      </w:r>
      <w:r w:rsidR="005768C8" w:rsidRPr="00E65AA7">
        <w:rPr>
          <w:sz w:val="20"/>
          <w:szCs w:val="20"/>
        </w:rPr>
        <w:t xml:space="preserve">. </w:t>
      </w:r>
      <w:r w:rsidR="001B27A3" w:rsidRPr="00E65AA7">
        <w:rPr>
          <w:rFonts w:hint="eastAsia"/>
          <w:sz w:val="20"/>
          <w:szCs w:val="20"/>
        </w:rPr>
        <w:t xml:space="preserve">For </w:t>
      </w:r>
      <w:r w:rsidR="001B27A3" w:rsidRPr="00E65AA7">
        <w:rPr>
          <w:rFonts w:hint="eastAsia"/>
          <w:sz w:val="20"/>
          <w:szCs w:val="20"/>
        </w:rPr>
        <w:t>▲</w:t>
      </w:r>
      <w:r w:rsidR="001B27A3" w:rsidRPr="00E65AA7">
        <w:rPr>
          <w:rFonts w:hint="eastAsia"/>
          <w:sz w:val="20"/>
          <w:szCs w:val="20"/>
        </w:rPr>
        <w:t xml:space="preserve">VIX and </w:t>
      </w:r>
      <w:r w:rsidR="001B27A3" w:rsidRPr="00E65AA7">
        <w:rPr>
          <w:rFonts w:hint="eastAsia"/>
          <w:sz w:val="20"/>
          <w:szCs w:val="20"/>
        </w:rPr>
        <w:t>▲</w:t>
      </w:r>
      <w:r w:rsidR="001B27A3" w:rsidRPr="00E65AA7">
        <w:rPr>
          <w:rFonts w:hint="eastAsia"/>
          <w:sz w:val="20"/>
          <w:szCs w:val="20"/>
        </w:rPr>
        <w:t>PC, a negative (positive) change defines High (Low) sentiment state. For BBS</w:t>
      </w:r>
      <w:r w:rsidR="001B27A3" w:rsidRPr="00E65AA7">
        <w:rPr>
          <w:sz w:val="20"/>
          <w:szCs w:val="20"/>
        </w:rPr>
        <w:t>,</w:t>
      </w:r>
      <w:r w:rsidR="001B27A3" w:rsidRPr="00E65AA7">
        <w:rPr>
          <w:rFonts w:hint="eastAsia"/>
          <w:sz w:val="20"/>
          <w:szCs w:val="20"/>
        </w:rPr>
        <w:t xml:space="preserve"> a positive (negative) change defines High (Low) sentiment state.</w:t>
      </w:r>
      <w:r w:rsidR="001B27A3" w:rsidRPr="00E65AA7">
        <w:rPr>
          <w:sz w:val="20"/>
          <w:szCs w:val="20"/>
        </w:rPr>
        <w:t xml:space="preserve"> </w:t>
      </w:r>
      <w:r w:rsidR="004011E5" w:rsidRPr="00E65AA7">
        <w:rPr>
          <w:sz w:val="20"/>
          <w:szCs w:val="20"/>
        </w:rPr>
        <w:t xml:space="preserve">We report average monthly returns in percentage and </w:t>
      </w:r>
      <w:r w:rsidR="004011E5" w:rsidRPr="00E65AA7">
        <w:rPr>
          <w:i/>
          <w:sz w:val="20"/>
          <w:szCs w:val="20"/>
        </w:rPr>
        <w:t>t</w:t>
      </w:r>
      <w:r w:rsidR="004011E5" w:rsidRPr="00E65AA7">
        <w:rPr>
          <w:sz w:val="20"/>
          <w:szCs w:val="20"/>
        </w:rPr>
        <w:t>-statistics in parenthesis.</w:t>
      </w:r>
      <w:r w:rsidR="00BC7169" w:rsidRPr="00BC7169">
        <w:rPr>
          <w:rFonts w:eastAsia="Times New Roman"/>
          <w:b/>
          <w:bCs/>
          <w:color w:val="000000"/>
          <w:sz w:val="20"/>
          <w:szCs w:val="20"/>
          <w:lang w:eastAsia="en-MY"/>
        </w:rPr>
        <w:t xml:space="preserve"> </w:t>
      </w:r>
    </w:p>
    <w:tbl>
      <w:tblPr>
        <w:tblW w:w="5000" w:type="pct"/>
        <w:tblLook w:val="04A0" w:firstRow="1" w:lastRow="0" w:firstColumn="1" w:lastColumn="0" w:noHBand="0" w:noVBand="1"/>
      </w:tblPr>
      <w:tblGrid>
        <w:gridCol w:w="1486"/>
        <w:gridCol w:w="790"/>
        <w:gridCol w:w="1185"/>
        <w:gridCol w:w="1186"/>
        <w:gridCol w:w="1186"/>
        <w:gridCol w:w="1186"/>
        <w:gridCol w:w="1186"/>
        <w:gridCol w:w="1186"/>
        <w:gridCol w:w="1186"/>
        <w:gridCol w:w="1186"/>
        <w:gridCol w:w="1186"/>
        <w:gridCol w:w="1186"/>
        <w:gridCol w:w="1263"/>
      </w:tblGrid>
      <w:tr w:rsidR="00BC6E7D" w:rsidRPr="00E65AA7" w14:paraId="3A5288F8" w14:textId="77777777" w:rsidTr="00BC6E7D">
        <w:trPr>
          <w:trHeight w:hRule="exact" w:val="255"/>
        </w:trPr>
        <w:tc>
          <w:tcPr>
            <w:tcW w:w="483" w:type="pct"/>
            <w:tcBorders>
              <w:top w:val="single" w:sz="4" w:space="0" w:color="auto"/>
              <w:left w:val="nil"/>
              <w:bottom w:val="nil"/>
              <w:right w:val="nil"/>
            </w:tcBorders>
            <w:shd w:val="clear" w:color="auto" w:fill="auto"/>
            <w:vAlign w:val="center"/>
            <w:hideMark/>
          </w:tcPr>
          <w:p w14:paraId="42E5AB7A"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Sentiment</w:t>
            </w:r>
          </w:p>
        </w:tc>
        <w:tc>
          <w:tcPr>
            <w:tcW w:w="257" w:type="pct"/>
            <w:tcBorders>
              <w:top w:val="single" w:sz="4" w:space="0" w:color="auto"/>
              <w:left w:val="nil"/>
              <w:right w:val="nil"/>
            </w:tcBorders>
            <w:vAlign w:val="center"/>
          </w:tcPr>
          <w:p w14:paraId="7FF02E33" w14:textId="77777777" w:rsidR="00BC6E7D" w:rsidRPr="00331D57" w:rsidRDefault="00BC6E7D" w:rsidP="00164318">
            <w:pPr>
              <w:jc w:val="center"/>
              <w:rPr>
                <w:rFonts w:eastAsia="Times New Roman"/>
                <w:color w:val="000000"/>
                <w:sz w:val="20"/>
                <w:szCs w:val="20"/>
                <w:lang w:eastAsia="en-MY"/>
              </w:rPr>
            </w:pPr>
            <w:r w:rsidRPr="00331D57">
              <w:rPr>
                <w:rFonts w:eastAsia="Times New Roman"/>
                <w:color w:val="000000"/>
                <w:sz w:val="20"/>
                <w:szCs w:val="20"/>
                <w:lang w:eastAsia="en-MY"/>
              </w:rPr>
              <w:t>N</w:t>
            </w:r>
          </w:p>
        </w:tc>
        <w:tc>
          <w:tcPr>
            <w:tcW w:w="385" w:type="pct"/>
            <w:tcBorders>
              <w:top w:val="single" w:sz="4" w:space="0" w:color="auto"/>
              <w:left w:val="nil"/>
              <w:bottom w:val="nil"/>
              <w:right w:val="nil"/>
            </w:tcBorders>
            <w:shd w:val="clear" w:color="auto" w:fill="auto"/>
            <w:noWrap/>
            <w:vAlign w:val="center"/>
            <w:hideMark/>
          </w:tcPr>
          <w:p w14:paraId="3C295449" w14:textId="77777777" w:rsidR="00BC6E7D" w:rsidRPr="00331D57" w:rsidRDefault="00BC6E7D" w:rsidP="00164318">
            <w:pPr>
              <w:jc w:val="center"/>
              <w:rPr>
                <w:color w:val="000000"/>
                <w:sz w:val="20"/>
                <w:szCs w:val="20"/>
              </w:rPr>
            </w:pPr>
            <w:r w:rsidRPr="00331D57">
              <w:rPr>
                <w:color w:val="000000"/>
                <w:sz w:val="20"/>
                <w:szCs w:val="20"/>
              </w:rPr>
              <w:t>P1</w:t>
            </w:r>
          </w:p>
        </w:tc>
        <w:tc>
          <w:tcPr>
            <w:tcW w:w="385" w:type="pct"/>
            <w:tcBorders>
              <w:top w:val="single" w:sz="4" w:space="0" w:color="auto"/>
              <w:left w:val="nil"/>
              <w:bottom w:val="nil"/>
              <w:right w:val="nil"/>
            </w:tcBorders>
            <w:shd w:val="clear" w:color="auto" w:fill="auto"/>
            <w:noWrap/>
            <w:vAlign w:val="center"/>
            <w:hideMark/>
          </w:tcPr>
          <w:p w14:paraId="189354CE" w14:textId="77777777" w:rsidR="00BC6E7D" w:rsidRPr="00331D57" w:rsidRDefault="00BC6E7D" w:rsidP="00164318">
            <w:pPr>
              <w:jc w:val="center"/>
              <w:rPr>
                <w:color w:val="000000"/>
                <w:sz w:val="20"/>
                <w:szCs w:val="20"/>
              </w:rPr>
            </w:pPr>
            <w:r w:rsidRPr="00331D57">
              <w:rPr>
                <w:color w:val="000000"/>
                <w:sz w:val="20"/>
                <w:szCs w:val="20"/>
              </w:rPr>
              <w:t>P2</w:t>
            </w:r>
          </w:p>
        </w:tc>
        <w:tc>
          <w:tcPr>
            <w:tcW w:w="385" w:type="pct"/>
            <w:tcBorders>
              <w:top w:val="single" w:sz="4" w:space="0" w:color="auto"/>
              <w:left w:val="nil"/>
              <w:bottom w:val="nil"/>
              <w:right w:val="nil"/>
            </w:tcBorders>
            <w:shd w:val="clear" w:color="auto" w:fill="auto"/>
            <w:noWrap/>
            <w:vAlign w:val="center"/>
            <w:hideMark/>
          </w:tcPr>
          <w:p w14:paraId="672925F8" w14:textId="77777777" w:rsidR="00BC6E7D" w:rsidRPr="00331D57" w:rsidRDefault="00BC6E7D" w:rsidP="00164318">
            <w:pPr>
              <w:jc w:val="center"/>
              <w:rPr>
                <w:color w:val="000000"/>
                <w:sz w:val="20"/>
                <w:szCs w:val="20"/>
              </w:rPr>
            </w:pPr>
            <w:r w:rsidRPr="00331D57">
              <w:rPr>
                <w:color w:val="000000"/>
                <w:sz w:val="20"/>
                <w:szCs w:val="20"/>
              </w:rPr>
              <w:t>P3</w:t>
            </w:r>
          </w:p>
        </w:tc>
        <w:tc>
          <w:tcPr>
            <w:tcW w:w="385" w:type="pct"/>
            <w:tcBorders>
              <w:top w:val="single" w:sz="4" w:space="0" w:color="auto"/>
              <w:left w:val="nil"/>
              <w:bottom w:val="nil"/>
              <w:right w:val="nil"/>
            </w:tcBorders>
            <w:shd w:val="clear" w:color="auto" w:fill="auto"/>
            <w:noWrap/>
            <w:vAlign w:val="center"/>
            <w:hideMark/>
          </w:tcPr>
          <w:p w14:paraId="30A291B5" w14:textId="77777777" w:rsidR="00BC6E7D" w:rsidRPr="00331D57" w:rsidRDefault="00BC6E7D" w:rsidP="00164318">
            <w:pPr>
              <w:jc w:val="center"/>
              <w:rPr>
                <w:color w:val="000000"/>
                <w:sz w:val="20"/>
                <w:szCs w:val="20"/>
              </w:rPr>
            </w:pPr>
            <w:r w:rsidRPr="00331D57">
              <w:rPr>
                <w:color w:val="000000"/>
                <w:sz w:val="20"/>
                <w:szCs w:val="20"/>
              </w:rPr>
              <w:t>P4</w:t>
            </w:r>
          </w:p>
        </w:tc>
        <w:tc>
          <w:tcPr>
            <w:tcW w:w="385" w:type="pct"/>
            <w:tcBorders>
              <w:top w:val="single" w:sz="4" w:space="0" w:color="auto"/>
              <w:left w:val="nil"/>
              <w:bottom w:val="nil"/>
              <w:right w:val="nil"/>
            </w:tcBorders>
            <w:shd w:val="clear" w:color="auto" w:fill="auto"/>
            <w:noWrap/>
            <w:vAlign w:val="center"/>
            <w:hideMark/>
          </w:tcPr>
          <w:p w14:paraId="67BC94D5" w14:textId="77777777" w:rsidR="00BC6E7D" w:rsidRPr="00331D57" w:rsidRDefault="00BC6E7D" w:rsidP="00164318">
            <w:pPr>
              <w:jc w:val="center"/>
              <w:rPr>
                <w:color w:val="000000"/>
                <w:sz w:val="20"/>
                <w:szCs w:val="20"/>
              </w:rPr>
            </w:pPr>
            <w:r w:rsidRPr="00331D57">
              <w:rPr>
                <w:color w:val="000000"/>
                <w:sz w:val="20"/>
                <w:szCs w:val="20"/>
              </w:rPr>
              <w:t>P5</w:t>
            </w:r>
          </w:p>
        </w:tc>
        <w:tc>
          <w:tcPr>
            <w:tcW w:w="385" w:type="pct"/>
            <w:tcBorders>
              <w:top w:val="single" w:sz="4" w:space="0" w:color="auto"/>
              <w:left w:val="nil"/>
              <w:bottom w:val="nil"/>
              <w:right w:val="nil"/>
            </w:tcBorders>
            <w:shd w:val="clear" w:color="auto" w:fill="auto"/>
            <w:noWrap/>
            <w:vAlign w:val="center"/>
            <w:hideMark/>
          </w:tcPr>
          <w:p w14:paraId="48A6A58A" w14:textId="77777777" w:rsidR="00BC6E7D" w:rsidRPr="00331D57" w:rsidRDefault="00BC6E7D" w:rsidP="00164318">
            <w:pPr>
              <w:jc w:val="center"/>
              <w:rPr>
                <w:color w:val="000000"/>
                <w:sz w:val="20"/>
                <w:szCs w:val="20"/>
              </w:rPr>
            </w:pPr>
            <w:r w:rsidRPr="00331D57">
              <w:rPr>
                <w:color w:val="000000"/>
                <w:sz w:val="20"/>
                <w:szCs w:val="20"/>
              </w:rPr>
              <w:t>P6</w:t>
            </w:r>
          </w:p>
        </w:tc>
        <w:tc>
          <w:tcPr>
            <w:tcW w:w="385" w:type="pct"/>
            <w:tcBorders>
              <w:top w:val="single" w:sz="4" w:space="0" w:color="auto"/>
              <w:left w:val="nil"/>
              <w:bottom w:val="nil"/>
              <w:right w:val="nil"/>
            </w:tcBorders>
            <w:shd w:val="clear" w:color="auto" w:fill="auto"/>
            <w:noWrap/>
            <w:vAlign w:val="center"/>
            <w:hideMark/>
          </w:tcPr>
          <w:p w14:paraId="3C298A22" w14:textId="77777777" w:rsidR="00BC6E7D" w:rsidRPr="00331D57" w:rsidRDefault="00BC6E7D" w:rsidP="00164318">
            <w:pPr>
              <w:jc w:val="center"/>
              <w:rPr>
                <w:color w:val="000000"/>
                <w:sz w:val="20"/>
                <w:szCs w:val="20"/>
              </w:rPr>
            </w:pPr>
            <w:r w:rsidRPr="00331D57">
              <w:rPr>
                <w:color w:val="000000"/>
                <w:sz w:val="20"/>
                <w:szCs w:val="20"/>
              </w:rPr>
              <w:t>P7</w:t>
            </w:r>
          </w:p>
        </w:tc>
        <w:tc>
          <w:tcPr>
            <w:tcW w:w="385" w:type="pct"/>
            <w:tcBorders>
              <w:top w:val="single" w:sz="4" w:space="0" w:color="auto"/>
              <w:left w:val="nil"/>
              <w:bottom w:val="nil"/>
              <w:right w:val="nil"/>
            </w:tcBorders>
            <w:shd w:val="clear" w:color="auto" w:fill="auto"/>
            <w:noWrap/>
            <w:vAlign w:val="center"/>
            <w:hideMark/>
          </w:tcPr>
          <w:p w14:paraId="20A4FC84" w14:textId="77777777" w:rsidR="00BC6E7D" w:rsidRPr="00331D57" w:rsidRDefault="00BC6E7D" w:rsidP="00164318">
            <w:pPr>
              <w:jc w:val="center"/>
              <w:rPr>
                <w:color w:val="000000"/>
                <w:sz w:val="20"/>
                <w:szCs w:val="20"/>
              </w:rPr>
            </w:pPr>
            <w:r w:rsidRPr="00331D57">
              <w:rPr>
                <w:color w:val="000000"/>
                <w:sz w:val="20"/>
                <w:szCs w:val="20"/>
              </w:rPr>
              <w:t>P8</w:t>
            </w:r>
          </w:p>
        </w:tc>
        <w:tc>
          <w:tcPr>
            <w:tcW w:w="385" w:type="pct"/>
            <w:tcBorders>
              <w:top w:val="single" w:sz="4" w:space="0" w:color="auto"/>
              <w:left w:val="nil"/>
              <w:bottom w:val="nil"/>
              <w:right w:val="nil"/>
            </w:tcBorders>
            <w:shd w:val="clear" w:color="auto" w:fill="auto"/>
            <w:noWrap/>
            <w:vAlign w:val="center"/>
            <w:hideMark/>
          </w:tcPr>
          <w:p w14:paraId="74781656" w14:textId="77777777" w:rsidR="00BC6E7D" w:rsidRPr="00331D57" w:rsidRDefault="00BC6E7D" w:rsidP="00164318">
            <w:pPr>
              <w:jc w:val="center"/>
              <w:rPr>
                <w:color w:val="000000"/>
                <w:sz w:val="20"/>
                <w:szCs w:val="20"/>
              </w:rPr>
            </w:pPr>
            <w:r w:rsidRPr="00331D57">
              <w:rPr>
                <w:color w:val="000000"/>
                <w:sz w:val="20"/>
                <w:szCs w:val="20"/>
              </w:rPr>
              <w:t>P9</w:t>
            </w:r>
          </w:p>
        </w:tc>
        <w:tc>
          <w:tcPr>
            <w:tcW w:w="385" w:type="pct"/>
            <w:tcBorders>
              <w:top w:val="single" w:sz="4" w:space="0" w:color="auto"/>
              <w:left w:val="nil"/>
              <w:bottom w:val="nil"/>
              <w:right w:val="nil"/>
            </w:tcBorders>
            <w:shd w:val="clear" w:color="auto" w:fill="auto"/>
            <w:noWrap/>
            <w:vAlign w:val="center"/>
            <w:hideMark/>
          </w:tcPr>
          <w:p w14:paraId="3DFDDEE6" w14:textId="77777777" w:rsidR="00BC6E7D" w:rsidRPr="00331D57" w:rsidRDefault="00BC6E7D" w:rsidP="00164318">
            <w:pPr>
              <w:jc w:val="center"/>
              <w:rPr>
                <w:color w:val="000000"/>
                <w:sz w:val="20"/>
                <w:szCs w:val="20"/>
              </w:rPr>
            </w:pPr>
            <w:r w:rsidRPr="00331D57">
              <w:rPr>
                <w:color w:val="000000"/>
                <w:sz w:val="20"/>
                <w:szCs w:val="20"/>
              </w:rPr>
              <w:t>P10</w:t>
            </w:r>
          </w:p>
        </w:tc>
        <w:tc>
          <w:tcPr>
            <w:tcW w:w="410" w:type="pct"/>
            <w:tcBorders>
              <w:top w:val="single" w:sz="4" w:space="0" w:color="auto"/>
              <w:left w:val="nil"/>
              <w:bottom w:val="nil"/>
              <w:right w:val="nil"/>
            </w:tcBorders>
            <w:shd w:val="clear" w:color="auto" w:fill="auto"/>
            <w:noWrap/>
            <w:vAlign w:val="center"/>
            <w:hideMark/>
          </w:tcPr>
          <w:p w14:paraId="4F5CE88F" w14:textId="77777777" w:rsidR="00BC6E7D" w:rsidRPr="00331D57" w:rsidRDefault="00BC6E7D" w:rsidP="00164318">
            <w:pPr>
              <w:jc w:val="center"/>
              <w:rPr>
                <w:color w:val="000000"/>
                <w:sz w:val="20"/>
                <w:szCs w:val="20"/>
              </w:rPr>
            </w:pPr>
            <w:r w:rsidRPr="00331D57">
              <w:rPr>
                <w:color w:val="000000"/>
                <w:sz w:val="20"/>
                <w:szCs w:val="20"/>
              </w:rPr>
              <w:t>P1</w:t>
            </w:r>
            <w:r>
              <w:rPr>
                <w:color w:val="000000"/>
                <w:sz w:val="20"/>
                <w:szCs w:val="20"/>
              </w:rPr>
              <w:t>0</w:t>
            </w:r>
            <w:r w:rsidRPr="00331D57">
              <w:rPr>
                <w:color w:val="000000"/>
                <w:sz w:val="20"/>
                <w:szCs w:val="20"/>
              </w:rPr>
              <w:t>-P1</w:t>
            </w:r>
          </w:p>
        </w:tc>
      </w:tr>
      <w:tr w:rsidR="00BC6E7D" w:rsidRPr="00E65AA7" w14:paraId="53F35034" w14:textId="77777777" w:rsidTr="00BC6E7D">
        <w:trPr>
          <w:trHeight w:hRule="exact" w:val="255"/>
        </w:trPr>
        <w:tc>
          <w:tcPr>
            <w:tcW w:w="5000" w:type="pct"/>
            <w:gridSpan w:val="13"/>
            <w:tcBorders>
              <w:top w:val="single" w:sz="4" w:space="0" w:color="auto"/>
              <w:left w:val="nil"/>
              <w:bottom w:val="nil"/>
              <w:right w:val="nil"/>
            </w:tcBorders>
            <w:shd w:val="clear" w:color="auto" w:fill="auto"/>
            <w:vAlign w:val="center"/>
          </w:tcPr>
          <w:p w14:paraId="3FF92453" w14:textId="2AA8630E" w:rsidR="00BC6E7D" w:rsidRPr="00331D57" w:rsidRDefault="00EA669D" w:rsidP="00164318">
            <w:pPr>
              <w:jc w:val="center"/>
              <w:rPr>
                <w:color w:val="000000"/>
                <w:sz w:val="20"/>
                <w:szCs w:val="20"/>
              </w:rPr>
            </w:pPr>
            <w:r>
              <w:rPr>
                <w:rFonts w:eastAsia="Times New Roman"/>
                <w:b/>
                <w:bCs/>
                <w:color w:val="000000"/>
                <w:sz w:val="20"/>
                <w:szCs w:val="20"/>
                <w:lang w:eastAsia="en-MY"/>
              </w:rPr>
              <w:t xml:space="preserve">Panel A: </w:t>
            </w:r>
            <w:r w:rsidR="00BC6E7D" w:rsidRPr="00BC50F4">
              <w:rPr>
                <w:rFonts w:eastAsia="Times New Roman" w:hint="eastAsia"/>
                <w:b/>
                <w:bCs/>
                <w:color w:val="000000"/>
                <w:sz w:val="20"/>
                <w:szCs w:val="20"/>
                <w:lang w:eastAsia="en-MY"/>
              </w:rPr>
              <w:t>▲VIX</w:t>
            </w:r>
          </w:p>
        </w:tc>
      </w:tr>
      <w:tr w:rsidR="00BC6E7D" w:rsidRPr="00E65AA7" w14:paraId="7AA557BD" w14:textId="77777777" w:rsidTr="00BC6E7D">
        <w:trPr>
          <w:trHeight w:hRule="exact" w:val="255"/>
        </w:trPr>
        <w:tc>
          <w:tcPr>
            <w:tcW w:w="483" w:type="pct"/>
            <w:vMerge w:val="restart"/>
            <w:tcBorders>
              <w:top w:val="single" w:sz="4" w:space="0" w:color="auto"/>
              <w:left w:val="nil"/>
              <w:bottom w:val="nil"/>
              <w:right w:val="nil"/>
            </w:tcBorders>
            <w:shd w:val="clear" w:color="auto" w:fill="auto"/>
            <w:vAlign w:val="center"/>
            <w:hideMark/>
          </w:tcPr>
          <w:p w14:paraId="0B5D75D4"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7" w:type="pct"/>
            <w:vMerge w:val="restart"/>
            <w:tcBorders>
              <w:top w:val="single" w:sz="4" w:space="0" w:color="auto"/>
              <w:left w:val="nil"/>
              <w:right w:val="nil"/>
            </w:tcBorders>
            <w:vAlign w:val="center"/>
          </w:tcPr>
          <w:p w14:paraId="1B7DF06D"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56</w:t>
            </w:r>
          </w:p>
        </w:tc>
        <w:tc>
          <w:tcPr>
            <w:tcW w:w="385" w:type="pct"/>
            <w:tcBorders>
              <w:top w:val="single" w:sz="4" w:space="0" w:color="auto"/>
              <w:left w:val="nil"/>
              <w:bottom w:val="nil"/>
              <w:right w:val="nil"/>
            </w:tcBorders>
            <w:shd w:val="clear" w:color="auto" w:fill="auto"/>
            <w:noWrap/>
            <w:vAlign w:val="center"/>
            <w:hideMark/>
          </w:tcPr>
          <w:p w14:paraId="497D5818" w14:textId="77777777" w:rsidR="00BC6E7D" w:rsidRPr="00E65AA7" w:rsidRDefault="00BC6E7D" w:rsidP="00164318">
            <w:pPr>
              <w:jc w:val="center"/>
              <w:rPr>
                <w:color w:val="000000"/>
                <w:sz w:val="20"/>
                <w:szCs w:val="20"/>
              </w:rPr>
            </w:pPr>
            <w:r w:rsidRPr="00E65AA7">
              <w:rPr>
                <w:color w:val="000000"/>
                <w:sz w:val="20"/>
                <w:szCs w:val="20"/>
              </w:rPr>
              <w:t>2.08</w:t>
            </w:r>
          </w:p>
        </w:tc>
        <w:tc>
          <w:tcPr>
            <w:tcW w:w="385" w:type="pct"/>
            <w:tcBorders>
              <w:top w:val="single" w:sz="4" w:space="0" w:color="auto"/>
              <w:left w:val="nil"/>
              <w:bottom w:val="nil"/>
              <w:right w:val="nil"/>
            </w:tcBorders>
            <w:shd w:val="clear" w:color="auto" w:fill="auto"/>
            <w:noWrap/>
            <w:vAlign w:val="center"/>
            <w:hideMark/>
          </w:tcPr>
          <w:p w14:paraId="68A96A08" w14:textId="77777777" w:rsidR="00BC6E7D" w:rsidRPr="00E65AA7" w:rsidRDefault="00BC6E7D" w:rsidP="00164318">
            <w:pPr>
              <w:jc w:val="center"/>
              <w:rPr>
                <w:color w:val="000000"/>
                <w:sz w:val="20"/>
                <w:szCs w:val="20"/>
              </w:rPr>
            </w:pPr>
            <w:r w:rsidRPr="00E65AA7">
              <w:rPr>
                <w:color w:val="000000"/>
                <w:sz w:val="20"/>
                <w:szCs w:val="20"/>
              </w:rPr>
              <w:t>2.73</w:t>
            </w:r>
          </w:p>
        </w:tc>
        <w:tc>
          <w:tcPr>
            <w:tcW w:w="385" w:type="pct"/>
            <w:tcBorders>
              <w:top w:val="single" w:sz="4" w:space="0" w:color="auto"/>
              <w:left w:val="nil"/>
              <w:bottom w:val="nil"/>
              <w:right w:val="nil"/>
            </w:tcBorders>
            <w:shd w:val="clear" w:color="auto" w:fill="auto"/>
            <w:noWrap/>
            <w:vAlign w:val="center"/>
            <w:hideMark/>
          </w:tcPr>
          <w:p w14:paraId="4655A287" w14:textId="77777777" w:rsidR="00BC6E7D" w:rsidRPr="00E65AA7" w:rsidRDefault="00BC6E7D" w:rsidP="00164318">
            <w:pPr>
              <w:jc w:val="center"/>
              <w:rPr>
                <w:color w:val="000000"/>
                <w:sz w:val="20"/>
                <w:szCs w:val="20"/>
              </w:rPr>
            </w:pPr>
            <w:r w:rsidRPr="00E65AA7">
              <w:rPr>
                <w:color w:val="000000"/>
                <w:sz w:val="20"/>
                <w:szCs w:val="20"/>
              </w:rPr>
              <w:t>3.03</w:t>
            </w:r>
          </w:p>
        </w:tc>
        <w:tc>
          <w:tcPr>
            <w:tcW w:w="385" w:type="pct"/>
            <w:tcBorders>
              <w:top w:val="single" w:sz="4" w:space="0" w:color="auto"/>
              <w:left w:val="nil"/>
              <w:bottom w:val="nil"/>
              <w:right w:val="nil"/>
            </w:tcBorders>
            <w:shd w:val="clear" w:color="auto" w:fill="auto"/>
            <w:noWrap/>
            <w:vAlign w:val="center"/>
            <w:hideMark/>
          </w:tcPr>
          <w:p w14:paraId="5E48E4EA" w14:textId="77777777" w:rsidR="00BC6E7D" w:rsidRPr="00E65AA7" w:rsidRDefault="00BC6E7D" w:rsidP="00164318">
            <w:pPr>
              <w:jc w:val="center"/>
              <w:rPr>
                <w:color w:val="000000"/>
                <w:sz w:val="20"/>
                <w:szCs w:val="20"/>
              </w:rPr>
            </w:pPr>
            <w:r w:rsidRPr="00E65AA7">
              <w:rPr>
                <w:color w:val="000000"/>
                <w:sz w:val="20"/>
                <w:szCs w:val="20"/>
              </w:rPr>
              <w:t>3.72</w:t>
            </w:r>
          </w:p>
        </w:tc>
        <w:tc>
          <w:tcPr>
            <w:tcW w:w="385" w:type="pct"/>
            <w:tcBorders>
              <w:top w:val="single" w:sz="4" w:space="0" w:color="auto"/>
              <w:left w:val="nil"/>
              <w:bottom w:val="nil"/>
              <w:right w:val="nil"/>
            </w:tcBorders>
            <w:shd w:val="clear" w:color="auto" w:fill="auto"/>
            <w:noWrap/>
            <w:vAlign w:val="center"/>
            <w:hideMark/>
          </w:tcPr>
          <w:p w14:paraId="2D82D6FA" w14:textId="77777777" w:rsidR="00BC6E7D" w:rsidRPr="00E65AA7" w:rsidRDefault="00BC6E7D" w:rsidP="00164318">
            <w:pPr>
              <w:jc w:val="center"/>
              <w:rPr>
                <w:color w:val="000000"/>
                <w:sz w:val="20"/>
                <w:szCs w:val="20"/>
              </w:rPr>
            </w:pPr>
            <w:r w:rsidRPr="00E65AA7">
              <w:rPr>
                <w:color w:val="000000"/>
                <w:sz w:val="20"/>
                <w:szCs w:val="20"/>
              </w:rPr>
              <w:t>4.04</w:t>
            </w:r>
          </w:p>
        </w:tc>
        <w:tc>
          <w:tcPr>
            <w:tcW w:w="385" w:type="pct"/>
            <w:tcBorders>
              <w:top w:val="single" w:sz="4" w:space="0" w:color="auto"/>
              <w:left w:val="nil"/>
              <w:bottom w:val="nil"/>
              <w:right w:val="nil"/>
            </w:tcBorders>
            <w:shd w:val="clear" w:color="auto" w:fill="auto"/>
            <w:noWrap/>
            <w:vAlign w:val="center"/>
            <w:hideMark/>
          </w:tcPr>
          <w:p w14:paraId="0F7DF2DD" w14:textId="77777777" w:rsidR="00BC6E7D" w:rsidRPr="00E65AA7" w:rsidRDefault="00BC6E7D" w:rsidP="00164318">
            <w:pPr>
              <w:jc w:val="center"/>
              <w:rPr>
                <w:color w:val="000000"/>
                <w:sz w:val="20"/>
                <w:szCs w:val="20"/>
              </w:rPr>
            </w:pPr>
            <w:r w:rsidRPr="00E65AA7">
              <w:rPr>
                <w:color w:val="000000"/>
                <w:sz w:val="20"/>
                <w:szCs w:val="20"/>
              </w:rPr>
              <w:t>4.26</w:t>
            </w:r>
          </w:p>
        </w:tc>
        <w:tc>
          <w:tcPr>
            <w:tcW w:w="385" w:type="pct"/>
            <w:tcBorders>
              <w:top w:val="single" w:sz="4" w:space="0" w:color="auto"/>
              <w:left w:val="nil"/>
              <w:bottom w:val="nil"/>
              <w:right w:val="nil"/>
            </w:tcBorders>
            <w:shd w:val="clear" w:color="auto" w:fill="auto"/>
            <w:noWrap/>
            <w:vAlign w:val="center"/>
            <w:hideMark/>
          </w:tcPr>
          <w:p w14:paraId="6DDACB0B" w14:textId="77777777" w:rsidR="00BC6E7D" w:rsidRPr="00E65AA7" w:rsidRDefault="00BC6E7D" w:rsidP="00164318">
            <w:pPr>
              <w:jc w:val="center"/>
              <w:rPr>
                <w:color w:val="000000"/>
                <w:sz w:val="20"/>
                <w:szCs w:val="20"/>
              </w:rPr>
            </w:pPr>
            <w:r w:rsidRPr="00E65AA7">
              <w:rPr>
                <w:color w:val="000000"/>
                <w:sz w:val="20"/>
                <w:szCs w:val="20"/>
              </w:rPr>
              <w:t>4.93</w:t>
            </w:r>
          </w:p>
        </w:tc>
        <w:tc>
          <w:tcPr>
            <w:tcW w:w="385" w:type="pct"/>
            <w:tcBorders>
              <w:top w:val="single" w:sz="4" w:space="0" w:color="auto"/>
              <w:left w:val="nil"/>
              <w:bottom w:val="nil"/>
              <w:right w:val="nil"/>
            </w:tcBorders>
            <w:shd w:val="clear" w:color="auto" w:fill="auto"/>
            <w:noWrap/>
            <w:vAlign w:val="center"/>
            <w:hideMark/>
          </w:tcPr>
          <w:p w14:paraId="7DAC5F20" w14:textId="77777777" w:rsidR="00BC6E7D" w:rsidRPr="00E65AA7" w:rsidRDefault="00BC6E7D" w:rsidP="00164318">
            <w:pPr>
              <w:jc w:val="center"/>
              <w:rPr>
                <w:color w:val="000000"/>
                <w:sz w:val="20"/>
                <w:szCs w:val="20"/>
              </w:rPr>
            </w:pPr>
            <w:r w:rsidRPr="00E65AA7">
              <w:rPr>
                <w:color w:val="000000"/>
                <w:sz w:val="20"/>
                <w:szCs w:val="20"/>
              </w:rPr>
              <w:t>5.34</w:t>
            </w:r>
          </w:p>
        </w:tc>
        <w:tc>
          <w:tcPr>
            <w:tcW w:w="385" w:type="pct"/>
            <w:tcBorders>
              <w:top w:val="single" w:sz="4" w:space="0" w:color="auto"/>
              <w:left w:val="nil"/>
              <w:bottom w:val="nil"/>
              <w:right w:val="nil"/>
            </w:tcBorders>
            <w:shd w:val="clear" w:color="auto" w:fill="auto"/>
            <w:noWrap/>
            <w:vAlign w:val="center"/>
            <w:hideMark/>
          </w:tcPr>
          <w:p w14:paraId="58CA51D3" w14:textId="77777777" w:rsidR="00BC6E7D" w:rsidRPr="00E65AA7" w:rsidRDefault="00BC6E7D" w:rsidP="00164318">
            <w:pPr>
              <w:jc w:val="center"/>
              <w:rPr>
                <w:color w:val="000000"/>
                <w:sz w:val="20"/>
                <w:szCs w:val="20"/>
              </w:rPr>
            </w:pPr>
            <w:r w:rsidRPr="00E65AA7">
              <w:rPr>
                <w:color w:val="000000"/>
                <w:sz w:val="20"/>
                <w:szCs w:val="20"/>
              </w:rPr>
              <w:t>6.16</w:t>
            </w:r>
          </w:p>
        </w:tc>
        <w:tc>
          <w:tcPr>
            <w:tcW w:w="385" w:type="pct"/>
            <w:tcBorders>
              <w:top w:val="single" w:sz="4" w:space="0" w:color="auto"/>
              <w:left w:val="nil"/>
              <w:bottom w:val="nil"/>
              <w:right w:val="nil"/>
            </w:tcBorders>
            <w:shd w:val="clear" w:color="auto" w:fill="auto"/>
            <w:noWrap/>
            <w:vAlign w:val="center"/>
            <w:hideMark/>
          </w:tcPr>
          <w:p w14:paraId="64B1E796" w14:textId="77777777" w:rsidR="00BC6E7D" w:rsidRPr="00E65AA7" w:rsidRDefault="00BC6E7D" w:rsidP="00164318">
            <w:pPr>
              <w:jc w:val="center"/>
              <w:rPr>
                <w:color w:val="000000"/>
                <w:sz w:val="20"/>
                <w:szCs w:val="20"/>
              </w:rPr>
            </w:pPr>
            <w:r w:rsidRPr="00E65AA7">
              <w:rPr>
                <w:color w:val="000000"/>
                <w:sz w:val="20"/>
                <w:szCs w:val="20"/>
              </w:rPr>
              <w:t>7.66</w:t>
            </w:r>
          </w:p>
        </w:tc>
        <w:tc>
          <w:tcPr>
            <w:tcW w:w="410" w:type="pct"/>
            <w:tcBorders>
              <w:top w:val="single" w:sz="4" w:space="0" w:color="auto"/>
              <w:left w:val="nil"/>
              <w:bottom w:val="nil"/>
              <w:right w:val="nil"/>
            </w:tcBorders>
            <w:shd w:val="clear" w:color="auto" w:fill="auto"/>
            <w:noWrap/>
            <w:vAlign w:val="center"/>
            <w:hideMark/>
          </w:tcPr>
          <w:p w14:paraId="180E60D4" w14:textId="77777777" w:rsidR="00BC6E7D" w:rsidRPr="00E65AA7" w:rsidRDefault="00BC6E7D" w:rsidP="00164318">
            <w:pPr>
              <w:jc w:val="center"/>
              <w:rPr>
                <w:color w:val="000000"/>
                <w:sz w:val="20"/>
                <w:szCs w:val="20"/>
              </w:rPr>
            </w:pPr>
            <w:r w:rsidRPr="00E65AA7">
              <w:rPr>
                <w:color w:val="000000"/>
                <w:sz w:val="20"/>
                <w:szCs w:val="20"/>
              </w:rPr>
              <w:t>5.59</w:t>
            </w:r>
          </w:p>
        </w:tc>
      </w:tr>
      <w:tr w:rsidR="00BC6E7D" w:rsidRPr="00E65AA7" w14:paraId="6AE0F4E3" w14:textId="77777777" w:rsidTr="00BC6E7D">
        <w:trPr>
          <w:trHeight w:hRule="exact" w:val="255"/>
        </w:trPr>
        <w:tc>
          <w:tcPr>
            <w:tcW w:w="483" w:type="pct"/>
            <w:vMerge/>
            <w:tcBorders>
              <w:top w:val="nil"/>
              <w:left w:val="nil"/>
              <w:bottom w:val="nil"/>
              <w:right w:val="nil"/>
            </w:tcBorders>
            <w:vAlign w:val="center"/>
            <w:hideMark/>
          </w:tcPr>
          <w:p w14:paraId="3423ECBD"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613DEAE5"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1F694409" w14:textId="77777777" w:rsidR="00BC6E7D" w:rsidRPr="00E65AA7" w:rsidRDefault="00BC6E7D" w:rsidP="00164318">
            <w:pPr>
              <w:jc w:val="center"/>
              <w:rPr>
                <w:color w:val="000000"/>
                <w:sz w:val="20"/>
                <w:szCs w:val="20"/>
              </w:rPr>
            </w:pPr>
            <w:r w:rsidRPr="00E65AA7">
              <w:rPr>
                <w:color w:val="000000"/>
                <w:sz w:val="20"/>
                <w:szCs w:val="20"/>
              </w:rPr>
              <w:t>(5.89)</w:t>
            </w:r>
          </w:p>
        </w:tc>
        <w:tc>
          <w:tcPr>
            <w:tcW w:w="385" w:type="pct"/>
            <w:tcBorders>
              <w:top w:val="nil"/>
              <w:left w:val="nil"/>
              <w:bottom w:val="nil"/>
              <w:right w:val="nil"/>
            </w:tcBorders>
            <w:shd w:val="clear" w:color="auto" w:fill="auto"/>
            <w:noWrap/>
            <w:vAlign w:val="center"/>
            <w:hideMark/>
          </w:tcPr>
          <w:p w14:paraId="2463D5E1" w14:textId="77777777" w:rsidR="00BC6E7D" w:rsidRPr="00E65AA7" w:rsidRDefault="00BC6E7D" w:rsidP="00164318">
            <w:pPr>
              <w:jc w:val="center"/>
              <w:rPr>
                <w:color w:val="000000"/>
                <w:sz w:val="20"/>
                <w:szCs w:val="20"/>
              </w:rPr>
            </w:pPr>
            <w:r w:rsidRPr="00E65AA7">
              <w:rPr>
                <w:color w:val="000000"/>
                <w:sz w:val="20"/>
                <w:szCs w:val="20"/>
              </w:rPr>
              <w:t>(6.39)</w:t>
            </w:r>
          </w:p>
        </w:tc>
        <w:tc>
          <w:tcPr>
            <w:tcW w:w="385" w:type="pct"/>
            <w:tcBorders>
              <w:top w:val="nil"/>
              <w:left w:val="nil"/>
              <w:bottom w:val="nil"/>
              <w:right w:val="nil"/>
            </w:tcBorders>
            <w:shd w:val="clear" w:color="auto" w:fill="auto"/>
            <w:noWrap/>
            <w:vAlign w:val="center"/>
            <w:hideMark/>
          </w:tcPr>
          <w:p w14:paraId="2510CC97" w14:textId="77777777" w:rsidR="00BC6E7D" w:rsidRPr="00E65AA7" w:rsidRDefault="00BC6E7D" w:rsidP="00164318">
            <w:pPr>
              <w:jc w:val="center"/>
              <w:rPr>
                <w:color w:val="000000"/>
                <w:sz w:val="20"/>
                <w:szCs w:val="20"/>
              </w:rPr>
            </w:pPr>
            <w:r w:rsidRPr="00E65AA7">
              <w:rPr>
                <w:color w:val="000000"/>
                <w:sz w:val="20"/>
                <w:szCs w:val="20"/>
              </w:rPr>
              <w:t>(6.01)</w:t>
            </w:r>
          </w:p>
        </w:tc>
        <w:tc>
          <w:tcPr>
            <w:tcW w:w="385" w:type="pct"/>
            <w:tcBorders>
              <w:top w:val="nil"/>
              <w:left w:val="nil"/>
              <w:bottom w:val="nil"/>
              <w:right w:val="nil"/>
            </w:tcBorders>
            <w:shd w:val="clear" w:color="auto" w:fill="auto"/>
            <w:noWrap/>
            <w:vAlign w:val="center"/>
            <w:hideMark/>
          </w:tcPr>
          <w:p w14:paraId="10858B02" w14:textId="77777777" w:rsidR="00BC6E7D" w:rsidRPr="00E65AA7" w:rsidRDefault="00BC6E7D" w:rsidP="00164318">
            <w:pPr>
              <w:jc w:val="center"/>
              <w:rPr>
                <w:color w:val="000000"/>
                <w:sz w:val="20"/>
                <w:szCs w:val="20"/>
              </w:rPr>
            </w:pPr>
            <w:r w:rsidRPr="00E65AA7">
              <w:rPr>
                <w:color w:val="000000"/>
                <w:sz w:val="20"/>
                <w:szCs w:val="20"/>
              </w:rPr>
              <w:t>(7.07)</w:t>
            </w:r>
          </w:p>
        </w:tc>
        <w:tc>
          <w:tcPr>
            <w:tcW w:w="385" w:type="pct"/>
            <w:tcBorders>
              <w:top w:val="nil"/>
              <w:left w:val="nil"/>
              <w:bottom w:val="nil"/>
              <w:right w:val="nil"/>
            </w:tcBorders>
            <w:shd w:val="clear" w:color="auto" w:fill="auto"/>
            <w:noWrap/>
            <w:vAlign w:val="center"/>
            <w:hideMark/>
          </w:tcPr>
          <w:p w14:paraId="6E329082" w14:textId="77777777" w:rsidR="00BC6E7D" w:rsidRPr="00E65AA7" w:rsidRDefault="00BC6E7D" w:rsidP="00164318">
            <w:pPr>
              <w:jc w:val="center"/>
              <w:rPr>
                <w:color w:val="000000"/>
                <w:sz w:val="20"/>
                <w:szCs w:val="20"/>
              </w:rPr>
            </w:pPr>
            <w:r w:rsidRPr="00E65AA7">
              <w:rPr>
                <w:color w:val="000000"/>
                <w:sz w:val="20"/>
                <w:szCs w:val="20"/>
              </w:rPr>
              <w:t>(7.44)</w:t>
            </w:r>
          </w:p>
        </w:tc>
        <w:tc>
          <w:tcPr>
            <w:tcW w:w="385" w:type="pct"/>
            <w:tcBorders>
              <w:top w:val="nil"/>
              <w:left w:val="nil"/>
              <w:bottom w:val="nil"/>
              <w:right w:val="nil"/>
            </w:tcBorders>
            <w:shd w:val="clear" w:color="auto" w:fill="auto"/>
            <w:noWrap/>
            <w:vAlign w:val="center"/>
            <w:hideMark/>
          </w:tcPr>
          <w:p w14:paraId="24DEC1B1" w14:textId="77777777" w:rsidR="00BC6E7D" w:rsidRPr="00E65AA7" w:rsidRDefault="00BC6E7D" w:rsidP="00164318">
            <w:pPr>
              <w:jc w:val="center"/>
              <w:rPr>
                <w:color w:val="000000"/>
                <w:sz w:val="20"/>
                <w:szCs w:val="20"/>
              </w:rPr>
            </w:pPr>
            <w:r w:rsidRPr="00E65AA7">
              <w:rPr>
                <w:color w:val="000000"/>
                <w:sz w:val="20"/>
                <w:szCs w:val="20"/>
              </w:rPr>
              <w:t>(7.44)</w:t>
            </w:r>
          </w:p>
        </w:tc>
        <w:tc>
          <w:tcPr>
            <w:tcW w:w="385" w:type="pct"/>
            <w:tcBorders>
              <w:top w:val="nil"/>
              <w:left w:val="nil"/>
              <w:bottom w:val="nil"/>
              <w:right w:val="nil"/>
            </w:tcBorders>
            <w:shd w:val="clear" w:color="auto" w:fill="auto"/>
            <w:noWrap/>
            <w:vAlign w:val="center"/>
            <w:hideMark/>
          </w:tcPr>
          <w:p w14:paraId="10B95D86" w14:textId="77777777" w:rsidR="00BC6E7D" w:rsidRPr="00E65AA7" w:rsidRDefault="00BC6E7D" w:rsidP="00164318">
            <w:pPr>
              <w:jc w:val="center"/>
              <w:rPr>
                <w:color w:val="000000"/>
                <w:sz w:val="20"/>
                <w:szCs w:val="20"/>
              </w:rPr>
            </w:pPr>
            <w:r w:rsidRPr="00E65AA7">
              <w:rPr>
                <w:color w:val="000000"/>
                <w:sz w:val="20"/>
                <w:szCs w:val="20"/>
              </w:rPr>
              <w:t>(7.45)</w:t>
            </w:r>
          </w:p>
        </w:tc>
        <w:tc>
          <w:tcPr>
            <w:tcW w:w="385" w:type="pct"/>
            <w:tcBorders>
              <w:top w:val="nil"/>
              <w:left w:val="nil"/>
              <w:bottom w:val="nil"/>
              <w:right w:val="nil"/>
            </w:tcBorders>
            <w:shd w:val="clear" w:color="auto" w:fill="auto"/>
            <w:noWrap/>
            <w:vAlign w:val="center"/>
            <w:hideMark/>
          </w:tcPr>
          <w:p w14:paraId="32459654" w14:textId="77777777" w:rsidR="00BC6E7D" w:rsidRPr="00E65AA7" w:rsidRDefault="00BC6E7D" w:rsidP="00164318">
            <w:pPr>
              <w:jc w:val="center"/>
              <w:rPr>
                <w:color w:val="000000"/>
                <w:sz w:val="20"/>
                <w:szCs w:val="20"/>
              </w:rPr>
            </w:pPr>
            <w:r w:rsidRPr="00E65AA7">
              <w:rPr>
                <w:color w:val="000000"/>
                <w:sz w:val="20"/>
                <w:szCs w:val="20"/>
              </w:rPr>
              <w:t>(7.88)</w:t>
            </w:r>
          </w:p>
        </w:tc>
        <w:tc>
          <w:tcPr>
            <w:tcW w:w="385" w:type="pct"/>
            <w:tcBorders>
              <w:top w:val="nil"/>
              <w:left w:val="nil"/>
              <w:bottom w:val="nil"/>
              <w:right w:val="nil"/>
            </w:tcBorders>
            <w:shd w:val="clear" w:color="auto" w:fill="auto"/>
            <w:noWrap/>
            <w:vAlign w:val="center"/>
            <w:hideMark/>
          </w:tcPr>
          <w:p w14:paraId="32A4D448" w14:textId="77777777" w:rsidR="00BC6E7D" w:rsidRPr="00E65AA7" w:rsidRDefault="00BC6E7D" w:rsidP="00164318">
            <w:pPr>
              <w:jc w:val="center"/>
              <w:rPr>
                <w:color w:val="000000"/>
                <w:sz w:val="20"/>
                <w:szCs w:val="20"/>
              </w:rPr>
            </w:pPr>
            <w:r w:rsidRPr="00E65AA7">
              <w:rPr>
                <w:color w:val="000000"/>
                <w:sz w:val="20"/>
                <w:szCs w:val="20"/>
              </w:rPr>
              <w:t>(8.05)</w:t>
            </w:r>
          </w:p>
        </w:tc>
        <w:tc>
          <w:tcPr>
            <w:tcW w:w="385" w:type="pct"/>
            <w:tcBorders>
              <w:top w:val="nil"/>
              <w:left w:val="nil"/>
              <w:bottom w:val="nil"/>
              <w:right w:val="nil"/>
            </w:tcBorders>
            <w:shd w:val="clear" w:color="auto" w:fill="auto"/>
            <w:noWrap/>
            <w:vAlign w:val="center"/>
            <w:hideMark/>
          </w:tcPr>
          <w:p w14:paraId="787097BC" w14:textId="77777777" w:rsidR="00BC6E7D" w:rsidRPr="00E65AA7" w:rsidRDefault="00BC6E7D" w:rsidP="00164318">
            <w:pPr>
              <w:jc w:val="center"/>
              <w:rPr>
                <w:color w:val="000000"/>
                <w:sz w:val="20"/>
                <w:szCs w:val="20"/>
              </w:rPr>
            </w:pPr>
            <w:r w:rsidRPr="00E65AA7">
              <w:rPr>
                <w:color w:val="000000"/>
                <w:sz w:val="20"/>
                <w:szCs w:val="20"/>
              </w:rPr>
              <w:t>(7.62)</w:t>
            </w:r>
          </w:p>
        </w:tc>
        <w:tc>
          <w:tcPr>
            <w:tcW w:w="410" w:type="pct"/>
            <w:tcBorders>
              <w:top w:val="nil"/>
              <w:left w:val="nil"/>
              <w:bottom w:val="nil"/>
              <w:right w:val="nil"/>
            </w:tcBorders>
            <w:shd w:val="clear" w:color="auto" w:fill="auto"/>
            <w:noWrap/>
            <w:vAlign w:val="center"/>
            <w:hideMark/>
          </w:tcPr>
          <w:p w14:paraId="1279EF60"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5.93)</w:t>
            </w:r>
          </w:p>
        </w:tc>
      </w:tr>
      <w:tr w:rsidR="00BC6E7D" w:rsidRPr="00E65AA7" w14:paraId="1402190E"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531F9F73"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7" w:type="pct"/>
            <w:vMerge w:val="restart"/>
            <w:tcBorders>
              <w:top w:val="nil"/>
              <w:left w:val="nil"/>
              <w:right w:val="nil"/>
            </w:tcBorders>
            <w:vAlign w:val="center"/>
          </w:tcPr>
          <w:p w14:paraId="7F34E9B2"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67</w:t>
            </w:r>
          </w:p>
        </w:tc>
        <w:tc>
          <w:tcPr>
            <w:tcW w:w="385" w:type="pct"/>
            <w:tcBorders>
              <w:top w:val="nil"/>
              <w:left w:val="nil"/>
              <w:bottom w:val="nil"/>
              <w:right w:val="nil"/>
            </w:tcBorders>
            <w:shd w:val="clear" w:color="auto" w:fill="auto"/>
            <w:noWrap/>
            <w:vAlign w:val="center"/>
            <w:hideMark/>
          </w:tcPr>
          <w:p w14:paraId="2BF65996" w14:textId="77777777" w:rsidR="00BC6E7D" w:rsidRPr="00E65AA7" w:rsidRDefault="00BC6E7D" w:rsidP="00164318">
            <w:pPr>
              <w:jc w:val="center"/>
              <w:rPr>
                <w:color w:val="000000"/>
                <w:sz w:val="20"/>
                <w:szCs w:val="20"/>
              </w:rPr>
            </w:pPr>
            <w:r w:rsidRPr="00E65AA7">
              <w:rPr>
                <w:color w:val="000000"/>
                <w:sz w:val="20"/>
                <w:szCs w:val="20"/>
              </w:rPr>
              <w:t>0.61</w:t>
            </w:r>
          </w:p>
        </w:tc>
        <w:tc>
          <w:tcPr>
            <w:tcW w:w="385" w:type="pct"/>
            <w:tcBorders>
              <w:top w:val="nil"/>
              <w:left w:val="nil"/>
              <w:bottom w:val="nil"/>
              <w:right w:val="nil"/>
            </w:tcBorders>
            <w:shd w:val="clear" w:color="auto" w:fill="auto"/>
            <w:noWrap/>
            <w:vAlign w:val="center"/>
            <w:hideMark/>
          </w:tcPr>
          <w:p w14:paraId="24D79627" w14:textId="77777777" w:rsidR="00BC6E7D" w:rsidRPr="00E65AA7" w:rsidRDefault="00BC6E7D" w:rsidP="00164318">
            <w:pPr>
              <w:jc w:val="center"/>
              <w:rPr>
                <w:color w:val="000000"/>
                <w:sz w:val="20"/>
                <w:szCs w:val="20"/>
              </w:rPr>
            </w:pPr>
            <w:r w:rsidRPr="00E65AA7">
              <w:rPr>
                <w:color w:val="000000"/>
                <w:sz w:val="20"/>
                <w:szCs w:val="20"/>
              </w:rPr>
              <w:t>0.12</w:t>
            </w:r>
          </w:p>
        </w:tc>
        <w:tc>
          <w:tcPr>
            <w:tcW w:w="385" w:type="pct"/>
            <w:tcBorders>
              <w:top w:val="nil"/>
              <w:left w:val="nil"/>
              <w:bottom w:val="nil"/>
              <w:right w:val="nil"/>
            </w:tcBorders>
            <w:shd w:val="clear" w:color="auto" w:fill="auto"/>
            <w:noWrap/>
            <w:vAlign w:val="center"/>
            <w:hideMark/>
          </w:tcPr>
          <w:p w14:paraId="7DA814A8" w14:textId="77777777" w:rsidR="00BC6E7D" w:rsidRPr="00E65AA7" w:rsidRDefault="00BC6E7D" w:rsidP="00164318">
            <w:pPr>
              <w:jc w:val="center"/>
              <w:rPr>
                <w:color w:val="000000"/>
                <w:sz w:val="20"/>
                <w:szCs w:val="20"/>
              </w:rPr>
            </w:pPr>
            <w:r w:rsidRPr="00E65AA7">
              <w:rPr>
                <w:color w:val="000000"/>
                <w:sz w:val="20"/>
                <w:szCs w:val="20"/>
              </w:rPr>
              <w:t>0.00</w:t>
            </w:r>
          </w:p>
        </w:tc>
        <w:tc>
          <w:tcPr>
            <w:tcW w:w="385" w:type="pct"/>
            <w:tcBorders>
              <w:top w:val="nil"/>
              <w:left w:val="nil"/>
              <w:bottom w:val="nil"/>
              <w:right w:val="nil"/>
            </w:tcBorders>
            <w:shd w:val="clear" w:color="auto" w:fill="auto"/>
            <w:noWrap/>
            <w:vAlign w:val="center"/>
            <w:hideMark/>
          </w:tcPr>
          <w:p w14:paraId="342D5D9A" w14:textId="77777777" w:rsidR="00BC6E7D" w:rsidRPr="00E65AA7" w:rsidRDefault="00BC6E7D" w:rsidP="00164318">
            <w:pPr>
              <w:jc w:val="center"/>
              <w:rPr>
                <w:color w:val="000000"/>
                <w:sz w:val="20"/>
                <w:szCs w:val="20"/>
              </w:rPr>
            </w:pPr>
            <w:r w:rsidRPr="00E65AA7">
              <w:rPr>
                <w:color w:val="000000"/>
                <w:sz w:val="20"/>
                <w:szCs w:val="20"/>
              </w:rPr>
              <w:t>-0.22</w:t>
            </w:r>
          </w:p>
        </w:tc>
        <w:tc>
          <w:tcPr>
            <w:tcW w:w="385" w:type="pct"/>
            <w:tcBorders>
              <w:top w:val="nil"/>
              <w:left w:val="nil"/>
              <w:bottom w:val="nil"/>
              <w:right w:val="nil"/>
            </w:tcBorders>
            <w:shd w:val="clear" w:color="auto" w:fill="auto"/>
            <w:noWrap/>
            <w:vAlign w:val="center"/>
            <w:hideMark/>
          </w:tcPr>
          <w:p w14:paraId="4B6CBE6D" w14:textId="77777777" w:rsidR="00BC6E7D" w:rsidRPr="00E65AA7" w:rsidRDefault="00BC6E7D" w:rsidP="00164318">
            <w:pPr>
              <w:jc w:val="center"/>
              <w:rPr>
                <w:color w:val="000000"/>
                <w:sz w:val="20"/>
                <w:szCs w:val="20"/>
              </w:rPr>
            </w:pPr>
            <w:r w:rsidRPr="00E65AA7">
              <w:rPr>
                <w:color w:val="000000"/>
                <w:sz w:val="20"/>
                <w:szCs w:val="20"/>
              </w:rPr>
              <w:t>-0.25</w:t>
            </w:r>
          </w:p>
        </w:tc>
        <w:tc>
          <w:tcPr>
            <w:tcW w:w="385" w:type="pct"/>
            <w:tcBorders>
              <w:top w:val="nil"/>
              <w:left w:val="nil"/>
              <w:bottom w:val="nil"/>
              <w:right w:val="nil"/>
            </w:tcBorders>
            <w:shd w:val="clear" w:color="auto" w:fill="auto"/>
            <w:noWrap/>
            <w:vAlign w:val="center"/>
            <w:hideMark/>
          </w:tcPr>
          <w:p w14:paraId="25D24181" w14:textId="77777777" w:rsidR="00BC6E7D" w:rsidRPr="00E65AA7" w:rsidRDefault="00BC6E7D" w:rsidP="00164318">
            <w:pPr>
              <w:jc w:val="center"/>
              <w:rPr>
                <w:color w:val="000000"/>
                <w:sz w:val="20"/>
                <w:szCs w:val="20"/>
              </w:rPr>
            </w:pPr>
            <w:r w:rsidRPr="00E65AA7">
              <w:rPr>
                <w:color w:val="000000"/>
                <w:sz w:val="20"/>
                <w:szCs w:val="20"/>
              </w:rPr>
              <w:t>-0.49</w:t>
            </w:r>
          </w:p>
        </w:tc>
        <w:tc>
          <w:tcPr>
            <w:tcW w:w="385" w:type="pct"/>
            <w:tcBorders>
              <w:top w:val="nil"/>
              <w:left w:val="nil"/>
              <w:bottom w:val="nil"/>
              <w:right w:val="nil"/>
            </w:tcBorders>
            <w:shd w:val="clear" w:color="auto" w:fill="auto"/>
            <w:noWrap/>
            <w:vAlign w:val="center"/>
            <w:hideMark/>
          </w:tcPr>
          <w:p w14:paraId="0E27A68B" w14:textId="77777777" w:rsidR="00BC6E7D" w:rsidRPr="00E65AA7" w:rsidRDefault="00BC6E7D" w:rsidP="00164318">
            <w:pPr>
              <w:jc w:val="center"/>
              <w:rPr>
                <w:color w:val="000000"/>
                <w:sz w:val="20"/>
                <w:szCs w:val="20"/>
              </w:rPr>
            </w:pPr>
            <w:r w:rsidRPr="00E65AA7">
              <w:rPr>
                <w:color w:val="000000"/>
                <w:sz w:val="20"/>
                <w:szCs w:val="20"/>
              </w:rPr>
              <w:t>-0.46</w:t>
            </w:r>
          </w:p>
        </w:tc>
        <w:tc>
          <w:tcPr>
            <w:tcW w:w="385" w:type="pct"/>
            <w:tcBorders>
              <w:top w:val="nil"/>
              <w:left w:val="nil"/>
              <w:bottom w:val="nil"/>
              <w:right w:val="nil"/>
            </w:tcBorders>
            <w:shd w:val="clear" w:color="auto" w:fill="auto"/>
            <w:noWrap/>
            <w:vAlign w:val="center"/>
            <w:hideMark/>
          </w:tcPr>
          <w:p w14:paraId="222CCA36" w14:textId="77777777" w:rsidR="00BC6E7D" w:rsidRPr="00E65AA7" w:rsidRDefault="00BC6E7D" w:rsidP="00164318">
            <w:pPr>
              <w:jc w:val="center"/>
              <w:rPr>
                <w:color w:val="000000"/>
                <w:sz w:val="20"/>
                <w:szCs w:val="20"/>
              </w:rPr>
            </w:pPr>
            <w:r w:rsidRPr="00E65AA7">
              <w:rPr>
                <w:color w:val="000000"/>
                <w:sz w:val="20"/>
                <w:szCs w:val="20"/>
              </w:rPr>
              <w:t>-0.75</w:t>
            </w:r>
          </w:p>
        </w:tc>
        <w:tc>
          <w:tcPr>
            <w:tcW w:w="385" w:type="pct"/>
            <w:tcBorders>
              <w:top w:val="nil"/>
              <w:left w:val="nil"/>
              <w:bottom w:val="nil"/>
              <w:right w:val="nil"/>
            </w:tcBorders>
            <w:shd w:val="clear" w:color="auto" w:fill="auto"/>
            <w:noWrap/>
            <w:vAlign w:val="center"/>
            <w:hideMark/>
          </w:tcPr>
          <w:p w14:paraId="2B56376F" w14:textId="77777777" w:rsidR="00BC6E7D" w:rsidRPr="00E65AA7" w:rsidRDefault="00BC6E7D" w:rsidP="00164318">
            <w:pPr>
              <w:jc w:val="center"/>
              <w:rPr>
                <w:color w:val="000000"/>
                <w:sz w:val="20"/>
                <w:szCs w:val="20"/>
              </w:rPr>
            </w:pPr>
            <w:r w:rsidRPr="00E65AA7">
              <w:rPr>
                <w:color w:val="000000"/>
                <w:sz w:val="20"/>
                <w:szCs w:val="20"/>
              </w:rPr>
              <w:t>-1.01</w:t>
            </w:r>
          </w:p>
        </w:tc>
        <w:tc>
          <w:tcPr>
            <w:tcW w:w="385" w:type="pct"/>
            <w:tcBorders>
              <w:top w:val="nil"/>
              <w:left w:val="nil"/>
              <w:bottom w:val="nil"/>
              <w:right w:val="nil"/>
            </w:tcBorders>
            <w:shd w:val="clear" w:color="auto" w:fill="auto"/>
            <w:noWrap/>
            <w:vAlign w:val="center"/>
            <w:hideMark/>
          </w:tcPr>
          <w:p w14:paraId="2599718C" w14:textId="77777777" w:rsidR="00BC6E7D" w:rsidRPr="00E65AA7" w:rsidRDefault="00BC6E7D" w:rsidP="00164318">
            <w:pPr>
              <w:jc w:val="center"/>
              <w:rPr>
                <w:color w:val="000000"/>
                <w:sz w:val="20"/>
                <w:szCs w:val="20"/>
              </w:rPr>
            </w:pPr>
            <w:r w:rsidRPr="00E65AA7">
              <w:rPr>
                <w:color w:val="000000"/>
                <w:sz w:val="20"/>
                <w:szCs w:val="20"/>
              </w:rPr>
              <w:t>-2.06</w:t>
            </w:r>
          </w:p>
        </w:tc>
        <w:tc>
          <w:tcPr>
            <w:tcW w:w="410" w:type="pct"/>
            <w:tcBorders>
              <w:top w:val="nil"/>
              <w:left w:val="nil"/>
              <w:bottom w:val="nil"/>
              <w:right w:val="nil"/>
            </w:tcBorders>
            <w:shd w:val="clear" w:color="auto" w:fill="auto"/>
            <w:noWrap/>
            <w:vAlign w:val="center"/>
            <w:hideMark/>
          </w:tcPr>
          <w:p w14:paraId="0AA5C1A2"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2.67</w:t>
            </w:r>
          </w:p>
        </w:tc>
      </w:tr>
      <w:tr w:rsidR="00BC6E7D" w:rsidRPr="00E65AA7" w14:paraId="50487B1B" w14:textId="77777777" w:rsidTr="00BC6E7D">
        <w:trPr>
          <w:trHeight w:hRule="exact" w:val="255"/>
        </w:trPr>
        <w:tc>
          <w:tcPr>
            <w:tcW w:w="483" w:type="pct"/>
            <w:vMerge/>
            <w:tcBorders>
              <w:top w:val="nil"/>
              <w:left w:val="nil"/>
              <w:bottom w:val="nil"/>
              <w:right w:val="nil"/>
            </w:tcBorders>
            <w:vAlign w:val="center"/>
            <w:hideMark/>
          </w:tcPr>
          <w:p w14:paraId="2F87E037"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0AB16551"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528884E7" w14:textId="77777777" w:rsidR="00BC6E7D" w:rsidRPr="00E65AA7" w:rsidRDefault="00BC6E7D" w:rsidP="00164318">
            <w:pPr>
              <w:jc w:val="center"/>
              <w:rPr>
                <w:color w:val="000000"/>
                <w:sz w:val="20"/>
                <w:szCs w:val="20"/>
              </w:rPr>
            </w:pPr>
            <w:r w:rsidRPr="00E65AA7">
              <w:rPr>
                <w:color w:val="000000"/>
                <w:sz w:val="20"/>
                <w:szCs w:val="20"/>
              </w:rPr>
              <w:t>(1.63)</w:t>
            </w:r>
          </w:p>
        </w:tc>
        <w:tc>
          <w:tcPr>
            <w:tcW w:w="385" w:type="pct"/>
            <w:tcBorders>
              <w:top w:val="nil"/>
              <w:left w:val="nil"/>
              <w:bottom w:val="nil"/>
              <w:right w:val="nil"/>
            </w:tcBorders>
            <w:shd w:val="clear" w:color="auto" w:fill="auto"/>
            <w:noWrap/>
            <w:vAlign w:val="center"/>
            <w:hideMark/>
          </w:tcPr>
          <w:p w14:paraId="5A5F7FC3" w14:textId="77777777" w:rsidR="00BC6E7D" w:rsidRPr="00E65AA7" w:rsidRDefault="00BC6E7D" w:rsidP="00164318">
            <w:pPr>
              <w:jc w:val="center"/>
              <w:rPr>
                <w:color w:val="000000"/>
                <w:sz w:val="20"/>
                <w:szCs w:val="20"/>
              </w:rPr>
            </w:pPr>
            <w:r w:rsidRPr="00E65AA7">
              <w:rPr>
                <w:color w:val="000000"/>
                <w:sz w:val="20"/>
                <w:szCs w:val="20"/>
              </w:rPr>
              <w:t>(0.29)</w:t>
            </w:r>
          </w:p>
        </w:tc>
        <w:tc>
          <w:tcPr>
            <w:tcW w:w="385" w:type="pct"/>
            <w:tcBorders>
              <w:top w:val="nil"/>
              <w:left w:val="nil"/>
              <w:bottom w:val="nil"/>
              <w:right w:val="nil"/>
            </w:tcBorders>
            <w:shd w:val="clear" w:color="auto" w:fill="auto"/>
            <w:noWrap/>
            <w:vAlign w:val="center"/>
            <w:hideMark/>
          </w:tcPr>
          <w:p w14:paraId="1CB5409F" w14:textId="77777777" w:rsidR="00BC6E7D" w:rsidRPr="00E65AA7" w:rsidRDefault="00BC6E7D" w:rsidP="00164318">
            <w:pPr>
              <w:jc w:val="center"/>
              <w:rPr>
                <w:color w:val="000000"/>
                <w:sz w:val="20"/>
                <w:szCs w:val="20"/>
              </w:rPr>
            </w:pPr>
            <w:r w:rsidRPr="00E65AA7">
              <w:rPr>
                <w:color w:val="000000"/>
                <w:sz w:val="20"/>
                <w:szCs w:val="20"/>
              </w:rPr>
              <w:t>(0.00)</w:t>
            </w:r>
          </w:p>
        </w:tc>
        <w:tc>
          <w:tcPr>
            <w:tcW w:w="385" w:type="pct"/>
            <w:tcBorders>
              <w:top w:val="nil"/>
              <w:left w:val="nil"/>
              <w:bottom w:val="nil"/>
              <w:right w:val="nil"/>
            </w:tcBorders>
            <w:shd w:val="clear" w:color="auto" w:fill="auto"/>
            <w:noWrap/>
            <w:vAlign w:val="center"/>
            <w:hideMark/>
          </w:tcPr>
          <w:p w14:paraId="707CD300" w14:textId="77777777" w:rsidR="00BC6E7D" w:rsidRPr="00E65AA7" w:rsidRDefault="00BC6E7D" w:rsidP="00164318">
            <w:pPr>
              <w:jc w:val="center"/>
              <w:rPr>
                <w:color w:val="000000"/>
                <w:sz w:val="20"/>
                <w:szCs w:val="20"/>
              </w:rPr>
            </w:pPr>
            <w:r w:rsidRPr="00E65AA7">
              <w:rPr>
                <w:color w:val="000000"/>
                <w:sz w:val="20"/>
                <w:szCs w:val="20"/>
              </w:rPr>
              <w:t>(-0.43)</w:t>
            </w:r>
          </w:p>
        </w:tc>
        <w:tc>
          <w:tcPr>
            <w:tcW w:w="385" w:type="pct"/>
            <w:tcBorders>
              <w:top w:val="nil"/>
              <w:left w:val="nil"/>
              <w:bottom w:val="nil"/>
              <w:right w:val="nil"/>
            </w:tcBorders>
            <w:shd w:val="clear" w:color="auto" w:fill="auto"/>
            <w:noWrap/>
            <w:vAlign w:val="center"/>
            <w:hideMark/>
          </w:tcPr>
          <w:p w14:paraId="7FB78C86" w14:textId="77777777" w:rsidR="00BC6E7D" w:rsidRPr="00E65AA7" w:rsidRDefault="00BC6E7D" w:rsidP="00164318">
            <w:pPr>
              <w:jc w:val="center"/>
              <w:rPr>
                <w:color w:val="000000"/>
                <w:sz w:val="20"/>
                <w:szCs w:val="20"/>
              </w:rPr>
            </w:pPr>
            <w:r w:rsidRPr="00E65AA7">
              <w:rPr>
                <w:color w:val="000000"/>
                <w:sz w:val="20"/>
                <w:szCs w:val="20"/>
              </w:rPr>
              <w:t>(-0.44)</w:t>
            </w:r>
          </w:p>
        </w:tc>
        <w:tc>
          <w:tcPr>
            <w:tcW w:w="385" w:type="pct"/>
            <w:tcBorders>
              <w:top w:val="nil"/>
              <w:left w:val="nil"/>
              <w:bottom w:val="nil"/>
              <w:right w:val="nil"/>
            </w:tcBorders>
            <w:shd w:val="clear" w:color="auto" w:fill="auto"/>
            <w:noWrap/>
            <w:vAlign w:val="center"/>
            <w:hideMark/>
          </w:tcPr>
          <w:p w14:paraId="3F96F5AE" w14:textId="77777777" w:rsidR="00BC6E7D" w:rsidRPr="00E65AA7" w:rsidRDefault="00BC6E7D" w:rsidP="00164318">
            <w:pPr>
              <w:jc w:val="center"/>
              <w:rPr>
                <w:color w:val="000000"/>
                <w:sz w:val="20"/>
                <w:szCs w:val="20"/>
              </w:rPr>
            </w:pPr>
            <w:r w:rsidRPr="00E65AA7">
              <w:rPr>
                <w:color w:val="000000"/>
                <w:sz w:val="20"/>
                <w:szCs w:val="20"/>
              </w:rPr>
              <w:t>(-0.84)</w:t>
            </w:r>
          </w:p>
        </w:tc>
        <w:tc>
          <w:tcPr>
            <w:tcW w:w="385" w:type="pct"/>
            <w:tcBorders>
              <w:top w:val="nil"/>
              <w:left w:val="nil"/>
              <w:bottom w:val="nil"/>
              <w:right w:val="nil"/>
            </w:tcBorders>
            <w:shd w:val="clear" w:color="auto" w:fill="auto"/>
            <w:noWrap/>
            <w:vAlign w:val="center"/>
            <w:hideMark/>
          </w:tcPr>
          <w:p w14:paraId="1D5BD793" w14:textId="77777777" w:rsidR="00BC6E7D" w:rsidRPr="00E65AA7" w:rsidRDefault="00BC6E7D" w:rsidP="00164318">
            <w:pPr>
              <w:jc w:val="center"/>
              <w:rPr>
                <w:color w:val="000000"/>
                <w:sz w:val="20"/>
                <w:szCs w:val="20"/>
              </w:rPr>
            </w:pPr>
            <w:r w:rsidRPr="00E65AA7">
              <w:rPr>
                <w:color w:val="000000"/>
                <w:sz w:val="20"/>
                <w:szCs w:val="20"/>
              </w:rPr>
              <w:t>(-0.67)</w:t>
            </w:r>
          </w:p>
        </w:tc>
        <w:tc>
          <w:tcPr>
            <w:tcW w:w="385" w:type="pct"/>
            <w:tcBorders>
              <w:top w:val="nil"/>
              <w:left w:val="nil"/>
              <w:bottom w:val="nil"/>
              <w:right w:val="nil"/>
            </w:tcBorders>
            <w:shd w:val="clear" w:color="auto" w:fill="auto"/>
            <w:noWrap/>
            <w:vAlign w:val="center"/>
            <w:hideMark/>
          </w:tcPr>
          <w:p w14:paraId="6769E131" w14:textId="77777777" w:rsidR="00BC6E7D" w:rsidRPr="00E65AA7" w:rsidRDefault="00BC6E7D" w:rsidP="00164318">
            <w:pPr>
              <w:jc w:val="center"/>
              <w:rPr>
                <w:color w:val="000000"/>
                <w:sz w:val="20"/>
                <w:szCs w:val="20"/>
              </w:rPr>
            </w:pPr>
            <w:r w:rsidRPr="00E65AA7">
              <w:rPr>
                <w:color w:val="000000"/>
                <w:sz w:val="20"/>
                <w:szCs w:val="20"/>
              </w:rPr>
              <w:t>(-1.03)</w:t>
            </w:r>
          </w:p>
        </w:tc>
        <w:tc>
          <w:tcPr>
            <w:tcW w:w="385" w:type="pct"/>
            <w:tcBorders>
              <w:top w:val="nil"/>
              <w:left w:val="nil"/>
              <w:bottom w:val="nil"/>
              <w:right w:val="nil"/>
            </w:tcBorders>
            <w:shd w:val="clear" w:color="auto" w:fill="auto"/>
            <w:noWrap/>
            <w:vAlign w:val="center"/>
            <w:hideMark/>
          </w:tcPr>
          <w:p w14:paraId="63F0F6E1" w14:textId="77777777" w:rsidR="00BC6E7D" w:rsidRPr="00E65AA7" w:rsidRDefault="00BC6E7D" w:rsidP="00164318">
            <w:pPr>
              <w:jc w:val="center"/>
              <w:rPr>
                <w:color w:val="000000"/>
                <w:sz w:val="20"/>
                <w:szCs w:val="20"/>
              </w:rPr>
            </w:pPr>
            <w:r w:rsidRPr="00E65AA7">
              <w:rPr>
                <w:color w:val="000000"/>
                <w:sz w:val="20"/>
                <w:szCs w:val="20"/>
              </w:rPr>
              <w:t>(-1.23)</w:t>
            </w:r>
          </w:p>
        </w:tc>
        <w:tc>
          <w:tcPr>
            <w:tcW w:w="385" w:type="pct"/>
            <w:tcBorders>
              <w:top w:val="nil"/>
              <w:left w:val="nil"/>
              <w:bottom w:val="nil"/>
              <w:right w:val="nil"/>
            </w:tcBorders>
            <w:shd w:val="clear" w:color="auto" w:fill="auto"/>
            <w:noWrap/>
            <w:vAlign w:val="center"/>
            <w:hideMark/>
          </w:tcPr>
          <w:p w14:paraId="2E3C0D07" w14:textId="77777777" w:rsidR="00BC6E7D" w:rsidRPr="00E65AA7" w:rsidRDefault="00BC6E7D" w:rsidP="00164318">
            <w:pPr>
              <w:jc w:val="center"/>
              <w:rPr>
                <w:color w:val="000000"/>
                <w:sz w:val="20"/>
                <w:szCs w:val="20"/>
              </w:rPr>
            </w:pPr>
            <w:r w:rsidRPr="00E65AA7">
              <w:rPr>
                <w:color w:val="000000"/>
                <w:sz w:val="20"/>
                <w:szCs w:val="20"/>
              </w:rPr>
              <w:t>(-1.83)</w:t>
            </w:r>
          </w:p>
        </w:tc>
        <w:tc>
          <w:tcPr>
            <w:tcW w:w="410" w:type="pct"/>
            <w:tcBorders>
              <w:top w:val="nil"/>
              <w:left w:val="nil"/>
              <w:bottom w:val="nil"/>
              <w:right w:val="nil"/>
            </w:tcBorders>
            <w:shd w:val="clear" w:color="auto" w:fill="auto"/>
            <w:noWrap/>
            <w:vAlign w:val="center"/>
            <w:hideMark/>
          </w:tcPr>
          <w:p w14:paraId="50CC7F9D"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2.65)</w:t>
            </w:r>
          </w:p>
        </w:tc>
      </w:tr>
      <w:tr w:rsidR="00BC6E7D" w:rsidRPr="00E65AA7" w14:paraId="6225B503"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07A7A92F"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7" w:type="pct"/>
            <w:vMerge w:val="restart"/>
            <w:tcBorders>
              <w:top w:val="nil"/>
              <w:left w:val="nil"/>
              <w:right w:val="nil"/>
            </w:tcBorders>
            <w:vAlign w:val="center"/>
          </w:tcPr>
          <w:p w14:paraId="4612128B"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66</w:t>
            </w:r>
          </w:p>
        </w:tc>
        <w:tc>
          <w:tcPr>
            <w:tcW w:w="385" w:type="pct"/>
            <w:tcBorders>
              <w:top w:val="nil"/>
              <w:left w:val="nil"/>
              <w:bottom w:val="nil"/>
              <w:right w:val="nil"/>
            </w:tcBorders>
            <w:shd w:val="clear" w:color="auto" w:fill="auto"/>
            <w:noWrap/>
            <w:vAlign w:val="center"/>
            <w:hideMark/>
          </w:tcPr>
          <w:p w14:paraId="3E5E2740" w14:textId="77777777" w:rsidR="00BC6E7D" w:rsidRPr="00E65AA7" w:rsidRDefault="00BC6E7D" w:rsidP="00164318">
            <w:pPr>
              <w:jc w:val="center"/>
              <w:rPr>
                <w:color w:val="000000"/>
                <w:sz w:val="20"/>
                <w:szCs w:val="20"/>
              </w:rPr>
            </w:pPr>
            <w:r w:rsidRPr="00E65AA7">
              <w:rPr>
                <w:color w:val="000000"/>
                <w:sz w:val="20"/>
                <w:szCs w:val="20"/>
              </w:rPr>
              <w:t>0.12</w:t>
            </w:r>
          </w:p>
        </w:tc>
        <w:tc>
          <w:tcPr>
            <w:tcW w:w="385" w:type="pct"/>
            <w:tcBorders>
              <w:top w:val="nil"/>
              <w:left w:val="nil"/>
              <w:bottom w:val="nil"/>
              <w:right w:val="nil"/>
            </w:tcBorders>
            <w:shd w:val="clear" w:color="auto" w:fill="auto"/>
            <w:noWrap/>
            <w:vAlign w:val="center"/>
            <w:hideMark/>
          </w:tcPr>
          <w:p w14:paraId="3D14AA67" w14:textId="77777777" w:rsidR="00BC6E7D" w:rsidRPr="00E65AA7" w:rsidRDefault="00BC6E7D" w:rsidP="00164318">
            <w:pPr>
              <w:jc w:val="center"/>
              <w:rPr>
                <w:color w:val="000000"/>
                <w:sz w:val="20"/>
                <w:szCs w:val="20"/>
              </w:rPr>
            </w:pPr>
            <w:r w:rsidRPr="00E65AA7">
              <w:rPr>
                <w:color w:val="000000"/>
                <w:sz w:val="20"/>
                <w:szCs w:val="20"/>
              </w:rPr>
              <w:t>0.06</w:t>
            </w:r>
          </w:p>
        </w:tc>
        <w:tc>
          <w:tcPr>
            <w:tcW w:w="385" w:type="pct"/>
            <w:tcBorders>
              <w:top w:val="nil"/>
              <w:left w:val="nil"/>
              <w:bottom w:val="nil"/>
              <w:right w:val="nil"/>
            </w:tcBorders>
            <w:shd w:val="clear" w:color="auto" w:fill="auto"/>
            <w:noWrap/>
            <w:vAlign w:val="center"/>
            <w:hideMark/>
          </w:tcPr>
          <w:p w14:paraId="5CD9F753" w14:textId="77777777" w:rsidR="00BC6E7D" w:rsidRPr="00E65AA7" w:rsidRDefault="00BC6E7D" w:rsidP="00164318">
            <w:pPr>
              <w:jc w:val="center"/>
              <w:rPr>
                <w:color w:val="000000"/>
                <w:sz w:val="20"/>
                <w:szCs w:val="20"/>
              </w:rPr>
            </w:pPr>
            <w:r w:rsidRPr="00E65AA7">
              <w:rPr>
                <w:color w:val="000000"/>
                <w:sz w:val="20"/>
                <w:szCs w:val="20"/>
              </w:rPr>
              <w:t>-0.23</w:t>
            </w:r>
          </w:p>
        </w:tc>
        <w:tc>
          <w:tcPr>
            <w:tcW w:w="385" w:type="pct"/>
            <w:tcBorders>
              <w:top w:val="nil"/>
              <w:left w:val="nil"/>
              <w:bottom w:val="nil"/>
              <w:right w:val="nil"/>
            </w:tcBorders>
            <w:shd w:val="clear" w:color="auto" w:fill="auto"/>
            <w:noWrap/>
            <w:vAlign w:val="center"/>
            <w:hideMark/>
          </w:tcPr>
          <w:p w14:paraId="30F2170D" w14:textId="77777777" w:rsidR="00BC6E7D" w:rsidRPr="00E65AA7" w:rsidRDefault="00BC6E7D" w:rsidP="00164318">
            <w:pPr>
              <w:jc w:val="center"/>
              <w:rPr>
                <w:color w:val="000000"/>
                <w:sz w:val="20"/>
                <w:szCs w:val="20"/>
              </w:rPr>
            </w:pPr>
            <w:r w:rsidRPr="00E65AA7">
              <w:rPr>
                <w:color w:val="000000"/>
                <w:sz w:val="20"/>
                <w:szCs w:val="20"/>
              </w:rPr>
              <w:t>-0.54</w:t>
            </w:r>
          </w:p>
        </w:tc>
        <w:tc>
          <w:tcPr>
            <w:tcW w:w="385" w:type="pct"/>
            <w:tcBorders>
              <w:top w:val="nil"/>
              <w:left w:val="nil"/>
              <w:bottom w:val="nil"/>
              <w:right w:val="nil"/>
            </w:tcBorders>
            <w:shd w:val="clear" w:color="auto" w:fill="auto"/>
            <w:noWrap/>
            <w:vAlign w:val="center"/>
            <w:hideMark/>
          </w:tcPr>
          <w:p w14:paraId="526B16C7" w14:textId="77777777" w:rsidR="00BC6E7D" w:rsidRPr="00E65AA7" w:rsidRDefault="00BC6E7D" w:rsidP="00164318">
            <w:pPr>
              <w:jc w:val="center"/>
              <w:rPr>
                <w:color w:val="000000"/>
                <w:sz w:val="20"/>
                <w:szCs w:val="20"/>
              </w:rPr>
            </w:pPr>
            <w:r w:rsidRPr="00E65AA7">
              <w:rPr>
                <w:color w:val="000000"/>
                <w:sz w:val="20"/>
                <w:szCs w:val="20"/>
              </w:rPr>
              <w:t>-0.56</w:t>
            </w:r>
          </w:p>
        </w:tc>
        <w:tc>
          <w:tcPr>
            <w:tcW w:w="385" w:type="pct"/>
            <w:tcBorders>
              <w:top w:val="nil"/>
              <w:left w:val="nil"/>
              <w:bottom w:val="nil"/>
              <w:right w:val="nil"/>
            </w:tcBorders>
            <w:shd w:val="clear" w:color="auto" w:fill="auto"/>
            <w:noWrap/>
            <w:vAlign w:val="center"/>
            <w:hideMark/>
          </w:tcPr>
          <w:p w14:paraId="7155ADF3" w14:textId="77777777" w:rsidR="00BC6E7D" w:rsidRPr="00E65AA7" w:rsidRDefault="00BC6E7D" w:rsidP="00164318">
            <w:pPr>
              <w:jc w:val="center"/>
              <w:rPr>
                <w:color w:val="000000"/>
                <w:sz w:val="20"/>
                <w:szCs w:val="20"/>
              </w:rPr>
            </w:pPr>
            <w:r w:rsidRPr="00E65AA7">
              <w:rPr>
                <w:color w:val="000000"/>
                <w:sz w:val="20"/>
                <w:szCs w:val="20"/>
              </w:rPr>
              <w:t>-0.65</w:t>
            </w:r>
          </w:p>
        </w:tc>
        <w:tc>
          <w:tcPr>
            <w:tcW w:w="385" w:type="pct"/>
            <w:tcBorders>
              <w:top w:val="nil"/>
              <w:left w:val="nil"/>
              <w:bottom w:val="nil"/>
              <w:right w:val="nil"/>
            </w:tcBorders>
            <w:shd w:val="clear" w:color="auto" w:fill="auto"/>
            <w:noWrap/>
            <w:vAlign w:val="center"/>
            <w:hideMark/>
          </w:tcPr>
          <w:p w14:paraId="7EFF456D" w14:textId="77777777" w:rsidR="00BC6E7D" w:rsidRPr="00E65AA7" w:rsidRDefault="00BC6E7D" w:rsidP="00164318">
            <w:pPr>
              <w:jc w:val="center"/>
              <w:rPr>
                <w:color w:val="000000"/>
                <w:sz w:val="20"/>
                <w:szCs w:val="20"/>
              </w:rPr>
            </w:pPr>
            <w:r w:rsidRPr="00E65AA7">
              <w:rPr>
                <w:color w:val="000000"/>
                <w:sz w:val="20"/>
                <w:szCs w:val="20"/>
              </w:rPr>
              <w:t>-0.92</w:t>
            </w:r>
          </w:p>
        </w:tc>
        <w:tc>
          <w:tcPr>
            <w:tcW w:w="385" w:type="pct"/>
            <w:tcBorders>
              <w:top w:val="nil"/>
              <w:left w:val="nil"/>
              <w:bottom w:val="nil"/>
              <w:right w:val="nil"/>
            </w:tcBorders>
            <w:shd w:val="clear" w:color="auto" w:fill="auto"/>
            <w:noWrap/>
            <w:vAlign w:val="center"/>
            <w:hideMark/>
          </w:tcPr>
          <w:p w14:paraId="22175412" w14:textId="77777777" w:rsidR="00BC6E7D" w:rsidRPr="00E65AA7" w:rsidRDefault="00BC6E7D" w:rsidP="00164318">
            <w:pPr>
              <w:jc w:val="center"/>
              <w:rPr>
                <w:color w:val="000000"/>
                <w:sz w:val="20"/>
                <w:szCs w:val="20"/>
              </w:rPr>
            </w:pPr>
            <w:r w:rsidRPr="00E65AA7">
              <w:rPr>
                <w:color w:val="000000"/>
                <w:sz w:val="20"/>
                <w:szCs w:val="20"/>
              </w:rPr>
              <w:t>-1.46</w:t>
            </w:r>
          </w:p>
        </w:tc>
        <w:tc>
          <w:tcPr>
            <w:tcW w:w="385" w:type="pct"/>
            <w:tcBorders>
              <w:top w:val="nil"/>
              <w:left w:val="nil"/>
              <w:bottom w:val="nil"/>
              <w:right w:val="nil"/>
            </w:tcBorders>
            <w:shd w:val="clear" w:color="auto" w:fill="auto"/>
            <w:noWrap/>
            <w:vAlign w:val="center"/>
            <w:hideMark/>
          </w:tcPr>
          <w:p w14:paraId="7400F88C" w14:textId="77777777" w:rsidR="00BC6E7D" w:rsidRPr="00E65AA7" w:rsidRDefault="00BC6E7D" w:rsidP="00164318">
            <w:pPr>
              <w:jc w:val="center"/>
              <w:rPr>
                <w:color w:val="000000"/>
                <w:sz w:val="20"/>
                <w:szCs w:val="20"/>
              </w:rPr>
            </w:pPr>
            <w:r w:rsidRPr="00E65AA7">
              <w:rPr>
                <w:color w:val="000000"/>
                <w:sz w:val="20"/>
                <w:szCs w:val="20"/>
              </w:rPr>
              <w:t>-2.02</w:t>
            </w:r>
          </w:p>
        </w:tc>
        <w:tc>
          <w:tcPr>
            <w:tcW w:w="385" w:type="pct"/>
            <w:tcBorders>
              <w:top w:val="nil"/>
              <w:left w:val="nil"/>
              <w:bottom w:val="nil"/>
              <w:right w:val="nil"/>
            </w:tcBorders>
            <w:shd w:val="clear" w:color="auto" w:fill="auto"/>
            <w:noWrap/>
            <w:vAlign w:val="center"/>
            <w:hideMark/>
          </w:tcPr>
          <w:p w14:paraId="644C1409" w14:textId="77777777" w:rsidR="00BC6E7D" w:rsidRPr="00E65AA7" w:rsidRDefault="00BC6E7D" w:rsidP="00164318">
            <w:pPr>
              <w:jc w:val="center"/>
              <w:rPr>
                <w:color w:val="000000"/>
                <w:sz w:val="20"/>
                <w:szCs w:val="20"/>
              </w:rPr>
            </w:pPr>
            <w:r w:rsidRPr="00E65AA7">
              <w:rPr>
                <w:color w:val="000000"/>
                <w:sz w:val="20"/>
                <w:szCs w:val="20"/>
              </w:rPr>
              <w:t>-3.55</w:t>
            </w:r>
          </w:p>
        </w:tc>
        <w:tc>
          <w:tcPr>
            <w:tcW w:w="410" w:type="pct"/>
            <w:tcBorders>
              <w:top w:val="nil"/>
              <w:left w:val="nil"/>
              <w:bottom w:val="nil"/>
              <w:right w:val="nil"/>
            </w:tcBorders>
            <w:shd w:val="clear" w:color="auto" w:fill="auto"/>
            <w:noWrap/>
            <w:vAlign w:val="center"/>
            <w:hideMark/>
          </w:tcPr>
          <w:p w14:paraId="55A97CCD"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3.67</w:t>
            </w:r>
          </w:p>
        </w:tc>
      </w:tr>
      <w:tr w:rsidR="00BC6E7D" w:rsidRPr="00E65AA7" w14:paraId="34FA821A" w14:textId="77777777" w:rsidTr="00BC6E7D">
        <w:trPr>
          <w:trHeight w:hRule="exact" w:val="255"/>
        </w:trPr>
        <w:tc>
          <w:tcPr>
            <w:tcW w:w="483" w:type="pct"/>
            <w:vMerge/>
            <w:tcBorders>
              <w:top w:val="nil"/>
              <w:left w:val="nil"/>
              <w:right w:val="nil"/>
            </w:tcBorders>
            <w:vAlign w:val="center"/>
            <w:hideMark/>
          </w:tcPr>
          <w:p w14:paraId="5B9E2D8C" w14:textId="77777777" w:rsidR="00BC6E7D" w:rsidRPr="00E65AA7" w:rsidRDefault="00BC6E7D" w:rsidP="00164318">
            <w:pPr>
              <w:rPr>
                <w:rFonts w:eastAsia="Times New Roman"/>
                <w:color w:val="000000"/>
                <w:sz w:val="20"/>
                <w:szCs w:val="20"/>
                <w:lang w:eastAsia="en-MY"/>
              </w:rPr>
            </w:pPr>
          </w:p>
        </w:tc>
        <w:tc>
          <w:tcPr>
            <w:tcW w:w="257" w:type="pct"/>
            <w:vMerge/>
            <w:tcBorders>
              <w:left w:val="nil"/>
              <w:right w:val="nil"/>
            </w:tcBorders>
            <w:vAlign w:val="center"/>
          </w:tcPr>
          <w:p w14:paraId="5E463E8E" w14:textId="77777777" w:rsidR="00BC6E7D" w:rsidRPr="00E65AA7" w:rsidRDefault="00BC6E7D" w:rsidP="00164318">
            <w:pPr>
              <w:jc w:val="center"/>
              <w:rPr>
                <w:rFonts w:eastAsia="Times New Roman"/>
                <w:sz w:val="20"/>
                <w:szCs w:val="20"/>
                <w:lang w:eastAsia="en-MY"/>
              </w:rPr>
            </w:pPr>
          </w:p>
        </w:tc>
        <w:tc>
          <w:tcPr>
            <w:tcW w:w="385" w:type="pct"/>
            <w:tcBorders>
              <w:top w:val="nil"/>
              <w:left w:val="nil"/>
              <w:right w:val="nil"/>
            </w:tcBorders>
            <w:shd w:val="clear" w:color="auto" w:fill="auto"/>
            <w:noWrap/>
            <w:vAlign w:val="center"/>
            <w:hideMark/>
          </w:tcPr>
          <w:p w14:paraId="47DAC09A" w14:textId="77777777" w:rsidR="00BC6E7D" w:rsidRPr="00E65AA7" w:rsidRDefault="00BC6E7D" w:rsidP="00164318">
            <w:pPr>
              <w:jc w:val="center"/>
              <w:rPr>
                <w:color w:val="000000"/>
                <w:sz w:val="20"/>
                <w:szCs w:val="20"/>
              </w:rPr>
            </w:pPr>
            <w:r w:rsidRPr="00E65AA7">
              <w:rPr>
                <w:color w:val="000000"/>
                <w:sz w:val="20"/>
                <w:szCs w:val="20"/>
              </w:rPr>
              <w:t>(0.28)</w:t>
            </w:r>
          </w:p>
        </w:tc>
        <w:tc>
          <w:tcPr>
            <w:tcW w:w="385" w:type="pct"/>
            <w:tcBorders>
              <w:top w:val="nil"/>
              <w:left w:val="nil"/>
              <w:right w:val="nil"/>
            </w:tcBorders>
            <w:shd w:val="clear" w:color="auto" w:fill="auto"/>
            <w:noWrap/>
            <w:vAlign w:val="center"/>
            <w:hideMark/>
          </w:tcPr>
          <w:p w14:paraId="2E1BA6D1" w14:textId="280143E8" w:rsidR="00BC6E7D" w:rsidRPr="00E65AA7" w:rsidRDefault="00BC6E7D" w:rsidP="00164318">
            <w:pPr>
              <w:jc w:val="center"/>
              <w:rPr>
                <w:color w:val="000000"/>
                <w:sz w:val="20"/>
                <w:szCs w:val="20"/>
              </w:rPr>
            </w:pPr>
            <w:r w:rsidRPr="00E65AA7">
              <w:rPr>
                <w:color w:val="000000"/>
                <w:sz w:val="20"/>
                <w:szCs w:val="20"/>
              </w:rPr>
              <w:t>(0.1</w:t>
            </w:r>
            <w:r w:rsidR="00971E9B">
              <w:rPr>
                <w:color w:val="000000"/>
                <w:sz w:val="20"/>
                <w:szCs w:val="20"/>
              </w:rPr>
              <w:t>0</w:t>
            </w:r>
            <w:r w:rsidRPr="00E65AA7">
              <w:rPr>
                <w:color w:val="000000"/>
                <w:sz w:val="20"/>
                <w:szCs w:val="20"/>
              </w:rPr>
              <w:t>)</w:t>
            </w:r>
          </w:p>
        </w:tc>
        <w:tc>
          <w:tcPr>
            <w:tcW w:w="385" w:type="pct"/>
            <w:tcBorders>
              <w:top w:val="nil"/>
              <w:left w:val="nil"/>
              <w:right w:val="nil"/>
            </w:tcBorders>
            <w:shd w:val="clear" w:color="auto" w:fill="auto"/>
            <w:noWrap/>
            <w:vAlign w:val="center"/>
            <w:hideMark/>
          </w:tcPr>
          <w:p w14:paraId="75DB75B7" w14:textId="77777777" w:rsidR="00BC6E7D" w:rsidRPr="00E65AA7" w:rsidRDefault="00BC6E7D" w:rsidP="00164318">
            <w:pPr>
              <w:jc w:val="center"/>
              <w:rPr>
                <w:color w:val="000000"/>
                <w:sz w:val="20"/>
                <w:szCs w:val="20"/>
              </w:rPr>
            </w:pPr>
            <w:r w:rsidRPr="00E65AA7">
              <w:rPr>
                <w:color w:val="000000"/>
                <w:sz w:val="20"/>
                <w:szCs w:val="20"/>
              </w:rPr>
              <w:t>(-0.37)</w:t>
            </w:r>
          </w:p>
        </w:tc>
        <w:tc>
          <w:tcPr>
            <w:tcW w:w="385" w:type="pct"/>
            <w:tcBorders>
              <w:top w:val="nil"/>
              <w:left w:val="nil"/>
              <w:right w:val="nil"/>
            </w:tcBorders>
            <w:shd w:val="clear" w:color="auto" w:fill="auto"/>
            <w:noWrap/>
            <w:vAlign w:val="center"/>
            <w:hideMark/>
          </w:tcPr>
          <w:p w14:paraId="7F3FECDB" w14:textId="77777777" w:rsidR="00BC6E7D" w:rsidRPr="00E65AA7" w:rsidRDefault="00BC6E7D" w:rsidP="00164318">
            <w:pPr>
              <w:jc w:val="center"/>
              <w:rPr>
                <w:color w:val="000000"/>
                <w:sz w:val="20"/>
                <w:szCs w:val="20"/>
              </w:rPr>
            </w:pPr>
            <w:r w:rsidRPr="00E65AA7">
              <w:rPr>
                <w:color w:val="000000"/>
                <w:sz w:val="20"/>
                <w:szCs w:val="20"/>
              </w:rPr>
              <w:t>(-0.82)</w:t>
            </w:r>
          </w:p>
        </w:tc>
        <w:tc>
          <w:tcPr>
            <w:tcW w:w="385" w:type="pct"/>
            <w:tcBorders>
              <w:top w:val="nil"/>
              <w:left w:val="nil"/>
              <w:right w:val="nil"/>
            </w:tcBorders>
            <w:shd w:val="clear" w:color="auto" w:fill="auto"/>
            <w:noWrap/>
            <w:vAlign w:val="center"/>
            <w:hideMark/>
          </w:tcPr>
          <w:p w14:paraId="526E85AB" w14:textId="77777777" w:rsidR="00BC6E7D" w:rsidRPr="00E65AA7" w:rsidRDefault="00BC6E7D" w:rsidP="00164318">
            <w:pPr>
              <w:jc w:val="center"/>
              <w:rPr>
                <w:color w:val="000000"/>
                <w:sz w:val="20"/>
                <w:szCs w:val="20"/>
              </w:rPr>
            </w:pPr>
            <w:r w:rsidRPr="00E65AA7">
              <w:rPr>
                <w:color w:val="000000"/>
                <w:sz w:val="20"/>
                <w:szCs w:val="20"/>
              </w:rPr>
              <w:t>(-0.80)</w:t>
            </w:r>
          </w:p>
        </w:tc>
        <w:tc>
          <w:tcPr>
            <w:tcW w:w="385" w:type="pct"/>
            <w:tcBorders>
              <w:top w:val="nil"/>
              <w:left w:val="nil"/>
              <w:right w:val="nil"/>
            </w:tcBorders>
            <w:shd w:val="clear" w:color="auto" w:fill="auto"/>
            <w:noWrap/>
            <w:vAlign w:val="center"/>
            <w:hideMark/>
          </w:tcPr>
          <w:p w14:paraId="750AD18D" w14:textId="77777777" w:rsidR="00BC6E7D" w:rsidRPr="00E65AA7" w:rsidRDefault="00BC6E7D" w:rsidP="00164318">
            <w:pPr>
              <w:jc w:val="center"/>
              <w:rPr>
                <w:color w:val="000000"/>
                <w:sz w:val="20"/>
                <w:szCs w:val="20"/>
              </w:rPr>
            </w:pPr>
            <w:r w:rsidRPr="00E65AA7">
              <w:rPr>
                <w:color w:val="000000"/>
                <w:sz w:val="20"/>
                <w:szCs w:val="20"/>
              </w:rPr>
              <w:t>(-0.89)</w:t>
            </w:r>
          </w:p>
        </w:tc>
        <w:tc>
          <w:tcPr>
            <w:tcW w:w="385" w:type="pct"/>
            <w:tcBorders>
              <w:top w:val="nil"/>
              <w:left w:val="nil"/>
              <w:right w:val="nil"/>
            </w:tcBorders>
            <w:shd w:val="clear" w:color="auto" w:fill="auto"/>
            <w:noWrap/>
            <w:vAlign w:val="center"/>
            <w:hideMark/>
          </w:tcPr>
          <w:p w14:paraId="3B1605A9" w14:textId="77777777" w:rsidR="00BC6E7D" w:rsidRPr="00E65AA7" w:rsidRDefault="00BC6E7D" w:rsidP="00164318">
            <w:pPr>
              <w:jc w:val="center"/>
              <w:rPr>
                <w:color w:val="000000"/>
                <w:sz w:val="20"/>
                <w:szCs w:val="20"/>
              </w:rPr>
            </w:pPr>
            <w:r w:rsidRPr="00E65AA7">
              <w:rPr>
                <w:color w:val="000000"/>
                <w:sz w:val="20"/>
                <w:szCs w:val="20"/>
              </w:rPr>
              <w:t>(-1.15)</w:t>
            </w:r>
          </w:p>
        </w:tc>
        <w:tc>
          <w:tcPr>
            <w:tcW w:w="385" w:type="pct"/>
            <w:tcBorders>
              <w:top w:val="nil"/>
              <w:left w:val="nil"/>
              <w:right w:val="nil"/>
            </w:tcBorders>
            <w:shd w:val="clear" w:color="auto" w:fill="auto"/>
            <w:noWrap/>
            <w:vAlign w:val="center"/>
            <w:hideMark/>
          </w:tcPr>
          <w:p w14:paraId="56E3EC8D" w14:textId="77777777" w:rsidR="00BC6E7D" w:rsidRPr="00E65AA7" w:rsidRDefault="00BC6E7D" w:rsidP="00164318">
            <w:pPr>
              <w:jc w:val="center"/>
              <w:rPr>
                <w:color w:val="000000"/>
                <w:sz w:val="20"/>
                <w:szCs w:val="20"/>
              </w:rPr>
            </w:pPr>
            <w:r w:rsidRPr="00E65AA7">
              <w:rPr>
                <w:color w:val="000000"/>
                <w:sz w:val="20"/>
                <w:szCs w:val="20"/>
              </w:rPr>
              <w:t>(-1.69)</w:t>
            </w:r>
          </w:p>
        </w:tc>
        <w:tc>
          <w:tcPr>
            <w:tcW w:w="385" w:type="pct"/>
            <w:tcBorders>
              <w:top w:val="nil"/>
              <w:left w:val="nil"/>
              <w:right w:val="nil"/>
            </w:tcBorders>
            <w:shd w:val="clear" w:color="auto" w:fill="auto"/>
            <w:noWrap/>
            <w:vAlign w:val="center"/>
            <w:hideMark/>
          </w:tcPr>
          <w:p w14:paraId="00F6B3FE" w14:textId="77777777" w:rsidR="00BC6E7D" w:rsidRPr="00E65AA7" w:rsidRDefault="00BC6E7D" w:rsidP="00164318">
            <w:pPr>
              <w:jc w:val="center"/>
              <w:rPr>
                <w:color w:val="000000"/>
                <w:sz w:val="20"/>
                <w:szCs w:val="20"/>
              </w:rPr>
            </w:pPr>
            <w:r w:rsidRPr="00E65AA7">
              <w:rPr>
                <w:color w:val="000000"/>
                <w:sz w:val="20"/>
                <w:szCs w:val="20"/>
              </w:rPr>
              <w:t>(-2.14)</w:t>
            </w:r>
          </w:p>
        </w:tc>
        <w:tc>
          <w:tcPr>
            <w:tcW w:w="385" w:type="pct"/>
            <w:tcBorders>
              <w:top w:val="nil"/>
              <w:left w:val="nil"/>
              <w:right w:val="nil"/>
            </w:tcBorders>
            <w:shd w:val="clear" w:color="auto" w:fill="auto"/>
            <w:noWrap/>
            <w:vAlign w:val="center"/>
            <w:hideMark/>
          </w:tcPr>
          <w:p w14:paraId="1363D7CA" w14:textId="77777777" w:rsidR="00BC6E7D" w:rsidRPr="00E65AA7" w:rsidRDefault="00BC6E7D" w:rsidP="00164318">
            <w:pPr>
              <w:jc w:val="center"/>
              <w:rPr>
                <w:color w:val="000000"/>
                <w:sz w:val="20"/>
                <w:szCs w:val="20"/>
              </w:rPr>
            </w:pPr>
            <w:r w:rsidRPr="00E65AA7">
              <w:rPr>
                <w:color w:val="000000"/>
                <w:sz w:val="20"/>
                <w:szCs w:val="20"/>
              </w:rPr>
              <w:t>(-3.18)</w:t>
            </w:r>
          </w:p>
        </w:tc>
        <w:tc>
          <w:tcPr>
            <w:tcW w:w="410" w:type="pct"/>
            <w:tcBorders>
              <w:top w:val="nil"/>
              <w:left w:val="nil"/>
              <w:right w:val="nil"/>
            </w:tcBorders>
            <w:shd w:val="clear" w:color="auto" w:fill="auto"/>
            <w:noWrap/>
            <w:vAlign w:val="center"/>
            <w:hideMark/>
          </w:tcPr>
          <w:p w14:paraId="785A22EB"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3.94)</w:t>
            </w:r>
          </w:p>
        </w:tc>
      </w:tr>
      <w:tr w:rsidR="00BC6E7D" w:rsidRPr="00E65AA7" w14:paraId="2EEC15F8" w14:textId="77777777" w:rsidTr="00BC6E7D">
        <w:trPr>
          <w:trHeight w:hRule="exact" w:val="255"/>
        </w:trPr>
        <w:tc>
          <w:tcPr>
            <w:tcW w:w="483" w:type="pct"/>
            <w:vMerge w:val="restart"/>
            <w:tcBorders>
              <w:top w:val="nil"/>
              <w:left w:val="nil"/>
              <w:right w:val="nil"/>
            </w:tcBorders>
            <w:vAlign w:val="center"/>
          </w:tcPr>
          <w:p w14:paraId="095DF0E5"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57" w:type="pct"/>
            <w:vMerge w:val="restart"/>
            <w:tcBorders>
              <w:top w:val="nil"/>
              <w:left w:val="nil"/>
              <w:right w:val="nil"/>
            </w:tcBorders>
            <w:vAlign w:val="center"/>
          </w:tcPr>
          <w:p w14:paraId="73EF45AC"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40</w:t>
            </w:r>
          </w:p>
        </w:tc>
        <w:tc>
          <w:tcPr>
            <w:tcW w:w="385" w:type="pct"/>
            <w:tcBorders>
              <w:top w:val="nil"/>
              <w:left w:val="nil"/>
              <w:right w:val="nil"/>
            </w:tcBorders>
            <w:shd w:val="clear" w:color="auto" w:fill="auto"/>
            <w:noWrap/>
            <w:vAlign w:val="center"/>
          </w:tcPr>
          <w:p w14:paraId="3D50D870" w14:textId="77777777" w:rsidR="00BC6E7D" w:rsidRPr="00E65AA7" w:rsidRDefault="00BC6E7D" w:rsidP="00164318">
            <w:pPr>
              <w:jc w:val="center"/>
              <w:rPr>
                <w:color w:val="000000"/>
                <w:sz w:val="20"/>
                <w:szCs w:val="20"/>
              </w:rPr>
            </w:pPr>
            <w:r w:rsidRPr="00E65AA7">
              <w:rPr>
                <w:color w:val="000000"/>
                <w:sz w:val="20"/>
                <w:szCs w:val="20"/>
              </w:rPr>
              <w:t>1.33</w:t>
            </w:r>
          </w:p>
        </w:tc>
        <w:tc>
          <w:tcPr>
            <w:tcW w:w="385" w:type="pct"/>
            <w:tcBorders>
              <w:top w:val="nil"/>
              <w:left w:val="nil"/>
              <w:right w:val="nil"/>
            </w:tcBorders>
            <w:shd w:val="clear" w:color="auto" w:fill="auto"/>
            <w:noWrap/>
            <w:vAlign w:val="center"/>
          </w:tcPr>
          <w:p w14:paraId="618C0B64" w14:textId="77777777" w:rsidR="00BC6E7D" w:rsidRPr="00E65AA7" w:rsidRDefault="00BC6E7D" w:rsidP="00164318">
            <w:pPr>
              <w:jc w:val="center"/>
              <w:rPr>
                <w:color w:val="000000"/>
                <w:sz w:val="20"/>
                <w:szCs w:val="20"/>
              </w:rPr>
            </w:pPr>
            <w:r w:rsidRPr="00E65AA7">
              <w:rPr>
                <w:color w:val="000000"/>
                <w:sz w:val="20"/>
                <w:szCs w:val="20"/>
              </w:rPr>
              <w:t>1.42</w:t>
            </w:r>
          </w:p>
        </w:tc>
        <w:tc>
          <w:tcPr>
            <w:tcW w:w="385" w:type="pct"/>
            <w:tcBorders>
              <w:top w:val="nil"/>
              <w:left w:val="nil"/>
              <w:right w:val="nil"/>
            </w:tcBorders>
            <w:shd w:val="clear" w:color="auto" w:fill="auto"/>
            <w:noWrap/>
            <w:vAlign w:val="center"/>
          </w:tcPr>
          <w:p w14:paraId="549DD8D6" w14:textId="77777777" w:rsidR="00BC6E7D" w:rsidRPr="00E65AA7" w:rsidRDefault="00BC6E7D" w:rsidP="00164318">
            <w:pPr>
              <w:jc w:val="center"/>
              <w:rPr>
                <w:color w:val="000000"/>
                <w:sz w:val="20"/>
                <w:szCs w:val="20"/>
              </w:rPr>
            </w:pPr>
            <w:r w:rsidRPr="00E65AA7">
              <w:rPr>
                <w:color w:val="000000"/>
                <w:sz w:val="20"/>
                <w:szCs w:val="20"/>
              </w:rPr>
              <w:t>1.36</w:t>
            </w:r>
          </w:p>
        </w:tc>
        <w:tc>
          <w:tcPr>
            <w:tcW w:w="385" w:type="pct"/>
            <w:tcBorders>
              <w:top w:val="nil"/>
              <w:left w:val="nil"/>
              <w:right w:val="nil"/>
            </w:tcBorders>
            <w:shd w:val="clear" w:color="auto" w:fill="auto"/>
            <w:noWrap/>
            <w:vAlign w:val="center"/>
          </w:tcPr>
          <w:p w14:paraId="46947DF5" w14:textId="77777777" w:rsidR="00BC6E7D" w:rsidRPr="00E65AA7" w:rsidRDefault="00BC6E7D" w:rsidP="00164318">
            <w:pPr>
              <w:jc w:val="center"/>
              <w:rPr>
                <w:color w:val="000000"/>
                <w:sz w:val="20"/>
                <w:szCs w:val="20"/>
              </w:rPr>
            </w:pPr>
            <w:r w:rsidRPr="00E65AA7">
              <w:rPr>
                <w:color w:val="000000"/>
                <w:sz w:val="20"/>
                <w:szCs w:val="20"/>
              </w:rPr>
              <w:t>1.44</w:t>
            </w:r>
          </w:p>
        </w:tc>
        <w:tc>
          <w:tcPr>
            <w:tcW w:w="385" w:type="pct"/>
            <w:tcBorders>
              <w:top w:val="nil"/>
              <w:left w:val="nil"/>
              <w:right w:val="nil"/>
            </w:tcBorders>
            <w:shd w:val="clear" w:color="auto" w:fill="auto"/>
            <w:noWrap/>
            <w:vAlign w:val="center"/>
          </w:tcPr>
          <w:p w14:paraId="49B0EF47" w14:textId="77777777" w:rsidR="00BC6E7D" w:rsidRPr="00E65AA7" w:rsidRDefault="00BC6E7D" w:rsidP="00164318">
            <w:pPr>
              <w:jc w:val="center"/>
              <w:rPr>
                <w:color w:val="000000"/>
                <w:sz w:val="20"/>
                <w:szCs w:val="20"/>
              </w:rPr>
            </w:pPr>
            <w:r w:rsidRPr="00E65AA7">
              <w:rPr>
                <w:color w:val="000000"/>
                <w:sz w:val="20"/>
                <w:szCs w:val="20"/>
              </w:rPr>
              <w:t>1.64</w:t>
            </w:r>
          </w:p>
        </w:tc>
        <w:tc>
          <w:tcPr>
            <w:tcW w:w="385" w:type="pct"/>
            <w:tcBorders>
              <w:top w:val="nil"/>
              <w:left w:val="nil"/>
              <w:right w:val="nil"/>
            </w:tcBorders>
            <w:shd w:val="clear" w:color="auto" w:fill="auto"/>
            <w:noWrap/>
            <w:vAlign w:val="center"/>
          </w:tcPr>
          <w:p w14:paraId="23D85761" w14:textId="77777777" w:rsidR="00BC6E7D" w:rsidRPr="00E65AA7" w:rsidRDefault="00BC6E7D" w:rsidP="00164318">
            <w:pPr>
              <w:jc w:val="center"/>
              <w:rPr>
                <w:color w:val="000000"/>
                <w:sz w:val="20"/>
                <w:szCs w:val="20"/>
              </w:rPr>
            </w:pPr>
            <w:r w:rsidRPr="00E65AA7">
              <w:rPr>
                <w:color w:val="000000"/>
                <w:sz w:val="20"/>
                <w:szCs w:val="20"/>
              </w:rPr>
              <w:t>1.57</w:t>
            </w:r>
          </w:p>
        </w:tc>
        <w:tc>
          <w:tcPr>
            <w:tcW w:w="385" w:type="pct"/>
            <w:tcBorders>
              <w:top w:val="nil"/>
              <w:left w:val="nil"/>
              <w:right w:val="nil"/>
            </w:tcBorders>
            <w:shd w:val="clear" w:color="auto" w:fill="auto"/>
            <w:noWrap/>
            <w:vAlign w:val="center"/>
          </w:tcPr>
          <w:p w14:paraId="3D9CDCE2" w14:textId="77777777" w:rsidR="00BC6E7D" w:rsidRPr="00E65AA7" w:rsidRDefault="00BC6E7D" w:rsidP="00164318">
            <w:pPr>
              <w:jc w:val="center"/>
              <w:rPr>
                <w:color w:val="000000"/>
                <w:sz w:val="20"/>
                <w:szCs w:val="20"/>
              </w:rPr>
            </w:pPr>
            <w:r w:rsidRPr="00E65AA7">
              <w:rPr>
                <w:color w:val="000000"/>
                <w:sz w:val="20"/>
                <w:szCs w:val="20"/>
              </w:rPr>
              <w:t>1.66</w:t>
            </w:r>
          </w:p>
        </w:tc>
        <w:tc>
          <w:tcPr>
            <w:tcW w:w="385" w:type="pct"/>
            <w:tcBorders>
              <w:top w:val="nil"/>
              <w:left w:val="nil"/>
              <w:right w:val="nil"/>
            </w:tcBorders>
            <w:shd w:val="clear" w:color="auto" w:fill="auto"/>
            <w:noWrap/>
            <w:vAlign w:val="center"/>
          </w:tcPr>
          <w:p w14:paraId="45D2B03B" w14:textId="77777777" w:rsidR="00BC6E7D" w:rsidRPr="00E65AA7" w:rsidRDefault="00BC6E7D" w:rsidP="00164318">
            <w:pPr>
              <w:jc w:val="center"/>
              <w:rPr>
                <w:color w:val="000000"/>
                <w:sz w:val="20"/>
                <w:szCs w:val="20"/>
              </w:rPr>
            </w:pPr>
            <w:r w:rsidRPr="00E65AA7">
              <w:rPr>
                <w:color w:val="000000"/>
                <w:sz w:val="20"/>
                <w:szCs w:val="20"/>
              </w:rPr>
              <w:t>1.75</w:t>
            </w:r>
          </w:p>
        </w:tc>
        <w:tc>
          <w:tcPr>
            <w:tcW w:w="385" w:type="pct"/>
            <w:tcBorders>
              <w:top w:val="nil"/>
              <w:left w:val="nil"/>
              <w:right w:val="nil"/>
            </w:tcBorders>
            <w:shd w:val="clear" w:color="auto" w:fill="auto"/>
            <w:noWrap/>
            <w:vAlign w:val="center"/>
          </w:tcPr>
          <w:p w14:paraId="3EBF9103" w14:textId="77777777" w:rsidR="00BC6E7D" w:rsidRPr="00E65AA7" w:rsidRDefault="00BC6E7D" w:rsidP="00164318">
            <w:pPr>
              <w:jc w:val="center"/>
              <w:rPr>
                <w:color w:val="000000"/>
                <w:sz w:val="20"/>
                <w:szCs w:val="20"/>
              </w:rPr>
            </w:pPr>
            <w:r w:rsidRPr="00E65AA7">
              <w:rPr>
                <w:color w:val="000000"/>
                <w:sz w:val="20"/>
                <w:szCs w:val="20"/>
              </w:rPr>
              <w:t>2.17</w:t>
            </w:r>
          </w:p>
        </w:tc>
        <w:tc>
          <w:tcPr>
            <w:tcW w:w="385" w:type="pct"/>
            <w:tcBorders>
              <w:top w:val="nil"/>
              <w:left w:val="nil"/>
              <w:right w:val="nil"/>
            </w:tcBorders>
            <w:shd w:val="clear" w:color="auto" w:fill="auto"/>
            <w:noWrap/>
            <w:vAlign w:val="center"/>
          </w:tcPr>
          <w:p w14:paraId="562B082A" w14:textId="77777777" w:rsidR="00BC6E7D" w:rsidRPr="00E65AA7" w:rsidRDefault="00BC6E7D" w:rsidP="00164318">
            <w:pPr>
              <w:jc w:val="center"/>
              <w:rPr>
                <w:color w:val="000000"/>
                <w:sz w:val="20"/>
                <w:szCs w:val="20"/>
              </w:rPr>
            </w:pPr>
            <w:r w:rsidRPr="00E65AA7">
              <w:rPr>
                <w:color w:val="000000"/>
                <w:sz w:val="20"/>
                <w:szCs w:val="20"/>
              </w:rPr>
              <w:t>2.23</w:t>
            </w:r>
          </w:p>
        </w:tc>
        <w:tc>
          <w:tcPr>
            <w:tcW w:w="410" w:type="pct"/>
            <w:tcBorders>
              <w:top w:val="nil"/>
              <w:left w:val="nil"/>
              <w:right w:val="nil"/>
            </w:tcBorders>
            <w:shd w:val="clear" w:color="auto" w:fill="auto"/>
            <w:noWrap/>
            <w:vAlign w:val="center"/>
          </w:tcPr>
          <w:p w14:paraId="4BE5188F" w14:textId="77777777" w:rsidR="00BC6E7D" w:rsidRPr="00E65AA7" w:rsidRDefault="00BC6E7D" w:rsidP="00164318">
            <w:pPr>
              <w:jc w:val="center"/>
              <w:rPr>
                <w:color w:val="000000"/>
                <w:sz w:val="20"/>
                <w:szCs w:val="20"/>
              </w:rPr>
            </w:pPr>
            <w:r w:rsidRPr="00E65AA7">
              <w:rPr>
                <w:color w:val="000000"/>
                <w:sz w:val="20"/>
                <w:szCs w:val="20"/>
              </w:rPr>
              <w:t>0.90</w:t>
            </w:r>
          </w:p>
        </w:tc>
      </w:tr>
      <w:tr w:rsidR="00BC6E7D" w:rsidRPr="00E65AA7" w14:paraId="5BC3769C" w14:textId="77777777" w:rsidTr="00BC6E7D">
        <w:trPr>
          <w:trHeight w:hRule="exact" w:val="255"/>
        </w:trPr>
        <w:tc>
          <w:tcPr>
            <w:tcW w:w="483" w:type="pct"/>
            <w:vMerge/>
            <w:tcBorders>
              <w:left w:val="nil"/>
              <w:bottom w:val="single" w:sz="4" w:space="0" w:color="auto"/>
              <w:right w:val="nil"/>
            </w:tcBorders>
            <w:vAlign w:val="center"/>
          </w:tcPr>
          <w:p w14:paraId="321393C6" w14:textId="77777777" w:rsidR="00BC6E7D" w:rsidRPr="00E65AA7" w:rsidRDefault="00BC6E7D" w:rsidP="00164318">
            <w:pPr>
              <w:rPr>
                <w:rFonts w:eastAsia="Times New Roman"/>
                <w:color w:val="000000"/>
                <w:sz w:val="20"/>
                <w:szCs w:val="20"/>
                <w:lang w:eastAsia="en-MY"/>
              </w:rPr>
            </w:pPr>
          </w:p>
        </w:tc>
        <w:tc>
          <w:tcPr>
            <w:tcW w:w="257" w:type="pct"/>
            <w:vMerge/>
            <w:tcBorders>
              <w:left w:val="nil"/>
              <w:bottom w:val="single" w:sz="4" w:space="0" w:color="auto"/>
              <w:right w:val="nil"/>
            </w:tcBorders>
          </w:tcPr>
          <w:p w14:paraId="3418F41D" w14:textId="77777777" w:rsidR="00BC6E7D" w:rsidRPr="00E65AA7" w:rsidRDefault="00BC6E7D" w:rsidP="00164318">
            <w:pPr>
              <w:jc w:val="center"/>
              <w:rPr>
                <w:rFonts w:eastAsia="Times New Roman"/>
                <w:sz w:val="20"/>
                <w:szCs w:val="20"/>
                <w:lang w:eastAsia="en-MY"/>
              </w:rPr>
            </w:pPr>
          </w:p>
        </w:tc>
        <w:tc>
          <w:tcPr>
            <w:tcW w:w="385" w:type="pct"/>
            <w:tcBorders>
              <w:left w:val="nil"/>
              <w:bottom w:val="single" w:sz="4" w:space="0" w:color="auto"/>
              <w:right w:val="nil"/>
            </w:tcBorders>
            <w:shd w:val="clear" w:color="auto" w:fill="auto"/>
            <w:noWrap/>
            <w:vAlign w:val="center"/>
          </w:tcPr>
          <w:p w14:paraId="3C59C691" w14:textId="77777777" w:rsidR="00BC6E7D" w:rsidRPr="00E65AA7" w:rsidRDefault="00BC6E7D" w:rsidP="00164318">
            <w:pPr>
              <w:jc w:val="center"/>
              <w:rPr>
                <w:color w:val="000000"/>
                <w:sz w:val="20"/>
                <w:szCs w:val="20"/>
              </w:rPr>
            </w:pPr>
            <w:r w:rsidRPr="00E65AA7">
              <w:rPr>
                <w:color w:val="000000"/>
                <w:sz w:val="20"/>
                <w:szCs w:val="20"/>
              </w:rPr>
              <w:t>(3.69)</w:t>
            </w:r>
          </w:p>
        </w:tc>
        <w:tc>
          <w:tcPr>
            <w:tcW w:w="385" w:type="pct"/>
            <w:tcBorders>
              <w:left w:val="nil"/>
              <w:bottom w:val="single" w:sz="4" w:space="0" w:color="auto"/>
              <w:right w:val="nil"/>
            </w:tcBorders>
            <w:shd w:val="clear" w:color="auto" w:fill="auto"/>
            <w:noWrap/>
            <w:vAlign w:val="center"/>
          </w:tcPr>
          <w:p w14:paraId="5B236DD5" w14:textId="77777777" w:rsidR="00BC6E7D" w:rsidRPr="00E65AA7" w:rsidRDefault="00BC6E7D" w:rsidP="00164318">
            <w:pPr>
              <w:jc w:val="center"/>
              <w:rPr>
                <w:color w:val="000000"/>
                <w:sz w:val="20"/>
                <w:szCs w:val="20"/>
              </w:rPr>
            </w:pPr>
            <w:r w:rsidRPr="00E65AA7">
              <w:rPr>
                <w:color w:val="000000"/>
                <w:sz w:val="20"/>
                <w:szCs w:val="20"/>
              </w:rPr>
              <w:t>(3.32)</w:t>
            </w:r>
          </w:p>
        </w:tc>
        <w:tc>
          <w:tcPr>
            <w:tcW w:w="385" w:type="pct"/>
            <w:tcBorders>
              <w:left w:val="nil"/>
              <w:bottom w:val="single" w:sz="4" w:space="0" w:color="auto"/>
              <w:right w:val="nil"/>
            </w:tcBorders>
            <w:shd w:val="clear" w:color="auto" w:fill="auto"/>
            <w:noWrap/>
            <w:vAlign w:val="center"/>
          </w:tcPr>
          <w:p w14:paraId="79397751" w14:textId="77777777" w:rsidR="00BC6E7D" w:rsidRPr="00E65AA7" w:rsidRDefault="00BC6E7D" w:rsidP="00164318">
            <w:pPr>
              <w:jc w:val="center"/>
              <w:rPr>
                <w:color w:val="000000"/>
                <w:sz w:val="20"/>
                <w:szCs w:val="20"/>
              </w:rPr>
            </w:pPr>
            <w:r w:rsidRPr="00E65AA7">
              <w:rPr>
                <w:color w:val="000000"/>
                <w:sz w:val="20"/>
                <w:szCs w:val="20"/>
              </w:rPr>
              <w:t>(2.88)</w:t>
            </w:r>
          </w:p>
        </w:tc>
        <w:tc>
          <w:tcPr>
            <w:tcW w:w="385" w:type="pct"/>
            <w:tcBorders>
              <w:left w:val="nil"/>
              <w:bottom w:val="single" w:sz="4" w:space="0" w:color="auto"/>
              <w:right w:val="nil"/>
            </w:tcBorders>
            <w:shd w:val="clear" w:color="auto" w:fill="auto"/>
            <w:noWrap/>
            <w:vAlign w:val="center"/>
          </w:tcPr>
          <w:p w14:paraId="2CA350B1" w14:textId="77777777" w:rsidR="00BC6E7D" w:rsidRPr="00E65AA7" w:rsidRDefault="00BC6E7D" w:rsidP="00164318">
            <w:pPr>
              <w:jc w:val="center"/>
              <w:rPr>
                <w:color w:val="000000"/>
                <w:sz w:val="20"/>
                <w:szCs w:val="20"/>
              </w:rPr>
            </w:pPr>
            <w:r w:rsidRPr="00E65AA7">
              <w:rPr>
                <w:color w:val="000000"/>
                <w:sz w:val="20"/>
                <w:szCs w:val="20"/>
              </w:rPr>
              <w:t>(2.63)</w:t>
            </w:r>
          </w:p>
        </w:tc>
        <w:tc>
          <w:tcPr>
            <w:tcW w:w="385" w:type="pct"/>
            <w:tcBorders>
              <w:left w:val="nil"/>
              <w:bottom w:val="single" w:sz="4" w:space="0" w:color="auto"/>
              <w:right w:val="nil"/>
            </w:tcBorders>
            <w:shd w:val="clear" w:color="auto" w:fill="auto"/>
            <w:noWrap/>
            <w:vAlign w:val="center"/>
          </w:tcPr>
          <w:p w14:paraId="105B704B" w14:textId="77777777" w:rsidR="00BC6E7D" w:rsidRPr="00E65AA7" w:rsidRDefault="00BC6E7D" w:rsidP="00164318">
            <w:pPr>
              <w:jc w:val="center"/>
              <w:rPr>
                <w:color w:val="000000"/>
                <w:sz w:val="20"/>
                <w:szCs w:val="20"/>
              </w:rPr>
            </w:pPr>
            <w:r w:rsidRPr="00E65AA7">
              <w:rPr>
                <w:color w:val="000000"/>
                <w:sz w:val="20"/>
                <w:szCs w:val="20"/>
              </w:rPr>
              <w:t>(2.82)</w:t>
            </w:r>
          </w:p>
        </w:tc>
        <w:tc>
          <w:tcPr>
            <w:tcW w:w="385" w:type="pct"/>
            <w:tcBorders>
              <w:left w:val="nil"/>
              <w:bottom w:val="single" w:sz="4" w:space="0" w:color="auto"/>
              <w:right w:val="nil"/>
            </w:tcBorders>
            <w:shd w:val="clear" w:color="auto" w:fill="auto"/>
            <w:noWrap/>
            <w:vAlign w:val="center"/>
          </w:tcPr>
          <w:p w14:paraId="1EEFA67E" w14:textId="77777777" w:rsidR="00BC6E7D" w:rsidRPr="00E65AA7" w:rsidRDefault="00BC6E7D" w:rsidP="00164318">
            <w:pPr>
              <w:jc w:val="center"/>
              <w:rPr>
                <w:color w:val="000000"/>
                <w:sz w:val="20"/>
                <w:szCs w:val="20"/>
              </w:rPr>
            </w:pPr>
            <w:r w:rsidRPr="00E65AA7">
              <w:rPr>
                <w:color w:val="000000"/>
                <w:sz w:val="20"/>
                <w:szCs w:val="20"/>
              </w:rPr>
              <w:t>(2.57)</w:t>
            </w:r>
          </w:p>
        </w:tc>
        <w:tc>
          <w:tcPr>
            <w:tcW w:w="385" w:type="pct"/>
            <w:tcBorders>
              <w:left w:val="nil"/>
              <w:bottom w:val="single" w:sz="4" w:space="0" w:color="auto"/>
              <w:right w:val="nil"/>
            </w:tcBorders>
            <w:shd w:val="clear" w:color="auto" w:fill="auto"/>
            <w:noWrap/>
            <w:vAlign w:val="center"/>
          </w:tcPr>
          <w:p w14:paraId="6AD300EB" w14:textId="77777777" w:rsidR="00BC6E7D" w:rsidRPr="00E65AA7" w:rsidRDefault="00BC6E7D" w:rsidP="00164318">
            <w:pPr>
              <w:jc w:val="center"/>
              <w:rPr>
                <w:color w:val="000000"/>
                <w:sz w:val="20"/>
                <w:szCs w:val="20"/>
              </w:rPr>
            </w:pPr>
            <w:r w:rsidRPr="00E65AA7">
              <w:rPr>
                <w:color w:val="000000"/>
                <w:sz w:val="20"/>
                <w:szCs w:val="20"/>
              </w:rPr>
              <w:t>(2.40)</w:t>
            </w:r>
          </w:p>
        </w:tc>
        <w:tc>
          <w:tcPr>
            <w:tcW w:w="385" w:type="pct"/>
            <w:tcBorders>
              <w:left w:val="nil"/>
              <w:bottom w:val="single" w:sz="4" w:space="0" w:color="auto"/>
              <w:right w:val="nil"/>
            </w:tcBorders>
            <w:shd w:val="clear" w:color="auto" w:fill="auto"/>
            <w:noWrap/>
            <w:vAlign w:val="center"/>
          </w:tcPr>
          <w:p w14:paraId="3BD72CB6" w14:textId="77777777" w:rsidR="00BC6E7D" w:rsidRPr="00E65AA7" w:rsidRDefault="00BC6E7D" w:rsidP="00164318">
            <w:pPr>
              <w:jc w:val="center"/>
              <w:rPr>
                <w:color w:val="000000"/>
                <w:sz w:val="20"/>
                <w:szCs w:val="20"/>
              </w:rPr>
            </w:pPr>
            <w:r w:rsidRPr="00E65AA7">
              <w:rPr>
                <w:color w:val="000000"/>
                <w:sz w:val="20"/>
                <w:szCs w:val="20"/>
              </w:rPr>
              <w:t>(2.29)</w:t>
            </w:r>
          </w:p>
        </w:tc>
        <w:tc>
          <w:tcPr>
            <w:tcW w:w="385" w:type="pct"/>
            <w:tcBorders>
              <w:left w:val="nil"/>
              <w:bottom w:val="single" w:sz="4" w:space="0" w:color="auto"/>
              <w:right w:val="nil"/>
            </w:tcBorders>
            <w:shd w:val="clear" w:color="auto" w:fill="auto"/>
            <w:noWrap/>
            <w:vAlign w:val="center"/>
          </w:tcPr>
          <w:p w14:paraId="48DB06FA" w14:textId="77777777" w:rsidR="00BC6E7D" w:rsidRPr="00E65AA7" w:rsidRDefault="00BC6E7D" w:rsidP="00164318">
            <w:pPr>
              <w:jc w:val="center"/>
              <w:rPr>
                <w:color w:val="000000"/>
                <w:sz w:val="20"/>
                <w:szCs w:val="20"/>
              </w:rPr>
            </w:pPr>
            <w:r w:rsidRPr="00E65AA7">
              <w:rPr>
                <w:color w:val="000000"/>
                <w:sz w:val="20"/>
                <w:szCs w:val="20"/>
              </w:rPr>
              <w:t>(2.40)</w:t>
            </w:r>
          </w:p>
        </w:tc>
        <w:tc>
          <w:tcPr>
            <w:tcW w:w="385" w:type="pct"/>
            <w:tcBorders>
              <w:left w:val="nil"/>
              <w:bottom w:val="single" w:sz="4" w:space="0" w:color="auto"/>
              <w:right w:val="nil"/>
            </w:tcBorders>
            <w:shd w:val="clear" w:color="auto" w:fill="auto"/>
            <w:noWrap/>
            <w:vAlign w:val="center"/>
          </w:tcPr>
          <w:p w14:paraId="15A77BE4" w14:textId="77777777" w:rsidR="00BC6E7D" w:rsidRPr="00E65AA7" w:rsidRDefault="00BC6E7D" w:rsidP="00164318">
            <w:pPr>
              <w:jc w:val="center"/>
              <w:rPr>
                <w:color w:val="000000"/>
                <w:sz w:val="20"/>
                <w:szCs w:val="20"/>
              </w:rPr>
            </w:pPr>
            <w:r w:rsidRPr="00E65AA7">
              <w:rPr>
                <w:color w:val="000000"/>
                <w:sz w:val="20"/>
                <w:szCs w:val="20"/>
              </w:rPr>
              <w:t>(1.84)</w:t>
            </w:r>
          </w:p>
        </w:tc>
        <w:tc>
          <w:tcPr>
            <w:tcW w:w="410" w:type="pct"/>
            <w:tcBorders>
              <w:left w:val="nil"/>
              <w:bottom w:val="single" w:sz="4" w:space="0" w:color="auto"/>
              <w:right w:val="nil"/>
            </w:tcBorders>
            <w:shd w:val="clear" w:color="auto" w:fill="auto"/>
            <w:noWrap/>
            <w:vAlign w:val="center"/>
          </w:tcPr>
          <w:p w14:paraId="55488FDA"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0.87)</w:t>
            </w:r>
          </w:p>
        </w:tc>
      </w:tr>
      <w:tr w:rsidR="00BC6E7D" w:rsidRPr="00E65AA7" w14:paraId="3B1A4C62" w14:textId="77777777" w:rsidTr="00BC6E7D">
        <w:trPr>
          <w:trHeight w:hRule="exact" w:val="255"/>
        </w:trPr>
        <w:tc>
          <w:tcPr>
            <w:tcW w:w="5000" w:type="pct"/>
            <w:gridSpan w:val="13"/>
            <w:tcBorders>
              <w:left w:val="nil"/>
              <w:bottom w:val="single" w:sz="4" w:space="0" w:color="auto"/>
              <w:right w:val="nil"/>
            </w:tcBorders>
            <w:vAlign w:val="center"/>
          </w:tcPr>
          <w:p w14:paraId="497225A0" w14:textId="3DCF035B" w:rsidR="00BC6E7D" w:rsidRDefault="00EA669D" w:rsidP="00164318">
            <w:pPr>
              <w:jc w:val="center"/>
              <w:rPr>
                <w:color w:val="000000"/>
                <w:sz w:val="20"/>
                <w:szCs w:val="20"/>
              </w:rPr>
            </w:pPr>
            <w:r>
              <w:rPr>
                <w:rFonts w:eastAsia="Times New Roman"/>
                <w:b/>
                <w:bCs/>
                <w:color w:val="000000"/>
                <w:sz w:val="20"/>
                <w:szCs w:val="20"/>
                <w:lang w:eastAsia="en-MY"/>
              </w:rPr>
              <w:t xml:space="preserve">Panel B: </w:t>
            </w:r>
            <w:r w:rsidR="00BC6E7D">
              <w:rPr>
                <w:rFonts w:eastAsia="Times New Roman" w:hint="eastAsia"/>
                <w:b/>
                <w:bCs/>
                <w:color w:val="000000"/>
                <w:sz w:val="20"/>
                <w:szCs w:val="20"/>
                <w:lang w:eastAsia="en-MY"/>
              </w:rPr>
              <w:t>▲PC</w:t>
            </w:r>
          </w:p>
        </w:tc>
      </w:tr>
      <w:tr w:rsidR="00BC6E7D" w:rsidRPr="00E65AA7" w14:paraId="36EE88A4" w14:textId="77777777" w:rsidTr="00BC6E7D">
        <w:trPr>
          <w:trHeight w:hRule="exact" w:val="255"/>
        </w:trPr>
        <w:tc>
          <w:tcPr>
            <w:tcW w:w="483" w:type="pct"/>
            <w:vMerge w:val="restart"/>
            <w:tcBorders>
              <w:top w:val="single" w:sz="4" w:space="0" w:color="auto"/>
              <w:left w:val="nil"/>
              <w:bottom w:val="nil"/>
              <w:right w:val="nil"/>
            </w:tcBorders>
            <w:shd w:val="clear" w:color="auto" w:fill="auto"/>
            <w:vAlign w:val="center"/>
            <w:hideMark/>
          </w:tcPr>
          <w:p w14:paraId="74AA2565"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7" w:type="pct"/>
            <w:vMerge w:val="restart"/>
            <w:tcBorders>
              <w:top w:val="single" w:sz="4" w:space="0" w:color="auto"/>
              <w:left w:val="nil"/>
              <w:right w:val="nil"/>
            </w:tcBorders>
            <w:vAlign w:val="center"/>
          </w:tcPr>
          <w:p w14:paraId="3E699505"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85</w:t>
            </w:r>
          </w:p>
        </w:tc>
        <w:tc>
          <w:tcPr>
            <w:tcW w:w="385" w:type="pct"/>
            <w:tcBorders>
              <w:top w:val="single" w:sz="4" w:space="0" w:color="auto"/>
              <w:left w:val="nil"/>
              <w:bottom w:val="nil"/>
              <w:right w:val="nil"/>
            </w:tcBorders>
            <w:shd w:val="clear" w:color="auto" w:fill="auto"/>
            <w:noWrap/>
            <w:vAlign w:val="center"/>
            <w:hideMark/>
          </w:tcPr>
          <w:p w14:paraId="7386A812" w14:textId="77777777" w:rsidR="00BC6E7D" w:rsidRPr="00E65AA7" w:rsidRDefault="00BC6E7D" w:rsidP="00164318">
            <w:pPr>
              <w:jc w:val="center"/>
              <w:rPr>
                <w:color w:val="000000"/>
                <w:sz w:val="20"/>
                <w:szCs w:val="20"/>
              </w:rPr>
            </w:pPr>
            <w:r w:rsidRPr="00E65AA7">
              <w:rPr>
                <w:color w:val="000000"/>
                <w:sz w:val="20"/>
                <w:szCs w:val="20"/>
              </w:rPr>
              <w:t>2.01</w:t>
            </w:r>
          </w:p>
        </w:tc>
        <w:tc>
          <w:tcPr>
            <w:tcW w:w="385" w:type="pct"/>
            <w:tcBorders>
              <w:top w:val="single" w:sz="4" w:space="0" w:color="auto"/>
              <w:left w:val="nil"/>
              <w:bottom w:val="nil"/>
              <w:right w:val="nil"/>
            </w:tcBorders>
            <w:shd w:val="clear" w:color="auto" w:fill="auto"/>
            <w:noWrap/>
            <w:vAlign w:val="center"/>
            <w:hideMark/>
          </w:tcPr>
          <w:p w14:paraId="0FEAB0C7" w14:textId="77777777" w:rsidR="00BC6E7D" w:rsidRPr="00E65AA7" w:rsidRDefault="00BC6E7D" w:rsidP="00164318">
            <w:pPr>
              <w:jc w:val="center"/>
              <w:rPr>
                <w:color w:val="000000"/>
                <w:sz w:val="20"/>
                <w:szCs w:val="20"/>
              </w:rPr>
            </w:pPr>
            <w:r w:rsidRPr="00E65AA7">
              <w:rPr>
                <w:color w:val="000000"/>
                <w:sz w:val="20"/>
                <w:szCs w:val="20"/>
              </w:rPr>
              <w:t>2.42</w:t>
            </w:r>
          </w:p>
        </w:tc>
        <w:tc>
          <w:tcPr>
            <w:tcW w:w="385" w:type="pct"/>
            <w:tcBorders>
              <w:top w:val="single" w:sz="4" w:space="0" w:color="auto"/>
              <w:left w:val="nil"/>
              <w:bottom w:val="nil"/>
              <w:right w:val="nil"/>
            </w:tcBorders>
            <w:shd w:val="clear" w:color="auto" w:fill="auto"/>
            <w:noWrap/>
            <w:vAlign w:val="center"/>
            <w:hideMark/>
          </w:tcPr>
          <w:p w14:paraId="398C8E0C" w14:textId="77777777" w:rsidR="00BC6E7D" w:rsidRPr="00E65AA7" w:rsidRDefault="00BC6E7D" w:rsidP="00164318">
            <w:pPr>
              <w:jc w:val="center"/>
              <w:rPr>
                <w:color w:val="000000"/>
                <w:sz w:val="20"/>
                <w:szCs w:val="20"/>
              </w:rPr>
            </w:pPr>
            <w:r w:rsidRPr="00E65AA7">
              <w:rPr>
                <w:color w:val="000000"/>
                <w:sz w:val="20"/>
                <w:szCs w:val="20"/>
              </w:rPr>
              <w:t>2.64</w:t>
            </w:r>
          </w:p>
        </w:tc>
        <w:tc>
          <w:tcPr>
            <w:tcW w:w="385" w:type="pct"/>
            <w:tcBorders>
              <w:top w:val="single" w:sz="4" w:space="0" w:color="auto"/>
              <w:left w:val="nil"/>
              <w:bottom w:val="nil"/>
              <w:right w:val="nil"/>
            </w:tcBorders>
            <w:shd w:val="clear" w:color="auto" w:fill="auto"/>
            <w:noWrap/>
            <w:vAlign w:val="center"/>
            <w:hideMark/>
          </w:tcPr>
          <w:p w14:paraId="60322E56" w14:textId="77777777" w:rsidR="00BC6E7D" w:rsidRPr="00E65AA7" w:rsidRDefault="00BC6E7D" w:rsidP="00164318">
            <w:pPr>
              <w:jc w:val="center"/>
              <w:rPr>
                <w:color w:val="000000"/>
                <w:sz w:val="20"/>
                <w:szCs w:val="20"/>
              </w:rPr>
            </w:pPr>
            <w:r w:rsidRPr="00E65AA7">
              <w:rPr>
                <w:color w:val="000000"/>
                <w:sz w:val="20"/>
                <w:szCs w:val="20"/>
              </w:rPr>
              <w:t>2.98</w:t>
            </w:r>
          </w:p>
        </w:tc>
        <w:tc>
          <w:tcPr>
            <w:tcW w:w="385" w:type="pct"/>
            <w:tcBorders>
              <w:top w:val="single" w:sz="4" w:space="0" w:color="auto"/>
              <w:left w:val="nil"/>
              <w:bottom w:val="nil"/>
              <w:right w:val="nil"/>
            </w:tcBorders>
            <w:shd w:val="clear" w:color="auto" w:fill="auto"/>
            <w:noWrap/>
            <w:vAlign w:val="center"/>
            <w:hideMark/>
          </w:tcPr>
          <w:p w14:paraId="00287A21" w14:textId="77777777" w:rsidR="00BC6E7D" w:rsidRPr="00E65AA7" w:rsidRDefault="00BC6E7D" w:rsidP="00164318">
            <w:pPr>
              <w:jc w:val="center"/>
              <w:rPr>
                <w:color w:val="000000"/>
                <w:sz w:val="20"/>
                <w:szCs w:val="20"/>
              </w:rPr>
            </w:pPr>
            <w:r w:rsidRPr="00E65AA7">
              <w:rPr>
                <w:color w:val="000000"/>
                <w:sz w:val="20"/>
                <w:szCs w:val="20"/>
              </w:rPr>
              <w:t>3.28</w:t>
            </w:r>
          </w:p>
        </w:tc>
        <w:tc>
          <w:tcPr>
            <w:tcW w:w="385" w:type="pct"/>
            <w:tcBorders>
              <w:top w:val="single" w:sz="4" w:space="0" w:color="auto"/>
              <w:left w:val="nil"/>
              <w:bottom w:val="nil"/>
              <w:right w:val="nil"/>
            </w:tcBorders>
            <w:shd w:val="clear" w:color="auto" w:fill="auto"/>
            <w:noWrap/>
            <w:vAlign w:val="center"/>
            <w:hideMark/>
          </w:tcPr>
          <w:p w14:paraId="2BE1F225" w14:textId="77777777" w:rsidR="00BC6E7D" w:rsidRPr="00E65AA7" w:rsidRDefault="00BC6E7D" w:rsidP="00164318">
            <w:pPr>
              <w:jc w:val="center"/>
              <w:rPr>
                <w:color w:val="000000"/>
                <w:sz w:val="20"/>
                <w:szCs w:val="20"/>
              </w:rPr>
            </w:pPr>
            <w:r w:rsidRPr="00E65AA7">
              <w:rPr>
                <w:color w:val="000000"/>
                <w:sz w:val="20"/>
                <w:szCs w:val="20"/>
              </w:rPr>
              <w:t>3.26</w:t>
            </w:r>
          </w:p>
        </w:tc>
        <w:tc>
          <w:tcPr>
            <w:tcW w:w="385" w:type="pct"/>
            <w:tcBorders>
              <w:top w:val="single" w:sz="4" w:space="0" w:color="auto"/>
              <w:left w:val="nil"/>
              <w:bottom w:val="nil"/>
              <w:right w:val="nil"/>
            </w:tcBorders>
            <w:shd w:val="clear" w:color="auto" w:fill="auto"/>
            <w:noWrap/>
            <w:vAlign w:val="center"/>
            <w:hideMark/>
          </w:tcPr>
          <w:p w14:paraId="16134B17" w14:textId="77777777" w:rsidR="00BC6E7D" w:rsidRPr="00E65AA7" w:rsidRDefault="00BC6E7D" w:rsidP="00164318">
            <w:pPr>
              <w:jc w:val="center"/>
              <w:rPr>
                <w:color w:val="000000"/>
                <w:sz w:val="20"/>
                <w:szCs w:val="20"/>
              </w:rPr>
            </w:pPr>
            <w:r w:rsidRPr="00E65AA7">
              <w:rPr>
                <w:color w:val="000000"/>
                <w:sz w:val="20"/>
                <w:szCs w:val="20"/>
              </w:rPr>
              <w:t>3.77</w:t>
            </w:r>
          </w:p>
        </w:tc>
        <w:tc>
          <w:tcPr>
            <w:tcW w:w="385" w:type="pct"/>
            <w:tcBorders>
              <w:top w:val="single" w:sz="4" w:space="0" w:color="auto"/>
              <w:left w:val="nil"/>
              <w:bottom w:val="nil"/>
              <w:right w:val="nil"/>
            </w:tcBorders>
            <w:shd w:val="clear" w:color="auto" w:fill="auto"/>
            <w:noWrap/>
            <w:vAlign w:val="center"/>
            <w:hideMark/>
          </w:tcPr>
          <w:p w14:paraId="7D346474" w14:textId="77777777" w:rsidR="00BC6E7D" w:rsidRPr="00E65AA7" w:rsidRDefault="00BC6E7D" w:rsidP="00164318">
            <w:pPr>
              <w:jc w:val="center"/>
              <w:rPr>
                <w:color w:val="000000"/>
                <w:sz w:val="20"/>
                <w:szCs w:val="20"/>
              </w:rPr>
            </w:pPr>
            <w:r w:rsidRPr="00E65AA7">
              <w:rPr>
                <w:color w:val="000000"/>
                <w:sz w:val="20"/>
                <w:szCs w:val="20"/>
              </w:rPr>
              <w:t>4.04</w:t>
            </w:r>
          </w:p>
        </w:tc>
        <w:tc>
          <w:tcPr>
            <w:tcW w:w="385" w:type="pct"/>
            <w:tcBorders>
              <w:top w:val="single" w:sz="4" w:space="0" w:color="auto"/>
              <w:left w:val="nil"/>
              <w:bottom w:val="nil"/>
              <w:right w:val="nil"/>
            </w:tcBorders>
            <w:shd w:val="clear" w:color="auto" w:fill="auto"/>
            <w:noWrap/>
            <w:vAlign w:val="center"/>
            <w:hideMark/>
          </w:tcPr>
          <w:p w14:paraId="5DFEB1B2" w14:textId="77777777" w:rsidR="00BC6E7D" w:rsidRPr="00E65AA7" w:rsidRDefault="00BC6E7D" w:rsidP="00164318">
            <w:pPr>
              <w:jc w:val="center"/>
              <w:rPr>
                <w:color w:val="000000"/>
                <w:sz w:val="20"/>
                <w:szCs w:val="20"/>
              </w:rPr>
            </w:pPr>
            <w:r w:rsidRPr="00E65AA7">
              <w:rPr>
                <w:color w:val="000000"/>
                <w:sz w:val="20"/>
                <w:szCs w:val="20"/>
              </w:rPr>
              <w:t>4.49</w:t>
            </w:r>
          </w:p>
        </w:tc>
        <w:tc>
          <w:tcPr>
            <w:tcW w:w="385" w:type="pct"/>
            <w:tcBorders>
              <w:top w:val="single" w:sz="4" w:space="0" w:color="auto"/>
              <w:left w:val="nil"/>
              <w:bottom w:val="nil"/>
              <w:right w:val="nil"/>
            </w:tcBorders>
            <w:shd w:val="clear" w:color="auto" w:fill="auto"/>
            <w:noWrap/>
            <w:vAlign w:val="center"/>
            <w:hideMark/>
          </w:tcPr>
          <w:p w14:paraId="0EF3E7BD" w14:textId="77777777" w:rsidR="00BC6E7D" w:rsidRPr="00E65AA7" w:rsidRDefault="00BC6E7D" w:rsidP="00164318">
            <w:pPr>
              <w:jc w:val="center"/>
              <w:rPr>
                <w:color w:val="000000"/>
                <w:sz w:val="20"/>
                <w:szCs w:val="20"/>
              </w:rPr>
            </w:pPr>
            <w:r w:rsidRPr="00E65AA7">
              <w:rPr>
                <w:color w:val="000000"/>
                <w:sz w:val="20"/>
                <w:szCs w:val="20"/>
              </w:rPr>
              <w:t>5.40</w:t>
            </w:r>
          </w:p>
        </w:tc>
        <w:tc>
          <w:tcPr>
            <w:tcW w:w="410" w:type="pct"/>
            <w:tcBorders>
              <w:top w:val="single" w:sz="4" w:space="0" w:color="auto"/>
              <w:left w:val="nil"/>
              <w:bottom w:val="nil"/>
              <w:right w:val="nil"/>
            </w:tcBorders>
            <w:shd w:val="clear" w:color="auto" w:fill="auto"/>
            <w:noWrap/>
            <w:vAlign w:val="center"/>
            <w:hideMark/>
          </w:tcPr>
          <w:p w14:paraId="3E0DEA9E" w14:textId="77777777" w:rsidR="00BC6E7D" w:rsidRPr="00E65AA7" w:rsidRDefault="00BC6E7D" w:rsidP="00164318">
            <w:pPr>
              <w:jc w:val="center"/>
              <w:rPr>
                <w:color w:val="000000"/>
                <w:sz w:val="20"/>
                <w:szCs w:val="20"/>
              </w:rPr>
            </w:pPr>
            <w:r w:rsidRPr="00E65AA7">
              <w:rPr>
                <w:color w:val="000000"/>
                <w:sz w:val="20"/>
                <w:szCs w:val="20"/>
              </w:rPr>
              <w:t>3.39</w:t>
            </w:r>
          </w:p>
        </w:tc>
      </w:tr>
      <w:tr w:rsidR="00BC6E7D" w:rsidRPr="00E65AA7" w14:paraId="15123EDD" w14:textId="77777777" w:rsidTr="00BC6E7D">
        <w:trPr>
          <w:trHeight w:hRule="exact" w:val="255"/>
        </w:trPr>
        <w:tc>
          <w:tcPr>
            <w:tcW w:w="483" w:type="pct"/>
            <w:vMerge/>
            <w:tcBorders>
              <w:top w:val="nil"/>
              <w:left w:val="nil"/>
              <w:bottom w:val="nil"/>
              <w:right w:val="nil"/>
            </w:tcBorders>
            <w:vAlign w:val="center"/>
            <w:hideMark/>
          </w:tcPr>
          <w:p w14:paraId="77FCBBDD"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35C007A5"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22F2103F" w14:textId="77777777" w:rsidR="00BC6E7D" w:rsidRPr="00E65AA7" w:rsidRDefault="00BC6E7D" w:rsidP="00164318">
            <w:pPr>
              <w:jc w:val="center"/>
              <w:rPr>
                <w:color w:val="000000"/>
                <w:sz w:val="20"/>
                <w:szCs w:val="20"/>
              </w:rPr>
            </w:pPr>
            <w:r w:rsidRPr="00E65AA7">
              <w:rPr>
                <w:color w:val="000000"/>
                <w:sz w:val="20"/>
                <w:szCs w:val="20"/>
              </w:rPr>
              <w:t>(9.19)</w:t>
            </w:r>
          </w:p>
        </w:tc>
        <w:tc>
          <w:tcPr>
            <w:tcW w:w="385" w:type="pct"/>
            <w:tcBorders>
              <w:top w:val="nil"/>
              <w:left w:val="nil"/>
              <w:bottom w:val="nil"/>
              <w:right w:val="nil"/>
            </w:tcBorders>
            <w:shd w:val="clear" w:color="auto" w:fill="auto"/>
            <w:noWrap/>
            <w:vAlign w:val="center"/>
            <w:hideMark/>
          </w:tcPr>
          <w:p w14:paraId="3B66096B" w14:textId="77777777" w:rsidR="00BC6E7D" w:rsidRPr="00E65AA7" w:rsidRDefault="00BC6E7D" w:rsidP="00164318">
            <w:pPr>
              <w:jc w:val="center"/>
              <w:rPr>
                <w:color w:val="000000"/>
                <w:sz w:val="20"/>
                <w:szCs w:val="20"/>
              </w:rPr>
            </w:pPr>
            <w:r w:rsidRPr="00E65AA7">
              <w:rPr>
                <w:color w:val="000000"/>
                <w:sz w:val="20"/>
                <w:szCs w:val="20"/>
              </w:rPr>
              <w:t>(8.72)</w:t>
            </w:r>
          </w:p>
        </w:tc>
        <w:tc>
          <w:tcPr>
            <w:tcW w:w="385" w:type="pct"/>
            <w:tcBorders>
              <w:top w:val="nil"/>
              <w:left w:val="nil"/>
              <w:bottom w:val="nil"/>
              <w:right w:val="nil"/>
            </w:tcBorders>
            <w:shd w:val="clear" w:color="auto" w:fill="auto"/>
            <w:noWrap/>
            <w:vAlign w:val="center"/>
            <w:hideMark/>
          </w:tcPr>
          <w:p w14:paraId="5484211E" w14:textId="77777777" w:rsidR="00BC6E7D" w:rsidRPr="00E65AA7" w:rsidRDefault="00BC6E7D" w:rsidP="00164318">
            <w:pPr>
              <w:jc w:val="center"/>
              <w:rPr>
                <w:color w:val="000000"/>
                <w:sz w:val="20"/>
                <w:szCs w:val="20"/>
              </w:rPr>
            </w:pPr>
            <w:r w:rsidRPr="00E65AA7">
              <w:rPr>
                <w:color w:val="000000"/>
                <w:sz w:val="20"/>
                <w:szCs w:val="20"/>
              </w:rPr>
              <w:t>(7.54)</w:t>
            </w:r>
          </w:p>
        </w:tc>
        <w:tc>
          <w:tcPr>
            <w:tcW w:w="385" w:type="pct"/>
            <w:tcBorders>
              <w:top w:val="nil"/>
              <w:left w:val="nil"/>
              <w:bottom w:val="nil"/>
              <w:right w:val="nil"/>
            </w:tcBorders>
            <w:shd w:val="clear" w:color="auto" w:fill="auto"/>
            <w:noWrap/>
            <w:vAlign w:val="center"/>
            <w:hideMark/>
          </w:tcPr>
          <w:p w14:paraId="6BF74E2B" w14:textId="77777777" w:rsidR="00BC6E7D" w:rsidRPr="00E65AA7" w:rsidRDefault="00BC6E7D" w:rsidP="00164318">
            <w:pPr>
              <w:jc w:val="center"/>
              <w:rPr>
                <w:color w:val="000000"/>
                <w:sz w:val="20"/>
                <w:szCs w:val="20"/>
              </w:rPr>
            </w:pPr>
            <w:r w:rsidRPr="00E65AA7">
              <w:rPr>
                <w:color w:val="000000"/>
                <w:sz w:val="20"/>
                <w:szCs w:val="20"/>
              </w:rPr>
              <w:t>(7.84)</w:t>
            </w:r>
          </w:p>
        </w:tc>
        <w:tc>
          <w:tcPr>
            <w:tcW w:w="385" w:type="pct"/>
            <w:tcBorders>
              <w:top w:val="nil"/>
              <w:left w:val="nil"/>
              <w:bottom w:val="nil"/>
              <w:right w:val="nil"/>
            </w:tcBorders>
            <w:shd w:val="clear" w:color="auto" w:fill="auto"/>
            <w:noWrap/>
            <w:vAlign w:val="center"/>
            <w:hideMark/>
          </w:tcPr>
          <w:p w14:paraId="097EB266" w14:textId="77777777" w:rsidR="00BC6E7D" w:rsidRPr="00E65AA7" w:rsidRDefault="00BC6E7D" w:rsidP="00164318">
            <w:pPr>
              <w:jc w:val="center"/>
              <w:rPr>
                <w:color w:val="000000"/>
                <w:sz w:val="20"/>
                <w:szCs w:val="20"/>
              </w:rPr>
            </w:pPr>
            <w:r w:rsidRPr="00E65AA7">
              <w:rPr>
                <w:color w:val="000000"/>
                <w:sz w:val="20"/>
                <w:szCs w:val="20"/>
              </w:rPr>
              <w:t>(8.18)</w:t>
            </w:r>
          </w:p>
        </w:tc>
        <w:tc>
          <w:tcPr>
            <w:tcW w:w="385" w:type="pct"/>
            <w:tcBorders>
              <w:top w:val="nil"/>
              <w:left w:val="nil"/>
              <w:bottom w:val="nil"/>
              <w:right w:val="nil"/>
            </w:tcBorders>
            <w:shd w:val="clear" w:color="auto" w:fill="auto"/>
            <w:noWrap/>
            <w:vAlign w:val="center"/>
            <w:hideMark/>
          </w:tcPr>
          <w:p w14:paraId="5C8EA063" w14:textId="77777777" w:rsidR="00BC6E7D" w:rsidRPr="00E65AA7" w:rsidRDefault="00BC6E7D" w:rsidP="00164318">
            <w:pPr>
              <w:jc w:val="center"/>
              <w:rPr>
                <w:color w:val="000000"/>
                <w:sz w:val="20"/>
                <w:szCs w:val="20"/>
              </w:rPr>
            </w:pPr>
            <w:r w:rsidRPr="00E65AA7">
              <w:rPr>
                <w:color w:val="000000"/>
                <w:sz w:val="20"/>
                <w:szCs w:val="20"/>
              </w:rPr>
              <w:t>(7.65)</w:t>
            </w:r>
          </w:p>
        </w:tc>
        <w:tc>
          <w:tcPr>
            <w:tcW w:w="385" w:type="pct"/>
            <w:tcBorders>
              <w:top w:val="nil"/>
              <w:left w:val="nil"/>
              <w:bottom w:val="nil"/>
              <w:right w:val="nil"/>
            </w:tcBorders>
            <w:shd w:val="clear" w:color="auto" w:fill="auto"/>
            <w:noWrap/>
            <w:vAlign w:val="center"/>
            <w:hideMark/>
          </w:tcPr>
          <w:p w14:paraId="66ABCBAE" w14:textId="77777777" w:rsidR="00BC6E7D" w:rsidRPr="00E65AA7" w:rsidRDefault="00BC6E7D" w:rsidP="00164318">
            <w:pPr>
              <w:jc w:val="center"/>
              <w:rPr>
                <w:color w:val="000000"/>
                <w:sz w:val="20"/>
                <w:szCs w:val="20"/>
              </w:rPr>
            </w:pPr>
            <w:r w:rsidRPr="00E65AA7">
              <w:rPr>
                <w:color w:val="000000"/>
                <w:sz w:val="20"/>
                <w:szCs w:val="20"/>
              </w:rPr>
              <w:t>(7.61)</w:t>
            </w:r>
          </w:p>
        </w:tc>
        <w:tc>
          <w:tcPr>
            <w:tcW w:w="385" w:type="pct"/>
            <w:tcBorders>
              <w:top w:val="nil"/>
              <w:left w:val="nil"/>
              <w:bottom w:val="nil"/>
              <w:right w:val="nil"/>
            </w:tcBorders>
            <w:shd w:val="clear" w:color="auto" w:fill="auto"/>
            <w:noWrap/>
            <w:vAlign w:val="center"/>
            <w:hideMark/>
          </w:tcPr>
          <w:p w14:paraId="67B1CA9E" w14:textId="77777777" w:rsidR="00BC6E7D" w:rsidRPr="00E65AA7" w:rsidRDefault="00BC6E7D" w:rsidP="00164318">
            <w:pPr>
              <w:jc w:val="center"/>
              <w:rPr>
                <w:color w:val="000000"/>
                <w:sz w:val="20"/>
                <w:szCs w:val="20"/>
              </w:rPr>
            </w:pPr>
            <w:r w:rsidRPr="00E65AA7">
              <w:rPr>
                <w:color w:val="000000"/>
                <w:sz w:val="20"/>
                <w:szCs w:val="20"/>
              </w:rPr>
              <w:t>(7.41)</w:t>
            </w:r>
          </w:p>
        </w:tc>
        <w:tc>
          <w:tcPr>
            <w:tcW w:w="385" w:type="pct"/>
            <w:tcBorders>
              <w:top w:val="nil"/>
              <w:left w:val="nil"/>
              <w:bottom w:val="nil"/>
              <w:right w:val="nil"/>
            </w:tcBorders>
            <w:shd w:val="clear" w:color="auto" w:fill="auto"/>
            <w:noWrap/>
            <w:vAlign w:val="center"/>
            <w:hideMark/>
          </w:tcPr>
          <w:p w14:paraId="2AB70BA2" w14:textId="77777777" w:rsidR="00BC6E7D" w:rsidRPr="00E65AA7" w:rsidRDefault="00BC6E7D" w:rsidP="00164318">
            <w:pPr>
              <w:jc w:val="center"/>
              <w:rPr>
                <w:color w:val="000000"/>
                <w:sz w:val="20"/>
                <w:szCs w:val="20"/>
              </w:rPr>
            </w:pPr>
            <w:r w:rsidRPr="00E65AA7">
              <w:rPr>
                <w:color w:val="000000"/>
                <w:sz w:val="20"/>
                <w:szCs w:val="20"/>
              </w:rPr>
              <w:t>(7.44)</w:t>
            </w:r>
          </w:p>
        </w:tc>
        <w:tc>
          <w:tcPr>
            <w:tcW w:w="385" w:type="pct"/>
            <w:tcBorders>
              <w:top w:val="nil"/>
              <w:left w:val="nil"/>
              <w:bottom w:val="nil"/>
              <w:right w:val="nil"/>
            </w:tcBorders>
            <w:shd w:val="clear" w:color="auto" w:fill="auto"/>
            <w:noWrap/>
            <w:vAlign w:val="center"/>
            <w:hideMark/>
          </w:tcPr>
          <w:p w14:paraId="4B45FF79" w14:textId="77777777" w:rsidR="00BC6E7D" w:rsidRPr="00E65AA7" w:rsidRDefault="00BC6E7D" w:rsidP="00164318">
            <w:pPr>
              <w:jc w:val="center"/>
              <w:rPr>
                <w:color w:val="000000"/>
                <w:sz w:val="20"/>
                <w:szCs w:val="20"/>
              </w:rPr>
            </w:pPr>
            <w:r w:rsidRPr="00E65AA7">
              <w:rPr>
                <w:color w:val="000000"/>
                <w:sz w:val="20"/>
                <w:szCs w:val="20"/>
              </w:rPr>
              <w:t>(6.40)</w:t>
            </w:r>
          </w:p>
        </w:tc>
        <w:tc>
          <w:tcPr>
            <w:tcW w:w="410" w:type="pct"/>
            <w:tcBorders>
              <w:top w:val="nil"/>
              <w:left w:val="nil"/>
              <w:bottom w:val="nil"/>
              <w:right w:val="nil"/>
            </w:tcBorders>
            <w:shd w:val="clear" w:color="auto" w:fill="auto"/>
            <w:noWrap/>
            <w:vAlign w:val="center"/>
            <w:hideMark/>
          </w:tcPr>
          <w:p w14:paraId="57669295"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4.42)</w:t>
            </w:r>
          </w:p>
        </w:tc>
      </w:tr>
      <w:tr w:rsidR="00BC6E7D" w:rsidRPr="00E65AA7" w14:paraId="12F1D792"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78026ADD"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7" w:type="pct"/>
            <w:vMerge w:val="restart"/>
            <w:tcBorders>
              <w:top w:val="nil"/>
              <w:left w:val="nil"/>
              <w:right w:val="nil"/>
            </w:tcBorders>
            <w:vAlign w:val="center"/>
          </w:tcPr>
          <w:p w14:paraId="0FCAA489"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75</w:t>
            </w:r>
          </w:p>
        </w:tc>
        <w:tc>
          <w:tcPr>
            <w:tcW w:w="385" w:type="pct"/>
            <w:tcBorders>
              <w:top w:val="nil"/>
              <w:left w:val="nil"/>
              <w:bottom w:val="nil"/>
              <w:right w:val="nil"/>
            </w:tcBorders>
            <w:shd w:val="clear" w:color="auto" w:fill="auto"/>
            <w:noWrap/>
            <w:vAlign w:val="center"/>
            <w:hideMark/>
          </w:tcPr>
          <w:p w14:paraId="6C16E62C" w14:textId="77777777" w:rsidR="00BC6E7D" w:rsidRPr="00E65AA7" w:rsidRDefault="00BC6E7D" w:rsidP="00164318">
            <w:pPr>
              <w:jc w:val="center"/>
              <w:rPr>
                <w:color w:val="000000"/>
                <w:sz w:val="20"/>
                <w:szCs w:val="20"/>
              </w:rPr>
            </w:pPr>
            <w:r w:rsidRPr="00E65AA7">
              <w:rPr>
                <w:color w:val="000000"/>
                <w:sz w:val="20"/>
                <w:szCs w:val="20"/>
              </w:rPr>
              <w:t>0.10</w:t>
            </w:r>
          </w:p>
        </w:tc>
        <w:tc>
          <w:tcPr>
            <w:tcW w:w="385" w:type="pct"/>
            <w:tcBorders>
              <w:top w:val="nil"/>
              <w:left w:val="nil"/>
              <w:bottom w:val="nil"/>
              <w:right w:val="nil"/>
            </w:tcBorders>
            <w:shd w:val="clear" w:color="auto" w:fill="auto"/>
            <w:noWrap/>
            <w:vAlign w:val="center"/>
            <w:hideMark/>
          </w:tcPr>
          <w:p w14:paraId="45890DFC" w14:textId="77777777" w:rsidR="00BC6E7D" w:rsidRPr="00E65AA7" w:rsidRDefault="00BC6E7D" w:rsidP="00164318">
            <w:pPr>
              <w:jc w:val="center"/>
              <w:rPr>
                <w:color w:val="000000"/>
                <w:sz w:val="20"/>
                <w:szCs w:val="20"/>
              </w:rPr>
            </w:pPr>
            <w:r w:rsidRPr="00E65AA7">
              <w:rPr>
                <w:color w:val="000000"/>
                <w:sz w:val="20"/>
                <w:szCs w:val="20"/>
              </w:rPr>
              <w:t>-0.28</w:t>
            </w:r>
          </w:p>
        </w:tc>
        <w:tc>
          <w:tcPr>
            <w:tcW w:w="385" w:type="pct"/>
            <w:tcBorders>
              <w:top w:val="nil"/>
              <w:left w:val="nil"/>
              <w:bottom w:val="nil"/>
              <w:right w:val="nil"/>
            </w:tcBorders>
            <w:shd w:val="clear" w:color="auto" w:fill="auto"/>
            <w:noWrap/>
            <w:vAlign w:val="center"/>
            <w:hideMark/>
          </w:tcPr>
          <w:p w14:paraId="35EA5AE2" w14:textId="77777777" w:rsidR="00BC6E7D" w:rsidRPr="00E65AA7" w:rsidRDefault="00BC6E7D" w:rsidP="00164318">
            <w:pPr>
              <w:jc w:val="center"/>
              <w:rPr>
                <w:color w:val="000000"/>
                <w:sz w:val="20"/>
                <w:szCs w:val="20"/>
              </w:rPr>
            </w:pPr>
            <w:r w:rsidRPr="00E65AA7">
              <w:rPr>
                <w:color w:val="000000"/>
                <w:sz w:val="20"/>
                <w:szCs w:val="20"/>
              </w:rPr>
              <w:t>-0.42</w:t>
            </w:r>
          </w:p>
        </w:tc>
        <w:tc>
          <w:tcPr>
            <w:tcW w:w="385" w:type="pct"/>
            <w:tcBorders>
              <w:top w:val="nil"/>
              <w:left w:val="nil"/>
              <w:bottom w:val="nil"/>
              <w:right w:val="nil"/>
            </w:tcBorders>
            <w:shd w:val="clear" w:color="auto" w:fill="auto"/>
            <w:noWrap/>
            <w:vAlign w:val="center"/>
            <w:hideMark/>
          </w:tcPr>
          <w:p w14:paraId="7AAD5DE0" w14:textId="77777777" w:rsidR="00BC6E7D" w:rsidRPr="00E65AA7" w:rsidRDefault="00BC6E7D" w:rsidP="00164318">
            <w:pPr>
              <w:jc w:val="center"/>
              <w:rPr>
                <w:color w:val="000000"/>
                <w:sz w:val="20"/>
                <w:szCs w:val="20"/>
              </w:rPr>
            </w:pPr>
            <w:r w:rsidRPr="00E65AA7">
              <w:rPr>
                <w:color w:val="000000"/>
                <w:sz w:val="20"/>
                <w:szCs w:val="20"/>
              </w:rPr>
              <w:t>-0.48</w:t>
            </w:r>
          </w:p>
        </w:tc>
        <w:tc>
          <w:tcPr>
            <w:tcW w:w="385" w:type="pct"/>
            <w:tcBorders>
              <w:top w:val="nil"/>
              <w:left w:val="nil"/>
              <w:bottom w:val="nil"/>
              <w:right w:val="nil"/>
            </w:tcBorders>
            <w:shd w:val="clear" w:color="auto" w:fill="auto"/>
            <w:noWrap/>
            <w:vAlign w:val="center"/>
            <w:hideMark/>
          </w:tcPr>
          <w:p w14:paraId="67F7490B" w14:textId="77777777" w:rsidR="00BC6E7D" w:rsidRPr="00E65AA7" w:rsidRDefault="00BC6E7D" w:rsidP="00164318">
            <w:pPr>
              <w:jc w:val="center"/>
              <w:rPr>
                <w:color w:val="000000"/>
                <w:sz w:val="20"/>
                <w:szCs w:val="20"/>
              </w:rPr>
            </w:pPr>
            <w:r w:rsidRPr="00E65AA7">
              <w:rPr>
                <w:color w:val="000000"/>
                <w:sz w:val="20"/>
                <w:szCs w:val="20"/>
              </w:rPr>
              <w:t>-0.54</w:t>
            </w:r>
          </w:p>
        </w:tc>
        <w:tc>
          <w:tcPr>
            <w:tcW w:w="385" w:type="pct"/>
            <w:tcBorders>
              <w:top w:val="nil"/>
              <w:left w:val="nil"/>
              <w:bottom w:val="nil"/>
              <w:right w:val="nil"/>
            </w:tcBorders>
            <w:shd w:val="clear" w:color="auto" w:fill="auto"/>
            <w:noWrap/>
            <w:vAlign w:val="center"/>
            <w:hideMark/>
          </w:tcPr>
          <w:p w14:paraId="14BA0FC7" w14:textId="77777777" w:rsidR="00BC6E7D" w:rsidRPr="00E65AA7" w:rsidRDefault="00BC6E7D" w:rsidP="00164318">
            <w:pPr>
              <w:jc w:val="center"/>
              <w:rPr>
                <w:color w:val="000000"/>
                <w:sz w:val="20"/>
                <w:szCs w:val="20"/>
              </w:rPr>
            </w:pPr>
            <w:r w:rsidRPr="00E65AA7">
              <w:rPr>
                <w:color w:val="000000"/>
                <w:sz w:val="20"/>
                <w:szCs w:val="20"/>
              </w:rPr>
              <w:t>-0.66</w:t>
            </w:r>
          </w:p>
        </w:tc>
        <w:tc>
          <w:tcPr>
            <w:tcW w:w="385" w:type="pct"/>
            <w:tcBorders>
              <w:top w:val="nil"/>
              <w:left w:val="nil"/>
              <w:bottom w:val="nil"/>
              <w:right w:val="nil"/>
            </w:tcBorders>
            <w:shd w:val="clear" w:color="auto" w:fill="auto"/>
            <w:noWrap/>
            <w:vAlign w:val="center"/>
            <w:hideMark/>
          </w:tcPr>
          <w:p w14:paraId="40FC0488" w14:textId="77777777" w:rsidR="00BC6E7D" w:rsidRPr="00E65AA7" w:rsidRDefault="00BC6E7D" w:rsidP="00164318">
            <w:pPr>
              <w:jc w:val="center"/>
              <w:rPr>
                <w:color w:val="000000"/>
                <w:sz w:val="20"/>
                <w:szCs w:val="20"/>
              </w:rPr>
            </w:pPr>
            <w:r w:rsidRPr="00E65AA7">
              <w:rPr>
                <w:color w:val="000000"/>
                <w:sz w:val="20"/>
                <w:szCs w:val="20"/>
              </w:rPr>
              <w:t>-0.82</w:t>
            </w:r>
          </w:p>
        </w:tc>
        <w:tc>
          <w:tcPr>
            <w:tcW w:w="385" w:type="pct"/>
            <w:tcBorders>
              <w:top w:val="nil"/>
              <w:left w:val="nil"/>
              <w:bottom w:val="nil"/>
              <w:right w:val="nil"/>
            </w:tcBorders>
            <w:shd w:val="clear" w:color="auto" w:fill="auto"/>
            <w:noWrap/>
            <w:vAlign w:val="center"/>
            <w:hideMark/>
          </w:tcPr>
          <w:p w14:paraId="1F46BAF0" w14:textId="77777777" w:rsidR="00BC6E7D" w:rsidRPr="00E65AA7" w:rsidRDefault="00BC6E7D" w:rsidP="00164318">
            <w:pPr>
              <w:jc w:val="center"/>
              <w:rPr>
                <w:color w:val="000000"/>
                <w:sz w:val="20"/>
                <w:szCs w:val="20"/>
              </w:rPr>
            </w:pPr>
            <w:r w:rsidRPr="00E65AA7">
              <w:rPr>
                <w:color w:val="000000"/>
                <w:sz w:val="20"/>
                <w:szCs w:val="20"/>
              </w:rPr>
              <w:t>-1.04</w:t>
            </w:r>
          </w:p>
        </w:tc>
        <w:tc>
          <w:tcPr>
            <w:tcW w:w="385" w:type="pct"/>
            <w:tcBorders>
              <w:top w:val="nil"/>
              <w:left w:val="nil"/>
              <w:bottom w:val="nil"/>
              <w:right w:val="nil"/>
            </w:tcBorders>
            <w:shd w:val="clear" w:color="auto" w:fill="auto"/>
            <w:noWrap/>
            <w:vAlign w:val="center"/>
            <w:hideMark/>
          </w:tcPr>
          <w:p w14:paraId="777E4161" w14:textId="77777777" w:rsidR="00BC6E7D" w:rsidRPr="00E65AA7" w:rsidRDefault="00BC6E7D" w:rsidP="00164318">
            <w:pPr>
              <w:jc w:val="center"/>
              <w:rPr>
                <w:color w:val="000000"/>
                <w:sz w:val="20"/>
                <w:szCs w:val="20"/>
              </w:rPr>
            </w:pPr>
            <w:r w:rsidRPr="00E65AA7">
              <w:rPr>
                <w:color w:val="000000"/>
                <w:sz w:val="20"/>
                <w:szCs w:val="20"/>
              </w:rPr>
              <w:t>-1.06</w:t>
            </w:r>
          </w:p>
        </w:tc>
        <w:tc>
          <w:tcPr>
            <w:tcW w:w="385" w:type="pct"/>
            <w:tcBorders>
              <w:top w:val="nil"/>
              <w:left w:val="nil"/>
              <w:bottom w:val="nil"/>
              <w:right w:val="nil"/>
            </w:tcBorders>
            <w:shd w:val="clear" w:color="auto" w:fill="auto"/>
            <w:noWrap/>
            <w:vAlign w:val="center"/>
            <w:hideMark/>
          </w:tcPr>
          <w:p w14:paraId="419F2F48" w14:textId="77777777" w:rsidR="00BC6E7D" w:rsidRPr="00E65AA7" w:rsidRDefault="00BC6E7D" w:rsidP="00164318">
            <w:pPr>
              <w:jc w:val="center"/>
              <w:rPr>
                <w:color w:val="000000"/>
                <w:sz w:val="20"/>
                <w:szCs w:val="20"/>
              </w:rPr>
            </w:pPr>
            <w:r w:rsidRPr="00E65AA7">
              <w:rPr>
                <w:color w:val="000000"/>
                <w:sz w:val="20"/>
                <w:szCs w:val="20"/>
              </w:rPr>
              <w:t>-2.04</w:t>
            </w:r>
          </w:p>
        </w:tc>
        <w:tc>
          <w:tcPr>
            <w:tcW w:w="410" w:type="pct"/>
            <w:tcBorders>
              <w:top w:val="nil"/>
              <w:left w:val="nil"/>
              <w:bottom w:val="nil"/>
              <w:right w:val="nil"/>
            </w:tcBorders>
            <w:shd w:val="clear" w:color="auto" w:fill="auto"/>
            <w:noWrap/>
            <w:vAlign w:val="center"/>
            <w:hideMark/>
          </w:tcPr>
          <w:p w14:paraId="12E5BF8A"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2.14</w:t>
            </w:r>
          </w:p>
        </w:tc>
      </w:tr>
      <w:tr w:rsidR="00BC6E7D" w:rsidRPr="00E65AA7" w14:paraId="2C986B44" w14:textId="77777777" w:rsidTr="00BC6E7D">
        <w:trPr>
          <w:trHeight w:hRule="exact" w:val="255"/>
        </w:trPr>
        <w:tc>
          <w:tcPr>
            <w:tcW w:w="483" w:type="pct"/>
            <w:vMerge/>
            <w:tcBorders>
              <w:top w:val="nil"/>
              <w:left w:val="nil"/>
              <w:bottom w:val="nil"/>
              <w:right w:val="nil"/>
            </w:tcBorders>
            <w:vAlign w:val="center"/>
            <w:hideMark/>
          </w:tcPr>
          <w:p w14:paraId="62E7A59F"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6BC9BDB2"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357F35F3" w14:textId="77777777" w:rsidR="00BC6E7D" w:rsidRPr="00E65AA7" w:rsidRDefault="00BC6E7D" w:rsidP="00164318">
            <w:pPr>
              <w:jc w:val="center"/>
              <w:rPr>
                <w:color w:val="000000"/>
                <w:sz w:val="20"/>
                <w:szCs w:val="20"/>
              </w:rPr>
            </w:pPr>
            <w:r w:rsidRPr="00E65AA7">
              <w:rPr>
                <w:color w:val="000000"/>
                <w:sz w:val="20"/>
                <w:szCs w:val="20"/>
              </w:rPr>
              <w:t>(0.28)</w:t>
            </w:r>
          </w:p>
        </w:tc>
        <w:tc>
          <w:tcPr>
            <w:tcW w:w="385" w:type="pct"/>
            <w:tcBorders>
              <w:top w:val="nil"/>
              <w:left w:val="nil"/>
              <w:bottom w:val="nil"/>
              <w:right w:val="nil"/>
            </w:tcBorders>
            <w:shd w:val="clear" w:color="auto" w:fill="auto"/>
            <w:noWrap/>
            <w:vAlign w:val="center"/>
            <w:hideMark/>
          </w:tcPr>
          <w:p w14:paraId="6C456E7C" w14:textId="77777777" w:rsidR="00BC6E7D" w:rsidRPr="00E65AA7" w:rsidRDefault="00BC6E7D" w:rsidP="00164318">
            <w:pPr>
              <w:jc w:val="center"/>
              <w:rPr>
                <w:color w:val="000000"/>
                <w:sz w:val="20"/>
                <w:szCs w:val="20"/>
              </w:rPr>
            </w:pPr>
            <w:r w:rsidRPr="00E65AA7">
              <w:rPr>
                <w:color w:val="000000"/>
                <w:sz w:val="20"/>
                <w:szCs w:val="20"/>
              </w:rPr>
              <w:t>(-0.71)</w:t>
            </w:r>
          </w:p>
        </w:tc>
        <w:tc>
          <w:tcPr>
            <w:tcW w:w="385" w:type="pct"/>
            <w:tcBorders>
              <w:top w:val="nil"/>
              <w:left w:val="nil"/>
              <w:bottom w:val="nil"/>
              <w:right w:val="nil"/>
            </w:tcBorders>
            <w:shd w:val="clear" w:color="auto" w:fill="auto"/>
            <w:noWrap/>
            <w:vAlign w:val="center"/>
            <w:hideMark/>
          </w:tcPr>
          <w:p w14:paraId="3EAC88A1" w14:textId="77777777" w:rsidR="00BC6E7D" w:rsidRPr="00E65AA7" w:rsidRDefault="00BC6E7D" w:rsidP="00164318">
            <w:pPr>
              <w:jc w:val="center"/>
              <w:rPr>
                <w:color w:val="000000"/>
                <w:sz w:val="20"/>
                <w:szCs w:val="20"/>
              </w:rPr>
            </w:pPr>
            <w:r w:rsidRPr="00E65AA7">
              <w:rPr>
                <w:color w:val="000000"/>
                <w:sz w:val="20"/>
                <w:szCs w:val="20"/>
              </w:rPr>
              <w:t>(-1.01)</w:t>
            </w:r>
          </w:p>
        </w:tc>
        <w:tc>
          <w:tcPr>
            <w:tcW w:w="385" w:type="pct"/>
            <w:tcBorders>
              <w:top w:val="nil"/>
              <w:left w:val="nil"/>
              <w:bottom w:val="nil"/>
              <w:right w:val="nil"/>
            </w:tcBorders>
            <w:shd w:val="clear" w:color="auto" w:fill="auto"/>
            <w:noWrap/>
            <w:vAlign w:val="center"/>
            <w:hideMark/>
          </w:tcPr>
          <w:p w14:paraId="7C024C72" w14:textId="77777777" w:rsidR="00BC6E7D" w:rsidRPr="00E65AA7" w:rsidRDefault="00BC6E7D" w:rsidP="00164318">
            <w:pPr>
              <w:jc w:val="center"/>
              <w:rPr>
                <w:color w:val="000000"/>
                <w:sz w:val="20"/>
                <w:szCs w:val="20"/>
              </w:rPr>
            </w:pPr>
            <w:r w:rsidRPr="00E65AA7">
              <w:rPr>
                <w:color w:val="000000"/>
                <w:sz w:val="20"/>
                <w:szCs w:val="20"/>
              </w:rPr>
              <w:t>(-1.06)</w:t>
            </w:r>
          </w:p>
        </w:tc>
        <w:tc>
          <w:tcPr>
            <w:tcW w:w="385" w:type="pct"/>
            <w:tcBorders>
              <w:top w:val="nil"/>
              <w:left w:val="nil"/>
              <w:bottom w:val="nil"/>
              <w:right w:val="nil"/>
            </w:tcBorders>
            <w:shd w:val="clear" w:color="auto" w:fill="auto"/>
            <w:noWrap/>
            <w:vAlign w:val="center"/>
            <w:hideMark/>
          </w:tcPr>
          <w:p w14:paraId="7F3BA7F2" w14:textId="77777777" w:rsidR="00BC6E7D" w:rsidRPr="00E65AA7" w:rsidRDefault="00BC6E7D" w:rsidP="00164318">
            <w:pPr>
              <w:jc w:val="center"/>
              <w:rPr>
                <w:color w:val="000000"/>
                <w:sz w:val="20"/>
                <w:szCs w:val="20"/>
              </w:rPr>
            </w:pPr>
            <w:r w:rsidRPr="00E65AA7">
              <w:rPr>
                <w:color w:val="000000"/>
                <w:sz w:val="20"/>
                <w:szCs w:val="20"/>
              </w:rPr>
              <w:t>(-1.09)</w:t>
            </w:r>
          </w:p>
        </w:tc>
        <w:tc>
          <w:tcPr>
            <w:tcW w:w="385" w:type="pct"/>
            <w:tcBorders>
              <w:top w:val="nil"/>
              <w:left w:val="nil"/>
              <w:bottom w:val="nil"/>
              <w:right w:val="nil"/>
            </w:tcBorders>
            <w:shd w:val="clear" w:color="auto" w:fill="auto"/>
            <w:noWrap/>
            <w:vAlign w:val="center"/>
            <w:hideMark/>
          </w:tcPr>
          <w:p w14:paraId="2EA6FCE8" w14:textId="77777777" w:rsidR="00BC6E7D" w:rsidRPr="00E65AA7" w:rsidRDefault="00BC6E7D" w:rsidP="00164318">
            <w:pPr>
              <w:jc w:val="center"/>
              <w:rPr>
                <w:color w:val="000000"/>
                <w:sz w:val="20"/>
                <w:szCs w:val="20"/>
              </w:rPr>
            </w:pPr>
            <w:r w:rsidRPr="00E65AA7">
              <w:rPr>
                <w:color w:val="000000"/>
                <w:sz w:val="20"/>
                <w:szCs w:val="20"/>
              </w:rPr>
              <w:t>(-1.27)</w:t>
            </w:r>
          </w:p>
        </w:tc>
        <w:tc>
          <w:tcPr>
            <w:tcW w:w="385" w:type="pct"/>
            <w:tcBorders>
              <w:top w:val="nil"/>
              <w:left w:val="nil"/>
              <w:bottom w:val="nil"/>
              <w:right w:val="nil"/>
            </w:tcBorders>
            <w:shd w:val="clear" w:color="auto" w:fill="auto"/>
            <w:noWrap/>
            <w:vAlign w:val="center"/>
            <w:hideMark/>
          </w:tcPr>
          <w:p w14:paraId="57410BD9" w14:textId="77777777" w:rsidR="00BC6E7D" w:rsidRPr="00E65AA7" w:rsidRDefault="00BC6E7D" w:rsidP="00164318">
            <w:pPr>
              <w:jc w:val="center"/>
              <w:rPr>
                <w:color w:val="000000"/>
                <w:sz w:val="20"/>
                <w:szCs w:val="20"/>
              </w:rPr>
            </w:pPr>
            <w:r w:rsidRPr="00E65AA7">
              <w:rPr>
                <w:color w:val="000000"/>
                <w:sz w:val="20"/>
                <w:szCs w:val="20"/>
              </w:rPr>
              <w:t>(-1.39)</w:t>
            </w:r>
          </w:p>
        </w:tc>
        <w:tc>
          <w:tcPr>
            <w:tcW w:w="385" w:type="pct"/>
            <w:tcBorders>
              <w:top w:val="nil"/>
              <w:left w:val="nil"/>
              <w:bottom w:val="nil"/>
              <w:right w:val="nil"/>
            </w:tcBorders>
            <w:shd w:val="clear" w:color="auto" w:fill="auto"/>
            <w:noWrap/>
            <w:vAlign w:val="center"/>
            <w:hideMark/>
          </w:tcPr>
          <w:p w14:paraId="75706D2E" w14:textId="77777777" w:rsidR="00BC6E7D" w:rsidRPr="00E65AA7" w:rsidRDefault="00BC6E7D" w:rsidP="00164318">
            <w:pPr>
              <w:jc w:val="center"/>
              <w:rPr>
                <w:color w:val="000000"/>
                <w:sz w:val="20"/>
                <w:szCs w:val="20"/>
              </w:rPr>
            </w:pPr>
            <w:r w:rsidRPr="00E65AA7">
              <w:rPr>
                <w:color w:val="000000"/>
                <w:sz w:val="20"/>
                <w:szCs w:val="20"/>
              </w:rPr>
              <w:t>(-1.62)</w:t>
            </w:r>
          </w:p>
        </w:tc>
        <w:tc>
          <w:tcPr>
            <w:tcW w:w="385" w:type="pct"/>
            <w:tcBorders>
              <w:top w:val="nil"/>
              <w:left w:val="nil"/>
              <w:bottom w:val="nil"/>
              <w:right w:val="nil"/>
            </w:tcBorders>
            <w:shd w:val="clear" w:color="auto" w:fill="auto"/>
            <w:noWrap/>
            <w:vAlign w:val="center"/>
            <w:hideMark/>
          </w:tcPr>
          <w:p w14:paraId="75196662" w14:textId="77777777" w:rsidR="00BC6E7D" w:rsidRPr="00E65AA7" w:rsidRDefault="00BC6E7D" w:rsidP="00164318">
            <w:pPr>
              <w:jc w:val="center"/>
              <w:rPr>
                <w:color w:val="000000"/>
                <w:sz w:val="20"/>
                <w:szCs w:val="20"/>
              </w:rPr>
            </w:pPr>
            <w:r w:rsidRPr="00E65AA7">
              <w:rPr>
                <w:color w:val="000000"/>
                <w:sz w:val="20"/>
                <w:szCs w:val="20"/>
              </w:rPr>
              <w:t>(-1.45)</w:t>
            </w:r>
          </w:p>
        </w:tc>
        <w:tc>
          <w:tcPr>
            <w:tcW w:w="385" w:type="pct"/>
            <w:tcBorders>
              <w:top w:val="nil"/>
              <w:left w:val="nil"/>
              <w:bottom w:val="nil"/>
              <w:right w:val="nil"/>
            </w:tcBorders>
            <w:shd w:val="clear" w:color="auto" w:fill="auto"/>
            <w:noWrap/>
            <w:vAlign w:val="center"/>
            <w:hideMark/>
          </w:tcPr>
          <w:p w14:paraId="6A79B45C" w14:textId="77777777" w:rsidR="00BC6E7D" w:rsidRPr="00E65AA7" w:rsidRDefault="00BC6E7D" w:rsidP="00164318">
            <w:pPr>
              <w:jc w:val="center"/>
              <w:rPr>
                <w:color w:val="000000"/>
                <w:sz w:val="20"/>
                <w:szCs w:val="20"/>
              </w:rPr>
            </w:pPr>
            <w:r w:rsidRPr="00E65AA7">
              <w:rPr>
                <w:color w:val="000000"/>
                <w:sz w:val="20"/>
                <w:szCs w:val="20"/>
              </w:rPr>
              <w:t>(-2.17)</w:t>
            </w:r>
          </w:p>
        </w:tc>
        <w:tc>
          <w:tcPr>
            <w:tcW w:w="410" w:type="pct"/>
            <w:tcBorders>
              <w:top w:val="nil"/>
              <w:left w:val="nil"/>
              <w:bottom w:val="nil"/>
              <w:right w:val="nil"/>
            </w:tcBorders>
            <w:shd w:val="clear" w:color="auto" w:fill="auto"/>
            <w:noWrap/>
            <w:vAlign w:val="center"/>
            <w:hideMark/>
          </w:tcPr>
          <w:p w14:paraId="5A0929E0"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2.60)</w:t>
            </w:r>
          </w:p>
        </w:tc>
      </w:tr>
      <w:tr w:rsidR="00BC6E7D" w:rsidRPr="00E65AA7" w14:paraId="29351329"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6E57D0F7"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7" w:type="pct"/>
            <w:vMerge w:val="restart"/>
            <w:tcBorders>
              <w:top w:val="nil"/>
              <w:left w:val="nil"/>
              <w:right w:val="nil"/>
            </w:tcBorders>
            <w:vAlign w:val="center"/>
          </w:tcPr>
          <w:p w14:paraId="39F87596"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65</w:t>
            </w:r>
          </w:p>
        </w:tc>
        <w:tc>
          <w:tcPr>
            <w:tcW w:w="385" w:type="pct"/>
            <w:tcBorders>
              <w:top w:val="nil"/>
              <w:left w:val="nil"/>
              <w:bottom w:val="nil"/>
              <w:right w:val="nil"/>
            </w:tcBorders>
            <w:shd w:val="clear" w:color="auto" w:fill="auto"/>
            <w:noWrap/>
            <w:vAlign w:val="center"/>
            <w:hideMark/>
          </w:tcPr>
          <w:p w14:paraId="0BC3DE07" w14:textId="77777777" w:rsidR="00BC6E7D" w:rsidRPr="00E65AA7" w:rsidRDefault="00BC6E7D" w:rsidP="00164318">
            <w:pPr>
              <w:jc w:val="center"/>
              <w:rPr>
                <w:color w:val="000000"/>
                <w:sz w:val="20"/>
                <w:szCs w:val="20"/>
              </w:rPr>
            </w:pPr>
            <w:r w:rsidRPr="00E65AA7">
              <w:rPr>
                <w:color w:val="000000"/>
                <w:sz w:val="20"/>
                <w:szCs w:val="20"/>
              </w:rPr>
              <w:t>0.13</w:t>
            </w:r>
          </w:p>
        </w:tc>
        <w:tc>
          <w:tcPr>
            <w:tcW w:w="385" w:type="pct"/>
            <w:tcBorders>
              <w:top w:val="nil"/>
              <w:left w:val="nil"/>
              <w:bottom w:val="nil"/>
              <w:right w:val="nil"/>
            </w:tcBorders>
            <w:shd w:val="clear" w:color="auto" w:fill="auto"/>
            <w:noWrap/>
            <w:vAlign w:val="center"/>
            <w:hideMark/>
          </w:tcPr>
          <w:p w14:paraId="7429608C" w14:textId="77777777" w:rsidR="00BC6E7D" w:rsidRPr="00E65AA7" w:rsidRDefault="00BC6E7D" w:rsidP="00164318">
            <w:pPr>
              <w:jc w:val="center"/>
              <w:rPr>
                <w:color w:val="000000"/>
                <w:sz w:val="20"/>
                <w:szCs w:val="20"/>
              </w:rPr>
            </w:pPr>
            <w:r w:rsidRPr="00E65AA7">
              <w:rPr>
                <w:color w:val="000000"/>
                <w:sz w:val="20"/>
                <w:szCs w:val="20"/>
              </w:rPr>
              <w:t>-0.12</w:t>
            </w:r>
          </w:p>
        </w:tc>
        <w:tc>
          <w:tcPr>
            <w:tcW w:w="385" w:type="pct"/>
            <w:tcBorders>
              <w:top w:val="nil"/>
              <w:left w:val="nil"/>
              <w:bottom w:val="nil"/>
              <w:right w:val="nil"/>
            </w:tcBorders>
            <w:shd w:val="clear" w:color="auto" w:fill="auto"/>
            <w:noWrap/>
            <w:vAlign w:val="center"/>
            <w:hideMark/>
          </w:tcPr>
          <w:p w14:paraId="7269C8ED" w14:textId="77777777" w:rsidR="00BC6E7D" w:rsidRPr="00E65AA7" w:rsidRDefault="00BC6E7D" w:rsidP="00164318">
            <w:pPr>
              <w:jc w:val="center"/>
              <w:rPr>
                <w:color w:val="000000"/>
                <w:sz w:val="20"/>
                <w:szCs w:val="20"/>
              </w:rPr>
            </w:pPr>
            <w:r w:rsidRPr="00E65AA7">
              <w:rPr>
                <w:color w:val="000000"/>
                <w:sz w:val="20"/>
                <w:szCs w:val="20"/>
              </w:rPr>
              <w:t>-0.43</w:t>
            </w:r>
          </w:p>
        </w:tc>
        <w:tc>
          <w:tcPr>
            <w:tcW w:w="385" w:type="pct"/>
            <w:tcBorders>
              <w:top w:val="nil"/>
              <w:left w:val="nil"/>
              <w:bottom w:val="nil"/>
              <w:right w:val="nil"/>
            </w:tcBorders>
            <w:shd w:val="clear" w:color="auto" w:fill="auto"/>
            <w:noWrap/>
            <w:vAlign w:val="center"/>
            <w:hideMark/>
          </w:tcPr>
          <w:p w14:paraId="5F4E25DB" w14:textId="77777777" w:rsidR="00BC6E7D" w:rsidRPr="00E65AA7" w:rsidRDefault="00BC6E7D" w:rsidP="00164318">
            <w:pPr>
              <w:jc w:val="center"/>
              <w:rPr>
                <w:color w:val="000000"/>
                <w:sz w:val="20"/>
                <w:szCs w:val="20"/>
              </w:rPr>
            </w:pPr>
            <w:r w:rsidRPr="00E65AA7">
              <w:rPr>
                <w:color w:val="000000"/>
                <w:sz w:val="20"/>
                <w:szCs w:val="20"/>
              </w:rPr>
              <w:t>-0.60</w:t>
            </w:r>
          </w:p>
        </w:tc>
        <w:tc>
          <w:tcPr>
            <w:tcW w:w="385" w:type="pct"/>
            <w:tcBorders>
              <w:top w:val="nil"/>
              <w:left w:val="nil"/>
              <w:bottom w:val="nil"/>
              <w:right w:val="nil"/>
            </w:tcBorders>
            <w:shd w:val="clear" w:color="auto" w:fill="auto"/>
            <w:noWrap/>
            <w:vAlign w:val="center"/>
            <w:hideMark/>
          </w:tcPr>
          <w:p w14:paraId="540F22D7" w14:textId="77777777" w:rsidR="00BC6E7D" w:rsidRPr="00E65AA7" w:rsidRDefault="00BC6E7D" w:rsidP="00164318">
            <w:pPr>
              <w:jc w:val="center"/>
              <w:rPr>
                <w:color w:val="000000"/>
                <w:sz w:val="20"/>
                <w:szCs w:val="20"/>
              </w:rPr>
            </w:pPr>
            <w:r w:rsidRPr="00E65AA7">
              <w:rPr>
                <w:color w:val="000000"/>
                <w:sz w:val="20"/>
                <w:szCs w:val="20"/>
              </w:rPr>
              <w:t>-0.72</w:t>
            </w:r>
          </w:p>
        </w:tc>
        <w:tc>
          <w:tcPr>
            <w:tcW w:w="385" w:type="pct"/>
            <w:tcBorders>
              <w:top w:val="nil"/>
              <w:left w:val="nil"/>
              <w:bottom w:val="nil"/>
              <w:right w:val="nil"/>
            </w:tcBorders>
            <w:shd w:val="clear" w:color="auto" w:fill="auto"/>
            <w:noWrap/>
            <w:vAlign w:val="center"/>
            <w:hideMark/>
          </w:tcPr>
          <w:p w14:paraId="63B87B9A" w14:textId="77777777" w:rsidR="00BC6E7D" w:rsidRPr="00E65AA7" w:rsidRDefault="00BC6E7D" w:rsidP="00164318">
            <w:pPr>
              <w:jc w:val="center"/>
              <w:rPr>
                <w:color w:val="000000"/>
                <w:sz w:val="20"/>
                <w:szCs w:val="20"/>
              </w:rPr>
            </w:pPr>
            <w:r w:rsidRPr="00E65AA7">
              <w:rPr>
                <w:color w:val="000000"/>
                <w:sz w:val="20"/>
                <w:szCs w:val="20"/>
              </w:rPr>
              <w:t>-0.91</w:t>
            </w:r>
          </w:p>
        </w:tc>
        <w:tc>
          <w:tcPr>
            <w:tcW w:w="385" w:type="pct"/>
            <w:tcBorders>
              <w:top w:val="nil"/>
              <w:left w:val="nil"/>
              <w:bottom w:val="nil"/>
              <w:right w:val="nil"/>
            </w:tcBorders>
            <w:shd w:val="clear" w:color="auto" w:fill="auto"/>
            <w:noWrap/>
            <w:vAlign w:val="center"/>
            <w:hideMark/>
          </w:tcPr>
          <w:p w14:paraId="376AB98F" w14:textId="77777777" w:rsidR="00BC6E7D" w:rsidRPr="00E65AA7" w:rsidRDefault="00BC6E7D" w:rsidP="00164318">
            <w:pPr>
              <w:jc w:val="center"/>
              <w:rPr>
                <w:color w:val="000000"/>
                <w:sz w:val="20"/>
                <w:szCs w:val="20"/>
              </w:rPr>
            </w:pPr>
            <w:r w:rsidRPr="00E65AA7">
              <w:rPr>
                <w:color w:val="000000"/>
                <w:sz w:val="20"/>
                <w:szCs w:val="20"/>
              </w:rPr>
              <w:t>-0.81</w:t>
            </w:r>
          </w:p>
        </w:tc>
        <w:tc>
          <w:tcPr>
            <w:tcW w:w="385" w:type="pct"/>
            <w:tcBorders>
              <w:top w:val="nil"/>
              <w:left w:val="nil"/>
              <w:bottom w:val="nil"/>
              <w:right w:val="nil"/>
            </w:tcBorders>
            <w:shd w:val="clear" w:color="auto" w:fill="auto"/>
            <w:noWrap/>
            <w:vAlign w:val="center"/>
            <w:hideMark/>
          </w:tcPr>
          <w:p w14:paraId="145D6B09" w14:textId="77777777" w:rsidR="00BC6E7D" w:rsidRPr="00E65AA7" w:rsidRDefault="00BC6E7D" w:rsidP="00164318">
            <w:pPr>
              <w:jc w:val="center"/>
              <w:rPr>
                <w:color w:val="000000"/>
                <w:sz w:val="20"/>
                <w:szCs w:val="20"/>
              </w:rPr>
            </w:pPr>
            <w:r w:rsidRPr="00E65AA7">
              <w:rPr>
                <w:color w:val="000000"/>
                <w:sz w:val="20"/>
                <w:szCs w:val="20"/>
              </w:rPr>
              <w:t>-1.18</w:t>
            </w:r>
          </w:p>
        </w:tc>
        <w:tc>
          <w:tcPr>
            <w:tcW w:w="385" w:type="pct"/>
            <w:tcBorders>
              <w:top w:val="nil"/>
              <w:left w:val="nil"/>
              <w:bottom w:val="nil"/>
              <w:right w:val="nil"/>
            </w:tcBorders>
            <w:shd w:val="clear" w:color="auto" w:fill="auto"/>
            <w:noWrap/>
            <w:vAlign w:val="center"/>
            <w:hideMark/>
          </w:tcPr>
          <w:p w14:paraId="5EDFE1B4" w14:textId="77777777" w:rsidR="00BC6E7D" w:rsidRPr="00E65AA7" w:rsidRDefault="00BC6E7D" w:rsidP="00164318">
            <w:pPr>
              <w:jc w:val="center"/>
              <w:rPr>
                <w:color w:val="000000"/>
                <w:sz w:val="20"/>
                <w:szCs w:val="20"/>
              </w:rPr>
            </w:pPr>
            <w:r w:rsidRPr="00E65AA7">
              <w:rPr>
                <w:color w:val="000000"/>
                <w:sz w:val="20"/>
                <w:szCs w:val="20"/>
              </w:rPr>
              <w:t>-1.37</w:t>
            </w:r>
          </w:p>
        </w:tc>
        <w:tc>
          <w:tcPr>
            <w:tcW w:w="385" w:type="pct"/>
            <w:tcBorders>
              <w:top w:val="nil"/>
              <w:left w:val="nil"/>
              <w:bottom w:val="nil"/>
              <w:right w:val="nil"/>
            </w:tcBorders>
            <w:shd w:val="clear" w:color="auto" w:fill="auto"/>
            <w:noWrap/>
            <w:vAlign w:val="center"/>
            <w:hideMark/>
          </w:tcPr>
          <w:p w14:paraId="4DE2A163" w14:textId="77777777" w:rsidR="00BC6E7D" w:rsidRPr="00E65AA7" w:rsidRDefault="00BC6E7D" w:rsidP="00164318">
            <w:pPr>
              <w:jc w:val="center"/>
              <w:rPr>
                <w:color w:val="000000"/>
                <w:sz w:val="20"/>
                <w:szCs w:val="20"/>
              </w:rPr>
            </w:pPr>
            <w:r w:rsidRPr="00E65AA7">
              <w:rPr>
                <w:color w:val="000000"/>
                <w:sz w:val="20"/>
                <w:szCs w:val="20"/>
              </w:rPr>
              <w:t>-1.84</w:t>
            </w:r>
          </w:p>
        </w:tc>
        <w:tc>
          <w:tcPr>
            <w:tcW w:w="410" w:type="pct"/>
            <w:tcBorders>
              <w:top w:val="nil"/>
              <w:left w:val="nil"/>
              <w:bottom w:val="nil"/>
              <w:right w:val="nil"/>
            </w:tcBorders>
            <w:shd w:val="clear" w:color="auto" w:fill="auto"/>
            <w:noWrap/>
            <w:vAlign w:val="center"/>
            <w:hideMark/>
          </w:tcPr>
          <w:p w14:paraId="0A563B7E"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1.98</w:t>
            </w:r>
          </w:p>
        </w:tc>
      </w:tr>
      <w:tr w:rsidR="00BC6E7D" w:rsidRPr="00E65AA7" w14:paraId="77D93A8C" w14:textId="77777777" w:rsidTr="00BC6E7D">
        <w:trPr>
          <w:trHeight w:hRule="exact" w:val="255"/>
        </w:trPr>
        <w:tc>
          <w:tcPr>
            <w:tcW w:w="483" w:type="pct"/>
            <w:vMerge/>
            <w:tcBorders>
              <w:top w:val="nil"/>
              <w:left w:val="nil"/>
              <w:right w:val="nil"/>
            </w:tcBorders>
            <w:vAlign w:val="center"/>
            <w:hideMark/>
          </w:tcPr>
          <w:p w14:paraId="742CE32F" w14:textId="77777777" w:rsidR="00BC6E7D" w:rsidRPr="00E65AA7" w:rsidRDefault="00BC6E7D" w:rsidP="00164318">
            <w:pPr>
              <w:rPr>
                <w:rFonts w:eastAsia="Times New Roman"/>
                <w:color w:val="000000"/>
                <w:sz w:val="20"/>
                <w:szCs w:val="20"/>
                <w:lang w:eastAsia="en-MY"/>
              </w:rPr>
            </w:pPr>
          </w:p>
        </w:tc>
        <w:tc>
          <w:tcPr>
            <w:tcW w:w="257" w:type="pct"/>
            <w:vMerge/>
            <w:tcBorders>
              <w:left w:val="nil"/>
              <w:right w:val="nil"/>
            </w:tcBorders>
            <w:vAlign w:val="center"/>
          </w:tcPr>
          <w:p w14:paraId="7914735D" w14:textId="77777777" w:rsidR="00BC6E7D" w:rsidRPr="00E65AA7" w:rsidRDefault="00BC6E7D" w:rsidP="00164318">
            <w:pPr>
              <w:jc w:val="center"/>
              <w:rPr>
                <w:rFonts w:eastAsia="Times New Roman"/>
                <w:sz w:val="20"/>
                <w:szCs w:val="20"/>
                <w:lang w:eastAsia="en-MY"/>
              </w:rPr>
            </w:pPr>
          </w:p>
        </w:tc>
        <w:tc>
          <w:tcPr>
            <w:tcW w:w="385" w:type="pct"/>
            <w:tcBorders>
              <w:top w:val="nil"/>
              <w:left w:val="nil"/>
              <w:right w:val="nil"/>
            </w:tcBorders>
            <w:shd w:val="clear" w:color="auto" w:fill="auto"/>
            <w:noWrap/>
            <w:vAlign w:val="center"/>
            <w:hideMark/>
          </w:tcPr>
          <w:p w14:paraId="209AA934" w14:textId="77777777" w:rsidR="00BC6E7D" w:rsidRPr="00E65AA7" w:rsidRDefault="00BC6E7D" w:rsidP="00164318">
            <w:pPr>
              <w:jc w:val="center"/>
              <w:rPr>
                <w:color w:val="000000"/>
                <w:sz w:val="20"/>
                <w:szCs w:val="20"/>
              </w:rPr>
            </w:pPr>
            <w:r w:rsidRPr="00E65AA7">
              <w:rPr>
                <w:color w:val="000000"/>
                <w:sz w:val="20"/>
                <w:szCs w:val="20"/>
              </w:rPr>
              <w:t>(0.34)</w:t>
            </w:r>
          </w:p>
        </w:tc>
        <w:tc>
          <w:tcPr>
            <w:tcW w:w="385" w:type="pct"/>
            <w:tcBorders>
              <w:top w:val="nil"/>
              <w:left w:val="nil"/>
              <w:right w:val="nil"/>
            </w:tcBorders>
            <w:shd w:val="clear" w:color="auto" w:fill="auto"/>
            <w:noWrap/>
            <w:vAlign w:val="center"/>
            <w:hideMark/>
          </w:tcPr>
          <w:p w14:paraId="6859F173" w14:textId="77777777" w:rsidR="00BC6E7D" w:rsidRPr="00E65AA7" w:rsidRDefault="00BC6E7D" w:rsidP="00164318">
            <w:pPr>
              <w:jc w:val="center"/>
              <w:rPr>
                <w:color w:val="000000"/>
                <w:sz w:val="20"/>
                <w:szCs w:val="20"/>
              </w:rPr>
            </w:pPr>
            <w:r w:rsidRPr="00E65AA7">
              <w:rPr>
                <w:color w:val="000000"/>
                <w:sz w:val="20"/>
                <w:szCs w:val="20"/>
              </w:rPr>
              <w:t>(-0.24)</w:t>
            </w:r>
          </w:p>
        </w:tc>
        <w:tc>
          <w:tcPr>
            <w:tcW w:w="385" w:type="pct"/>
            <w:tcBorders>
              <w:top w:val="nil"/>
              <w:left w:val="nil"/>
              <w:right w:val="nil"/>
            </w:tcBorders>
            <w:shd w:val="clear" w:color="auto" w:fill="auto"/>
            <w:noWrap/>
            <w:vAlign w:val="center"/>
            <w:hideMark/>
          </w:tcPr>
          <w:p w14:paraId="5D90C681" w14:textId="77777777" w:rsidR="00BC6E7D" w:rsidRPr="00E65AA7" w:rsidRDefault="00BC6E7D" w:rsidP="00164318">
            <w:pPr>
              <w:jc w:val="center"/>
              <w:rPr>
                <w:color w:val="000000"/>
                <w:sz w:val="20"/>
                <w:szCs w:val="20"/>
              </w:rPr>
            </w:pPr>
            <w:r w:rsidRPr="00E65AA7">
              <w:rPr>
                <w:color w:val="000000"/>
                <w:sz w:val="20"/>
                <w:szCs w:val="20"/>
              </w:rPr>
              <w:t>(-0.78)</w:t>
            </w:r>
          </w:p>
        </w:tc>
        <w:tc>
          <w:tcPr>
            <w:tcW w:w="385" w:type="pct"/>
            <w:tcBorders>
              <w:top w:val="nil"/>
              <w:left w:val="nil"/>
              <w:right w:val="nil"/>
            </w:tcBorders>
            <w:shd w:val="clear" w:color="auto" w:fill="auto"/>
            <w:noWrap/>
            <w:vAlign w:val="center"/>
            <w:hideMark/>
          </w:tcPr>
          <w:p w14:paraId="161C3B20" w14:textId="77777777" w:rsidR="00BC6E7D" w:rsidRPr="00E65AA7" w:rsidRDefault="00BC6E7D" w:rsidP="00164318">
            <w:pPr>
              <w:jc w:val="center"/>
              <w:rPr>
                <w:color w:val="000000"/>
                <w:sz w:val="20"/>
                <w:szCs w:val="20"/>
              </w:rPr>
            </w:pPr>
            <w:r w:rsidRPr="00E65AA7">
              <w:rPr>
                <w:color w:val="000000"/>
                <w:sz w:val="20"/>
                <w:szCs w:val="20"/>
              </w:rPr>
              <w:t>(-1.01)</w:t>
            </w:r>
          </w:p>
        </w:tc>
        <w:tc>
          <w:tcPr>
            <w:tcW w:w="385" w:type="pct"/>
            <w:tcBorders>
              <w:top w:val="nil"/>
              <w:left w:val="nil"/>
              <w:right w:val="nil"/>
            </w:tcBorders>
            <w:shd w:val="clear" w:color="auto" w:fill="auto"/>
            <w:noWrap/>
            <w:vAlign w:val="center"/>
            <w:hideMark/>
          </w:tcPr>
          <w:p w14:paraId="5415028E" w14:textId="77777777" w:rsidR="00BC6E7D" w:rsidRPr="00E65AA7" w:rsidRDefault="00BC6E7D" w:rsidP="00164318">
            <w:pPr>
              <w:jc w:val="center"/>
              <w:rPr>
                <w:color w:val="000000"/>
                <w:sz w:val="20"/>
                <w:szCs w:val="20"/>
              </w:rPr>
            </w:pPr>
            <w:r w:rsidRPr="00E65AA7">
              <w:rPr>
                <w:color w:val="000000"/>
                <w:sz w:val="20"/>
                <w:szCs w:val="20"/>
              </w:rPr>
              <w:t>(-1.16)</w:t>
            </w:r>
          </w:p>
        </w:tc>
        <w:tc>
          <w:tcPr>
            <w:tcW w:w="385" w:type="pct"/>
            <w:tcBorders>
              <w:top w:val="nil"/>
              <w:left w:val="nil"/>
              <w:right w:val="nil"/>
            </w:tcBorders>
            <w:shd w:val="clear" w:color="auto" w:fill="auto"/>
            <w:noWrap/>
            <w:vAlign w:val="center"/>
            <w:hideMark/>
          </w:tcPr>
          <w:p w14:paraId="450FE9D0" w14:textId="77777777" w:rsidR="00BC6E7D" w:rsidRPr="00E65AA7" w:rsidRDefault="00BC6E7D" w:rsidP="00164318">
            <w:pPr>
              <w:jc w:val="center"/>
              <w:rPr>
                <w:color w:val="000000"/>
                <w:sz w:val="20"/>
                <w:szCs w:val="20"/>
              </w:rPr>
            </w:pPr>
            <w:r w:rsidRPr="00E65AA7">
              <w:rPr>
                <w:color w:val="000000"/>
                <w:sz w:val="20"/>
                <w:szCs w:val="20"/>
              </w:rPr>
              <w:t>(-1.39)</w:t>
            </w:r>
          </w:p>
        </w:tc>
        <w:tc>
          <w:tcPr>
            <w:tcW w:w="385" w:type="pct"/>
            <w:tcBorders>
              <w:top w:val="nil"/>
              <w:left w:val="nil"/>
              <w:right w:val="nil"/>
            </w:tcBorders>
            <w:shd w:val="clear" w:color="auto" w:fill="auto"/>
            <w:noWrap/>
            <w:vAlign w:val="center"/>
            <w:hideMark/>
          </w:tcPr>
          <w:p w14:paraId="0E899D71" w14:textId="77777777" w:rsidR="00BC6E7D" w:rsidRPr="00E65AA7" w:rsidRDefault="00BC6E7D" w:rsidP="00164318">
            <w:pPr>
              <w:jc w:val="center"/>
              <w:rPr>
                <w:color w:val="000000"/>
                <w:sz w:val="20"/>
                <w:szCs w:val="20"/>
              </w:rPr>
            </w:pPr>
            <w:r w:rsidRPr="00E65AA7">
              <w:rPr>
                <w:color w:val="000000"/>
                <w:sz w:val="20"/>
                <w:szCs w:val="20"/>
              </w:rPr>
              <w:t>(-1.09)</w:t>
            </w:r>
          </w:p>
        </w:tc>
        <w:tc>
          <w:tcPr>
            <w:tcW w:w="385" w:type="pct"/>
            <w:tcBorders>
              <w:top w:val="nil"/>
              <w:left w:val="nil"/>
              <w:right w:val="nil"/>
            </w:tcBorders>
            <w:shd w:val="clear" w:color="auto" w:fill="auto"/>
            <w:noWrap/>
            <w:vAlign w:val="center"/>
            <w:hideMark/>
          </w:tcPr>
          <w:p w14:paraId="5069B976" w14:textId="77777777" w:rsidR="00BC6E7D" w:rsidRPr="00E65AA7" w:rsidRDefault="00BC6E7D" w:rsidP="00164318">
            <w:pPr>
              <w:jc w:val="center"/>
              <w:rPr>
                <w:color w:val="000000"/>
                <w:sz w:val="20"/>
                <w:szCs w:val="20"/>
              </w:rPr>
            </w:pPr>
            <w:r w:rsidRPr="00E65AA7">
              <w:rPr>
                <w:color w:val="000000"/>
                <w:sz w:val="20"/>
                <w:szCs w:val="20"/>
              </w:rPr>
              <w:t>(-1.54)</w:t>
            </w:r>
          </w:p>
        </w:tc>
        <w:tc>
          <w:tcPr>
            <w:tcW w:w="385" w:type="pct"/>
            <w:tcBorders>
              <w:top w:val="nil"/>
              <w:left w:val="nil"/>
              <w:right w:val="nil"/>
            </w:tcBorders>
            <w:shd w:val="clear" w:color="auto" w:fill="auto"/>
            <w:noWrap/>
            <w:vAlign w:val="center"/>
            <w:hideMark/>
          </w:tcPr>
          <w:p w14:paraId="02FCD3AA" w14:textId="77777777" w:rsidR="00BC6E7D" w:rsidRPr="00E65AA7" w:rsidRDefault="00BC6E7D" w:rsidP="00164318">
            <w:pPr>
              <w:jc w:val="center"/>
              <w:rPr>
                <w:color w:val="000000"/>
                <w:sz w:val="20"/>
                <w:szCs w:val="20"/>
              </w:rPr>
            </w:pPr>
            <w:r w:rsidRPr="00E65AA7">
              <w:rPr>
                <w:color w:val="000000"/>
                <w:sz w:val="20"/>
                <w:szCs w:val="20"/>
              </w:rPr>
              <w:t>(-1.53)</w:t>
            </w:r>
          </w:p>
        </w:tc>
        <w:tc>
          <w:tcPr>
            <w:tcW w:w="385" w:type="pct"/>
            <w:tcBorders>
              <w:top w:val="nil"/>
              <w:left w:val="nil"/>
              <w:right w:val="nil"/>
            </w:tcBorders>
            <w:shd w:val="clear" w:color="auto" w:fill="auto"/>
            <w:noWrap/>
            <w:vAlign w:val="center"/>
            <w:hideMark/>
          </w:tcPr>
          <w:p w14:paraId="3850D489" w14:textId="77777777" w:rsidR="00BC6E7D" w:rsidRPr="00E65AA7" w:rsidRDefault="00BC6E7D" w:rsidP="00164318">
            <w:pPr>
              <w:jc w:val="center"/>
              <w:rPr>
                <w:color w:val="000000"/>
                <w:sz w:val="20"/>
                <w:szCs w:val="20"/>
              </w:rPr>
            </w:pPr>
            <w:r w:rsidRPr="00E65AA7">
              <w:rPr>
                <w:color w:val="000000"/>
                <w:sz w:val="20"/>
                <w:szCs w:val="20"/>
              </w:rPr>
              <w:t>(-1.68)</w:t>
            </w:r>
          </w:p>
        </w:tc>
        <w:tc>
          <w:tcPr>
            <w:tcW w:w="410" w:type="pct"/>
            <w:tcBorders>
              <w:top w:val="nil"/>
              <w:left w:val="nil"/>
              <w:right w:val="nil"/>
            </w:tcBorders>
            <w:shd w:val="clear" w:color="auto" w:fill="auto"/>
            <w:noWrap/>
            <w:vAlign w:val="center"/>
            <w:hideMark/>
          </w:tcPr>
          <w:p w14:paraId="0FF652F5"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2.05)</w:t>
            </w:r>
          </w:p>
        </w:tc>
      </w:tr>
      <w:tr w:rsidR="00BC6E7D" w:rsidRPr="00E65AA7" w14:paraId="576EB4C3" w14:textId="77777777" w:rsidTr="00BC6E7D">
        <w:trPr>
          <w:trHeight w:hRule="exact" w:val="255"/>
        </w:trPr>
        <w:tc>
          <w:tcPr>
            <w:tcW w:w="483" w:type="pct"/>
            <w:vMerge w:val="restart"/>
            <w:tcBorders>
              <w:top w:val="nil"/>
              <w:left w:val="nil"/>
              <w:right w:val="nil"/>
            </w:tcBorders>
            <w:vAlign w:val="center"/>
          </w:tcPr>
          <w:p w14:paraId="63A7F9E1" w14:textId="77777777" w:rsidR="00BC6E7D" w:rsidRPr="00E65AA7" w:rsidRDefault="00BC6E7D" w:rsidP="00164318">
            <w:pPr>
              <w:rPr>
                <w:rFonts w:eastAsia="Times New Roman"/>
                <w:b/>
                <w:color w:val="000000"/>
                <w:sz w:val="20"/>
                <w:szCs w:val="20"/>
                <w:lang w:eastAsia="en-MY"/>
              </w:rPr>
            </w:pPr>
            <w:r w:rsidRPr="00E65AA7">
              <w:rPr>
                <w:rFonts w:eastAsia="Times New Roman"/>
                <w:b/>
                <w:sz w:val="20"/>
                <w:szCs w:val="20"/>
                <w:lang w:eastAsia="en-MY"/>
              </w:rPr>
              <w:t>L/H</w:t>
            </w:r>
          </w:p>
        </w:tc>
        <w:tc>
          <w:tcPr>
            <w:tcW w:w="257" w:type="pct"/>
            <w:vMerge w:val="restart"/>
            <w:tcBorders>
              <w:top w:val="nil"/>
              <w:left w:val="nil"/>
              <w:right w:val="nil"/>
            </w:tcBorders>
            <w:vAlign w:val="center"/>
          </w:tcPr>
          <w:p w14:paraId="3E2A11AB"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74</w:t>
            </w:r>
          </w:p>
        </w:tc>
        <w:tc>
          <w:tcPr>
            <w:tcW w:w="385" w:type="pct"/>
            <w:tcBorders>
              <w:top w:val="nil"/>
              <w:left w:val="nil"/>
              <w:right w:val="nil"/>
            </w:tcBorders>
            <w:shd w:val="clear" w:color="auto" w:fill="auto"/>
            <w:noWrap/>
            <w:vAlign w:val="center"/>
          </w:tcPr>
          <w:p w14:paraId="6EF49A4B" w14:textId="77777777" w:rsidR="00BC6E7D" w:rsidRPr="00E65AA7" w:rsidRDefault="00BC6E7D" w:rsidP="00164318">
            <w:pPr>
              <w:jc w:val="center"/>
              <w:rPr>
                <w:color w:val="000000"/>
                <w:sz w:val="20"/>
                <w:szCs w:val="20"/>
              </w:rPr>
            </w:pPr>
            <w:r w:rsidRPr="00E65AA7">
              <w:rPr>
                <w:color w:val="000000"/>
                <w:sz w:val="20"/>
                <w:szCs w:val="20"/>
              </w:rPr>
              <w:t>1.77</w:t>
            </w:r>
          </w:p>
        </w:tc>
        <w:tc>
          <w:tcPr>
            <w:tcW w:w="385" w:type="pct"/>
            <w:tcBorders>
              <w:top w:val="nil"/>
              <w:left w:val="nil"/>
              <w:right w:val="nil"/>
            </w:tcBorders>
            <w:shd w:val="clear" w:color="auto" w:fill="auto"/>
            <w:noWrap/>
            <w:vAlign w:val="center"/>
          </w:tcPr>
          <w:p w14:paraId="38D032E5" w14:textId="77777777" w:rsidR="00BC6E7D" w:rsidRPr="00E65AA7" w:rsidRDefault="00BC6E7D" w:rsidP="00164318">
            <w:pPr>
              <w:jc w:val="center"/>
              <w:rPr>
                <w:color w:val="000000"/>
                <w:sz w:val="20"/>
                <w:szCs w:val="20"/>
              </w:rPr>
            </w:pPr>
            <w:r w:rsidRPr="00E65AA7">
              <w:rPr>
                <w:color w:val="000000"/>
                <w:sz w:val="20"/>
                <w:szCs w:val="20"/>
              </w:rPr>
              <w:t>2.19</w:t>
            </w:r>
          </w:p>
        </w:tc>
        <w:tc>
          <w:tcPr>
            <w:tcW w:w="385" w:type="pct"/>
            <w:tcBorders>
              <w:top w:val="nil"/>
              <w:left w:val="nil"/>
              <w:right w:val="nil"/>
            </w:tcBorders>
            <w:shd w:val="clear" w:color="auto" w:fill="auto"/>
            <w:noWrap/>
            <w:vAlign w:val="center"/>
          </w:tcPr>
          <w:p w14:paraId="263D5A94" w14:textId="77777777" w:rsidR="00BC6E7D" w:rsidRPr="00E65AA7" w:rsidRDefault="00BC6E7D" w:rsidP="00164318">
            <w:pPr>
              <w:jc w:val="center"/>
              <w:rPr>
                <w:color w:val="000000"/>
                <w:sz w:val="20"/>
                <w:szCs w:val="20"/>
              </w:rPr>
            </w:pPr>
            <w:r w:rsidRPr="00E65AA7">
              <w:rPr>
                <w:color w:val="000000"/>
                <w:sz w:val="20"/>
                <w:szCs w:val="20"/>
              </w:rPr>
              <w:t>2.29</w:t>
            </w:r>
          </w:p>
        </w:tc>
        <w:tc>
          <w:tcPr>
            <w:tcW w:w="385" w:type="pct"/>
            <w:tcBorders>
              <w:top w:val="nil"/>
              <w:left w:val="nil"/>
              <w:right w:val="nil"/>
            </w:tcBorders>
            <w:shd w:val="clear" w:color="auto" w:fill="auto"/>
            <w:noWrap/>
            <w:vAlign w:val="center"/>
          </w:tcPr>
          <w:p w14:paraId="1AC89C03" w14:textId="77777777" w:rsidR="00BC6E7D" w:rsidRPr="00E65AA7" w:rsidRDefault="00BC6E7D" w:rsidP="00164318">
            <w:pPr>
              <w:jc w:val="center"/>
              <w:rPr>
                <w:color w:val="000000"/>
                <w:sz w:val="20"/>
                <w:szCs w:val="20"/>
              </w:rPr>
            </w:pPr>
            <w:r w:rsidRPr="00E65AA7">
              <w:rPr>
                <w:color w:val="000000"/>
                <w:sz w:val="20"/>
                <w:szCs w:val="20"/>
              </w:rPr>
              <w:t>2.50</w:t>
            </w:r>
          </w:p>
        </w:tc>
        <w:tc>
          <w:tcPr>
            <w:tcW w:w="385" w:type="pct"/>
            <w:tcBorders>
              <w:top w:val="nil"/>
              <w:left w:val="nil"/>
              <w:right w:val="nil"/>
            </w:tcBorders>
            <w:shd w:val="clear" w:color="auto" w:fill="auto"/>
            <w:noWrap/>
            <w:vAlign w:val="center"/>
          </w:tcPr>
          <w:p w14:paraId="1D15D411" w14:textId="77777777" w:rsidR="00BC6E7D" w:rsidRPr="00E65AA7" w:rsidRDefault="00BC6E7D" w:rsidP="00164318">
            <w:pPr>
              <w:jc w:val="center"/>
              <w:rPr>
                <w:color w:val="000000"/>
                <w:sz w:val="20"/>
                <w:szCs w:val="20"/>
              </w:rPr>
            </w:pPr>
            <w:r w:rsidRPr="00E65AA7">
              <w:rPr>
                <w:color w:val="000000"/>
                <w:sz w:val="20"/>
                <w:szCs w:val="20"/>
              </w:rPr>
              <w:t>2.67</w:t>
            </w:r>
          </w:p>
        </w:tc>
        <w:tc>
          <w:tcPr>
            <w:tcW w:w="385" w:type="pct"/>
            <w:tcBorders>
              <w:top w:val="nil"/>
              <w:left w:val="nil"/>
              <w:right w:val="nil"/>
            </w:tcBorders>
            <w:shd w:val="clear" w:color="auto" w:fill="auto"/>
            <w:noWrap/>
            <w:vAlign w:val="center"/>
          </w:tcPr>
          <w:p w14:paraId="697553C2" w14:textId="77777777" w:rsidR="00BC6E7D" w:rsidRPr="00E65AA7" w:rsidRDefault="00BC6E7D" w:rsidP="00164318">
            <w:pPr>
              <w:jc w:val="center"/>
              <w:rPr>
                <w:color w:val="000000"/>
                <w:sz w:val="20"/>
                <w:szCs w:val="20"/>
              </w:rPr>
            </w:pPr>
            <w:r w:rsidRPr="00E65AA7">
              <w:rPr>
                <w:color w:val="000000"/>
                <w:sz w:val="20"/>
                <w:szCs w:val="20"/>
              </w:rPr>
              <w:t>2.80</w:t>
            </w:r>
          </w:p>
        </w:tc>
        <w:tc>
          <w:tcPr>
            <w:tcW w:w="385" w:type="pct"/>
            <w:tcBorders>
              <w:top w:val="nil"/>
              <w:left w:val="nil"/>
              <w:right w:val="nil"/>
            </w:tcBorders>
            <w:shd w:val="clear" w:color="auto" w:fill="auto"/>
            <w:noWrap/>
            <w:vAlign w:val="center"/>
          </w:tcPr>
          <w:p w14:paraId="551B3389" w14:textId="77777777" w:rsidR="00BC6E7D" w:rsidRPr="00E65AA7" w:rsidRDefault="00BC6E7D" w:rsidP="00164318">
            <w:pPr>
              <w:jc w:val="center"/>
              <w:rPr>
                <w:color w:val="000000"/>
                <w:sz w:val="20"/>
                <w:szCs w:val="20"/>
              </w:rPr>
            </w:pPr>
            <w:r w:rsidRPr="00E65AA7">
              <w:rPr>
                <w:color w:val="000000"/>
                <w:sz w:val="20"/>
                <w:szCs w:val="20"/>
              </w:rPr>
              <w:t>2.81</w:t>
            </w:r>
          </w:p>
        </w:tc>
        <w:tc>
          <w:tcPr>
            <w:tcW w:w="385" w:type="pct"/>
            <w:tcBorders>
              <w:top w:val="nil"/>
              <w:left w:val="nil"/>
              <w:right w:val="nil"/>
            </w:tcBorders>
            <w:shd w:val="clear" w:color="auto" w:fill="auto"/>
            <w:noWrap/>
            <w:vAlign w:val="center"/>
          </w:tcPr>
          <w:p w14:paraId="0F94E47E" w14:textId="77777777" w:rsidR="00BC6E7D" w:rsidRPr="00E65AA7" w:rsidRDefault="00BC6E7D" w:rsidP="00164318">
            <w:pPr>
              <w:jc w:val="center"/>
              <w:rPr>
                <w:color w:val="000000"/>
                <w:sz w:val="20"/>
                <w:szCs w:val="20"/>
              </w:rPr>
            </w:pPr>
            <w:r w:rsidRPr="00E65AA7">
              <w:rPr>
                <w:color w:val="000000"/>
                <w:sz w:val="20"/>
                <w:szCs w:val="20"/>
              </w:rPr>
              <w:t>2.85</w:t>
            </w:r>
          </w:p>
        </w:tc>
        <w:tc>
          <w:tcPr>
            <w:tcW w:w="385" w:type="pct"/>
            <w:tcBorders>
              <w:top w:val="nil"/>
              <w:left w:val="nil"/>
              <w:right w:val="nil"/>
            </w:tcBorders>
            <w:shd w:val="clear" w:color="auto" w:fill="auto"/>
            <w:noWrap/>
            <w:vAlign w:val="center"/>
          </w:tcPr>
          <w:p w14:paraId="5E0E6175" w14:textId="77777777" w:rsidR="00BC6E7D" w:rsidRPr="00E65AA7" w:rsidRDefault="00BC6E7D" w:rsidP="00164318">
            <w:pPr>
              <w:jc w:val="center"/>
              <w:rPr>
                <w:color w:val="000000"/>
                <w:sz w:val="20"/>
                <w:szCs w:val="20"/>
              </w:rPr>
            </w:pPr>
            <w:r w:rsidRPr="00E65AA7">
              <w:rPr>
                <w:color w:val="000000"/>
                <w:sz w:val="20"/>
                <w:szCs w:val="20"/>
              </w:rPr>
              <w:t>3.15</w:t>
            </w:r>
          </w:p>
        </w:tc>
        <w:tc>
          <w:tcPr>
            <w:tcW w:w="385" w:type="pct"/>
            <w:tcBorders>
              <w:top w:val="nil"/>
              <w:left w:val="nil"/>
              <w:right w:val="nil"/>
            </w:tcBorders>
            <w:shd w:val="clear" w:color="auto" w:fill="auto"/>
            <w:noWrap/>
            <w:vAlign w:val="center"/>
          </w:tcPr>
          <w:p w14:paraId="68BD9B5F" w14:textId="77777777" w:rsidR="00BC6E7D" w:rsidRPr="00E65AA7" w:rsidRDefault="00BC6E7D" w:rsidP="00164318">
            <w:pPr>
              <w:jc w:val="center"/>
              <w:rPr>
                <w:color w:val="000000"/>
                <w:sz w:val="20"/>
                <w:szCs w:val="20"/>
              </w:rPr>
            </w:pPr>
            <w:r w:rsidRPr="00E65AA7">
              <w:rPr>
                <w:color w:val="000000"/>
                <w:sz w:val="20"/>
                <w:szCs w:val="20"/>
              </w:rPr>
              <w:t>3.36</w:t>
            </w:r>
          </w:p>
        </w:tc>
        <w:tc>
          <w:tcPr>
            <w:tcW w:w="410" w:type="pct"/>
            <w:tcBorders>
              <w:top w:val="nil"/>
              <w:left w:val="nil"/>
              <w:right w:val="nil"/>
            </w:tcBorders>
            <w:shd w:val="clear" w:color="auto" w:fill="auto"/>
            <w:noWrap/>
            <w:vAlign w:val="center"/>
          </w:tcPr>
          <w:p w14:paraId="4CFE6B7F" w14:textId="77777777" w:rsidR="00BC6E7D" w:rsidRPr="00E65AA7" w:rsidRDefault="00BC6E7D" w:rsidP="00164318">
            <w:pPr>
              <w:jc w:val="center"/>
              <w:rPr>
                <w:color w:val="000000"/>
                <w:sz w:val="20"/>
                <w:szCs w:val="20"/>
              </w:rPr>
            </w:pPr>
            <w:r w:rsidRPr="00E65AA7">
              <w:rPr>
                <w:color w:val="000000"/>
                <w:sz w:val="20"/>
                <w:szCs w:val="20"/>
              </w:rPr>
              <w:t>1.59</w:t>
            </w:r>
          </w:p>
        </w:tc>
      </w:tr>
      <w:tr w:rsidR="00BC6E7D" w:rsidRPr="00E65AA7" w14:paraId="1855D933" w14:textId="77777777" w:rsidTr="00BC6E7D">
        <w:trPr>
          <w:trHeight w:hRule="exact" w:val="255"/>
        </w:trPr>
        <w:tc>
          <w:tcPr>
            <w:tcW w:w="483" w:type="pct"/>
            <w:vMerge/>
            <w:tcBorders>
              <w:left w:val="nil"/>
              <w:bottom w:val="single" w:sz="4" w:space="0" w:color="auto"/>
              <w:right w:val="nil"/>
            </w:tcBorders>
            <w:vAlign w:val="center"/>
          </w:tcPr>
          <w:p w14:paraId="4D197D92" w14:textId="77777777" w:rsidR="00BC6E7D" w:rsidRPr="00E65AA7" w:rsidRDefault="00BC6E7D" w:rsidP="00164318">
            <w:pPr>
              <w:rPr>
                <w:rFonts w:eastAsia="Times New Roman"/>
                <w:color w:val="000000"/>
                <w:sz w:val="20"/>
                <w:szCs w:val="20"/>
                <w:lang w:eastAsia="en-MY"/>
              </w:rPr>
            </w:pPr>
          </w:p>
        </w:tc>
        <w:tc>
          <w:tcPr>
            <w:tcW w:w="257" w:type="pct"/>
            <w:vMerge/>
            <w:tcBorders>
              <w:left w:val="nil"/>
              <w:bottom w:val="single" w:sz="4" w:space="0" w:color="auto"/>
              <w:right w:val="nil"/>
            </w:tcBorders>
          </w:tcPr>
          <w:p w14:paraId="65F336FC" w14:textId="77777777" w:rsidR="00BC6E7D" w:rsidRPr="00E65AA7" w:rsidRDefault="00BC6E7D" w:rsidP="00164318">
            <w:pPr>
              <w:jc w:val="center"/>
              <w:rPr>
                <w:rFonts w:eastAsia="Times New Roman"/>
                <w:sz w:val="20"/>
                <w:szCs w:val="20"/>
                <w:lang w:eastAsia="en-MY"/>
              </w:rPr>
            </w:pPr>
          </w:p>
        </w:tc>
        <w:tc>
          <w:tcPr>
            <w:tcW w:w="385" w:type="pct"/>
            <w:tcBorders>
              <w:left w:val="nil"/>
              <w:bottom w:val="single" w:sz="4" w:space="0" w:color="auto"/>
              <w:right w:val="nil"/>
            </w:tcBorders>
            <w:shd w:val="clear" w:color="auto" w:fill="auto"/>
            <w:noWrap/>
            <w:vAlign w:val="center"/>
          </w:tcPr>
          <w:p w14:paraId="3E913F6F" w14:textId="77777777" w:rsidR="00BC6E7D" w:rsidRPr="00E65AA7" w:rsidRDefault="00BC6E7D" w:rsidP="00164318">
            <w:pPr>
              <w:jc w:val="center"/>
              <w:rPr>
                <w:color w:val="000000"/>
                <w:sz w:val="20"/>
                <w:szCs w:val="20"/>
              </w:rPr>
            </w:pPr>
            <w:r w:rsidRPr="00E65AA7">
              <w:rPr>
                <w:color w:val="000000"/>
                <w:sz w:val="20"/>
                <w:szCs w:val="20"/>
              </w:rPr>
              <w:t>(6.50)</w:t>
            </w:r>
          </w:p>
        </w:tc>
        <w:tc>
          <w:tcPr>
            <w:tcW w:w="385" w:type="pct"/>
            <w:tcBorders>
              <w:left w:val="nil"/>
              <w:bottom w:val="single" w:sz="4" w:space="0" w:color="auto"/>
              <w:right w:val="nil"/>
            </w:tcBorders>
            <w:shd w:val="clear" w:color="auto" w:fill="auto"/>
            <w:noWrap/>
            <w:vAlign w:val="center"/>
          </w:tcPr>
          <w:p w14:paraId="653B4FA7" w14:textId="77777777" w:rsidR="00BC6E7D" w:rsidRPr="00E65AA7" w:rsidRDefault="00BC6E7D" w:rsidP="00164318">
            <w:pPr>
              <w:jc w:val="center"/>
              <w:rPr>
                <w:color w:val="000000"/>
                <w:sz w:val="20"/>
                <w:szCs w:val="20"/>
              </w:rPr>
            </w:pPr>
            <w:r w:rsidRPr="00E65AA7">
              <w:rPr>
                <w:color w:val="000000"/>
                <w:sz w:val="20"/>
                <w:szCs w:val="20"/>
              </w:rPr>
              <w:t>(7.17)</w:t>
            </w:r>
          </w:p>
        </w:tc>
        <w:tc>
          <w:tcPr>
            <w:tcW w:w="385" w:type="pct"/>
            <w:tcBorders>
              <w:left w:val="nil"/>
              <w:bottom w:val="single" w:sz="4" w:space="0" w:color="auto"/>
              <w:right w:val="nil"/>
            </w:tcBorders>
            <w:shd w:val="clear" w:color="auto" w:fill="auto"/>
            <w:noWrap/>
            <w:vAlign w:val="center"/>
          </w:tcPr>
          <w:p w14:paraId="2F6B9AB4" w14:textId="77777777" w:rsidR="00BC6E7D" w:rsidRPr="00E65AA7" w:rsidRDefault="00BC6E7D" w:rsidP="00164318">
            <w:pPr>
              <w:jc w:val="center"/>
              <w:rPr>
                <w:color w:val="000000"/>
                <w:sz w:val="20"/>
                <w:szCs w:val="20"/>
              </w:rPr>
            </w:pPr>
            <w:r w:rsidRPr="00E65AA7">
              <w:rPr>
                <w:color w:val="000000"/>
                <w:sz w:val="20"/>
                <w:szCs w:val="20"/>
              </w:rPr>
              <w:t>(6.85)</w:t>
            </w:r>
          </w:p>
        </w:tc>
        <w:tc>
          <w:tcPr>
            <w:tcW w:w="385" w:type="pct"/>
            <w:tcBorders>
              <w:left w:val="nil"/>
              <w:bottom w:val="single" w:sz="4" w:space="0" w:color="auto"/>
              <w:right w:val="nil"/>
            </w:tcBorders>
            <w:shd w:val="clear" w:color="auto" w:fill="auto"/>
            <w:noWrap/>
            <w:vAlign w:val="center"/>
          </w:tcPr>
          <w:p w14:paraId="4E1AA77C" w14:textId="77777777" w:rsidR="00BC6E7D" w:rsidRPr="00E65AA7" w:rsidRDefault="00BC6E7D" w:rsidP="00164318">
            <w:pPr>
              <w:jc w:val="center"/>
              <w:rPr>
                <w:color w:val="000000"/>
                <w:sz w:val="20"/>
                <w:szCs w:val="20"/>
              </w:rPr>
            </w:pPr>
            <w:r w:rsidRPr="00E65AA7">
              <w:rPr>
                <w:color w:val="000000"/>
                <w:sz w:val="20"/>
                <w:szCs w:val="20"/>
              </w:rPr>
              <w:t>(6.14)</w:t>
            </w:r>
          </w:p>
        </w:tc>
        <w:tc>
          <w:tcPr>
            <w:tcW w:w="385" w:type="pct"/>
            <w:tcBorders>
              <w:left w:val="nil"/>
              <w:bottom w:val="single" w:sz="4" w:space="0" w:color="auto"/>
              <w:right w:val="nil"/>
            </w:tcBorders>
            <w:shd w:val="clear" w:color="auto" w:fill="auto"/>
            <w:noWrap/>
            <w:vAlign w:val="center"/>
          </w:tcPr>
          <w:p w14:paraId="6F980D72" w14:textId="77777777" w:rsidR="00BC6E7D" w:rsidRPr="00E65AA7" w:rsidRDefault="00BC6E7D" w:rsidP="00164318">
            <w:pPr>
              <w:jc w:val="center"/>
              <w:rPr>
                <w:color w:val="000000"/>
                <w:sz w:val="20"/>
                <w:szCs w:val="20"/>
              </w:rPr>
            </w:pPr>
            <w:r w:rsidRPr="00E65AA7">
              <w:rPr>
                <w:color w:val="000000"/>
                <w:sz w:val="20"/>
                <w:szCs w:val="20"/>
              </w:rPr>
              <w:t>(6.17)</w:t>
            </w:r>
          </w:p>
        </w:tc>
        <w:tc>
          <w:tcPr>
            <w:tcW w:w="385" w:type="pct"/>
            <w:tcBorders>
              <w:left w:val="nil"/>
              <w:bottom w:val="single" w:sz="4" w:space="0" w:color="auto"/>
              <w:right w:val="nil"/>
            </w:tcBorders>
            <w:shd w:val="clear" w:color="auto" w:fill="auto"/>
            <w:noWrap/>
            <w:vAlign w:val="center"/>
          </w:tcPr>
          <w:p w14:paraId="3748C09B" w14:textId="77777777" w:rsidR="00BC6E7D" w:rsidRPr="00E65AA7" w:rsidRDefault="00BC6E7D" w:rsidP="00164318">
            <w:pPr>
              <w:jc w:val="center"/>
              <w:rPr>
                <w:color w:val="000000"/>
                <w:sz w:val="20"/>
                <w:szCs w:val="20"/>
              </w:rPr>
            </w:pPr>
            <w:r w:rsidRPr="00E65AA7">
              <w:rPr>
                <w:color w:val="000000"/>
                <w:sz w:val="20"/>
                <w:szCs w:val="20"/>
              </w:rPr>
              <w:t>(5.76)</w:t>
            </w:r>
          </w:p>
        </w:tc>
        <w:tc>
          <w:tcPr>
            <w:tcW w:w="385" w:type="pct"/>
            <w:tcBorders>
              <w:left w:val="nil"/>
              <w:bottom w:val="single" w:sz="4" w:space="0" w:color="auto"/>
              <w:right w:val="nil"/>
            </w:tcBorders>
            <w:shd w:val="clear" w:color="auto" w:fill="auto"/>
            <w:noWrap/>
            <w:vAlign w:val="center"/>
          </w:tcPr>
          <w:p w14:paraId="7D11CD40" w14:textId="77777777" w:rsidR="00BC6E7D" w:rsidRPr="00E65AA7" w:rsidRDefault="00BC6E7D" w:rsidP="00164318">
            <w:pPr>
              <w:jc w:val="center"/>
              <w:rPr>
                <w:color w:val="000000"/>
                <w:sz w:val="20"/>
                <w:szCs w:val="20"/>
              </w:rPr>
            </w:pPr>
            <w:r w:rsidRPr="00E65AA7">
              <w:rPr>
                <w:color w:val="000000"/>
                <w:sz w:val="20"/>
                <w:szCs w:val="20"/>
              </w:rPr>
              <w:t>(5.31)</w:t>
            </w:r>
          </w:p>
        </w:tc>
        <w:tc>
          <w:tcPr>
            <w:tcW w:w="385" w:type="pct"/>
            <w:tcBorders>
              <w:left w:val="nil"/>
              <w:bottom w:val="single" w:sz="4" w:space="0" w:color="auto"/>
              <w:right w:val="nil"/>
            </w:tcBorders>
            <w:shd w:val="clear" w:color="auto" w:fill="auto"/>
            <w:noWrap/>
            <w:vAlign w:val="center"/>
          </w:tcPr>
          <w:p w14:paraId="2EFC1360" w14:textId="77777777" w:rsidR="00BC6E7D" w:rsidRPr="00E65AA7" w:rsidRDefault="00BC6E7D" w:rsidP="00164318">
            <w:pPr>
              <w:jc w:val="center"/>
              <w:rPr>
                <w:color w:val="000000"/>
                <w:sz w:val="20"/>
                <w:szCs w:val="20"/>
              </w:rPr>
            </w:pPr>
            <w:r w:rsidRPr="00E65AA7">
              <w:rPr>
                <w:color w:val="000000"/>
                <w:sz w:val="20"/>
                <w:szCs w:val="20"/>
              </w:rPr>
              <w:t>(4.64)</w:t>
            </w:r>
          </w:p>
        </w:tc>
        <w:tc>
          <w:tcPr>
            <w:tcW w:w="385" w:type="pct"/>
            <w:tcBorders>
              <w:left w:val="nil"/>
              <w:bottom w:val="single" w:sz="4" w:space="0" w:color="auto"/>
              <w:right w:val="nil"/>
            </w:tcBorders>
            <w:shd w:val="clear" w:color="auto" w:fill="auto"/>
            <w:noWrap/>
            <w:vAlign w:val="center"/>
          </w:tcPr>
          <w:p w14:paraId="17801EEC" w14:textId="77777777" w:rsidR="00BC6E7D" w:rsidRPr="00E65AA7" w:rsidRDefault="00BC6E7D" w:rsidP="00164318">
            <w:pPr>
              <w:jc w:val="center"/>
              <w:rPr>
                <w:color w:val="000000"/>
                <w:sz w:val="20"/>
                <w:szCs w:val="20"/>
              </w:rPr>
            </w:pPr>
            <w:r w:rsidRPr="00E65AA7">
              <w:rPr>
                <w:color w:val="000000"/>
                <w:sz w:val="20"/>
                <w:szCs w:val="20"/>
              </w:rPr>
              <w:t>(4.27)</w:t>
            </w:r>
          </w:p>
        </w:tc>
        <w:tc>
          <w:tcPr>
            <w:tcW w:w="385" w:type="pct"/>
            <w:tcBorders>
              <w:left w:val="nil"/>
              <w:bottom w:val="single" w:sz="4" w:space="0" w:color="auto"/>
              <w:right w:val="nil"/>
            </w:tcBorders>
            <w:shd w:val="clear" w:color="auto" w:fill="auto"/>
            <w:noWrap/>
            <w:vAlign w:val="center"/>
          </w:tcPr>
          <w:p w14:paraId="292EFD6E" w14:textId="77777777" w:rsidR="00BC6E7D" w:rsidRPr="00E65AA7" w:rsidRDefault="00BC6E7D" w:rsidP="00164318">
            <w:pPr>
              <w:jc w:val="center"/>
              <w:rPr>
                <w:color w:val="000000"/>
                <w:sz w:val="20"/>
                <w:szCs w:val="20"/>
              </w:rPr>
            </w:pPr>
            <w:r w:rsidRPr="00E65AA7">
              <w:rPr>
                <w:color w:val="000000"/>
                <w:sz w:val="20"/>
                <w:szCs w:val="20"/>
              </w:rPr>
              <w:t>(3.19)</w:t>
            </w:r>
          </w:p>
        </w:tc>
        <w:tc>
          <w:tcPr>
            <w:tcW w:w="410" w:type="pct"/>
            <w:tcBorders>
              <w:left w:val="nil"/>
              <w:bottom w:val="single" w:sz="4" w:space="0" w:color="auto"/>
              <w:right w:val="nil"/>
            </w:tcBorders>
            <w:shd w:val="clear" w:color="auto" w:fill="auto"/>
            <w:noWrap/>
            <w:vAlign w:val="center"/>
          </w:tcPr>
          <w:p w14:paraId="0ABD398F"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1.69)</w:t>
            </w:r>
          </w:p>
        </w:tc>
      </w:tr>
      <w:tr w:rsidR="00BC6E7D" w:rsidRPr="00E65AA7" w14:paraId="2C35927D" w14:textId="77777777" w:rsidTr="00BC6E7D">
        <w:trPr>
          <w:trHeight w:hRule="exact" w:val="255"/>
        </w:trPr>
        <w:tc>
          <w:tcPr>
            <w:tcW w:w="5000" w:type="pct"/>
            <w:gridSpan w:val="13"/>
            <w:tcBorders>
              <w:left w:val="nil"/>
              <w:bottom w:val="single" w:sz="4" w:space="0" w:color="auto"/>
              <w:right w:val="nil"/>
            </w:tcBorders>
            <w:vAlign w:val="center"/>
          </w:tcPr>
          <w:p w14:paraId="1D499DC0" w14:textId="635CB70D" w:rsidR="00BC6E7D" w:rsidRDefault="00BC6E7D" w:rsidP="00164318">
            <w:pPr>
              <w:jc w:val="center"/>
              <w:rPr>
                <w:color w:val="000000"/>
                <w:sz w:val="20"/>
                <w:szCs w:val="20"/>
              </w:rPr>
            </w:pPr>
            <w:r>
              <w:rPr>
                <w:rFonts w:eastAsia="Times New Roman"/>
                <w:b/>
                <w:bCs/>
                <w:color w:val="000000"/>
                <w:sz w:val="20"/>
                <w:szCs w:val="20"/>
                <w:lang w:eastAsia="en-MY"/>
              </w:rPr>
              <w:t>Panel C: BBS</w:t>
            </w:r>
          </w:p>
        </w:tc>
      </w:tr>
      <w:tr w:rsidR="00BC6E7D" w:rsidRPr="00E65AA7" w14:paraId="27C47288" w14:textId="77777777" w:rsidTr="00BC6E7D">
        <w:trPr>
          <w:trHeight w:hRule="exact" w:val="255"/>
        </w:trPr>
        <w:tc>
          <w:tcPr>
            <w:tcW w:w="483" w:type="pct"/>
            <w:vMerge w:val="restart"/>
            <w:tcBorders>
              <w:top w:val="single" w:sz="4" w:space="0" w:color="auto"/>
              <w:left w:val="nil"/>
              <w:bottom w:val="nil"/>
              <w:right w:val="nil"/>
            </w:tcBorders>
            <w:shd w:val="clear" w:color="auto" w:fill="auto"/>
            <w:vAlign w:val="center"/>
            <w:hideMark/>
          </w:tcPr>
          <w:p w14:paraId="307A407C"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7" w:type="pct"/>
            <w:vMerge w:val="restart"/>
            <w:tcBorders>
              <w:top w:val="single" w:sz="4" w:space="0" w:color="auto"/>
              <w:left w:val="nil"/>
              <w:right w:val="nil"/>
            </w:tcBorders>
            <w:vAlign w:val="center"/>
          </w:tcPr>
          <w:p w14:paraId="5D08AF69"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192</w:t>
            </w:r>
          </w:p>
        </w:tc>
        <w:tc>
          <w:tcPr>
            <w:tcW w:w="385" w:type="pct"/>
            <w:tcBorders>
              <w:top w:val="single" w:sz="4" w:space="0" w:color="auto"/>
              <w:left w:val="nil"/>
              <w:bottom w:val="nil"/>
              <w:right w:val="nil"/>
            </w:tcBorders>
            <w:shd w:val="clear" w:color="auto" w:fill="auto"/>
            <w:noWrap/>
            <w:vAlign w:val="center"/>
            <w:hideMark/>
          </w:tcPr>
          <w:p w14:paraId="313E2B3C" w14:textId="77777777" w:rsidR="00BC6E7D" w:rsidRPr="00E65AA7" w:rsidRDefault="00BC6E7D" w:rsidP="00164318">
            <w:pPr>
              <w:jc w:val="center"/>
              <w:rPr>
                <w:color w:val="000000"/>
                <w:sz w:val="20"/>
                <w:szCs w:val="20"/>
              </w:rPr>
            </w:pPr>
            <w:r w:rsidRPr="00E65AA7">
              <w:rPr>
                <w:color w:val="000000"/>
                <w:sz w:val="20"/>
                <w:szCs w:val="20"/>
              </w:rPr>
              <w:t>1.40</w:t>
            </w:r>
          </w:p>
        </w:tc>
        <w:tc>
          <w:tcPr>
            <w:tcW w:w="385" w:type="pct"/>
            <w:tcBorders>
              <w:top w:val="single" w:sz="4" w:space="0" w:color="auto"/>
              <w:left w:val="nil"/>
              <w:bottom w:val="nil"/>
              <w:right w:val="nil"/>
            </w:tcBorders>
            <w:shd w:val="clear" w:color="auto" w:fill="auto"/>
            <w:noWrap/>
            <w:vAlign w:val="center"/>
            <w:hideMark/>
          </w:tcPr>
          <w:p w14:paraId="390D5957" w14:textId="77777777" w:rsidR="00BC6E7D" w:rsidRPr="00E65AA7" w:rsidRDefault="00BC6E7D" w:rsidP="00164318">
            <w:pPr>
              <w:jc w:val="center"/>
              <w:rPr>
                <w:color w:val="000000"/>
                <w:sz w:val="20"/>
                <w:szCs w:val="20"/>
              </w:rPr>
            </w:pPr>
            <w:r w:rsidRPr="00E65AA7">
              <w:rPr>
                <w:color w:val="000000"/>
                <w:sz w:val="20"/>
                <w:szCs w:val="20"/>
              </w:rPr>
              <w:t>1.44</w:t>
            </w:r>
          </w:p>
        </w:tc>
        <w:tc>
          <w:tcPr>
            <w:tcW w:w="385" w:type="pct"/>
            <w:tcBorders>
              <w:top w:val="single" w:sz="4" w:space="0" w:color="auto"/>
              <w:left w:val="nil"/>
              <w:bottom w:val="nil"/>
              <w:right w:val="nil"/>
            </w:tcBorders>
            <w:shd w:val="clear" w:color="auto" w:fill="auto"/>
            <w:noWrap/>
            <w:vAlign w:val="center"/>
            <w:hideMark/>
          </w:tcPr>
          <w:p w14:paraId="50292F74" w14:textId="77777777" w:rsidR="00BC6E7D" w:rsidRPr="00E65AA7" w:rsidRDefault="00BC6E7D" w:rsidP="00164318">
            <w:pPr>
              <w:jc w:val="center"/>
              <w:rPr>
                <w:color w:val="000000"/>
                <w:sz w:val="20"/>
                <w:szCs w:val="20"/>
              </w:rPr>
            </w:pPr>
            <w:r w:rsidRPr="00E65AA7">
              <w:rPr>
                <w:color w:val="000000"/>
                <w:sz w:val="20"/>
                <w:szCs w:val="20"/>
              </w:rPr>
              <w:t>1.42</w:t>
            </w:r>
          </w:p>
        </w:tc>
        <w:tc>
          <w:tcPr>
            <w:tcW w:w="385" w:type="pct"/>
            <w:tcBorders>
              <w:top w:val="single" w:sz="4" w:space="0" w:color="auto"/>
              <w:left w:val="nil"/>
              <w:bottom w:val="nil"/>
              <w:right w:val="nil"/>
            </w:tcBorders>
            <w:shd w:val="clear" w:color="auto" w:fill="auto"/>
            <w:noWrap/>
            <w:vAlign w:val="center"/>
            <w:hideMark/>
          </w:tcPr>
          <w:p w14:paraId="570E4E9B" w14:textId="77777777" w:rsidR="00BC6E7D" w:rsidRPr="00E65AA7" w:rsidRDefault="00BC6E7D" w:rsidP="00164318">
            <w:pPr>
              <w:jc w:val="center"/>
              <w:rPr>
                <w:color w:val="000000"/>
                <w:sz w:val="20"/>
                <w:szCs w:val="20"/>
              </w:rPr>
            </w:pPr>
            <w:r w:rsidRPr="00E65AA7">
              <w:rPr>
                <w:color w:val="000000"/>
                <w:sz w:val="20"/>
                <w:szCs w:val="20"/>
              </w:rPr>
              <w:t>1.55</w:t>
            </w:r>
          </w:p>
        </w:tc>
        <w:tc>
          <w:tcPr>
            <w:tcW w:w="385" w:type="pct"/>
            <w:tcBorders>
              <w:top w:val="single" w:sz="4" w:space="0" w:color="auto"/>
              <w:left w:val="nil"/>
              <w:bottom w:val="nil"/>
              <w:right w:val="nil"/>
            </w:tcBorders>
            <w:shd w:val="clear" w:color="auto" w:fill="auto"/>
            <w:noWrap/>
            <w:vAlign w:val="center"/>
            <w:hideMark/>
          </w:tcPr>
          <w:p w14:paraId="5AEA6580" w14:textId="77777777" w:rsidR="00BC6E7D" w:rsidRPr="00E65AA7" w:rsidRDefault="00BC6E7D" w:rsidP="00164318">
            <w:pPr>
              <w:jc w:val="center"/>
              <w:rPr>
                <w:color w:val="000000"/>
                <w:sz w:val="20"/>
                <w:szCs w:val="20"/>
              </w:rPr>
            </w:pPr>
            <w:r w:rsidRPr="00E65AA7">
              <w:rPr>
                <w:color w:val="000000"/>
                <w:sz w:val="20"/>
                <w:szCs w:val="20"/>
              </w:rPr>
              <w:t>1.67</w:t>
            </w:r>
          </w:p>
        </w:tc>
        <w:tc>
          <w:tcPr>
            <w:tcW w:w="385" w:type="pct"/>
            <w:tcBorders>
              <w:top w:val="single" w:sz="4" w:space="0" w:color="auto"/>
              <w:left w:val="nil"/>
              <w:bottom w:val="nil"/>
              <w:right w:val="nil"/>
            </w:tcBorders>
            <w:shd w:val="clear" w:color="auto" w:fill="auto"/>
            <w:noWrap/>
            <w:vAlign w:val="center"/>
            <w:hideMark/>
          </w:tcPr>
          <w:p w14:paraId="6D44CD7E" w14:textId="77777777" w:rsidR="00BC6E7D" w:rsidRPr="00E65AA7" w:rsidRDefault="00BC6E7D" w:rsidP="00164318">
            <w:pPr>
              <w:jc w:val="center"/>
              <w:rPr>
                <w:color w:val="000000"/>
                <w:sz w:val="20"/>
                <w:szCs w:val="20"/>
              </w:rPr>
            </w:pPr>
            <w:r w:rsidRPr="00E65AA7">
              <w:rPr>
                <w:color w:val="000000"/>
                <w:sz w:val="20"/>
                <w:szCs w:val="20"/>
              </w:rPr>
              <w:t>1.64</w:t>
            </w:r>
          </w:p>
        </w:tc>
        <w:tc>
          <w:tcPr>
            <w:tcW w:w="385" w:type="pct"/>
            <w:tcBorders>
              <w:top w:val="single" w:sz="4" w:space="0" w:color="auto"/>
              <w:left w:val="nil"/>
              <w:bottom w:val="nil"/>
              <w:right w:val="nil"/>
            </w:tcBorders>
            <w:shd w:val="clear" w:color="auto" w:fill="auto"/>
            <w:noWrap/>
            <w:vAlign w:val="center"/>
            <w:hideMark/>
          </w:tcPr>
          <w:p w14:paraId="038C4D7E" w14:textId="77777777" w:rsidR="00BC6E7D" w:rsidRPr="00E65AA7" w:rsidRDefault="00BC6E7D" w:rsidP="00164318">
            <w:pPr>
              <w:jc w:val="center"/>
              <w:rPr>
                <w:color w:val="000000"/>
                <w:sz w:val="20"/>
                <w:szCs w:val="20"/>
              </w:rPr>
            </w:pPr>
            <w:r w:rsidRPr="00E65AA7">
              <w:rPr>
                <w:color w:val="000000"/>
                <w:sz w:val="20"/>
                <w:szCs w:val="20"/>
              </w:rPr>
              <w:t>1.68</w:t>
            </w:r>
          </w:p>
        </w:tc>
        <w:tc>
          <w:tcPr>
            <w:tcW w:w="385" w:type="pct"/>
            <w:tcBorders>
              <w:top w:val="single" w:sz="4" w:space="0" w:color="auto"/>
              <w:left w:val="nil"/>
              <w:bottom w:val="nil"/>
              <w:right w:val="nil"/>
            </w:tcBorders>
            <w:shd w:val="clear" w:color="auto" w:fill="auto"/>
            <w:noWrap/>
            <w:vAlign w:val="center"/>
            <w:hideMark/>
          </w:tcPr>
          <w:p w14:paraId="388591D9" w14:textId="77777777" w:rsidR="00BC6E7D" w:rsidRPr="00E65AA7" w:rsidRDefault="00BC6E7D" w:rsidP="00164318">
            <w:pPr>
              <w:jc w:val="center"/>
              <w:rPr>
                <w:color w:val="000000"/>
                <w:sz w:val="20"/>
                <w:szCs w:val="20"/>
              </w:rPr>
            </w:pPr>
            <w:r w:rsidRPr="00E65AA7">
              <w:rPr>
                <w:color w:val="000000"/>
                <w:sz w:val="20"/>
                <w:szCs w:val="20"/>
              </w:rPr>
              <w:t>1.68</w:t>
            </w:r>
          </w:p>
        </w:tc>
        <w:tc>
          <w:tcPr>
            <w:tcW w:w="385" w:type="pct"/>
            <w:tcBorders>
              <w:top w:val="single" w:sz="4" w:space="0" w:color="auto"/>
              <w:left w:val="nil"/>
              <w:bottom w:val="nil"/>
              <w:right w:val="nil"/>
            </w:tcBorders>
            <w:shd w:val="clear" w:color="auto" w:fill="auto"/>
            <w:noWrap/>
            <w:vAlign w:val="center"/>
            <w:hideMark/>
          </w:tcPr>
          <w:p w14:paraId="7738F8B6" w14:textId="77777777" w:rsidR="00BC6E7D" w:rsidRPr="00E65AA7" w:rsidRDefault="00BC6E7D" w:rsidP="00164318">
            <w:pPr>
              <w:jc w:val="center"/>
              <w:rPr>
                <w:color w:val="000000"/>
                <w:sz w:val="20"/>
                <w:szCs w:val="20"/>
              </w:rPr>
            </w:pPr>
            <w:r w:rsidRPr="00E65AA7">
              <w:rPr>
                <w:color w:val="000000"/>
                <w:sz w:val="20"/>
                <w:szCs w:val="20"/>
              </w:rPr>
              <w:t>1.88</w:t>
            </w:r>
          </w:p>
        </w:tc>
        <w:tc>
          <w:tcPr>
            <w:tcW w:w="385" w:type="pct"/>
            <w:tcBorders>
              <w:top w:val="single" w:sz="4" w:space="0" w:color="auto"/>
              <w:left w:val="nil"/>
              <w:bottom w:val="nil"/>
              <w:right w:val="nil"/>
            </w:tcBorders>
            <w:shd w:val="clear" w:color="auto" w:fill="auto"/>
            <w:noWrap/>
            <w:vAlign w:val="center"/>
            <w:hideMark/>
          </w:tcPr>
          <w:p w14:paraId="5FAA57E0" w14:textId="77777777" w:rsidR="00BC6E7D" w:rsidRPr="00E65AA7" w:rsidRDefault="00BC6E7D" w:rsidP="00164318">
            <w:pPr>
              <w:jc w:val="center"/>
              <w:rPr>
                <w:color w:val="000000"/>
                <w:sz w:val="20"/>
                <w:szCs w:val="20"/>
              </w:rPr>
            </w:pPr>
            <w:r w:rsidRPr="00E65AA7">
              <w:rPr>
                <w:color w:val="000000"/>
                <w:sz w:val="20"/>
                <w:szCs w:val="20"/>
              </w:rPr>
              <w:t>1.93</w:t>
            </w:r>
          </w:p>
        </w:tc>
        <w:tc>
          <w:tcPr>
            <w:tcW w:w="410" w:type="pct"/>
            <w:tcBorders>
              <w:top w:val="single" w:sz="4" w:space="0" w:color="auto"/>
              <w:left w:val="nil"/>
              <w:bottom w:val="nil"/>
              <w:right w:val="nil"/>
            </w:tcBorders>
            <w:shd w:val="clear" w:color="auto" w:fill="auto"/>
            <w:noWrap/>
            <w:vAlign w:val="center"/>
            <w:hideMark/>
          </w:tcPr>
          <w:p w14:paraId="24FA0CA9" w14:textId="77777777" w:rsidR="00BC6E7D" w:rsidRPr="00E65AA7" w:rsidRDefault="00BC6E7D" w:rsidP="00164318">
            <w:pPr>
              <w:jc w:val="center"/>
              <w:rPr>
                <w:color w:val="000000"/>
                <w:sz w:val="20"/>
                <w:szCs w:val="20"/>
              </w:rPr>
            </w:pPr>
            <w:r w:rsidRPr="00E65AA7">
              <w:rPr>
                <w:color w:val="000000"/>
                <w:sz w:val="20"/>
                <w:szCs w:val="20"/>
              </w:rPr>
              <w:t>0.53</w:t>
            </w:r>
          </w:p>
        </w:tc>
      </w:tr>
      <w:tr w:rsidR="00BC6E7D" w:rsidRPr="00E65AA7" w14:paraId="743C2EB5" w14:textId="77777777" w:rsidTr="00BC6E7D">
        <w:trPr>
          <w:trHeight w:hRule="exact" w:val="255"/>
        </w:trPr>
        <w:tc>
          <w:tcPr>
            <w:tcW w:w="483" w:type="pct"/>
            <w:vMerge/>
            <w:tcBorders>
              <w:top w:val="nil"/>
              <w:left w:val="nil"/>
              <w:bottom w:val="nil"/>
              <w:right w:val="nil"/>
            </w:tcBorders>
            <w:vAlign w:val="center"/>
            <w:hideMark/>
          </w:tcPr>
          <w:p w14:paraId="366A9BA8"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32E2441D"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2D5BDC56" w14:textId="77777777" w:rsidR="00BC6E7D" w:rsidRPr="00E65AA7" w:rsidRDefault="00BC6E7D" w:rsidP="00164318">
            <w:pPr>
              <w:jc w:val="center"/>
              <w:rPr>
                <w:color w:val="000000"/>
                <w:sz w:val="20"/>
                <w:szCs w:val="20"/>
              </w:rPr>
            </w:pPr>
            <w:r w:rsidRPr="00E65AA7">
              <w:rPr>
                <w:color w:val="000000"/>
                <w:sz w:val="20"/>
                <w:szCs w:val="20"/>
              </w:rPr>
              <w:t>(7.43)</w:t>
            </w:r>
          </w:p>
        </w:tc>
        <w:tc>
          <w:tcPr>
            <w:tcW w:w="385" w:type="pct"/>
            <w:tcBorders>
              <w:top w:val="nil"/>
              <w:left w:val="nil"/>
              <w:bottom w:val="nil"/>
              <w:right w:val="nil"/>
            </w:tcBorders>
            <w:shd w:val="clear" w:color="auto" w:fill="auto"/>
            <w:noWrap/>
            <w:vAlign w:val="center"/>
            <w:hideMark/>
          </w:tcPr>
          <w:p w14:paraId="382093E1" w14:textId="77777777" w:rsidR="00BC6E7D" w:rsidRPr="00E65AA7" w:rsidRDefault="00BC6E7D" w:rsidP="00164318">
            <w:pPr>
              <w:jc w:val="center"/>
              <w:rPr>
                <w:color w:val="000000"/>
                <w:sz w:val="20"/>
                <w:szCs w:val="20"/>
              </w:rPr>
            </w:pPr>
            <w:r w:rsidRPr="00E65AA7">
              <w:rPr>
                <w:color w:val="000000"/>
                <w:sz w:val="20"/>
                <w:szCs w:val="20"/>
              </w:rPr>
              <w:t>(6.49)</w:t>
            </w:r>
          </w:p>
        </w:tc>
        <w:tc>
          <w:tcPr>
            <w:tcW w:w="385" w:type="pct"/>
            <w:tcBorders>
              <w:top w:val="nil"/>
              <w:left w:val="nil"/>
              <w:bottom w:val="nil"/>
              <w:right w:val="nil"/>
            </w:tcBorders>
            <w:shd w:val="clear" w:color="auto" w:fill="auto"/>
            <w:noWrap/>
            <w:vAlign w:val="center"/>
            <w:hideMark/>
          </w:tcPr>
          <w:p w14:paraId="54D5E0E6" w14:textId="77777777" w:rsidR="00BC6E7D" w:rsidRPr="00E65AA7" w:rsidRDefault="00BC6E7D" w:rsidP="00164318">
            <w:pPr>
              <w:jc w:val="center"/>
              <w:rPr>
                <w:color w:val="000000"/>
                <w:sz w:val="20"/>
                <w:szCs w:val="20"/>
              </w:rPr>
            </w:pPr>
            <w:r w:rsidRPr="00E65AA7">
              <w:rPr>
                <w:color w:val="000000"/>
                <w:sz w:val="20"/>
                <w:szCs w:val="20"/>
              </w:rPr>
              <w:t>(6.12)</w:t>
            </w:r>
          </w:p>
        </w:tc>
        <w:tc>
          <w:tcPr>
            <w:tcW w:w="385" w:type="pct"/>
            <w:tcBorders>
              <w:top w:val="nil"/>
              <w:left w:val="nil"/>
              <w:bottom w:val="nil"/>
              <w:right w:val="nil"/>
            </w:tcBorders>
            <w:shd w:val="clear" w:color="auto" w:fill="auto"/>
            <w:noWrap/>
            <w:vAlign w:val="center"/>
            <w:hideMark/>
          </w:tcPr>
          <w:p w14:paraId="2C21C04E" w14:textId="77777777" w:rsidR="00BC6E7D" w:rsidRPr="00E65AA7" w:rsidRDefault="00BC6E7D" w:rsidP="00164318">
            <w:pPr>
              <w:jc w:val="center"/>
              <w:rPr>
                <w:color w:val="000000"/>
                <w:sz w:val="20"/>
                <w:szCs w:val="20"/>
              </w:rPr>
            </w:pPr>
            <w:r w:rsidRPr="00E65AA7">
              <w:rPr>
                <w:color w:val="000000"/>
                <w:sz w:val="20"/>
                <w:szCs w:val="20"/>
              </w:rPr>
              <w:t>(6.12)</w:t>
            </w:r>
          </w:p>
        </w:tc>
        <w:tc>
          <w:tcPr>
            <w:tcW w:w="385" w:type="pct"/>
            <w:tcBorders>
              <w:top w:val="nil"/>
              <w:left w:val="nil"/>
              <w:bottom w:val="nil"/>
              <w:right w:val="nil"/>
            </w:tcBorders>
            <w:shd w:val="clear" w:color="auto" w:fill="auto"/>
            <w:noWrap/>
            <w:vAlign w:val="center"/>
            <w:hideMark/>
          </w:tcPr>
          <w:p w14:paraId="25DB47A1" w14:textId="77777777" w:rsidR="00BC6E7D" w:rsidRPr="00E65AA7" w:rsidRDefault="00BC6E7D" w:rsidP="00164318">
            <w:pPr>
              <w:jc w:val="center"/>
              <w:rPr>
                <w:color w:val="000000"/>
                <w:sz w:val="20"/>
                <w:szCs w:val="20"/>
              </w:rPr>
            </w:pPr>
            <w:r w:rsidRPr="00E65AA7">
              <w:rPr>
                <w:color w:val="000000"/>
                <w:sz w:val="20"/>
                <w:szCs w:val="20"/>
              </w:rPr>
              <w:t>(5.97)</w:t>
            </w:r>
          </w:p>
        </w:tc>
        <w:tc>
          <w:tcPr>
            <w:tcW w:w="385" w:type="pct"/>
            <w:tcBorders>
              <w:top w:val="nil"/>
              <w:left w:val="nil"/>
              <w:bottom w:val="nil"/>
              <w:right w:val="nil"/>
            </w:tcBorders>
            <w:shd w:val="clear" w:color="auto" w:fill="auto"/>
            <w:noWrap/>
            <w:vAlign w:val="center"/>
            <w:hideMark/>
          </w:tcPr>
          <w:p w14:paraId="6857B66A" w14:textId="77777777" w:rsidR="00BC6E7D" w:rsidRPr="00E65AA7" w:rsidRDefault="00BC6E7D" w:rsidP="00164318">
            <w:pPr>
              <w:jc w:val="center"/>
              <w:rPr>
                <w:color w:val="000000"/>
                <w:sz w:val="20"/>
                <w:szCs w:val="20"/>
              </w:rPr>
            </w:pPr>
            <w:r w:rsidRPr="00E65AA7">
              <w:rPr>
                <w:color w:val="000000"/>
                <w:sz w:val="20"/>
                <w:szCs w:val="20"/>
              </w:rPr>
              <w:t>(5.63)</w:t>
            </w:r>
          </w:p>
        </w:tc>
        <w:tc>
          <w:tcPr>
            <w:tcW w:w="385" w:type="pct"/>
            <w:tcBorders>
              <w:top w:val="nil"/>
              <w:left w:val="nil"/>
              <w:bottom w:val="nil"/>
              <w:right w:val="nil"/>
            </w:tcBorders>
            <w:shd w:val="clear" w:color="auto" w:fill="auto"/>
            <w:noWrap/>
            <w:vAlign w:val="center"/>
            <w:hideMark/>
          </w:tcPr>
          <w:p w14:paraId="07FDF2ED" w14:textId="77777777" w:rsidR="00BC6E7D" w:rsidRPr="00E65AA7" w:rsidRDefault="00BC6E7D" w:rsidP="00164318">
            <w:pPr>
              <w:jc w:val="center"/>
              <w:rPr>
                <w:color w:val="000000"/>
                <w:sz w:val="20"/>
                <w:szCs w:val="20"/>
              </w:rPr>
            </w:pPr>
            <w:r w:rsidRPr="00E65AA7">
              <w:rPr>
                <w:color w:val="000000"/>
                <w:sz w:val="20"/>
                <w:szCs w:val="20"/>
              </w:rPr>
              <w:t>(5.02)</w:t>
            </w:r>
          </w:p>
        </w:tc>
        <w:tc>
          <w:tcPr>
            <w:tcW w:w="385" w:type="pct"/>
            <w:tcBorders>
              <w:top w:val="nil"/>
              <w:left w:val="nil"/>
              <w:bottom w:val="nil"/>
              <w:right w:val="nil"/>
            </w:tcBorders>
            <w:shd w:val="clear" w:color="auto" w:fill="auto"/>
            <w:noWrap/>
            <w:vAlign w:val="center"/>
            <w:hideMark/>
          </w:tcPr>
          <w:p w14:paraId="345D2F96" w14:textId="77777777" w:rsidR="00BC6E7D" w:rsidRPr="00E65AA7" w:rsidRDefault="00BC6E7D" w:rsidP="00164318">
            <w:pPr>
              <w:jc w:val="center"/>
              <w:rPr>
                <w:color w:val="000000"/>
                <w:sz w:val="20"/>
                <w:szCs w:val="20"/>
              </w:rPr>
            </w:pPr>
            <w:r w:rsidRPr="00E65AA7">
              <w:rPr>
                <w:color w:val="000000"/>
                <w:sz w:val="20"/>
                <w:szCs w:val="20"/>
              </w:rPr>
              <w:t>(4.59)</w:t>
            </w:r>
          </w:p>
        </w:tc>
        <w:tc>
          <w:tcPr>
            <w:tcW w:w="385" w:type="pct"/>
            <w:tcBorders>
              <w:top w:val="nil"/>
              <w:left w:val="nil"/>
              <w:bottom w:val="nil"/>
              <w:right w:val="nil"/>
            </w:tcBorders>
            <w:shd w:val="clear" w:color="auto" w:fill="auto"/>
            <w:noWrap/>
            <w:vAlign w:val="center"/>
            <w:hideMark/>
          </w:tcPr>
          <w:p w14:paraId="75F75DE3" w14:textId="77777777" w:rsidR="00BC6E7D" w:rsidRPr="00E65AA7" w:rsidRDefault="00BC6E7D" w:rsidP="00164318">
            <w:pPr>
              <w:jc w:val="center"/>
              <w:rPr>
                <w:color w:val="000000"/>
                <w:sz w:val="20"/>
                <w:szCs w:val="20"/>
              </w:rPr>
            </w:pPr>
            <w:r w:rsidRPr="00E65AA7">
              <w:rPr>
                <w:color w:val="000000"/>
                <w:sz w:val="20"/>
                <w:szCs w:val="20"/>
              </w:rPr>
              <w:t>(4.30)</w:t>
            </w:r>
          </w:p>
        </w:tc>
        <w:tc>
          <w:tcPr>
            <w:tcW w:w="385" w:type="pct"/>
            <w:tcBorders>
              <w:top w:val="nil"/>
              <w:left w:val="nil"/>
              <w:bottom w:val="nil"/>
              <w:right w:val="nil"/>
            </w:tcBorders>
            <w:shd w:val="clear" w:color="auto" w:fill="auto"/>
            <w:noWrap/>
            <w:vAlign w:val="center"/>
            <w:hideMark/>
          </w:tcPr>
          <w:p w14:paraId="2DD9C9D9" w14:textId="77777777" w:rsidR="00BC6E7D" w:rsidRPr="00E65AA7" w:rsidRDefault="00BC6E7D" w:rsidP="00164318">
            <w:pPr>
              <w:jc w:val="center"/>
              <w:rPr>
                <w:color w:val="000000"/>
                <w:sz w:val="20"/>
                <w:szCs w:val="20"/>
              </w:rPr>
            </w:pPr>
            <w:r w:rsidRPr="00E65AA7">
              <w:rPr>
                <w:color w:val="000000"/>
                <w:sz w:val="20"/>
                <w:szCs w:val="20"/>
              </w:rPr>
              <w:t>(3.15)</w:t>
            </w:r>
          </w:p>
        </w:tc>
        <w:tc>
          <w:tcPr>
            <w:tcW w:w="410" w:type="pct"/>
            <w:tcBorders>
              <w:top w:val="nil"/>
              <w:left w:val="nil"/>
              <w:bottom w:val="nil"/>
              <w:right w:val="nil"/>
            </w:tcBorders>
            <w:shd w:val="clear" w:color="auto" w:fill="auto"/>
            <w:noWrap/>
            <w:vAlign w:val="center"/>
            <w:hideMark/>
          </w:tcPr>
          <w:p w14:paraId="17215164"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0.95)</w:t>
            </w:r>
          </w:p>
        </w:tc>
      </w:tr>
      <w:tr w:rsidR="00BC6E7D" w:rsidRPr="00E65AA7" w14:paraId="01345BBE"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43D8DD99"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7" w:type="pct"/>
            <w:vMerge w:val="restart"/>
            <w:tcBorders>
              <w:top w:val="nil"/>
              <w:left w:val="nil"/>
              <w:right w:val="nil"/>
            </w:tcBorders>
            <w:vAlign w:val="center"/>
          </w:tcPr>
          <w:p w14:paraId="71BA1C8F"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41</w:t>
            </w:r>
          </w:p>
        </w:tc>
        <w:tc>
          <w:tcPr>
            <w:tcW w:w="385" w:type="pct"/>
            <w:tcBorders>
              <w:top w:val="nil"/>
              <w:left w:val="nil"/>
              <w:bottom w:val="nil"/>
              <w:right w:val="nil"/>
            </w:tcBorders>
            <w:shd w:val="clear" w:color="auto" w:fill="auto"/>
            <w:noWrap/>
            <w:vAlign w:val="center"/>
            <w:hideMark/>
          </w:tcPr>
          <w:p w14:paraId="0BE67BF5" w14:textId="77777777" w:rsidR="00BC6E7D" w:rsidRPr="00E65AA7" w:rsidRDefault="00BC6E7D" w:rsidP="00164318">
            <w:pPr>
              <w:jc w:val="center"/>
              <w:rPr>
                <w:color w:val="000000"/>
                <w:sz w:val="20"/>
                <w:szCs w:val="20"/>
              </w:rPr>
            </w:pPr>
            <w:r w:rsidRPr="00E65AA7">
              <w:rPr>
                <w:color w:val="000000"/>
                <w:sz w:val="20"/>
                <w:szCs w:val="20"/>
              </w:rPr>
              <w:t>0.00</w:t>
            </w:r>
          </w:p>
        </w:tc>
        <w:tc>
          <w:tcPr>
            <w:tcW w:w="385" w:type="pct"/>
            <w:tcBorders>
              <w:top w:val="nil"/>
              <w:left w:val="nil"/>
              <w:bottom w:val="nil"/>
              <w:right w:val="nil"/>
            </w:tcBorders>
            <w:shd w:val="clear" w:color="auto" w:fill="auto"/>
            <w:noWrap/>
            <w:vAlign w:val="center"/>
            <w:hideMark/>
          </w:tcPr>
          <w:p w14:paraId="242E2FF6" w14:textId="77777777" w:rsidR="00BC6E7D" w:rsidRPr="00E65AA7" w:rsidRDefault="00BC6E7D" w:rsidP="00164318">
            <w:pPr>
              <w:jc w:val="center"/>
              <w:rPr>
                <w:color w:val="000000"/>
                <w:sz w:val="20"/>
                <w:szCs w:val="20"/>
              </w:rPr>
            </w:pPr>
            <w:r w:rsidRPr="00E65AA7">
              <w:rPr>
                <w:color w:val="000000"/>
                <w:sz w:val="20"/>
                <w:szCs w:val="20"/>
              </w:rPr>
              <w:t>-0.36</w:t>
            </w:r>
          </w:p>
        </w:tc>
        <w:tc>
          <w:tcPr>
            <w:tcW w:w="385" w:type="pct"/>
            <w:tcBorders>
              <w:top w:val="nil"/>
              <w:left w:val="nil"/>
              <w:bottom w:val="nil"/>
              <w:right w:val="nil"/>
            </w:tcBorders>
            <w:shd w:val="clear" w:color="auto" w:fill="auto"/>
            <w:noWrap/>
            <w:vAlign w:val="center"/>
            <w:hideMark/>
          </w:tcPr>
          <w:p w14:paraId="1AF2AE8F" w14:textId="77777777" w:rsidR="00BC6E7D" w:rsidRPr="00E65AA7" w:rsidRDefault="00BC6E7D" w:rsidP="00164318">
            <w:pPr>
              <w:jc w:val="center"/>
              <w:rPr>
                <w:color w:val="000000"/>
                <w:sz w:val="20"/>
                <w:szCs w:val="20"/>
              </w:rPr>
            </w:pPr>
            <w:r w:rsidRPr="00E65AA7">
              <w:rPr>
                <w:color w:val="000000"/>
                <w:sz w:val="20"/>
                <w:szCs w:val="20"/>
              </w:rPr>
              <w:t>-0.41</w:t>
            </w:r>
          </w:p>
        </w:tc>
        <w:tc>
          <w:tcPr>
            <w:tcW w:w="385" w:type="pct"/>
            <w:tcBorders>
              <w:top w:val="nil"/>
              <w:left w:val="nil"/>
              <w:bottom w:val="nil"/>
              <w:right w:val="nil"/>
            </w:tcBorders>
            <w:shd w:val="clear" w:color="auto" w:fill="auto"/>
            <w:noWrap/>
            <w:vAlign w:val="center"/>
            <w:hideMark/>
          </w:tcPr>
          <w:p w14:paraId="6B1F74A5" w14:textId="77777777" w:rsidR="00BC6E7D" w:rsidRPr="00E65AA7" w:rsidRDefault="00BC6E7D" w:rsidP="00164318">
            <w:pPr>
              <w:jc w:val="center"/>
              <w:rPr>
                <w:color w:val="000000"/>
                <w:sz w:val="20"/>
                <w:szCs w:val="20"/>
              </w:rPr>
            </w:pPr>
            <w:r w:rsidRPr="00E65AA7">
              <w:rPr>
                <w:color w:val="000000"/>
                <w:sz w:val="20"/>
                <w:szCs w:val="20"/>
              </w:rPr>
              <w:t>-0.72</w:t>
            </w:r>
          </w:p>
        </w:tc>
        <w:tc>
          <w:tcPr>
            <w:tcW w:w="385" w:type="pct"/>
            <w:tcBorders>
              <w:top w:val="nil"/>
              <w:left w:val="nil"/>
              <w:bottom w:val="nil"/>
              <w:right w:val="nil"/>
            </w:tcBorders>
            <w:shd w:val="clear" w:color="auto" w:fill="auto"/>
            <w:noWrap/>
            <w:vAlign w:val="center"/>
            <w:hideMark/>
          </w:tcPr>
          <w:p w14:paraId="30CACFD5" w14:textId="77777777" w:rsidR="00BC6E7D" w:rsidRPr="00E65AA7" w:rsidRDefault="00BC6E7D" w:rsidP="00164318">
            <w:pPr>
              <w:jc w:val="center"/>
              <w:rPr>
                <w:color w:val="000000"/>
                <w:sz w:val="20"/>
                <w:szCs w:val="20"/>
              </w:rPr>
            </w:pPr>
            <w:r w:rsidRPr="00E65AA7">
              <w:rPr>
                <w:color w:val="000000"/>
                <w:sz w:val="20"/>
                <w:szCs w:val="20"/>
              </w:rPr>
              <w:t>-0.82</w:t>
            </w:r>
          </w:p>
        </w:tc>
        <w:tc>
          <w:tcPr>
            <w:tcW w:w="385" w:type="pct"/>
            <w:tcBorders>
              <w:top w:val="nil"/>
              <w:left w:val="nil"/>
              <w:bottom w:val="nil"/>
              <w:right w:val="nil"/>
            </w:tcBorders>
            <w:shd w:val="clear" w:color="auto" w:fill="auto"/>
            <w:noWrap/>
            <w:vAlign w:val="center"/>
            <w:hideMark/>
          </w:tcPr>
          <w:p w14:paraId="6F93FBD0" w14:textId="77777777" w:rsidR="00BC6E7D" w:rsidRPr="00E65AA7" w:rsidRDefault="00BC6E7D" w:rsidP="00164318">
            <w:pPr>
              <w:jc w:val="center"/>
              <w:rPr>
                <w:color w:val="000000"/>
                <w:sz w:val="20"/>
                <w:szCs w:val="20"/>
              </w:rPr>
            </w:pPr>
            <w:r w:rsidRPr="00E65AA7">
              <w:rPr>
                <w:color w:val="000000"/>
                <w:sz w:val="20"/>
                <w:szCs w:val="20"/>
              </w:rPr>
              <w:t>-1.03</w:t>
            </w:r>
          </w:p>
        </w:tc>
        <w:tc>
          <w:tcPr>
            <w:tcW w:w="385" w:type="pct"/>
            <w:tcBorders>
              <w:top w:val="nil"/>
              <w:left w:val="nil"/>
              <w:bottom w:val="nil"/>
              <w:right w:val="nil"/>
            </w:tcBorders>
            <w:shd w:val="clear" w:color="auto" w:fill="auto"/>
            <w:noWrap/>
            <w:vAlign w:val="center"/>
            <w:hideMark/>
          </w:tcPr>
          <w:p w14:paraId="1B3047CF" w14:textId="77777777" w:rsidR="00BC6E7D" w:rsidRPr="00E65AA7" w:rsidRDefault="00BC6E7D" w:rsidP="00164318">
            <w:pPr>
              <w:jc w:val="center"/>
              <w:rPr>
                <w:color w:val="000000"/>
                <w:sz w:val="20"/>
                <w:szCs w:val="20"/>
              </w:rPr>
            </w:pPr>
            <w:r w:rsidRPr="00E65AA7">
              <w:rPr>
                <w:color w:val="000000"/>
                <w:sz w:val="20"/>
                <w:szCs w:val="20"/>
              </w:rPr>
              <w:t>-1.10</w:t>
            </w:r>
          </w:p>
        </w:tc>
        <w:tc>
          <w:tcPr>
            <w:tcW w:w="385" w:type="pct"/>
            <w:tcBorders>
              <w:top w:val="nil"/>
              <w:left w:val="nil"/>
              <w:bottom w:val="nil"/>
              <w:right w:val="nil"/>
            </w:tcBorders>
            <w:shd w:val="clear" w:color="auto" w:fill="auto"/>
            <w:noWrap/>
            <w:vAlign w:val="center"/>
            <w:hideMark/>
          </w:tcPr>
          <w:p w14:paraId="263FA3BF" w14:textId="77777777" w:rsidR="00BC6E7D" w:rsidRPr="00E65AA7" w:rsidRDefault="00BC6E7D" w:rsidP="00164318">
            <w:pPr>
              <w:jc w:val="center"/>
              <w:rPr>
                <w:color w:val="000000"/>
                <w:sz w:val="20"/>
                <w:szCs w:val="20"/>
              </w:rPr>
            </w:pPr>
            <w:r w:rsidRPr="00E65AA7">
              <w:rPr>
                <w:color w:val="000000"/>
                <w:sz w:val="20"/>
                <w:szCs w:val="20"/>
              </w:rPr>
              <w:t>-1.59</w:t>
            </w:r>
          </w:p>
        </w:tc>
        <w:tc>
          <w:tcPr>
            <w:tcW w:w="385" w:type="pct"/>
            <w:tcBorders>
              <w:top w:val="nil"/>
              <w:left w:val="nil"/>
              <w:bottom w:val="nil"/>
              <w:right w:val="nil"/>
            </w:tcBorders>
            <w:shd w:val="clear" w:color="auto" w:fill="auto"/>
            <w:noWrap/>
            <w:vAlign w:val="center"/>
            <w:hideMark/>
          </w:tcPr>
          <w:p w14:paraId="72799E2A" w14:textId="77777777" w:rsidR="00BC6E7D" w:rsidRPr="00E65AA7" w:rsidRDefault="00BC6E7D" w:rsidP="00164318">
            <w:pPr>
              <w:jc w:val="center"/>
              <w:rPr>
                <w:color w:val="000000"/>
                <w:sz w:val="20"/>
                <w:szCs w:val="20"/>
              </w:rPr>
            </w:pPr>
            <w:r w:rsidRPr="00E65AA7">
              <w:rPr>
                <w:color w:val="000000"/>
                <w:sz w:val="20"/>
                <w:szCs w:val="20"/>
              </w:rPr>
              <w:t>-1.75</w:t>
            </w:r>
          </w:p>
        </w:tc>
        <w:tc>
          <w:tcPr>
            <w:tcW w:w="385" w:type="pct"/>
            <w:tcBorders>
              <w:top w:val="nil"/>
              <w:left w:val="nil"/>
              <w:bottom w:val="nil"/>
              <w:right w:val="nil"/>
            </w:tcBorders>
            <w:shd w:val="clear" w:color="auto" w:fill="auto"/>
            <w:noWrap/>
            <w:vAlign w:val="center"/>
            <w:hideMark/>
          </w:tcPr>
          <w:p w14:paraId="3EB5B1E9" w14:textId="77777777" w:rsidR="00BC6E7D" w:rsidRPr="00E65AA7" w:rsidRDefault="00BC6E7D" w:rsidP="00164318">
            <w:pPr>
              <w:jc w:val="center"/>
              <w:rPr>
                <w:color w:val="000000"/>
                <w:sz w:val="20"/>
                <w:szCs w:val="20"/>
              </w:rPr>
            </w:pPr>
            <w:r w:rsidRPr="00E65AA7">
              <w:rPr>
                <w:color w:val="000000"/>
                <w:sz w:val="20"/>
                <w:szCs w:val="20"/>
              </w:rPr>
              <w:t>-3.20</w:t>
            </w:r>
          </w:p>
        </w:tc>
        <w:tc>
          <w:tcPr>
            <w:tcW w:w="410" w:type="pct"/>
            <w:tcBorders>
              <w:top w:val="nil"/>
              <w:left w:val="nil"/>
              <w:bottom w:val="nil"/>
              <w:right w:val="nil"/>
            </w:tcBorders>
            <w:shd w:val="clear" w:color="auto" w:fill="auto"/>
            <w:noWrap/>
            <w:vAlign w:val="center"/>
            <w:hideMark/>
          </w:tcPr>
          <w:p w14:paraId="5B770CD6"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3.20</w:t>
            </w:r>
          </w:p>
        </w:tc>
      </w:tr>
      <w:tr w:rsidR="00BC6E7D" w:rsidRPr="00E65AA7" w14:paraId="2B0F57E9" w14:textId="77777777" w:rsidTr="00BC6E7D">
        <w:trPr>
          <w:trHeight w:hRule="exact" w:val="255"/>
        </w:trPr>
        <w:tc>
          <w:tcPr>
            <w:tcW w:w="483" w:type="pct"/>
            <w:vMerge/>
            <w:tcBorders>
              <w:top w:val="nil"/>
              <w:left w:val="nil"/>
              <w:bottom w:val="nil"/>
              <w:right w:val="nil"/>
            </w:tcBorders>
            <w:vAlign w:val="center"/>
            <w:hideMark/>
          </w:tcPr>
          <w:p w14:paraId="50B02E03" w14:textId="77777777" w:rsidR="00BC6E7D" w:rsidRPr="00E65AA7" w:rsidRDefault="00BC6E7D" w:rsidP="00164318">
            <w:pPr>
              <w:rPr>
                <w:rFonts w:eastAsia="Times New Roman"/>
                <w:b/>
                <w:color w:val="000000"/>
                <w:sz w:val="20"/>
                <w:szCs w:val="20"/>
                <w:lang w:eastAsia="en-MY"/>
              </w:rPr>
            </w:pPr>
          </w:p>
        </w:tc>
        <w:tc>
          <w:tcPr>
            <w:tcW w:w="257" w:type="pct"/>
            <w:vMerge/>
            <w:tcBorders>
              <w:left w:val="nil"/>
              <w:bottom w:val="nil"/>
              <w:right w:val="nil"/>
            </w:tcBorders>
            <w:vAlign w:val="center"/>
          </w:tcPr>
          <w:p w14:paraId="11E20674"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nil"/>
              <w:right w:val="nil"/>
            </w:tcBorders>
            <w:shd w:val="clear" w:color="auto" w:fill="auto"/>
            <w:noWrap/>
            <w:vAlign w:val="center"/>
            <w:hideMark/>
          </w:tcPr>
          <w:p w14:paraId="271E5B85" w14:textId="77777777" w:rsidR="00BC6E7D" w:rsidRPr="00E65AA7" w:rsidRDefault="00BC6E7D" w:rsidP="00164318">
            <w:pPr>
              <w:jc w:val="center"/>
              <w:rPr>
                <w:color w:val="000000"/>
                <w:sz w:val="20"/>
                <w:szCs w:val="20"/>
              </w:rPr>
            </w:pPr>
            <w:r w:rsidRPr="00E65AA7">
              <w:rPr>
                <w:color w:val="000000"/>
                <w:sz w:val="20"/>
                <w:szCs w:val="20"/>
              </w:rPr>
              <w:t>(-0.01)</w:t>
            </w:r>
          </w:p>
        </w:tc>
        <w:tc>
          <w:tcPr>
            <w:tcW w:w="385" w:type="pct"/>
            <w:tcBorders>
              <w:top w:val="nil"/>
              <w:left w:val="nil"/>
              <w:bottom w:val="nil"/>
              <w:right w:val="nil"/>
            </w:tcBorders>
            <w:shd w:val="clear" w:color="auto" w:fill="auto"/>
            <w:noWrap/>
            <w:vAlign w:val="center"/>
            <w:hideMark/>
          </w:tcPr>
          <w:p w14:paraId="52A9CCD1" w14:textId="77777777" w:rsidR="00BC6E7D" w:rsidRPr="00E65AA7" w:rsidRDefault="00BC6E7D" w:rsidP="00164318">
            <w:pPr>
              <w:jc w:val="center"/>
              <w:rPr>
                <w:color w:val="000000"/>
                <w:sz w:val="20"/>
                <w:szCs w:val="20"/>
              </w:rPr>
            </w:pPr>
            <w:r w:rsidRPr="00E65AA7">
              <w:rPr>
                <w:color w:val="000000"/>
                <w:sz w:val="20"/>
                <w:szCs w:val="20"/>
              </w:rPr>
              <w:t>(-0.6)</w:t>
            </w:r>
          </w:p>
        </w:tc>
        <w:tc>
          <w:tcPr>
            <w:tcW w:w="385" w:type="pct"/>
            <w:tcBorders>
              <w:top w:val="nil"/>
              <w:left w:val="nil"/>
              <w:bottom w:val="nil"/>
              <w:right w:val="nil"/>
            </w:tcBorders>
            <w:shd w:val="clear" w:color="auto" w:fill="auto"/>
            <w:noWrap/>
            <w:vAlign w:val="center"/>
            <w:hideMark/>
          </w:tcPr>
          <w:p w14:paraId="57233D0D" w14:textId="77777777" w:rsidR="00BC6E7D" w:rsidRPr="00E65AA7" w:rsidRDefault="00BC6E7D" w:rsidP="00164318">
            <w:pPr>
              <w:jc w:val="center"/>
              <w:rPr>
                <w:color w:val="000000"/>
                <w:sz w:val="20"/>
                <w:szCs w:val="20"/>
              </w:rPr>
            </w:pPr>
            <w:r w:rsidRPr="00E65AA7">
              <w:rPr>
                <w:color w:val="000000"/>
                <w:sz w:val="20"/>
                <w:szCs w:val="20"/>
              </w:rPr>
              <w:t>(-0.63)</w:t>
            </w:r>
          </w:p>
        </w:tc>
        <w:tc>
          <w:tcPr>
            <w:tcW w:w="385" w:type="pct"/>
            <w:tcBorders>
              <w:top w:val="nil"/>
              <w:left w:val="nil"/>
              <w:bottom w:val="nil"/>
              <w:right w:val="nil"/>
            </w:tcBorders>
            <w:shd w:val="clear" w:color="auto" w:fill="auto"/>
            <w:noWrap/>
            <w:vAlign w:val="center"/>
            <w:hideMark/>
          </w:tcPr>
          <w:p w14:paraId="7DE9EE5D" w14:textId="77777777" w:rsidR="00BC6E7D" w:rsidRPr="00E65AA7" w:rsidRDefault="00BC6E7D" w:rsidP="00164318">
            <w:pPr>
              <w:jc w:val="center"/>
              <w:rPr>
                <w:color w:val="000000"/>
                <w:sz w:val="20"/>
                <w:szCs w:val="20"/>
              </w:rPr>
            </w:pPr>
            <w:r w:rsidRPr="00E65AA7">
              <w:rPr>
                <w:color w:val="000000"/>
                <w:sz w:val="20"/>
                <w:szCs w:val="20"/>
              </w:rPr>
              <w:t>(-0.99)</w:t>
            </w:r>
          </w:p>
        </w:tc>
        <w:tc>
          <w:tcPr>
            <w:tcW w:w="385" w:type="pct"/>
            <w:tcBorders>
              <w:top w:val="nil"/>
              <w:left w:val="nil"/>
              <w:bottom w:val="nil"/>
              <w:right w:val="nil"/>
            </w:tcBorders>
            <w:shd w:val="clear" w:color="auto" w:fill="auto"/>
            <w:noWrap/>
            <w:vAlign w:val="center"/>
            <w:hideMark/>
          </w:tcPr>
          <w:p w14:paraId="126A7367" w14:textId="77777777" w:rsidR="00BC6E7D" w:rsidRPr="00E65AA7" w:rsidRDefault="00BC6E7D" w:rsidP="00164318">
            <w:pPr>
              <w:jc w:val="center"/>
              <w:rPr>
                <w:color w:val="000000"/>
                <w:sz w:val="20"/>
                <w:szCs w:val="20"/>
              </w:rPr>
            </w:pPr>
            <w:r w:rsidRPr="00E65AA7">
              <w:rPr>
                <w:color w:val="000000"/>
                <w:sz w:val="20"/>
                <w:szCs w:val="20"/>
              </w:rPr>
              <w:t>(-1.15)</w:t>
            </w:r>
          </w:p>
        </w:tc>
        <w:tc>
          <w:tcPr>
            <w:tcW w:w="385" w:type="pct"/>
            <w:tcBorders>
              <w:top w:val="nil"/>
              <w:left w:val="nil"/>
              <w:bottom w:val="nil"/>
              <w:right w:val="nil"/>
            </w:tcBorders>
            <w:shd w:val="clear" w:color="auto" w:fill="auto"/>
            <w:noWrap/>
            <w:vAlign w:val="center"/>
            <w:hideMark/>
          </w:tcPr>
          <w:p w14:paraId="18D9F596" w14:textId="77777777" w:rsidR="00BC6E7D" w:rsidRPr="00E65AA7" w:rsidRDefault="00BC6E7D" w:rsidP="00164318">
            <w:pPr>
              <w:jc w:val="center"/>
              <w:rPr>
                <w:color w:val="000000"/>
                <w:sz w:val="20"/>
                <w:szCs w:val="20"/>
              </w:rPr>
            </w:pPr>
            <w:r w:rsidRPr="00E65AA7">
              <w:rPr>
                <w:color w:val="000000"/>
                <w:sz w:val="20"/>
                <w:szCs w:val="20"/>
              </w:rPr>
              <w:t>(-1.28)</w:t>
            </w:r>
          </w:p>
        </w:tc>
        <w:tc>
          <w:tcPr>
            <w:tcW w:w="385" w:type="pct"/>
            <w:tcBorders>
              <w:top w:val="nil"/>
              <w:left w:val="nil"/>
              <w:bottom w:val="nil"/>
              <w:right w:val="nil"/>
            </w:tcBorders>
            <w:shd w:val="clear" w:color="auto" w:fill="auto"/>
            <w:noWrap/>
            <w:vAlign w:val="center"/>
            <w:hideMark/>
          </w:tcPr>
          <w:p w14:paraId="7CAF33AF" w14:textId="77777777" w:rsidR="00BC6E7D" w:rsidRPr="00E65AA7" w:rsidRDefault="00BC6E7D" w:rsidP="00164318">
            <w:pPr>
              <w:jc w:val="center"/>
              <w:rPr>
                <w:color w:val="000000"/>
                <w:sz w:val="20"/>
                <w:szCs w:val="20"/>
              </w:rPr>
            </w:pPr>
            <w:r w:rsidRPr="00E65AA7">
              <w:rPr>
                <w:color w:val="000000"/>
                <w:sz w:val="20"/>
                <w:szCs w:val="20"/>
              </w:rPr>
              <w:t>(-1.37)</w:t>
            </w:r>
          </w:p>
        </w:tc>
        <w:tc>
          <w:tcPr>
            <w:tcW w:w="385" w:type="pct"/>
            <w:tcBorders>
              <w:top w:val="nil"/>
              <w:left w:val="nil"/>
              <w:bottom w:val="nil"/>
              <w:right w:val="nil"/>
            </w:tcBorders>
            <w:shd w:val="clear" w:color="auto" w:fill="auto"/>
            <w:noWrap/>
            <w:vAlign w:val="center"/>
            <w:hideMark/>
          </w:tcPr>
          <w:p w14:paraId="685EC99E" w14:textId="77777777" w:rsidR="00BC6E7D" w:rsidRPr="00E65AA7" w:rsidRDefault="00BC6E7D" w:rsidP="00164318">
            <w:pPr>
              <w:jc w:val="center"/>
              <w:rPr>
                <w:color w:val="000000"/>
                <w:sz w:val="20"/>
                <w:szCs w:val="20"/>
              </w:rPr>
            </w:pPr>
            <w:r w:rsidRPr="00E65AA7">
              <w:rPr>
                <w:color w:val="000000"/>
                <w:sz w:val="20"/>
                <w:szCs w:val="20"/>
              </w:rPr>
              <w:t>(-1.79)</w:t>
            </w:r>
          </w:p>
        </w:tc>
        <w:tc>
          <w:tcPr>
            <w:tcW w:w="385" w:type="pct"/>
            <w:tcBorders>
              <w:top w:val="nil"/>
              <w:left w:val="nil"/>
              <w:bottom w:val="nil"/>
              <w:right w:val="nil"/>
            </w:tcBorders>
            <w:shd w:val="clear" w:color="auto" w:fill="auto"/>
            <w:noWrap/>
            <w:vAlign w:val="center"/>
            <w:hideMark/>
          </w:tcPr>
          <w:p w14:paraId="176994C8" w14:textId="77777777" w:rsidR="00BC6E7D" w:rsidRPr="00E65AA7" w:rsidRDefault="00BC6E7D" w:rsidP="00164318">
            <w:pPr>
              <w:jc w:val="center"/>
              <w:rPr>
                <w:color w:val="000000"/>
                <w:sz w:val="20"/>
                <w:szCs w:val="20"/>
              </w:rPr>
            </w:pPr>
            <w:r w:rsidRPr="00E65AA7">
              <w:rPr>
                <w:color w:val="000000"/>
                <w:sz w:val="20"/>
                <w:szCs w:val="20"/>
              </w:rPr>
              <w:t>(-1.82)</w:t>
            </w:r>
          </w:p>
        </w:tc>
        <w:tc>
          <w:tcPr>
            <w:tcW w:w="385" w:type="pct"/>
            <w:tcBorders>
              <w:top w:val="nil"/>
              <w:left w:val="nil"/>
              <w:bottom w:val="nil"/>
              <w:right w:val="nil"/>
            </w:tcBorders>
            <w:shd w:val="clear" w:color="auto" w:fill="auto"/>
            <w:noWrap/>
            <w:vAlign w:val="center"/>
            <w:hideMark/>
          </w:tcPr>
          <w:p w14:paraId="487D8317" w14:textId="77777777" w:rsidR="00BC6E7D" w:rsidRPr="00E65AA7" w:rsidRDefault="00BC6E7D" w:rsidP="00164318">
            <w:pPr>
              <w:jc w:val="center"/>
              <w:rPr>
                <w:color w:val="000000"/>
                <w:sz w:val="20"/>
                <w:szCs w:val="20"/>
              </w:rPr>
            </w:pPr>
            <w:r w:rsidRPr="00E65AA7">
              <w:rPr>
                <w:color w:val="000000"/>
                <w:sz w:val="20"/>
                <w:szCs w:val="20"/>
              </w:rPr>
              <w:t>(-2.89)</w:t>
            </w:r>
          </w:p>
        </w:tc>
        <w:tc>
          <w:tcPr>
            <w:tcW w:w="410" w:type="pct"/>
            <w:tcBorders>
              <w:top w:val="nil"/>
              <w:left w:val="nil"/>
              <w:bottom w:val="nil"/>
              <w:right w:val="nil"/>
            </w:tcBorders>
            <w:shd w:val="clear" w:color="auto" w:fill="auto"/>
            <w:noWrap/>
            <w:vAlign w:val="center"/>
            <w:hideMark/>
          </w:tcPr>
          <w:p w14:paraId="121AD94F"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3.93)</w:t>
            </w:r>
          </w:p>
        </w:tc>
      </w:tr>
      <w:tr w:rsidR="00BC6E7D" w:rsidRPr="00E65AA7" w14:paraId="21B5ECCB" w14:textId="77777777" w:rsidTr="00BC6E7D">
        <w:trPr>
          <w:trHeight w:hRule="exact" w:val="255"/>
        </w:trPr>
        <w:tc>
          <w:tcPr>
            <w:tcW w:w="483" w:type="pct"/>
            <w:vMerge w:val="restart"/>
            <w:tcBorders>
              <w:top w:val="nil"/>
              <w:left w:val="nil"/>
              <w:bottom w:val="nil"/>
              <w:right w:val="nil"/>
            </w:tcBorders>
            <w:shd w:val="clear" w:color="auto" w:fill="auto"/>
            <w:noWrap/>
            <w:vAlign w:val="center"/>
            <w:hideMark/>
          </w:tcPr>
          <w:p w14:paraId="06AC3F91" w14:textId="77777777" w:rsidR="00BC6E7D" w:rsidRPr="00E65AA7" w:rsidRDefault="00BC6E7D" w:rsidP="00164318">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7" w:type="pct"/>
            <w:vMerge w:val="restart"/>
            <w:tcBorders>
              <w:top w:val="nil"/>
              <w:left w:val="nil"/>
              <w:right w:val="nil"/>
            </w:tcBorders>
            <w:vAlign w:val="center"/>
          </w:tcPr>
          <w:p w14:paraId="190F60D0" w14:textId="77777777" w:rsidR="00BC6E7D" w:rsidRPr="00E65AA7" w:rsidRDefault="00BC6E7D" w:rsidP="00164318">
            <w:pPr>
              <w:jc w:val="center"/>
              <w:rPr>
                <w:rFonts w:eastAsia="Times New Roman"/>
                <w:color w:val="000000"/>
                <w:sz w:val="20"/>
                <w:szCs w:val="20"/>
                <w:lang w:eastAsia="en-MY"/>
              </w:rPr>
            </w:pPr>
            <w:r w:rsidRPr="00E65AA7">
              <w:rPr>
                <w:rFonts w:eastAsia="Times New Roman"/>
                <w:color w:val="000000"/>
                <w:sz w:val="20"/>
                <w:szCs w:val="20"/>
                <w:lang w:eastAsia="en-MY"/>
              </w:rPr>
              <w:t>55</w:t>
            </w:r>
          </w:p>
        </w:tc>
        <w:tc>
          <w:tcPr>
            <w:tcW w:w="385" w:type="pct"/>
            <w:tcBorders>
              <w:top w:val="nil"/>
              <w:left w:val="nil"/>
              <w:bottom w:val="nil"/>
              <w:right w:val="nil"/>
            </w:tcBorders>
            <w:shd w:val="clear" w:color="auto" w:fill="auto"/>
            <w:noWrap/>
            <w:vAlign w:val="center"/>
            <w:hideMark/>
          </w:tcPr>
          <w:p w14:paraId="7E01DBCF" w14:textId="77777777" w:rsidR="00BC6E7D" w:rsidRPr="00E65AA7" w:rsidRDefault="00BC6E7D" w:rsidP="00164318">
            <w:pPr>
              <w:jc w:val="center"/>
              <w:rPr>
                <w:color w:val="000000"/>
                <w:sz w:val="20"/>
                <w:szCs w:val="20"/>
              </w:rPr>
            </w:pPr>
            <w:r w:rsidRPr="00E65AA7">
              <w:rPr>
                <w:color w:val="000000"/>
                <w:sz w:val="20"/>
                <w:szCs w:val="20"/>
              </w:rPr>
              <w:t>0.03</w:t>
            </w:r>
          </w:p>
        </w:tc>
        <w:tc>
          <w:tcPr>
            <w:tcW w:w="385" w:type="pct"/>
            <w:tcBorders>
              <w:top w:val="nil"/>
              <w:left w:val="nil"/>
              <w:bottom w:val="nil"/>
              <w:right w:val="nil"/>
            </w:tcBorders>
            <w:shd w:val="clear" w:color="auto" w:fill="auto"/>
            <w:noWrap/>
            <w:vAlign w:val="center"/>
            <w:hideMark/>
          </w:tcPr>
          <w:p w14:paraId="285A82A5" w14:textId="77777777" w:rsidR="00BC6E7D" w:rsidRPr="00E65AA7" w:rsidRDefault="00BC6E7D" w:rsidP="00164318">
            <w:pPr>
              <w:jc w:val="center"/>
              <w:rPr>
                <w:color w:val="000000"/>
                <w:sz w:val="20"/>
                <w:szCs w:val="20"/>
              </w:rPr>
            </w:pPr>
            <w:r w:rsidRPr="00E65AA7">
              <w:rPr>
                <w:color w:val="000000"/>
                <w:sz w:val="20"/>
                <w:szCs w:val="20"/>
              </w:rPr>
              <w:t>0.05</w:t>
            </w:r>
          </w:p>
        </w:tc>
        <w:tc>
          <w:tcPr>
            <w:tcW w:w="385" w:type="pct"/>
            <w:tcBorders>
              <w:top w:val="nil"/>
              <w:left w:val="nil"/>
              <w:bottom w:val="nil"/>
              <w:right w:val="nil"/>
            </w:tcBorders>
            <w:shd w:val="clear" w:color="auto" w:fill="auto"/>
            <w:noWrap/>
            <w:vAlign w:val="center"/>
            <w:hideMark/>
          </w:tcPr>
          <w:p w14:paraId="3352C3E4" w14:textId="77777777" w:rsidR="00BC6E7D" w:rsidRPr="00E65AA7" w:rsidRDefault="00BC6E7D" w:rsidP="00164318">
            <w:pPr>
              <w:jc w:val="center"/>
              <w:rPr>
                <w:color w:val="000000"/>
                <w:sz w:val="20"/>
                <w:szCs w:val="20"/>
              </w:rPr>
            </w:pPr>
            <w:r w:rsidRPr="00E65AA7">
              <w:rPr>
                <w:color w:val="000000"/>
                <w:sz w:val="20"/>
                <w:szCs w:val="20"/>
              </w:rPr>
              <w:t>-0.20</w:t>
            </w:r>
          </w:p>
        </w:tc>
        <w:tc>
          <w:tcPr>
            <w:tcW w:w="385" w:type="pct"/>
            <w:tcBorders>
              <w:top w:val="nil"/>
              <w:left w:val="nil"/>
              <w:bottom w:val="nil"/>
              <w:right w:val="nil"/>
            </w:tcBorders>
            <w:shd w:val="clear" w:color="auto" w:fill="auto"/>
            <w:noWrap/>
            <w:vAlign w:val="center"/>
            <w:hideMark/>
          </w:tcPr>
          <w:p w14:paraId="0931D467" w14:textId="77777777" w:rsidR="00BC6E7D" w:rsidRPr="00E65AA7" w:rsidRDefault="00BC6E7D" w:rsidP="00164318">
            <w:pPr>
              <w:jc w:val="center"/>
              <w:rPr>
                <w:color w:val="000000"/>
                <w:sz w:val="20"/>
                <w:szCs w:val="20"/>
              </w:rPr>
            </w:pPr>
            <w:r w:rsidRPr="00E65AA7">
              <w:rPr>
                <w:color w:val="000000"/>
                <w:sz w:val="20"/>
                <w:szCs w:val="20"/>
              </w:rPr>
              <w:t>-0.20</w:t>
            </w:r>
          </w:p>
        </w:tc>
        <w:tc>
          <w:tcPr>
            <w:tcW w:w="385" w:type="pct"/>
            <w:tcBorders>
              <w:top w:val="nil"/>
              <w:left w:val="nil"/>
              <w:bottom w:val="nil"/>
              <w:right w:val="nil"/>
            </w:tcBorders>
            <w:shd w:val="clear" w:color="auto" w:fill="auto"/>
            <w:noWrap/>
            <w:vAlign w:val="center"/>
            <w:hideMark/>
          </w:tcPr>
          <w:p w14:paraId="57AE2D56" w14:textId="77777777" w:rsidR="00BC6E7D" w:rsidRPr="00E65AA7" w:rsidRDefault="00BC6E7D" w:rsidP="00164318">
            <w:pPr>
              <w:jc w:val="center"/>
              <w:rPr>
                <w:color w:val="000000"/>
                <w:sz w:val="20"/>
                <w:szCs w:val="20"/>
              </w:rPr>
            </w:pPr>
            <w:r w:rsidRPr="00E65AA7">
              <w:rPr>
                <w:color w:val="000000"/>
                <w:sz w:val="20"/>
                <w:szCs w:val="20"/>
              </w:rPr>
              <w:t>-0.35</w:t>
            </w:r>
          </w:p>
        </w:tc>
        <w:tc>
          <w:tcPr>
            <w:tcW w:w="385" w:type="pct"/>
            <w:tcBorders>
              <w:top w:val="nil"/>
              <w:left w:val="nil"/>
              <w:bottom w:val="nil"/>
              <w:right w:val="nil"/>
            </w:tcBorders>
            <w:shd w:val="clear" w:color="auto" w:fill="auto"/>
            <w:noWrap/>
            <w:vAlign w:val="center"/>
            <w:hideMark/>
          </w:tcPr>
          <w:p w14:paraId="500E25BE" w14:textId="77777777" w:rsidR="00BC6E7D" w:rsidRPr="00E65AA7" w:rsidRDefault="00BC6E7D" w:rsidP="00164318">
            <w:pPr>
              <w:jc w:val="center"/>
              <w:rPr>
                <w:color w:val="000000"/>
                <w:sz w:val="20"/>
                <w:szCs w:val="20"/>
              </w:rPr>
            </w:pPr>
            <w:r w:rsidRPr="00E65AA7">
              <w:rPr>
                <w:color w:val="000000"/>
                <w:sz w:val="20"/>
                <w:szCs w:val="20"/>
              </w:rPr>
              <w:t>-0.48</w:t>
            </w:r>
          </w:p>
        </w:tc>
        <w:tc>
          <w:tcPr>
            <w:tcW w:w="385" w:type="pct"/>
            <w:tcBorders>
              <w:top w:val="nil"/>
              <w:left w:val="nil"/>
              <w:bottom w:val="nil"/>
              <w:right w:val="nil"/>
            </w:tcBorders>
            <w:shd w:val="clear" w:color="auto" w:fill="auto"/>
            <w:noWrap/>
            <w:vAlign w:val="center"/>
            <w:hideMark/>
          </w:tcPr>
          <w:p w14:paraId="49CABA45" w14:textId="77777777" w:rsidR="00BC6E7D" w:rsidRPr="00E65AA7" w:rsidRDefault="00BC6E7D" w:rsidP="00164318">
            <w:pPr>
              <w:jc w:val="center"/>
              <w:rPr>
                <w:color w:val="000000"/>
                <w:sz w:val="20"/>
                <w:szCs w:val="20"/>
              </w:rPr>
            </w:pPr>
            <w:r w:rsidRPr="00E65AA7">
              <w:rPr>
                <w:color w:val="000000"/>
                <w:sz w:val="20"/>
                <w:szCs w:val="20"/>
              </w:rPr>
              <w:t>-0.38</w:t>
            </w:r>
          </w:p>
        </w:tc>
        <w:tc>
          <w:tcPr>
            <w:tcW w:w="385" w:type="pct"/>
            <w:tcBorders>
              <w:top w:val="nil"/>
              <w:left w:val="nil"/>
              <w:bottom w:val="nil"/>
              <w:right w:val="nil"/>
            </w:tcBorders>
            <w:shd w:val="clear" w:color="auto" w:fill="auto"/>
            <w:noWrap/>
            <w:vAlign w:val="center"/>
            <w:hideMark/>
          </w:tcPr>
          <w:p w14:paraId="0158D784" w14:textId="77777777" w:rsidR="00BC6E7D" w:rsidRPr="00E65AA7" w:rsidRDefault="00BC6E7D" w:rsidP="00164318">
            <w:pPr>
              <w:jc w:val="center"/>
              <w:rPr>
                <w:color w:val="000000"/>
                <w:sz w:val="20"/>
                <w:szCs w:val="20"/>
              </w:rPr>
            </w:pPr>
            <w:r w:rsidRPr="00E65AA7">
              <w:rPr>
                <w:color w:val="000000"/>
                <w:sz w:val="20"/>
                <w:szCs w:val="20"/>
              </w:rPr>
              <w:t>-0.50</w:t>
            </w:r>
          </w:p>
        </w:tc>
        <w:tc>
          <w:tcPr>
            <w:tcW w:w="385" w:type="pct"/>
            <w:tcBorders>
              <w:top w:val="nil"/>
              <w:left w:val="nil"/>
              <w:bottom w:val="nil"/>
              <w:right w:val="nil"/>
            </w:tcBorders>
            <w:shd w:val="clear" w:color="auto" w:fill="auto"/>
            <w:noWrap/>
            <w:vAlign w:val="center"/>
            <w:hideMark/>
          </w:tcPr>
          <w:p w14:paraId="48508C63" w14:textId="77777777" w:rsidR="00BC6E7D" w:rsidRPr="00E65AA7" w:rsidRDefault="00BC6E7D" w:rsidP="00164318">
            <w:pPr>
              <w:jc w:val="center"/>
              <w:rPr>
                <w:color w:val="000000"/>
                <w:sz w:val="20"/>
                <w:szCs w:val="20"/>
              </w:rPr>
            </w:pPr>
            <w:r w:rsidRPr="00E65AA7">
              <w:rPr>
                <w:color w:val="000000"/>
                <w:sz w:val="20"/>
                <w:szCs w:val="20"/>
              </w:rPr>
              <w:t>-0.55</w:t>
            </w:r>
          </w:p>
        </w:tc>
        <w:tc>
          <w:tcPr>
            <w:tcW w:w="385" w:type="pct"/>
            <w:tcBorders>
              <w:top w:val="nil"/>
              <w:left w:val="nil"/>
              <w:bottom w:val="nil"/>
              <w:right w:val="nil"/>
            </w:tcBorders>
            <w:shd w:val="clear" w:color="auto" w:fill="auto"/>
            <w:noWrap/>
            <w:vAlign w:val="center"/>
            <w:hideMark/>
          </w:tcPr>
          <w:p w14:paraId="55269CF6" w14:textId="77777777" w:rsidR="00BC6E7D" w:rsidRPr="00E65AA7" w:rsidRDefault="00BC6E7D" w:rsidP="00164318">
            <w:pPr>
              <w:jc w:val="center"/>
              <w:rPr>
                <w:color w:val="000000"/>
                <w:sz w:val="20"/>
                <w:szCs w:val="20"/>
              </w:rPr>
            </w:pPr>
            <w:r w:rsidRPr="00E65AA7">
              <w:rPr>
                <w:color w:val="000000"/>
                <w:sz w:val="20"/>
                <w:szCs w:val="20"/>
              </w:rPr>
              <w:t>-1.02</w:t>
            </w:r>
          </w:p>
        </w:tc>
        <w:tc>
          <w:tcPr>
            <w:tcW w:w="410" w:type="pct"/>
            <w:tcBorders>
              <w:top w:val="nil"/>
              <w:left w:val="nil"/>
              <w:bottom w:val="nil"/>
              <w:right w:val="nil"/>
            </w:tcBorders>
            <w:shd w:val="clear" w:color="auto" w:fill="auto"/>
            <w:noWrap/>
            <w:vAlign w:val="center"/>
            <w:hideMark/>
          </w:tcPr>
          <w:p w14:paraId="45607D5B" w14:textId="77777777" w:rsidR="00BC6E7D" w:rsidRPr="00E65AA7" w:rsidRDefault="00BC6E7D" w:rsidP="00164318">
            <w:pPr>
              <w:jc w:val="center"/>
              <w:rPr>
                <w:color w:val="000000"/>
                <w:sz w:val="20"/>
                <w:szCs w:val="20"/>
              </w:rPr>
            </w:pPr>
            <w:r>
              <w:rPr>
                <w:color w:val="000000"/>
                <w:sz w:val="20"/>
                <w:szCs w:val="20"/>
              </w:rPr>
              <w:t>-</w:t>
            </w:r>
            <w:r w:rsidRPr="00E65AA7">
              <w:rPr>
                <w:color w:val="000000"/>
                <w:sz w:val="20"/>
                <w:szCs w:val="20"/>
              </w:rPr>
              <w:t>1.05</w:t>
            </w:r>
          </w:p>
        </w:tc>
      </w:tr>
      <w:tr w:rsidR="00BC6E7D" w:rsidRPr="00E65AA7" w14:paraId="59BA8725" w14:textId="77777777" w:rsidTr="00BC6E7D">
        <w:trPr>
          <w:trHeight w:hRule="exact" w:val="255"/>
        </w:trPr>
        <w:tc>
          <w:tcPr>
            <w:tcW w:w="483" w:type="pct"/>
            <w:vMerge/>
            <w:tcBorders>
              <w:top w:val="nil"/>
              <w:left w:val="nil"/>
              <w:right w:val="nil"/>
            </w:tcBorders>
            <w:vAlign w:val="center"/>
            <w:hideMark/>
          </w:tcPr>
          <w:p w14:paraId="5B49EE54" w14:textId="77777777" w:rsidR="00BC6E7D" w:rsidRPr="00E65AA7" w:rsidRDefault="00BC6E7D" w:rsidP="00164318">
            <w:pPr>
              <w:rPr>
                <w:rFonts w:eastAsia="Times New Roman"/>
                <w:color w:val="000000"/>
                <w:sz w:val="20"/>
                <w:szCs w:val="20"/>
                <w:lang w:eastAsia="en-MY"/>
              </w:rPr>
            </w:pPr>
          </w:p>
        </w:tc>
        <w:tc>
          <w:tcPr>
            <w:tcW w:w="257" w:type="pct"/>
            <w:vMerge/>
            <w:tcBorders>
              <w:left w:val="nil"/>
              <w:right w:val="nil"/>
            </w:tcBorders>
            <w:vAlign w:val="center"/>
          </w:tcPr>
          <w:p w14:paraId="3E48EA67" w14:textId="77777777" w:rsidR="00BC6E7D" w:rsidRPr="00E65AA7" w:rsidRDefault="00BC6E7D" w:rsidP="00164318">
            <w:pPr>
              <w:jc w:val="center"/>
              <w:rPr>
                <w:rFonts w:eastAsia="Times New Roman"/>
                <w:sz w:val="20"/>
                <w:szCs w:val="20"/>
                <w:lang w:eastAsia="en-MY"/>
              </w:rPr>
            </w:pPr>
          </w:p>
        </w:tc>
        <w:tc>
          <w:tcPr>
            <w:tcW w:w="385" w:type="pct"/>
            <w:tcBorders>
              <w:top w:val="nil"/>
              <w:left w:val="nil"/>
              <w:right w:val="nil"/>
            </w:tcBorders>
            <w:shd w:val="clear" w:color="auto" w:fill="auto"/>
            <w:noWrap/>
            <w:vAlign w:val="center"/>
            <w:hideMark/>
          </w:tcPr>
          <w:p w14:paraId="0E553BC0" w14:textId="77777777" w:rsidR="00BC6E7D" w:rsidRPr="00E65AA7" w:rsidRDefault="00BC6E7D" w:rsidP="00164318">
            <w:pPr>
              <w:jc w:val="center"/>
              <w:rPr>
                <w:color w:val="000000"/>
                <w:sz w:val="20"/>
                <w:szCs w:val="20"/>
              </w:rPr>
            </w:pPr>
            <w:r w:rsidRPr="00E65AA7">
              <w:rPr>
                <w:color w:val="000000"/>
                <w:sz w:val="20"/>
                <w:szCs w:val="20"/>
              </w:rPr>
              <w:t>(0.08)</w:t>
            </w:r>
          </w:p>
        </w:tc>
        <w:tc>
          <w:tcPr>
            <w:tcW w:w="385" w:type="pct"/>
            <w:tcBorders>
              <w:top w:val="nil"/>
              <w:left w:val="nil"/>
              <w:right w:val="nil"/>
            </w:tcBorders>
            <w:shd w:val="clear" w:color="auto" w:fill="auto"/>
            <w:noWrap/>
            <w:vAlign w:val="center"/>
            <w:hideMark/>
          </w:tcPr>
          <w:p w14:paraId="76E1EF6A" w14:textId="77777777" w:rsidR="00BC6E7D" w:rsidRPr="00E65AA7" w:rsidRDefault="00BC6E7D" w:rsidP="00164318">
            <w:pPr>
              <w:jc w:val="center"/>
              <w:rPr>
                <w:color w:val="000000"/>
                <w:sz w:val="20"/>
                <w:szCs w:val="20"/>
              </w:rPr>
            </w:pPr>
            <w:r w:rsidRPr="00E65AA7">
              <w:rPr>
                <w:color w:val="000000"/>
                <w:sz w:val="20"/>
                <w:szCs w:val="20"/>
              </w:rPr>
              <w:t>(0.08)</w:t>
            </w:r>
          </w:p>
        </w:tc>
        <w:tc>
          <w:tcPr>
            <w:tcW w:w="385" w:type="pct"/>
            <w:tcBorders>
              <w:top w:val="nil"/>
              <w:left w:val="nil"/>
              <w:right w:val="nil"/>
            </w:tcBorders>
            <w:shd w:val="clear" w:color="auto" w:fill="auto"/>
            <w:noWrap/>
            <w:vAlign w:val="center"/>
            <w:hideMark/>
          </w:tcPr>
          <w:p w14:paraId="54AABE53" w14:textId="77777777" w:rsidR="00BC6E7D" w:rsidRPr="00E65AA7" w:rsidRDefault="00BC6E7D" w:rsidP="00164318">
            <w:pPr>
              <w:jc w:val="center"/>
              <w:rPr>
                <w:color w:val="000000"/>
                <w:sz w:val="20"/>
                <w:szCs w:val="20"/>
              </w:rPr>
            </w:pPr>
            <w:r w:rsidRPr="00E65AA7">
              <w:rPr>
                <w:color w:val="000000"/>
                <w:sz w:val="20"/>
                <w:szCs w:val="20"/>
              </w:rPr>
              <w:t>(-0.27)</w:t>
            </w:r>
          </w:p>
        </w:tc>
        <w:tc>
          <w:tcPr>
            <w:tcW w:w="385" w:type="pct"/>
            <w:tcBorders>
              <w:top w:val="nil"/>
              <w:left w:val="nil"/>
              <w:right w:val="nil"/>
            </w:tcBorders>
            <w:shd w:val="clear" w:color="auto" w:fill="auto"/>
            <w:noWrap/>
            <w:vAlign w:val="center"/>
            <w:hideMark/>
          </w:tcPr>
          <w:p w14:paraId="35546A11" w14:textId="77777777" w:rsidR="00BC6E7D" w:rsidRPr="00E65AA7" w:rsidRDefault="00BC6E7D" w:rsidP="00164318">
            <w:pPr>
              <w:jc w:val="center"/>
              <w:rPr>
                <w:color w:val="000000"/>
                <w:sz w:val="20"/>
                <w:szCs w:val="20"/>
              </w:rPr>
            </w:pPr>
            <w:r w:rsidRPr="00E65AA7">
              <w:rPr>
                <w:color w:val="000000"/>
                <w:sz w:val="20"/>
                <w:szCs w:val="20"/>
              </w:rPr>
              <w:t>(-0.25)</w:t>
            </w:r>
          </w:p>
        </w:tc>
        <w:tc>
          <w:tcPr>
            <w:tcW w:w="385" w:type="pct"/>
            <w:tcBorders>
              <w:top w:val="nil"/>
              <w:left w:val="nil"/>
              <w:right w:val="nil"/>
            </w:tcBorders>
            <w:shd w:val="clear" w:color="auto" w:fill="auto"/>
            <w:noWrap/>
            <w:vAlign w:val="center"/>
            <w:hideMark/>
          </w:tcPr>
          <w:p w14:paraId="0275E7F2" w14:textId="77777777" w:rsidR="00BC6E7D" w:rsidRPr="00E65AA7" w:rsidRDefault="00BC6E7D" w:rsidP="00164318">
            <w:pPr>
              <w:jc w:val="center"/>
              <w:rPr>
                <w:color w:val="000000"/>
                <w:sz w:val="20"/>
                <w:szCs w:val="20"/>
              </w:rPr>
            </w:pPr>
            <w:r w:rsidRPr="00E65AA7">
              <w:rPr>
                <w:color w:val="000000"/>
                <w:sz w:val="20"/>
                <w:szCs w:val="20"/>
              </w:rPr>
              <w:t>(-0.40)</w:t>
            </w:r>
          </w:p>
        </w:tc>
        <w:tc>
          <w:tcPr>
            <w:tcW w:w="385" w:type="pct"/>
            <w:tcBorders>
              <w:top w:val="nil"/>
              <w:left w:val="nil"/>
              <w:right w:val="nil"/>
            </w:tcBorders>
            <w:shd w:val="clear" w:color="auto" w:fill="auto"/>
            <w:noWrap/>
            <w:vAlign w:val="center"/>
            <w:hideMark/>
          </w:tcPr>
          <w:p w14:paraId="004FD342" w14:textId="77777777" w:rsidR="00BC6E7D" w:rsidRPr="00E65AA7" w:rsidRDefault="00BC6E7D" w:rsidP="00164318">
            <w:pPr>
              <w:jc w:val="center"/>
              <w:rPr>
                <w:color w:val="000000"/>
                <w:sz w:val="20"/>
                <w:szCs w:val="20"/>
              </w:rPr>
            </w:pPr>
            <w:r w:rsidRPr="00E65AA7">
              <w:rPr>
                <w:color w:val="000000"/>
                <w:sz w:val="20"/>
                <w:szCs w:val="20"/>
              </w:rPr>
              <w:t>(-0.54)</w:t>
            </w:r>
          </w:p>
        </w:tc>
        <w:tc>
          <w:tcPr>
            <w:tcW w:w="385" w:type="pct"/>
            <w:tcBorders>
              <w:top w:val="nil"/>
              <w:left w:val="nil"/>
              <w:right w:val="nil"/>
            </w:tcBorders>
            <w:shd w:val="clear" w:color="auto" w:fill="auto"/>
            <w:noWrap/>
            <w:vAlign w:val="center"/>
            <w:hideMark/>
          </w:tcPr>
          <w:p w14:paraId="11684221" w14:textId="77777777" w:rsidR="00BC6E7D" w:rsidRPr="00E65AA7" w:rsidRDefault="00BC6E7D" w:rsidP="00164318">
            <w:pPr>
              <w:jc w:val="center"/>
              <w:rPr>
                <w:color w:val="000000"/>
                <w:sz w:val="20"/>
                <w:szCs w:val="20"/>
              </w:rPr>
            </w:pPr>
            <w:r w:rsidRPr="00E65AA7">
              <w:rPr>
                <w:color w:val="000000"/>
                <w:sz w:val="20"/>
                <w:szCs w:val="20"/>
              </w:rPr>
              <w:t>(-0.37)</w:t>
            </w:r>
          </w:p>
        </w:tc>
        <w:tc>
          <w:tcPr>
            <w:tcW w:w="385" w:type="pct"/>
            <w:tcBorders>
              <w:top w:val="nil"/>
              <w:left w:val="nil"/>
              <w:right w:val="nil"/>
            </w:tcBorders>
            <w:shd w:val="clear" w:color="auto" w:fill="auto"/>
            <w:noWrap/>
            <w:vAlign w:val="center"/>
            <w:hideMark/>
          </w:tcPr>
          <w:p w14:paraId="67BDAA79" w14:textId="77777777" w:rsidR="00BC6E7D" w:rsidRPr="00E65AA7" w:rsidRDefault="00BC6E7D" w:rsidP="00164318">
            <w:pPr>
              <w:jc w:val="center"/>
              <w:rPr>
                <w:color w:val="000000"/>
                <w:sz w:val="20"/>
                <w:szCs w:val="20"/>
              </w:rPr>
            </w:pPr>
            <w:r w:rsidRPr="00E65AA7">
              <w:rPr>
                <w:color w:val="000000"/>
                <w:sz w:val="20"/>
                <w:szCs w:val="20"/>
              </w:rPr>
              <w:t>(-0.47)</w:t>
            </w:r>
          </w:p>
        </w:tc>
        <w:tc>
          <w:tcPr>
            <w:tcW w:w="385" w:type="pct"/>
            <w:tcBorders>
              <w:top w:val="nil"/>
              <w:left w:val="nil"/>
              <w:right w:val="nil"/>
            </w:tcBorders>
            <w:shd w:val="clear" w:color="auto" w:fill="auto"/>
            <w:noWrap/>
            <w:vAlign w:val="center"/>
            <w:hideMark/>
          </w:tcPr>
          <w:p w14:paraId="7241C044" w14:textId="77777777" w:rsidR="00BC6E7D" w:rsidRPr="00E65AA7" w:rsidRDefault="00BC6E7D" w:rsidP="00164318">
            <w:pPr>
              <w:jc w:val="center"/>
              <w:rPr>
                <w:color w:val="000000"/>
                <w:sz w:val="20"/>
                <w:szCs w:val="20"/>
              </w:rPr>
            </w:pPr>
            <w:r w:rsidRPr="00E65AA7">
              <w:rPr>
                <w:color w:val="000000"/>
                <w:sz w:val="20"/>
                <w:szCs w:val="20"/>
              </w:rPr>
              <w:t>(-0.48)</w:t>
            </w:r>
          </w:p>
        </w:tc>
        <w:tc>
          <w:tcPr>
            <w:tcW w:w="385" w:type="pct"/>
            <w:tcBorders>
              <w:top w:val="nil"/>
              <w:left w:val="nil"/>
              <w:right w:val="nil"/>
            </w:tcBorders>
            <w:shd w:val="clear" w:color="auto" w:fill="auto"/>
            <w:noWrap/>
            <w:vAlign w:val="center"/>
            <w:hideMark/>
          </w:tcPr>
          <w:p w14:paraId="5F79E883" w14:textId="77777777" w:rsidR="00BC6E7D" w:rsidRPr="00E65AA7" w:rsidRDefault="00BC6E7D" w:rsidP="00164318">
            <w:pPr>
              <w:jc w:val="center"/>
              <w:rPr>
                <w:color w:val="000000"/>
                <w:sz w:val="20"/>
                <w:szCs w:val="20"/>
              </w:rPr>
            </w:pPr>
            <w:r w:rsidRPr="00E65AA7">
              <w:rPr>
                <w:color w:val="000000"/>
                <w:sz w:val="20"/>
                <w:szCs w:val="20"/>
              </w:rPr>
              <w:t>(-0.82)</w:t>
            </w:r>
          </w:p>
        </w:tc>
        <w:tc>
          <w:tcPr>
            <w:tcW w:w="410" w:type="pct"/>
            <w:tcBorders>
              <w:top w:val="nil"/>
              <w:left w:val="nil"/>
              <w:right w:val="nil"/>
            </w:tcBorders>
            <w:shd w:val="clear" w:color="auto" w:fill="auto"/>
            <w:noWrap/>
            <w:vAlign w:val="center"/>
            <w:hideMark/>
          </w:tcPr>
          <w:p w14:paraId="62D9D483" w14:textId="77777777" w:rsidR="00BC6E7D" w:rsidRPr="00E65AA7" w:rsidRDefault="00BC6E7D" w:rsidP="00164318">
            <w:pPr>
              <w:jc w:val="center"/>
              <w:rPr>
                <w:color w:val="000000"/>
                <w:sz w:val="20"/>
                <w:szCs w:val="20"/>
              </w:rPr>
            </w:pPr>
            <w:r w:rsidRPr="00E65AA7">
              <w:rPr>
                <w:color w:val="000000"/>
                <w:sz w:val="20"/>
                <w:szCs w:val="20"/>
              </w:rPr>
              <w:t>(</w:t>
            </w:r>
            <w:r>
              <w:rPr>
                <w:color w:val="000000"/>
                <w:sz w:val="20"/>
                <w:szCs w:val="20"/>
              </w:rPr>
              <w:t>-</w:t>
            </w:r>
            <w:r w:rsidRPr="00E65AA7">
              <w:rPr>
                <w:color w:val="000000"/>
                <w:sz w:val="20"/>
                <w:szCs w:val="20"/>
              </w:rPr>
              <w:t>1.18)</w:t>
            </w:r>
          </w:p>
        </w:tc>
      </w:tr>
      <w:tr w:rsidR="00BC6E7D" w:rsidRPr="00E65AA7" w14:paraId="5C7E5ACF" w14:textId="77777777" w:rsidTr="00BC6E7D">
        <w:trPr>
          <w:trHeight w:hRule="exact" w:val="255"/>
        </w:trPr>
        <w:tc>
          <w:tcPr>
            <w:tcW w:w="483" w:type="pct"/>
            <w:vMerge w:val="restart"/>
            <w:tcBorders>
              <w:top w:val="nil"/>
              <w:left w:val="nil"/>
              <w:right w:val="nil"/>
            </w:tcBorders>
            <w:shd w:val="clear" w:color="auto" w:fill="auto"/>
            <w:vAlign w:val="center"/>
          </w:tcPr>
          <w:p w14:paraId="63DF834F" w14:textId="77777777" w:rsidR="00BC6E7D" w:rsidRPr="00E65AA7" w:rsidRDefault="00BC6E7D" w:rsidP="00164318">
            <w:pPr>
              <w:rPr>
                <w:rFonts w:eastAsia="Times New Roman"/>
                <w:b/>
                <w:sz w:val="20"/>
                <w:szCs w:val="20"/>
                <w:lang w:eastAsia="en-MY"/>
              </w:rPr>
            </w:pPr>
            <w:r w:rsidRPr="00E65AA7">
              <w:rPr>
                <w:rFonts w:eastAsia="Times New Roman"/>
                <w:b/>
                <w:color w:val="000000"/>
                <w:sz w:val="20"/>
                <w:szCs w:val="20"/>
                <w:lang w:eastAsia="en-MY"/>
              </w:rPr>
              <w:t>L/H</w:t>
            </w:r>
          </w:p>
        </w:tc>
        <w:tc>
          <w:tcPr>
            <w:tcW w:w="257" w:type="pct"/>
            <w:vMerge w:val="restart"/>
            <w:tcBorders>
              <w:top w:val="nil"/>
              <w:left w:val="nil"/>
              <w:right w:val="nil"/>
            </w:tcBorders>
            <w:vAlign w:val="center"/>
          </w:tcPr>
          <w:p w14:paraId="10BD6AFC" w14:textId="77777777" w:rsidR="00BC6E7D" w:rsidRPr="00E65AA7" w:rsidRDefault="00BC6E7D" w:rsidP="00164318">
            <w:pPr>
              <w:jc w:val="center"/>
              <w:rPr>
                <w:rFonts w:eastAsia="Times New Roman"/>
                <w:sz w:val="20"/>
                <w:szCs w:val="20"/>
                <w:lang w:eastAsia="en-MY"/>
              </w:rPr>
            </w:pPr>
            <w:r w:rsidRPr="00E65AA7">
              <w:rPr>
                <w:rFonts w:eastAsia="Times New Roman"/>
                <w:color w:val="000000"/>
                <w:sz w:val="20"/>
                <w:szCs w:val="20"/>
                <w:lang w:eastAsia="en-MY"/>
              </w:rPr>
              <w:t>41</w:t>
            </w:r>
          </w:p>
        </w:tc>
        <w:tc>
          <w:tcPr>
            <w:tcW w:w="385" w:type="pct"/>
            <w:tcBorders>
              <w:top w:val="nil"/>
              <w:left w:val="nil"/>
              <w:right w:val="nil"/>
            </w:tcBorders>
            <w:shd w:val="clear" w:color="auto" w:fill="auto"/>
            <w:noWrap/>
            <w:vAlign w:val="center"/>
          </w:tcPr>
          <w:p w14:paraId="4DBDEDA2" w14:textId="77777777" w:rsidR="00BC6E7D" w:rsidRPr="00E65AA7" w:rsidRDefault="00BC6E7D" w:rsidP="00164318">
            <w:pPr>
              <w:jc w:val="center"/>
              <w:rPr>
                <w:sz w:val="20"/>
                <w:szCs w:val="20"/>
              </w:rPr>
            </w:pPr>
            <w:r w:rsidRPr="00E65AA7">
              <w:rPr>
                <w:color w:val="000000"/>
                <w:sz w:val="20"/>
                <w:szCs w:val="20"/>
              </w:rPr>
              <w:t>1.57</w:t>
            </w:r>
          </w:p>
        </w:tc>
        <w:tc>
          <w:tcPr>
            <w:tcW w:w="385" w:type="pct"/>
            <w:tcBorders>
              <w:top w:val="nil"/>
              <w:left w:val="nil"/>
              <w:right w:val="nil"/>
            </w:tcBorders>
            <w:shd w:val="clear" w:color="auto" w:fill="auto"/>
            <w:noWrap/>
            <w:vAlign w:val="center"/>
          </w:tcPr>
          <w:p w14:paraId="0A524083" w14:textId="77777777" w:rsidR="00BC6E7D" w:rsidRPr="00E65AA7" w:rsidRDefault="00BC6E7D" w:rsidP="00164318">
            <w:pPr>
              <w:jc w:val="center"/>
              <w:rPr>
                <w:sz w:val="20"/>
                <w:szCs w:val="20"/>
              </w:rPr>
            </w:pPr>
            <w:r w:rsidRPr="00E65AA7">
              <w:rPr>
                <w:color w:val="000000"/>
                <w:sz w:val="20"/>
                <w:szCs w:val="20"/>
              </w:rPr>
              <w:t>2.21</w:t>
            </w:r>
          </w:p>
        </w:tc>
        <w:tc>
          <w:tcPr>
            <w:tcW w:w="385" w:type="pct"/>
            <w:tcBorders>
              <w:top w:val="nil"/>
              <w:left w:val="nil"/>
              <w:right w:val="nil"/>
            </w:tcBorders>
            <w:shd w:val="clear" w:color="auto" w:fill="auto"/>
            <w:noWrap/>
            <w:vAlign w:val="center"/>
          </w:tcPr>
          <w:p w14:paraId="1081A135" w14:textId="77777777" w:rsidR="00BC6E7D" w:rsidRPr="00E65AA7" w:rsidRDefault="00BC6E7D" w:rsidP="00164318">
            <w:pPr>
              <w:jc w:val="center"/>
              <w:rPr>
                <w:sz w:val="20"/>
                <w:szCs w:val="20"/>
              </w:rPr>
            </w:pPr>
            <w:r w:rsidRPr="00E65AA7">
              <w:rPr>
                <w:color w:val="000000"/>
                <w:sz w:val="20"/>
                <w:szCs w:val="20"/>
              </w:rPr>
              <w:t>2.59</w:t>
            </w:r>
          </w:p>
        </w:tc>
        <w:tc>
          <w:tcPr>
            <w:tcW w:w="385" w:type="pct"/>
            <w:tcBorders>
              <w:top w:val="nil"/>
              <w:left w:val="nil"/>
              <w:right w:val="nil"/>
            </w:tcBorders>
            <w:shd w:val="clear" w:color="auto" w:fill="auto"/>
            <w:noWrap/>
            <w:vAlign w:val="center"/>
          </w:tcPr>
          <w:p w14:paraId="581229E5" w14:textId="77777777" w:rsidR="00BC6E7D" w:rsidRPr="00E65AA7" w:rsidRDefault="00BC6E7D" w:rsidP="00164318">
            <w:pPr>
              <w:jc w:val="center"/>
              <w:rPr>
                <w:sz w:val="20"/>
                <w:szCs w:val="20"/>
              </w:rPr>
            </w:pPr>
            <w:r w:rsidRPr="00E65AA7">
              <w:rPr>
                <w:color w:val="000000"/>
                <w:sz w:val="20"/>
                <w:szCs w:val="20"/>
              </w:rPr>
              <w:t>2.92</w:t>
            </w:r>
          </w:p>
        </w:tc>
        <w:tc>
          <w:tcPr>
            <w:tcW w:w="385" w:type="pct"/>
            <w:tcBorders>
              <w:top w:val="nil"/>
              <w:left w:val="nil"/>
              <w:right w:val="nil"/>
            </w:tcBorders>
            <w:shd w:val="clear" w:color="auto" w:fill="auto"/>
            <w:noWrap/>
            <w:vAlign w:val="center"/>
          </w:tcPr>
          <w:p w14:paraId="4BDE2682" w14:textId="77777777" w:rsidR="00BC6E7D" w:rsidRPr="00E65AA7" w:rsidRDefault="00BC6E7D" w:rsidP="00164318">
            <w:pPr>
              <w:jc w:val="center"/>
              <w:rPr>
                <w:sz w:val="20"/>
                <w:szCs w:val="20"/>
              </w:rPr>
            </w:pPr>
            <w:r w:rsidRPr="00E65AA7">
              <w:rPr>
                <w:color w:val="000000"/>
                <w:sz w:val="20"/>
                <w:szCs w:val="20"/>
              </w:rPr>
              <w:t>3.17</w:t>
            </w:r>
          </w:p>
        </w:tc>
        <w:tc>
          <w:tcPr>
            <w:tcW w:w="385" w:type="pct"/>
            <w:tcBorders>
              <w:top w:val="nil"/>
              <w:left w:val="nil"/>
              <w:right w:val="nil"/>
            </w:tcBorders>
            <w:shd w:val="clear" w:color="auto" w:fill="auto"/>
            <w:noWrap/>
            <w:vAlign w:val="center"/>
          </w:tcPr>
          <w:p w14:paraId="24782DC8" w14:textId="77777777" w:rsidR="00BC6E7D" w:rsidRPr="00E65AA7" w:rsidRDefault="00BC6E7D" w:rsidP="00164318">
            <w:pPr>
              <w:jc w:val="center"/>
              <w:rPr>
                <w:sz w:val="20"/>
                <w:szCs w:val="20"/>
              </w:rPr>
            </w:pPr>
            <w:r w:rsidRPr="00E65AA7">
              <w:rPr>
                <w:color w:val="000000"/>
                <w:sz w:val="20"/>
                <w:szCs w:val="20"/>
              </w:rPr>
              <w:t>3.35</w:t>
            </w:r>
          </w:p>
        </w:tc>
        <w:tc>
          <w:tcPr>
            <w:tcW w:w="385" w:type="pct"/>
            <w:tcBorders>
              <w:top w:val="nil"/>
              <w:left w:val="nil"/>
              <w:right w:val="nil"/>
            </w:tcBorders>
            <w:shd w:val="clear" w:color="auto" w:fill="auto"/>
            <w:noWrap/>
            <w:vAlign w:val="center"/>
          </w:tcPr>
          <w:p w14:paraId="3181225B" w14:textId="77777777" w:rsidR="00BC6E7D" w:rsidRPr="00E65AA7" w:rsidRDefault="00BC6E7D" w:rsidP="00164318">
            <w:pPr>
              <w:jc w:val="center"/>
              <w:rPr>
                <w:sz w:val="20"/>
                <w:szCs w:val="20"/>
              </w:rPr>
            </w:pPr>
            <w:r w:rsidRPr="00E65AA7">
              <w:rPr>
                <w:color w:val="000000"/>
                <w:sz w:val="20"/>
                <w:szCs w:val="20"/>
              </w:rPr>
              <w:t>3.83</w:t>
            </w:r>
          </w:p>
        </w:tc>
        <w:tc>
          <w:tcPr>
            <w:tcW w:w="385" w:type="pct"/>
            <w:tcBorders>
              <w:top w:val="nil"/>
              <w:left w:val="nil"/>
              <w:right w:val="nil"/>
            </w:tcBorders>
            <w:shd w:val="clear" w:color="auto" w:fill="auto"/>
            <w:noWrap/>
            <w:vAlign w:val="center"/>
          </w:tcPr>
          <w:p w14:paraId="420FC896" w14:textId="77777777" w:rsidR="00BC6E7D" w:rsidRPr="00E65AA7" w:rsidRDefault="00BC6E7D" w:rsidP="00164318">
            <w:pPr>
              <w:jc w:val="center"/>
              <w:rPr>
                <w:sz w:val="20"/>
                <w:szCs w:val="20"/>
              </w:rPr>
            </w:pPr>
            <w:r w:rsidRPr="00E65AA7">
              <w:rPr>
                <w:color w:val="000000"/>
                <w:sz w:val="20"/>
                <w:szCs w:val="20"/>
              </w:rPr>
              <w:t>4.07</w:t>
            </w:r>
          </w:p>
        </w:tc>
        <w:tc>
          <w:tcPr>
            <w:tcW w:w="385" w:type="pct"/>
            <w:tcBorders>
              <w:top w:val="nil"/>
              <w:left w:val="nil"/>
              <w:right w:val="nil"/>
            </w:tcBorders>
            <w:shd w:val="clear" w:color="auto" w:fill="auto"/>
            <w:noWrap/>
            <w:vAlign w:val="center"/>
          </w:tcPr>
          <w:p w14:paraId="728EFFED" w14:textId="77777777" w:rsidR="00BC6E7D" w:rsidRPr="00E65AA7" w:rsidRDefault="00BC6E7D" w:rsidP="00164318">
            <w:pPr>
              <w:jc w:val="center"/>
              <w:rPr>
                <w:sz w:val="20"/>
                <w:szCs w:val="20"/>
              </w:rPr>
            </w:pPr>
            <w:r w:rsidRPr="00E65AA7">
              <w:rPr>
                <w:color w:val="000000"/>
                <w:sz w:val="20"/>
                <w:szCs w:val="20"/>
              </w:rPr>
              <w:t>4.43</w:t>
            </w:r>
          </w:p>
        </w:tc>
        <w:tc>
          <w:tcPr>
            <w:tcW w:w="385" w:type="pct"/>
            <w:tcBorders>
              <w:top w:val="nil"/>
              <w:left w:val="nil"/>
              <w:right w:val="nil"/>
            </w:tcBorders>
            <w:shd w:val="clear" w:color="auto" w:fill="auto"/>
            <w:noWrap/>
            <w:vAlign w:val="center"/>
          </w:tcPr>
          <w:p w14:paraId="72FD1457" w14:textId="77777777" w:rsidR="00BC6E7D" w:rsidRPr="00E65AA7" w:rsidRDefault="00BC6E7D" w:rsidP="00164318">
            <w:pPr>
              <w:jc w:val="center"/>
              <w:rPr>
                <w:sz w:val="20"/>
                <w:szCs w:val="20"/>
              </w:rPr>
            </w:pPr>
            <w:r w:rsidRPr="00E65AA7">
              <w:rPr>
                <w:color w:val="000000"/>
                <w:sz w:val="20"/>
                <w:szCs w:val="20"/>
              </w:rPr>
              <w:t>5.55</w:t>
            </w:r>
          </w:p>
        </w:tc>
        <w:tc>
          <w:tcPr>
            <w:tcW w:w="410" w:type="pct"/>
            <w:tcBorders>
              <w:top w:val="nil"/>
              <w:left w:val="nil"/>
              <w:right w:val="nil"/>
            </w:tcBorders>
            <w:shd w:val="clear" w:color="auto" w:fill="auto"/>
            <w:noWrap/>
            <w:vAlign w:val="center"/>
          </w:tcPr>
          <w:p w14:paraId="72024783" w14:textId="77777777" w:rsidR="00BC6E7D" w:rsidRPr="00E65AA7" w:rsidRDefault="00BC6E7D" w:rsidP="00164318">
            <w:pPr>
              <w:jc w:val="center"/>
              <w:rPr>
                <w:sz w:val="20"/>
                <w:szCs w:val="20"/>
              </w:rPr>
            </w:pPr>
            <w:r w:rsidRPr="00E65AA7">
              <w:rPr>
                <w:color w:val="000000"/>
                <w:sz w:val="20"/>
                <w:szCs w:val="20"/>
              </w:rPr>
              <w:t>3.98</w:t>
            </w:r>
          </w:p>
        </w:tc>
      </w:tr>
      <w:tr w:rsidR="00BC6E7D" w:rsidRPr="00E65AA7" w14:paraId="5B6E3EEB" w14:textId="77777777" w:rsidTr="00BC6E7D">
        <w:trPr>
          <w:trHeight w:hRule="exact" w:val="255"/>
        </w:trPr>
        <w:tc>
          <w:tcPr>
            <w:tcW w:w="483" w:type="pct"/>
            <w:vMerge/>
            <w:tcBorders>
              <w:left w:val="nil"/>
              <w:bottom w:val="single" w:sz="4" w:space="0" w:color="auto"/>
              <w:right w:val="nil"/>
            </w:tcBorders>
            <w:shd w:val="clear" w:color="auto" w:fill="auto"/>
            <w:vAlign w:val="center"/>
          </w:tcPr>
          <w:p w14:paraId="766E9887" w14:textId="77777777" w:rsidR="00BC6E7D" w:rsidRPr="00E65AA7" w:rsidRDefault="00BC6E7D" w:rsidP="00164318">
            <w:pPr>
              <w:rPr>
                <w:rFonts w:eastAsia="Times New Roman"/>
                <w:b/>
                <w:sz w:val="20"/>
                <w:szCs w:val="20"/>
                <w:lang w:eastAsia="en-MY"/>
              </w:rPr>
            </w:pPr>
          </w:p>
        </w:tc>
        <w:tc>
          <w:tcPr>
            <w:tcW w:w="257" w:type="pct"/>
            <w:vMerge/>
            <w:tcBorders>
              <w:left w:val="nil"/>
              <w:bottom w:val="single" w:sz="4" w:space="0" w:color="auto"/>
              <w:right w:val="nil"/>
            </w:tcBorders>
          </w:tcPr>
          <w:p w14:paraId="0BDE7160" w14:textId="77777777" w:rsidR="00BC6E7D" w:rsidRPr="00E65AA7" w:rsidRDefault="00BC6E7D" w:rsidP="00164318">
            <w:pPr>
              <w:jc w:val="center"/>
              <w:rPr>
                <w:rFonts w:eastAsia="Times New Roman"/>
                <w:sz w:val="20"/>
                <w:szCs w:val="20"/>
                <w:lang w:eastAsia="en-MY"/>
              </w:rPr>
            </w:pPr>
          </w:p>
        </w:tc>
        <w:tc>
          <w:tcPr>
            <w:tcW w:w="385" w:type="pct"/>
            <w:tcBorders>
              <w:top w:val="nil"/>
              <w:left w:val="nil"/>
              <w:bottom w:val="single" w:sz="4" w:space="0" w:color="auto"/>
              <w:right w:val="nil"/>
            </w:tcBorders>
            <w:shd w:val="clear" w:color="auto" w:fill="auto"/>
            <w:noWrap/>
            <w:vAlign w:val="center"/>
          </w:tcPr>
          <w:p w14:paraId="6FB02CF0" w14:textId="77777777" w:rsidR="00BC6E7D" w:rsidRPr="00E65AA7" w:rsidRDefault="00BC6E7D" w:rsidP="00164318">
            <w:pPr>
              <w:jc w:val="center"/>
              <w:rPr>
                <w:sz w:val="20"/>
                <w:szCs w:val="20"/>
              </w:rPr>
            </w:pPr>
            <w:r w:rsidRPr="00E65AA7">
              <w:rPr>
                <w:color w:val="000000"/>
                <w:sz w:val="20"/>
                <w:szCs w:val="20"/>
              </w:rPr>
              <w:t>(4.06)</w:t>
            </w:r>
          </w:p>
        </w:tc>
        <w:tc>
          <w:tcPr>
            <w:tcW w:w="385" w:type="pct"/>
            <w:tcBorders>
              <w:top w:val="nil"/>
              <w:left w:val="nil"/>
              <w:bottom w:val="single" w:sz="4" w:space="0" w:color="auto"/>
              <w:right w:val="nil"/>
            </w:tcBorders>
            <w:shd w:val="clear" w:color="auto" w:fill="auto"/>
            <w:noWrap/>
            <w:vAlign w:val="center"/>
          </w:tcPr>
          <w:p w14:paraId="54B8F4D0" w14:textId="77777777" w:rsidR="00BC6E7D" w:rsidRPr="00E65AA7" w:rsidRDefault="00BC6E7D" w:rsidP="00164318">
            <w:pPr>
              <w:jc w:val="center"/>
              <w:rPr>
                <w:sz w:val="20"/>
                <w:szCs w:val="20"/>
              </w:rPr>
            </w:pPr>
            <w:r w:rsidRPr="00E65AA7">
              <w:rPr>
                <w:color w:val="000000"/>
                <w:sz w:val="20"/>
                <w:szCs w:val="20"/>
              </w:rPr>
              <w:t>(4.16)</w:t>
            </w:r>
          </w:p>
        </w:tc>
        <w:tc>
          <w:tcPr>
            <w:tcW w:w="385" w:type="pct"/>
            <w:tcBorders>
              <w:top w:val="nil"/>
              <w:left w:val="nil"/>
              <w:bottom w:val="single" w:sz="4" w:space="0" w:color="auto"/>
              <w:right w:val="nil"/>
            </w:tcBorders>
            <w:shd w:val="clear" w:color="auto" w:fill="auto"/>
            <w:noWrap/>
            <w:vAlign w:val="center"/>
          </w:tcPr>
          <w:p w14:paraId="5694B2B1" w14:textId="77777777" w:rsidR="00BC6E7D" w:rsidRPr="00E65AA7" w:rsidRDefault="00BC6E7D" w:rsidP="00164318">
            <w:pPr>
              <w:jc w:val="center"/>
              <w:rPr>
                <w:sz w:val="20"/>
                <w:szCs w:val="20"/>
              </w:rPr>
            </w:pPr>
            <w:r w:rsidRPr="00E65AA7">
              <w:rPr>
                <w:color w:val="000000"/>
                <w:sz w:val="20"/>
                <w:szCs w:val="20"/>
              </w:rPr>
              <w:t>(4.52)</w:t>
            </w:r>
          </w:p>
        </w:tc>
        <w:tc>
          <w:tcPr>
            <w:tcW w:w="385" w:type="pct"/>
            <w:tcBorders>
              <w:top w:val="nil"/>
              <w:left w:val="nil"/>
              <w:bottom w:val="single" w:sz="4" w:space="0" w:color="auto"/>
              <w:right w:val="nil"/>
            </w:tcBorders>
            <w:shd w:val="clear" w:color="auto" w:fill="auto"/>
            <w:noWrap/>
            <w:vAlign w:val="center"/>
          </w:tcPr>
          <w:p w14:paraId="2198160E" w14:textId="77777777" w:rsidR="00BC6E7D" w:rsidRPr="00E65AA7" w:rsidRDefault="00BC6E7D" w:rsidP="00164318">
            <w:pPr>
              <w:jc w:val="center"/>
              <w:rPr>
                <w:sz w:val="20"/>
                <w:szCs w:val="20"/>
              </w:rPr>
            </w:pPr>
            <w:r w:rsidRPr="00E65AA7">
              <w:rPr>
                <w:color w:val="000000"/>
                <w:sz w:val="20"/>
                <w:szCs w:val="20"/>
              </w:rPr>
              <w:t>(4.33)</w:t>
            </w:r>
          </w:p>
        </w:tc>
        <w:tc>
          <w:tcPr>
            <w:tcW w:w="385" w:type="pct"/>
            <w:tcBorders>
              <w:top w:val="nil"/>
              <w:left w:val="nil"/>
              <w:bottom w:val="single" w:sz="4" w:space="0" w:color="auto"/>
              <w:right w:val="nil"/>
            </w:tcBorders>
            <w:shd w:val="clear" w:color="auto" w:fill="auto"/>
            <w:noWrap/>
            <w:vAlign w:val="center"/>
          </w:tcPr>
          <w:p w14:paraId="6292E42F" w14:textId="77777777" w:rsidR="00BC6E7D" w:rsidRPr="00E65AA7" w:rsidRDefault="00BC6E7D" w:rsidP="00164318">
            <w:pPr>
              <w:jc w:val="center"/>
              <w:rPr>
                <w:sz w:val="20"/>
                <w:szCs w:val="20"/>
              </w:rPr>
            </w:pPr>
            <w:r w:rsidRPr="00E65AA7">
              <w:rPr>
                <w:color w:val="000000"/>
                <w:sz w:val="20"/>
                <w:szCs w:val="20"/>
              </w:rPr>
              <w:t>(4.42)</w:t>
            </w:r>
          </w:p>
        </w:tc>
        <w:tc>
          <w:tcPr>
            <w:tcW w:w="385" w:type="pct"/>
            <w:tcBorders>
              <w:top w:val="nil"/>
              <w:left w:val="nil"/>
              <w:bottom w:val="single" w:sz="4" w:space="0" w:color="auto"/>
              <w:right w:val="nil"/>
            </w:tcBorders>
            <w:shd w:val="clear" w:color="auto" w:fill="auto"/>
            <w:noWrap/>
            <w:vAlign w:val="center"/>
          </w:tcPr>
          <w:p w14:paraId="3848DBC1" w14:textId="77777777" w:rsidR="00BC6E7D" w:rsidRPr="00E65AA7" w:rsidRDefault="00BC6E7D" w:rsidP="00164318">
            <w:pPr>
              <w:jc w:val="center"/>
              <w:rPr>
                <w:sz w:val="20"/>
                <w:szCs w:val="20"/>
              </w:rPr>
            </w:pPr>
            <w:r w:rsidRPr="00E65AA7">
              <w:rPr>
                <w:color w:val="000000"/>
                <w:sz w:val="20"/>
                <w:szCs w:val="20"/>
              </w:rPr>
              <w:t>(4.32)</w:t>
            </w:r>
          </w:p>
        </w:tc>
        <w:tc>
          <w:tcPr>
            <w:tcW w:w="385" w:type="pct"/>
            <w:tcBorders>
              <w:top w:val="nil"/>
              <w:left w:val="nil"/>
              <w:bottom w:val="single" w:sz="4" w:space="0" w:color="auto"/>
              <w:right w:val="nil"/>
            </w:tcBorders>
            <w:shd w:val="clear" w:color="auto" w:fill="auto"/>
            <w:noWrap/>
            <w:vAlign w:val="center"/>
          </w:tcPr>
          <w:p w14:paraId="5E235E8B" w14:textId="77777777" w:rsidR="00BC6E7D" w:rsidRPr="00E65AA7" w:rsidRDefault="00BC6E7D" w:rsidP="00164318">
            <w:pPr>
              <w:jc w:val="center"/>
              <w:rPr>
                <w:sz w:val="20"/>
                <w:szCs w:val="20"/>
              </w:rPr>
            </w:pPr>
            <w:r w:rsidRPr="00E65AA7">
              <w:rPr>
                <w:color w:val="000000"/>
                <w:sz w:val="20"/>
                <w:szCs w:val="20"/>
              </w:rPr>
              <w:t>(4.54)</w:t>
            </w:r>
          </w:p>
        </w:tc>
        <w:tc>
          <w:tcPr>
            <w:tcW w:w="385" w:type="pct"/>
            <w:tcBorders>
              <w:top w:val="nil"/>
              <w:left w:val="nil"/>
              <w:bottom w:val="single" w:sz="4" w:space="0" w:color="auto"/>
              <w:right w:val="nil"/>
            </w:tcBorders>
            <w:shd w:val="clear" w:color="auto" w:fill="auto"/>
            <w:noWrap/>
            <w:vAlign w:val="center"/>
          </w:tcPr>
          <w:p w14:paraId="0DEED5C3" w14:textId="77777777" w:rsidR="00BC6E7D" w:rsidRPr="00E65AA7" w:rsidRDefault="00BC6E7D" w:rsidP="00164318">
            <w:pPr>
              <w:jc w:val="center"/>
              <w:rPr>
                <w:sz w:val="20"/>
                <w:szCs w:val="20"/>
              </w:rPr>
            </w:pPr>
            <w:r w:rsidRPr="00E65AA7">
              <w:rPr>
                <w:color w:val="000000"/>
                <w:sz w:val="20"/>
                <w:szCs w:val="20"/>
              </w:rPr>
              <w:t>(4.23)</w:t>
            </w:r>
          </w:p>
        </w:tc>
        <w:tc>
          <w:tcPr>
            <w:tcW w:w="385" w:type="pct"/>
            <w:tcBorders>
              <w:top w:val="nil"/>
              <w:left w:val="nil"/>
              <w:bottom w:val="single" w:sz="4" w:space="0" w:color="auto"/>
              <w:right w:val="nil"/>
            </w:tcBorders>
            <w:shd w:val="clear" w:color="auto" w:fill="auto"/>
            <w:noWrap/>
            <w:vAlign w:val="center"/>
          </w:tcPr>
          <w:p w14:paraId="1E8B5676" w14:textId="77777777" w:rsidR="00BC6E7D" w:rsidRPr="00E65AA7" w:rsidRDefault="00BC6E7D" w:rsidP="00164318">
            <w:pPr>
              <w:jc w:val="center"/>
              <w:rPr>
                <w:sz w:val="20"/>
                <w:szCs w:val="20"/>
              </w:rPr>
            </w:pPr>
            <w:r w:rsidRPr="00E65AA7">
              <w:rPr>
                <w:color w:val="000000"/>
                <w:sz w:val="20"/>
                <w:szCs w:val="20"/>
              </w:rPr>
              <w:t>(4.10)</w:t>
            </w:r>
          </w:p>
        </w:tc>
        <w:tc>
          <w:tcPr>
            <w:tcW w:w="385" w:type="pct"/>
            <w:tcBorders>
              <w:top w:val="nil"/>
              <w:left w:val="nil"/>
              <w:bottom w:val="single" w:sz="4" w:space="0" w:color="auto"/>
              <w:right w:val="nil"/>
            </w:tcBorders>
            <w:shd w:val="clear" w:color="auto" w:fill="auto"/>
            <w:noWrap/>
            <w:vAlign w:val="center"/>
          </w:tcPr>
          <w:p w14:paraId="62809E51" w14:textId="77777777" w:rsidR="00BC6E7D" w:rsidRPr="00E65AA7" w:rsidRDefault="00BC6E7D" w:rsidP="00164318">
            <w:pPr>
              <w:jc w:val="center"/>
              <w:rPr>
                <w:sz w:val="20"/>
                <w:szCs w:val="20"/>
              </w:rPr>
            </w:pPr>
            <w:r w:rsidRPr="00E65AA7">
              <w:rPr>
                <w:color w:val="000000"/>
                <w:sz w:val="20"/>
                <w:szCs w:val="20"/>
              </w:rPr>
              <w:t>(3.73)</w:t>
            </w:r>
          </w:p>
        </w:tc>
        <w:tc>
          <w:tcPr>
            <w:tcW w:w="410" w:type="pct"/>
            <w:tcBorders>
              <w:top w:val="nil"/>
              <w:left w:val="nil"/>
              <w:bottom w:val="single" w:sz="4" w:space="0" w:color="auto"/>
              <w:right w:val="nil"/>
            </w:tcBorders>
            <w:shd w:val="clear" w:color="auto" w:fill="auto"/>
            <w:noWrap/>
            <w:vAlign w:val="center"/>
          </w:tcPr>
          <w:p w14:paraId="7B468521" w14:textId="77777777" w:rsidR="00BC6E7D" w:rsidRPr="00E65AA7" w:rsidRDefault="00BC6E7D" w:rsidP="00164318">
            <w:pPr>
              <w:jc w:val="center"/>
              <w:rPr>
                <w:sz w:val="20"/>
                <w:szCs w:val="20"/>
              </w:rPr>
            </w:pPr>
            <w:r>
              <w:rPr>
                <w:color w:val="000000"/>
                <w:sz w:val="20"/>
                <w:szCs w:val="20"/>
              </w:rPr>
              <w:t>(</w:t>
            </w:r>
            <w:r w:rsidRPr="00E65AA7">
              <w:rPr>
                <w:color w:val="000000"/>
                <w:sz w:val="20"/>
                <w:szCs w:val="20"/>
              </w:rPr>
              <w:t>3.06)</w:t>
            </w:r>
          </w:p>
        </w:tc>
      </w:tr>
    </w:tbl>
    <w:p w14:paraId="20CA4D73" w14:textId="4B98E0EB" w:rsidR="00D267BA" w:rsidRDefault="00D267BA">
      <w:pPr>
        <w:spacing w:after="120"/>
        <w:rPr>
          <w:b/>
          <w:sz w:val="20"/>
          <w:szCs w:val="20"/>
        </w:rPr>
      </w:pPr>
    </w:p>
    <w:p w14:paraId="42F96380" w14:textId="77777777" w:rsidR="00D267BA" w:rsidRDefault="00D267BA">
      <w:pPr>
        <w:spacing w:after="120"/>
        <w:rPr>
          <w:b/>
          <w:sz w:val="20"/>
          <w:szCs w:val="20"/>
        </w:rPr>
      </w:pPr>
      <w:r>
        <w:rPr>
          <w:b/>
          <w:sz w:val="20"/>
          <w:szCs w:val="20"/>
        </w:rPr>
        <w:br w:type="page"/>
      </w:r>
    </w:p>
    <w:p w14:paraId="372D7B53" w14:textId="3CD0B674" w:rsidR="00D267BA" w:rsidRDefault="00D267BA" w:rsidP="00D267BA">
      <w:pPr>
        <w:spacing w:after="120"/>
        <w:rPr>
          <w:sz w:val="20"/>
          <w:szCs w:val="20"/>
        </w:rPr>
      </w:pPr>
      <w:r w:rsidRPr="00E65AA7">
        <w:rPr>
          <w:b/>
          <w:sz w:val="20"/>
          <w:szCs w:val="20"/>
        </w:rPr>
        <w:lastRenderedPageBreak/>
        <w:t xml:space="preserve">Table </w:t>
      </w:r>
      <w:r w:rsidR="0012128A">
        <w:rPr>
          <w:b/>
          <w:sz w:val="20"/>
          <w:szCs w:val="20"/>
        </w:rPr>
        <w:t>9</w:t>
      </w:r>
      <w:r w:rsidRPr="00E65AA7">
        <w:rPr>
          <w:b/>
          <w:sz w:val="20"/>
          <w:szCs w:val="20"/>
        </w:rPr>
        <w:t xml:space="preserve">: </w:t>
      </w:r>
      <w:r w:rsidR="0048096C">
        <w:rPr>
          <w:b/>
          <w:sz w:val="20"/>
          <w:szCs w:val="20"/>
        </w:rPr>
        <w:t>Monthly Returns of Volatility-sorted Portfolios Conditioned on Long-run Sentiment Dynamics</w:t>
      </w:r>
      <w:r w:rsidRPr="00E65AA7">
        <w:rPr>
          <w:b/>
          <w:sz w:val="20"/>
          <w:szCs w:val="20"/>
        </w:rPr>
        <w:t xml:space="preserve">, 1964 to 2014. </w:t>
      </w:r>
      <w:r w:rsidRPr="00E65AA7">
        <w:rPr>
          <w:noProof/>
          <w:sz w:val="20"/>
          <w:szCs w:val="20"/>
        </w:rPr>
        <w:t xml:space="preserve">In each month </w:t>
      </w:r>
      <w:r w:rsidRPr="00E65AA7">
        <w:rPr>
          <w:i/>
          <w:noProof/>
          <w:sz w:val="20"/>
          <w:szCs w:val="20"/>
        </w:rPr>
        <w:t>t</w:t>
      </w:r>
      <w:r w:rsidRPr="00E65AA7">
        <w:rPr>
          <w:noProof/>
          <w:sz w:val="20"/>
          <w:szCs w:val="20"/>
        </w:rPr>
        <w:t>, we form decile portfolios according to the NYSE breakpoints of volatility.</w:t>
      </w:r>
      <w:r w:rsidRPr="00E65AA7">
        <w:rPr>
          <w:sz w:val="20"/>
          <w:szCs w:val="20"/>
        </w:rPr>
        <w:t xml:space="preserve"> We report average portfolio returns based on sentiment dynamics. We define H/H (L/L) sentiment state if </w:t>
      </w:r>
      <w:r w:rsidR="00316788">
        <w:rPr>
          <w:sz w:val="20"/>
          <w:szCs w:val="20"/>
        </w:rPr>
        <w:t>yearly sentiment index (Y</w:t>
      </w:r>
      <w:r w:rsidRPr="00E65AA7">
        <w:rPr>
          <w:sz w:val="20"/>
          <w:szCs w:val="20"/>
        </w:rPr>
        <w:t>STM</w:t>
      </w:r>
      <w:r w:rsidR="00316788">
        <w:rPr>
          <w:sz w:val="20"/>
          <w:szCs w:val="20"/>
        </w:rPr>
        <w:t>) at the end of previous calendar year</w:t>
      </w:r>
      <w:r w:rsidRPr="00E65AA7">
        <w:rPr>
          <w:sz w:val="20"/>
          <w:szCs w:val="20"/>
        </w:rPr>
        <w:t xml:space="preserve"> and ▲STM in month </w:t>
      </w:r>
      <w:r w:rsidRPr="00E65AA7">
        <w:rPr>
          <w:i/>
          <w:sz w:val="20"/>
          <w:szCs w:val="20"/>
        </w:rPr>
        <w:t>t</w:t>
      </w:r>
      <w:r w:rsidRPr="00E65AA7">
        <w:rPr>
          <w:sz w:val="20"/>
          <w:szCs w:val="20"/>
        </w:rPr>
        <w:t xml:space="preserve"> are positive (negative). Furthermore, we classify H/L (L/H) sentiment state if</w:t>
      </w:r>
      <w:r w:rsidR="0012128A" w:rsidRPr="00E65AA7">
        <w:rPr>
          <w:sz w:val="20"/>
          <w:szCs w:val="20"/>
        </w:rPr>
        <w:t xml:space="preserve"> </w:t>
      </w:r>
      <w:r w:rsidR="00316788">
        <w:rPr>
          <w:sz w:val="20"/>
          <w:szCs w:val="20"/>
        </w:rPr>
        <w:t>Y</w:t>
      </w:r>
      <w:r w:rsidR="0012128A" w:rsidRPr="00E65AA7">
        <w:rPr>
          <w:sz w:val="20"/>
          <w:szCs w:val="20"/>
        </w:rPr>
        <w:t xml:space="preserve">STM </w:t>
      </w:r>
      <w:r w:rsidR="00316788">
        <w:rPr>
          <w:sz w:val="20"/>
          <w:szCs w:val="20"/>
        </w:rPr>
        <w:t>at the end of previous calendar year</w:t>
      </w:r>
      <w:r w:rsidR="00316788" w:rsidDel="00316788">
        <w:rPr>
          <w:sz w:val="20"/>
          <w:szCs w:val="20"/>
        </w:rPr>
        <w:t xml:space="preserve"> </w:t>
      </w:r>
      <w:r w:rsidRPr="00E65AA7">
        <w:rPr>
          <w:sz w:val="20"/>
          <w:szCs w:val="20"/>
        </w:rPr>
        <w:t xml:space="preserve">is positive (negative) and ▲STM in month </w:t>
      </w:r>
      <w:r w:rsidRPr="00E65AA7">
        <w:rPr>
          <w:i/>
          <w:sz w:val="20"/>
          <w:szCs w:val="20"/>
        </w:rPr>
        <w:t>t</w:t>
      </w:r>
      <w:r w:rsidRPr="00E65AA7">
        <w:rPr>
          <w:sz w:val="20"/>
          <w:szCs w:val="20"/>
        </w:rPr>
        <w:t xml:space="preserve"> is negative (positive). We report average monthly returns in percentage and </w:t>
      </w:r>
      <w:r w:rsidRPr="00E65AA7">
        <w:rPr>
          <w:i/>
          <w:sz w:val="20"/>
          <w:szCs w:val="20"/>
        </w:rPr>
        <w:t>t</w:t>
      </w:r>
      <w:r w:rsidRPr="00E65AA7">
        <w:rPr>
          <w:sz w:val="20"/>
          <w:szCs w:val="20"/>
        </w:rPr>
        <w:t>-statistics in parenthesis.</w:t>
      </w:r>
    </w:p>
    <w:tbl>
      <w:tblPr>
        <w:tblW w:w="5000" w:type="pct"/>
        <w:tblLook w:val="04A0" w:firstRow="1" w:lastRow="0" w:firstColumn="1" w:lastColumn="0" w:noHBand="0" w:noVBand="1"/>
      </w:tblPr>
      <w:tblGrid>
        <w:gridCol w:w="1157"/>
        <w:gridCol w:w="369"/>
        <w:gridCol w:w="732"/>
        <w:gridCol w:w="62"/>
        <w:gridCol w:w="1118"/>
        <w:gridCol w:w="62"/>
        <w:gridCol w:w="1121"/>
        <w:gridCol w:w="62"/>
        <w:gridCol w:w="1121"/>
        <w:gridCol w:w="62"/>
        <w:gridCol w:w="1121"/>
        <w:gridCol w:w="62"/>
        <w:gridCol w:w="1121"/>
        <w:gridCol w:w="62"/>
        <w:gridCol w:w="1121"/>
        <w:gridCol w:w="62"/>
        <w:gridCol w:w="1121"/>
        <w:gridCol w:w="62"/>
        <w:gridCol w:w="1121"/>
        <w:gridCol w:w="62"/>
        <w:gridCol w:w="1121"/>
        <w:gridCol w:w="62"/>
        <w:gridCol w:w="1121"/>
        <w:gridCol w:w="62"/>
        <w:gridCol w:w="1220"/>
        <w:gridCol w:w="31"/>
      </w:tblGrid>
      <w:tr w:rsidR="00F46D92" w:rsidRPr="00E65AA7" w14:paraId="7EBDB9B0" w14:textId="77777777" w:rsidTr="00164318">
        <w:trPr>
          <w:gridAfter w:val="1"/>
          <w:wAfter w:w="9" w:type="pct"/>
          <w:trHeight w:hRule="exact" w:val="255"/>
        </w:trPr>
        <w:tc>
          <w:tcPr>
            <w:tcW w:w="376" w:type="pct"/>
            <w:tcBorders>
              <w:top w:val="single" w:sz="4" w:space="0" w:color="auto"/>
              <w:left w:val="nil"/>
              <w:bottom w:val="single" w:sz="4" w:space="0" w:color="auto"/>
              <w:right w:val="nil"/>
            </w:tcBorders>
            <w:shd w:val="clear" w:color="auto" w:fill="auto"/>
            <w:vAlign w:val="center"/>
          </w:tcPr>
          <w:p w14:paraId="440EAF27" w14:textId="77777777" w:rsidR="00F46D92" w:rsidRPr="00E65AA7" w:rsidRDefault="00F46D92" w:rsidP="00F46D92">
            <w:pPr>
              <w:rPr>
                <w:rFonts w:eastAsia="Times New Roman"/>
                <w:b/>
                <w:bCs/>
                <w:color w:val="000000"/>
                <w:sz w:val="20"/>
                <w:szCs w:val="20"/>
                <w:lang w:eastAsia="en-MY"/>
              </w:rPr>
            </w:pPr>
            <w:r>
              <w:rPr>
                <w:rFonts w:eastAsia="Times New Roman"/>
                <w:b/>
                <w:bCs/>
                <w:color w:val="000000"/>
                <w:sz w:val="20"/>
                <w:szCs w:val="20"/>
                <w:lang w:eastAsia="en-MY"/>
              </w:rPr>
              <w:t>Sentiment</w:t>
            </w:r>
          </w:p>
        </w:tc>
        <w:tc>
          <w:tcPr>
            <w:tcW w:w="358" w:type="pct"/>
            <w:gridSpan w:val="2"/>
            <w:tcBorders>
              <w:top w:val="single" w:sz="4" w:space="0" w:color="auto"/>
              <w:left w:val="nil"/>
              <w:bottom w:val="single" w:sz="4" w:space="0" w:color="auto"/>
              <w:right w:val="nil"/>
            </w:tcBorders>
            <w:shd w:val="clear" w:color="auto" w:fill="auto"/>
            <w:vAlign w:val="center"/>
          </w:tcPr>
          <w:p w14:paraId="02623EB8" w14:textId="77777777" w:rsidR="00F46D92" w:rsidRPr="00E65AA7" w:rsidRDefault="00F46D92" w:rsidP="00164318">
            <w:pPr>
              <w:jc w:val="center"/>
              <w:rPr>
                <w:rFonts w:eastAsia="Times New Roman"/>
                <w:b/>
                <w:bCs/>
                <w:color w:val="000000"/>
                <w:sz w:val="20"/>
                <w:szCs w:val="20"/>
                <w:lang w:eastAsia="en-MY"/>
              </w:rPr>
            </w:pPr>
            <w:r>
              <w:rPr>
                <w:rFonts w:eastAsia="Times New Roman"/>
                <w:b/>
                <w:bCs/>
                <w:color w:val="000000"/>
                <w:sz w:val="20"/>
                <w:szCs w:val="20"/>
                <w:lang w:eastAsia="en-MY"/>
              </w:rPr>
              <w:t>N</w:t>
            </w:r>
          </w:p>
        </w:tc>
        <w:tc>
          <w:tcPr>
            <w:tcW w:w="383" w:type="pct"/>
            <w:gridSpan w:val="2"/>
            <w:tcBorders>
              <w:top w:val="single" w:sz="4" w:space="0" w:color="auto"/>
              <w:left w:val="nil"/>
              <w:bottom w:val="single" w:sz="4" w:space="0" w:color="auto"/>
              <w:right w:val="nil"/>
            </w:tcBorders>
            <w:shd w:val="clear" w:color="auto" w:fill="auto"/>
            <w:vAlign w:val="center"/>
            <w:hideMark/>
          </w:tcPr>
          <w:p w14:paraId="0E0CBA44"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p>
        </w:tc>
        <w:tc>
          <w:tcPr>
            <w:tcW w:w="384" w:type="pct"/>
            <w:gridSpan w:val="2"/>
            <w:tcBorders>
              <w:top w:val="single" w:sz="4" w:space="0" w:color="auto"/>
              <w:left w:val="nil"/>
              <w:bottom w:val="single" w:sz="4" w:space="0" w:color="auto"/>
              <w:right w:val="nil"/>
            </w:tcBorders>
            <w:shd w:val="clear" w:color="auto" w:fill="auto"/>
            <w:vAlign w:val="center"/>
            <w:hideMark/>
          </w:tcPr>
          <w:p w14:paraId="195276A2"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P2</w:t>
            </w:r>
          </w:p>
        </w:tc>
        <w:tc>
          <w:tcPr>
            <w:tcW w:w="384" w:type="pct"/>
            <w:gridSpan w:val="2"/>
            <w:tcBorders>
              <w:top w:val="single" w:sz="4" w:space="0" w:color="auto"/>
              <w:left w:val="nil"/>
              <w:bottom w:val="single" w:sz="4" w:space="0" w:color="auto"/>
              <w:right w:val="nil"/>
            </w:tcBorders>
            <w:shd w:val="clear" w:color="auto" w:fill="auto"/>
            <w:vAlign w:val="center"/>
            <w:hideMark/>
          </w:tcPr>
          <w:p w14:paraId="0B9DEA9D"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P3</w:t>
            </w:r>
          </w:p>
        </w:tc>
        <w:tc>
          <w:tcPr>
            <w:tcW w:w="384" w:type="pct"/>
            <w:gridSpan w:val="2"/>
            <w:tcBorders>
              <w:top w:val="single" w:sz="4" w:space="0" w:color="auto"/>
              <w:left w:val="nil"/>
              <w:bottom w:val="single" w:sz="4" w:space="0" w:color="auto"/>
              <w:right w:val="nil"/>
            </w:tcBorders>
            <w:shd w:val="clear" w:color="auto" w:fill="auto"/>
            <w:vAlign w:val="center"/>
            <w:hideMark/>
          </w:tcPr>
          <w:p w14:paraId="443E40A2"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P4</w:t>
            </w:r>
          </w:p>
        </w:tc>
        <w:tc>
          <w:tcPr>
            <w:tcW w:w="384" w:type="pct"/>
            <w:gridSpan w:val="2"/>
            <w:tcBorders>
              <w:top w:val="single" w:sz="4" w:space="0" w:color="auto"/>
              <w:left w:val="nil"/>
              <w:bottom w:val="single" w:sz="4" w:space="0" w:color="auto"/>
              <w:right w:val="nil"/>
            </w:tcBorders>
            <w:shd w:val="clear" w:color="auto" w:fill="auto"/>
            <w:vAlign w:val="center"/>
            <w:hideMark/>
          </w:tcPr>
          <w:p w14:paraId="23425827"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P5</w:t>
            </w:r>
          </w:p>
        </w:tc>
        <w:tc>
          <w:tcPr>
            <w:tcW w:w="384" w:type="pct"/>
            <w:gridSpan w:val="2"/>
            <w:tcBorders>
              <w:top w:val="single" w:sz="4" w:space="0" w:color="auto"/>
              <w:left w:val="nil"/>
              <w:bottom w:val="single" w:sz="4" w:space="0" w:color="auto"/>
              <w:right w:val="nil"/>
            </w:tcBorders>
            <w:shd w:val="clear" w:color="auto" w:fill="auto"/>
            <w:vAlign w:val="center"/>
            <w:hideMark/>
          </w:tcPr>
          <w:p w14:paraId="433C86B7"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P6</w:t>
            </w:r>
          </w:p>
        </w:tc>
        <w:tc>
          <w:tcPr>
            <w:tcW w:w="384" w:type="pct"/>
            <w:gridSpan w:val="2"/>
            <w:tcBorders>
              <w:top w:val="single" w:sz="4" w:space="0" w:color="auto"/>
              <w:left w:val="nil"/>
              <w:bottom w:val="single" w:sz="4" w:space="0" w:color="auto"/>
              <w:right w:val="nil"/>
            </w:tcBorders>
            <w:shd w:val="clear" w:color="auto" w:fill="auto"/>
            <w:vAlign w:val="center"/>
            <w:hideMark/>
          </w:tcPr>
          <w:p w14:paraId="0408FD51"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P7</w:t>
            </w:r>
          </w:p>
        </w:tc>
        <w:tc>
          <w:tcPr>
            <w:tcW w:w="384" w:type="pct"/>
            <w:gridSpan w:val="2"/>
            <w:tcBorders>
              <w:top w:val="single" w:sz="4" w:space="0" w:color="auto"/>
              <w:left w:val="nil"/>
              <w:bottom w:val="single" w:sz="4" w:space="0" w:color="auto"/>
              <w:right w:val="nil"/>
            </w:tcBorders>
            <w:shd w:val="clear" w:color="auto" w:fill="auto"/>
            <w:vAlign w:val="center"/>
            <w:hideMark/>
          </w:tcPr>
          <w:p w14:paraId="67EAAFF1"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P8</w:t>
            </w:r>
          </w:p>
        </w:tc>
        <w:tc>
          <w:tcPr>
            <w:tcW w:w="384" w:type="pct"/>
            <w:gridSpan w:val="2"/>
            <w:tcBorders>
              <w:top w:val="single" w:sz="4" w:space="0" w:color="auto"/>
              <w:left w:val="nil"/>
              <w:bottom w:val="single" w:sz="4" w:space="0" w:color="auto"/>
              <w:right w:val="nil"/>
            </w:tcBorders>
            <w:shd w:val="clear" w:color="auto" w:fill="auto"/>
            <w:vAlign w:val="center"/>
            <w:hideMark/>
          </w:tcPr>
          <w:p w14:paraId="316C8E23"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P9</w:t>
            </w:r>
          </w:p>
        </w:tc>
        <w:tc>
          <w:tcPr>
            <w:tcW w:w="384" w:type="pct"/>
            <w:gridSpan w:val="2"/>
            <w:tcBorders>
              <w:top w:val="single" w:sz="4" w:space="0" w:color="auto"/>
              <w:left w:val="nil"/>
              <w:bottom w:val="single" w:sz="4" w:space="0" w:color="auto"/>
              <w:right w:val="nil"/>
            </w:tcBorders>
            <w:shd w:val="clear" w:color="auto" w:fill="auto"/>
            <w:vAlign w:val="center"/>
            <w:hideMark/>
          </w:tcPr>
          <w:p w14:paraId="2C95A989"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P10</w:t>
            </w:r>
          </w:p>
        </w:tc>
        <w:tc>
          <w:tcPr>
            <w:tcW w:w="416" w:type="pct"/>
            <w:gridSpan w:val="2"/>
            <w:tcBorders>
              <w:top w:val="single" w:sz="4" w:space="0" w:color="auto"/>
              <w:left w:val="nil"/>
              <w:bottom w:val="single" w:sz="4" w:space="0" w:color="auto"/>
              <w:right w:val="nil"/>
            </w:tcBorders>
            <w:shd w:val="clear" w:color="auto" w:fill="auto"/>
            <w:vAlign w:val="center"/>
            <w:hideMark/>
          </w:tcPr>
          <w:p w14:paraId="0495B7ED" w14:textId="77777777" w:rsidR="00F46D92" w:rsidRPr="00E65AA7" w:rsidRDefault="00F46D92" w:rsidP="00164318">
            <w:pPr>
              <w:jc w:val="center"/>
              <w:rPr>
                <w:rFonts w:eastAsia="Times New Roman"/>
                <w:b/>
                <w:bCs/>
                <w:color w:val="000000"/>
                <w:sz w:val="20"/>
                <w:szCs w:val="20"/>
                <w:lang w:eastAsia="en-MY"/>
              </w:rPr>
            </w:pPr>
            <w:r w:rsidRPr="00E65AA7">
              <w:rPr>
                <w:rFonts w:eastAsia="Times New Roman"/>
                <w:b/>
                <w:bCs/>
                <w:color w:val="000000"/>
                <w:sz w:val="20"/>
                <w:szCs w:val="20"/>
                <w:lang w:eastAsia="en-MY"/>
              </w:rPr>
              <w:t>P1</w:t>
            </w:r>
            <w:r>
              <w:rPr>
                <w:rFonts w:eastAsia="Times New Roman"/>
                <w:b/>
                <w:bCs/>
                <w:color w:val="000000"/>
                <w:sz w:val="20"/>
                <w:szCs w:val="20"/>
                <w:lang w:eastAsia="en-MY"/>
              </w:rPr>
              <w:t>0</w:t>
            </w:r>
            <w:r w:rsidRPr="00E65AA7">
              <w:rPr>
                <w:rFonts w:eastAsia="Times New Roman"/>
                <w:b/>
                <w:bCs/>
                <w:color w:val="000000"/>
                <w:sz w:val="20"/>
                <w:szCs w:val="20"/>
                <w:lang w:eastAsia="en-MY"/>
              </w:rPr>
              <w:t>-P1</w:t>
            </w:r>
          </w:p>
        </w:tc>
      </w:tr>
      <w:tr w:rsidR="00164318" w:rsidRPr="00E65AA7" w14:paraId="365B3ACF" w14:textId="77777777" w:rsidTr="00164318">
        <w:trPr>
          <w:trHeight w:hRule="exact" w:val="255"/>
        </w:trPr>
        <w:tc>
          <w:tcPr>
            <w:tcW w:w="496" w:type="pct"/>
            <w:gridSpan w:val="2"/>
            <w:vMerge w:val="restart"/>
            <w:tcBorders>
              <w:top w:val="single" w:sz="4" w:space="0" w:color="auto"/>
              <w:left w:val="nil"/>
              <w:bottom w:val="nil"/>
              <w:right w:val="nil"/>
            </w:tcBorders>
            <w:shd w:val="clear" w:color="auto" w:fill="auto"/>
            <w:vAlign w:val="center"/>
            <w:hideMark/>
          </w:tcPr>
          <w:p w14:paraId="4F8996CA" w14:textId="77777777" w:rsidR="00164318" w:rsidRPr="00E65AA7" w:rsidRDefault="00164318" w:rsidP="00164318">
            <w:pPr>
              <w:rPr>
                <w:rFonts w:eastAsia="Times New Roman"/>
                <w:b/>
                <w:color w:val="000000"/>
                <w:sz w:val="20"/>
                <w:szCs w:val="20"/>
                <w:lang w:eastAsia="en-MY"/>
              </w:rPr>
            </w:pPr>
            <w:r w:rsidRPr="00E65AA7">
              <w:rPr>
                <w:rFonts w:eastAsia="Times New Roman"/>
                <w:b/>
                <w:color w:val="000000"/>
                <w:sz w:val="20"/>
                <w:szCs w:val="20"/>
                <w:lang w:eastAsia="en-MY"/>
              </w:rPr>
              <w:t>H/H</w:t>
            </w:r>
          </w:p>
        </w:tc>
        <w:tc>
          <w:tcPr>
            <w:tcW w:w="258" w:type="pct"/>
            <w:gridSpan w:val="2"/>
            <w:vMerge w:val="restart"/>
            <w:tcBorders>
              <w:top w:val="single" w:sz="4" w:space="0" w:color="auto"/>
              <w:left w:val="nil"/>
              <w:right w:val="nil"/>
            </w:tcBorders>
            <w:vAlign w:val="center"/>
          </w:tcPr>
          <w:p w14:paraId="6C6A94FA" w14:textId="63B03182" w:rsidR="00164318" w:rsidRPr="00E65AA7" w:rsidRDefault="00164318" w:rsidP="00164318">
            <w:pPr>
              <w:rPr>
                <w:rFonts w:eastAsia="Times New Roman"/>
                <w:color w:val="000000"/>
                <w:sz w:val="20"/>
                <w:szCs w:val="20"/>
                <w:lang w:eastAsia="en-MY"/>
              </w:rPr>
            </w:pPr>
            <w:r w:rsidRPr="00E65AA7">
              <w:rPr>
                <w:rFonts w:eastAsia="Times New Roman"/>
                <w:color w:val="000000"/>
                <w:sz w:val="20"/>
                <w:szCs w:val="20"/>
                <w:lang w:eastAsia="en-MY"/>
              </w:rPr>
              <w:t>1</w:t>
            </w:r>
            <w:r>
              <w:rPr>
                <w:rFonts w:eastAsia="Times New Roman"/>
                <w:color w:val="000000"/>
                <w:sz w:val="20"/>
                <w:szCs w:val="20"/>
                <w:lang w:eastAsia="en-MY"/>
              </w:rPr>
              <w:t>24</w:t>
            </w:r>
          </w:p>
        </w:tc>
        <w:tc>
          <w:tcPr>
            <w:tcW w:w="383" w:type="pct"/>
            <w:gridSpan w:val="2"/>
            <w:tcBorders>
              <w:top w:val="single" w:sz="4" w:space="0" w:color="auto"/>
              <w:left w:val="nil"/>
              <w:bottom w:val="nil"/>
              <w:right w:val="nil"/>
            </w:tcBorders>
            <w:shd w:val="clear" w:color="auto" w:fill="auto"/>
            <w:noWrap/>
            <w:vAlign w:val="center"/>
            <w:hideMark/>
          </w:tcPr>
          <w:p w14:paraId="4FE2339B" w14:textId="41C786FC" w:rsidR="00164318" w:rsidRPr="00E65AA7" w:rsidRDefault="00164318" w:rsidP="00164318">
            <w:pPr>
              <w:jc w:val="center"/>
              <w:rPr>
                <w:color w:val="000000"/>
                <w:sz w:val="20"/>
                <w:szCs w:val="20"/>
              </w:rPr>
            </w:pPr>
            <w:r>
              <w:rPr>
                <w:color w:val="000000"/>
                <w:sz w:val="20"/>
                <w:szCs w:val="20"/>
              </w:rPr>
              <w:t>1.89</w:t>
            </w:r>
          </w:p>
        </w:tc>
        <w:tc>
          <w:tcPr>
            <w:tcW w:w="384" w:type="pct"/>
            <w:gridSpan w:val="2"/>
            <w:tcBorders>
              <w:top w:val="single" w:sz="4" w:space="0" w:color="auto"/>
              <w:left w:val="nil"/>
              <w:bottom w:val="nil"/>
              <w:right w:val="nil"/>
            </w:tcBorders>
            <w:shd w:val="clear" w:color="auto" w:fill="auto"/>
            <w:noWrap/>
            <w:vAlign w:val="center"/>
            <w:hideMark/>
          </w:tcPr>
          <w:p w14:paraId="33E293A8" w14:textId="6D8B24D3" w:rsidR="00164318" w:rsidRPr="00E65AA7" w:rsidRDefault="00164318" w:rsidP="00164318">
            <w:pPr>
              <w:jc w:val="center"/>
              <w:rPr>
                <w:color w:val="000000"/>
                <w:sz w:val="20"/>
                <w:szCs w:val="20"/>
              </w:rPr>
            </w:pPr>
            <w:r>
              <w:rPr>
                <w:color w:val="000000"/>
                <w:sz w:val="20"/>
                <w:szCs w:val="20"/>
              </w:rPr>
              <w:t>2.18</w:t>
            </w:r>
          </w:p>
        </w:tc>
        <w:tc>
          <w:tcPr>
            <w:tcW w:w="384" w:type="pct"/>
            <w:gridSpan w:val="2"/>
            <w:tcBorders>
              <w:top w:val="single" w:sz="4" w:space="0" w:color="auto"/>
              <w:left w:val="nil"/>
              <w:bottom w:val="nil"/>
              <w:right w:val="nil"/>
            </w:tcBorders>
            <w:shd w:val="clear" w:color="auto" w:fill="auto"/>
            <w:noWrap/>
            <w:vAlign w:val="center"/>
            <w:hideMark/>
          </w:tcPr>
          <w:p w14:paraId="16475F69" w14:textId="2EB36F73" w:rsidR="00164318" w:rsidRPr="00E65AA7" w:rsidRDefault="00164318" w:rsidP="00164318">
            <w:pPr>
              <w:jc w:val="center"/>
              <w:rPr>
                <w:color w:val="000000"/>
                <w:sz w:val="20"/>
                <w:szCs w:val="20"/>
              </w:rPr>
            </w:pPr>
            <w:r>
              <w:rPr>
                <w:color w:val="000000"/>
                <w:sz w:val="20"/>
                <w:szCs w:val="20"/>
              </w:rPr>
              <w:t>2.23</w:t>
            </w:r>
          </w:p>
        </w:tc>
        <w:tc>
          <w:tcPr>
            <w:tcW w:w="384" w:type="pct"/>
            <w:gridSpan w:val="2"/>
            <w:tcBorders>
              <w:top w:val="single" w:sz="4" w:space="0" w:color="auto"/>
              <w:left w:val="nil"/>
              <w:bottom w:val="nil"/>
              <w:right w:val="nil"/>
            </w:tcBorders>
            <w:shd w:val="clear" w:color="auto" w:fill="auto"/>
            <w:noWrap/>
            <w:vAlign w:val="center"/>
            <w:hideMark/>
          </w:tcPr>
          <w:p w14:paraId="4B240EA5" w14:textId="5E50863C" w:rsidR="00164318" w:rsidRPr="00E65AA7" w:rsidRDefault="00164318" w:rsidP="00164318">
            <w:pPr>
              <w:jc w:val="center"/>
              <w:rPr>
                <w:color w:val="000000"/>
                <w:sz w:val="20"/>
                <w:szCs w:val="20"/>
              </w:rPr>
            </w:pPr>
            <w:r>
              <w:rPr>
                <w:color w:val="000000"/>
                <w:sz w:val="20"/>
                <w:szCs w:val="20"/>
              </w:rPr>
              <w:t>2.48</w:t>
            </w:r>
          </w:p>
        </w:tc>
        <w:tc>
          <w:tcPr>
            <w:tcW w:w="384" w:type="pct"/>
            <w:gridSpan w:val="2"/>
            <w:tcBorders>
              <w:top w:val="single" w:sz="4" w:space="0" w:color="auto"/>
              <w:left w:val="nil"/>
              <w:bottom w:val="nil"/>
              <w:right w:val="nil"/>
            </w:tcBorders>
            <w:shd w:val="clear" w:color="auto" w:fill="auto"/>
            <w:noWrap/>
            <w:vAlign w:val="center"/>
            <w:hideMark/>
          </w:tcPr>
          <w:p w14:paraId="41529F11" w14:textId="2F3035D2" w:rsidR="00164318" w:rsidRPr="00E65AA7" w:rsidRDefault="00164318" w:rsidP="00164318">
            <w:pPr>
              <w:jc w:val="center"/>
              <w:rPr>
                <w:color w:val="000000"/>
                <w:sz w:val="20"/>
                <w:szCs w:val="20"/>
              </w:rPr>
            </w:pPr>
            <w:r>
              <w:rPr>
                <w:color w:val="000000"/>
                <w:sz w:val="20"/>
                <w:szCs w:val="20"/>
              </w:rPr>
              <w:t>2.74</w:t>
            </w:r>
          </w:p>
        </w:tc>
        <w:tc>
          <w:tcPr>
            <w:tcW w:w="384" w:type="pct"/>
            <w:gridSpan w:val="2"/>
            <w:tcBorders>
              <w:top w:val="single" w:sz="4" w:space="0" w:color="auto"/>
              <w:left w:val="nil"/>
              <w:bottom w:val="nil"/>
              <w:right w:val="nil"/>
            </w:tcBorders>
            <w:shd w:val="clear" w:color="auto" w:fill="auto"/>
            <w:noWrap/>
            <w:vAlign w:val="center"/>
            <w:hideMark/>
          </w:tcPr>
          <w:p w14:paraId="19AD21D3" w14:textId="3BEADAD4" w:rsidR="00164318" w:rsidRPr="00E65AA7" w:rsidRDefault="00164318" w:rsidP="00164318">
            <w:pPr>
              <w:jc w:val="center"/>
              <w:rPr>
                <w:color w:val="000000"/>
                <w:sz w:val="20"/>
                <w:szCs w:val="20"/>
              </w:rPr>
            </w:pPr>
            <w:r>
              <w:rPr>
                <w:color w:val="000000"/>
                <w:sz w:val="20"/>
                <w:szCs w:val="20"/>
              </w:rPr>
              <w:t>2.73</w:t>
            </w:r>
          </w:p>
        </w:tc>
        <w:tc>
          <w:tcPr>
            <w:tcW w:w="384" w:type="pct"/>
            <w:gridSpan w:val="2"/>
            <w:tcBorders>
              <w:top w:val="single" w:sz="4" w:space="0" w:color="auto"/>
              <w:left w:val="nil"/>
              <w:bottom w:val="nil"/>
              <w:right w:val="nil"/>
            </w:tcBorders>
            <w:shd w:val="clear" w:color="auto" w:fill="auto"/>
            <w:noWrap/>
            <w:vAlign w:val="center"/>
            <w:hideMark/>
          </w:tcPr>
          <w:p w14:paraId="21F75C8B" w14:textId="2AD2B9E7" w:rsidR="00164318" w:rsidRPr="00E65AA7" w:rsidRDefault="00164318" w:rsidP="00164318">
            <w:pPr>
              <w:jc w:val="center"/>
              <w:rPr>
                <w:color w:val="000000"/>
                <w:sz w:val="20"/>
                <w:szCs w:val="20"/>
              </w:rPr>
            </w:pPr>
            <w:r>
              <w:rPr>
                <w:color w:val="000000"/>
                <w:sz w:val="20"/>
                <w:szCs w:val="20"/>
              </w:rPr>
              <w:t>3.06</w:t>
            </w:r>
          </w:p>
        </w:tc>
        <w:tc>
          <w:tcPr>
            <w:tcW w:w="384" w:type="pct"/>
            <w:gridSpan w:val="2"/>
            <w:tcBorders>
              <w:top w:val="single" w:sz="4" w:space="0" w:color="auto"/>
              <w:left w:val="nil"/>
              <w:bottom w:val="nil"/>
              <w:right w:val="nil"/>
            </w:tcBorders>
            <w:shd w:val="clear" w:color="auto" w:fill="auto"/>
            <w:noWrap/>
            <w:vAlign w:val="center"/>
            <w:hideMark/>
          </w:tcPr>
          <w:p w14:paraId="29A5FF83" w14:textId="3AF8BB40" w:rsidR="00164318" w:rsidRPr="00E65AA7" w:rsidRDefault="00164318" w:rsidP="00164318">
            <w:pPr>
              <w:jc w:val="center"/>
              <w:rPr>
                <w:color w:val="000000"/>
                <w:sz w:val="20"/>
                <w:szCs w:val="20"/>
              </w:rPr>
            </w:pPr>
            <w:r>
              <w:rPr>
                <w:color w:val="000000"/>
                <w:sz w:val="20"/>
                <w:szCs w:val="20"/>
              </w:rPr>
              <w:t>3.24</w:t>
            </w:r>
          </w:p>
        </w:tc>
        <w:tc>
          <w:tcPr>
            <w:tcW w:w="384" w:type="pct"/>
            <w:gridSpan w:val="2"/>
            <w:tcBorders>
              <w:top w:val="single" w:sz="4" w:space="0" w:color="auto"/>
              <w:left w:val="nil"/>
              <w:bottom w:val="nil"/>
              <w:right w:val="nil"/>
            </w:tcBorders>
            <w:shd w:val="clear" w:color="auto" w:fill="auto"/>
            <w:noWrap/>
            <w:vAlign w:val="center"/>
            <w:hideMark/>
          </w:tcPr>
          <w:p w14:paraId="60481536" w14:textId="3BCFDE99" w:rsidR="00164318" w:rsidRPr="00E65AA7" w:rsidRDefault="00164318" w:rsidP="00164318">
            <w:pPr>
              <w:jc w:val="center"/>
              <w:rPr>
                <w:color w:val="000000"/>
                <w:sz w:val="20"/>
                <w:szCs w:val="20"/>
              </w:rPr>
            </w:pPr>
            <w:r>
              <w:rPr>
                <w:color w:val="000000"/>
                <w:sz w:val="20"/>
                <w:szCs w:val="20"/>
              </w:rPr>
              <w:t>3.44</w:t>
            </w:r>
          </w:p>
        </w:tc>
        <w:tc>
          <w:tcPr>
            <w:tcW w:w="384" w:type="pct"/>
            <w:gridSpan w:val="2"/>
            <w:tcBorders>
              <w:top w:val="single" w:sz="4" w:space="0" w:color="auto"/>
              <w:left w:val="nil"/>
              <w:bottom w:val="nil"/>
              <w:right w:val="nil"/>
            </w:tcBorders>
            <w:shd w:val="clear" w:color="auto" w:fill="auto"/>
            <w:noWrap/>
            <w:vAlign w:val="center"/>
            <w:hideMark/>
          </w:tcPr>
          <w:p w14:paraId="4862A38A" w14:textId="52BF3C91" w:rsidR="00164318" w:rsidRPr="00E65AA7" w:rsidRDefault="00164318" w:rsidP="00164318">
            <w:pPr>
              <w:jc w:val="center"/>
              <w:rPr>
                <w:color w:val="000000"/>
                <w:sz w:val="20"/>
                <w:szCs w:val="20"/>
              </w:rPr>
            </w:pPr>
            <w:r>
              <w:rPr>
                <w:color w:val="000000"/>
                <w:sz w:val="20"/>
                <w:szCs w:val="20"/>
              </w:rPr>
              <w:t>3.78</w:t>
            </w:r>
          </w:p>
        </w:tc>
        <w:tc>
          <w:tcPr>
            <w:tcW w:w="406" w:type="pct"/>
            <w:gridSpan w:val="2"/>
            <w:tcBorders>
              <w:top w:val="single" w:sz="4" w:space="0" w:color="auto"/>
              <w:left w:val="nil"/>
              <w:bottom w:val="nil"/>
              <w:right w:val="nil"/>
            </w:tcBorders>
            <w:shd w:val="clear" w:color="auto" w:fill="auto"/>
            <w:noWrap/>
            <w:vAlign w:val="center"/>
            <w:hideMark/>
          </w:tcPr>
          <w:p w14:paraId="0B28C6B1" w14:textId="02D2C85F" w:rsidR="00164318" w:rsidRPr="00E65AA7" w:rsidRDefault="00164318" w:rsidP="00164318">
            <w:pPr>
              <w:jc w:val="center"/>
              <w:rPr>
                <w:color w:val="000000"/>
                <w:sz w:val="20"/>
                <w:szCs w:val="20"/>
              </w:rPr>
            </w:pPr>
            <w:r>
              <w:rPr>
                <w:color w:val="000000"/>
                <w:sz w:val="20"/>
                <w:szCs w:val="20"/>
              </w:rPr>
              <w:t>1.89</w:t>
            </w:r>
          </w:p>
        </w:tc>
      </w:tr>
      <w:tr w:rsidR="00164318" w:rsidRPr="00E65AA7" w14:paraId="714694CC" w14:textId="77777777" w:rsidTr="00164318">
        <w:trPr>
          <w:trHeight w:hRule="exact" w:val="255"/>
        </w:trPr>
        <w:tc>
          <w:tcPr>
            <w:tcW w:w="496" w:type="pct"/>
            <w:gridSpan w:val="2"/>
            <w:vMerge/>
            <w:tcBorders>
              <w:top w:val="nil"/>
              <w:left w:val="nil"/>
              <w:bottom w:val="nil"/>
              <w:right w:val="nil"/>
            </w:tcBorders>
            <w:vAlign w:val="center"/>
            <w:hideMark/>
          </w:tcPr>
          <w:p w14:paraId="64EBEE1D" w14:textId="77777777" w:rsidR="00164318" w:rsidRPr="00E65AA7" w:rsidRDefault="00164318" w:rsidP="00164318">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4A1AC359" w14:textId="77777777" w:rsidR="00164318" w:rsidRPr="00E65AA7" w:rsidRDefault="00164318" w:rsidP="00164318">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7FC50DFC" w14:textId="01F58712" w:rsidR="00164318" w:rsidRPr="00E65AA7" w:rsidRDefault="00164318" w:rsidP="00164318">
            <w:pPr>
              <w:jc w:val="center"/>
              <w:rPr>
                <w:color w:val="000000"/>
                <w:sz w:val="20"/>
                <w:szCs w:val="20"/>
              </w:rPr>
            </w:pPr>
            <w:r>
              <w:rPr>
                <w:color w:val="000000"/>
                <w:sz w:val="20"/>
                <w:szCs w:val="20"/>
              </w:rPr>
              <w:t>(8.15)</w:t>
            </w:r>
          </w:p>
        </w:tc>
        <w:tc>
          <w:tcPr>
            <w:tcW w:w="384" w:type="pct"/>
            <w:gridSpan w:val="2"/>
            <w:tcBorders>
              <w:top w:val="nil"/>
              <w:left w:val="nil"/>
              <w:bottom w:val="nil"/>
              <w:right w:val="nil"/>
            </w:tcBorders>
            <w:shd w:val="clear" w:color="auto" w:fill="auto"/>
            <w:noWrap/>
            <w:vAlign w:val="center"/>
            <w:hideMark/>
          </w:tcPr>
          <w:p w14:paraId="45B688E3" w14:textId="3E80CC0B" w:rsidR="00164318" w:rsidRPr="00E65AA7" w:rsidRDefault="00164318" w:rsidP="00164318">
            <w:pPr>
              <w:jc w:val="center"/>
              <w:rPr>
                <w:color w:val="000000"/>
                <w:sz w:val="20"/>
                <w:szCs w:val="20"/>
              </w:rPr>
            </w:pPr>
            <w:r>
              <w:rPr>
                <w:color w:val="000000"/>
                <w:sz w:val="20"/>
                <w:szCs w:val="20"/>
              </w:rPr>
              <w:t>(8.08)</w:t>
            </w:r>
          </w:p>
        </w:tc>
        <w:tc>
          <w:tcPr>
            <w:tcW w:w="384" w:type="pct"/>
            <w:gridSpan w:val="2"/>
            <w:tcBorders>
              <w:top w:val="nil"/>
              <w:left w:val="nil"/>
              <w:bottom w:val="nil"/>
              <w:right w:val="nil"/>
            </w:tcBorders>
            <w:shd w:val="clear" w:color="auto" w:fill="auto"/>
            <w:noWrap/>
            <w:vAlign w:val="center"/>
            <w:hideMark/>
          </w:tcPr>
          <w:p w14:paraId="06AE4E8D" w14:textId="74C7C9BF" w:rsidR="00164318" w:rsidRPr="00E65AA7" w:rsidRDefault="00164318" w:rsidP="00164318">
            <w:pPr>
              <w:jc w:val="center"/>
              <w:rPr>
                <w:color w:val="000000"/>
                <w:sz w:val="20"/>
                <w:szCs w:val="20"/>
              </w:rPr>
            </w:pPr>
            <w:r>
              <w:rPr>
                <w:color w:val="000000"/>
                <w:sz w:val="20"/>
                <w:szCs w:val="20"/>
              </w:rPr>
              <w:t>(7.53)</w:t>
            </w:r>
          </w:p>
        </w:tc>
        <w:tc>
          <w:tcPr>
            <w:tcW w:w="384" w:type="pct"/>
            <w:gridSpan w:val="2"/>
            <w:tcBorders>
              <w:top w:val="nil"/>
              <w:left w:val="nil"/>
              <w:bottom w:val="nil"/>
              <w:right w:val="nil"/>
            </w:tcBorders>
            <w:shd w:val="clear" w:color="auto" w:fill="auto"/>
            <w:noWrap/>
            <w:vAlign w:val="center"/>
            <w:hideMark/>
          </w:tcPr>
          <w:p w14:paraId="680821C8" w14:textId="5A9D581B" w:rsidR="00164318" w:rsidRPr="00E65AA7" w:rsidRDefault="00164318" w:rsidP="00164318">
            <w:pPr>
              <w:jc w:val="center"/>
              <w:rPr>
                <w:color w:val="000000"/>
                <w:sz w:val="20"/>
                <w:szCs w:val="20"/>
              </w:rPr>
            </w:pPr>
            <w:r>
              <w:rPr>
                <w:color w:val="000000"/>
                <w:sz w:val="20"/>
                <w:szCs w:val="20"/>
              </w:rPr>
              <w:t>(7.6</w:t>
            </w:r>
            <w:r w:rsidR="00D04349">
              <w:rPr>
                <w:color w:val="000000"/>
                <w:sz w:val="20"/>
                <w:szCs w:val="20"/>
              </w:rPr>
              <w:t>0</w:t>
            </w:r>
            <w:r>
              <w:rPr>
                <w:color w:val="000000"/>
                <w:sz w:val="20"/>
                <w:szCs w:val="20"/>
              </w:rPr>
              <w:t>)</w:t>
            </w:r>
          </w:p>
        </w:tc>
        <w:tc>
          <w:tcPr>
            <w:tcW w:w="384" w:type="pct"/>
            <w:gridSpan w:val="2"/>
            <w:tcBorders>
              <w:top w:val="nil"/>
              <w:left w:val="nil"/>
              <w:bottom w:val="nil"/>
              <w:right w:val="nil"/>
            </w:tcBorders>
            <w:shd w:val="clear" w:color="auto" w:fill="auto"/>
            <w:noWrap/>
            <w:vAlign w:val="center"/>
            <w:hideMark/>
          </w:tcPr>
          <w:p w14:paraId="1B04D617" w14:textId="69C79EF2" w:rsidR="00164318" w:rsidRPr="00E65AA7" w:rsidRDefault="00164318" w:rsidP="00164318">
            <w:pPr>
              <w:jc w:val="center"/>
              <w:rPr>
                <w:color w:val="000000"/>
                <w:sz w:val="20"/>
                <w:szCs w:val="20"/>
              </w:rPr>
            </w:pPr>
            <w:r>
              <w:rPr>
                <w:color w:val="000000"/>
                <w:sz w:val="20"/>
                <w:szCs w:val="20"/>
              </w:rPr>
              <w:t>(7.91)</w:t>
            </w:r>
          </w:p>
        </w:tc>
        <w:tc>
          <w:tcPr>
            <w:tcW w:w="384" w:type="pct"/>
            <w:gridSpan w:val="2"/>
            <w:tcBorders>
              <w:top w:val="nil"/>
              <w:left w:val="nil"/>
              <w:bottom w:val="nil"/>
              <w:right w:val="nil"/>
            </w:tcBorders>
            <w:shd w:val="clear" w:color="auto" w:fill="auto"/>
            <w:noWrap/>
            <w:vAlign w:val="center"/>
            <w:hideMark/>
          </w:tcPr>
          <w:p w14:paraId="2396016E" w14:textId="17D55C16" w:rsidR="00164318" w:rsidRPr="00E65AA7" w:rsidRDefault="00164318" w:rsidP="00164318">
            <w:pPr>
              <w:jc w:val="center"/>
              <w:rPr>
                <w:color w:val="000000"/>
                <w:sz w:val="20"/>
                <w:szCs w:val="20"/>
              </w:rPr>
            </w:pPr>
            <w:r>
              <w:rPr>
                <w:color w:val="000000"/>
                <w:sz w:val="20"/>
                <w:szCs w:val="20"/>
              </w:rPr>
              <w:t>(7.14)</w:t>
            </w:r>
          </w:p>
        </w:tc>
        <w:tc>
          <w:tcPr>
            <w:tcW w:w="384" w:type="pct"/>
            <w:gridSpan w:val="2"/>
            <w:tcBorders>
              <w:top w:val="nil"/>
              <w:left w:val="nil"/>
              <w:bottom w:val="nil"/>
              <w:right w:val="nil"/>
            </w:tcBorders>
            <w:shd w:val="clear" w:color="auto" w:fill="auto"/>
            <w:noWrap/>
            <w:vAlign w:val="center"/>
            <w:hideMark/>
          </w:tcPr>
          <w:p w14:paraId="4CC1A0F7" w14:textId="31EE6D19" w:rsidR="00164318" w:rsidRPr="00E65AA7" w:rsidRDefault="00164318" w:rsidP="00164318">
            <w:pPr>
              <w:jc w:val="center"/>
              <w:rPr>
                <w:color w:val="000000"/>
                <w:sz w:val="20"/>
                <w:szCs w:val="20"/>
              </w:rPr>
            </w:pPr>
            <w:r>
              <w:rPr>
                <w:color w:val="000000"/>
                <w:sz w:val="20"/>
                <w:szCs w:val="20"/>
              </w:rPr>
              <w:t>(7.28)</w:t>
            </w:r>
          </w:p>
        </w:tc>
        <w:tc>
          <w:tcPr>
            <w:tcW w:w="384" w:type="pct"/>
            <w:gridSpan w:val="2"/>
            <w:tcBorders>
              <w:top w:val="nil"/>
              <w:left w:val="nil"/>
              <w:bottom w:val="nil"/>
              <w:right w:val="nil"/>
            </w:tcBorders>
            <w:shd w:val="clear" w:color="auto" w:fill="auto"/>
            <w:noWrap/>
            <w:vAlign w:val="center"/>
            <w:hideMark/>
          </w:tcPr>
          <w:p w14:paraId="3B4912ED" w14:textId="750975AE" w:rsidR="00164318" w:rsidRPr="00E65AA7" w:rsidRDefault="00164318" w:rsidP="00164318">
            <w:pPr>
              <w:jc w:val="center"/>
              <w:rPr>
                <w:color w:val="000000"/>
                <w:sz w:val="20"/>
                <w:szCs w:val="20"/>
              </w:rPr>
            </w:pPr>
            <w:r>
              <w:rPr>
                <w:color w:val="000000"/>
                <w:sz w:val="20"/>
                <w:szCs w:val="20"/>
              </w:rPr>
              <w:t>(6.93)</w:t>
            </w:r>
          </w:p>
        </w:tc>
        <w:tc>
          <w:tcPr>
            <w:tcW w:w="384" w:type="pct"/>
            <w:gridSpan w:val="2"/>
            <w:tcBorders>
              <w:top w:val="nil"/>
              <w:left w:val="nil"/>
              <w:bottom w:val="nil"/>
              <w:right w:val="nil"/>
            </w:tcBorders>
            <w:shd w:val="clear" w:color="auto" w:fill="auto"/>
            <w:noWrap/>
            <w:vAlign w:val="center"/>
            <w:hideMark/>
          </w:tcPr>
          <w:p w14:paraId="7D67D6D9" w14:textId="6C7EDFD3" w:rsidR="00164318" w:rsidRPr="00E65AA7" w:rsidRDefault="00164318" w:rsidP="00164318">
            <w:pPr>
              <w:jc w:val="center"/>
              <w:rPr>
                <w:color w:val="000000"/>
                <w:sz w:val="20"/>
                <w:szCs w:val="20"/>
              </w:rPr>
            </w:pPr>
            <w:r>
              <w:rPr>
                <w:color w:val="000000"/>
                <w:sz w:val="20"/>
                <w:szCs w:val="20"/>
              </w:rPr>
              <w:t>(6.15)</w:t>
            </w:r>
          </w:p>
        </w:tc>
        <w:tc>
          <w:tcPr>
            <w:tcW w:w="384" w:type="pct"/>
            <w:gridSpan w:val="2"/>
            <w:tcBorders>
              <w:top w:val="nil"/>
              <w:left w:val="nil"/>
              <w:bottom w:val="nil"/>
              <w:right w:val="nil"/>
            </w:tcBorders>
            <w:shd w:val="clear" w:color="auto" w:fill="auto"/>
            <w:noWrap/>
            <w:vAlign w:val="center"/>
            <w:hideMark/>
          </w:tcPr>
          <w:p w14:paraId="13AA5159" w14:textId="55537D83" w:rsidR="00164318" w:rsidRPr="00E65AA7" w:rsidRDefault="00164318" w:rsidP="00164318">
            <w:pPr>
              <w:jc w:val="center"/>
              <w:rPr>
                <w:color w:val="000000"/>
                <w:sz w:val="20"/>
                <w:szCs w:val="20"/>
              </w:rPr>
            </w:pPr>
            <w:r>
              <w:rPr>
                <w:color w:val="000000"/>
                <w:sz w:val="20"/>
                <w:szCs w:val="20"/>
              </w:rPr>
              <w:t>(5.15)</w:t>
            </w:r>
          </w:p>
        </w:tc>
        <w:tc>
          <w:tcPr>
            <w:tcW w:w="406" w:type="pct"/>
            <w:gridSpan w:val="2"/>
            <w:tcBorders>
              <w:top w:val="nil"/>
              <w:left w:val="nil"/>
              <w:bottom w:val="nil"/>
              <w:right w:val="nil"/>
            </w:tcBorders>
            <w:shd w:val="clear" w:color="auto" w:fill="auto"/>
            <w:noWrap/>
            <w:vAlign w:val="center"/>
            <w:hideMark/>
          </w:tcPr>
          <w:p w14:paraId="07FF8965" w14:textId="31381123" w:rsidR="00164318" w:rsidRPr="00E65AA7" w:rsidRDefault="00164318" w:rsidP="00164318">
            <w:pPr>
              <w:jc w:val="center"/>
              <w:rPr>
                <w:color w:val="000000"/>
                <w:sz w:val="20"/>
                <w:szCs w:val="20"/>
              </w:rPr>
            </w:pPr>
            <w:r>
              <w:rPr>
                <w:color w:val="000000"/>
                <w:sz w:val="20"/>
                <w:szCs w:val="20"/>
              </w:rPr>
              <w:t>(2.96)</w:t>
            </w:r>
          </w:p>
        </w:tc>
      </w:tr>
      <w:tr w:rsidR="00164318" w:rsidRPr="00E65AA7" w14:paraId="71BACCB8" w14:textId="77777777" w:rsidTr="00164318">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3BC73D49" w14:textId="77777777" w:rsidR="00164318" w:rsidRPr="00E65AA7" w:rsidRDefault="00164318" w:rsidP="00164318">
            <w:pPr>
              <w:rPr>
                <w:rFonts w:eastAsia="Times New Roman"/>
                <w:b/>
                <w:color w:val="000000"/>
                <w:sz w:val="20"/>
                <w:szCs w:val="20"/>
                <w:lang w:eastAsia="en-MY"/>
              </w:rPr>
            </w:pPr>
            <w:r w:rsidRPr="00E65AA7">
              <w:rPr>
                <w:rFonts w:eastAsia="Times New Roman"/>
                <w:b/>
                <w:color w:val="000000"/>
                <w:sz w:val="20"/>
                <w:szCs w:val="20"/>
                <w:lang w:eastAsia="en-MY"/>
              </w:rPr>
              <w:t>H/L</w:t>
            </w:r>
          </w:p>
        </w:tc>
        <w:tc>
          <w:tcPr>
            <w:tcW w:w="258" w:type="pct"/>
            <w:gridSpan w:val="2"/>
            <w:vMerge w:val="restart"/>
            <w:tcBorders>
              <w:top w:val="nil"/>
              <w:left w:val="nil"/>
              <w:right w:val="nil"/>
            </w:tcBorders>
            <w:vAlign w:val="center"/>
          </w:tcPr>
          <w:p w14:paraId="6586F801" w14:textId="163CA44F" w:rsidR="00164318" w:rsidRPr="00E65AA7" w:rsidRDefault="00164318" w:rsidP="00164318">
            <w:pPr>
              <w:rPr>
                <w:rFonts w:eastAsia="Times New Roman"/>
                <w:color w:val="000000"/>
                <w:sz w:val="20"/>
                <w:szCs w:val="20"/>
                <w:lang w:eastAsia="en-MY"/>
              </w:rPr>
            </w:pPr>
            <w:r>
              <w:rPr>
                <w:rFonts w:eastAsia="Times New Roman"/>
                <w:color w:val="000000"/>
                <w:sz w:val="20"/>
                <w:szCs w:val="20"/>
                <w:lang w:eastAsia="en-MY"/>
              </w:rPr>
              <w:t>164</w:t>
            </w:r>
          </w:p>
        </w:tc>
        <w:tc>
          <w:tcPr>
            <w:tcW w:w="383" w:type="pct"/>
            <w:gridSpan w:val="2"/>
            <w:tcBorders>
              <w:top w:val="nil"/>
              <w:left w:val="nil"/>
              <w:bottom w:val="nil"/>
              <w:right w:val="nil"/>
            </w:tcBorders>
            <w:shd w:val="clear" w:color="auto" w:fill="auto"/>
            <w:noWrap/>
            <w:vAlign w:val="center"/>
            <w:hideMark/>
          </w:tcPr>
          <w:p w14:paraId="05E51A14" w14:textId="5727FDA8" w:rsidR="00164318" w:rsidRPr="00E65AA7" w:rsidRDefault="00164318" w:rsidP="00164318">
            <w:pPr>
              <w:jc w:val="center"/>
              <w:rPr>
                <w:color w:val="000000"/>
                <w:sz w:val="20"/>
                <w:szCs w:val="20"/>
              </w:rPr>
            </w:pPr>
            <w:r>
              <w:rPr>
                <w:color w:val="000000"/>
                <w:sz w:val="20"/>
                <w:szCs w:val="20"/>
              </w:rPr>
              <w:t>0.59</w:t>
            </w:r>
          </w:p>
        </w:tc>
        <w:tc>
          <w:tcPr>
            <w:tcW w:w="384" w:type="pct"/>
            <w:gridSpan w:val="2"/>
            <w:tcBorders>
              <w:top w:val="nil"/>
              <w:left w:val="nil"/>
              <w:bottom w:val="nil"/>
              <w:right w:val="nil"/>
            </w:tcBorders>
            <w:shd w:val="clear" w:color="auto" w:fill="auto"/>
            <w:noWrap/>
            <w:vAlign w:val="center"/>
            <w:hideMark/>
          </w:tcPr>
          <w:p w14:paraId="41263154" w14:textId="54A688F5" w:rsidR="00164318" w:rsidRPr="00E65AA7" w:rsidRDefault="00164318" w:rsidP="00164318">
            <w:pPr>
              <w:jc w:val="center"/>
              <w:rPr>
                <w:color w:val="000000"/>
                <w:sz w:val="20"/>
                <w:szCs w:val="20"/>
              </w:rPr>
            </w:pPr>
            <w:r>
              <w:rPr>
                <w:color w:val="000000"/>
                <w:sz w:val="20"/>
                <w:szCs w:val="20"/>
              </w:rPr>
              <w:t>0.33</w:t>
            </w:r>
          </w:p>
        </w:tc>
        <w:tc>
          <w:tcPr>
            <w:tcW w:w="384" w:type="pct"/>
            <w:gridSpan w:val="2"/>
            <w:tcBorders>
              <w:top w:val="nil"/>
              <w:left w:val="nil"/>
              <w:bottom w:val="nil"/>
              <w:right w:val="nil"/>
            </w:tcBorders>
            <w:shd w:val="clear" w:color="auto" w:fill="auto"/>
            <w:noWrap/>
            <w:vAlign w:val="center"/>
            <w:hideMark/>
          </w:tcPr>
          <w:p w14:paraId="713F48F7" w14:textId="3B076D80" w:rsidR="00164318" w:rsidRPr="00E65AA7" w:rsidRDefault="00164318" w:rsidP="00164318">
            <w:pPr>
              <w:jc w:val="center"/>
              <w:rPr>
                <w:color w:val="000000"/>
                <w:sz w:val="20"/>
                <w:szCs w:val="20"/>
              </w:rPr>
            </w:pPr>
            <w:r>
              <w:rPr>
                <w:color w:val="000000"/>
                <w:sz w:val="20"/>
                <w:szCs w:val="20"/>
              </w:rPr>
              <w:t>0.08</w:t>
            </w:r>
          </w:p>
        </w:tc>
        <w:tc>
          <w:tcPr>
            <w:tcW w:w="384" w:type="pct"/>
            <w:gridSpan w:val="2"/>
            <w:tcBorders>
              <w:top w:val="nil"/>
              <w:left w:val="nil"/>
              <w:bottom w:val="nil"/>
              <w:right w:val="nil"/>
            </w:tcBorders>
            <w:shd w:val="clear" w:color="auto" w:fill="auto"/>
            <w:noWrap/>
            <w:vAlign w:val="center"/>
            <w:hideMark/>
          </w:tcPr>
          <w:p w14:paraId="23DF29B0" w14:textId="5D6B6196" w:rsidR="00164318" w:rsidRPr="00E65AA7" w:rsidRDefault="00164318" w:rsidP="00164318">
            <w:pPr>
              <w:jc w:val="center"/>
              <w:rPr>
                <w:color w:val="000000"/>
                <w:sz w:val="20"/>
                <w:szCs w:val="20"/>
              </w:rPr>
            </w:pPr>
            <w:r>
              <w:rPr>
                <w:color w:val="000000"/>
                <w:sz w:val="20"/>
                <w:szCs w:val="20"/>
              </w:rPr>
              <w:t>-0.16</w:t>
            </w:r>
          </w:p>
        </w:tc>
        <w:tc>
          <w:tcPr>
            <w:tcW w:w="384" w:type="pct"/>
            <w:gridSpan w:val="2"/>
            <w:tcBorders>
              <w:top w:val="nil"/>
              <w:left w:val="nil"/>
              <w:bottom w:val="nil"/>
              <w:right w:val="nil"/>
            </w:tcBorders>
            <w:shd w:val="clear" w:color="auto" w:fill="auto"/>
            <w:noWrap/>
            <w:vAlign w:val="center"/>
            <w:hideMark/>
          </w:tcPr>
          <w:p w14:paraId="434F0573" w14:textId="387ACBB3" w:rsidR="00164318" w:rsidRPr="00E65AA7" w:rsidRDefault="00164318" w:rsidP="00164318">
            <w:pPr>
              <w:jc w:val="center"/>
              <w:rPr>
                <w:color w:val="000000"/>
                <w:sz w:val="20"/>
                <w:szCs w:val="20"/>
              </w:rPr>
            </w:pPr>
            <w:r>
              <w:rPr>
                <w:color w:val="000000"/>
                <w:sz w:val="20"/>
                <w:szCs w:val="20"/>
              </w:rPr>
              <w:t>-0.28</w:t>
            </w:r>
          </w:p>
        </w:tc>
        <w:tc>
          <w:tcPr>
            <w:tcW w:w="384" w:type="pct"/>
            <w:gridSpan w:val="2"/>
            <w:tcBorders>
              <w:top w:val="nil"/>
              <w:left w:val="nil"/>
              <w:bottom w:val="nil"/>
              <w:right w:val="nil"/>
            </w:tcBorders>
            <w:shd w:val="clear" w:color="auto" w:fill="auto"/>
            <w:noWrap/>
            <w:vAlign w:val="center"/>
            <w:hideMark/>
          </w:tcPr>
          <w:p w14:paraId="4990F5AD" w14:textId="52CC6548" w:rsidR="00164318" w:rsidRPr="00E65AA7" w:rsidRDefault="00164318" w:rsidP="00164318">
            <w:pPr>
              <w:jc w:val="center"/>
              <w:rPr>
                <w:color w:val="000000"/>
                <w:sz w:val="20"/>
                <w:szCs w:val="20"/>
              </w:rPr>
            </w:pPr>
            <w:r>
              <w:rPr>
                <w:color w:val="000000"/>
                <w:sz w:val="20"/>
                <w:szCs w:val="20"/>
              </w:rPr>
              <w:t>-0.58</w:t>
            </w:r>
          </w:p>
        </w:tc>
        <w:tc>
          <w:tcPr>
            <w:tcW w:w="384" w:type="pct"/>
            <w:gridSpan w:val="2"/>
            <w:tcBorders>
              <w:top w:val="nil"/>
              <w:left w:val="nil"/>
              <w:bottom w:val="nil"/>
              <w:right w:val="nil"/>
            </w:tcBorders>
            <w:shd w:val="clear" w:color="auto" w:fill="auto"/>
            <w:noWrap/>
            <w:vAlign w:val="center"/>
            <w:hideMark/>
          </w:tcPr>
          <w:p w14:paraId="592DD313" w14:textId="3CDEA014" w:rsidR="00164318" w:rsidRPr="00E65AA7" w:rsidRDefault="00164318" w:rsidP="00164318">
            <w:pPr>
              <w:jc w:val="center"/>
              <w:rPr>
                <w:color w:val="000000"/>
                <w:sz w:val="20"/>
                <w:szCs w:val="20"/>
              </w:rPr>
            </w:pPr>
            <w:r>
              <w:rPr>
                <w:color w:val="000000"/>
                <w:sz w:val="20"/>
                <w:szCs w:val="20"/>
              </w:rPr>
              <w:t>-0.83</w:t>
            </w:r>
          </w:p>
        </w:tc>
        <w:tc>
          <w:tcPr>
            <w:tcW w:w="384" w:type="pct"/>
            <w:gridSpan w:val="2"/>
            <w:tcBorders>
              <w:top w:val="nil"/>
              <w:left w:val="nil"/>
              <w:bottom w:val="nil"/>
              <w:right w:val="nil"/>
            </w:tcBorders>
            <w:shd w:val="clear" w:color="auto" w:fill="auto"/>
            <w:noWrap/>
            <w:vAlign w:val="center"/>
            <w:hideMark/>
          </w:tcPr>
          <w:p w14:paraId="4E0768F4" w14:textId="526441ED" w:rsidR="00164318" w:rsidRPr="00E65AA7" w:rsidRDefault="00164318" w:rsidP="00164318">
            <w:pPr>
              <w:jc w:val="center"/>
              <w:rPr>
                <w:color w:val="000000"/>
                <w:sz w:val="20"/>
                <w:szCs w:val="20"/>
              </w:rPr>
            </w:pPr>
            <w:r>
              <w:rPr>
                <w:color w:val="000000"/>
                <w:sz w:val="20"/>
                <w:szCs w:val="20"/>
              </w:rPr>
              <w:t>-1.29</w:t>
            </w:r>
          </w:p>
        </w:tc>
        <w:tc>
          <w:tcPr>
            <w:tcW w:w="384" w:type="pct"/>
            <w:gridSpan w:val="2"/>
            <w:tcBorders>
              <w:top w:val="nil"/>
              <w:left w:val="nil"/>
              <w:bottom w:val="nil"/>
              <w:right w:val="nil"/>
            </w:tcBorders>
            <w:shd w:val="clear" w:color="auto" w:fill="auto"/>
            <w:noWrap/>
            <w:vAlign w:val="center"/>
            <w:hideMark/>
          </w:tcPr>
          <w:p w14:paraId="0D522572" w14:textId="5EA34B14" w:rsidR="00164318" w:rsidRPr="00E65AA7" w:rsidRDefault="00164318" w:rsidP="00164318">
            <w:pPr>
              <w:jc w:val="center"/>
              <w:rPr>
                <w:color w:val="000000"/>
                <w:sz w:val="20"/>
                <w:szCs w:val="20"/>
              </w:rPr>
            </w:pPr>
            <w:r>
              <w:rPr>
                <w:color w:val="000000"/>
                <w:sz w:val="20"/>
                <w:szCs w:val="20"/>
              </w:rPr>
              <w:t>-1.68</w:t>
            </w:r>
          </w:p>
        </w:tc>
        <w:tc>
          <w:tcPr>
            <w:tcW w:w="384" w:type="pct"/>
            <w:gridSpan w:val="2"/>
            <w:tcBorders>
              <w:top w:val="nil"/>
              <w:left w:val="nil"/>
              <w:bottom w:val="nil"/>
              <w:right w:val="nil"/>
            </w:tcBorders>
            <w:shd w:val="clear" w:color="auto" w:fill="auto"/>
            <w:noWrap/>
            <w:vAlign w:val="center"/>
            <w:hideMark/>
          </w:tcPr>
          <w:p w14:paraId="237340DC" w14:textId="20B0DB07" w:rsidR="00164318" w:rsidRPr="00E65AA7" w:rsidRDefault="00164318" w:rsidP="00164318">
            <w:pPr>
              <w:jc w:val="center"/>
              <w:rPr>
                <w:color w:val="000000"/>
                <w:sz w:val="20"/>
                <w:szCs w:val="20"/>
              </w:rPr>
            </w:pPr>
            <w:r>
              <w:rPr>
                <w:color w:val="000000"/>
                <w:sz w:val="20"/>
                <w:szCs w:val="20"/>
              </w:rPr>
              <w:t>-2.80</w:t>
            </w:r>
          </w:p>
        </w:tc>
        <w:tc>
          <w:tcPr>
            <w:tcW w:w="406" w:type="pct"/>
            <w:gridSpan w:val="2"/>
            <w:tcBorders>
              <w:top w:val="nil"/>
              <w:left w:val="nil"/>
              <w:bottom w:val="nil"/>
              <w:right w:val="nil"/>
            </w:tcBorders>
            <w:shd w:val="clear" w:color="auto" w:fill="auto"/>
            <w:noWrap/>
            <w:vAlign w:val="center"/>
            <w:hideMark/>
          </w:tcPr>
          <w:p w14:paraId="178C057A" w14:textId="1D9567C8" w:rsidR="00164318" w:rsidRPr="00E65AA7" w:rsidRDefault="00164318" w:rsidP="00164318">
            <w:pPr>
              <w:jc w:val="center"/>
              <w:rPr>
                <w:color w:val="000000"/>
                <w:sz w:val="20"/>
                <w:szCs w:val="20"/>
              </w:rPr>
            </w:pPr>
            <w:r>
              <w:rPr>
                <w:color w:val="000000"/>
                <w:sz w:val="20"/>
                <w:szCs w:val="20"/>
              </w:rPr>
              <w:t>-3.39</w:t>
            </w:r>
          </w:p>
        </w:tc>
      </w:tr>
      <w:tr w:rsidR="00164318" w:rsidRPr="00E65AA7" w14:paraId="59C29736" w14:textId="77777777" w:rsidTr="00164318">
        <w:trPr>
          <w:trHeight w:hRule="exact" w:val="255"/>
        </w:trPr>
        <w:tc>
          <w:tcPr>
            <w:tcW w:w="496" w:type="pct"/>
            <w:gridSpan w:val="2"/>
            <w:vMerge/>
            <w:tcBorders>
              <w:top w:val="nil"/>
              <w:left w:val="nil"/>
              <w:bottom w:val="nil"/>
              <w:right w:val="nil"/>
            </w:tcBorders>
            <w:vAlign w:val="center"/>
            <w:hideMark/>
          </w:tcPr>
          <w:p w14:paraId="264C9FEA" w14:textId="77777777" w:rsidR="00164318" w:rsidRPr="00E65AA7" w:rsidRDefault="00164318" w:rsidP="00164318">
            <w:pPr>
              <w:rPr>
                <w:rFonts w:eastAsia="Times New Roman"/>
                <w:b/>
                <w:color w:val="000000"/>
                <w:sz w:val="20"/>
                <w:szCs w:val="20"/>
                <w:lang w:eastAsia="en-MY"/>
              </w:rPr>
            </w:pPr>
          </w:p>
        </w:tc>
        <w:tc>
          <w:tcPr>
            <w:tcW w:w="258" w:type="pct"/>
            <w:gridSpan w:val="2"/>
            <w:vMerge/>
            <w:tcBorders>
              <w:left w:val="nil"/>
              <w:bottom w:val="nil"/>
              <w:right w:val="nil"/>
            </w:tcBorders>
            <w:vAlign w:val="center"/>
          </w:tcPr>
          <w:p w14:paraId="649F8B3A" w14:textId="77777777" w:rsidR="00164318" w:rsidRPr="00E65AA7" w:rsidRDefault="00164318" w:rsidP="00164318">
            <w:pPr>
              <w:rPr>
                <w:rFonts w:eastAsia="Times New Roman"/>
                <w:sz w:val="20"/>
                <w:szCs w:val="20"/>
                <w:lang w:eastAsia="en-MY"/>
              </w:rPr>
            </w:pPr>
          </w:p>
        </w:tc>
        <w:tc>
          <w:tcPr>
            <w:tcW w:w="383" w:type="pct"/>
            <w:gridSpan w:val="2"/>
            <w:tcBorders>
              <w:top w:val="nil"/>
              <w:left w:val="nil"/>
              <w:bottom w:val="nil"/>
              <w:right w:val="nil"/>
            </w:tcBorders>
            <w:shd w:val="clear" w:color="auto" w:fill="auto"/>
            <w:noWrap/>
            <w:vAlign w:val="center"/>
            <w:hideMark/>
          </w:tcPr>
          <w:p w14:paraId="57AD2B40" w14:textId="30423BB7" w:rsidR="00164318" w:rsidRPr="00E65AA7" w:rsidRDefault="00164318" w:rsidP="00164318">
            <w:pPr>
              <w:jc w:val="center"/>
              <w:rPr>
                <w:color w:val="000000"/>
                <w:sz w:val="20"/>
                <w:szCs w:val="20"/>
              </w:rPr>
            </w:pPr>
            <w:r>
              <w:rPr>
                <w:color w:val="000000"/>
                <w:sz w:val="20"/>
                <w:szCs w:val="20"/>
              </w:rPr>
              <w:t>(2.14)</w:t>
            </w:r>
          </w:p>
        </w:tc>
        <w:tc>
          <w:tcPr>
            <w:tcW w:w="384" w:type="pct"/>
            <w:gridSpan w:val="2"/>
            <w:tcBorders>
              <w:top w:val="nil"/>
              <w:left w:val="nil"/>
              <w:bottom w:val="nil"/>
              <w:right w:val="nil"/>
            </w:tcBorders>
            <w:shd w:val="clear" w:color="auto" w:fill="auto"/>
            <w:noWrap/>
            <w:vAlign w:val="center"/>
            <w:hideMark/>
          </w:tcPr>
          <w:p w14:paraId="296127C5" w14:textId="74A8508D" w:rsidR="00164318" w:rsidRPr="00E65AA7" w:rsidRDefault="00164318" w:rsidP="00164318">
            <w:pPr>
              <w:jc w:val="center"/>
              <w:rPr>
                <w:color w:val="000000"/>
                <w:sz w:val="20"/>
                <w:szCs w:val="20"/>
              </w:rPr>
            </w:pPr>
            <w:r>
              <w:rPr>
                <w:color w:val="000000"/>
                <w:sz w:val="20"/>
                <w:szCs w:val="20"/>
              </w:rPr>
              <w:t>(1</w:t>
            </w:r>
            <w:r w:rsidR="00D04349">
              <w:rPr>
                <w:color w:val="000000"/>
                <w:sz w:val="20"/>
                <w:szCs w:val="20"/>
              </w:rPr>
              <w:t>.00</w:t>
            </w:r>
            <w:r>
              <w:rPr>
                <w:color w:val="000000"/>
                <w:sz w:val="20"/>
                <w:szCs w:val="20"/>
              </w:rPr>
              <w:t>)</w:t>
            </w:r>
          </w:p>
        </w:tc>
        <w:tc>
          <w:tcPr>
            <w:tcW w:w="384" w:type="pct"/>
            <w:gridSpan w:val="2"/>
            <w:tcBorders>
              <w:top w:val="nil"/>
              <w:left w:val="nil"/>
              <w:bottom w:val="nil"/>
              <w:right w:val="nil"/>
            </w:tcBorders>
            <w:shd w:val="clear" w:color="auto" w:fill="auto"/>
            <w:noWrap/>
            <w:vAlign w:val="center"/>
            <w:hideMark/>
          </w:tcPr>
          <w:p w14:paraId="0F3F6B2A" w14:textId="226C28BF" w:rsidR="00164318" w:rsidRPr="00E65AA7" w:rsidRDefault="00164318" w:rsidP="00164318">
            <w:pPr>
              <w:jc w:val="center"/>
              <w:rPr>
                <w:color w:val="000000"/>
                <w:sz w:val="20"/>
                <w:szCs w:val="20"/>
              </w:rPr>
            </w:pPr>
            <w:r>
              <w:rPr>
                <w:color w:val="000000"/>
                <w:sz w:val="20"/>
                <w:szCs w:val="20"/>
              </w:rPr>
              <w:t>(0.21)</w:t>
            </w:r>
          </w:p>
        </w:tc>
        <w:tc>
          <w:tcPr>
            <w:tcW w:w="384" w:type="pct"/>
            <w:gridSpan w:val="2"/>
            <w:tcBorders>
              <w:top w:val="nil"/>
              <w:left w:val="nil"/>
              <w:bottom w:val="nil"/>
              <w:right w:val="nil"/>
            </w:tcBorders>
            <w:shd w:val="clear" w:color="auto" w:fill="auto"/>
            <w:noWrap/>
            <w:vAlign w:val="center"/>
            <w:hideMark/>
          </w:tcPr>
          <w:p w14:paraId="0EFEDF63" w14:textId="57D533A8" w:rsidR="00164318" w:rsidRPr="00E65AA7" w:rsidRDefault="00164318" w:rsidP="00164318">
            <w:pPr>
              <w:jc w:val="center"/>
              <w:rPr>
                <w:color w:val="000000"/>
                <w:sz w:val="20"/>
                <w:szCs w:val="20"/>
              </w:rPr>
            </w:pPr>
            <w:r>
              <w:rPr>
                <w:color w:val="000000"/>
                <w:sz w:val="20"/>
                <w:szCs w:val="20"/>
              </w:rPr>
              <w:t>(-0.41)</w:t>
            </w:r>
          </w:p>
        </w:tc>
        <w:tc>
          <w:tcPr>
            <w:tcW w:w="384" w:type="pct"/>
            <w:gridSpan w:val="2"/>
            <w:tcBorders>
              <w:top w:val="nil"/>
              <w:left w:val="nil"/>
              <w:bottom w:val="nil"/>
              <w:right w:val="nil"/>
            </w:tcBorders>
            <w:shd w:val="clear" w:color="auto" w:fill="auto"/>
            <w:noWrap/>
            <w:vAlign w:val="center"/>
            <w:hideMark/>
          </w:tcPr>
          <w:p w14:paraId="62CC841F" w14:textId="09FC5283" w:rsidR="00164318" w:rsidRPr="00E65AA7" w:rsidRDefault="00164318" w:rsidP="00164318">
            <w:pPr>
              <w:jc w:val="center"/>
              <w:rPr>
                <w:color w:val="000000"/>
                <w:sz w:val="20"/>
                <w:szCs w:val="20"/>
              </w:rPr>
            </w:pPr>
            <w:r>
              <w:rPr>
                <w:color w:val="000000"/>
                <w:sz w:val="20"/>
                <w:szCs w:val="20"/>
              </w:rPr>
              <w:t>(-0.68)</w:t>
            </w:r>
          </w:p>
        </w:tc>
        <w:tc>
          <w:tcPr>
            <w:tcW w:w="384" w:type="pct"/>
            <w:gridSpan w:val="2"/>
            <w:tcBorders>
              <w:top w:val="nil"/>
              <w:left w:val="nil"/>
              <w:bottom w:val="nil"/>
              <w:right w:val="nil"/>
            </w:tcBorders>
            <w:shd w:val="clear" w:color="auto" w:fill="auto"/>
            <w:noWrap/>
            <w:vAlign w:val="center"/>
            <w:hideMark/>
          </w:tcPr>
          <w:p w14:paraId="5AF58B14" w14:textId="0EBF701D" w:rsidR="00164318" w:rsidRPr="00E65AA7" w:rsidRDefault="00164318" w:rsidP="00164318">
            <w:pPr>
              <w:jc w:val="center"/>
              <w:rPr>
                <w:color w:val="000000"/>
                <w:sz w:val="20"/>
                <w:szCs w:val="20"/>
              </w:rPr>
            </w:pPr>
            <w:r>
              <w:rPr>
                <w:color w:val="000000"/>
                <w:sz w:val="20"/>
                <w:szCs w:val="20"/>
              </w:rPr>
              <w:t>(-1.32)</w:t>
            </w:r>
          </w:p>
        </w:tc>
        <w:tc>
          <w:tcPr>
            <w:tcW w:w="384" w:type="pct"/>
            <w:gridSpan w:val="2"/>
            <w:tcBorders>
              <w:top w:val="nil"/>
              <w:left w:val="nil"/>
              <w:bottom w:val="nil"/>
              <w:right w:val="nil"/>
            </w:tcBorders>
            <w:shd w:val="clear" w:color="auto" w:fill="auto"/>
            <w:noWrap/>
            <w:vAlign w:val="center"/>
            <w:hideMark/>
          </w:tcPr>
          <w:p w14:paraId="18E554BC" w14:textId="70172701" w:rsidR="00164318" w:rsidRPr="00E65AA7" w:rsidRDefault="00164318" w:rsidP="00164318">
            <w:pPr>
              <w:jc w:val="center"/>
              <w:rPr>
                <w:color w:val="000000"/>
                <w:sz w:val="20"/>
                <w:szCs w:val="20"/>
              </w:rPr>
            </w:pPr>
            <w:r>
              <w:rPr>
                <w:color w:val="000000"/>
                <w:sz w:val="20"/>
                <w:szCs w:val="20"/>
              </w:rPr>
              <w:t>(-1.77)</w:t>
            </w:r>
          </w:p>
        </w:tc>
        <w:tc>
          <w:tcPr>
            <w:tcW w:w="384" w:type="pct"/>
            <w:gridSpan w:val="2"/>
            <w:tcBorders>
              <w:top w:val="nil"/>
              <w:left w:val="nil"/>
              <w:bottom w:val="nil"/>
              <w:right w:val="nil"/>
            </w:tcBorders>
            <w:shd w:val="clear" w:color="auto" w:fill="auto"/>
            <w:noWrap/>
            <w:vAlign w:val="center"/>
            <w:hideMark/>
          </w:tcPr>
          <w:p w14:paraId="30F07B4D" w14:textId="12725CDC" w:rsidR="00164318" w:rsidRPr="00E65AA7" w:rsidRDefault="00164318" w:rsidP="00164318">
            <w:pPr>
              <w:jc w:val="center"/>
              <w:rPr>
                <w:color w:val="000000"/>
                <w:sz w:val="20"/>
                <w:szCs w:val="20"/>
              </w:rPr>
            </w:pPr>
            <w:r>
              <w:rPr>
                <w:color w:val="000000"/>
                <w:sz w:val="20"/>
                <w:szCs w:val="20"/>
              </w:rPr>
              <w:t>(-2.65)</w:t>
            </w:r>
          </w:p>
        </w:tc>
        <w:tc>
          <w:tcPr>
            <w:tcW w:w="384" w:type="pct"/>
            <w:gridSpan w:val="2"/>
            <w:tcBorders>
              <w:top w:val="nil"/>
              <w:left w:val="nil"/>
              <w:bottom w:val="nil"/>
              <w:right w:val="nil"/>
            </w:tcBorders>
            <w:shd w:val="clear" w:color="auto" w:fill="auto"/>
            <w:noWrap/>
            <w:vAlign w:val="center"/>
            <w:hideMark/>
          </w:tcPr>
          <w:p w14:paraId="14B70BFF" w14:textId="5343ADC4" w:rsidR="00164318" w:rsidRPr="00E65AA7" w:rsidRDefault="00164318" w:rsidP="00164318">
            <w:pPr>
              <w:jc w:val="center"/>
              <w:rPr>
                <w:color w:val="000000"/>
                <w:sz w:val="20"/>
                <w:szCs w:val="20"/>
              </w:rPr>
            </w:pPr>
            <w:r>
              <w:rPr>
                <w:color w:val="000000"/>
                <w:sz w:val="20"/>
                <w:szCs w:val="20"/>
              </w:rPr>
              <w:t>(-3.12)</w:t>
            </w:r>
          </w:p>
        </w:tc>
        <w:tc>
          <w:tcPr>
            <w:tcW w:w="384" w:type="pct"/>
            <w:gridSpan w:val="2"/>
            <w:tcBorders>
              <w:top w:val="nil"/>
              <w:left w:val="nil"/>
              <w:bottom w:val="nil"/>
              <w:right w:val="nil"/>
            </w:tcBorders>
            <w:shd w:val="clear" w:color="auto" w:fill="auto"/>
            <w:noWrap/>
            <w:vAlign w:val="center"/>
            <w:hideMark/>
          </w:tcPr>
          <w:p w14:paraId="4D53F301" w14:textId="26892F40" w:rsidR="00164318" w:rsidRPr="00E65AA7" w:rsidRDefault="00164318" w:rsidP="00164318">
            <w:pPr>
              <w:jc w:val="center"/>
              <w:rPr>
                <w:color w:val="000000"/>
                <w:sz w:val="20"/>
                <w:szCs w:val="20"/>
              </w:rPr>
            </w:pPr>
            <w:r>
              <w:rPr>
                <w:color w:val="000000"/>
                <w:sz w:val="20"/>
                <w:szCs w:val="20"/>
              </w:rPr>
              <w:t>(-4.42)</w:t>
            </w:r>
          </w:p>
        </w:tc>
        <w:tc>
          <w:tcPr>
            <w:tcW w:w="406" w:type="pct"/>
            <w:gridSpan w:val="2"/>
            <w:tcBorders>
              <w:top w:val="nil"/>
              <w:left w:val="nil"/>
              <w:bottom w:val="nil"/>
              <w:right w:val="nil"/>
            </w:tcBorders>
            <w:shd w:val="clear" w:color="auto" w:fill="auto"/>
            <w:noWrap/>
            <w:vAlign w:val="center"/>
            <w:hideMark/>
          </w:tcPr>
          <w:p w14:paraId="289E3E23" w14:textId="5D304886" w:rsidR="00164318" w:rsidRPr="00E65AA7" w:rsidRDefault="00164318" w:rsidP="00164318">
            <w:pPr>
              <w:jc w:val="center"/>
              <w:rPr>
                <w:color w:val="000000"/>
                <w:sz w:val="20"/>
                <w:szCs w:val="20"/>
              </w:rPr>
            </w:pPr>
            <w:r>
              <w:rPr>
                <w:color w:val="000000"/>
                <w:sz w:val="20"/>
                <w:szCs w:val="20"/>
              </w:rPr>
              <w:t>(-6.95)</w:t>
            </w:r>
          </w:p>
        </w:tc>
      </w:tr>
      <w:tr w:rsidR="00164318" w:rsidRPr="00E65AA7" w14:paraId="2CDBABCC" w14:textId="77777777" w:rsidTr="00164318">
        <w:trPr>
          <w:trHeight w:hRule="exact" w:val="255"/>
        </w:trPr>
        <w:tc>
          <w:tcPr>
            <w:tcW w:w="496" w:type="pct"/>
            <w:gridSpan w:val="2"/>
            <w:vMerge w:val="restart"/>
            <w:tcBorders>
              <w:top w:val="nil"/>
              <w:left w:val="nil"/>
              <w:bottom w:val="nil"/>
              <w:right w:val="nil"/>
            </w:tcBorders>
            <w:shd w:val="clear" w:color="auto" w:fill="auto"/>
            <w:noWrap/>
            <w:vAlign w:val="center"/>
            <w:hideMark/>
          </w:tcPr>
          <w:p w14:paraId="192FCBEF" w14:textId="77777777" w:rsidR="00164318" w:rsidRPr="00E65AA7" w:rsidRDefault="00164318" w:rsidP="00164318">
            <w:pPr>
              <w:rPr>
                <w:rFonts w:eastAsia="Times New Roman"/>
                <w:b/>
                <w:color w:val="000000"/>
                <w:sz w:val="20"/>
                <w:szCs w:val="20"/>
                <w:lang w:eastAsia="en-MY"/>
              </w:rPr>
            </w:pPr>
            <w:r w:rsidRPr="00E65AA7">
              <w:rPr>
                <w:rFonts w:eastAsia="Times New Roman"/>
                <w:b/>
                <w:color w:val="000000"/>
                <w:sz w:val="20"/>
                <w:szCs w:val="20"/>
                <w:lang w:eastAsia="en-MY"/>
              </w:rPr>
              <w:t>L/L</w:t>
            </w:r>
          </w:p>
        </w:tc>
        <w:tc>
          <w:tcPr>
            <w:tcW w:w="258" w:type="pct"/>
            <w:gridSpan w:val="2"/>
            <w:vMerge w:val="restart"/>
            <w:tcBorders>
              <w:top w:val="nil"/>
              <w:left w:val="nil"/>
              <w:right w:val="nil"/>
            </w:tcBorders>
            <w:vAlign w:val="center"/>
          </w:tcPr>
          <w:p w14:paraId="59AF5714" w14:textId="1F411335" w:rsidR="00164318" w:rsidRPr="00E65AA7" w:rsidRDefault="00164318" w:rsidP="00164318">
            <w:pPr>
              <w:rPr>
                <w:rFonts w:eastAsia="Times New Roman"/>
                <w:color w:val="000000"/>
                <w:sz w:val="20"/>
                <w:szCs w:val="20"/>
                <w:lang w:eastAsia="en-MY"/>
              </w:rPr>
            </w:pPr>
            <w:r>
              <w:rPr>
                <w:rFonts w:eastAsia="Times New Roman"/>
                <w:color w:val="000000"/>
                <w:sz w:val="20"/>
                <w:szCs w:val="20"/>
                <w:lang w:eastAsia="en-MY"/>
              </w:rPr>
              <w:t>129</w:t>
            </w:r>
          </w:p>
        </w:tc>
        <w:tc>
          <w:tcPr>
            <w:tcW w:w="383" w:type="pct"/>
            <w:gridSpan w:val="2"/>
            <w:tcBorders>
              <w:top w:val="nil"/>
              <w:left w:val="nil"/>
              <w:bottom w:val="nil"/>
              <w:right w:val="nil"/>
            </w:tcBorders>
            <w:shd w:val="clear" w:color="auto" w:fill="auto"/>
            <w:noWrap/>
            <w:vAlign w:val="center"/>
            <w:hideMark/>
          </w:tcPr>
          <w:p w14:paraId="36AC9081" w14:textId="630E2BE1" w:rsidR="00164318" w:rsidRPr="00E65AA7" w:rsidRDefault="00164318" w:rsidP="00164318">
            <w:pPr>
              <w:jc w:val="center"/>
              <w:rPr>
                <w:color w:val="000000"/>
                <w:sz w:val="20"/>
                <w:szCs w:val="20"/>
              </w:rPr>
            </w:pPr>
            <w:r>
              <w:rPr>
                <w:color w:val="000000"/>
                <w:sz w:val="20"/>
                <w:szCs w:val="20"/>
              </w:rPr>
              <w:t>0.99</w:t>
            </w:r>
          </w:p>
        </w:tc>
        <w:tc>
          <w:tcPr>
            <w:tcW w:w="384" w:type="pct"/>
            <w:gridSpan w:val="2"/>
            <w:tcBorders>
              <w:top w:val="nil"/>
              <w:left w:val="nil"/>
              <w:bottom w:val="nil"/>
              <w:right w:val="nil"/>
            </w:tcBorders>
            <w:shd w:val="clear" w:color="auto" w:fill="auto"/>
            <w:noWrap/>
            <w:vAlign w:val="center"/>
            <w:hideMark/>
          </w:tcPr>
          <w:p w14:paraId="15307078" w14:textId="3AE77096" w:rsidR="00164318" w:rsidRPr="00E65AA7" w:rsidRDefault="00164318" w:rsidP="00164318">
            <w:pPr>
              <w:jc w:val="center"/>
              <w:rPr>
                <w:color w:val="000000"/>
                <w:sz w:val="20"/>
                <w:szCs w:val="20"/>
              </w:rPr>
            </w:pPr>
            <w:r>
              <w:rPr>
                <w:color w:val="000000"/>
                <w:sz w:val="20"/>
                <w:szCs w:val="20"/>
              </w:rPr>
              <w:t>0.86</w:t>
            </w:r>
          </w:p>
        </w:tc>
        <w:tc>
          <w:tcPr>
            <w:tcW w:w="384" w:type="pct"/>
            <w:gridSpan w:val="2"/>
            <w:tcBorders>
              <w:top w:val="nil"/>
              <w:left w:val="nil"/>
              <w:bottom w:val="nil"/>
              <w:right w:val="nil"/>
            </w:tcBorders>
            <w:shd w:val="clear" w:color="auto" w:fill="auto"/>
            <w:noWrap/>
            <w:vAlign w:val="center"/>
            <w:hideMark/>
          </w:tcPr>
          <w:p w14:paraId="7E5769A2" w14:textId="618C1109" w:rsidR="00164318" w:rsidRPr="00E65AA7" w:rsidRDefault="00164318" w:rsidP="00164318">
            <w:pPr>
              <w:jc w:val="center"/>
              <w:rPr>
                <w:color w:val="000000"/>
                <w:sz w:val="20"/>
                <w:szCs w:val="20"/>
              </w:rPr>
            </w:pPr>
            <w:r>
              <w:rPr>
                <w:color w:val="000000"/>
                <w:sz w:val="20"/>
                <w:szCs w:val="20"/>
              </w:rPr>
              <w:t>0.56</w:t>
            </w:r>
          </w:p>
        </w:tc>
        <w:tc>
          <w:tcPr>
            <w:tcW w:w="384" w:type="pct"/>
            <w:gridSpan w:val="2"/>
            <w:tcBorders>
              <w:top w:val="nil"/>
              <w:left w:val="nil"/>
              <w:bottom w:val="nil"/>
              <w:right w:val="nil"/>
            </w:tcBorders>
            <w:shd w:val="clear" w:color="auto" w:fill="auto"/>
            <w:noWrap/>
            <w:vAlign w:val="center"/>
            <w:hideMark/>
          </w:tcPr>
          <w:p w14:paraId="7A7C54F9" w14:textId="396EA28D" w:rsidR="00164318" w:rsidRPr="00E65AA7" w:rsidRDefault="00164318" w:rsidP="00164318">
            <w:pPr>
              <w:jc w:val="center"/>
              <w:rPr>
                <w:color w:val="000000"/>
                <w:sz w:val="20"/>
                <w:szCs w:val="20"/>
              </w:rPr>
            </w:pPr>
            <w:r>
              <w:rPr>
                <w:color w:val="000000"/>
                <w:sz w:val="20"/>
                <w:szCs w:val="20"/>
              </w:rPr>
              <w:t>0.61</w:t>
            </w:r>
          </w:p>
        </w:tc>
        <w:tc>
          <w:tcPr>
            <w:tcW w:w="384" w:type="pct"/>
            <w:gridSpan w:val="2"/>
            <w:tcBorders>
              <w:top w:val="nil"/>
              <w:left w:val="nil"/>
              <w:bottom w:val="nil"/>
              <w:right w:val="nil"/>
            </w:tcBorders>
            <w:shd w:val="clear" w:color="auto" w:fill="auto"/>
            <w:noWrap/>
            <w:vAlign w:val="center"/>
            <w:hideMark/>
          </w:tcPr>
          <w:p w14:paraId="0ED4CEAB" w14:textId="24A21E2D" w:rsidR="00164318" w:rsidRPr="00E65AA7" w:rsidRDefault="00164318" w:rsidP="00164318">
            <w:pPr>
              <w:jc w:val="center"/>
              <w:rPr>
                <w:color w:val="000000"/>
                <w:sz w:val="20"/>
                <w:szCs w:val="20"/>
              </w:rPr>
            </w:pPr>
            <w:r>
              <w:rPr>
                <w:color w:val="000000"/>
                <w:sz w:val="20"/>
                <w:szCs w:val="20"/>
              </w:rPr>
              <w:t>0.42</w:t>
            </w:r>
          </w:p>
        </w:tc>
        <w:tc>
          <w:tcPr>
            <w:tcW w:w="384" w:type="pct"/>
            <w:gridSpan w:val="2"/>
            <w:tcBorders>
              <w:top w:val="nil"/>
              <w:left w:val="nil"/>
              <w:bottom w:val="nil"/>
              <w:right w:val="nil"/>
            </w:tcBorders>
            <w:shd w:val="clear" w:color="auto" w:fill="auto"/>
            <w:noWrap/>
            <w:vAlign w:val="center"/>
            <w:hideMark/>
          </w:tcPr>
          <w:p w14:paraId="1509337E" w14:textId="2D8E1BFE" w:rsidR="00164318" w:rsidRPr="00E65AA7" w:rsidRDefault="00164318" w:rsidP="00164318">
            <w:pPr>
              <w:jc w:val="center"/>
              <w:rPr>
                <w:color w:val="000000"/>
                <w:sz w:val="20"/>
                <w:szCs w:val="20"/>
              </w:rPr>
            </w:pPr>
            <w:r>
              <w:rPr>
                <w:color w:val="000000"/>
                <w:sz w:val="20"/>
                <w:szCs w:val="20"/>
              </w:rPr>
              <w:t>0.43</w:t>
            </w:r>
          </w:p>
        </w:tc>
        <w:tc>
          <w:tcPr>
            <w:tcW w:w="384" w:type="pct"/>
            <w:gridSpan w:val="2"/>
            <w:tcBorders>
              <w:top w:val="nil"/>
              <w:left w:val="nil"/>
              <w:bottom w:val="nil"/>
              <w:right w:val="nil"/>
            </w:tcBorders>
            <w:shd w:val="clear" w:color="auto" w:fill="auto"/>
            <w:noWrap/>
            <w:vAlign w:val="center"/>
            <w:hideMark/>
          </w:tcPr>
          <w:p w14:paraId="1D09132F" w14:textId="5CEB74EF" w:rsidR="00164318" w:rsidRPr="00E65AA7" w:rsidRDefault="00164318" w:rsidP="00164318">
            <w:pPr>
              <w:jc w:val="center"/>
              <w:rPr>
                <w:color w:val="000000"/>
                <w:sz w:val="20"/>
                <w:szCs w:val="20"/>
              </w:rPr>
            </w:pPr>
            <w:r>
              <w:rPr>
                <w:color w:val="000000"/>
                <w:sz w:val="20"/>
                <w:szCs w:val="20"/>
              </w:rPr>
              <w:t>0.11</w:t>
            </w:r>
          </w:p>
        </w:tc>
        <w:tc>
          <w:tcPr>
            <w:tcW w:w="384" w:type="pct"/>
            <w:gridSpan w:val="2"/>
            <w:tcBorders>
              <w:top w:val="nil"/>
              <w:left w:val="nil"/>
              <w:bottom w:val="nil"/>
              <w:right w:val="nil"/>
            </w:tcBorders>
            <w:shd w:val="clear" w:color="auto" w:fill="auto"/>
            <w:noWrap/>
            <w:vAlign w:val="center"/>
            <w:hideMark/>
          </w:tcPr>
          <w:p w14:paraId="0031C493" w14:textId="0AC5DF1B" w:rsidR="00164318" w:rsidRPr="00E65AA7" w:rsidRDefault="00164318" w:rsidP="00164318">
            <w:pPr>
              <w:jc w:val="center"/>
              <w:rPr>
                <w:color w:val="000000"/>
                <w:sz w:val="20"/>
                <w:szCs w:val="20"/>
              </w:rPr>
            </w:pPr>
            <w:r>
              <w:rPr>
                <w:color w:val="000000"/>
                <w:sz w:val="20"/>
                <w:szCs w:val="20"/>
              </w:rPr>
              <w:t>0.05</w:t>
            </w:r>
          </w:p>
        </w:tc>
        <w:tc>
          <w:tcPr>
            <w:tcW w:w="384" w:type="pct"/>
            <w:gridSpan w:val="2"/>
            <w:tcBorders>
              <w:top w:val="nil"/>
              <w:left w:val="nil"/>
              <w:bottom w:val="nil"/>
              <w:right w:val="nil"/>
            </w:tcBorders>
            <w:shd w:val="clear" w:color="auto" w:fill="auto"/>
            <w:noWrap/>
            <w:vAlign w:val="center"/>
            <w:hideMark/>
          </w:tcPr>
          <w:p w14:paraId="104EEE5B" w14:textId="58D6B892" w:rsidR="00164318" w:rsidRPr="00E65AA7" w:rsidRDefault="00164318" w:rsidP="00164318">
            <w:pPr>
              <w:jc w:val="center"/>
              <w:rPr>
                <w:color w:val="000000"/>
                <w:sz w:val="20"/>
                <w:szCs w:val="20"/>
              </w:rPr>
            </w:pPr>
            <w:r>
              <w:rPr>
                <w:color w:val="000000"/>
                <w:sz w:val="20"/>
                <w:szCs w:val="20"/>
              </w:rPr>
              <w:t>0.02</w:t>
            </w:r>
          </w:p>
        </w:tc>
        <w:tc>
          <w:tcPr>
            <w:tcW w:w="384" w:type="pct"/>
            <w:gridSpan w:val="2"/>
            <w:tcBorders>
              <w:top w:val="nil"/>
              <w:left w:val="nil"/>
              <w:bottom w:val="nil"/>
              <w:right w:val="nil"/>
            </w:tcBorders>
            <w:shd w:val="clear" w:color="auto" w:fill="auto"/>
            <w:noWrap/>
            <w:vAlign w:val="center"/>
            <w:hideMark/>
          </w:tcPr>
          <w:p w14:paraId="3F1AE051" w14:textId="2CB9D4B4" w:rsidR="00164318" w:rsidRPr="00E65AA7" w:rsidRDefault="00164318" w:rsidP="00164318">
            <w:pPr>
              <w:jc w:val="center"/>
              <w:rPr>
                <w:color w:val="000000"/>
                <w:sz w:val="20"/>
                <w:szCs w:val="20"/>
              </w:rPr>
            </w:pPr>
            <w:r>
              <w:rPr>
                <w:color w:val="000000"/>
                <w:sz w:val="20"/>
                <w:szCs w:val="20"/>
              </w:rPr>
              <w:t>-0.23</w:t>
            </w:r>
          </w:p>
        </w:tc>
        <w:tc>
          <w:tcPr>
            <w:tcW w:w="406" w:type="pct"/>
            <w:gridSpan w:val="2"/>
            <w:tcBorders>
              <w:top w:val="nil"/>
              <w:left w:val="nil"/>
              <w:bottom w:val="nil"/>
              <w:right w:val="nil"/>
            </w:tcBorders>
            <w:shd w:val="clear" w:color="auto" w:fill="auto"/>
            <w:noWrap/>
            <w:vAlign w:val="center"/>
            <w:hideMark/>
          </w:tcPr>
          <w:p w14:paraId="051C61AC" w14:textId="5DA6BFF7" w:rsidR="00164318" w:rsidRPr="00E65AA7" w:rsidRDefault="00164318" w:rsidP="00164318">
            <w:pPr>
              <w:jc w:val="center"/>
              <w:rPr>
                <w:color w:val="000000"/>
                <w:sz w:val="20"/>
                <w:szCs w:val="20"/>
              </w:rPr>
            </w:pPr>
            <w:r>
              <w:rPr>
                <w:color w:val="000000"/>
                <w:sz w:val="20"/>
                <w:szCs w:val="20"/>
              </w:rPr>
              <w:t>-1.22</w:t>
            </w:r>
          </w:p>
        </w:tc>
      </w:tr>
      <w:tr w:rsidR="00164318" w:rsidRPr="00E65AA7" w14:paraId="27551AB4" w14:textId="77777777" w:rsidTr="00164318">
        <w:trPr>
          <w:trHeight w:hRule="exact" w:val="255"/>
        </w:trPr>
        <w:tc>
          <w:tcPr>
            <w:tcW w:w="496" w:type="pct"/>
            <w:gridSpan w:val="2"/>
            <w:vMerge/>
            <w:tcBorders>
              <w:top w:val="nil"/>
              <w:left w:val="nil"/>
              <w:right w:val="nil"/>
            </w:tcBorders>
            <w:vAlign w:val="center"/>
            <w:hideMark/>
          </w:tcPr>
          <w:p w14:paraId="025A8050" w14:textId="77777777" w:rsidR="00164318" w:rsidRPr="00E65AA7" w:rsidRDefault="00164318" w:rsidP="00164318">
            <w:pPr>
              <w:rPr>
                <w:rFonts w:eastAsia="Times New Roman"/>
                <w:color w:val="000000"/>
                <w:sz w:val="20"/>
                <w:szCs w:val="20"/>
                <w:lang w:eastAsia="en-MY"/>
              </w:rPr>
            </w:pPr>
          </w:p>
        </w:tc>
        <w:tc>
          <w:tcPr>
            <w:tcW w:w="258" w:type="pct"/>
            <w:gridSpan w:val="2"/>
            <w:vMerge/>
            <w:tcBorders>
              <w:left w:val="nil"/>
              <w:right w:val="nil"/>
            </w:tcBorders>
            <w:vAlign w:val="center"/>
          </w:tcPr>
          <w:p w14:paraId="64F93050" w14:textId="77777777" w:rsidR="00164318" w:rsidRPr="00E65AA7" w:rsidRDefault="00164318" w:rsidP="00164318">
            <w:pPr>
              <w:rPr>
                <w:rFonts w:eastAsia="Times New Roman"/>
                <w:sz w:val="20"/>
                <w:szCs w:val="20"/>
                <w:lang w:eastAsia="en-MY"/>
              </w:rPr>
            </w:pPr>
          </w:p>
        </w:tc>
        <w:tc>
          <w:tcPr>
            <w:tcW w:w="383" w:type="pct"/>
            <w:gridSpan w:val="2"/>
            <w:tcBorders>
              <w:top w:val="nil"/>
              <w:left w:val="nil"/>
              <w:right w:val="nil"/>
            </w:tcBorders>
            <w:shd w:val="clear" w:color="auto" w:fill="auto"/>
            <w:noWrap/>
            <w:vAlign w:val="center"/>
            <w:hideMark/>
          </w:tcPr>
          <w:p w14:paraId="46BF5032" w14:textId="0A2D4DFC" w:rsidR="00164318" w:rsidRPr="00E65AA7" w:rsidRDefault="00164318" w:rsidP="00164318">
            <w:pPr>
              <w:jc w:val="center"/>
              <w:rPr>
                <w:color w:val="000000"/>
                <w:sz w:val="20"/>
                <w:szCs w:val="20"/>
              </w:rPr>
            </w:pPr>
            <w:r>
              <w:rPr>
                <w:color w:val="000000"/>
                <w:sz w:val="20"/>
                <w:szCs w:val="20"/>
              </w:rPr>
              <w:t>(4.19)</w:t>
            </w:r>
          </w:p>
        </w:tc>
        <w:tc>
          <w:tcPr>
            <w:tcW w:w="384" w:type="pct"/>
            <w:gridSpan w:val="2"/>
            <w:tcBorders>
              <w:top w:val="nil"/>
              <w:left w:val="nil"/>
              <w:right w:val="nil"/>
            </w:tcBorders>
            <w:shd w:val="clear" w:color="auto" w:fill="auto"/>
            <w:noWrap/>
            <w:vAlign w:val="center"/>
            <w:hideMark/>
          </w:tcPr>
          <w:p w14:paraId="3474648F" w14:textId="5F3A8809" w:rsidR="00164318" w:rsidRPr="00E65AA7" w:rsidRDefault="00164318" w:rsidP="00164318">
            <w:pPr>
              <w:jc w:val="center"/>
              <w:rPr>
                <w:color w:val="000000"/>
                <w:sz w:val="20"/>
                <w:szCs w:val="20"/>
              </w:rPr>
            </w:pPr>
            <w:r>
              <w:rPr>
                <w:color w:val="000000"/>
                <w:sz w:val="20"/>
                <w:szCs w:val="20"/>
              </w:rPr>
              <w:t>(2.79)</w:t>
            </w:r>
          </w:p>
        </w:tc>
        <w:tc>
          <w:tcPr>
            <w:tcW w:w="384" w:type="pct"/>
            <w:gridSpan w:val="2"/>
            <w:tcBorders>
              <w:top w:val="nil"/>
              <w:left w:val="nil"/>
              <w:right w:val="nil"/>
            </w:tcBorders>
            <w:shd w:val="clear" w:color="auto" w:fill="auto"/>
            <w:noWrap/>
            <w:vAlign w:val="center"/>
            <w:hideMark/>
          </w:tcPr>
          <w:p w14:paraId="704285FB" w14:textId="01642D9A" w:rsidR="00164318" w:rsidRPr="00E65AA7" w:rsidRDefault="00164318" w:rsidP="00164318">
            <w:pPr>
              <w:jc w:val="center"/>
              <w:rPr>
                <w:color w:val="000000"/>
                <w:sz w:val="20"/>
                <w:szCs w:val="20"/>
              </w:rPr>
            </w:pPr>
            <w:r>
              <w:rPr>
                <w:color w:val="000000"/>
                <w:sz w:val="20"/>
                <w:szCs w:val="20"/>
              </w:rPr>
              <w:t>(1.57)</w:t>
            </w:r>
          </w:p>
        </w:tc>
        <w:tc>
          <w:tcPr>
            <w:tcW w:w="384" w:type="pct"/>
            <w:gridSpan w:val="2"/>
            <w:tcBorders>
              <w:top w:val="nil"/>
              <w:left w:val="nil"/>
              <w:right w:val="nil"/>
            </w:tcBorders>
            <w:shd w:val="clear" w:color="auto" w:fill="auto"/>
            <w:noWrap/>
            <w:vAlign w:val="center"/>
            <w:hideMark/>
          </w:tcPr>
          <w:p w14:paraId="431AEBB0" w14:textId="66D15D8B" w:rsidR="00164318" w:rsidRPr="00E65AA7" w:rsidRDefault="00164318" w:rsidP="00164318">
            <w:pPr>
              <w:jc w:val="center"/>
              <w:rPr>
                <w:color w:val="000000"/>
                <w:sz w:val="20"/>
                <w:szCs w:val="20"/>
              </w:rPr>
            </w:pPr>
            <w:r>
              <w:rPr>
                <w:color w:val="000000"/>
                <w:sz w:val="20"/>
                <w:szCs w:val="20"/>
              </w:rPr>
              <w:t>(1.57)</w:t>
            </w:r>
          </w:p>
        </w:tc>
        <w:tc>
          <w:tcPr>
            <w:tcW w:w="384" w:type="pct"/>
            <w:gridSpan w:val="2"/>
            <w:tcBorders>
              <w:top w:val="nil"/>
              <w:left w:val="nil"/>
              <w:right w:val="nil"/>
            </w:tcBorders>
            <w:shd w:val="clear" w:color="auto" w:fill="auto"/>
            <w:noWrap/>
            <w:vAlign w:val="center"/>
            <w:hideMark/>
          </w:tcPr>
          <w:p w14:paraId="7AD0A25D" w14:textId="280F0F11" w:rsidR="00164318" w:rsidRPr="00E65AA7" w:rsidRDefault="00164318" w:rsidP="00164318">
            <w:pPr>
              <w:jc w:val="center"/>
              <w:rPr>
                <w:color w:val="000000"/>
                <w:sz w:val="20"/>
                <w:szCs w:val="20"/>
              </w:rPr>
            </w:pPr>
            <w:r>
              <w:rPr>
                <w:color w:val="000000"/>
                <w:sz w:val="20"/>
                <w:szCs w:val="20"/>
              </w:rPr>
              <w:t>(1.01)</w:t>
            </w:r>
          </w:p>
        </w:tc>
        <w:tc>
          <w:tcPr>
            <w:tcW w:w="384" w:type="pct"/>
            <w:gridSpan w:val="2"/>
            <w:tcBorders>
              <w:top w:val="nil"/>
              <w:left w:val="nil"/>
              <w:right w:val="nil"/>
            </w:tcBorders>
            <w:shd w:val="clear" w:color="auto" w:fill="auto"/>
            <w:noWrap/>
            <w:vAlign w:val="center"/>
            <w:hideMark/>
          </w:tcPr>
          <w:p w14:paraId="30F1CB6A" w14:textId="79FA53C7" w:rsidR="00164318" w:rsidRPr="00E65AA7" w:rsidRDefault="00164318" w:rsidP="00164318">
            <w:pPr>
              <w:jc w:val="center"/>
              <w:rPr>
                <w:color w:val="000000"/>
                <w:sz w:val="20"/>
                <w:szCs w:val="20"/>
              </w:rPr>
            </w:pPr>
            <w:r>
              <w:rPr>
                <w:color w:val="000000"/>
                <w:sz w:val="20"/>
                <w:szCs w:val="20"/>
              </w:rPr>
              <w:t>(0.96)</w:t>
            </w:r>
          </w:p>
        </w:tc>
        <w:tc>
          <w:tcPr>
            <w:tcW w:w="384" w:type="pct"/>
            <w:gridSpan w:val="2"/>
            <w:tcBorders>
              <w:top w:val="nil"/>
              <w:left w:val="nil"/>
              <w:right w:val="nil"/>
            </w:tcBorders>
            <w:shd w:val="clear" w:color="auto" w:fill="auto"/>
            <w:noWrap/>
            <w:vAlign w:val="center"/>
            <w:hideMark/>
          </w:tcPr>
          <w:p w14:paraId="47155E46" w14:textId="587DF9EE" w:rsidR="00164318" w:rsidRPr="00E65AA7" w:rsidRDefault="00164318" w:rsidP="00164318">
            <w:pPr>
              <w:jc w:val="center"/>
              <w:rPr>
                <w:color w:val="000000"/>
                <w:sz w:val="20"/>
                <w:szCs w:val="20"/>
              </w:rPr>
            </w:pPr>
            <w:r>
              <w:rPr>
                <w:color w:val="000000"/>
                <w:sz w:val="20"/>
                <w:szCs w:val="20"/>
              </w:rPr>
              <w:t>(0.23)</w:t>
            </w:r>
          </w:p>
        </w:tc>
        <w:tc>
          <w:tcPr>
            <w:tcW w:w="384" w:type="pct"/>
            <w:gridSpan w:val="2"/>
            <w:tcBorders>
              <w:top w:val="nil"/>
              <w:left w:val="nil"/>
              <w:right w:val="nil"/>
            </w:tcBorders>
            <w:shd w:val="clear" w:color="auto" w:fill="auto"/>
            <w:noWrap/>
            <w:vAlign w:val="center"/>
            <w:hideMark/>
          </w:tcPr>
          <w:p w14:paraId="19CE892F" w14:textId="5A8F327F" w:rsidR="00164318" w:rsidRPr="00E65AA7" w:rsidRDefault="00164318" w:rsidP="00164318">
            <w:pPr>
              <w:jc w:val="center"/>
              <w:rPr>
                <w:color w:val="000000"/>
                <w:sz w:val="20"/>
                <w:szCs w:val="20"/>
              </w:rPr>
            </w:pPr>
            <w:r>
              <w:rPr>
                <w:color w:val="000000"/>
                <w:sz w:val="20"/>
                <w:szCs w:val="20"/>
              </w:rPr>
              <w:t>(0.1</w:t>
            </w:r>
            <w:r w:rsidR="00D04349">
              <w:rPr>
                <w:color w:val="000000"/>
                <w:sz w:val="20"/>
                <w:szCs w:val="20"/>
              </w:rPr>
              <w:t>0</w:t>
            </w:r>
            <w:r>
              <w:rPr>
                <w:color w:val="000000"/>
                <w:sz w:val="20"/>
                <w:szCs w:val="20"/>
              </w:rPr>
              <w:t>)</w:t>
            </w:r>
          </w:p>
        </w:tc>
        <w:tc>
          <w:tcPr>
            <w:tcW w:w="384" w:type="pct"/>
            <w:gridSpan w:val="2"/>
            <w:tcBorders>
              <w:top w:val="nil"/>
              <w:left w:val="nil"/>
              <w:right w:val="nil"/>
            </w:tcBorders>
            <w:shd w:val="clear" w:color="auto" w:fill="auto"/>
            <w:noWrap/>
            <w:vAlign w:val="center"/>
            <w:hideMark/>
          </w:tcPr>
          <w:p w14:paraId="23719D2D" w14:textId="0B2441BE" w:rsidR="00164318" w:rsidRPr="00E65AA7" w:rsidRDefault="00164318" w:rsidP="00164318">
            <w:pPr>
              <w:jc w:val="center"/>
              <w:rPr>
                <w:color w:val="000000"/>
                <w:sz w:val="20"/>
                <w:szCs w:val="20"/>
              </w:rPr>
            </w:pPr>
            <w:r>
              <w:rPr>
                <w:color w:val="000000"/>
                <w:sz w:val="20"/>
                <w:szCs w:val="20"/>
              </w:rPr>
              <w:t>(0.04)</w:t>
            </w:r>
          </w:p>
        </w:tc>
        <w:tc>
          <w:tcPr>
            <w:tcW w:w="384" w:type="pct"/>
            <w:gridSpan w:val="2"/>
            <w:tcBorders>
              <w:top w:val="nil"/>
              <w:left w:val="nil"/>
              <w:right w:val="nil"/>
            </w:tcBorders>
            <w:shd w:val="clear" w:color="auto" w:fill="auto"/>
            <w:noWrap/>
            <w:vAlign w:val="center"/>
            <w:hideMark/>
          </w:tcPr>
          <w:p w14:paraId="58A79DAA" w14:textId="15F1BD9E" w:rsidR="00164318" w:rsidRPr="00E65AA7" w:rsidRDefault="00164318" w:rsidP="00164318">
            <w:pPr>
              <w:jc w:val="center"/>
              <w:rPr>
                <w:color w:val="000000"/>
                <w:sz w:val="20"/>
                <w:szCs w:val="20"/>
              </w:rPr>
            </w:pPr>
            <w:r>
              <w:rPr>
                <w:color w:val="000000"/>
                <w:sz w:val="20"/>
                <w:szCs w:val="20"/>
              </w:rPr>
              <w:t>(-0.34)</w:t>
            </w:r>
          </w:p>
        </w:tc>
        <w:tc>
          <w:tcPr>
            <w:tcW w:w="406" w:type="pct"/>
            <w:gridSpan w:val="2"/>
            <w:tcBorders>
              <w:top w:val="nil"/>
              <w:left w:val="nil"/>
              <w:right w:val="nil"/>
            </w:tcBorders>
            <w:shd w:val="clear" w:color="auto" w:fill="auto"/>
            <w:noWrap/>
            <w:vAlign w:val="center"/>
            <w:hideMark/>
          </w:tcPr>
          <w:p w14:paraId="31586630" w14:textId="15A7F4C8" w:rsidR="00164318" w:rsidRPr="00E65AA7" w:rsidRDefault="00164318" w:rsidP="00164318">
            <w:pPr>
              <w:jc w:val="center"/>
              <w:rPr>
                <w:color w:val="000000"/>
                <w:sz w:val="20"/>
                <w:szCs w:val="20"/>
              </w:rPr>
            </w:pPr>
            <w:r>
              <w:rPr>
                <w:color w:val="000000"/>
                <w:sz w:val="20"/>
                <w:szCs w:val="20"/>
              </w:rPr>
              <w:t>(-2.47)</w:t>
            </w:r>
          </w:p>
        </w:tc>
      </w:tr>
      <w:tr w:rsidR="00164318" w:rsidRPr="00E65AA7" w14:paraId="6AEC7055" w14:textId="77777777" w:rsidTr="00164318">
        <w:trPr>
          <w:trHeight w:hRule="exact" w:val="255"/>
        </w:trPr>
        <w:tc>
          <w:tcPr>
            <w:tcW w:w="496" w:type="pct"/>
            <w:gridSpan w:val="2"/>
            <w:vMerge w:val="restart"/>
            <w:tcBorders>
              <w:top w:val="nil"/>
              <w:left w:val="nil"/>
              <w:right w:val="nil"/>
            </w:tcBorders>
            <w:vAlign w:val="center"/>
          </w:tcPr>
          <w:p w14:paraId="06EE2803" w14:textId="77777777" w:rsidR="00164318" w:rsidRPr="00E65AA7" w:rsidRDefault="00164318" w:rsidP="00164318">
            <w:pPr>
              <w:rPr>
                <w:rFonts w:eastAsia="Times New Roman"/>
                <w:b/>
                <w:color w:val="000000"/>
                <w:sz w:val="20"/>
                <w:szCs w:val="20"/>
                <w:lang w:eastAsia="en-MY"/>
              </w:rPr>
            </w:pPr>
            <w:r w:rsidRPr="00E65AA7">
              <w:rPr>
                <w:rFonts w:eastAsia="Times New Roman"/>
                <w:b/>
                <w:color w:val="000000"/>
                <w:sz w:val="20"/>
                <w:szCs w:val="20"/>
                <w:lang w:eastAsia="en-MY"/>
              </w:rPr>
              <w:t>L/H</w:t>
            </w:r>
          </w:p>
        </w:tc>
        <w:tc>
          <w:tcPr>
            <w:tcW w:w="258" w:type="pct"/>
            <w:gridSpan w:val="2"/>
            <w:vMerge w:val="restart"/>
            <w:tcBorders>
              <w:top w:val="nil"/>
              <w:left w:val="nil"/>
              <w:right w:val="nil"/>
            </w:tcBorders>
            <w:vAlign w:val="center"/>
          </w:tcPr>
          <w:p w14:paraId="7981AC8A" w14:textId="7585F455" w:rsidR="00164318" w:rsidRPr="00E65AA7" w:rsidRDefault="00164318" w:rsidP="00164318">
            <w:pPr>
              <w:rPr>
                <w:rFonts w:eastAsia="Times New Roman"/>
                <w:color w:val="000000"/>
                <w:sz w:val="20"/>
                <w:szCs w:val="20"/>
                <w:lang w:eastAsia="en-MY"/>
              </w:rPr>
            </w:pPr>
            <w:r>
              <w:rPr>
                <w:rFonts w:eastAsia="Times New Roman"/>
                <w:color w:val="000000"/>
                <w:sz w:val="20"/>
                <w:szCs w:val="20"/>
                <w:lang w:eastAsia="en-MY"/>
              </w:rPr>
              <w:t>171</w:t>
            </w:r>
          </w:p>
        </w:tc>
        <w:tc>
          <w:tcPr>
            <w:tcW w:w="383" w:type="pct"/>
            <w:gridSpan w:val="2"/>
            <w:tcBorders>
              <w:top w:val="nil"/>
              <w:left w:val="nil"/>
              <w:right w:val="nil"/>
            </w:tcBorders>
            <w:shd w:val="clear" w:color="auto" w:fill="auto"/>
            <w:noWrap/>
            <w:vAlign w:val="center"/>
          </w:tcPr>
          <w:p w14:paraId="7EC525D6" w14:textId="5B05FB0F" w:rsidR="00164318" w:rsidRPr="00E65AA7" w:rsidRDefault="00164318" w:rsidP="00164318">
            <w:pPr>
              <w:jc w:val="center"/>
              <w:rPr>
                <w:color w:val="000000"/>
                <w:sz w:val="20"/>
                <w:szCs w:val="20"/>
              </w:rPr>
            </w:pPr>
            <w:r>
              <w:rPr>
                <w:color w:val="000000"/>
                <w:sz w:val="20"/>
                <w:szCs w:val="20"/>
              </w:rPr>
              <w:t>1.24</w:t>
            </w:r>
          </w:p>
        </w:tc>
        <w:tc>
          <w:tcPr>
            <w:tcW w:w="384" w:type="pct"/>
            <w:gridSpan w:val="2"/>
            <w:tcBorders>
              <w:top w:val="nil"/>
              <w:left w:val="nil"/>
              <w:right w:val="nil"/>
            </w:tcBorders>
            <w:shd w:val="clear" w:color="auto" w:fill="auto"/>
            <w:noWrap/>
            <w:vAlign w:val="center"/>
          </w:tcPr>
          <w:p w14:paraId="6C497EBF" w14:textId="536ADAA4" w:rsidR="00164318" w:rsidRPr="00E65AA7" w:rsidRDefault="00164318" w:rsidP="00164318">
            <w:pPr>
              <w:jc w:val="center"/>
              <w:rPr>
                <w:color w:val="000000"/>
                <w:sz w:val="20"/>
                <w:szCs w:val="20"/>
              </w:rPr>
            </w:pPr>
            <w:r>
              <w:rPr>
                <w:color w:val="000000"/>
                <w:sz w:val="20"/>
                <w:szCs w:val="20"/>
              </w:rPr>
              <w:t>1.62</w:t>
            </w:r>
          </w:p>
        </w:tc>
        <w:tc>
          <w:tcPr>
            <w:tcW w:w="384" w:type="pct"/>
            <w:gridSpan w:val="2"/>
            <w:tcBorders>
              <w:top w:val="nil"/>
              <w:left w:val="nil"/>
              <w:right w:val="nil"/>
            </w:tcBorders>
            <w:shd w:val="clear" w:color="auto" w:fill="auto"/>
            <w:noWrap/>
            <w:vAlign w:val="center"/>
          </w:tcPr>
          <w:p w14:paraId="5A9056E7" w14:textId="0FD7053C" w:rsidR="00164318" w:rsidRPr="00E65AA7" w:rsidRDefault="00164318" w:rsidP="00164318">
            <w:pPr>
              <w:jc w:val="center"/>
              <w:rPr>
                <w:color w:val="000000"/>
                <w:sz w:val="20"/>
                <w:szCs w:val="20"/>
              </w:rPr>
            </w:pPr>
            <w:r>
              <w:rPr>
                <w:color w:val="000000"/>
                <w:sz w:val="20"/>
                <w:szCs w:val="20"/>
              </w:rPr>
              <w:t>2.00</w:t>
            </w:r>
          </w:p>
        </w:tc>
        <w:tc>
          <w:tcPr>
            <w:tcW w:w="384" w:type="pct"/>
            <w:gridSpan w:val="2"/>
            <w:tcBorders>
              <w:top w:val="nil"/>
              <w:left w:val="nil"/>
              <w:right w:val="nil"/>
            </w:tcBorders>
            <w:shd w:val="clear" w:color="auto" w:fill="auto"/>
            <w:noWrap/>
            <w:vAlign w:val="center"/>
          </w:tcPr>
          <w:p w14:paraId="6E62BCF3" w14:textId="1291D6D0" w:rsidR="00164318" w:rsidRPr="00E65AA7" w:rsidRDefault="00164318" w:rsidP="00164318">
            <w:pPr>
              <w:jc w:val="center"/>
              <w:rPr>
                <w:color w:val="000000"/>
                <w:sz w:val="20"/>
                <w:szCs w:val="20"/>
              </w:rPr>
            </w:pPr>
            <w:r>
              <w:rPr>
                <w:color w:val="000000"/>
                <w:sz w:val="20"/>
                <w:szCs w:val="20"/>
              </w:rPr>
              <w:t>2.13</w:t>
            </w:r>
          </w:p>
        </w:tc>
        <w:tc>
          <w:tcPr>
            <w:tcW w:w="384" w:type="pct"/>
            <w:gridSpan w:val="2"/>
            <w:tcBorders>
              <w:top w:val="nil"/>
              <w:left w:val="nil"/>
              <w:right w:val="nil"/>
            </w:tcBorders>
            <w:shd w:val="clear" w:color="auto" w:fill="auto"/>
            <w:noWrap/>
            <w:vAlign w:val="center"/>
          </w:tcPr>
          <w:p w14:paraId="5CF798BB" w14:textId="68BF4179" w:rsidR="00164318" w:rsidRPr="00E65AA7" w:rsidRDefault="00164318" w:rsidP="00164318">
            <w:pPr>
              <w:jc w:val="center"/>
              <w:rPr>
                <w:color w:val="000000"/>
                <w:sz w:val="20"/>
                <w:szCs w:val="20"/>
              </w:rPr>
            </w:pPr>
            <w:r>
              <w:rPr>
                <w:color w:val="000000"/>
                <w:sz w:val="20"/>
                <w:szCs w:val="20"/>
              </w:rPr>
              <w:t>2.47</w:t>
            </w:r>
          </w:p>
        </w:tc>
        <w:tc>
          <w:tcPr>
            <w:tcW w:w="384" w:type="pct"/>
            <w:gridSpan w:val="2"/>
            <w:tcBorders>
              <w:top w:val="nil"/>
              <w:left w:val="nil"/>
              <w:right w:val="nil"/>
            </w:tcBorders>
            <w:shd w:val="clear" w:color="auto" w:fill="auto"/>
            <w:noWrap/>
            <w:vAlign w:val="center"/>
          </w:tcPr>
          <w:p w14:paraId="21AB31DA" w14:textId="00F20379" w:rsidR="00164318" w:rsidRPr="00E65AA7" w:rsidRDefault="00164318" w:rsidP="00164318">
            <w:pPr>
              <w:jc w:val="center"/>
              <w:rPr>
                <w:color w:val="000000"/>
                <w:sz w:val="20"/>
                <w:szCs w:val="20"/>
              </w:rPr>
            </w:pPr>
            <w:r>
              <w:rPr>
                <w:color w:val="000000"/>
                <w:sz w:val="20"/>
                <w:szCs w:val="20"/>
              </w:rPr>
              <w:t>2.62</w:t>
            </w:r>
          </w:p>
        </w:tc>
        <w:tc>
          <w:tcPr>
            <w:tcW w:w="384" w:type="pct"/>
            <w:gridSpan w:val="2"/>
            <w:tcBorders>
              <w:top w:val="nil"/>
              <w:left w:val="nil"/>
              <w:right w:val="nil"/>
            </w:tcBorders>
            <w:shd w:val="clear" w:color="auto" w:fill="auto"/>
            <w:noWrap/>
            <w:vAlign w:val="center"/>
          </w:tcPr>
          <w:p w14:paraId="3FA42B99" w14:textId="2EF97DB5" w:rsidR="00164318" w:rsidRPr="00E65AA7" w:rsidRDefault="00164318" w:rsidP="00164318">
            <w:pPr>
              <w:jc w:val="center"/>
              <w:rPr>
                <w:color w:val="000000"/>
                <w:sz w:val="20"/>
                <w:szCs w:val="20"/>
              </w:rPr>
            </w:pPr>
            <w:r>
              <w:rPr>
                <w:color w:val="000000"/>
                <w:sz w:val="20"/>
                <w:szCs w:val="20"/>
              </w:rPr>
              <w:t>3.05</w:t>
            </w:r>
          </w:p>
        </w:tc>
        <w:tc>
          <w:tcPr>
            <w:tcW w:w="384" w:type="pct"/>
            <w:gridSpan w:val="2"/>
            <w:tcBorders>
              <w:top w:val="nil"/>
              <w:left w:val="nil"/>
              <w:right w:val="nil"/>
            </w:tcBorders>
            <w:shd w:val="clear" w:color="auto" w:fill="auto"/>
            <w:noWrap/>
            <w:vAlign w:val="center"/>
          </w:tcPr>
          <w:p w14:paraId="1829574A" w14:textId="3BEB287D" w:rsidR="00164318" w:rsidRPr="00E65AA7" w:rsidRDefault="00164318" w:rsidP="00164318">
            <w:pPr>
              <w:jc w:val="center"/>
              <w:rPr>
                <w:color w:val="000000"/>
                <w:sz w:val="20"/>
                <w:szCs w:val="20"/>
              </w:rPr>
            </w:pPr>
            <w:r>
              <w:rPr>
                <w:color w:val="000000"/>
                <w:sz w:val="20"/>
                <w:szCs w:val="20"/>
              </w:rPr>
              <w:t>3.34</w:t>
            </w:r>
          </w:p>
        </w:tc>
        <w:tc>
          <w:tcPr>
            <w:tcW w:w="384" w:type="pct"/>
            <w:gridSpan w:val="2"/>
            <w:tcBorders>
              <w:top w:val="nil"/>
              <w:left w:val="nil"/>
              <w:right w:val="nil"/>
            </w:tcBorders>
            <w:shd w:val="clear" w:color="auto" w:fill="auto"/>
            <w:noWrap/>
            <w:vAlign w:val="center"/>
          </w:tcPr>
          <w:p w14:paraId="05066909" w14:textId="256D96B5" w:rsidR="00164318" w:rsidRPr="00E65AA7" w:rsidRDefault="00164318" w:rsidP="00164318">
            <w:pPr>
              <w:jc w:val="center"/>
              <w:rPr>
                <w:color w:val="000000"/>
                <w:sz w:val="20"/>
                <w:szCs w:val="20"/>
              </w:rPr>
            </w:pPr>
            <w:r>
              <w:rPr>
                <w:color w:val="000000"/>
                <w:sz w:val="20"/>
                <w:szCs w:val="20"/>
              </w:rPr>
              <w:t>3.80</w:t>
            </w:r>
          </w:p>
        </w:tc>
        <w:tc>
          <w:tcPr>
            <w:tcW w:w="384" w:type="pct"/>
            <w:gridSpan w:val="2"/>
            <w:tcBorders>
              <w:top w:val="nil"/>
              <w:left w:val="nil"/>
              <w:right w:val="nil"/>
            </w:tcBorders>
            <w:shd w:val="clear" w:color="auto" w:fill="auto"/>
            <w:noWrap/>
            <w:vAlign w:val="center"/>
          </w:tcPr>
          <w:p w14:paraId="61F825C1" w14:textId="1C31365A" w:rsidR="00164318" w:rsidRPr="00E65AA7" w:rsidRDefault="00164318" w:rsidP="00164318">
            <w:pPr>
              <w:jc w:val="center"/>
              <w:rPr>
                <w:color w:val="000000"/>
                <w:sz w:val="20"/>
                <w:szCs w:val="20"/>
              </w:rPr>
            </w:pPr>
            <w:r>
              <w:rPr>
                <w:color w:val="000000"/>
                <w:sz w:val="20"/>
                <w:szCs w:val="20"/>
              </w:rPr>
              <w:t>4.62</w:t>
            </w:r>
          </w:p>
        </w:tc>
        <w:tc>
          <w:tcPr>
            <w:tcW w:w="406" w:type="pct"/>
            <w:gridSpan w:val="2"/>
            <w:tcBorders>
              <w:top w:val="nil"/>
              <w:left w:val="nil"/>
              <w:right w:val="nil"/>
            </w:tcBorders>
            <w:shd w:val="clear" w:color="auto" w:fill="auto"/>
            <w:noWrap/>
            <w:vAlign w:val="center"/>
          </w:tcPr>
          <w:p w14:paraId="07CD52C1" w14:textId="18663D97" w:rsidR="00164318" w:rsidRPr="00E65AA7" w:rsidRDefault="00164318" w:rsidP="00164318">
            <w:pPr>
              <w:jc w:val="center"/>
              <w:rPr>
                <w:color w:val="000000"/>
                <w:sz w:val="20"/>
                <w:szCs w:val="20"/>
              </w:rPr>
            </w:pPr>
            <w:r>
              <w:rPr>
                <w:color w:val="000000"/>
                <w:sz w:val="20"/>
                <w:szCs w:val="20"/>
              </w:rPr>
              <w:t>3.38</w:t>
            </w:r>
          </w:p>
        </w:tc>
      </w:tr>
      <w:tr w:rsidR="00164318" w:rsidRPr="00E65AA7" w14:paraId="5C3E7594" w14:textId="77777777" w:rsidTr="00164318">
        <w:trPr>
          <w:trHeight w:hRule="exact" w:val="255"/>
        </w:trPr>
        <w:tc>
          <w:tcPr>
            <w:tcW w:w="496" w:type="pct"/>
            <w:gridSpan w:val="2"/>
            <w:vMerge/>
            <w:tcBorders>
              <w:left w:val="nil"/>
              <w:bottom w:val="single" w:sz="4" w:space="0" w:color="auto"/>
              <w:right w:val="nil"/>
            </w:tcBorders>
            <w:vAlign w:val="center"/>
          </w:tcPr>
          <w:p w14:paraId="0B9E4BE4" w14:textId="77777777" w:rsidR="00164318" w:rsidRPr="00E65AA7" w:rsidRDefault="00164318" w:rsidP="00164318">
            <w:pPr>
              <w:rPr>
                <w:rFonts w:eastAsia="Times New Roman"/>
                <w:color w:val="000000"/>
                <w:sz w:val="20"/>
                <w:szCs w:val="20"/>
                <w:lang w:eastAsia="en-MY"/>
              </w:rPr>
            </w:pPr>
          </w:p>
        </w:tc>
        <w:tc>
          <w:tcPr>
            <w:tcW w:w="258" w:type="pct"/>
            <w:gridSpan w:val="2"/>
            <w:vMerge/>
            <w:tcBorders>
              <w:left w:val="nil"/>
              <w:bottom w:val="single" w:sz="4" w:space="0" w:color="auto"/>
              <w:right w:val="nil"/>
            </w:tcBorders>
            <w:vAlign w:val="center"/>
          </w:tcPr>
          <w:p w14:paraId="52D22997" w14:textId="77777777" w:rsidR="00164318" w:rsidRPr="00E65AA7" w:rsidRDefault="00164318" w:rsidP="00164318">
            <w:pPr>
              <w:jc w:val="center"/>
              <w:rPr>
                <w:rFonts w:eastAsia="Times New Roman"/>
                <w:sz w:val="20"/>
                <w:szCs w:val="20"/>
                <w:lang w:eastAsia="en-MY"/>
              </w:rPr>
            </w:pPr>
          </w:p>
        </w:tc>
        <w:tc>
          <w:tcPr>
            <w:tcW w:w="383" w:type="pct"/>
            <w:gridSpan w:val="2"/>
            <w:tcBorders>
              <w:left w:val="nil"/>
              <w:bottom w:val="single" w:sz="4" w:space="0" w:color="auto"/>
              <w:right w:val="nil"/>
            </w:tcBorders>
            <w:shd w:val="clear" w:color="auto" w:fill="auto"/>
            <w:noWrap/>
            <w:vAlign w:val="center"/>
          </w:tcPr>
          <w:p w14:paraId="639275CC" w14:textId="5D42A5B4" w:rsidR="00164318" w:rsidRPr="00E65AA7" w:rsidRDefault="00164318" w:rsidP="00164318">
            <w:pPr>
              <w:jc w:val="center"/>
              <w:rPr>
                <w:color w:val="000000"/>
                <w:sz w:val="20"/>
                <w:szCs w:val="20"/>
              </w:rPr>
            </w:pPr>
            <w:r>
              <w:rPr>
                <w:color w:val="000000"/>
                <w:sz w:val="20"/>
                <w:szCs w:val="20"/>
              </w:rPr>
              <w:t>(5.24)</w:t>
            </w:r>
          </w:p>
        </w:tc>
        <w:tc>
          <w:tcPr>
            <w:tcW w:w="384" w:type="pct"/>
            <w:gridSpan w:val="2"/>
            <w:tcBorders>
              <w:left w:val="nil"/>
              <w:bottom w:val="single" w:sz="4" w:space="0" w:color="auto"/>
              <w:right w:val="nil"/>
            </w:tcBorders>
            <w:shd w:val="clear" w:color="auto" w:fill="auto"/>
            <w:noWrap/>
            <w:vAlign w:val="center"/>
          </w:tcPr>
          <w:p w14:paraId="04BDFB30" w14:textId="6AF5523D" w:rsidR="00164318" w:rsidRPr="00E65AA7" w:rsidRDefault="00164318" w:rsidP="00164318">
            <w:pPr>
              <w:jc w:val="center"/>
              <w:rPr>
                <w:color w:val="000000"/>
                <w:sz w:val="20"/>
                <w:szCs w:val="20"/>
              </w:rPr>
            </w:pPr>
            <w:r>
              <w:rPr>
                <w:color w:val="000000"/>
                <w:sz w:val="20"/>
                <w:szCs w:val="20"/>
              </w:rPr>
              <w:t>(5.58)</w:t>
            </w:r>
          </w:p>
        </w:tc>
        <w:tc>
          <w:tcPr>
            <w:tcW w:w="384" w:type="pct"/>
            <w:gridSpan w:val="2"/>
            <w:tcBorders>
              <w:left w:val="nil"/>
              <w:bottom w:val="single" w:sz="4" w:space="0" w:color="auto"/>
              <w:right w:val="nil"/>
            </w:tcBorders>
            <w:shd w:val="clear" w:color="auto" w:fill="auto"/>
            <w:noWrap/>
            <w:vAlign w:val="center"/>
          </w:tcPr>
          <w:p w14:paraId="075A1F62" w14:textId="017179DD" w:rsidR="00164318" w:rsidRPr="00E65AA7" w:rsidRDefault="00164318" w:rsidP="00164318">
            <w:pPr>
              <w:jc w:val="center"/>
              <w:rPr>
                <w:color w:val="000000"/>
                <w:sz w:val="20"/>
                <w:szCs w:val="20"/>
              </w:rPr>
            </w:pPr>
            <w:r>
              <w:rPr>
                <w:color w:val="000000"/>
                <w:sz w:val="20"/>
                <w:szCs w:val="20"/>
              </w:rPr>
              <w:t>(5.95)</w:t>
            </w:r>
          </w:p>
        </w:tc>
        <w:tc>
          <w:tcPr>
            <w:tcW w:w="384" w:type="pct"/>
            <w:gridSpan w:val="2"/>
            <w:tcBorders>
              <w:left w:val="nil"/>
              <w:bottom w:val="single" w:sz="4" w:space="0" w:color="auto"/>
              <w:right w:val="nil"/>
            </w:tcBorders>
            <w:shd w:val="clear" w:color="auto" w:fill="auto"/>
            <w:noWrap/>
            <w:vAlign w:val="center"/>
          </w:tcPr>
          <w:p w14:paraId="277295E5" w14:textId="77DA51A8" w:rsidR="00164318" w:rsidRPr="00E65AA7" w:rsidRDefault="00164318" w:rsidP="00164318">
            <w:pPr>
              <w:jc w:val="center"/>
              <w:rPr>
                <w:color w:val="000000"/>
                <w:sz w:val="20"/>
                <w:szCs w:val="20"/>
              </w:rPr>
            </w:pPr>
            <w:r>
              <w:rPr>
                <w:color w:val="000000"/>
                <w:sz w:val="20"/>
                <w:szCs w:val="20"/>
              </w:rPr>
              <w:t>(5.98)</w:t>
            </w:r>
          </w:p>
        </w:tc>
        <w:tc>
          <w:tcPr>
            <w:tcW w:w="384" w:type="pct"/>
            <w:gridSpan w:val="2"/>
            <w:tcBorders>
              <w:left w:val="nil"/>
              <w:bottom w:val="single" w:sz="4" w:space="0" w:color="auto"/>
              <w:right w:val="nil"/>
            </w:tcBorders>
            <w:shd w:val="clear" w:color="auto" w:fill="auto"/>
            <w:noWrap/>
            <w:vAlign w:val="center"/>
          </w:tcPr>
          <w:p w14:paraId="71ED3ADE" w14:textId="57889C2F" w:rsidR="00164318" w:rsidRPr="00E65AA7" w:rsidRDefault="00164318" w:rsidP="00164318">
            <w:pPr>
              <w:jc w:val="center"/>
              <w:rPr>
                <w:color w:val="000000"/>
                <w:sz w:val="20"/>
                <w:szCs w:val="20"/>
              </w:rPr>
            </w:pPr>
            <w:r>
              <w:rPr>
                <w:color w:val="000000"/>
                <w:sz w:val="20"/>
                <w:szCs w:val="20"/>
              </w:rPr>
              <w:t>(6.25)</w:t>
            </w:r>
          </w:p>
        </w:tc>
        <w:tc>
          <w:tcPr>
            <w:tcW w:w="384" w:type="pct"/>
            <w:gridSpan w:val="2"/>
            <w:tcBorders>
              <w:left w:val="nil"/>
              <w:bottom w:val="single" w:sz="4" w:space="0" w:color="auto"/>
              <w:right w:val="nil"/>
            </w:tcBorders>
            <w:shd w:val="clear" w:color="auto" w:fill="auto"/>
            <w:noWrap/>
            <w:vAlign w:val="center"/>
          </w:tcPr>
          <w:p w14:paraId="34F85E32" w14:textId="6067FEE4" w:rsidR="00164318" w:rsidRPr="00E65AA7" w:rsidRDefault="00164318" w:rsidP="00164318">
            <w:pPr>
              <w:jc w:val="center"/>
              <w:rPr>
                <w:color w:val="000000"/>
                <w:sz w:val="20"/>
                <w:szCs w:val="20"/>
              </w:rPr>
            </w:pPr>
            <w:r>
              <w:rPr>
                <w:color w:val="000000"/>
                <w:sz w:val="20"/>
                <w:szCs w:val="20"/>
              </w:rPr>
              <w:t>(6.14)</w:t>
            </w:r>
          </w:p>
        </w:tc>
        <w:tc>
          <w:tcPr>
            <w:tcW w:w="384" w:type="pct"/>
            <w:gridSpan w:val="2"/>
            <w:tcBorders>
              <w:left w:val="nil"/>
              <w:bottom w:val="single" w:sz="4" w:space="0" w:color="auto"/>
              <w:right w:val="nil"/>
            </w:tcBorders>
            <w:shd w:val="clear" w:color="auto" w:fill="auto"/>
            <w:noWrap/>
            <w:vAlign w:val="center"/>
          </w:tcPr>
          <w:p w14:paraId="37426E45" w14:textId="732CCF31" w:rsidR="00164318" w:rsidRPr="00E65AA7" w:rsidRDefault="00164318" w:rsidP="00164318">
            <w:pPr>
              <w:jc w:val="center"/>
              <w:rPr>
                <w:color w:val="000000"/>
                <w:sz w:val="20"/>
                <w:szCs w:val="20"/>
              </w:rPr>
            </w:pPr>
            <w:r>
              <w:rPr>
                <w:color w:val="000000"/>
                <w:sz w:val="20"/>
                <w:szCs w:val="20"/>
              </w:rPr>
              <w:t>(6.61)</w:t>
            </w:r>
          </w:p>
        </w:tc>
        <w:tc>
          <w:tcPr>
            <w:tcW w:w="384" w:type="pct"/>
            <w:gridSpan w:val="2"/>
            <w:tcBorders>
              <w:left w:val="nil"/>
              <w:bottom w:val="single" w:sz="4" w:space="0" w:color="auto"/>
              <w:right w:val="nil"/>
            </w:tcBorders>
            <w:shd w:val="clear" w:color="auto" w:fill="auto"/>
            <w:noWrap/>
            <w:vAlign w:val="center"/>
          </w:tcPr>
          <w:p w14:paraId="0A8D1932" w14:textId="6823F252" w:rsidR="00164318" w:rsidRPr="00E65AA7" w:rsidRDefault="00164318" w:rsidP="00164318">
            <w:pPr>
              <w:jc w:val="center"/>
              <w:rPr>
                <w:color w:val="000000"/>
                <w:sz w:val="20"/>
                <w:szCs w:val="20"/>
              </w:rPr>
            </w:pPr>
            <w:r>
              <w:rPr>
                <w:color w:val="000000"/>
                <w:sz w:val="20"/>
                <w:szCs w:val="20"/>
              </w:rPr>
              <w:t>(6.73)</w:t>
            </w:r>
          </w:p>
        </w:tc>
        <w:tc>
          <w:tcPr>
            <w:tcW w:w="384" w:type="pct"/>
            <w:gridSpan w:val="2"/>
            <w:tcBorders>
              <w:left w:val="nil"/>
              <w:bottom w:val="single" w:sz="4" w:space="0" w:color="auto"/>
              <w:right w:val="nil"/>
            </w:tcBorders>
            <w:shd w:val="clear" w:color="auto" w:fill="auto"/>
            <w:noWrap/>
            <w:vAlign w:val="center"/>
          </w:tcPr>
          <w:p w14:paraId="620C5B9E" w14:textId="0E1E9FD7" w:rsidR="00164318" w:rsidRPr="00E65AA7" w:rsidRDefault="00164318" w:rsidP="00164318">
            <w:pPr>
              <w:jc w:val="center"/>
              <w:rPr>
                <w:color w:val="000000"/>
                <w:sz w:val="20"/>
                <w:szCs w:val="20"/>
              </w:rPr>
            </w:pPr>
            <w:r>
              <w:rPr>
                <w:color w:val="000000"/>
                <w:sz w:val="20"/>
                <w:szCs w:val="20"/>
              </w:rPr>
              <w:t>(6.99)</w:t>
            </w:r>
          </w:p>
        </w:tc>
        <w:tc>
          <w:tcPr>
            <w:tcW w:w="384" w:type="pct"/>
            <w:gridSpan w:val="2"/>
            <w:tcBorders>
              <w:left w:val="nil"/>
              <w:bottom w:val="single" w:sz="4" w:space="0" w:color="auto"/>
              <w:right w:val="nil"/>
            </w:tcBorders>
            <w:shd w:val="clear" w:color="auto" w:fill="auto"/>
            <w:noWrap/>
            <w:vAlign w:val="center"/>
          </w:tcPr>
          <w:p w14:paraId="0F23AF0B" w14:textId="0C17B9BF" w:rsidR="00164318" w:rsidRPr="00E65AA7" w:rsidRDefault="00164318" w:rsidP="00164318">
            <w:pPr>
              <w:jc w:val="center"/>
              <w:rPr>
                <w:color w:val="000000"/>
                <w:sz w:val="20"/>
                <w:szCs w:val="20"/>
              </w:rPr>
            </w:pPr>
            <w:r>
              <w:rPr>
                <w:color w:val="000000"/>
                <w:sz w:val="20"/>
                <w:szCs w:val="20"/>
              </w:rPr>
              <w:t>(6.9</w:t>
            </w:r>
            <w:r w:rsidR="00D04349">
              <w:rPr>
                <w:color w:val="000000"/>
                <w:sz w:val="20"/>
                <w:szCs w:val="20"/>
              </w:rPr>
              <w:t>0</w:t>
            </w:r>
            <w:r>
              <w:rPr>
                <w:color w:val="000000"/>
                <w:sz w:val="20"/>
                <w:szCs w:val="20"/>
              </w:rPr>
              <w:t>)</w:t>
            </w:r>
          </w:p>
        </w:tc>
        <w:tc>
          <w:tcPr>
            <w:tcW w:w="406" w:type="pct"/>
            <w:gridSpan w:val="2"/>
            <w:tcBorders>
              <w:left w:val="nil"/>
              <w:bottom w:val="single" w:sz="4" w:space="0" w:color="auto"/>
              <w:right w:val="nil"/>
            </w:tcBorders>
            <w:shd w:val="clear" w:color="auto" w:fill="auto"/>
            <w:noWrap/>
            <w:vAlign w:val="center"/>
          </w:tcPr>
          <w:p w14:paraId="66FEE906" w14:textId="5A2E5CDD" w:rsidR="00164318" w:rsidRPr="00E65AA7" w:rsidRDefault="00164318" w:rsidP="00164318">
            <w:pPr>
              <w:jc w:val="center"/>
              <w:rPr>
                <w:color w:val="000000"/>
                <w:sz w:val="20"/>
                <w:szCs w:val="20"/>
              </w:rPr>
            </w:pPr>
            <w:r>
              <w:rPr>
                <w:color w:val="000000"/>
                <w:sz w:val="20"/>
                <w:szCs w:val="20"/>
              </w:rPr>
              <w:t>(6.39)</w:t>
            </w:r>
          </w:p>
        </w:tc>
      </w:tr>
    </w:tbl>
    <w:p w14:paraId="72539094" w14:textId="77777777" w:rsidR="00F46D92" w:rsidRPr="00E65AA7" w:rsidRDefault="00F46D92" w:rsidP="00D267BA">
      <w:pPr>
        <w:spacing w:after="120"/>
      </w:pPr>
    </w:p>
    <w:p w14:paraId="6293650F" w14:textId="100E663A" w:rsidR="00310C82" w:rsidRDefault="00310C82">
      <w:pPr>
        <w:spacing w:after="120"/>
        <w:rPr>
          <w:b/>
          <w:sz w:val="20"/>
          <w:szCs w:val="20"/>
        </w:rPr>
      </w:pPr>
      <w:r>
        <w:rPr>
          <w:b/>
          <w:sz w:val="20"/>
          <w:szCs w:val="20"/>
        </w:rPr>
        <w:br w:type="page"/>
      </w:r>
    </w:p>
    <w:p w14:paraId="4A1CB59A" w14:textId="77777777" w:rsidR="00310C82" w:rsidRDefault="00310C82" w:rsidP="00310C82">
      <w:pPr>
        <w:spacing w:after="120"/>
        <w:rPr>
          <w:b/>
          <w:sz w:val="20"/>
          <w:szCs w:val="20"/>
        </w:rPr>
        <w:sectPr w:rsidR="00310C82" w:rsidSect="00FC4B76">
          <w:pgSz w:w="16838" w:h="11906" w:orient="landscape" w:code="9"/>
          <w:pgMar w:top="720" w:right="720" w:bottom="720" w:left="720" w:header="709" w:footer="709" w:gutter="0"/>
          <w:cols w:space="708"/>
          <w:docGrid w:linePitch="360"/>
        </w:sectPr>
      </w:pPr>
    </w:p>
    <w:p w14:paraId="2426CF08" w14:textId="70505D96" w:rsidR="008A43FF" w:rsidRPr="00E65AA7" w:rsidRDefault="008A43FF" w:rsidP="00081B01">
      <w:pPr>
        <w:spacing w:after="120"/>
        <w:rPr>
          <w:rFonts w:eastAsia="Times New Roman"/>
          <w:b/>
          <w:bCs/>
          <w:noProof/>
          <w:szCs w:val="20"/>
          <w:lang w:eastAsia="en-AU"/>
        </w:rPr>
      </w:pPr>
      <w:r w:rsidRPr="00E65AA7">
        <w:rPr>
          <w:b/>
          <w:sz w:val="20"/>
          <w:szCs w:val="20"/>
        </w:rPr>
        <w:lastRenderedPageBreak/>
        <w:t xml:space="preserve">Figure </w:t>
      </w:r>
      <w:r w:rsidR="005F6241">
        <w:rPr>
          <w:b/>
          <w:sz w:val="20"/>
          <w:szCs w:val="20"/>
        </w:rPr>
        <w:t>1</w:t>
      </w:r>
      <w:r w:rsidRPr="00E65AA7">
        <w:rPr>
          <w:b/>
          <w:sz w:val="20"/>
          <w:szCs w:val="20"/>
        </w:rPr>
        <w:t xml:space="preserve">: Monthly Returns </w:t>
      </w:r>
      <w:r w:rsidR="0048096C">
        <w:rPr>
          <w:b/>
          <w:sz w:val="20"/>
          <w:szCs w:val="20"/>
        </w:rPr>
        <w:t xml:space="preserve">of Characteristic-sorted Portfolios Conditioned on </w:t>
      </w:r>
      <w:r w:rsidR="004D0EF7" w:rsidRPr="00E65AA7">
        <w:rPr>
          <w:b/>
          <w:sz w:val="20"/>
          <w:szCs w:val="20"/>
        </w:rPr>
        <w:t>Sentiment</w:t>
      </w:r>
      <w:r w:rsidRPr="00E65AA7">
        <w:rPr>
          <w:b/>
          <w:sz w:val="20"/>
          <w:szCs w:val="20"/>
        </w:rPr>
        <w:t xml:space="preserve"> Dynamics, 1964 to 2014. </w:t>
      </w:r>
      <w:r w:rsidR="00C270F1" w:rsidRPr="00E65AA7">
        <w:rPr>
          <w:noProof/>
          <w:sz w:val="20"/>
          <w:szCs w:val="20"/>
        </w:rPr>
        <w:t xml:space="preserve">In each month </w:t>
      </w:r>
      <w:r w:rsidR="004E2A76" w:rsidRPr="00E65AA7">
        <w:rPr>
          <w:i/>
          <w:noProof/>
          <w:sz w:val="20"/>
          <w:szCs w:val="20"/>
        </w:rPr>
        <w:t>t</w:t>
      </w:r>
      <w:r w:rsidR="00C270F1" w:rsidRPr="00E65AA7">
        <w:rPr>
          <w:noProof/>
          <w:sz w:val="20"/>
          <w:szCs w:val="20"/>
        </w:rPr>
        <w:t>, we form decile portfolios according to</w:t>
      </w:r>
      <w:r w:rsidR="001B253D" w:rsidRPr="00E65AA7">
        <w:rPr>
          <w:noProof/>
          <w:sz w:val="20"/>
          <w:szCs w:val="20"/>
        </w:rPr>
        <w:t xml:space="preserve"> the NYSE breakpoints of </w:t>
      </w:r>
      <w:r w:rsidR="003100AA" w:rsidRPr="00E65AA7">
        <w:rPr>
          <w:noProof/>
          <w:sz w:val="20"/>
          <w:szCs w:val="20"/>
        </w:rPr>
        <w:t xml:space="preserve">volatility, </w:t>
      </w:r>
      <w:r w:rsidR="00C270F1" w:rsidRPr="00E65AA7">
        <w:rPr>
          <w:noProof/>
          <w:sz w:val="20"/>
          <w:szCs w:val="20"/>
        </w:rPr>
        <w:t xml:space="preserve">age, </w:t>
      </w:r>
      <w:r w:rsidR="001B253D" w:rsidRPr="00E65AA7">
        <w:rPr>
          <w:noProof/>
          <w:sz w:val="20"/>
          <w:szCs w:val="20"/>
        </w:rPr>
        <w:t xml:space="preserve">market </w:t>
      </w:r>
      <w:r w:rsidR="003100AA" w:rsidRPr="00E65AA7">
        <w:rPr>
          <w:noProof/>
          <w:sz w:val="20"/>
          <w:szCs w:val="20"/>
        </w:rPr>
        <w:t>equity (ME),</w:t>
      </w:r>
      <w:r w:rsidR="00C270F1" w:rsidRPr="00E65AA7">
        <w:rPr>
          <w:noProof/>
          <w:sz w:val="20"/>
          <w:szCs w:val="20"/>
        </w:rPr>
        <w:t xml:space="preserve"> earnings to book ratio for profitable firms (E+/BE), dividend-book ratio for dividend payers (D/BE), fixed assets (PPE/A), and research and development (RD/A) expenses.</w:t>
      </w:r>
      <w:r w:rsidR="00C270F1" w:rsidRPr="00E65AA7">
        <w:rPr>
          <w:sz w:val="20"/>
          <w:szCs w:val="20"/>
        </w:rPr>
        <w:t xml:space="preserve"> </w:t>
      </w:r>
      <w:r w:rsidR="00016A8C" w:rsidRPr="00E65AA7">
        <w:rPr>
          <w:sz w:val="20"/>
          <w:szCs w:val="20"/>
        </w:rPr>
        <w:t xml:space="preserve">We also calculate portfolio returns of unprofitable firms, non-dividend paying firms, zero PP&amp;E firms, and firms with zero R&amp;D expenses. The </w:t>
      </w:r>
      <w:r w:rsidR="00E803A3" w:rsidRPr="00E65AA7">
        <w:rPr>
          <w:sz w:val="20"/>
          <w:szCs w:val="20"/>
        </w:rPr>
        <w:t>black (grey)</w:t>
      </w:r>
      <w:r w:rsidR="00016A8C" w:rsidRPr="00E65AA7">
        <w:rPr>
          <w:sz w:val="20"/>
          <w:szCs w:val="20"/>
        </w:rPr>
        <w:t xml:space="preserve"> bars are returns </w:t>
      </w:r>
      <w:r w:rsidR="00E803A3" w:rsidRPr="00E65AA7">
        <w:rPr>
          <w:sz w:val="20"/>
          <w:szCs w:val="20"/>
        </w:rPr>
        <w:t xml:space="preserve">in </w:t>
      </w:r>
      <w:r w:rsidR="007B5FA9" w:rsidRPr="00E65AA7">
        <w:rPr>
          <w:sz w:val="20"/>
          <w:szCs w:val="20"/>
        </w:rPr>
        <w:t>H/H</w:t>
      </w:r>
      <w:r w:rsidR="00016A8C" w:rsidRPr="00E65AA7">
        <w:rPr>
          <w:sz w:val="20"/>
          <w:szCs w:val="20"/>
        </w:rPr>
        <w:t xml:space="preserve"> (</w:t>
      </w:r>
      <w:r w:rsidR="007B5FA9" w:rsidRPr="00E65AA7">
        <w:rPr>
          <w:sz w:val="20"/>
          <w:szCs w:val="20"/>
        </w:rPr>
        <w:t>H/L</w:t>
      </w:r>
      <w:r w:rsidR="00016A8C" w:rsidRPr="00E65AA7">
        <w:rPr>
          <w:sz w:val="20"/>
          <w:szCs w:val="20"/>
        </w:rPr>
        <w:t>) sentiment states.</w:t>
      </w:r>
      <w:r w:rsidR="00866173" w:rsidRPr="00E65AA7">
        <w:rPr>
          <w:sz w:val="20"/>
          <w:szCs w:val="20"/>
        </w:rPr>
        <w:t xml:space="preserve"> The red (green) bars are returns in </w:t>
      </w:r>
      <w:r w:rsidR="007B5FA9" w:rsidRPr="00E65AA7">
        <w:rPr>
          <w:sz w:val="20"/>
          <w:szCs w:val="20"/>
        </w:rPr>
        <w:t>L/H</w:t>
      </w:r>
      <w:r w:rsidR="00866173" w:rsidRPr="00E65AA7">
        <w:rPr>
          <w:sz w:val="20"/>
          <w:szCs w:val="20"/>
        </w:rPr>
        <w:t xml:space="preserve"> (</w:t>
      </w:r>
      <w:r w:rsidR="007B5FA9" w:rsidRPr="00E65AA7">
        <w:rPr>
          <w:sz w:val="20"/>
          <w:szCs w:val="20"/>
        </w:rPr>
        <w:t>L/L</w:t>
      </w:r>
      <w:r w:rsidR="00866173" w:rsidRPr="00E65AA7">
        <w:rPr>
          <w:sz w:val="20"/>
          <w:szCs w:val="20"/>
        </w:rPr>
        <w:t>) sentiment states.</w:t>
      </w:r>
      <w:r w:rsidR="0015208F" w:rsidRPr="00E65AA7">
        <w:rPr>
          <w:sz w:val="20"/>
          <w:szCs w:val="20"/>
        </w:rPr>
        <w:t xml:space="preserve"> </w:t>
      </w:r>
      <w:r w:rsidR="00B47F6B" w:rsidRPr="00E65AA7">
        <w:rPr>
          <w:sz w:val="20"/>
          <w:szCs w:val="20"/>
        </w:rPr>
        <w:t xml:space="preserve">We define H/H (L/L) sentiment state if STM in month </w:t>
      </w:r>
      <w:r w:rsidR="00B47F6B" w:rsidRPr="00E65AA7">
        <w:rPr>
          <w:i/>
          <w:sz w:val="20"/>
          <w:szCs w:val="20"/>
        </w:rPr>
        <w:t>t-1</w:t>
      </w:r>
      <w:r w:rsidR="00B47F6B" w:rsidRPr="00E65AA7">
        <w:rPr>
          <w:sz w:val="20"/>
          <w:szCs w:val="20"/>
        </w:rPr>
        <w:t xml:space="preserve"> and ▲STM in month </w:t>
      </w:r>
      <w:r w:rsidR="00B47F6B" w:rsidRPr="00E65AA7">
        <w:rPr>
          <w:i/>
          <w:sz w:val="20"/>
          <w:szCs w:val="20"/>
        </w:rPr>
        <w:t>t</w:t>
      </w:r>
      <w:r w:rsidR="00B47F6B" w:rsidRPr="00E65AA7">
        <w:rPr>
          <w:sz w:val="20"/>
          <w:szCs w:val="20"/>
        </w:rPr>
        <w:t xml:space="preserve"> are positive (negative). Furthermore, we classify H/L (L/H) sentiment state if STM in month </w:t>
      </w:r>
      <w:r w:rsidR="00B47F6B" w:rsidRPr="00E65AA7">
        <w:rPr>
          <w:i/>
          <w:sz w:val="20"/>
          <w:szCs w:val="20"/>
        </w:rPr>
        <w:t>t</w:t>
      </w:r>
      <w:r w:rsidR="00B47F6B" w:rsidRPr="00E65AA7">
        <w:rPr>
          <w:sz w:val="20"/>
          <w:szCs w:val="20"/>
        </w:rPr>
        <w:t xml:space="preserve">-1 is positive (negative) and ▲STM in month </w:t>
      </w:r>
      <w:r w:rsidR="00B47F6B" w:rsidRPr="00E65AA7">
        <w:rPr>
          <w:i/>
          <w:sz w:val="20"/>
          <w:szCs w:val="20"/>
        </w:rPr>
        <w:t>t</w:t>
      </w:r>
      <w:r w:rsidR="00B47F6B" w:rsidRPr="00E65AA7">
        <w:rPr>
          <w:sz w:val="20"/>
          <w:szCs w:val="20"/>
        </w:rPr>
        <w:t xml:space="preserve"> is negative (positive).</w:t>
      </w:r>
    </w:p>
    <w:tbl>
      <w:tblPr>
        <w:tblStyle w:val="TableGrid"/>
        <w:tblW w:w="15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1"/>
        <w:gridCol w:w="3891"/>
        <w:gridCol w:w="3891"/>
        <w:gridCol w:w="3891"/>
      </w:tblGrid>
      <w:tr w:rsidR="008A43FF" w:rsidRPr="00E65AA7" w14:paraId="39E8346D" w14:textId="77777777" w:rsidTr="00F721E0">
        <w:trPr>
          <w:trHeight w:hRule="exact" w:val="3953"/>
        </w:trPr>
        <w:tc>
          <w:tcPr>
            <w:tcW w:w="3891" w:type="dxa"/>
          </w:tcPr>
          <w:p w14:paraId="0B529C46" w14:textId="30D20155" w:rsidR="008A43FF" w:rsidRPr="00E65AA7" w:rsidRDefault="00E90889" w:rsidP="00411CFC">
            <w:pPr>
              <w:spacing w:after="120"/>
              <w:jc w:val="both"/>
              <w:rPr>
                <w:rFonts w:eastAsia="Times New Roman"/>
                <w:b/>
                <w:bCs/>
                <w:noProof/>
                <w:lang w:eastAsia="en-AU"/>
              </w:rPr>
            </w:pPr>
            <w:r>
              <w:rPr>
                <w:rFonts w:ascii="Arial" w:hAnsi="Arial" w:cs="Arial"/>
                <w:noProof/>
                <w:color w:val="000000"/>
              </w:rPr>
              <w:drawing>
                <wp:inline distT="0" distB="0" distL="0" distR="0" wp14:anchorId="052D8AEF" wp14:editId="10BCA146">
                  <wp:extent cx="2590800" cy="2505075"/>
                  <wp:effectExtent l="0" t="0" r="0" b="9525"/>
                  <wp:docPr id="3" name="Picture 3"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of mark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505075"/>
                          </a:xfrm>
                          <a:prstGeom prst="rect">
                            <a:avLst/>
                          </a:prstGeom>
                          <a:noFill/>
                          <a:ln>
                            <a:noFill/>
                          </a:ln>
                        </pic:spPr>
                      </pic:pic>
                    </a:graphicData>
                  </a:graphic>
                </wp:inline>
              </w:drawing>
            </w:r>
          </w:p>
        </w:tc>
        <w:tc>
          <w:tcPr>
            <w:tcW w:w="3891" w:type="dxa"/>
          </w:tcPr>
          <w:p w14:paraId="7B41EBE3" w14:textId="3F0B68DD" w:rsidR="008A43FF" w:rsidRPr="00E65AA7" w:rsidRDefault="007D3CB0" w:rsidP="00411CFC">
            <w:pPr>
              <w:spacing w:after="120"/>
              <w:jc w:val="both"/>
              <w:rPr>
                <w:rFonts w:eastAsia="Times New Roman"/>
                <w:b/>
                <w:bCs/>
                <w:noProof/>
                <w:lang w:eastAsia="en-AU"/>
              </w:rPr>
            </w:pPr>
            <w:r>
              <w:rPr>
                <w:rFonts w:ascii="Arial" w:hAnsi="Arial" w:cs="Arial"/>
                <w:noProof/>
                <w:color w:val="000000"/>
                <w:lang w:val="en-MY" w:eastAsia="en-MY"/>
              </w:rPr>
              <w:drawing>
                <wp:inline distT="0" distB="0" distL="0" distR="0" wp14:anchorId="42F2D7CE" wp14:editId="25472752">
                  <wp:extent cx="2352675" cy="2505075"/>
                  <wp:effectExtent l="0" t="0" r="9525" b="9525"/>
                  <wp:docPr id="1" name="Picture 1"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of mar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505075"/>
                          </a:xfrm>
                          <a:prstGeom prst="rect">
                            <a:avLst/>
                          </a:prstGeom>
                          <a:noFill/>
                          <a:ln>
                            <a:noFill/>
                          </a:ln>
                        </pic:spPr>
                      </pic:pic>
                    </a:graphicData>
                  </a:graphic>
                </wp:inline>
              </w:drawing>
            </w:r>
          </w:p>
        </w:tc>
        <w:tc>
          <w:tcPr>
            <w:tcW w:w="3891" w:type="dxa"/>
          </w:tcPr>
          <w:p w14:paraId="2B036817" w14:textId="4F6FBE2F" w:rsidR="008A43FF" w:rsidRPr="00E65AA7" w:rsidRDefault="00B82FDD" w:rsidP="00411CFC">
            <w:pPr>
              <w:spacing w:after="120"/>
              <w:jc w:val="both"/>
              <w:rPr>
                <w:rFonts w:eastAsia="Times New Roman"/>
                <w:b/>
                <w:bCs/>
                <w:noProof/>
                <w:lang w:eastAsia="en-AU"/>
              </w:rPr>
            </w:pPr>
            <w:r>
              <w:rPr>
                <w:rFonts w:ascii="Arial" w:hAnsi="Arial" w:cs="Arial"/>
                <w:noProof/>
                <w:color w:val="000000"/>
                <w:lang w:val="en-MY" w:eastAsia="en-MY"/>
              </w:rPr>
              <w:drawing>
                <wp:inline distT="0" distB="0" distL="0" distR="0" wp14:anchorId="5A0F8523" wp14:editId="7944BA19">
                  <wp:extent cx="2352675" cy="2514600"/>
                  <wp:effectExtent l="0" t="0" r="9525" b="0"/>
                  <wp:docPr id="12" name="Picture 12"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 chart of mar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2514600"/>
                          </a:xfrm>
                          <a:prstGeom prst="rect">
                            <a:avLst/>
                          </a:prstGeom>
                          <a:noFill/>
                          <a:ln>
                            <a:noFill/>
                          </a:ln>
                        </pic:spPr>
                      </pic:pic>
                    </a:graphicData>
                  </a:graphic>
                </wp:inline>
              </w:drawing>
            </w:r>
          </w:p>
        </w:tc>
        <w:tc>
          <w:tcPr>
            <w:tcW w:w="3891" w:type="dxa"/>
          </w:tcPr>
          <w:p w14:paraId="3CBD0150" w14:textId="0380416A" w:rsidR="008A43FF" w:rsidRPr="00E65AA7" w:rsidRDefault="003F0260" w:rsidP="00411CFC">
            <w:pPr>
              <w:spacing w:after="120"/>
              <w:jc w:val="both"/>
              <w:rPr>
                <w:rFonts w:eastAsia="Times New Roman"/>
                <w:b/>
                <w:bCs/>
                <w:noProof/>
                <w:lang w:eastAsia="en-AU"/>
              </w:rPr>
            </w:pPr>
            <w:r>
              <w:rPr>
                <w:rFonts w:ascii="Arial" w:hAnsi="Arial" w:cs="Arial"/>
                <w:noProof/>
                <w:color w:val="000000"/>
                <w:lang w:val="en-MY" w:eastAsia="en-MY"/>
              </w:rPr>
              <w:drawing>
                <wp:inline distT="0" distB="0" distL="0" distR="0" wp14:anchorId="116DFB59" wp14:editId="22934DFC">
                  <wp:extent cx="2352675" cy="2505075"/>
                  <wp:effectExtent l="0" t="0" r="9525" b="9525"/>
                  <wp:docPr id="4" name="Picture 4"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 chart of mar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2505075"/>
                          </a:xfrm>
                          <a:prstGeom prst="rect">
                            <a:avLst/>
                          </a:prstGeom>
                          <a:noFill/>
                          <a:ln>
                            <a:noFill/>
                          </a:ln>
                        </pic:spPr>
                      </pic:pic>
                    </a:graphicData>
                  </a:graphic>
                </wp:inline>
              </w:drawing>
            </w:r>
          </w:p>
        </w:tc>
      </w:tr>
      <w:tr w:rsidR="008A43FF" w:rsidRPr="009000B3" w14:paraId="68425A13" w14:textId="77777777" w:rsidTr="00F721E0">
        <w:trPr>
          <w:trHeight w:hRule="exact" w:val="3953"/>
        </w:trPr>
        <w:tc>
          <w:tcPr>
            <w:tcW w:w="3891" w:type="dxa"/>
          </w:tcPr>
          <w:p w14:paraId="1C3015B0" w14:textId="4B1CA7CC" w:rsidR="008A43FF" w:rsidRPr="00E65AA7" w:rsidRDefault="0028155C" w:rsidP="00411CFC">
            <w:pPr>
              <w:spacing w:after="120"/>
              <w:jc w:val="both"/>
              <w:rPr>
                <w:rFonts w:eastAsia="Times New Roman"/>
                <w:b/>
                <w:bCs/>
                <w:noProof/>
                <w:lang w:eastAsia="en-AU"/>
              </w:rPr>
            </w:pPr>
            <w:r>
              <w:rPr>
                <w:rFonts w:ascii="Arial" w:hAnsi="Arial" w:cs="Arial"/>
                <w:noProof/>
                <w:color w:val="000000"/>
                <w:lang w:val="en-MY" w:eastAsia="en-MY"/>
              </w:rPr>
              <w:drawing>
                <wp:inline distT="0" distB="0" distL="0" distR="0" wp14:anchorId="0FFFB817" wp14:editId="280CABC2">
                  <wp:extent cx="2343150" cy="2505075"/>
                  <wp:effectExtent l="0" t="0" r="0" b="9525"/>
                  <wp:docPr id="6" name="Picture 6"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 chart of mar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05075"/>
                          </a:xfrm>
                          <a:prstGeom prst="rect">
                            <a:avLst/>
                          </a:prstGeom>
                          <a:noFill/>
                          <a:ln>
                            <a:noFill/>
                          </a:ln>
                        </pic:spPr>
                      </pic:pic>
                    </a:graphicData>
                  </a:graphic>
                </wp:inline>
              </w:drawing>
            </w:r>
          </w:p>
        </w:tc>
        <w:tc>
          <w:tcPr>
            <w:tcW w:w="3891" w:type="dxa"/>
          </w:tcPr>
          <w:p w14:paraId="7BBCBD7A" w14:textId="1B272C17" w:rsidR="008A43FF" w:rsidRPr="00E65AA7" w:rsidRDefault="00A5660F" w:rsidP="00411CFC">
            <w:pPr>
              <w:spacing w:after="120"/>
              <w:jc w:val="both"/>
              <w:rPr>
                <w:rFonts w:eastAsia="Times New Roman"/>
                <w:b/>
                <w:bCs/>
                <w:noProof/>
                <w:lang w:eastAsia="en-AU"/>
              </w:rPr>
            </w:pPr>
            <w:r>
              <w:rPr>
                <w:rFonts w:ascii="Arial" w:hAnsi="Arial" w:cs="Arial"/>
                <w:noProof/>
                <w:color w:val="000000"/>
                <w:lang w:val="en-MY" w:eastAsia="en-MY"/>
              </w:rPr>
              <w:drawing>
                <wp:inline distT="0" distB="0" distL="0" distR="0" wp14:anchorId="2321DA82" wp14:editId="6A210DE7">
                  <wp:extent cx="2352675" cy="2495550"/>
                  <wp:effectExtent l="0" t="0" r="9525" b="0"/>
                  <wp:docPr id="8" name="Picture 8"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 chart of mark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2675" cy="2495550"/>
                          </a:xfrm>
                          <a:prstGeom prst="rect">
                            <a:avLst/>
                          </a:prstGeom>
                          <a:noFill/>
                          <a:ln>
                            <a:noFill/>
                          </a:ln>
                        </pic:spPr>
                      </pic:pic>
                    </a:graphicData>
                  </a:graphic>
                </wp:inline>
              </w:drawing>
            </w:r>
          </w:p>
        </w:tc>
        <w:tc>
          <w:tcPr>
            <w:tcW w:w="3891" w:type="dxa"/>
          </w:tcPr>
          <w:p w14:paraId="0F8922A4" w14:textId="4B7CF22C" w:rsidR="00866A43" w:rsidRPr="00866A43" w:rsidRDefault="00AA39B2" w:rsidP="00866A43">
            <w:pPr>
              <w:rPr>
                <w:rFonts w:eastAsia="Times New Roman"/>
                <w:lang w:eastAsia="en-AU"/>
              </w:rPr>
            </w:pPr>
            <w:r>
              <w:rPr>
                <w:rFonts w:ascii="Arial" w:hAnsi="Arial" w:cs="Arial"/>
                <w:noProof/>
                <w:color w:val="000000"/>
                <w:lang w:val="en-MY" w:eastAsia="en-MY"/>
              </w:rPr>
              <w:drawing>
                <wp:inline distT="0" distB="0" distL="0" distR="0" wp14:anchorId="47EFE79A" wp14:editId="2889C4CB">
                  <wp:extent cx="2362200" cy="2495550"/>
                  <wp:effectExtent l="0" t="0" r="0" b="0"/>
                  <wp:docPr id="10" name="Picture 10" descr="Bar chart of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 chart of mark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0" cy="2495550"/>
                          </a:xfrm>
                          <a:prstGeom prst="rect">
                            <a:avLst/>
                          </a:prstGeom>
                          <a:noFill/>
                          <a:ln>
                            <a:noFill/>
                          </a:ln>
                        </pic:spPr>
                      </pic:pic>
                    </a:graphicData>
                  </a:graphic>
                </wp:inline>
              </w:drawing>
            </w:r>
          </w:p>
          <w:p w14:paraId="4E5F6DF7" w14:textId="77777777" w:rsidR="00866A43" w:rsidRPr="00866A43" w:rsidRDefault="00866A43" w:rsidP="00866A43">
            <w:pPr>
              <w:rPr>
                <w:rFonts w:eastAsia="Times New Roman"/>
                <w:lang w:eastAsia="en-AU"/>
              </w:rPr>
            </w:pPr>
          </w:p>
          <w:p w14:paraId="33484724" w14:textId="77777777" w:rsidR="00866A43" w:rsidRPr="00866A43" w:rsidRDefault="00866A43" w:rsidP="00866A43">
            <w:pPr>
              <w:rPr>
                <w:rFonts w:eastAsia="Times New Roman"/>
                <w:lang w:eastAsia="en-AU"/>
              </w:rPr>
            </w:pPr>
          </w:p>
          <w:p w14:paraId="3F68CB75" w14:textId="77777777" w:rsidR="00866A43" w:rsidRPr="00866A43" w:rsidRDefault="00866A43" w:rsidP="00866A43">
            <w:pPr>
              <w:rPr>
                <w:rFonts w:eastAsia="Times New Roman"/>
                <w:lang w:eastAsia="en-AU"/>
              </w:rPr>
            </w:pPr>
          </w:p>
          <w:p w14:paraId="12F008FD" w14:textId="77777777" w:rsidR="00866A43" w:rsidRPr="00866A43" w:rsidRDefault="00866A43" w:rsidP="00866A43">
            <w:pPr>
              <w:rPr>
                <w:rFonts w:eastAsia="Times New Roman"/>
                <w:lang w:eastAsia="en-AU"/>
              </w:rPr>
            </w:pPr>
          </w:p>
          <w:p w14:paraId="0F83921A" w14:textId="77777777" w:rsidR="00866A43" w:rsidRPr="00866A43" w:rsidRDefault="00866A43" w:rsidP="00866A43">
            <w:pPr>
              <w:rPr>
                <w:rFonts w:eastAsia="Times New Roman"/>
                <w:lang w:eastAsia="en-AU"/>
              </w:rPr>
            </w:pPr>
          </w:p>
          <w:p w14:paraId="25BC8AF6" w14:textId="77777777" w:rsidR="00866A43" w:rsidRPr="00866A43" w:rsidRDefault="00866A43" w:rsidP="00866A43">
            <w:pPr>
              <w:rPr>
                <w:rFonts w:eastAsia="Times New Roman"/>
                <w:lang w:eastAsia="en-AU"/>
              </w:rPr>
            </w:pPr>
          </w:p>
          <w:p w14:paraId="221107C7" w14:textId="77777777" w:rsidR="00866A43" w:rsidRPr="00866A43" w:rsidRDefault="00866A43" w:rsidP="00866A43">
            <w:pPr>
              <w:rPr>
                <w:rFonts w:eastAsia="Times New Roman"/>
                <w:lang w:eastAsia="en-AU"/>
              </w:rPr>
            </w:pPr>
          </w:p>
          <w:p w14:paraId="581CF69C" w14:textId="77777777" w:rsidR="00866A43" w:rsidRPr="00866A43" w:rsidRDefault="00866A43" w:rsidP="00866A43">
            <w:pPr>
              <w:rPr>
                <w:rFonts w:eastAsia="Times New Roman"/>
                <w:lang w:eastAsia="en-AU"/>
              </w:rPr>
            </w:pPr>
          </w:p>
          <w:p w14:paraId="75B05AB0" w14:textId="77777777" w:rsidR="00866A43" w:rsidRPr="00866A43" w:rsidRDefault="00866A43" w:rsidP="00866A43">
            <w:pPr>
              <w:rPr>
                <w:rFonts w:eastAsia="Times New Roman"/>
                <w:lang w:eastAsia="en-AU"/>
              </w:rPr>
            </w:pPr>
          </w:p>
          <w:p w14:paraId="0C0D92AA" w14:textId="2E48E8FD" w:rsidR="00866A43" w:rsidRDefault="00866A43" w:rsidP="00866A43">
            <w:pPr>
              <w:rPr>
                <w:rFonts w:eastAsia="Times New Roman"/>
                <w:lang w:eastAsia="en-AU"/>
              </w:rPr>
            </w:pPr>
          </w:p>
          <w:p w14:paraId="3E1EEDC7" w14:textId="77777777" w:rsidR="008A43FF" w:rsidRPr="00866A43" w:rsidRDefault="008A43FF" w:rsidP="00866A43">
            <w:pPr>
              <w:ind w:firstLine="720"/>
              <w:rPr>
                <w:rFonts w:eastAsia="Times New Roman"/>
                <w:lang w:eastAsia="en-AU"/>
              </w:rPr>
            </w:pPr>
          </w:p>
        </w:tc>
        <w:tc>
          <w:tcPr>
            <w:tcW w:w="3891" w:type="dxa"/>
          </w:tcPr>
          <w:p w14:paraId="1A8E82F3" w14:textId="77777777" w:rsidR="008A43FF" w:rsidRPr="009000B3" w:rsidRDefault="008A43FF" w:rsidP="00411CFC">
            <w:pPr>
              <w:spacing w:after="120"/>
              <w:jc w:val="both"/>
              <w:rPr>
                <w:rFonts w:eastAsia="Times New Roman"/>
                <w:b/>
                <w:bCs/>
                <w:noProof/>
                <w:lang w:eastAsia="en-AU"/>
              </w:rPr>
            </w:pPr>
          </w:p>
        </w:tc>
      </w:tr>
    </w:tbl>
    <w:p w14:paraId="01D5E58E" w14:textId="5D1330B9" w:rsidR="00441F14" w:rsidRPr="009000B3" w:rsidRDefault="00441F14" w:rsidP="00F721E0">
      <w:pPr>
        <w:spacing w:after="120"/>
        <w:jc w:val="both"/>
        <w:rPr>
          <w:rFonts w:eastAsia="Times New Roman"/>
          <w:b/>
          <w:bCs/>
          <w:noProof/>
          <w:szCs w:val="20"/>
          <w:lang w:eastAsia="en-AU"/>
        </w:rPr>
      </w:pPr>
    </w:p>
    <w:sectPr w:rsidR="00441F14" w:rsidRPr="009000B3" w:rsidSect="0003791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9057" w14:textId="77777777" w:rsidR="00D22527" w:rsidRDefault="00D22527" w:rsidP="00F64758">
      <w:r>
        <w:separator/>
      </w:r>
    </w:p>
  </w:endnote>
  <w:endnote w:type="continuationSeparator" w:id="0">
    <w:p w14:paraId="6564DF07" w14:textId="77777777" w:rsidR="00D22527" w:rsidRDefault="00D22527" w:rsidP="00F6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629313"/>
      <w:docPartObj>
        <w:docPartGallery w:val="Page Numbers (Bottom of Page)"/>
        <w:docPartUnique/>
      </w:docPartObj>
    </w:sdtPr>
    <w:sdtEndPr>
      <w:rPr>
        <w:noProof/>
      </w:rPr>
    </w:sdtEndPr>
    <w:sdtContent>
      <w:p w14:paraId="1953D4FB" w14:textId="0E5364FE" w:rsidR="00251DF7" w:rsidRDefault="00251D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20462D" w14:textId="77777777" w:rsidR="00251DF7" w:rsidRDefault="0025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EC15" w14:textId="77777777" w:rsidR="00D22527" w:rsidRDefault="00D22527" w:rsidP="00F64758">
      <w:r>
        <w:separator/>
      </w:r>
    </w:p>
  </w:footnote>
  <w:footnote w:type="continuationSeparator" w:id="0">
    <w:p w14:paraId="073F9A55" w14:textId="77777777" w:rsidR="00D22527" w:rsidRDefault="00D22527" w:rsidP="00F64758">
      <w:r>
        <w:continuationSeparator/>
      </w:r>
    </w:p>
  </w:footnote>
  <w:footnote w:id="1">
    <w:p w14:paraId="069E0489" w14:textId="1CA735C3" w:rsidR="00251DF7" w:rsidRPr="00CE3DE8" w:rsidRDefault="00251DF7">
      <w:pPr>
        <w:pStyle w:val="FootnoteText"/>
        <w:rPr>
          <w:lang w:val="en-MY"/>
        </w:rPr>
      </w:pPr>
      <w:r>
        <w:rPr>
          <w:rStyle w:val="FootnoteReference"/>
        </w:rPr>
        <w:footnoteRef/>
      </w:r>
      <w:r>
        <w:t xml:space="preserve"> </w:t>
      </w:r>
      <w:hyperlink w:anchor="_ENREF_6" w:tooltip="Bali, 2011 #460" w:history="1">
        <w:r>
          <w:fldChar w:fldCharType="begin"/>
        </w:r>
        <w:r>
          <w:instrText xml:space="preserve"> ADDIN EN.CITE &lt;EndNote&gt;&lt;Cite AuthorYear="1"&gt;&lt;Author&gt;Bali&lt;/Author&gt;&lt;Year&gt;2011&lt;/Year&gt;&lt;RecNum&gt;460&lt;/RecNum&gt;&lt;DisplayText&gt;Bali, Cakici, and Whitelaw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fldChar w:fldCharType="separate"/>
        </w:r>
        <w:r>
          <w:rPr>
            <w:noProof/>
          </w:rPr>
          <w:t>Bali, Cakici, and Whitelaw (2011)</w:t>
        </w:r>
        <w:r>
          <w:fldChar w:fldCharType="end"/>
        </w:r>
      </w:hyperlink>
      <w:r>
        <w:t xml:space="preserve"> </w:t>
      </w:r>
      <w:r>
        <w:rPr>
          <w:rFonts w:eastAsia="SimSun"/>
          <w:noProof/>
        </w:rPr>
        <w:t xml:space="preserve">discover a new anomaly “MAX effect” where </w:t>
      </w:r>
      <w:r w:rsidRPr="00FA0978">
        <w:rPr>
          <w:rFonts w:eastAsia="SimSun"/>
          <w:noProof/>
        </w:rPr>
        <w:t xml:space="preserve">stocks with </w:t>
      </w:r>
      <w:r>
        <w:rPr>
          <w:rFonts w:eastAsia="SimSun"/>
          <w:noProof/>
        </w:rPr>
        <w:t xml:space="preserve">the </w:t>
      </w:r>
      <w:r w:rsidRPr="00FA0978">
        <w:rPr>
          <w:rFonts w:eastAsia="SimSun"/>
          <w:noProof/>
        </w:rPr>
        <w:t>high</w:t>
      </w:r>
      <w:r>
        <w:rPr>
          <w:rFonts w:eastAsia="SimSun"/>
          <w:noProof/>
        </w:rPr>
        <w:t>est</w:t>
      </w:r>
      <w:r w:rsidRPr="00FA0978">
        <w:rPr>
          <w:rFonts w:eastAsia="SimSun"/>
          <w:noProof/>
        </w:rPr>
        <w:t xml:space="preserve"> maximum </w:t>
      </w:r>
      <w:r>
        <w:rPr>
          <w:rFonts w:eastAsia="SimSun"/>
          <w:noProof/>
        </w:rPr>
        <w:t xml:space="preserve">daily </w:t>
      </w:r>
      <w:r w:rsidRPr="00FA0978">
        <w:rPr>
          <w:rFonts w:eastAsia="SimSun"/>
          <w:noProof/>
        </w:rPr>
        <w:t xml:space="preserve">returns (MAX) </w:t>
      </w:r>
      <w:r>
        <w:rPr>
          <w:rFonts w:eastAsia="SimSun"/>
          <w:noProof/>
        </w:rPr>
        <w:t xml:space="preserve">underperform stocks with the </w:t>
      </w:r>
      <w:r w:rsidRPr="00FA0978">
        <w:rPr>
          <w:rFonts w:eastAsia="SimSun"/>
          <w:noProof/>
        </w:rPr>
        <w:t xml:space="preserve">lowest MAX </w:t>
      </w:r>
      <w:r>
        <w:rPr>
          <w:rFonts w:eastAsia="SimSun"/>
          <w:noProof/>
        </w:rPr>
        <w:t>in the subsequent month.</w:t>
      </w:r>
    </w:p>
  </w:footnote>
  <w:footnote w:id="2">
    <w:p w14:paraId="75496210" w14:textId="05A3DE17" w:rsidR="00251DF7" w:rsidRPr="00E74AD1" w:rsidRDefault="00251DF7" w:rsidP="00AA017C">
      <w:pPr>
        <w:pStyle w:val="FootnoteText"/>
        <w:rPr>
          <w:lang w:val="en-MY"/>
        </w:rPr>
      </w:pPr>
      <w:r>
        <w:rPr>
          <w:rStyle w:val="FootnoteReference"/>
        </w:rPr>
        <w:footnoteRef/>
      </w:r>
      <w:r>
        <w:t xml:space="preserve"> </w:t>
      </w:r>
      <w:r>
        <w:rPr>
          <w:lang w:val="en-MY"/>
        </w:rPr>
        <w:t xml:space="preserve">Studies that provide the theoretical support on the contrarian prediction of investor sentiment include </w:t>
      </w:r>
      <w:hyperlink w:anchor="_ENREF_7" w:tooltip="Barberis, 1998 #4" w:history="1">
        <w:r>
          <w:rPr>
            <w:lang w:val="en-MY"/>
          </w:rPr>
          <w:fldChar w:fldCharType="begin"/>
        </w:r>
        <w:r>
          <w:rPr>
            <w:lang w:val="en-MY"/>
          </w:rPr>
          <w:instrText xml:space="preserve"> ADDIN EN.CITE &lt;EndNote&gt;&lt;Cite AuthorYear="1"&gt;&lt;Author&gt;Barberis&lt;/Author&gt;&lt;Year&gt;1998&lt;/Year&gt;&lt;RecNum&gt;4&lt;/RecNum&gt;&lt;DisplayText&gt;Barberis, Shleifer, and Vishny (1998)&lt;/DisplayText&gt;&lt;record&gt;&lt;rec-number&gt;4&lt;/rec-number&gt;&lt;foreign-keys&gt;&lt;key app="EN" db-id="vafzs99fq0ew0seasdvvtxzufavxfwxtx2tr" timestamp="0"&gt;4&lt;/key&gt;&lt;/foreign-keys&gt;&lt;ref-type name="Journal Article"&gt;17&lt;/ref-type&gt;&lt;contributors&gt;&lt;authors&gt;&lt;author&gt;Barberis, N.&lt;/author&gt;&lt;author&gt;Shleifer, A.&lt;/author&gt;&lt;author&gt;Vishny, R.&lt;/author&gt;&lt;/authors&gt;&lt;/contributors&gt;&lt;titles&gt;&lt;title&gt;A model of investor sentiment&lt;/title&gt;&lt;secondary-title&gt;Journal of Financial Economics&lt;/secondary-title&gt;&lt;/titles&gt;&lt;periodical&gt;&lt;full-title&gt;Journal of Financial Economics&lt;/full-title&gt;&lt;/periodical&gt;&lt;pages&gt;307-343&lt;/pages&gt;&lt;volume&gt;49&lt;/volume&gt;&lt;number&gt;3&lt;/number&gt;&lt;dates&gt;&lt;year&gt;1998&lt;/year&gt;&lt;/dates&gt;&lt;isbn&gt;0304-405X&lt;/isbn&gt;&lt;urls&gt;&lt;/urls&gt;&lt;/record&gt;&lt;/Cite&gt;&lt;/EndNote&gt;</w:instrText>
        </w:r>
        <w:r>
          <w:rPr>
            <w:lang w:val="en-MY"/>
          </w:rPr>
          <w:fldChar w:fldCharType="separate"/>
        </w:r>
        <w:r>
          <w:rPr>
            <w:noProof/>
            <w:lang w:val="en-MY"/>
          </w:rPr>
          <w:t>Barberis, Shleifer, and Vishny (1998)</w:t>
        </w:r>
        <w:r>
          <w:rPr>
            <w:lang w:val="en-MY"/>
          </w:rPr>
          <w:fldChar w:fldCharType="end"/>
        </w:r>
      </w:hyperlink>
      <w:r>
        <w:rPr>
          <w:lang w:val="en-MY"/>
        </w:rPr>
        <w:t xml:space="preserve">, </w:t>
      </w:r>
      <w:hyperlink w:anchor="_ENREF_15" w:tooltip="De Long, 1990 #463" w:history="1">
        <w:r>
          <w:rPr>
            <w:lang w:val="en-MY"/>
          </w:rPr>
          <w:fldChar w:fldCharType="begin"/>
        </w:r>
        <w:r>
          <w:rPr>
            <w:lang w:val="en-MY"/>
          </w:rPr>
          <w:instrText xml:space="preserve"> ADDIN EN.CITE &lt;EndNote&gt;&lt;Cite AuthorYear="1"&gt;&lt;Author&gt;De Long&lt;/Author&gt;&lt;Year&gt;1990&lt;/Year&gt;&lt;RecNum&gt;463&lt;/RecNum&gt;&lt;DisplayText&gt;De Long et al. (1990)&lt;/DisplayText&gt;&lt;record&gt;&lt;rec-number&gt;463&lt;/rec-number&gt;&lt;foreign-keys&gt;&lt;key app="EN" db-id="vafzs99fq0ew0seasdvvtxzufavxfwxtx2tr" timestamp="1501384441"&gt;463&lt;/key&gt;&lt;/foreign-keys&gt;&lt;ref-type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J&lt;/author&gt;&lt;/authors&gt;&lt;/contributors&gt;&lt;titles&gt;&lt;title&gt;Noise trader risk in financial markets&lt;/title&gt;&lt;secondary-title&gt;Journal of political Economy&lt;/secondary-title&gt;&lt;/titles&gt;&lt;periodical&gt;&lt;full-title&gt;Journal of political Economy&lt;/full-title&gt;&lt;/periodical&gt;&lt;pages&gt;703-738&lt;/pages&gt;&lt;volume&gt;98&lt;/volume&gt;&lt;number&gt;4&lt;/number&gt;&lt;dates&gt;&lt;year&gt;1990&lt;/year&gt;&lt;/dates&gt;&lt;isbn&gt;0022-3808&lt;/isbn&gt;&lt;urls&gt;&lt;/urls&gt;&lt;/record&gt;&lt;/Cite&gt;&lt;/EndNote&gt;</w:instrText>
        </w:r>
        <w:r>
          <w:rPr>
            <w:lang w:val="en-MY"/>
          </w:rPr>
          <w:fldChar w:fldCharType="separate"/>
        </w:r>
        <w:r>
          <w:rPr>
            <w:noProof/>
            <w:lang w:val="en-MY"/>
          </w:rPr>
          <w:t>De Long et al. (1990)</w:t>
        </w:r>
        <w:r>
          <w:rPr>
            <w:lang w:val="en-MY"/>
          </w:rPr>
          <w:fldChar w:fldCharType="end"/>
        </w:r>
      </w:hyperlink>
      <w:r>
        <w:rPr>
          <w:lang w:val="en-MY"/>
        </w:rPr>
        <w:t xml:space="preserve"> and </w:t>
      </w:r>
      <w:hyperlink w:anchor="_ENREF_43" w:tooltip="Warther, 1995 #487" w:history="1">
        <w:r>
          <w:rPr>
            <w:lang w:val="en-MY"/>
          </w:rPr>
          <w:fldChar w:fldCharType="begin"/>
        </w:r>
        <w:r>
          <w:rPr>
            <w:lang w:val="en-MY"/>
          </w:rPr>
          <w:instrText xml:space="preserve"> ADDIN EN.CITE &lt;EndNote&gt;&lt;Cite AuthorYear="1"&gt;&lt;Author&gt;Warther&lt;/Author&gt;&lt;Year&gt;1995&lt;/Year&gt;&lt;RecNum&gt;487&lt;/RecNum&gt;&lt;DisplayText&gt;Warther (1995)&lt;/DisplayText&gt;&lt;record&gt;&lt;rec-number&gt;487&lt;/rec-number&gt;&lt;foreign-keys&gt;&lt;key app="EN" db-id="vafzs99fq0ew0seasdvvtxzufavxfwxtx2tr" timestamp="1502614208"&gt;487&lt;/key&gt;&lt;/foreign-keys&gt;&lt;ref-type name="Journal Article"&gt;17&lt;/ref-type&gt;&lt;contributors&gt;&lt;authors&gt;&lt;author&gt;Warther, Vincent A&lt;/author&gt;&lt;/authors&gt;&lt;/contributors&gt;&lt;titles&gt;&lt;title&gt;Aggregate mutual fund flows and security returns&lt;/title&gt;&lt;secondary-title&gt;Journal of financial economics&lt;/secondary-title&gt;&lt;/titles&gt;&lt;periodical&gt;&lt;full-title&gt;Journal of Financial Economics&lt;/full-title&gt;&lt;/periodical&gt;&lt;pages&gt;209-235&lt;/pages&gt;&lt;volume&gt;39&lt;/volume&gt;&lt;number&gt;2&lt;/number&gt;&lt;dates&gt;&lt;year&gt;1995&lt;/year&gt;&lt;/dates&gt;&lt;isbn&gt;0304-405X&lt;/isbn&gt;&lt;urls&gt;&lt;/urls&gt;&lt;/record&gt;&lt;/Cite&gt;&lt;/EndNote&gt;</w:instrText>
        </w:r>
        <w:r>
          <w:rPr>
            <w:lang w:val="en-MY"/>
          </w:rPr>
          <w:fldChar w:fldCharType="separate"/>
        </w:r>
        <w:r>
          <w:rPr>
            <w:noProof/>
            <w:lang w:val="en-MY"/>
          </w:rPr>
          <w:t>Warther (1995)</w:t>
        </w:r>
        <w:r>
          <w:rPr>
            <w:lang w:val="en-MY"/>
          </w:rPr>
          <w:fldChar w:fldCharType="end"/>
        </w:r>
      </w:hyperlink>
      <w:r>
        <w:rPr>
          <w:lang w:val="en-MY"/>
        </w:rPr>
        <w:t xml:space="preserve">. In contrast, there is little theoretical support available on the momentum predictability of investor sentiment except in China </w:t>
      </w:r>
      <w:r>
        <w:fldChar w:fldCharType="begin"/>
      </w:r>
      <w:r>
        <w:instrText xml:space="preserve"> ADDIN EN.CITE &lt;EndNote&gt;&lt;Cite&gt;&lt;Author&gt;Huang&lt;/Author&gt;&lt;Year&gt;2014&lt;/Year&gt;&lt;RecNum&gt;482&lt;/RecNum&gt;&lt;Prefix&gt;e.g. &lt;/Prefix&gt;&lt;DisplayText&gt;(e.g. Kling &amp;amp; Gao, 2008; Huang et al., 2014)&lt;/DisplayText&gt;&lt;record&gt;&lt;rec-number&gt;482&lt;/rec-number&gt;&lt;foreign-keys&gt;&lt;key app="EN" db-id="vafzs99fq0ew0seasdvvtxzufavxfwxtx2tr" timestamp="1502514993"&gt;482&lt;/key&gt;&lt;/foreign-keys&gt;&lt;ref-type name="Journal Article"&gt;17&lt;/ref-type&gt;&lt;contributors&gt;&lt;authors&gt;&lt;author&gt;Huang, Dashan&lt;/author&gt;&lt;author&gt;Jiang, Fuwei&lt;/author&gt;&lt;author&gt;Tu, Jun&lt;/author&gt;&lt;author&gt;Zhou, Guofu&lt;/author&gt;&lt;/authors&gt;&lt;/contributors&gt;&lt;titles&gt;&lt;title&gt;Investor sentiment aligned: A powerful predictor of stock returns&lt;/title&gt;&lt;secondary-title&gt;The Review of Financial Studies&lt;/secondary-title&gt;&lt;/titles&gt;&lt;periodical&gt;&lt;full-title&gt;The Review of Financial Studies&lt;/full-title&gt;&lt;/periodical&gt;&lt;pages&gt;791-837&lt;/pages&gt;&lt;volume&gt;28&lt;/volume&gt;&lt;number&gt;3&lt;/number&gt;&lt;dates&gt;&lt;year&gt;2014&lt;/year&gt;&lt;/dates&gt;&lt;isbn&gt;1465-7368&lt;/isbn&gt;&lt;urls&gt;&lt;/urls&gt;&lt;/record&gt;&lt;/Cite&gt;&lt;Cite&gt;&lt;Author&gt;Kling&lt;/Author&gt;&lt;Year&gt;2008&lt;/Year&gt;&lt;RecNum&gt;488&lt;/RecNum&gt;&lt;record&gt;&lt;rec-number&gt;488&lt;/rec-number&gt;&lt;foreign-keys&gt;&lt;key app="EN" db-id="vafzs99fq0ew0seasdvvtxzufavxfwxtx2tr" timestamp="1502614881"&gt;488&lt;/key&gt;&lt;/foreign-keys&gt;&lt;ref-type name="Journal Article"&gt;17&lt;/ref-type&gt;&lt;contributors&gt;&lt;authors&gt;&lt;author&gt;Kling, Gerhard&lt;/author&gt;&lt;author&gt;Gao, Lei&lt;/author&gt;&lt;/authors&gt;&lt;/contributors&gt;&lt;titles&gt;&lt;title&gt;Chinese institutional investors’ sentiment&lt;/title&gt;&lt;secondary-title&gt;Journal of International Financial Markets, Institutions and Money&lt;/secondary-title&gt;&lt;/titles&gt;&lt;periodical&gt;&lt;full-title&gt;Journal of International Financial Markets, Institutions and Money&lt;/full-title&gt;&lt;/periodical&gt;&lt;pages&gt;374-387&lt;/pages&gt;&lt;volume&gt;18&lt;/volume&gt;&lt;number&gt;4&lt;/number&gt;&lt;dates&gt;&lt;year&gt;2008&lt;/year&gt;&lt;/dates&gt;&lt;isbn&gt;1042-4431&lt;/isbn&gt;&lt;urls&gt;&lt;/urls&gt;&lt;/record&gt;&lt;/Cite&gt;&lt;/EndNote&gt;</w:instrText>
      </w:r>
      <w:r>
        <w:fldChar w:fldCharType="separate"/>
      </w:r>
      <w:r>
        <w:rPr>
          <w:noProof/>
        </w:rPr>
        <w:t xml:space="preserve">(e.g. </w:t>
      </w:r>
      <w:hyperlink w:anchor="_ENREF_28" w:tooltip="Kling, 2008 #488" w:history="1">
        <w:r>
          <w:rPr>
            <w:noProof/>
          </w:rPr>
          <w:t>Kling &amp; Gao, 2008</w:t>
        </w:r>
      </w:hyperlink>
      <w:r>
        <w:rPr>
          <w:noProof/>
        </w:rPr>
        <w:t xml:space="preserve">; </w:t>
      </w:r>
      <w:hyperlink w:anchor="_ENREF_25" w:tooltip="Huang, 2014 #482" w:history="1">
        <w:r>
          <w:rPr>
            <w:noProof/>
          </w:rPr>
          <w:t>Huang et al., 2014</w:t>
        </w:r>
      </w:hyperlink>
      <w:r>
        <w:rPr>
          <w:noProof/>
        </w:rPr>
        <w:t>)</w:t>
      </w:r>
      <w:r>
        <w:fldChar w:fldCharType="end"/>
      </w:r>
      <w:r w:rsidRPr="0057386B">
        <w:rPr>
          <w:lang w:val="en-MY"/>
        </w:rPr>
        <w:t>.</w:t>
      </w:r>
    </w:p>
  </w:footnote>
  <w:footnote w:id="3">
    <w:p w14:paraId="1B440171" w14:textId="7897AB06" w:rsidR="00251DF7" w:rsidRPr="00CC54BC" w:rsidRDefault="00251DF7" w:rsidP="00AA017C">
      <w:pPr>
        <w:pStyle w:val="FootnoteText"/>
        <w:rPr>
          <w:lang w:val="en-MY"/>
        </w:rPr>
      </w:pPr>
      <w:r>
        <w:rPr>
          <w:rStyle w:val="FootnoteReference"/>
        </w:rPr>
        <w:footnoteRef/>
      </w:r>
      <w:r>
        <w:t xml:space="preserve"> </w:t>
      </w:r>
      <w:hyperlink w:anchor="_ENREF_5" w:tooltip="Baker, 2012 #483" w:history="1">
        <w:r>
          <w:fldChar w:fldCharType="begin"/>
        </w:r>
        <w:r>
          <w:instrText xml:space="preserve"> ADDIN EN.CITE &lt;EndNote&gt;&lt;Cite AuthorYear="1"&gt;&lt;Author&gt;Baker&lt;/Author&gt;&lt;Year&gt;2012&lt;/Year&gt;&lt;RecNum&gt;483&lt;/RecNum&gt;&lt;DisplayText&gt;Baker et al. (2012)&lt;/DisplayText&gt;&lt;record&gt;&lt;rec-number&gt;483&lt;/rec-number&gt;&lt;foreign-keys&gt;&lt;key app="EN" db-id="vafzs99fq0ew0seasdvvtxzufavxfwxtx2tr" timestamp="1502515329"&gt;483&lt;/key&gt;&lt;/foreign-keys&gt;&lt;ref-type name="Journal Article"&gt;17&lt;/ref-type&gt;&lt;contributors&gt;&lt;authors&gt;&lt;author&gt;Baker, Malcolm&lt;/author&gt;&lt;author&gt;Wurgler, Jeffrey&lt;/author&gt;&lt;author&gt;Yuan, Yu&lt;/author&gt;&lt;/authors&gt;&lt;/contributors&gt;&lt;titles&gt;&lt;title&gt;Global, local, and contagious investor sentiment&lt;/title&gt;&lt;secondary-title&gt;Journal of Financial Economics&lt;/secondary-title&gt;&lt;/titles&gt;&lt;periodical&gt;&lt;full-title&gt;Journal of Financial Economics&lt;/full-title&gt;&lt;/periodical&gt;&lt;pages&gt;272-287&lt;/pages&gt;&lt;volume&gt;104&lt;/volume&gt;&lt;number&gt;2&lt;/number&gt;&lt;dates&gt;&lt;year&gt;2012&lt;/year&gt;&lt;/dates&gt;&lt;isbn&gt;0304-405X&lt;/isbn&gt;&lt;urls&gt;&lt;/urls&gt;&lt;/record&gt;&lt;/Cite&gt;&lt;/EndNote&gt;</w:instrText>
        </w:r>
        <w:r>
          <w:fldChar w:fldCharType="separate"/>
        </w:r>
        <w:r>
          <w:rPr>
            <w:noProof/>
          </w:rPr>
          <w:t>Baker et al. (2012)</w:t>
        </w:r>
        <w:r>
          <w:fldChar w:fldCharType="end"/>
        </w:r>
      </w:hyperlink>
      <w:r>
        <w:t xml:space="preserve"> show that the contrarian predictability of investor sentiment is more pronounced in hard to value and difficult to arbitrage not only in U.S. but also in global markets.</w:t>
      </w:r>
    </w:p>
  </w:footnote>
  <w:footnote w:id="4">
    <w:p w14:paraId="1AF808D2" w14:textId="77777777" w:rsidR="00251DF7" w:rsidRPr="00930BD1" w:rsidRDefault="00251DF7" w:rsidP="00AA017C">
      <w:pPr>
        <w:pStyle w:val="FootnoteText"/>
        <w:rPr>
          <w:lang w:val="en-MY"/>
        </w:rPr>
      </w:pPr>
      <w:r>
        <w:rPr>
          <w:rStyle w:val="FootnoteReference"/>
        </w:rPr>
        <w:footnoteRef/>
      </w:r>
      <w:r>
        <w:t xml:space="preserve"> They argue that behavioural theory provides a clear prediction about the effects of sentiment on cross-sectional patterns since HVHA stocks are more sensitive to sentiment. However, the prediction on aggregate market returns is less clear because safe and easy to arbitrage stock might be inversely related to sentiment which could mute the effects of sentiment on aggregate market returns.</w:t>
      </w:r>
    </w:p>
  </w:footnote>
  <w:footnote w:id="5">
    <w:p w14:paraId="2AD438FB" w14:textId="7FB37AEC" w:rsidR="00251DF7" w:rsidRPr="00081B01" w:rsidRDefault="00251DF7" w:rsidP="008D11C0">
      <w:pPr>
        <w:pStyle w:val="FootnoteText"/>
        <w:rPr>
          <w:lang w:val="en-MY"/>
        </w:rPr>
      </w:pPr>
      <w:r>
        <w:rPr>
          <w:rStyle w:val="FootnoteReference"/>
        </w:rPr>
        <w:footnoteRef/>
      </w:r>
      <w:r>
        <w:t xml:space="preserve"> </w:t>
      </w:r>
      <w:r w:rsidRPr="00E65AA7">
        <w:rPr>
          <w:bCs/>
        </w:rPr>
        <w:t xml:space="preserve">Using the </w:t>
      </w:r>
      <w:r w:rsidRPr="00E65AA7">
        <w:rPr>
          <w:bCs/>
          <w:i/>
        </w:rPr>
        <w:t>Investors Intelligence</w:t>
      </w:r>
      <w:r w:rsidRPr="00E65AA7">
        <w:rPr>
          <w:bCs/>
        </w:rPr>
        <w:t xml:space="preserve"> bullish sentiment index as a survey-based measure, </w:t>
      </w:r>
      <w:hyperlink w:anchor="_ENREF_13" w:tooltip="Clarke, 1998 #374" w:history="1">
        <w:r w:rsidRPr="00E65AA7">
          <w:rPr>
            <w:bCs/>
          </w:rPr>
          <w:fldChar w:fldCharType="begin"/>
        </w:r>
        <w:r w:rsidRPr="00E65AA7">
          <w:rPr>
            <w:bCs/>
          </w:rPr>
          <w:instrText xml:space="preserve"> ADDIN EN.CITE &lt;EndNote&gt;&lt;Cite AuthorYear="1"&gt;&lt;Author&gt;Clarke&lt;/Author&gt;&lt;Year&gt;1998&lt;/Year&gt;&lt;RecNum&gt;374&lt;/RecNum&gt;&lt;DisplayText&gt;Clarke and Statman (1998)&lt;/DisplayText&gt;&lt;record&gt;&lt;rec-number&gt;374&lt;/rec-number&gt;&lt;foreign-keys&gt;&lt;key app="EN" db-id="vafzs99fq0ew0seasdvvtxzufavxfwxtx2tr" timestamp="1475637574"&gt;374&lt;/key&gt;&lt;/foreign-keys&gt;&lt;ref-type name="Journal Article"&gt;17&lt;/ref-type&gt;&lt;contributors&gt;&lt;authors&gt;&lt;author&gt;Clarke, Roger G&lt;/author&gt;&lt;author&gt;Statman, Meir&lt;/author&gt;&lt;/authors&gt;&lt;/contributors&gt;&lt;titles&gt;&lt;title&gt;Bullish or bearish?&lt;/title&gt;&lt;secondary-title&gt;Financial Analysts Journal&lt;/secondary-title&gt;&lt;/titles&gt;&lt;periodical&gt;&lt;full-title&gt;Financial Analysts Journal&lt;/full-title&gt;&lt;/periodical&gt;&lt;pages&gt;63-72&lt;/pages&gt;&lt;volume&gt;54&lt;/volume&gt;&lt;number&gt;3&lt;/number&gt;&lt;dates&gt;&lt;year&gt;1998&lt;/year&gt;&lt;/dates&gt;&lt;isbn&gt;0015-198X&lt;/isbn&gt;&lt;urls&gt;&lt;/urls&gt;&lt;/record&gt;&lt;/Cite&gt;&lt;/EndNote&gt;</w:instrText>
        </w:r>
        <w:r w:rsidRPr="00E65AA7">
          <w:rPr>
            <w:bCs/>
          </w:rPr>
          <w:fldChar w:fldCharType="separate"/>
        </w:r>
        <w:r w:rsidRPr="00E65AA7">
          <w:rPr>
            <w:bCs/>
            <w:noProof/>
          </w:rPr>
          <w:t>Clarke and Statman (1998)</w:t>
        </w:r>
        <w:r w:rsidRPr="00E65AA7">
          <w:rPr>
            <w:bCs/>
          </w:rPr>
          <w:fldChar w:fldCharType="end"/>
        </w:r>
      </w:hyperlink>
      <w:r w:rsidRPr="00E65AA7">
        <w:rPr>
          <w:bCs/>
        </w:rPr>
        <w:t xml:space="preserve"> find that the Bullish Sentiment Index does not predict S&amp;P 500 future returns.</w:t>
      </w:r>
      <w:r w:rsidRPr="00E65AA7">
        <w:rPr>
          <w:rStyle w:val="FootnoteReference"/>
          <w:bCs/>
        </w:rPr>
        <w:footnoteRef/>
      </w:r>
      <w:r w:rsidRPr="00E65AA7">
        <w:rPr>
          <w:bCs/>
        </w:rPr>
        <w:t xml:space="preserve"> Furthermore, </w:t>
      </w:r>
      <w:hyperlink w:anchor="_ENREF_40" w:tooltip="Simon, 2001 #373" w:history="1">
        <w:r w:rsidRPr="00E65AA7">
          <w:rPr>
            <w:bCs/>
          </w:rPr>
          <w:fldChar w:fldCharType="begin"/>
        </w:r>
        <w:r w:rsidRPr="00E65AA7">
          <w:rPr>
            <w:bCs/>
          </w:rPr>
          <w:instrText xml:space="preserve"> ADDIN EN.CITE &lt;EndNote&gt;&lt;Cite AuthorYear="1"&gt;&lt;Author&gt;Simon&lt;/Author&gt;&lt;Year&gt;2001&lt;/Year&gt;&lt;RecNum&gt;373&lt;/RecNum&gt;&lt;DisplayText&gt;Simon and Wiggins (2001)&lt;/DisplayText&gt;&lt;record&gt;&lt;rec-number&gt;373&lt;/rec-number&gt;&lt;foreign-keys&gt;&lt;key app="EN" db-id="vafzs99fq0ew0seasdvvtxzufavxfwxtx2tr" timestamp="1475636118"&gt;373&lt;/key&gt;&lt;/foreign-keys&gt;&lt;ref-type name="Journal Article"&gt;17&lt;/ref-type&gt;&lt;contributors&gt;&lt;authors&gt;&lt;author&gt;Simon, David P&lt;/author&gt;&lt;author&gt;Wiggins, Roy A&lt;/author&gt;&lt;/authors&gt;&lt;/contributors&gt;&lt;titles&gt;&lt;title&gt;S&amp;amp;P futures returns and contrary sentiment indicators&lt;/title&gt;&lt;secondary-title&gt;Journal of Futures Markets&lt;/secondary-title&gt;&lt;/titles&gt;&lt;periodical&gt;&lt;full-title&gt;Journal of Futures Markets&lt;/full-title&gt;&lt;/periodical&gt;&lt;pages&gt;447-462&lt;/pages&gt;&lt;volume&gt;21&lt;/volume&gt;&lt;number&gt;5&lt;/number&gt;&lt;dates&gt;&lt;year&gt;2001&lt;/year&gt;&lt;/dates&gt;&lt;isbn&gt;1096-9934&lt;/isbn&gt;&lt;urls&gt;&lt;/urls&gt;&lt;/record&gt;&lt;/Cite&gt;&lt;/EndNote&gt;</w:instrText>
        </w:r>
        <w:r w:rsidRPr="00E65AA7">
          <w:rPr>
            <w:bCs/>
          </w:rPr>
          <w:fldChar w:fldCharType="separate"/>
        </w:r>
        <w:r w:rsidRPr="00E65AA7">
          <w:rPr>
            <w:bCs/>
            <w:noProof/>
          </w:rPr>
          <w:t>Simon and Wiggins (2001)</w:t>
        </w:r>
        <w:r w:rsidRPr="00E65AA7">
          <w:rPr>
            <w:bCs/>
          </w:rPr>
          <w:fldChar w:fldCharType="end"/>
        </w:r>
      </w:hyperlink>
      <w:hyperlink w:anchor="_ENREF_7" w:tooltip="Simon, 2001 #373" w:history="1"/>
      <w:r w:rsidRPr="00E65AA7">
        <w:rPr>
          <w:bCs/>
        </w:rPr>
        <w:t xml:space="preserve"> argue that certain problems might arise with the use of survey-based measures. For example, there is a possibility that survey-based measures might be out of date by the time they get published especially in high volatility periods when sentiment is even more important. Furthermore, they argue that responses </w:t>
      </w:r>
      <w:r w:rsidRPr="00E65AA7">
        <w:rPr>
          <w:bCs/>
          <w:noProof/>
        </w:rPr>
        <w:t>are weighted</w:t>
      </w:r>
      <w:r w:rsidRPr="00E65AA7">
        <w:rPr>
          <w:bCs/>
        </w:rPr>
        <w:t xml:space="preserve"> equally in survey-based measures irrespective of the amount of funds managed by the survey participants and survey-based measures do not account for the intensity of bullishness or bearishness. In contrast, market-based sentiment measures </w:t>
      </w:r>
      <w:r w:rsidRPr="00E65AA7">
        <w:rPr>
          <w:bCs/>
          <w:noProof/>
        </w:rPr>
        <w:t>are observed</w:t>
      </w:r>
      <w:r w:rsidRPr="00E65AA7">
        <w:rPr>
          <w:bCs/>
        </w:rPr>
        <w:t xml:space="preserve"> in real </w:t>
      </w:r>
      <w:r w:rsidRPr="00E65AA7">
        <w:rPr>
          <w:bCs/>
          <w:noProof/>
        </w:rPr>
        <w:t>time</w:t>
      </w:r>
      <w:r w:rsidRPr="00E65AA7">
        <w:rPr>
          <w:bCs/>
        </w:rPr>
        <w:t xml:space="preserve"> and indicate both the intensity of sentiment (bullish or bearish) and the market power of market participants </w:t>
      </w:r>
      <w:r w:rsidRPr="00E65AA7">
        <w:rPr>
          <w:bCs/>
        </w:rPr>
        <w:fldChar w:fldCharType="begin"/>
      </w:r>
      <w:r>
        <w:rPr>
          <w:bCs/>
        </w:rPr>
        <w:instrText xml:space="preserve"> ADDIN EN.CITE &lt;EndNote&gt;&lt;Cite&gt;&lt;Author&gt;Simon&lt;/Author&gt;&lt;Year&gt;2001&lt;/Year&gt;&lt;RecNum&gt;373&lt;/RecNum&gt;&lt;DisplayText&gt;(Simon &amp;amp; Wiggins, 2001)&lt;/DisplayText&gt;&lt;record&gt;&lt;rec-number&gt;373&lt;/rec-number&gt;&lt;foreign-keys&gt;&lt;key app="EN" db-id="vafzs99fq0ew0seasdvvtxzufavxfwxtx2tr" timestamp="1475636118"&gt;373&lt;/key&gt;&lt;/foreign-keys&gt;&lt;ref-type name="Journal Article"&gt;17&lt;/ref-type&gt;&lt;contributors&gt;&lt;authors&gt;&lt;author&gt;Simon, David P&lt;/author&gt;&lt;author&gt;Wiggins, Roy A&lt;/author&gt;&lt;/authors&gt;&lt;/contributors&gt;&lt;titles&gt;&lt;title&gt;S&amp;amp;P futures returns and contrary sentiment indicators&lt;/title&gt;&lt;secondary-title&gt;Journal of Futures Markets&lt;/secondary-title&gt;&lt;/titles&gt;&lt;periodical&gt;&lt;full-title&gt;Journal of Futures Markets&lt;/full-title&gt;&lt;/periodical&gt;&lt;pages&gt;447-462&lt;/pages&gt;&lt;volume&gt;21&lt;/volume&gt;&lt;number&gt;5&lt;/number&gt;&lt;dates&gt;&lt;year&gt;2001&lt;/year&gt;&lt;/dates&gt;&lt;isbn&gt;1096-9934&lt;/isbn&gt;&lt;urls&gt;&lt;/urls&gt;&lt;/record&gt;&lt;/Cite&gt;&lt;/EndNote&gt;</w:instrText>
      </w:r>
      <w:r w:rsidRPr="00E65AA7">
        <w:rPr>
          <w:bCs/>
        </w:rPr>
        <w:fldChar w:fldCharType="separate"/>
      </w:r>
      <w:r>
        <w:rPr>
          <w:bCs/>
          <w:noProof/>
        </w:rPr>
        <w:t>(</w:t>
      </w:r>
      <w:hyperlink w:anchor="_ENREF_40" w:tooltip="Simon, 2001 #373" w:history="1">
        <w:r>
          <w:rPr>
            <w:bCs/>
            <w:noProof/>
          </w:rPr>
          <w:t>Simon &amp; Wiggins, 2001</w:t>
        </w:r>
      </w:hyperlink>
      <w:r>
        <w:rPr>
          <w:bCs/>
          <w:noProof/>
        </w:rPr>
        <w:t>)</w:t>
      </w:r>
      <w:r w:rsidRPr="00E65AA7">
        <w:rPr>
          <w:bCs/>
        </w:rPr>
        <w:fldChar w:fldCharType="end"/>
      </w:r>
      <w:r w:rsidRPr="00E65AA7">
        <w:rPr>
          <w:bCs/>
        </w:rPr>
        <w:t xml:space="preserve">. </w:t>
      </w:r>
    </w:p>
  </w:footnote>
  <w:footnote w:id="6">
    <w:p w14:paraId="6719606E" w14:textId="0B7AE1FA" w:rsidR="00251DF7" w:rsidRPr="00510CE4" w:rsidRDefault="00251DF7">
      <w:pPr>
        <w:pStyle w:val="FootnoteText"/>
        <w:rPr>
          <w:lang w:val="en-MY"/>
        </w:rPr>
      </w:pPr>
      <w:r>
        <w:rPr>
          <w:rStyle w:val="FootnoteReference"/>
        </w:rPr>
        <w:footnoteRef/>
      </w:r>
      <w:r>
        <w:t xml:space="preserve"> </w:t>
      </w:r>
      <w:r>
        <w:rPr>
          <w:lang w:val="en-MY"/>
        </w:rPr>
        <w:t xml:space="preserve">We use Baker and Wurgler </w:t>
      </w:r>
      <w:r>
        <w:rPr>
          <w:noProof/>
        </w:rPr>
        <w:t>‘</w:t>
      </w:r>
      <w:r w:rsidRPr="00E65AA7">
        <w:rPr>
          <w:noProof/>
        </w:rPr>
        <w:t>sentiment levels</w:t>
      </w:r>
      <w:r>
        <w:rPr>
          <w:noProof/>
        </w:rPr>
        <w:t>’</w:t>
      </w:r>
      <w:r w:rsidRPr="00E65AA7">
        <w:rPr>
          <w:noProof/>
        </w:rPr>
        <w:t xml:space="preserve"> </w:t>
      </w:r>
      <w:r>
        <w:rPr>
          <w:noProof/>
        </w:rPr>
        <w:t xml:space="preserve">index and ‘sentiment changes’ </w:t>
      </w:r>
      <w:r w:rsidRPr="00E65AA7">
        <w:rPr>
          <w:noProof/>
        </w:rPr>
        <w:t>index</w:t>
      </w:r>
      <w:r>
        <w:rPr>
          <w:noProof/>
        </w:rPr>
        <w:t xml:space="preserve"> based on orthogonalized proxies. We obtain similar results even if we use </w:t>
      </w:r>
      <w:r>
        <w:rPr>
          <w:lang w:val="en-MY"/>
        </w:rPr>
        <w:t xml:space="preserve">Baker and Wurgler </w:t>
      </w:r>
      <w:r>
        <w:rPr>
          <w:noProof/>
        </w:rPr>
        <w:t>‘</w:t>
      </w:r>
      <w:r w:rsidRPr="00E65AA7">
        <w:rPr>
          <w:noProof/>
        </w:rPr>
        <w:t>sentiment levels</w:t>
      </w:r>
      <w:r>
        <w:rPr>
          <w:noProof/>
        </w:rPr>
        <w:t>’</w:t>
      </w:r>
      <w:r w:rsidRPr="00E65AA7">
        <w:rPr>
          <w:noProof/>
        </w:rPr>
        <w:t xml:space="preserve"> </w:t>
      </w:r>
      <w:r>
        <w:rPr>
          <w:noProof/>
        </w:rPr>
        <w:t xml:space="preserve">index and ‘sentiment changes’ </w:t>
      </w:r>
      <w:r w:rsidRPr="00E65AA7">
        <w:rPr>
          <w:noProof/>
        </w:rPr>
        <w:t>index</w:t>
      </w:r>
      <w:r>
        <w:rPr>
          <w:noProof/>
        </w:rPr>
        <w:t xml:space="preserve"> based on raw proxies.</w:t>
      </w:r>
    </w:p>
  </w:footnote>
  <w:footnote w:id="7">
    <w:p w14:paraId="70AA0E9E" w14:textId="77777777" w:rsidR="00251DF7" w:rsidRPr="005867A7" w:rsidRDefault="00251DF7" w:rsidP="004326ED">
      <w:pPr>
        <w:pStyle w:val="FootnoteText"/>
        <w:rPr>
          <w:lang w:val="en-MY"/>
        </w:rPr>
      </w:pPr>
      <w:r>
        <w:rPr>
          <w:rStyle w:val="FootnoteReference"/>
        </w:rPr>
        <w:footnoteRef/>
      </w:r>
      <w:r>
        <w:t xml:space="preserve"> </w:t>
      </w:r>
      <w:r>
        <w:rPr>
          <w:lang w:val="en-MY"/>
        </w:rPr>
        <w:t>VIX measurement was based on S&amp;P 100 index until 2003.</w:t>
      </w:r>
    </w:p>
  </w:footnote>
  <w:footnote w:id="8">
    <w:p w14:paraId="46FFA6AE" w14:textId="1BED4995" w:rsidR="00251DF7" w:rsidRPr="004C4025" w:rsidRDefault="00251DF7" w:rsidP="004326ED">
      <w:pPr>
        <w:pStyle w:val="FootnoteText"/>
        <w:rPr>
          <w:lang w:val="en-MY"/>
        </w:rPr>
      </w:pPr>
      <w:r w:rsidRPr="00610A20">
        <w:rPr>
          <w:rStyle w:val="FootnoteReference"/>
        </w:rPr>
        <w:footnoteRef/>
      </w:r>
      <w:r w:rsidRPr="00610A20">
        <w:t xml:space="preserve"> </w:t>
      </w:r>
      <w:r>
        <w:t xml:space="preserve">We thank Professor Wurgler for making these indices available. </w:t>
      </w:r>
      <w:r w:rsidRPr="00610A20">
        <w:rPr>
          <w:lang w:val="en-MY"/>
        </w:rPr>
        <w:t>The sentiment changes index data is available until December 2010</w:t>
      </w:r>
      <w:r w:rsidRPr="00610A20">
        <w:rPr>
          <w:noProof/>
        </w:rPr>
        <w:t xml:space="preserve">; however using </w:t>
      </w:r>
      <w:hyperlink w:anchor="_ENREF_4" w:tooltip="Baker, 2007 #280" w:history="1">
        <w:r w:rsidRPr="00610A20">
          <w:rPr>
            <w:noProof/>
          </w:rPr>
          <w:fldChar w:fldCharType="begin"/>
        </w:r>
        <w:r w:rsidRPr="00610A20">
          <w:rPr>
            <w:noProof/>
          </w:rPr>
          <w:instrText xml:space="preserve"> ADDIN EN.CITE &lt;EndNote&gt;&lt;Cite AuthorYear="1"&gt;&lt;Author&gt;Baker&lt;/Author&gt;&lt;Year&gt;2007&lt;/Year&gt;&lt;RecNum&gt;280&lt;/RecNum&gt;&lt;DisplayText&gt;Baker and Wurgler (2007)&lt;/DisplayText&gt;&lt;record&gt;&lt;rec-number&gt;280&lt;/rec-number&gt;&lt;foreign-keys&gt;&lt;key app="EN" db-id="vafzs99fq0ew0seasdvvtxzufavxfwxtx2tr" timestamp="1429599507"&gt;280&lt;/key&gt;&lt;/foreign-keys&gt;&lt;ref-type name="Generic"&gt;13&lt;/ref-type&gt;&lt;contributors&gt;&lt;authors&gt;&lt;author&gt;Baker, Malcolm&lt;/author&gt;&lt;author&gt;Wurgler, Jeffrey&lt;/author&gt;&lt;/authors&gt;&lt;/contributors&gt;&lt;titles&gt;&lt;title&gt;Investor sentiment in the stock market&lt;/title&gt;&lt;/titles&gt;&lt;dates&gt;&lt;year&gt;2007&lt;/year&gt;&lt;/dates&gt;&lt;publisher&gt;National Bureau of Economic Research Cambridge, Mass., USA&lt;/publisher&gt;&lt;urls&gt;&lt;/urls&gt;&lt;/record&gt;&lt;/Cite&gt;&lt;/EndNote&gt;</w:instrText>
        </w:r>
        <w:r w:rsidRPr="00610A20">
          <w:rPr>
            <w:noProof/>
          </w:rPr>
          <w:fldChar w:fldCharType="separate"/>
        </w:r>
        <w:r w:rsidRPr="00610A20">
          <w:rPr>
            <w:noProof/>
          </w:rPr>
          <w:t>Baker and Wurgler (2007)</w:t>
        </w:r>
        <w:r w:rsidRPr="00610A20">
          <w:rPr>
            <w:noProof/>
          </w:rPr>
          <w:fldChar w:fldCharType="end"/>
        </w:r>
      </w:hyperlink>
      <w:r w:rsidRPr="00610A20">
        <w:rPr>
          <w:noProof/>
        </w:rPr>
        <w:t>, we extend it until December 2014.</w:t>
      </w:r>
    </w:p>
  </w:footnote>
  <w:footnote w:id="9">
    <w:p w14:paraId="2A98AE45" w14:textId="7C78032B" w:rsidR="00251DF7" w:rsidRPr="00864BC8" w:rsidRDefault="00251DF7">
      <w:pPr>
        <w:pStyle w:val="FootnoteText"/>
        <w:rPr>
          <w:lang w:val="en-MY"/>
        </w:rPr>
      </w:pPr>
      <w:r>
        <w:rPr>
          <w:rStyle w:val="FootnoteReference"/>
        </w:rPr>
        <w:footnoteRef/>
      </w:r>
      <w:r>
        <w:t xml:space="preserve"> </w:t>
      </w:r>
      <w:r>
        <w:rPr>
          <w:lang w:val="en-MY"/>
        </w:rPr>
        <w:t xml:space="preserve">The literature shows that arbitrage tends to be difficult and costly for young, small, unprofitable, non-dividend paying and higher intangible asset firms since these firms are more costly to buy and sell </w:t>
      </w:r>
      <w:r>
        <w:rPr>
          <w:lang w:val="en-MY"/>
        </w:rPr>
        <w:fldChar w:fldCharType="begin"/>
      </w:r>
      <w:r>
        <w:rPr>
          <w:lang w:val="en-MY"/>
        </w:rPr>
        <w:instrText xml:space="preserve"> ADDIN EN.CITE &lt;EndNote&gt;&lt;Cite&gt;&lt;Author&gt;D’avolio&lt;/Author&gt;&lt;Year&gt;2002&lt;/Year&gt;&lt;RecNum&gt;421&lt;/RecNum&gt;&lt;DisplayText&gt;(D’avolio, 2002)&lt;/DisplayText&gt;&lt;record&gt;&lt;rec-number&gt;421&lt;/rec-number&gt;&lt;foreign-keys&gt;&lt;key app="EN" db-id="vafzs99fq0ew0seasdvvtxzufavxfwxtx2tr" timestamp="1487574132"&gt;421&lt;/key&gt;&lt;/foreign-keys&gt;&lt;ref-type name="Journal Article"&gt;17&lt;/ref-type&gt;&lt;contributors&gt;&lt;authors&gt;&lt;author&gt;D’avolio, Gene&lt;/author&gt;&lt;/authors&gt;&lt;/contributors&gt;&lt;titles&gt;&lt;title&gt;The market for borrowing stock&lt;/title&gt;&lt;secondary-title&gt;Journal of financial economics&lt;/secondary-title&gt;&lt;/titles&gt;&lt;periodical&gt;&lt;full-title&gt;Journal of Financial Economics&lt;/full-title&gt;&lt;/periodical&gt;&lt;pages&gt;271-306&lt;/pages&gt;&lt;volume&gt;66&lt;/volume&gt;&lt;number&gt;2&lt;/number&gt;&lt;dates&gt;&lt;year&gt;2002&lt;/year&gt;&lt;/dates&gt;&lt;isbn&gt;0304-405X&lt;/isbn&gt;&lt;urls&gt;&lt;/urls&gt;&lt;/record&gt;&lt;/Cite&gt;&lt;/EndNote&gt;</w:instrText>
      </w:r>
      <w:r>
        <w:rPr>
          <w:lang w:val="en-MY"/>
        </w:rPr>
        <w:fldChar w:fldCharType="separate"/>
      </w:r>
      <w:r>
        <w:rPr>
          <w:noProof/>
          <w:lang w:val="en-MY"/>
        </w:rPr>
        <w:t>(</w:t>
      </w:r>
      <w:hyperlink w:anchor="_ENREF_14" w:tooltip="D’avolio, 2002 #421" w:history="1">
        <w:r>
          <w:rPr>
            <w:noProof/>
            <w:lang w:val="en-MY"/>
          </w:rPr>
          <w:t>D’avolio, 2002</w:t>
        </w:r>
      </w:hyperlink>
      <w:r>
        <w:rPr>
          <w:noProof/>
          <w:lang w:val="en-MY"/>
        </w:rPr>
        <w:t>)</w:t>
      </w:r>
      <w:r>
        <w:rPr>
          <w:lang w:val="en-MY"/>
        </w:rPr>
        <w:fldChar w:fldCharType="end"/>
      </w:r>
      <w:r>
        <w:rPr>
          <w:lang w:val="en-MY"/>
        </w:rPr>
        <w:t xml:space="preserve">. These firms have higher idiosyncratic variation in returns which makes them riskier for betting </w:t>
      </w:r>
      <w:r>
        <w:rPr>
          <w:lang w:val="en-MY"/>
        </w:rPr>
        <w:fldChar w:fldCharType="begin"/>
      </w:r>
      <w:r>
        <w:rPr>
          <w:lang w:val="en-MY"/>
        </w:rPr>
        <w:instrText xml:space="preserve"> ADDIN EN.CITE &lt;EndNote&gt;&lt;Cite&gt;&lt;Author&gt;Wurgler&lt;/Author&gt;&lt;Year&gt;2002&lt;/Year&gt;&lt;RecNum&gt;86&lt;/RecNum&gt;&lt;DisplayText&gt;(Wurgler &amp;amp; Zhuravskaya, 2002)&lt;/DisplayText&gt;&lt;record&gt;&lt;rec-number&gt;86&lt;/rec-number&gt;&lt;foreign-keys&gt;&lt;key app="EN" db-id="vafzs99fq0ew0seasdvvtxzufavxfwxtx2tr" timestamp="0"&gt;86&lt;/key&gt;&lt;/foreign-keys&gt;&lt;ref-type name="Journal Article"&gt;17&lt;/ref-type&gt;&lt;contributors&gt;&lt;authors&gt;&lt;author&gt;Wurgler, J.&lt;/author&gt;&lt;author&gt;Zhuravskaya, E.&lt;/author&gt;&lt;/authors&gt;&lt;/contributors&gt;&lt;titles&gt;&lt;title&gt;Does Arbitrage Flatten Demand Curves for Stocks?&lt;/title&gt;&lt;secondary-title&gt;The Journal of Business&lt;/secondary-title&gt;&lt;/titles&gt;&lt;periodical&gt;&lt;full-title&gt;The Journal of Business&lt;/full-title&gt;&lt;/periodical&gt;&lt;pages&gt;583-608&lt;/pages&gt;&lt;volume&gt;75&lt;/volume&gt;&lt;number&gt;4&lt;/number&gt;&lt;dates&gt;&lt;year&gt;2002&lt;/year&gt;&lt;/dates&gt;&lt;urls&gt;&lt;/urls&gt;&lt;/record&gt;&lt;/Cite&gt;&lt;/EndNote&gt;</w:instrText>
      </w:r>
      <w:r>
        <w:rPr>
          <w:lang w:val="en-MY"/>
        </w:rPr>
        <w:fldChar w:fldCharType="separate"/>
      </w:r>
      <w:r>
        <w:rPr>
          <w:noProof/>
          <w:lang w:val="en-MY"/>
        </w:rPr>
        <w:t>(</w:t>
      </w:r>
      <w:hyperlink w:anchor="_ENREF_45" w:tooltip="Wurgler, 2002 #86" w:history="1">
        <w:r>
          <w:rPr>
            <w:noProof/>
            <w:lang w:val="en-MY"/>
          </w:rPr>
          <w:t>Wurgler &amp; Zhuravskaya, 2002</w:t>
        </w:r>
      </w:hyperlink>
      <w:r>
        <w:rPr>
          <w:noProof/>
          <w:lang w:val="en-MY"/>
        </w:rPr>
        <w:t>)</w:t>
      </w:r>
      <w:r>
        <w:rPr>
          <w:lang w:val="en-MY"/>
        </w:rPr>
        <w:fldChar w:fldCharType="end"/>
      </w:r>
      <w:r>
        <w:rPr>
          <w:lang w:val="en-MY"/>
        </w:rPr>
        <w:t xml:space="preserve">, have higher volatility which could make arbitrage ineffective because of capital constraints </w:t>
      </w:r>
      <w:r>
        <w:rPr>
          <w:lang w:val="en-MY"/>
        </w:rPr>
        <w:fldChar w:fldCharType="begin"/>
      </w:r>
      <w:r>
        <w:rPr>
          <w:lang w:val="en-MY"/>
        </w:rPr>
        <w:instrText xml:space="preserve"> ADDIN EN.CITE &lt;EndNote&gt;&lt;Cite&gt;&lt;Author&gt;Shleifer&lt;/Author&gt;&lt;Year&gt;1997&lt;/Year&gt;&lt;RecNum&gt;89&lt;/RecNum&gt;&lt;DisplayText&gt;(Shleifer &amp;amp; Vishny, 1997)&lt;/DisplayText&gt;&lt;record&gt;&lt;rec-number&gt;89&lt;/rec-number&gt;&lt;foreign-keys&gt;&lt;key app="EN" db-id="vafzs99fq0ew0seasdvvtxzufavxfwxtx2tr" timestamp="0"&gt;89&lt;/key&gt;&lt;/foreign-keys&gt;&lt;ref-type name="Journal Article"&gt;17&lt;/ref-type&gt;&lt;contributors&gt;&lt;authors&gt;&lt;author&gt;Shleifer, A.&lt;/author&gt;&lt;author&gt;Vishny, R. W.&lt;/author&gt;&lt;/authors&gt;&lt;/contributors&gt;&lt;titles&gt;&lt;title&gt;The limits of arbitrage&lt;/title&gt;&lt;secondary-title&gt;The Journal of Finance&lt;/secondary-title&gt;&lt;/titles&gt;&lt;periodical&gt;&lt;full-title&gt;The Journal of Finance&lt;/full-title&gt;&lt;/periodical&gt;&lt;pages&gt;35-55&lt;/pages&gt;&lt;volume&gt;52&lt;/volume&gt;&lt;number&gt;1&lt;/number&gt;&lt;dates&gt;&lt;year&gt;1997&lt;/year&gt;&lt;/dates&gt;&lt;isbn&gt;1540-6261&lt;/isbn&gt;&lt;urls&gt;&lt;/urls&gt;&lt;/record&gt;&lt;/Cite&gt;&lt;/EndNote&gt;</w:instrText>
      </w:r>
      <w:r>
        <w:rPr>
          <w:lang w:val="en-MY"/>
        </w:rPr>
        <w:fldChar w:fldCharType="separate"/>
      </w:r>
      <w:r>
        <w:rPr>
          <w:noProof/>
          <w:lang w:val="en-MY"/>
        </w:rPr>
        <w:t>(</w:t>
      </w:r>
      <w:hyperlink w:anchor="_ENREF_39" w:tooltip="Shleifer, 1997 #462" w:history="1">
        <w:r>
          <w:rPr>
            <w:noProof/>
            <w:lang w:val="en-MY"/>
          </w:rPr>
          <w:t>Shleifer &amp; Vishny, 1997</w:t>
        </w:r>
      </w:hyperlink>
      <w:r>
        <w:rPr>
          <w:noProof/>
          <w:lang w:val="en-MY"/>
        </w:rPr>
        <w:t>)</w:t>
      </w:r>
      <w:r>
        <w:rPr>
          <w:lang w:val="en-MY"/>
        </w:rPr>
        <w:fldChar w:fldCharType="end"/>
      </w:r>
      <w:r>
        <w:rPr>
          <w:lang w:val="en-MY"/>
        </w:rPr>
        <w:t xml:space="preserve">, and generally do not pay dividends and therefore their fundamental values are more difficult to estimate making them subject to speculation </w:t>
      </w:r>
      <w:r>
        <w:rPr>
          <w:lang w:val="en-MY"/>
        </w:rPr>
        <w:fldChar w:fldCharType="begin"/>
      </w:r>
      <w:r>
        <w:rPr>
          <w:lang w:val="en-MY"/>
        </w:rPr>
        <w:instrText xml:space="preserve"> ADDIN EN.CITE &lt;EndNote&gt;&lt;Cite&gt;&lt;Author&gt;Pontiff&lt;/Author&gt;&lt;Year&gt;1996&lt;/Year&gt;&lt;RecNum&gt;88&lt;/RecNum&gt;&lt;DisplayText&gt;(Pontiff, 1996)&lt;/DisplayText&gt;&lt;record&gt;&lt;rec-number&gt;88&lt;/rec-number&gt;&lt;foreign-keys&gt;&lt;key app="EN" db-id="vafzs99fq0ew0seasdvvtxzufavxfwxtx2tr" timestamp="0"&gt;88&lt;/key&gt;&lt;/foreign-keys&gt;&lt;ref-type name="Journal Article"&gt;17&lt;/ref-type&gt;&lt;contributors&gt;&lt;authors&gt;&lt;author&gt;Pontiff, J.&lt;/author&gt;&lt;/authors&gt;&lt;/contributors&gt;&lt;titles&gt;&lt;title&gt;Costly arbitrage: Evidence from closed-end funds&lt;/title&gt;&lt;secondary-title&gt;The Quarterly Journal of Economics&lt;/secondary-title&gt;&lt;/titles&gt;&lt;periodical&gt;&lt;full-title&gt;The Quarterly Journal of Economics&lt;/full-title&gt;&lt;/periodical&gt;&lt;pages&gt;1135-1151&lt;/pages&gt;&lt;volume&gt;111&lt;/volume&gt;&lt;number&gt;4&lt;/number&gt;&lt;dates&gt;&lt;year&gt;1996&lt;/year&gt;&lt;/dates&gt;&lt;isbn&gt;0033-5533&lt;/isbn&gt;&lt;urls&gt;&lt;/urls&gt;&lt;/record&gt;&lt;/Cite&gt;&lt;/EndNote&gt;</w:instrText>
      </w:r>
      <w:r>
        <w:rPr>
          <w:lang w:val="en-MY"/>
        </w:rPr>
        <w:fldChar w:fldCharType="separate"/>
      </w:r>
      <w:r>
        <w:rPr>
          <w:noProof/>
          <w:lang w:val="en-MY"/>
        </w:rPr>
        <w:t>(</w:t>
      </w:r>
      <w:hyperlink w:anchor="_ENREF_34" w:tooltip="Pontiff, 1996 #88" w:history="1">
        <w:r>
          <w:rPr>
            <w:noProof/>
            <w:lang w:val="en-MY"/>
          </w:rPr>
          <w:t>Pontiff, 1996</w:t>
        </w:r>
      </w:hyperlink>
      <w:r>
        <w:rPr>
          <w:noProof/>
          <w:lang w:val="en-MY"/>
        </w:rPr>
        <w:t>)</w:t>
      </w:r>
      <w:r>
        <w:rPr>
          <w:lang w:val="en-MY"/>
        </w:rPr>
        <w:fldChar w:fldCharType="end"/>
      </w:r>
      <w:r>
        <w:rPr>
          <w:lang w:val="en-MY"/>
        </w:rPr>
        <w:t>.</w:t>
      </w:r>
    </w:p>
  </w:footnote>
  <w:footnote w:id="10">
    <w:p w14:paraId="0E218102" w14:textId="18217D6D" w:rsidR="00251DF7" w:rsidRPr="0055402E" w:rsidRDefault="00251DF7" w:rsidP="004326ED">
      <w:pPr>
        <w:pStyle w:val="FootnoteText"/>
        <w:rPr>
          <w:lang w:val="en-NZ"/>
        </w:rPr>
      </w:pPr>
      <w:r>
        <w:rPr>
          <w:rStyle w:val="FootnoteReference"/>
        </w:rPr>
        <w:footnoteRef/>
      </w:r>
      <w:r>
        <w:t xml:space="preserve"> </w:t>
      </w:r>
      <w:hyperlink w:anchor="_ENREF_3" w:tooltip="Baker, 2006 #345" w:history="1">
        <w:r>
          <w:fldChar w:fldCharType="begin"/>
        </w:r>
        <w:r>
          <w:instrText xml:space="preserve"> ADDIN EN.CITE &lt;EndNote&gt;&lt;Cite AuthorYear="1"&gt;&lt;Author&gt;Baker&lt;/Author&gt;&lt;Year&gt;2006&lt;/Year&gt;&lt;RecNum&gt;345&lt;/RecNum&gt;&lt;DisplayText&gt;Baker and Wurgler (2006)&lt;/DisplayText&gt;&lt;record&gt;&lt;rec-number&gt;345&lt;/rec-number&gt;&lt;foreign-keys&gt;&lt;key app="EN" db-id="vafzs99fq0ew0seasdvvtxzufavxfwxtx2tr" timestamp="1449722518"&gt;345&lt;/key&gt;&lt;/foreign-keys&gt;&lt;ref-type name="Journal Article"&gt;17&lt;/ref-type&gt;&lt;contributors&gt;&lt;authors&gt;&lt;author&gt;Baker, Malcolm&lt;/author&gt;&lt;author&gt;Wurgler, Jeffrey&lt;/author&gt;&lt;/authors&gt;&lt;/contributors&gt;&lt;titles&gt;&lt;title&gt;Investor sentiment and the</w:instrText>
        </w:r>
        <w:r>
          <w:rPr>
            <w:rFonts w:hint="eastAsia"/>
          </w:rPr>
          <w:instrText xml:space="preserve"> cross</w:instrText>
        </w:r>
        <w:r>
          <w:rPr>
            <w:rFonts w:hint="eastAsia"/>
          </w:rPr>
          <w:instrText>‐</w:instrText>
        </w:r>
        <w:r>
          <w:rPr>
            <w:rFonts w:hint="eastAsia"/>
          </w:rPr>
          <w:instrText>section of stock returns&lt;/title&gt;&lt;secondary-title&gt;The Journal of Finance&lt;/secondary-title&gt;&lt;/titles&gt;&lt;periodical&gt;&lt;full-title&gt;The Journal of Finance&lt;/full-title&gt;&lt;/periodical&gt;&lt;pages&gt;1645-1680&lt;/pages&gt;&lt;volume&gt;61&lt;/volume&gt;&lt;number&gt;4&lt;/number&gt;&lt;dates&gt;&lt;year&gt;2006</w:instrText>
        </w:r>
        <w:r>
          <w:instrText>&lt;/year&gt;&lt;/dates&gt;&lt;isbn&gt;1540-6261&lt;/isbn&gt;&lt;urls&gt;&lt;/urls&gt;&lt;/record&gt;&lt;/Cite&gt;&lt;/EndNote&gt;</w:instrText>
        </w:r>
        <w:r>
          <w:fldChar w:fldCharType="separate"/>
        </w:r>
        <w:r>
          <w:rPr>
            <w:noProof/>
          </w:rPr>
          <w:t>Baker and Wurgler (2006)</w:t>
        </w:r>
        <w:r>
          <w:fldChar w:fldCharType="end"/>
        </w:r>
      </w:hyperlink>
      <w:r>
        <w:t xml:space="preserve"> also use firm characteristics indicating growth opportunities as a proxy for hard to value stocks i.e. book-to-market equity, external finance and sales growth. They consider extreme deciles (P1 and P10) of these firm characteristics as hard to value stocks and the middle decile (P5) as easy to value stocks. However, </w:t>
      </w:r>
      <w:hyperlink w:anchor="_ENREF_42" w:tooltip="Stambaugh, 2012 #418" w:history="1">
        <w:r>
          <w:fldChar w:fldCharType="begin"/>
        </w:r>
        <w:r>
          <w:instrText xml:space="preserve"> ADDIN EN.CITE &lt;EndNote&gt;&lt;Cite AuthorYear="1"&gt;&lt;Author&gt;Stambaugh&lt;/Author&gt;&lt;Year&gt;2012&lt;/Year&gt;&lt;RecNum&gt;418&lt;/RecNum&gt;&lt;DisplayText&gt;Stambaugh, Yu, and Yuan (2012)&lt;/DisplayText&gt;&lt;record&gt;&lt;rec-number&gt;418&lt;/rec-number&gt;&lt;foreign-keys&gt;&lt;key app="EN" db-id="vafzs99fq0ew0seasdvvtxzufavxfwxtx2tr" timestamp="1487484104"&gt;418&lt;/key&gt;&lt;/foreign-keys&gt;&lt;ref-type name="Journal Article"&gt;17&lt;/ref-type&gt;&lt;contributors&gt;&lt;authors&gt;&lt;author&gt;Stambaugh, Robert F&lt;/author&gt;&lt;author&gt;Yu, Jianfeng&lt;/author&gt;&lt;author&gt;Yuan, Yu&lt;/author&gt;&lt;/authors&gt;&lt;/contributors&gt;&lt;titles&gt;&lt;title&gt;The short of it: Investor sentiment and anomalies&lt;/title&gt;&lt;secondary-title&gt;Journal of Financial Economics&lt;/secondary-title&gt;&lt;/titles&gt;&lt;periodical&gt;&lt;full-title&gt;Journal of Financial Economics&lt;/full-title&gt;&lt;/periodical&gt;&lt;pages&gt;288-302&lt;/pages&gt;&lt;volume&gt;104&lt;/volume&gt;&lt;number&gt;2&lt;/number&gt;&lt;dates&gt;&lt;year&gt;2012&lt;/year&gt;&lt;/dates&gt;&lt;isbn&gt;0304-405X&lt;/isbn&gt;&lt;urls&gt;&lt;/urls&gt;&lt;/record&gt;&lt;/Cite&gt;&lt;/EndNote&gt;</w:instrText>
        </w:r>
        <w:r>
          <w:fldChar w:fldCharType="separate"/>
        </w:r>
        <w:r>
          <w:rPr>
            <w:noProof/>
          </w:rPr>
          <w:t>Stambaugh, Yu, and Yuan (2012)</w:t>
        </w:r>
        <w:r>
          <w:fldChar w:fldCharType="end"/>
        </w:r>
      </w:hyperlink>
      <w:r>
        <w:t xml:space="preserve"> do not find any significant difference in the return spread of book-to-market results between high and low sentiment periods. </w:t>
      </w:r>
    </w:p>
  </w:footnote>
  <w:footnote w:id="11">
    <w:p w14:paraId="30B526AF" w14:textId="7C5C71A7" w:rsidR="00251DF7" w:rsidRPr="00FF3677" w:rsidRDefault="00251DF7" w:rsidP="00352116">
      <w:pPr>
        <w:pStyle w:val="FootnoteText"/>
        <w:rPr>
          <w:lang w:val="en-MY"/>
        </w:rPr>
      </w:pPr>
      <w:r>
        <w:rPr>
          <w:rStyle w:val="FootnoteReference"/>
        </w:rPr>
        <w:footnoteRef/>
      </w:r>
      <w:r>
        <w:t xml:space="preserve"> </w:t>
      </w:r>
      <w:r>
        <w:rPr>
          <w:rFonts w:eastAsia="Times New Roman"/>
        </w:rPr>
        <w:t>The</w:t>
      </w:r>
      <w:bookmarkStart w:id="2" w:name="_GoBack"/>
      <w:r>
        <w:rPr>
          <w:rFonts w:eastAsia="Times New Roman"/>
        </w:rPr>
        <w:t>se are</w:t>
      </w:r>
      <w:bookmarkEnd w:id="2"/>
      <w:r>
        <w:rPr>
          <w:rFonts w:eastAsia="Times New Roman"/>
        </w:rPr>
        <w:t xml:space="preserve"> unprofitable and non-dividend paying firms, and firms with zero R&amp;D expenses and zero PPE/A values.</w:t>
      </w:r>
    </w:p>
  </w:footnote>
  <w:footnote w:id="12">
    <w:p w14:paraId="3099C577" w14:textId="77777777" w:rsidR="00251DF7" w:rsidRPr="00FF3677" w:rsidRDefault="00251DF7" w:rsidP="00352116">
      <w:pPr>
        <w:pStyle w:val="CommentText"/>
        <w:rPr>
          <w:lang w:val="en-MY"/>
        </w:rPr>
      </w:pPr>
      <w:r>
        <w:rPr>
          <w:rStyle w:val="FootnoteReference"/>
        </w:rPr>
        <w:footnoteRef/>
      </w:r>
      <w:r>
        <w:t xml:space="preserve"> It is the difference between the profitable and unprofitable firms, dividend and non-dividend paying firms, firms with positive and zero R&amp;D expenses, and the firms with positive and zero power, plant and equipment assets.</w:t>
      </w:r>
    </w:p>
  </w:footnote>
  <w:footnote w:id="13">
    <w:p w14:paraId="346B975D" w14:textId="77777777" w:rsidR="00251DF7" w:rsidRPr="001A5BD6" w:rsidRDefault="00251DF7" w:rsidP="00C17A05">
      <w:pPr>
        <w:pStyle w:val="FootnoteText"/>
        <w:rPr>
          <w:lang w:val="en-MY"/>
        </w:rPr>
      </w:pPr>
      <w:r>
        <w:rPr>
          <w:rStyle w:val="FootnoteReference"/>
        </w:rPr>
        <w:footnoteRef/>
      </w:r>
      <w:r>
        <w:t xml:space="preserve"> </w:t>
      </w:r>
      <w:r>
        <w:rPr>
          <w:noProof/>
        </w:rPr>
        <w:t>W</w:t>
      </w:r>
      <w:r w:rsidRPr="00E65AA7">
        <w:rPr>
          <w:noProof/>
        </w:rPr>
        <w:t xml:space="preserve">e do not find a significant difference between the returns of firms with positive </w:t>
      </w:r>
      <w:r>
        <w:rPr>
          <w:noProof/>
        </w:rPr>
        <w:t xml:space="preserve">(high) </w:t>
      </w:r>
      <w:r w:rsidRPr="00E65AA7">
        <w:rPr>
          <w:noProof/>
        </w:rPr>
        <w:t xml:space="preserve">and zero </w:t>
      </w:r>
      <w:r>
        <w:rPr>
          <w:noProof/>
        </w:rPr>
        <w:t xml:space="preserve">(low) </w:t>
      </w:r>
      <w:r w:rsidRPr="00E65AA7">
        <w:rPr>
          <w:noProof/>
        </w:rPr>
        <w:t>RD/A values</w:t>
      </w:r>
      <w:r>
        <w:rPr>
          <w:noProof/>
        </w:rPr>
        <w:t xml:space="preserve"> in L/L sentiment state.</w:t>
      </w:r>
    </w:p>
  </w:footnote>
  <w:footnote w:id="14">
    <w:p w14:paraId="7CC32FA5" w14:textId="5FA93B86" w:rsidR="00251DF7" w:rsidRPr="003512D1" w:rsidRDefault="00251DF7" w:rsidP="00CF79C5">
      <w:pPr>
        <w:pStyle w:val="FootnoteText"/>
        <w:rPr>
          <w:lang w:val="en-MY"/>
        </w:rPr>
      </w:pPr>
      <w:r>
        <w:rPr>
          <w:rStyle w:val="FootnoteReference"/>
        </w:rPr>
        <w:footnoteRef/>
      </w:r>
      <w:r>
        <w:t xml:space="preserve"> We find similar results for other proxies of HVHA stocks; therefore, to save space </w:t>
      </w:r>
      <w:r w:rsidRPr="003512D1">
        <w:t xml:space="preserve">we </w:t>
      </w:r>
      <w:r>
        <w:t xml:space="preserve">only </w:t>
      </w:r>
      <w:r w:rsidRPr="003512D1">
        <w:t>report results for volatility portfolios</w:t>
      </w:r>
      <w:r>
        <w:t>.</w:t>
      </w:r>
    </w:p>
  </w:footnote>
  <w:footnote w:id="15">
    <w:p w14:paraId="4EBE8082" w14:textId="77E79CF4" w:rsidR="00251DF7" w:rsidRPr="0008507E" w:rsidRDefault="00251DF7" w:rsidP="006B7884">
      <w:pPr>
        <w:pStyle w:val="FootnoteText"/>
        <w:spacing w:after="0"/>
        <w:rPr>
          <w:lang w:val="en-MY"/>
        </w:rPr>
      </w:pPr>
      <w:r>
        <w:rPr>
          <w:rStyle w:val="FootnoteReference"/>
        </w:rPr>
        <w:footnoteRef/>
      </w:r>
      <w:r>
        <w:t xml:space="preserve"> In untabulated results, consistent with </w:t>
      </w:r>
      <w:hyperlink w:anchor="_ENREF_6" w:tooltip="Bali, 2011 #460" w:history="1">
        <w:r>
          <w:fldChar w:fldCharType="begin"/>
        </w:r>
        <w:r>
          <w:instrText xml:space="preserve"> ADDIN EN.CITE &lt;EndNote&gt;&lt;Cite AuthorYear="1"&gt;&lt;Author&gt;Bali&lt;/Author&gt;&lt;Year&gt;2011&lt;/Year&gt;&lt;RecNum&gt;460&lt;/RecNum&gt;&lt;DisplayText&gt;Bali et al. (2011)&lt;/DisplayText&gt;&lt;record&gt;&lt;rec-number&gt;460&lt;/rec-number&gt;&lt;foreign-keys&gt;&lt;key app="EN" db-id="vafzs99fq0ew0seasdvvtxzufavxfwxtx2tr" timestamp="1498347155"&gt;460&lt;/key&gt;&lt;/foreign-keys&gt;&lt;ref-type name="Journal Article"&gt;17&lt;/ref-type&gt;&lt;contributors&gt;&lt;authors&gt;&lt;author&gt;Bali, Turan G&lt;/author&gt;&lt;author&gt;Cakici, Nusret&lt;/author&gt;&lt;author&gt;Whitelaw, Robert F&lt;/author&gt;&lt;/authors&gt;&lt;/contributors&gt;&lt;titles&gt;&lt;title&gt;Maxing out: Stocks as lotteries and the cross-section of expected returns&lt;/title&gt;&lt;secondary-title&gt;Journal of Financial Economics&lt;/secondary-title&gt;&lt;/titles&gt;&lt;periodical&gt;&lt;full-title&gt;Journal of Financial Economics&lt;/full-title&gt;&lt;/periodical&gt;&lt;pages&gt;427-446&lt;/pages&gt;&lt;volume&gt;99&lt;/volume&gt;&lt;number&gt;2&lt;/number&gt;&lt;dates&gt;&lt;year&gt;2011&lt;/year&gt;&lt;/dates&gt;&lt;isbn&gt;0304-405X&lt;/isbn&gt;&lt;urls&gt;&lt;/urls&gt;&lt;/record&gt;&lt;/Cite&gt;&lt;/EndNote&gt;</w:instrText>
        </w:r>
        <w:r>
          <w:fldChar w:fldCharType="separate"/>
        </w:r>
        <w:r>
          <w:rPr>
            <w:noProof/>
          </w:rPr>
          <w:t>Bali et al. (2011)</w:t>
        </w:r>
        <w:r>
          <w:fldChar w:fldCharType="end"/>
        </w:r>
      </w:hyperlink>
      <w:r>
        <w:t xml:space="preserve"> we find that the difference in equal-weighted (value-weighted) raw returns between high and low MAX stocks is -0.58% (-0.75%) per month.</w:t>
      </w:r>
    </w:p>
  </w:footnote>
  <w:footnote w:id="16">
    <w:p w14:paraId="7D54EB51" w14:textId="0BE175D2" w:rsidR="00251DF7" w:rsidRPr="00081B01" w:rsidRDefault="00251DF7" w:rsidP="006B7884">
      <w:pPr>
        <w:pStyle w:val="FootnoteText"/>
        <w:spacing w:after="0"/>
        <w:rPr>
          <w:lang w:val="en-MY"/>
        </w:rPr>
      </w:pPr>
      <w:r>
        <w:rPr>
          <w:rStyle w:val="FootnoteReference"/>
        </w:rPr>
        <w:footnoteRef/>
      </w:r>
      <w:r>
        <w:t xml:space="preserve"> In untabulated results, we find that the difference in equal-weighted raw returns between high and low MAX stocks is -1.41% (0.42%) following high (low) sentiment levels index. </w:t>
      </w:r>
    </w:p>
  </w:footnote>
  <w:footnote w:id="17">
    <w:p w14:paraId="22E465BA" w14:textId="3AE9AD89" w:rsidR="00251DF7" w:rsidRPr="0008507E" w:rsidRDefault="00251DF7" w:rsidP="00820635">
      <w:pPr>
        <w:pStyle w:val="FootnoteText"/>
        <w:spacing w:after="0"/>
        <w:rPr>
          <w:lang w:val="en-MY"/>
        </w:rPr>
      </w:pPr>
      <w:r>
        <w:rPr>
          <w:rStyle w:val="FootnoteReference"/>
        </w:rPr>
        <w:footnoteRef/>
      </w:r>
      <w:r>
        <w:t xml:space="preserve"> </w:t>
      </w:r>
      <w:r>
        <w:rPr>
          <w:lang w:val="en-MY"/>
        </w:rPr>
        <w:t>We also sorted stocks based on 2, 3, 4 and 5 daily maximum returns over the past month and find similar results.</w:t>
      </w:r>
    </w:p>
  </w:footnote>
  <w:footnote w:id="18">
    <w:p w14:paraId="12E8C9F5" w14:textId="3AB0E983" w:rsidR="00251DF7" w:rsidRPr="00081B01" w:rsidRDefault="00251DF7" w:rsidP="00820635">
      <w:pPr>
        <w:pStyle w:val="FootnoteText"/>
        <w:spacing w:after="0"/>
        <w:rPr>
          <w:lang w:val="en-MY"/>
        </w:rPr>
      </w:pPr>
      <w:r>
        <w:rPr>
          <w:rStyle w:val="FootnoteReference"/>
        </w:rPr>
        <w:footnoteRef/>
      </w:r>
      <w:r>
        <w:t xml:space="preserve"> </w:t>
      </w:r>
      <w:r>
        <w:rPr>
          <w:lang w:val="en-MY"/>
        </w:rPr>
        <w:t>Our results remain robust to different proxies of investor sentiment.</w:t>
      </w:r>
    </w:p>
  </w:footnote>
  <w:footnote w:id="19">
    <w:p w14:paraId="0832250E" w14:textId="27FF3FB2" w:rsidR="00251DF7" w:rsidRPr="00E824F5" w:rsidRDefault="00251DF7" w:rsidP="001F06FD">
      <w:pPr>
        <w:pStyle w:val="FootnoteText"/>
        <w:rPr>
          <w:lang w:val="en-MY"/>
        </w:rPr>
      </w:pPr>
      <w:r>
        <w:rPr>
          <w:rStyle w:val="FootnoteReference"/>
        </w:rPr>
        <w:footnoteRef/>
      </w:r>
      <w:r>
        <w:t xml:space="preserve"> Studies that discuss the role of short-sale restrictions in overpricing include </w:t>
      </w:r>
      <w:hyperlink w:anchor="_ENREF_31" w:tooltip="Miller, 1977 #465" w:history="1">
        <w:r>
          <w:fldChar w:fldCharType="begin"/>
        </w:r>
        <w:r>
          <w:instrText xml:space="preserve"> ADDIN EN.CITE &lt;EndNote&gt;&lt;Cite AuthorYear="1"&gt;&lt;Author&gt;Miller&lt;/Author&gt;&lt;Year&gt;1977&lt;/Year&gt;&lt;RecNum&gt;465&lt;/RecNum&gt;&lt;DisplayText&gt;Miller (1977)&lt;/DisplayText&gt;&lt;record&gt;&lt;rec-number&gt;465&lt;/rec-number&gt;&lt;foreign-keys&gt;&lt;key app="EN" db-id="vafzs99fq0ew0seasdvvtxzufavxfwxtx2tr" timestamp="1501575489"&gt;465&lt;/key&gt;&lt;/foreign-keys&gt;&lt;ref-type name="Journal Article"&gt;17&lt;/ref-type&gt;&lt;contributors&gt;&lt;authors&gt;&lt;author&gt;Miller, Edward M&lt;/author&gt;&lt;/authors&gt;&lt;/contributors&gt;&lt;titles&gt;&lt;title&gt;Risk, uncertainty, and divergence of opinion&lt;/title&gt;&lt;secondary-title&gt;The Journal of finance&lt;/secondary-title&gt;&lt;/titles&gt;&lt;periodical&gt;&lt;full-title&gt;The Journal of Finance&lt;/full-title&gt;&lt;/periodical&gt;&lt;pages&gt;1151-1168&lt;/pages&gt;&lt;volume&gt;32&lt;/volume&gt;&lt;number&gt;4&lt;/number&gt;&lt;dates&gt;&lt;year&gt;1977&lt;/year&gt;&lt;/dates&gt;&lt;isbn&gt;1540-6261&lt;/isbn&gt;&lt;urls&gt;&lt;/urls&gt;&lt;/record&gt;&lt;/Cite&gt;&lt;/EndNote&gt;</w:instrText>
        </w:r>
        <w:r>
          <w:fldChar w:fldCharType="separate"/>
        </w:r>
        <w:r>
          <w:rPr>
            <w:noProof/>
          </w:rPr>
          <w:t>Miller (1977)</w:t>
        </w:r>
        <w:r>
          <w:fldChar w:fldCharType="end"/>
        </w:r>
      </w:hyperlink>
      <w:r>
        <w:t xml:space="preserve">, </w:t>
      </w:r>
      <w:hyperlink w:anchor="_ENREF_21" w:tooltip="Figlewski, 1981 #466" w:history="1">
        <w:r>
          <w:fldChar w:fldCharType="begin"/>
        </w:r>
        <w:r>
          <w:instrText xml:space="preserve"> ADDIN EN.CITE &lt;EndNote&gt;&lt;Cite AuthorYear="1"&gt;&lt;Author&gt;Figlewski&lt;/Author&gt;&lt;Year&gt;1981&lt;/Year&gt;&lt;RecNum&gt;466&lt;/RecNum&gt;&lt;DisplayText&gt;Figlewski (1981)&lt;/DisplayText&gt;&lt;record&gt;&lt;rec-number&gt;466&lt;/rec-number&gt;&lt;foreign-keys&gt;&lt;key app="EN" db-id="vafzs99fq0ew0seasdvvtxzufavxfwxtx2tr" timestamp="1501575638"&gt;466&lt;/key&gt;&lt;/foreign-keys&gt;&lt;ref-type name="Journal Article"&gt;17&lt;/ref-type&gt;&lt;contributors&gt;&lt;authors&gt;&lt;author&gt;Figlewski, Stephen&lt;/author&gt;&lt;/authors&gt;&lt;/contributors&gt;&lt;titles&gt;&lt;title&gt;The informational effects of restrictions on short sales: Some empirical evidence&lt;/title&gt;&lt;secondary-title&gt;Journal of Financial and Quantitative Analysis&lt;/secondary-title&gt;&lt;/titles&gt;&lt;periodical&gt;&lt;full-title&gt;Journal of Financial and Quantitative Analysis&lt;/full-title&gt;&lt;/periodical&gt;&lt;pages&gt;463-476&lt;/pages&gt;&lt;volume&gt;16&lt;/volume&gt;&lt;number&gt;4&lt;/number&gt;&lt;dates&gt;&lt;year&gt;1981&lt;/year&gt;&lt;/dates&gt;&lt;isbn&gt;1756-6916&lt;/isbn&gt;&lt;urls&gt;&lt;/urls&gt;&lt;/record&gt;&lt;/Cite&gt;&lt;/EndNote&gt;</w:instrText>
        </w:r>
        <w:r>
          <w:fldChar w:fldCharType="separate"/>
        </w:r>
        <w:r>
          <w:rPr>
            <w:noProof/>
          </w:rPr>
          <w:t>Figlewski (1981)</w:t>
        </w:r>
        <w:r>
          <w:fldChar w:fldCharType="end"/>
        </w:r>
      </w:hyperlink>
      <w:r>
        <w:t xml:space="preserve">, </w:t>
      </w:r>
      <w:hyperlink w:anchor="_ENREF_12" w:tooltip="Chen, 2002 #467" w:history="1">
        <w:r>
          <w:fldChar w:fldCharType="begin"/>
        </w:r>
        <w:r>
          <w:instrText xml:space="preserve"> ADDIN EN.CITE &lt;EndNote&gt;&lt;Cite AuthorYear="1"&gt;&lt;Author&gt;Chen&lt;/Author&gt;&lt;Year&gt;2002&lt;/Year&gt;&lt;RecNum&gt;467&lt;/RecNum&gt;&lt;DisplayText&gt;Chen, Hong, and Stein (2002)&lt;/DisplayText&gt;&lt;record&gt;&lt;rec-number&gt;467&lt;/rec-number&gt;&lt;foreign-keys&gt;&lt;key app="EN" db-id="vafzs99fq0ew0seasdvvtxzufavxfwxtx2tr" timestamp="1501575714"&gt;467&lt;/key&gt;&lt;/foreign-keys&gt;&lt;ref-type name="Journal Article"&gt;17&lt;/ref-type&gt;&lt;contributors&gt;&lt;authors&gt;&lt;author&gt;Chen, Joseph&lt;/author&gt;&lt;author&gt;Hong, Harrison&lt;/author&gt;&lt;author&gt;Stein, Jeremy C&lt;/author&gt;&lt;/authors&gt;&lt;/contributors&gt;&lt;titles&gt;&lt;title&gt;Breadth of ownership and stock returns&lt;/title&gt;&lt;secondary-title&gt;Journal of financial Economics&lt;/secondary-title&gt;&lt;/titles&gt;&lt;periodical&gt;&lt;full-title&gt;Journal of Financial Economics&lt;/full-title&gt;&lt;/periodical&gt;&lt;pages&gt;171-205&lt;/pages&gt;&lt;volume&gt;66&lt;/volume&gt;&lt;number&gt;2&lt;/number&gt;&lt;dates&gt;&lt;year&gt;2002&lt;/year&gt;&lt;/dates&gt;&lt;isbn&gt;0304-405X&lt;/isbn&gt;&lt;urls&gt;&lt;/urls&gt;&lt;/record&gt;&lt;/Cite&gt;&lt;/EndNote&gt;</w:instrText>
        </w:r>
        <w:r>
          <w:fldChar w:fldCharType="separate"/>
        </w:r>
        <w:r>
          <w:rPr>
            <w:noProof/>
          </w:rPr>
          <w:t>Chen, Hong, and Stein (2002)</w:t>
        </w:r>
        <w:r>
          <w:fldChar w:fldCharType="end"/>
        </w:r>
      </w:hyperlink>
      <w:r>
        <w:t xml:space="preserve">, </w:t>
      </w:r>
      <w:hyperlink w:anchor="_ENREF_16" w:tooltip="Diether, 2002 #468" w:history="1">
        <w:r>
          <w:fldChar w:fldCharType="begin"/>
        </w:r>
        <w:r>
          <w:instrText xml:space="preserve"> ADDIN EN.CITE &lt;EndNote&gt;&lt;Cite AuthorYear="1"&gt;&lt;Author&gt;Diether&lt;/Author&gt;&lt;Year&gt;2002&lt;/Year&gt;&lt;RecNum&gt;468&lt;/RecNum&gt;&lt;DisplayText&gt;Diether, Malloy, and Scherbina (2002)&lt;/DisplayText&gt;&lt;record&gt;&lt;rec-number&gt;468&lt;/rec-number&gt;&lt;foreign-keys&gt;&lt;key app="EN" db-id="vafzs99fq0ew0seasdvvtxzufavxfwxtx2tr" timestamp="1501576124"&gt;468&lt;/key&gt;&lt;/foreign-keys&gt;&lt;ref-type name="Journal Article"&gt;17&lt;/ref-type&gt;&lt;contributors&gt;&lt;authors&gt;&lt;author&gt;Diether, Karl B&lt;/author&gt;&lt;author&gt;Malloy, Christopher J&lt;/author&gt;&lt;author&gt;Scherbina, Anna&lt;/author&gt;&lt;/authors&gt;&lt;/contributors&gt;&lt;titles&gt;&lt;title&gt;Differences of opinion and the cross section of stock returns&lt;/title&gt;&lt;secondary-title&gt;The Journal of Finance&lt;/secondary-title&gt;&lt;/titles&gt;&lt;periodical&gt;&lt;full-title&gt;The Journal of Finance&lt;/full-title&gt;&lt;/periodical&gt;&lt;pages&gt;2113-2141&lt;/pages&gt;&lt;volume&gt;57&lt;/volume&gt;&lt;number&gt;5&lt;/number&gt;&lt;dates&gt;&lt;year&gt;2002&lt;/year&gt;&lt;/dates&gt;&lt;isbn&gt;1540-6261&lt;/isbn&gt;&lt;urls&gt;&lt;/urls&gt;&lt;/record&gt;&lt;/Cite&gt;&lt;/EndNote&gt;</w:instrText>
        </w:r>
        <w:r>
          <w:fldChar w:fldCharType="separate"/>
        </w:r>
        <w:r>
          <w:rPr>
            <w:noProof/>
          </w:rPr>
          <w:t>Diether, Malloy, and Scherbina (2002)</w:t>
        </w:r>
        <w:r>
          <w:fldChar w:fldCharType="end"/>
        </w:r>
      </w:hyperlink>
      <w:r>
        <w:t xml:space="preserve">, </w:t>
      </w:r>
      <w:hyperlink w:anchor="_ENREF_17" w:tooltip="Duffie, 2002 #469" w:history="1">
        <w:r>
          <w:fldChar w:fldCharType="begin"/>
        </w:r>
        <w:r>
          <w:instrText xml:space="preserve"> ADDIN EN.CITE &lt;EndNote&gt;&lt;Cite AuthorYear="1"&gt;&lt;Author&gt;Duffie&lt;/Author&gt;&lt;Year&gt;2002&lt;/Year&gt;&lt;RecNum&gt;469&lt;/RecNum&gt;&lt;DisplayText&gt;Duffie, Garleanu, and Pedersen (2002)&lt;/DisplayText&gt;&lt;record&gt;&lt;rec-number&gt;469&lt;/rec-number&gt;&lt;foreign-keys&gt;&lt;key app="EN" db-id="vafzs99fq0ew0seasdvvtxzufavxfwxtx2tr" timestamp="1501576228"&gt;469&lt;/key&gt;&lt;/foreign-keys&gt;&lt;ref-type name="Journal Article"&gt;17&lt;/ref-type&gt;&lt;contributors&gt;&lt;authors&gt;&lt;author&gt;Duffie, Darrell&lt;/author&gt;&lt;author&gt;Garleanu, Nicolae&lt;/author&gt;&lt;author&gt;Pedersen, Lasse Heje&lt;/author&gt;&lt;/authors&gt;&lt;/contributors&gt;&lt;titles&gt;&lt;title&gt;Securities lending, shorting, and pricing&lt;/title&gt;&lt;secondary-title&gt;Journal of Financial Economics&lt;/secondary-title&gt;&lt;/titles&gt;&lt;periodical&gt;&lt;full-title&gt;Journal of Financial Economics&lt;/full-title&gt;&lt;/periodical&gt;&lt;pages&gt;307-339&lt;/pages&gt;&lt;volume&gt;66&lt;/volume&gt;&lt;number&gt;2&lt;/number&gt;&lt;dates&gt;&lt;year&gt;2002&lt;/year&gt;&lt;/dates&gt;&lt;isbn&gt;0304-405X&lt;/isbn&gt;&lt;urls&gt;&lt;/urls&gt;&lt;/record&gt;&lt;/Cite&gt;&lt;/EndNote&gt;</w:instrText>
        </w:r>
        <w:r>
          <w:fldChar w:fldCharType="separate"/>
        </w:r>
        <w:r>
          <w:rPr>
            <w:noProof/>
          </w:rPr>
          <w:t>Duffie, Garleanu, and Pedersen (2002)</w:t>
        </w:r>
        <w:r>
          <w:fldChar w:fldCharType="end"/>
        </w:r>
      </w:hyperlink>
      <w:r>
        <w:t xml:space="preserve">, </w:t>
      </w:r>
      <w:hyperlink w:anchor="_ENREF_36" w:tooltip="Scheinkman, 2003 #470" w:history="1">
        <w:r>
          <w:fldChar w:fldCharType="begin"/>
        </w:r>
        <w:r>
          <w:instrText xml:space="preserve"> ADDIN EN.CITE &lt;EndNote&gt;&lt;Cite AuthorYear="1"&gt;&lt;Author&gt;Scheinkman&lt;/Author&gt;&lt;Year&gt;2003&lt;/Year&gt;&lt;RecNum&gt;470&lt;/RecNum&gt;&lt;DisplayText&gt;Scheinkman and Xiong (2003)&lt;/DisplayText&gt;&lt;record&gt;&lt;rec-number&gt;470&lt;/rec-number&gt;&lt;foreign-keys&gt;&lt;key app="EN" db-id="vafzs99fq0ew0seasdvvtxzufavxfwxtx2tr" timestamp="1501576372"&gt;470&lt;/key&gt;&lt;/foreign-keys&gt;&lt;ref-type name="Journal Article"&gt;17&lt;/ref-type&gt;&lt;contributors&gt;&lt;authors&gt;&lt;author&gt;Scheinkman, Jose A&lt;/author&gt;&lt;author&gt;Xiong, Wei&lt;/author&gt;&lt;/authors&gt;&lt;/contributors&gt;&lt;titles&gt;&lt;title&gt;Overconfidence and speculative bubbles&lt;/title&gt;&lt;secondary-title&gt;Journal of political Economy&lt;/secondary-title&gt;&lt;/titles&gt;&lt;periodical&gt;&lt;full-title&gt;Journal of political Economy&lt;/full-title&gt;&lt;/periodical&gt;&lt;pages&gt;1183-1220&lt;/pages&gt;&lt;volume&gt;111&lt;/volume&gt;&lt;number&gt;6&lt;/number&gt;&lt;dates&gt;&lt;year&gt;2003&lt;/year&gt;&lt;/dates&gt;&lt;isbn&gt;0022-3808&lt;/isbn&gt;&lt;urls&gt;&lt;/urls&gt;&lt;/record&gt;&lt;/Cite&gt;&lt;/EndNote&gt;</w:instrText>
        </w:r>
        <w:r>
          <w:fldChar w:fldCharType="separate"/>
        </w:r>
        <w:r>
          <w:rPr>
            <w:noProof/>
          </w:rPr>
          <w:t>Scheinkman and Xiong (2003)</w:t>
        </w:r>
        <w:r>
          <w:fldChar w:fldCharType="end"/>
        </w:r>
      </w:hyperlink>
      <w:r>
        <w:t xml:space="preserve">, </w:t>
      </w:r>
      <w:hyperlink w:anchor="_ENREF_30" w:tooltip="Lamont, 2004 #472" w:history="1">
        <w:r>
          <w:fldChar w:fldCharType="begin"/>
        </w:r>
        <w:r>
          <w:instrText xml:space="preserve"> ADDIN EN.CITE &lt;EndNote&gt;&lt;Cite AuthorYear="1"&gt;&lt;Author&gt;Lamont&lt;/Author&gt;&lt;Year&gt;2004&lt;/Year&gt;&lt;RecNum&gt;472&lt;/RecNum&gt;&lt;DisplayText&gt;Lamont and Stein (2004)&lt;/DisplayText&gt;&lt;record&gt;&lt;rec-number&gt;472&lt;/rec-number&gt;&lt;foreign-keys&gt;&lt;key app="EN" db-id="vafzs99fq0ew0seasdvvtxzufavxfwxtx2tr" timestamp="1501576618"&gt;472&lt;/key&gt;&lt;/foreign-keys&gt;&lt;ref-type name="Journal Article"&gt;17&lt;/ref-type&gt;&lt;contributors&gt;&lt;authors&gt;&lt;author&gt;Lamont, Owen A&lt;/author&gt;&lt;author&gt;Stein, Jeremy C&lt;/author&gt;&lt;/authors&gt;&lt;/contributors&gt;&lt;titles&gt;&lt;title&gt;Aggregate Short Interest and Market Valuations&lt;/title&gt;&lt;secondary-title&gt;The American Economic Review&lt;/secondary-title&gt;&lt;/titles&gt;&lt;periodical&gt;&lt;full-title&gt;The American Economic Review&lt;/full-title&gt;&lt;/periodical&gt;&lt;pages&gt;29&lt;/pages&gt;&lt;volume&gt;94&lt;/volume&gt;&lt;number&gt;2&lt;/number&gt;&lt;dates&gt;&lt;year&gt;2004&lt;/year&gt;&lt;/dates&gt;&lt;isbn&gt;0002-8282&lt;/isbn&gt;&lt;urls&gt;&lt;/urls&gt;&lt;/record&gt;&lt;/Cite&gt;&lt;/EndNote&gt;</w:instrText>
        </w:r>
        <w:r>
          <w:fldChar w:fldCharType="separate"/>
        </w:r>
        <w:r>
          <w:rPr>
            <w:noProof/>
          </w:rPr>
          <w:t>Lamont and Stein (2004)</w:t>
        </w:r>
        <w:r>
          <w:fldChar w:fldCharType="end"/>
        </w:r>
      </w:hyperlink>
      <w:hyperlink w:anchor="_ENREF_19" w:tooltip="Lamont, 2004 #471" w:history="1"/>
      <w:r>
        <w:t xml:space="preserve">, </w:t>
      </w:r>
      <w:hyperlink w:anchor="_ENREF_33" w:tooltip="Ofek, 2004 #473" w:history="1">
        <w:r>
          <w:fldChar w:fldCharType="begin"/>
        </w:r>
        <w:r>
          <w:instrText xml:space="preserve"> ADDIN EN.CITE &lt;EndNote&gt;&lt;Cite AuthorYear="1"&gt;&lt;Author&gt;Ofek&lt;/Author&gt;&lt;Year&gt;2004&lt;/Year&gt;&lt;RecNum&gt;473&lt;/RecNum&gt;&lt;DisplayText&gt;Ofek, Richardson, and Whitelaw (2004)&lt;/DisplayText&gt;&lt;record&gt;&lt;rec-number&gt;473&lt;/rec-number&gt;&lt;foreign-keys&gt;&lt;key app="EN" db-id="vafzs99fq0ew0seasdvvtxzufavxfwxtx2tr" timestamp="1501576728"&gt;473&lt;/key&gt;&lt;/foreign-keys&gt;&lt;ref-type name="Journal Article"&gt;17&lt;/ref-type&gt;&lt;contributors&gt;&lt;authors&gt;&lt;author&gt;Ofek, Eli&lt;/author&gt;&lt;author&gt;Richardson, Matthew&lt;/author&gt;&lt;author&gt;Whitelaw, Robert F&lt;/author&gt;&lt;/authors&gt;&lt;/contributors&gt;&lt;titles&gt;&lt;title&gt;Limited arbitrage and short sales restrictions: Evidence from the options markets&lt;/title&gt;&lt;secondary-title&gt;Journal of Financial Economics&lt;/secondary-title&gt;&lt;/titles&gt;&lt;periodical&gt;&lt;full-title&gt;Journal of Financial Economics&lt;/full-title&gt;&lt;/periodical&gt;&lt;pages&gt;305-342&lt;/pages&gt;&lt;volume&gt;74&lt;/volume&gt;&lt;number&gt;2&lt;/number&gt;&lt;dates&gt;&lt;year&gt;2004&lt;/year&gt;&lt;/dates&gt;&lt;isbn&gt;0304-405X&lt;/isbn&gt;&lt;urls&gt;&lt;/urls&gt;&lt;/record&gt;&lt;/Cite&gt;&lt;/EndNote&gt;</w:instrText>
        </w:r>
        <w:r>
          <w:fldChar w:fldCharType="separate"/>
        </w:r>
        <w:r>
          <w:rPr>
            <w:noProof/>
          </w:rPr>
          <w:t>Ofek, Richardson, and Whitelaw (2004)</w:t>
        </w:r>
        <w:r>
          <w:fldChar w:fldCharType="end"/>
        </w:r>
      </w:hyperlink>
      <w:r>
        <w:t xml:space="preserve">, </w:t>
      </w:r>
      <w:hyperlink w:anchor="_ENREF_32" w:tooltip="Nagel, 2005 #474" w:history="1">
        <w:r>
          <w:fldChar w:fldCharType="begin"/>
        </w:r>
        <w:r>
          <w:instrText xml:space="preserve"> ADDIN EN.CITE &lt;EndNote&gt;&lt;Cite AuthorYear="1"&gt;&lt;Author&gt;Nagel&lt;/Author&gt;&lt;Year&gt;2005&lt;/Year&gt;&lt;RecNum&gt;474&lt;/RecNum&gt;&lt;DisplayText&gt;Nagel (2005)&lt;/DisplayText&gt;&lt;record&gt;&lt;rec-number&gt;474&lt;/rec-number&gt;&lt;foreign-keys&gt;&lt;key app="EN" db-id="vafzs99fq0ew0seasdvvtxzufavxfwxtx2tr" timestamp="1501576836"&gt;474&lt;/key&gt;&lt;/foreign-keys&gt;&lt;ref-type name="Journal Article"&gt;17&lt;/ref-type&gt;&lt;contributors&gt;&lt;authors&gt;&lt;author&gt;Nagel, Stefan&lt;/author&gt;&lt;/authors&gt;&lt;/contributors&gt;&lt;titles&gt;&lt;title&gt;Short sales, institutional investors and the cross-section of stock returns&lt;/title&gt;&lt;secondary-title&gt;Journal of Financial Economics&lt;/secondary-title&gt;&lt;/titles&gt;&lt;periodical&gt;&lt;full-title&gt;Journal of Financial Economics&lt;/full-title&gt;&lt;/periodical&gt;&lt;pages&gt;277-309&lt;/pages&gt;&lt;volume&gt;78&lt;/volume&gt;&lt;number&gt;2&lt;/number&gt;&lt;dates&gt;&lt;year&gt;2005&lt;/year&gt;&lt;/dates&gt;&lt;isbn&gt;0304-405X&lt;/isbn&gt;&lt;urls&gt;&lt;/urls&gt;&lt;/record&gt;&lt;/Cite&gt;&lt;/EndNote&gt;</w:instrText>
        </w:r>
        <w:r>
          <w:fldChar w:fldCharType="separate"/>
        </w:r>
        <w:r>
          <w:rPr>
            <w:noProof/>
          </w:rPr>
          <w:t>Nagel (2005)</w:t>
        </w:r>
        <w:r>
          <w:fldChar w:fldCharType="end"/>
        </w:r>
      </w:hyperlink>
      <w:r>
        <w:t xml:space="preserve">, and </w:t>
      </w:r>
      <w:hyperlink w:anchor="_ENREF_1" w:tooltip="Avramov, 2013 #475" w:history="1">
        <w:r>
          <w:fldChar w:fldCharType="begin"/>
        </w:r>
        <w:r>
          <w:instrText xml:space="preserve"> ADDIN EN.CITE &lt;EndNote&gt;&lt;Cite AuthorYear="1"&gt;&lt;Author&gt;Avramov&lt;/Author&gt;&lt;Year&gt;2013&lt;/Year&gt;&lt;RecNum&gt;475&lt;/RecNum&gt;&lt;DisplayText&gt;Avramov, Chordia, Jostova, and Philipov (2013)&lt;/DisplayText&gt;&lt;record&gt;&lt;rec-number&gt;475&lt;/rec-number&gt;&lt;foreign-keys&gt;&lt;key app="EN" db-id="vafzs99fq0ew0seasdvvtxzufavxfwxtx2tr" timestamp="1501576909"&gt;475&lt;/key&gt;&lt;/foreign-keys&gt;&lt;ref-type name="Journal Article"&gt;17&lt;/ref-type&gt;&lt;contributors&gt;&lt;authors&gt;&lt;author&gt;Avramov, Doron&lt;/author&gt;&lt;author&gt;Chordia, Tarun&lt;/author&gt;&lt;author&gt;Jostova, Gergana&lt;/author&gt;&lt;author&gt;Philipov, Alexander&lt;/author&gt;&lt;/authors&gt;&lt;/contributors&gt;&lt;titles&gt;&lt;title&gt;Anomalies and financial distress&lt;/title&gt;&lt;secondary-title&gt;Journal of Financial Economics&lt;/secondary-title&gt;&lt;/titles&gt;&lt;periodical&gt;&lt;full-title&gt;Journal of Financial Economics&lt;/full-title&gt;&lt;/periodical&gt;&lt;pages&gt;139-159&lt;/pages&gt;&lt;volume&gt;108&lt;/volume&gt;&lt;number&gt;1&lt;/number&gt;&lt;dates&gt;&lt;year&gt;2013&lt;/year&gt;&lt;/dates&gt;&lt;isbn&gt;0304-405X&lt;/isbn&gt;&lt;urls&gt;&lt;/urls&gt;&lt;/record&gt;&lt;/Cite&gt;&lt;/EndNote&gt;</w:instrText>
        </w:r>
        <w:r>
          <w:fldChar w:fldCharType="separate"/>
        </w:r>
        <w:r>
          <w:rPr>
            <w:noProof/>
          </w:rPr>
          <w:t>Avramov, Chordia, Jostova, and Philipov (2013)</w:t>
        </w:r>
        <w:r>
          <w:fldChar w:fldCharType="end"/>
        </w:r>
      </w:hyperlink>
      <w:r>
        <w:t>.</w:t>
      </w:r>
    </w:p>
  </w:footnote>
  <w:footnote w:id="20">
    <w:p w14:paraId="48A84924" w14:textId="08857D98" w:rsidR="00251DF7" w:rsidRPr="00D85024" w:rsidRDefault="00251DF7" w:rsidP="005D7A35">
      <w:pPr>
        <w:pStyle w:val="FootnoteText"/>
        <w:rPr>
          <w:lang w:val="en-MY"/>
        </w:rPr>
      </w:pPr>
      <w:r>
        <w:rPr>
          <w:rStyle w:val="FootnoteReference"/>
        </w:rPr>
        <w:footnoteRef/>
      </w:r>
      <w:r>
        <w:t xml:space="preserve"> </w:t>
      </w:r>
      <w:r>
        <w:rPr>
          <w:lang w:val="en-MY"/>
        </w:rPr>
        <w:t>The results in Table 8 shows right signs for all sentiment states, but the results are not statistically significant for L/H state using VIX, and H/H and L/L state using BBS as proxies of investor sentiment.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4D65"/>
    <w:multiLevelType w:val="multilevel"/>
    <w:tmpl w:val="6F2C8526"/>
    <w:lvl w:ilvl="0">
      <w:start w:val="1"/>
      <w:numFmt w:val="upperLetter"/>
      <w:pStyle w:val="App"/>
      <w:suff w:val="nothing"/>
      <w:lvlText w:val="     Appendix %1"/>
      <w:lvlJc w:val="left"/>
      <w:pPr>
        <w:ind w:left="432" w:hanging="432"/>
      </w:pPr>
      <w:rPr>
        <w:rFonts w:hint="default"/>
      </w:rPr>
    </w:lvl>
    <w:lvl w:ilvl="1">
      <w:start w:val="1"/>
      <w:numFmt w:val="decimal"/>
      <w:pStyle w:val="App2"/>
      <w:lvlText w:val="%1.%2"/>
      <w:lvlJc w:val="left"/>
      <w:pPr>
        <w:tabs>
          <w:tab w:val="num" w:pos="576"/>
        </w:tabs>
        <w:ind w:left="576" w:hanging="576"/>
      </w:pPr>
      <w:rPr>
        <w:rFonts w:hint="default"/>
      </w:rPr>
    </w:lvl>
    <w:lvl w:ilvl="2">
      <w:start w:val="1"/>
      <w:numFmt w:val="decimal"/>
      <w:pStyle w:val="Ap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BC5167"/>
    <w:multiLevelType w:val="hybridMultilevel"/>
    <w:tmpl w:val="61E620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B4D12C1"/>
    <w:multiLevelType w:val="hybridMultilevel"/>
    <w:tmpl w:val="64BCF2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C6D65F8"/>
    <w:multiLevelType w:val="multilevel"/>
    <w:tmpl w:val="75862E5E"/>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C03461"/>
    <w:multiLevelType w:val="hybridMultilevel"/>
    <w:tmpl w:val="64BCF2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17D1F9B"/>
    <w:multiLevelType w:val="hybridMultilevel"/>
    <w:tmpl w:val="47D2A8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D4F076F"/>
    <w:multiLevelType w:val="hybridMultilevel"/>
    <w:tmpl w:val="64BCF2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DBA2005"/>
    <w:multiLevelType w:val="hybridMultilevel"/>
    <w:tmpl w:val="0A6C13E2"/>
    <w:lvl w:ilvl="0" w:tplc="4409000F">
      <w:start w:val="1"/>
      <w:numFmt w:val="decimal"/>
      <w:lvlText w:val="%1."/>
      <w:lvlJc w:val="left"/>
      <w:pPr>
        <w:ind w:left="3600" w:hanging="360"/>
      </w:pPr>
      <w:rPr>
        <w:rFonts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8" w15:restartNumberingAfterBreak="0">
    <w:nsid w:val="5F9C242A"/>
    <w:multiLevelType w:val="hybridMultilevel"/>
    <w:tmpl w:val="26841E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F7136D"/>
    <w:multiLevelType w:val="hybridMultilevel"/>
    <w:tmpl w:val="8918051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2"/>
  </w:num>
  <w:num w:numId="6">
    <w:abstractNumId w:val="6"/>
  </w:num>
  <w:num w:numId="7">
    <w:abstractNumId w:val="7"/>
  </w:num>
  <w:num w:numId="8">
    <w:abstractNumId w:val="8"/>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UwMTUxMrMwNTexMLNU0lEKTi0uzszPAykwNKoFADJE3sctAAAA"/>
    <w:docVar w:name="EN.InstantFormat" w:val="&lt;ENInstantFormat&gt;&lt;Enabled&gt;1&lt;/Enabled&gt;&lt;ScanUnformatted&gt;1&lt;/ScanUnformatted&gt;&lt;ScanChanges&gt;1&lt;/ScanChanges&gt;&lt;Suspended&gt;0&lt;/Suspended&gt;&lt;/ENInstantFormat&gt;"/>
    <w:docVar w:name="EN.Layout" w:val="&lt;ENLayout&gt;&lt;Style&gt;Intl Rev Econ Finance&lt;/Style&gt;&lt;LeftDelim&gt;{&lt;/LeftDelim&gt;&lt;RightDelim&gt;}&lt;/RightDelim&gt;&lt;FontName&gt;Times New Roman&lt;/FontName&gt;&lt;FontSize&gt;12&lt;/FontSize&gt;&lt;ReflistTitle&gt;&lt;style face=&quot;bold&quot; size=&quot;16&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vafzs99fq0ew0seasdvvtxzufavxfwxtx2tr&quot;&gt;CHEEMA EndNote Library&lt;record-ids&gt;&lt;item&gt;4&lt;/item&gt;&lt;item&gt;86&lt;/item&gt;&lt;item&gt;88&lt;/item&gt;&lt;item&gt;89&lt;/item&gt;&lt;item&gt;280&lt;/item&gt;&lt;item&gt;325&lt;/item&gt;&lt;item&gt;326&lt;/item&gt;&lt;item&gt;345&lt;/item&gt;&lt;item&gt;351&lt;/item&gt;&lt;item&gt;373&lt;/item&gt;&lt;item&gt;374&lt;/item&gt;&lt;item&gt;376&lt;/item&gt;&lt;item&gt;410&lt;/item&gt;&lt;item&gt;418&lt;/item&gt;&lt;item&gt;419&lt;/item&gt;&lt;item&gt;420&lt;/item&gt;&lt;item&gt;421&lt;/item&gt;&lt;item&gt;422&lt;/item&gt;&lt;item&gt;436&lt;/item&gt;&lt;item&gt;460&lt;/item&gt;&lt;item&gt;461&lt;/item&gt;&lt;item&gt;463&lt;/item&gt;&lt;item&gt;464&lt;/item&gt;&lt;item&gt;465&lt;/item&gt;&lt;item&gt;466&lt;/item&gt;&lt;item&gt;467&lt;/item&gt;&lt;item&gt;468&lt;/item&gt;&lt;item&gt;469&lt;/item&gt;&lt;item&gt;470&lt;/item&gt;&lt;item&gt;472&lt;/item&gt;&lt;item&gt;473&lt;/item&gt;&lt;item&gt;474&lt;/item&gt;&lt;item&gt;475&lt;/item&gt;&lt;item&gt;480&lt;/item&gt;&lt;item&gt;481&lt;/item&gt;&lt;item&gt;482&lt;/item&gt;&lt;item&gt;483&lt;/item&gt;&lt;item&gt;484&lt;/item&gt;&lt;item&gt;487&lt;/item&gt;&lt;item&gt;488&lt;/item&gt;&lt;item&gt;505&lt;/item&gt;&lt;item&gt;506&lt;/item&gt;&lt;item&gt;507&lt;/item&gt;&lt;item&gt;568&lt;/item&gt;&lt;item&gt;570&lt;/item&gt;&lt;item&gt;571&lt;/item&gt;&lt;/record-ids&gt;&lt;/item&gt;&lt;/Libraries&gt;"/>
  </w:docVars>
  <w:rsids>
    <w:rsidRoot w:val="00F64758"/>
    <w:rsid w:val="0000067F"/>
    <w:rsid w:val="000009FA"/>
    <w:rsid w:val="00000C38"/>
    <w:rsid w:val="00000D49"/>
    <w:rsid w:val="0000153C"/>
    <w:rsid w:val="00001597"/>
    <w:rsid w:val="0000196E"/>
    <w:rsid w:val="000019A6"/>
    <w:rsid w:val="000019F5"/>
    <w:rsid w:val="00001A4E"/>
    <w:rsid w:val="00001D67"/>
    <w:rsid w:val="000027A5"/>
    <w:rsid w:val="000028CD"/>
    <w:rsid w:val="000033AC"/>
    <w:rsid w:val="000039DD"/>
    <w:rsid w:val="00003A42"/>
    <w:rsid w:val="00003BDA"/>
    <w:rsid w:val="00003DA0"/>
    <w:rsid w:val="000044EA"/>
    <w:rsid w:val="000049C3"/>
    <w:rsid w:val="00004AA4"/>
    <w:rsid w:val="000051D7"/>
    <w:rsid w:val="00005A54"/>
    <w:rsid w:val="00005BF7"/>
    <w:rsid w:val="000065C3"/>
    <w:rsid w:val="00006B68"/>
    <w:rsid w:val="00006D9C"/>
    <w:rsid w:val="00006EB6"/>
    <w:rsid w:val="000072FB"/>
    <w:rsid w:val="000075BA"/>
    <w:rsid w:val="0000762D"/>
    <w:rsid w:val="000077A5"/>
    <w:rsid w:val="000079EE"/>
    <w:rsid w:val="000103A5"/>
    <w:rsid w:val="00010AC2"/>
    <w:rsid w:val="00010EC2"/>
    <w:rsid w:val="00010FEE"/>
    <w:rsid w:val="00011239"/>
    <w:rsid w:val="00011273"/>
    <w:rsid w:val="0001182D"/>
    <w:rsid w:val="0001187C"/>
    <w:rsid w:val="000127D1"/>
    <w:rsid w:val="000128DA"/>
    <w:rsid w:val="0001323B"/>
    <w:rsid w:val="00013A43"/>
    <w:rsid w:val="00013D4C"/>
    <w:rsid w:val="00014122"/>
    <w:rsid w:val="0001454E"/>
    <w:rsid w:val="00014629"/>
    <w:rsid w:val="00014932"/>
    <w:rsid w:val="00014B2E"/>
    <w:rsid w:val="00014F75"/>
    <w:rsid w:val="0001527A"/>
    <w:rsid w:val="00015966"/>
    <w:rsid w:val="000159BC"/>
    <w:rsid w:val="00015C2F"/>
    <w:rsid w:val="00016A8C"/>
    <w:rsid w:val="00016E9A"/>
    <w:rsid w:val="0001749E"/>
    <w:rsid w:val="00017C14"/>
    <w:rsid w:val="00017D3A"/>
    <w:rsid w:val="0002057C"/>
    <w:rsid w:val="0002081C"/>
    <w:rsid w:val="00020942"/>
    <w:rsid w:val="000214FD"/>
    <w:rsid w:val="000215AF"/>
    <w:rsid w:val="000218F2"/>
    <w:rsid w:val="00021DD1"/>
    <w:rsid w:val="00022172"/>
    <w:rsid w:val="00022CB9"/>
    <w:rsid w:val="0002302C"/>
    <w:rsid w:val="0002346B"/>
    <w:rsid w:val="000236E5"/>
    <w:rsid w:val="000237BF"/>
    <w:rsid w:val="00023BC6"/>
    <w:rsid w:val="00024268"/>
    <w:rsid w:val="0002450D"/>
    <w:rsid w:val="00024E79"/>
    <w:rsid w:val="00024FC0"/>
    <w:rsid w:val="000251B7"/>
    <w:rsid w:val="000258BE"/>
    <w:rsid w:val="00025DBB"/>
    <w:rsid w:val="00025ECC"/>
    <w:rsid w:val="00026378"/>
    <w:rsid w:val="0002638F"/>
    <w:rsid w:val="00026422"/>
    <w:rsid w:val="00026DB5"/>
    <w:rsid w:val="00027577"/>
    <w:rsid w:val="00027606"/>
    <w:rsid w:val="000277A6"/>
    <w:rsid w:val="00027811"/>
    <w:rsid w:val="00027FB6"/>
    <w:rsid w:val="000305E8"/>
    <w:rsid w:val="00030B8D"/>
    <w:rsid w:val="00030C3C"/>
    <w:rsid w:val="00031160"/>
    <w:rsid w:val="000312FC"/>
    <w:rsid w:val="00032532"/>
    <w:rsid w:val="00032DDB"/>
    <w:rsid w:val="00032FB7"/>
    <w:rsid w:val="0003312D"/>
    <w:rsid w:val="00034799"/>
    <w:rsid w:val="00034CDD"/>
    <w:rsid w:val="00034D5B"/>
    <w:rsid w:val="00034FCE"/>
    <w:rsid w:val="00035C63"/>
    <w:rsid w:val="00036235"/>
    <w:rsid w:val="0003627F"/>
    <w:rsid w:val="000362C3"/>
    <w:rsid w:val="000365A1"/>
    <w:rsid w:val="00037736"/>
    <w:rsid w:val="00037913"/>
    <w:rsid w:val="00037FEC"/>
    <w:rsid w:val="00040318"/>
    <w:rsid w:val="00040770"/>
    <w:rsid w:val="00040AF6"/>
    <w:rsid w:val="000417CB"/>
    <w:rsid w:val="00042184"/>
    <w:rsid w:val="00042562"/>
    <w:rsid w:val="000427DB"/>
    <w:rsid w:val="000429C3"/>
    <w:rsid w:val="00042E7C"/>
    <w:rsid w:val="00042FA0"/>
    <w:rsid w:val="00043275"/>
    <w:rsid w:val="000436E7"/>
    <w:rsid w:val="00043A6C"/>
    <w:rsid w:val="00043D07"/>
    <w:rsid w:val="00043E15"/>
    <w:rsid w:val="00043EF0"/>
    <w:rsid w:val="000441C4"/>
    <w:rsid w:val="000444E3"/>
    <w:rsid w:val="000445A5"/>
    <w:rsid w:val="000449B4"/>
    <w:rsid w:val="00044A1D"/>
    <w:rsid w:val="000450AD"/>
    <w:rsid w:val="00045103"/>
    <w:rsid w:val="0004513A"/>
    <w:rsid w:val="00045E8C"/>
    <w:rsid w:val="000463A4"/>
    <w:rsid w:val="00046A46"/>
    <w:rsid w:val="00046ED0"/>
    <w:rsid w:val="00046FD6"/>
    <w:rsid w:val="00047210"/>
    <w:rsid w:val="00047858"/>
    <w:rsid w:val="000509D0"/>
    <w:rsid w:val="00050AC5"/>
    <w:rsid w:val="00051AC7"/>
    <w:rsid w:val="00051EE3"/>
    <w:rsid w:val="00052345"/>
    <w:rsid w:val="0005262E"/>
    <w:rsid w:val="00052711"/>
    <w:rsid w:val="00052755"/>
    <w:rsid w:val="000527E4"/>
    <w:rsid w:val="00053B5E"/>
    <w:rsid w:val="00053DF7"/>
    <w:rsid w:val="0005448B"/>
    <w:rsid w:val="0005507E"/>
    <w:rsid w:val="0005510E"/>
    <w:rsid w:val="00055121"/>
    <w:rsid w:val="000552EE"/>
    <w:rsid w:val="0005572C"/>
    <w:rsid w:val="00055C08"/>
    <w:rsid w:val="00055FB3"/>
    <w:rsid w:val="000564D0"/>
    <w:rsid w:val="00057007"/>
    <w:rsid w:val="00057211"/>
    <w:rsid w:val="00057A91"/>
    <w:rsid w:val="00057C29"/>
    <w:rsid w:val="00057F28"/>
    <w:rsid w:val="00057FD3"/>
    <w:rsid w:val="000605B5"/>
    <w:rsid w:val="000610D6"/>
    <w:rsid w:val="00061261"/>
    <w:rsid w:val="00061975"/>
    <w:rsid w:val="000623AA"/>
    <w:rsid w:val="000624DC"/>
    <w:rsid w:val="000628F4"/>
    <w:rsid w:val="00063008"/>
    <w:rsid w:val="00063248"/>
    <w:rsid w:val="00063404"/>
    <w:rsid w:val="00063B9A"/>
    <w:rsid w:val="00064235"/>
    <w:rsid w:val="0006475D"/>
    <w:rsid w:val="00064C06"/>
    <w:rsid w:val="00065410"/>
    <w:rsid w:val="000657BF"/>
    <w:rsid w:val="00065960"/>
    <w:rsid w:val="00065B7E"/>
    <w:rsid w:val="00065F27"/>
    <w:rsid w:val="0006603E"/>
    <w:rsid w:val="0006625D"/>
    <w:rsid w:val="000665A6"/>
    <w:rsid w:val="00066750"/>
    <w:rsid w:val="000667F2"/>
    <w:rsid w:val="000668FC"/>
    <w:rsid w:val="00066F04"/>
    <w:rsid w:val="00067533"/>
    <w:rsid w:val="0006766A"/>
    <w:rsid w:val="00067770"/>
    <w:rsid w:val="00067EEE"/>
    <w:rsid w:val="00071606"/>
    <w:rsid w:val="00071BBC"/>
    <w:rsid w:val="0007295C"/>
    <w:rsid w:val="000731D2"/>
    <w:rsid w:val="000733A2"/>
    <w:rsid w:val="0007362F"/>
    <w:rsid w:val="000736B6"/>
    <w:rsid w:val="00073926"/>
    <w:rsid w:val="00073F4D"/>
    <w:rsid w:val="00074469"/>
    <w:rsid w:val="00074699"/>
    <w:rsid w:val="00074C52"/>
    <w:rsid w:val="00075953"/>
    <w:rsid w:val="000762BB"/>
    <w:rsid w:val="00076ED6"/>
    <w:rsid w:val="00076FB5"/>
    <w:rsid w:val="00077041"/>
    <w:rsid w:val="00077B7C"/>
    <w:rsid w:val="00077F6E"/>
    <w:rsid w:val="00080018"/>
    <w:rsid w:val="000800AA"/>
    <w:rsid w:val="000808CD"/>
    <w:rsid w:val="00080923"/>
    <w:rsid w:val="00080AFD"/>
    <w:rsid w:val="00080BDB"/>
    <w:rsid w:val="00080D3C"/>
    <w:rsid w:val="00080F58"/>
    <w:rsid w:val="0008101C"/>
    <w:rsid w:val="0008102C"/>
    <w:rsid w:val="00081306"/>
    <w:rsid w:val="000815FA"/>
    <w:rsid w:val="00081B01"/>
    <w:rsid w:val="00081B1E"/>
    <w:rsid w:val="000828D1"/>
    <w:rsid w:val="00082929"/>
    <w:rsid w:val="000829E4"/>
    <w:rsid w:val="00082BA4"/>
    <w:rsid w:val="000834F3"/>
    <w:rsid w:val="00083606"/>
    <w:rsid w:val="00084053"/>
    <w:rsid w:val="00084A85"/>
    <w:rsid w:val="0008507E"/>
    <w:rsid w:val="00085180"/>
    <w:rsid w:val="000856D0"/>
    <w:rsid w:val="00085F68"/>
    <w:rsid w:val="00086400"/>
    <w:rsid w:val="000869D1"/>
    <w:rsid w:val="00086AB0"/>
    <w:rsid w:val="00086EC8"/>
    <w:rsid w:val="000877EA"/>
    <w:rsid w:val="00087BCB"/>
    <w:rsid w:val="00087BD2"/>
    <w:rsid w:val="00087FAB"/>
    <w:rsid w:val="000904CE"/>
    <w:rsid w:val="000905A6"/>
    <w:rsid w:val="00091A5B"/>
    <w:rsid w:val="00091C0D"/>
    <w:rsid w:val="000921FB"/>
    <w:rsid w:val="0009238A"/>
    <w:rsid w:val="00092730"/>
    <w:rsid w:val="000936C6"/>
    <w:rsid w:val="000938B6"/>
    <w:rsid w:val="0009395A"/>
    <w:rsid w:val="00093BC1"/>
    <w:rsid w:val="00093C0F"/>
    <w:rsid w:val="000942E1"/>
    <w:rsid w:val="000943BD"/>
    <w:rsid w:val="00094596"/>
    <w:rsid w:val="00094A57"/>
    <w:rsid w:val="00095F83"/>
    <w:rsid w:val="00096012"/>
    <w:rsid w:val="0009606F"/>
    <w:rsid w:val="0009690A"/>
    <w:rsid w:val="000969BF"/>
    <w:rsid w:val="00097C1E"/>
    <w:rsid w:val="00097F47"/>
    <w:rsid w:val="000A0290"/>
    <w:rsid w:val="000A0416"/>
    <w:rsid w:val="000A0B43"/>
    <w:rsid w:val="000A157B"/>
    <w:rsid w:val="000A16DF"/>
    <w:rsid w:val="000A19FB"/>
    <w:rsid w:val="000A1A53"/>
    <w:rsid w:val="000A2235"/>
    <w:rsid w:val="000A3632"/>
    <w:rsid w:val="000A370D"/>
    <w:rsid w:val="000A3DF3"/>
    <w:rsid w:val="000A3FE4"/>
    <w:rsid w:val="000A518C"/>
    <w:rsid w:val="000A5BCC"/>
    <w:rsid w:val="000A5E7B"/>
    <w:rsid w:val="000A5FCE"/>
    <w:rsid w:val="000A6241"/>
    <w:rsid w:val="000A65F2"/>
    <w:rsid w:val="000A6AB8"/>
    <w:rsid w:val="000A6FF6"/>
    <w:rsid w:val="000A7107"/>
    <w:rsid w:val="000A748A"/>
    <w:rsid w:val="000A7B46"/>
    <w:rsid w:val="000B00A5"/>
    <w:rsid w:val="000B0177"/>
    <w:rsid w:val="000B02C3"/>
    <w:rsid w:val="000B0327"/>
    <w:rsid w:val="000B0FAB"/>
    <w:rsid w:val="000B167F"/>
    <w:rsid w:val="000B1687"/>
    <w:rsid w:val="000B1750"/>
    <w:rsid w:val="000B1C7D"/>
    <w:rsid w:val="000B208A"/>
    <w:rsid w:val="000B22EA"/>
    <w:rsid w:val="000B2591"/>
    <w:rsid w:val="000B276B"/>
    <w:rsid w:val="000B282C"/>
    <w:rsid w:val="000B3991"/>
    <w:rsid w:val="000B3EA0"/>
    <w:rsid w:val="000B4628"/>
    <w:rsid w:val="000B4AD1"/>
    <w:rsid w:val="000B5649"/>
    <w:rsid w:val="000B5875"/>
    <w:rsid w:val="000B588B"/>
    <w:rsid w:val="000B5AA5"/>
    <w:rsid w:val="000B6DBC"/>
    <w:rsid w:val="000B6EAA"/>
    <w:rsid w:val="000B715D"/>
    <w:rsid w:val="000B7580"/>
    <w:rsid w:val="000B78F2"/>
    <w:rsid w:val="000B7928"/>
    <w:rsid w:val="000B7E0E"/>
    <w:rsid w:val="000B7FF5"/>
    <w:rsid w:val="000C081C"/>
    <w:rsid w:val="000C0EBC"/>
    <w:rsid w:val="000C1500"/>
    <w:rsid w:val="000C17B8"/>
    <w:rsid w:val="000C181D"/>
    <w:rsid w:val="000C19D1"/>
    <w:rsid w:val="000C22F5"/>
    <w:rsid w:val="000C2483"/>
    <w:rsid w:val="000C24C6"/>
    <w:rsid w:val="000C2735"/>
    <w:rsid w:val="000C2790"/>
    <w:rsid w:val="000C28E1"/>
    <w:rsid w:val="000C30D9"/>
    <w:rsid w:val="000C34A8"/>
    <w:rsid w:val="000C4228"/>
    <w:rsid w:val="000C4684"/>
    <w:rsid w:val="000C4866"/>
    <w:rsid w:val="000C4902"/>
    <w:rsid w:val="000C4F98"/>
    <w:rsid w:val="000C517A"/>
    <w:rsid w:val="000C51AF"/>
    <w:rsid w:val="000C51C5"/>
    <w:rsid w:val="000C5B91"/>
    <w:rsid w:val="000C5C53"/>
    <w:rsid w:val="000C6407"/>
    <w:rsid w:val="000C6D72"/>
    <w:rsid w:val="000C6E4F"/>
    <w:rsid w:val="000C6ECB"/>
    <w:rsid w:val="000C6ED3"/>
    <w:rsid w:val="000C6ED6"/>
    <w:rsid w:val="000C7007"/>
    <w:rsid w:val="000C76DC"/>
    <w:rsid w:val="000C7798"/>
    <w:rsid w:val="000C7BB4"/>
    <w:rsid w:val="000C7C6D"/>
    <w:rsid w:val="000D04EB"/>
    <w:rsid w:val="000D0540"/>
    <w:rsid w:val="000D0649"/>
    <w:rsid w:val="000D0DCA"/>
    <w:rsid w:val="000D0F83"/>
    <w:rsid w:val="000D1729"/>
    <w:rsid w:val="000D20D8"/>
    <w:rsid w:val="000D20F1"/>
    <w:rsid w:val="000D257B"/>
    <w:rsid w:val="000D2A88"/>
    <w:rsid w:val="000D32EB"/>
    <w:rsid w:val="000D33DE"/>
    <w:rsid w:val="000D4A5A"/>
    <w:rsid w:val="000D52B6"/>
    <w:rsid w:val="000D54F2"/>
    <w:rsid w:val="000D5506"/>
    <w:rsid w:val="000D5B63"/>
    <w:rsid w:val="000D6166"/>
    <w:rsid w:val="000D61E4"/>
    <w:rsid w:val="000D626C"/>
    <w:rsid w:val="000D66BE"/>
    <w:rsid w:val="000D6742"/>
    <w:rsid w:val="000D6B57"/>
    <w:rsid w:val="000D7142"/>
    <w:rsid w:val="000D717D"/>
    <w:rsid w:val="000D7980"/>
    <w:rsid w:val="000D7A2A"/>
    <w:rsid w:val="000D7B03"/>
    <w:rsid w:val="000D7DDF"/>
    <w:rsid w:val="000D7F9F"/>
    <w:rsid w:val="000E1315"/>
    <w:rsid w:val="000E13E7"/>
    <w:rsid w:val="000E1793"/>
    <w:rsid w:val="000E1A1E"/>
    <w:rsid w:val="000E1B18"/>
    <w:rsid w:val="000E1BF6"/>
    <w:rsid w:val="000E1E54"/>
    <w:rsid w:val="000E21D3"/>
    <w:rsid w:val="000E31B2"/>
    <w:rsid w:val="000E3300"/>
    <w:rsid w:val="000E3684"/>
    <w:rsid w:val="000E3A4D"/>
    <w:rsid w:val="000E3EE7"/>
    <w:rsid w:val="000E3FAC"/>
    <w:rsid w:val="000E3FB0"/>
    <w:rsid w:val="000E4208"/>
    <w:rsid w:val="000E49D4"/>
    <w:rsid w:val="000E4E65"/>
    <w:rsid w:val="000E5227"/>
    <w:rsid w:val="000E5E01"/>
    <w:rsid w:val="000E611C"/>
    <w:rsid w:val="000E62EC"/>
    <w:rsid w:val="000E6F5E"/>
    <w:rsid w:val="000E7214"/>
    <w:rsid w:val="000E7471"/>
    <w:rsid w:val="000E7745"/>
    <w:rsid w:val="000F095C"/>
    <w:rsid w:val="000F0ADE"/>
    <w:rsid w:val="000F1663"/>
    <w:rsid w:val="000F1B22"/>
    <w:rsid w:val="000F325A"/>
    <w:rsid w:val="000F382D"/>
    <w:rsid w:val="000F3A80"/>
    <w:rsid w:val="000F3CBA"/>
    <w:rsid w:val="000F4008"/>
    <w:rsid w:val="000F455C"/>
    <w:rsid w:val="000F46DD"/>
    <w:rsid w:val="000F4C3F"/>
    <w:rsid w:val="000F5418"/>
    <w:rsid w:val="000F5474"/>
    <w:rsid w:val="000F561E"/>
    <w:rsid w:val="000F5637"/>
    <w:rsid w:val="000F5865"/>
    <w:rsid w:val="000F60E1"/>
    <w:rsid w:val="000F64D8"/>
    <w:rsid w:val="000F6831"/>
    <w:rsid w:val="000F70F6"/>
    <w:rsid w:val="000F7118"/>
    <w:rsid w:val="000F746E"/>
    <w:rsid w:val="000F7AAB"/>
    <w:rsid w:val="001000C1"/>
    <w:rsid w:val="001002CF"/>
    <w:rsid w:val="0010090E"/>
    <w:rsid w:val="00100BF0"/>
    <w:rsid w:val="00100C48"/>
    <w:rsid w:val="00100C86"/>
    <w:rsid w:val="00101DC3"/>
    <w:rsid w:val="0010223C"/>
    <w:rsid w:val="001026D1"/>
    <w:rsid w:val="00102829"/>
    <w:rsid w:val="00102861"/>
    <w:rsid w:val="00102963"/>
    <w:rsid w:val="00102A89"/>
    <w:rsid w:val="00102A9F"/>
    <w:rsid w:val="00102BA4"/>
    <w:rsid w:val="001036A9"/>
    <w:rsid w:val="00103AB7"/>
    <w:rsid w:val="00103D83"/>
    <w:rsid w:val="00104865"/>
    <w:rsid w:val="00104D9D"/>
    <w:rsid w:val="00104FD0"/>
    <w:rsid w:val="0010516F"/>
    <w:rsid w:val="00105481"/>
    <w:rsid w:val="001058E9"/>
    <w:rsid w:val="00105988"/>
    <w:rsid w:val="00105AF3"/>
    <w:rsid w:val="001060DD"/>
    <w:rsid w:val="001063CA"/>
    <w:rsid w:val="001075BA"/>
    <w:rsid w:val="00107A1C"/>
    <w:rsid w:val="00107ACE"/>
    <w:rsid w:val="001102BC"/>
    <w:rsid w:val="00110449"/>
    <w:rsid w:val="00110ACA"/>
    <w:rsid w:val="00111223"/>
    <w:rsid w:val="001112DD"/>
    <w:rsid w:val="001117DA"/>
    <w:rsid w:val="00111A29"/>
    <w:rsid w:val="00111B59"/>
    <w:rsid w:val="00111BA0"/>
    <w:rsid w:val="00111BC4"/>
    <w:rsid w:val="00111DA3"/>
    <w:rsid w:val="001126C9"/>
    <w:rsid w:val="0011293B"/>
    <w:rsid w:val="00113761"/>
    <w:rsid w:val="00114047"/>
    <w:rsid w:val="00114089"/>
    <w:rsid w:val="0011471C"/>
    <w:rsid w:val="0011536F"/>
    <w:rsid w:val="0011572E"/>
    <w:rsid w:val="0011584A"/>
    <w:rsid w:val="00115EE2"/>
    <w:rsid w:val="0011642A"/>
    <w:rsid w:val="0011654C"/>
    <w:rsid w:val="0011675A"/>
    <w:rsid w:val="001169F2"/>
    <w:rsid w:val="00116B3C"/>
    <w:rsid w:val="00116BD7"/>
    <w:rsid w:val="001174B9"/>
    <w:rsid w:val="00117503"/>
    <w:rsid w:val="00117BE1"/>
    <w:rsid w:val="00117BF2"/>
    <w:rsid w:val="00117CB9"/>
    <w:rsid w:val="00117D2A"/>
    <w:rsid w:val="00117E27"/>
    <w:rsid w:val="00117E7B"/>
    <w:rsid w:val="00117F59"/>
    <w:rsid w:val="00120470"/>
    <w:rsid w:val="00120508"/>
    <w:rsid w:val="001205DA"/>
    <w:rsid w:val="0012065B"/>
    <w:rsid w:val="00120A60"/>
    <w:rsid w:val="00121246"/>
    <w:rsid w:val="0012128A"/>
    <w:rsid w:val="0012165F"/>
    <w:rsid w:val="00122348"/>
    <w:rsid w:val="0012236A"/>
    <w:rsid w:val="00122648"/>
    <w:rsid w:val="00122B69"/>
    <w:rsid w:val="00122F66"/>
    <w:rsid w:val="00123033"/>
    <w:rsid w:val="00123DA7"/>
    <w:rsid w:val="00123DD7"/>
    <w:rsid w:val="00123E01"/>
    <w:rsid w:val="00123E33"/>
    <w:rsid w:val="00124168"/>
    <w:rsid w:val="001241D2"/>
    <w:rsid w:val="00124943"/>
    <w:rsid w:val="00124EC2"/>
    <w:rsid w:val="0012593E"/>
    <w:rsid w:val="00125EE5"/>
    <w:rsid w:val="00125F9A"/>
    <w:rsid w:val="00126767"/>
    <w:rsid w:val="00126828"/>
    <w:rsid w:val="00126D79"/>
    <w:rsid w:val="00126E25"/>
    <w:rsid w:val="00126FBD"/>
    <w:rsid w:val="00126FCA"/>
    <w:rsid w:val="00127393"/>
    <w:rsid w:val="00127F60"/>
    <w:rsid w:val="0013041E"/>
    <w:rsid w:val="001307D5"/>
    <w:rsid w:val="00130AE6"/>
    <w:rsid w:val="00130D40"/>
    <w:rsid w:val="00131784"/>
    <w:rsid w:val="00131B43"/>
    <w:rsid w:val="00131BC6"/>
    <w:rsid w:val="00131E42"/>
    <w:rsid w:val="00131FB0"/>
    <w:rsid w:val="00133711"/>
    <w:rsid w:val="00133EB6"/>
    <w:rsid w:val="00134188"/>
    <w:rsid w:val="00134420"/>
    <w:rsid w:val="00134ACA"/>
    <w:rsid w:val="00134C48"/>
    <w:rsid w:val="0013502F"/>
    <w:rsid w:val="001350E4"/>
    <w:rsid w:val="00135B46"/>
    <w:rsid w:val="00136827"/>
    <w:rsid w:val="00136D3B"/>
    <w:rsid w:val="00136E24"/>
    <w:rsid w:val="001371C6"/>
    <w:rsid w:val="001371FB"/>
    <w:rsid w:val="001372F4"/>
    <w:rsid w:val="001400D1"/>
    <w:rsid w:val="0014042B"/>
    <w:rsid w:val="001405EE"/>
    <w:rsid w:val="00140840"/>
    <w:rsid w:val="00141089"/>
    <w:rsid w:val="0014122F"/>
    <w:rsid w:val="00141640"/>
    <w:rsid w:val="001416E6"/>
    <w:rsid w:val="0014171E"/>
    <w:rsid w:val="001421E0"/>
    <w:rsid w:val="00142517"/>
    <w:rsid w:val="001425F9"/>
    <w:rsid w:val="001427C6"/>
    <w:rsid w:val="0014314A"/>
    <w:rsid w:val="00143595"/>
    <w:rsid w:val="00143663"/>
    <w:rsid w:val="00143722"/>
    <w:rsid w:val="0014384B"/>
    <w:rsid w:val="00143B8D"/>
    <w:rsid w:val="001446D2"/>
    <w:rsid w:val="001453CB"/>
    <w:rsid w:val="00145734"/>
    <w:rsid w:val="00145778"/>
    <w:rsid w:val="00145CAC"/>
    <w:rsid w:val="00146A0B"/>
    <w:rsid w:val="00147428"/>
    <w:rsid w:val="0014773D"/>
    <w:rsid w:val="00147E0A"/>
    <w:rsid w:val="001501DA"/>
    <w:rsid w:val="0015047E"/>
    <w:rsid w:val="00150A58"/>
    <w:rsid w:val="001510EC"/>
    <w:rsid w:val="00151712"/>
    <w:rsid w:val="00151A92"/>
    <w:rsid w:val="00151AD8"/>
    <w:rsid w:val="00151F6E"/>
    <w:rsid w:val="0015208F"/>
    <w:rsid w:val="00152569"/>
    <w:rsid w:val="00152930"/>
    <w:rsid w:val="00152F27"/>
    <w:rsid w:val="001539D7"/>
    <w:rsid w:val="0015400E"/>
    <w:rsid w:val="00154136"/>
    <w:rsid w:val="00154351"/>
    <w:rsid w:val="00154603"/>
    <w:rsid w:val="001554B4"/>
    <w:rsid w:val="001557C5"/>
    <w:rsid w:val="00155B8A"/>
    <w:rsid w:val="00155CA0"/>
    <w:rsid w:val="001565CD"/>
    <w:rsid w:val="00156B6A"/>
    <w:rsid w:val="00156BC6"/>
    <w:rsid w:val="00156DDE"/>
    <w:rsid w:val="001570C8"/>
    <w:rsid w:val="00157314"/>
    <w:rsid w:val="00157378"/>
    <w:rsid w:val="00157458"/>
    <w:rsid w:val="00157526"/>
    <w:rsid w:val="0015772F"/>
    <w:rsid w:val="0015797D"/>
    <w:rsid w:val="00157FE1"/>
    <w:rsid w:val="0016030A"/>
    <w:rsid w:val="00160476"/>
    <w:rsid w:val="00160BF0"/>
    <w:rsid w:val="00161119"/>
    <w:rsid w:val="00161260"/>
    <w:rsid w:val="00161283"/>
    <w:rsid w:val="00161BAC"/>
    <w:rsid w:val="00161DA5"/>
    <w:rsid w:val="001626BE"/>
    <w:rsid w:val="00163144"/>
    <w:rsid w:val="001631DD"/>
    <w:rsid w:val="00163272"/>
    <w:rsid w:val="00163521"/>
    <w:rsid w:val="00163747"/>
    <w:rsid w:val="00164318"/>
    <w:rsid w:val="00164974"/>
    <w:rsid w:val="00164DDA"/>
    <w:rsid w:val="001650BB"/>
    <w:rsid w:val="001650E4"/>
    <w:rsid w:val="001652C3"/>
    <w:rsid w:val="00165709"/>
    <w:rsid w:val="00165721"/>
    <w:rsid w:val="0016601B"/>
    <w:rsid w:val="00166224"/>
    <w:rsid w:val="00166EA7"/>
    <w:rsid w:val="001679ED"/>
    <w:rsid w:val="00170E44"/>
    <w:rsid w:val="00171160"/>
    <w:rsid w:val="0017158B"/>
    <w:rsid w:val="00171649"/>
    <w:rsid w:val="00172366"/>
    <w:rsid w:val="0017249F"/>
    <w:rsid w:val="00172566"/>
    <w:rsid w:val="001725AD"/>
    <w:rsid w:val="00172F43"/>
    <w:rsid w:val="0017403F"/>
    <w:rsid w:val="00174449"/>
    <w:rsid w:val="0017458D"/>
    <w:rsid w:val="0017463D"/>
    <w:rsid w:val="0017595C"/>
    <w:rsid w:val="00175B74"/>
    <w:rsid w:val="001761C2"/>
    <w:rsid w:val="00176688"/>
    <w:rsid w:val="00176B7D"/>
    <w:rsid w:val="00176B8D"/>
    <w:rsid w:val="00176BCF"/>
    <w:rsid w:val="00176BD0"/>
    <w:rsid w:val="00176DB5"/>
    <w:rsid w:val="0017700D"/>
    <w:rsid w:val="00177352"/>
    <w:rsid w:val="00177693"/>
    <w:rsid w:val="00177BA0"/>
    <w:rsid w:val="00177CFC"/>
    <w:rsid w:val="001816CE"/>
    <w:rsid w:val="001819A7"/>
    <w:rsid w:val="00181B7F"/>
    <w:rsid w:val="00182401"/>
    <w:rsid w:val="00182560"/>
    <w:rsid w:val="00182AD7"/>
    <w:rsid w:val="00182B87"/>
    <w:rsid w:val="00182B89"/>
    <w:rsid w:val="00182EC7"/>
    <w:rsid w:val="00183434"/>
    <w:rsid w:val="00183ACC"/>
    <w:rsid w:val="00184332"/>
    <w:rsid w:val="00184CF8"/>
    <w:rsid w:val="00185201"/>
    <w:rsid w:val="00185249"/>
    <w:rsid w:val="001854C8"/>
    <w:rsid w:val="00185926"/>
    <w:rsid w:val="00185B42"/>
    <w:rsid w:val="00186055"/>
    <w:rsid w:val="0018620C"/>
    <w:rsid w:val="001868C5"/>
    <w:rsid w:val="0018761D"/>
    <w:rsid w:val="0018775B"/>
    <w:rsid w:val="00187991"/>
    <w:rsid w:val="00187D5E"/>
    <w:rsid w:val="001900FD"/>
    <w:rsid w:val="001909E9"/>
    <w:rsid w:val="00190A21"/>
    <w:rsid w:val="00190B5C"/>
    <w:rsid w:val="00190BB2"/>
    <w:rsid w:val="00190D45"/>
    <w:rsid w:val="00190E43"/>
    <w:rsid w:val="00190F49"/>
    <w:rsid w:val="00191977"/>
    <w:rsid w:val="00191A4E"/>
    <w:rsid w:val="0019216D"/>
    <w:rsid w:val="00192AD2"/>
    <w:rsid w:val="00192B22"/>
    <w:rsid w:val="00192BFA"/>
    <w:rsid w:val="00192E60"/>
    <w:rsid w:val="00193229"/>
    <w:rsid w:val="00193457"/>
    <w:rsid w:val="00193731"/>
    <w:rsid w:val="00193FA0"/>
    <w:rsid w:val="001948D5"/>
    <w:rsid w:val="00194F0D"/>
    <w:rsid w:val="00195072"/>
    <w:rsid w:val="00195147"/>
    <w:rsid w:val="00195868"/>
    <w:rsid w:val="00195CF7"/>
    <w:rsid w:val="00195E3D"/>
    <w:rsid w:val="00195EFE"/>
    <w:rsid w:val="00196CD0"/>
    <w:rsid w:val="00197112"/>
    <w:rsid w:val="001973CB"/>
    <w:rsid w:val="00197574"/>
    <w:rsid w:val="0019761E"/>
    <w:rsid w:val="0019797E"/>
    <w:rsid w:val="001979CE"/>
    <w:rsid w:val="00197E81"/>
    <w:rsid w:val="00197FF4"/>
    <w:rsid w:val="001A0087"/>
    <w:rsid w:val="001A00BB"/>
    <w:rsid w:val="001A0235"/>
    <w:rsid w:val="001A0A4B"/>
    <w:rsid w:val="001A0A6A"/>
    <w:rsid w:val="001A0FA7"/>
    <w:rsid w:val="001A1376"/>
    <w:rsid w:val="001A15BC"/>
    <w:rsid w:val="001A170B"/>
    <w:rsid w:val="001A2564"/>
    <w:rsid w:val="001A28C1"/>
    <w:rsid w:val="001A28C3"/>
    <w:rsid w:val="001A2912"/>
    <w:rsid w:val="001A2993"/>
    <w:rsid w:val="001A2A5D"/>
    <w:rsid w:val="001A2C02"/>
    <w:rsid w:val="001A2D94"/>
    <w:rsid w:val="001A2EC3"/>
    <w:rsid w:val="001A2EDF"/>
    <w:rsid w:val="001A301A"/>
    <w:rsid w:val="001A32D2"/>
    <w:rsid w:val="001A3403"/>
    <w:rsid w:val="001A383D"/>
    <w:rsid w:val="001A3AD4"/>
    <w:rsid w:val="001A44EC"/>
    <w:rsid w:val="001A48DE"/>
    <w:rsid w:val="001A4959"/>
    <w:rsid w:val="001A50AD"/>
    <w:rsid w:val="001A5125"/>
    <w:rsid w:val="001A55B1"/>
    <w:rsid w:val="001A585A"/>
    <w:rsid w:val="001A5BC8"/>
    <w:rsid w:val="001A5BD6"/>
    <w:rsid w:val="001A5FC5"/>
    <w:rsid w:val="001A5FDF"/>
    <w:rsid w:val="001A6473"/>
    <w:rsid w:val="001A6740"/>
    <w:rsid w:val="001A6831"/>
    <w:rsid w:val="001A69C4"/>
    <w:rsid w:val="001A69FC"/>
    <w:rsid w:val="001A6F27"/>
    <w:rsid w:val="001A75A6"/>
    <w:rsid w:val="001A75C9"/>
    <w:rsid w:val="001A7DA6"/>
    <w:rsid w:val="001B06FB"/>
    <w:rsid w:val="001B0968"/>
    <w:rsid w:val="001B0B02"/>
    <w:rsid w:val="001B0B35"/>
    <w:rsid w:val="001B0DA0"/>
    <w:rsid w:val="001B0EEF"/>
    <w:rsid w:val="001B0F4A"/>
    <w:rsid w:val="001B1797"/>
    <w:rsid w:val="001B1D58"/>
    <w:rsid w:val="001B253D"/>
    <w:rsid w:val="001B255E"/>
    <w:rsid w:val="001B27A3"/>
    <w:rsid w:val="001B2E85"/>
    <w:rsid w:val="001B2FD9"/>
    <w:rsid w:val="001B304E"/>
    <w:rsid w:val="001B30D4"/>
    <w:rsid w:val="001B337D"/>
    <w:rsid w:val="001B35B7"/>
    <w:rsid w:val="001B3B75"/>
    <w:rsid w:val="001B3E28"/>
    <w:rsid w:val="001B3E3B"/>
    <w:rsid w:val="001B3F48"/>
    <w:rsid w:val="001B48F9"/>
    <w:rsid w:val="001B4AC2"/>
    <w:rsid w:val="001B4D7B"/>
    <w:rsid w:val="001B50B3"/>
    <w:rsid w:val="001B589A"/>
    <w:rsid w:val="001B5D7D"/>
    <w:rsid w:val="001B5FAB"/>
    <w:rsid w:val="001B668B"/>
    <w:rsid w:val="001B6766"/>
    <w:rsid w:val="001B6B00"/>
    <w:rsid w:val="001B71EC"/>
    <w:rsid w:val="001B7671"/>
    <w:rsid w:val="001B7706"/>
    <w:rsid w:val="001B771F"/>
    <w:rsid w:val="001B7757"/>
    <w:rsid w:val="001B783F"/>
    <w:rsid w:val="001B79D9"/>
    <w:rsid w:val="001B7AB9"/>
    <w:rsid w:val="001B7C3B"/>
    <w:rsid w:val="001B7F9F"/>
    <w:rsid w:val="001C14BD"/>
    <w:rsid w:val="001C171E"/>
    <w:rsid w:val="001C20A1"/>
    <w:rsid w:val="001C2490"/>
    <w:rsid w:val="001C2934"/>
    <w:rsid w:val="001C2A6B"/>
    <w:rsid w:val="001C34B5"/>
    <w:rsid w:val="001C3529"/>
    <w:rsid w:val="001C36EE"/>
    <w:rsid w:val="001C3A29"/>
    <w:rsid w:val="001C3ACC"/>
    <w:rsid w:val="001C3C1C"/>
    <w:rsid w:val="001C4DE6"/>
    <w:rsid w:val="001C4FA6"/>
    <w:rsid w:val="001C6128"/>
    <w:rsid w:val="001C63D8"/>
    <w:rsid w:val="001C663A"/>
    <w:rsid w:val="001C78C0"/>
    <w:rsid w:val="001C7F35"/>
    <w:rsid w:val="001D0009"/>
    <w:rsid w:val="001D0202"/>
    <w:rsid w:val="001D0318"/>
    <w:rsid w:val="001D04FB"/>
    <w:rsid w:val="001D06E4"/>
    <w:rsid w:val="001D07A4"/>
    <w:rsid w:val="001D0C62"/>
    <w:rsid w:val="001D1548"/>
    <w:rsid w:val="001D17EC"/>
    <w:rsid w:val="001D1AEF"/>
    <w:rsid w:val="001D28BC"/>
    <w:rsid w:val="001D2D3A"/>
    <w:rsid w:val="001D3068"/>
    <w:rsid w:val="001D3102"/>
    <w:rsid w:val="001D37D7"/>
    <w:rsid w:val="001D44BA"/>
    <w:rsid w:val="001D4811"/>
    <w:rsid w:val="001D4D08"/>
    <w:rsid w:val="001D53DF"/>
    <w:rsid w:val="001D6205"/>
    <w:rsid w:val="001D6536"/>
    <w:rsid w:val="001D694B"/>
    <w:rsid w:val="001D6D3E"/>
    <w:rsid w:val="001D79A5"/>
    <w:rsid w:val="001D7F26"/>
    <w:rsid w:val="001E0374"/>
    <w:rsid w:val="001E0706"/>
    <w:rsid w:val="001E0CBC"/>
    <w:rsid w:val="001E0E81"/>
    <w:rsid w:val="001E11F7"/>
    <w:rsid w:val="001E154D"/>
    <w:rsid w:val="001E1663"/>
    <w:rsid w:val="001E19A6"/>
    <w:rsid w:val="001E2105"/>
    <w:rsid w:val="001E273E"/>
    <w:rsid w:val="001E29EE"/>
    <w:rsid w:val="001E334C"/>
    <w:rsid w:val="001E362A"/>
    <w:rsid w:val="001E3725"/>
    <w:rsid w:val="001E3B63"/>
    <w:rsid w:val="001E40F3"/>
    <w:rsid w:val="001E44F2"/>
    <w:rsid w:val="001E49D3"/>
    <w:rsid w:val="001E4AB0"/>
    <w:rsid w:val="001E4C24"/>
    <w:rsid w:val="001E50D2"/>
    <w:rsid w:val="001E5335"/>
    <w:rsid w:val="001E5586"/>
    <w:rsid w:val="001E5CCB"/>
    <w:rsid w:val="001E6699"/>
    <w:rsid w:val="001E67A9"/>
    <w:rsid w:val="001E74FF"/>
    <w:rsid w:val="001E7749"/>
    <w:rsid w:val="001E79DD"/>
    <w:rsid w:val="001F0444"/>
    <w:rsid w:val="001F055E"/>
    <w:rsid w:val="001F0573"/>
    <w:rsid w:val="001F06FD"/>
    <w:rsid w:val="001F075D"/>
    <w:rsid w:val="001F0F6E"/>
    <w:rsid w:val="001F0F9D"/>
    <w:rsid w:val="001F121B"/>
    <w:rsid w:val="001F207A"/>
    <w:rsid w:val="001F22E3"/>
    <w:rsid w:val="001F35C7"/>
    <w:rsid w:val="001F361F"/>
    <w:rsid w:val="001F37CC"/>
    <w:rsid w:val="001F384B"/>
    <w:rsid w:val="001F3F93"/>
    <w:rsid w:val="001F4262"/>
    <w:rsid w:val="001F45B2"/>
    <w:rsid w:val="001F46BD"/>
    <w:rsid w:val="001F5180"/>
    <w:rsid w:val="001F5DA8"/>
    <w:rsid w:val="001F6236"/>
    <w:rsid w:val="001F6731"/>
    <w:rsid w:val="001F67A9"/>
    <w:rsid w:val="001F6A8F"/>
    <w:rsid w:val="001F75A7"/>
    <w:rsid w:val="001F7B0C"/>
    <w:rsid w:val="001F7E7F"/>
    <w:rsid w:val="002003DD"/>
    <w:rsid w:val="00200490"/>
    <w:rsid w:val="002006EC"/>
    <w:rsid w:val="00200C42"/>
    <w:rsid w:val="00200F7A"/>
    <w:rsid w:val="00201018"/>
    <w:rsid w:val="00201041"/>
    <w:rsid w:val="002015A0"/>
    <w:rsid w:val="002016F9"/>
    <w:rsid w:val="002017EE"/>
    <w:rsid w:val="00202072"/>
    <w:rsid w:val="002021C7"/>
    <w:rsid w:val="002022A0"/>
    <w:rsid w:val="00202367"/>
    <w:rsid w:val="00202A4E"/>
    <w:rsid w:val="00202D29"/>
    <w:rsid w:val="00202F75"/>
    <w:rsid w:val="00203514"/>
    <w:rsid w:val="00203C29"/>
    <w:rsid w:val="002040AB"/>
    <w:rsid w:val="002041DD"/>
    <w:rsid w:val="0020447E"/>
    <w:rsid w:val="00204559"/>
    <w:rsid w:val="002052BF"/>
    <w:rsid w:val="00205DCC"/>
    <w:rsid w:val="002066E0"/>
    <w:rsid w:val="002067B7"/>
    <w:rsid w:val="00206BCE"/>
    <w:rsid w:val="002074C8"/>
    <w:rsid w:val="0020764B"/>
    <w:rsid w:val="00210273"/>
    <w:rsid w:val="002104B5"/>
    <w:rsid w:val="002105C7"/>
    <w:rsid w:val="00210A7F"/>
    <w:rsid w:val="00210C2E"/>
    <w:rsid w:val="00210DE8"/>
    <w:rsid w:val="00212337"/>
    <w:rsid w:val="002123F9"/>
    <w:rsid w:val="0021277B"/>
    <w:rsid w:val="00212F1A"/>
    <w:rsid w:val="0021329A"/>
    <w:rsid w:val="0021393B"/>
    <w:rsid w:val="002143E7"/>
    <w:rsid w:val="00214605"/>
    <w:rsid w:val="002146DC"/>
    <w:rsid w:val="00214753"/>
    <w:rsid w:val="00214C77"/>
    <w:rsid w:val="00215011"/>
    <w:rsid w:val="00215323"/>
    <w:rsid w:val="0021575A"/>
    <w:rsid w:val="00215782"/>
    <w:rsid w:val="002160CB"/>
    <w:rsid w:val="00216701"/>
    <w:rsid w:val="00216CFE"/>
    <w:rsid w:val="00217053"/>
    <w:rsid w:val="00217199"/>
    <w:rsid w:val="002179FF"/>
    <w:rsid w:val="0022051A"/>
    <w:rsid w:val="00220627"/>
    <w:rsid w:val="00220683"/>
    <w:rsid w:val="0022071E"/>
    <w:rsid w:val="002208DE"/>
    <w:rsid w:val="00220A84"/>
    <w:rsid w:val="00220A89"/>
    <w:rsid w:val="00220D69"/>
    <w:rsid w:val="00220E3F"/>
    <w:rsid w:val="00220F0F"/>
    <w:rsid w:val="00220F93"/>
    <w:rsid w:val="00221756"/>
    <w:rsid w:val="00221AFD"/>
    <w:rsid w:val="00221C2C"/>
    <w:rsid w:val="00222604"/>
    <w:rsid w:val="002228A4"/>
    <w:rsid w:val="00222B27"/>
    <w:rsid w:val="00222F3B"/>
    <w:rsid w:val="002233DD"/>
    <w:rsid w:val="002235FA"/>
    <w:rsid w:val="00223B6F"/>
    <w:rsid w:val="00225072"/>
    <w:rsid w:val="00225B6F"/>
    <w:rsid w:val="002278BF"/>
    <w:rsid w:val="00230046"/>
    <w:rsid w:val="00230975"/>
    <w:rsid w:val="00230E5F"/>
    <w:rsid w:val="002317CE"/>
    <w:rsid w:val="00231FA4"/>
    <w:rsid w:val="00232DAD"/>
    <w:rsid w:val="002333E5"/>
    <w:rsid w:val="00233644"/>
    <w:rsid w:val="00234634"/>
    <w:rsid w:val="00234ADF"/>
    <w:rsid w:val="0023517F"/>
    <w:rsid w:val="002356EF"/>
    <w:rsid w:val="00235716"/>
    <w:rsid w:val="0023601E"/>
    <w:rsid w:val="0023684F"/>
    <w:rsid w:val="00236C21"/>
    <w:rsid w:val="00236EA8"/>
    <w:rsid w:val="002370B6"/>
    <w:rsid w:val="002370FF"/>
    <w:rsid w:val="0023714D"/>
    <w:rsid w:val="002376EB"/>
    <w:rsid w:val="0023773F"/>
    <w:rsid w:val="00237E0C"/>
    <w:rsid w:val="0024004B"/>
    <w:rsid w:val="00240335"/>
    <w:rsid w:val="002407A5"/>
    <w:rsid w:val="00240DA1"/>
    <w:rsid w:val="00241C8D"/>
    <w:rsid w:val="0024238B"/>
    <w:rsid w:val="002424F0"/>
    <w:rsid w:val="00242924"/>
    <w:rsid w:val="00242F30"/>
    <w:rsid w:val="002432E5"/>
    <w:rsid w:val="0024334B"/>
    <w:rsid w:val="002434B6"/>
    <w:rsid w:val="00244348"/>
    <w:rsid w:val="00244956"/>
    <w:rsid w:val="00244E6A"/>
    <w:rsid w:val="00244FB2"/>
    <w:rsid w:val="0024521D"/>
    <w:rsid w:val="002455ED"/>
    <w:rsid w:val="002458D8"/>
    <w:rsid w:val="00245B6E"/>
    <w:rsid w:val="00246035"/>
    <w:rsid w:val="00246432"/>
    <w:rsid w:val="00246B42"/>
    <w:rsid w:val="00247138"/>
    <w:rsid w:val="002478E9"/>
    <w:rsid w:val="00247C07"/>
    <w:rsid w:val="00247E12"/>
    <w:rsid w:val="00250081"/>
    <w:rsid w:val="0025019E"/>
    <w:rsid w:val="002502EB"/>
    <w:rsid w:val="002505B6"/>
    <w:rsid w:val="00250663"/>
    <w:rsid w:val="00250F0B"/>
    <w:rsid w:val="002511E7"/>
    <w:rsid w:val="00251374"/>
    <w:rsid w:val="00251859"/>
    <w:rsid w:val="0025190B"/>
    <w:rsid w:val="00251DF7"/>
    <w:rsid w:val="00252172"/>
    <w:rsid w:val="002524FC"/>
    <w:rsid w:val="002525FE"/>
    <w:rsid w:val="00252EFB"/>
    <w:rsid w:val="00253008"/>
    <w:rsid w:val="002530E0"/>
    <w:rsid w:val="00253356"/>
    <w:rsid w:val="00253C7C"/>
    <w:rsid w:val="00253E47"/>
    <w:rsid w:val="0025423B"/>
    <w:rsid w:val="002546BA"/>
    <w:rsid w:val="00254863"/>
    <w:rsid w:val="00254C3E"/>
    <w:rsid w:val="00254D3A"/>
    <w:rsid w:val="0025500E"/>
    <w:rsid w:val="00255467"/>
    <w:rsid w:val="00255617"/>
    <w:rsid w:val="00255ACD"/>
    <w:rsid w:val="00255F25"/>
    <w:rsid w:val="002571F9"/>
    <w:rsid w:val="00257306"/>
    <w:rsid w:val="002573AA"/>
    <w:rsid w:val="00257BC0"/>
    <w:rsid w:val="00257CBB"/>
    <w:rsid w:val="00257FB3"/>
    <w:rsid w:val="0026048B"/>
    <w:rsid w:val="00260B8E"/>
    <w:rsid w:val="00261009"/>
    <w:rsid w:val="002618E6"/>
    <w:rsid w:val="002621B4"/>
    <w:rsid w:val="0026222D"/>
    <w:rsid w:val="0026230D"/>
    <w:rsid w:val="00262A87"/>
    <w:rsid w:val="00262B5D"/>
    <w:rsid w:val="00262CE9"/>
    <w:rsid w:val="002634D6"/>
    <w:rsid w:val="002636DE"/>
    <w:rsid w:val="0026377B"/>
    <w:rsid w:val="002637AD"/>
    <w:rsid w:val="002638CD"/>
    <w:rsid w:val="00263997"/>
    <w:rsid w:val="002639C0"/>
    <w:rsid w:val="00263AE3"/>
    <w:rsid w:val="00263B8D"/>
    <w:rsid w:val="002645F3"/>
    <w:rsid w:val="002649AD"/>
    <w:rsid w:val="00264BA6"/>
    <w:rsid w:val="0026514E"/>
    <w:rsid w:val="002655A4"/>
    <w:rsid w:val="00265712"/>
    <w:rsid w:val="002658E0"/>
    <w:rsid w:val="002659F2"/>
    <w:rsid w:val="00265A7F"/>
    <w:rsid w:val="00265D9A"/>
    <w:rsid w:val="00265EAD"/>
    <w:rsid w:val="00266348"/>
    <w:rsid w:val="00266AC6"/>
    <w:rsid w:val="00266E1A"/>
    <w:rsid w:val="0026717C"/>
    <w:rsid w:val="00267452"/>
    <w:rsid w:val="002674BA"/>
    <w:rsid w:val="002676F6"/>
    <w:rsid w:val="00267700"/>
    <w:rsid w:val="00267972"/>
    <w:rsid w:val="0027053C"/>
    <w:rsid w:val="002705AB"/>
    <w:rsid w:val="002706D4"/>
    <w:rsid w:val="00270872"/>
    <w:rsid w:val="00270A59"/>
    <w:rsid w:val="00270CAD"/>
    <w:rsid w:val="00271072"/>
    <w:rsid w:val="00271331"/>
    <w:rsid w:val="002713D0"/>
    <w:rsid w:val="00271BA8"/>
    <w:rsid w:val="002725B2"/>
    <w:rsid w:val="00272766"/>
    <w:rsid w:val="00272F5E"/>
    <w:rsid w:val="00272FA6"/>
    <w:rsid w:val="00273513"/>
    <w:rsid w:val="00273999"/>
    <w:rsid w:val="00273CD2"/>
    <w:rsid w:val="00273D0F"/>
    <w:rsid w:val="00274045"/>
    <w:rsid w:val="00274287"/>
    <w:rsid w:val="002744AD"/>
    <w:rsid w:val="002746EA"/>
    <w:rsid w:val="00274788"/>
    <w:rsid w:val="00274C4C"/>
    <w:rsid w:val="00274E8D"/>
    <w:rsid w:val="00274F9E"/>
    <w:rsid w:val="0027511C"/>
    <w:rsid w:val="00275494"/>
    <w:rsid w:val="002758FC"/>
    <w:rsid w:val="00275F01"/>
    <w:rsid w:val="002762C6"/>
    <w:rsid w:val="00276B3C"/>
    <w:rsid w:val="00276DCB"/>
    <w:rsid w:val="0027775B"/>
    <w:rsid w:val="00277A00"/>
    <w:rsid w:val="00277B15"/>
    <w:rsid w:val="00280896"/>
    <w:rsid w:val="00280AE4"/>
    <w:rsid w:val="00280B3F"/>
    <w:rsid w:val="0028155C"/>
    <w:rsid w:val="002819C9"/>
    <w:rsid w:val="00282266"/>
    <w:rsid w:val="0028269E"/>
    <w:rsid w:val="00282D05"/>
    <w:rsid w:val="00282D39"/>
    <w:rsid w:val="00282D4B"/>
    <w:rsid w:val="00282EE8"/>
    <w:rsid w:val="00283643"/>
    <w:rsid w:val="00283827"/>
    <w:rsid w:val="0028435D"/>
    <w:rsid w:val="00284619"/>
    <w:rsid w:val="0028504B"/>
    <w:rsid w:val="002853DE"/>
    <w:rsid w:val="002858CF"/>
    <w:rsid w:val="00285993"/>
    <w:rsid w:val="00285CB7"/>
    <w:rsid w:val="00285D27"/>
    <w:rsid w:val="002863FC"/>
    <w:rsid w:val="00286BE8"/>
    <w:rsid w:val="00286C1A"/>
    <w:rsid w:val="00286E6E"/>
    <w:rsid w:val="00287000"/>
    <w:rsid w:val="002872BD"/>
    <w:rsid w:val="00287906"/>
    <w:rsid w:val="0029001E"/>
    <w:rsid w:val="002906B5"/>
    <w:rsid w:val="002907A9"/>
    <w:rsid w:val="00290982"/>
    <w:rsid w:val="002909F2"/>
    <w:rsid w:val="00290BBD"/>
    <w:rsid w:val="00290C0C"/>
    <w:rsid w:val="002922D1"/>
    <w:rsid w:val="002923A5"/>
    <w:rsid w:val="00292D75"/>
    <w:rsid w:val="0029357C"/>
    <w:rsid w:val="00293917"/>
    <w:rsid w:val="0029397E"/>
    <w:rsid w:val="00293E72"/>
    <w:rsid w:val="00294531"/>
    <w:rsid w:val="002947F8"/>
    <w:rsid w:val="00294A99"/>
    <w:rsid w:val="00294AF2"/>
    <w:rsid w:val="00295016"/>
    <w:rsid w:val="00295703"/>
    <w:rsid w:val="00295867"/>
    <w:rsid w:val="00295896"/>
    <w:rsid w:val="00295A94"/>
    <w:rsid w:val="00295E0B"/>
    <w:rsid w:val="0029653C"/>
    <w:rsid w:val="00296882"/>
    <w:rsid w:val="0029723A"/>
    <w:rsid w:val="0029752F"/>
    <w:rsid w:val="00297C1A"/>
    <w:rsid w:val="00297C4D"/>
    <w:rsid w:val="002A03AE"/>
    <w:rsid w:val="002A0647"/>
    <w:rsid w:val="002A0824"/>
    <w:rsid w:val="002A0D41"/>
    <w:rsid w:val="002A1373"/>
    <w:rsid w:val="002A14B8"/>
    <w:rsid w:val="002A202E"/>
    <w:rsid w:val="002A267E"/>
    <w:rsid w:val="002A2713"/>
    <w:rsid w:val="002A29B0"/>
    <w:rsid w:val="002A3264"/>
    <w:rsid w:val="002A3C8F"/>
    <w:rsid w:val="002A3E33"/>
    <w:rsid w:val="002A3E78"/>
    <w:rsid w:val="002A4109"/>
    <w:rsid w:val="002A4282"/>
    <w:rsid w:val="002A42C2"/>
    <w:rsid w:val="002A47EB"/>
    <w:rsid w:val="002A4EC1"/>
    <w:rsid w:val="002A5694"/>
    <w:rsid w:val="002A5869"/>
    <w:rsid w:val="002A591E"/>
    <w:rsid w:val="002A5DDF"/>
    <w:rsid w:val="002A6080"/>
    <w:rsid w:val="002A6ED7"/>
    <w:rsid w:val="002A759F"/>
    <w:rsid w:val="002A7A78"/>
    <w:rsid w:val="002A7E07"/>
    <w:rsid w:val="002B01CE"/>
    <w:rsid w:val="002B0223"/>
    <w:rsid w:val="002B0520"/>
    <w:rsid w:val="002B0549"/>
    <w:rsid w:val="002B0D34"/>
    <w:rsid w:val="002B1489"/>
    <w:rsid w:val="002B1617"/>
    <w:rsid w:val="002B1D98"/>
    <w:rsid w:val="002B2436"/>
    <w:rsid w:val="002B2A3A"/>
    <w:rsid w:val="002B31A2"/>
    <w:rsid w:val="002B325A"/>
    <w:rsid w:val="002B35A4"/>
    <w:rsid w:val="002B3769"/>
    <w:rsid w:val="002B3783"/>
    <w:rsid w:val="002B3C4A"/>
    <w:rsid w:val="002B42E9"/>
    <w:rsid w:val="002B5671"/>
    <w:rsid w:val="002B597E"/>
    <w:rsid w:val="002B5B36"/>
    <w:rsid w:val="002B5B55"/>
    <w:rsid w:val="002B5CC4"/>
    <w:rsid w:val="002B604D"/>
    <w:rsid w:val="002B6A40"/>
    <w:rsid w:val="002B6DBF"/>
    <w:rsid w:val="002B7B9B"/>
    <w:rsid w:val="002B7E2D"/>
    <w:rsid w:val="002C002E"/>
    <w:rsid w:val="002C0E4A"/>
    <w:rsid w:val="002C19C6"/>
    <w:rsid w:val="002C1C57"/>
    <w:rsid w:val="002C1E21"/>
    <w:rsid w:val="002C1F1B"/>
    <w:rsid w:val="002C1FC7"/>
    <w:rsid w:val="002C2398"/>
    <w:rsid w:val="002C2461"/>
    <w:rsid w:val="002C26D5"/>
    <w:rsid w:val="002C2C0C"/>
    <w:rsid w:val="002C3642"/>
    <w:rsid w:val="002C38D5"/>
    <w:rsid w:val="002C3A54"/>
    <w:rsid w:val="002C3F24"/>
    <w:rsid w:val="002C4656"/>
    <w:rsid w:val="002C46C4"/>
    <w:rsid w:val="002C480D"/>
    <w:rsid w:val="002C4ABD"/>
    <w:rsid w:val="002C4E08"/>
    <w:rsid w:val="002C579B"/>
    <w:rsid w:val="002C5BB5"/>
    <w:rsid w:val="002C5E0D"/>
    <w:rsid w:val="002C619A"/>
    <w:rsid w:val="002C6739"/>
    <w:rsid w:val="002C69BC"/>
    <w:rsid w:val="002C6A11"/>
    <w:rsid w:val="002C6CEF"/>
    <w:rsid w:val="002C6E94"/>
    <w:rsid w:val="002C7B35"/>
    <w:rsid w:val="002C7BD5"/>
    <w:rsid w:val="002C7CF1"/>
    <w:rsid w:val="002C7E7D"/>
    <w:rsid w:val="002D04F6"/>
    <w:rsid w:val="002D081C"/>
    <w:rsid w:val="002D0D87"/>
    <w:rsid w:val="002D1928"/>
    <w:rsid w:val="002D1ABA"/>
    <w:rsid w:val="002D1CBF"/>
    <w:rsid w:val="002D1D97"/>
    <w:rsid w:val="002D1EF9"/>
    <w:rsid w:val="002D2648"/>
    <w:rsid w:val="002D2935"/>
    <w:rsid w:val="002D2EF8"/>
    <w:rsid w:val="002D3970"/>
    <w:rsid w:val="002D46F2"/>
    <w:rsid w:val="002D4881"/>
    <w:rsid w:val="002D4937"/>
    <w:rsid w:val="002D4F35"/>
    <w:rsid w:val="002D5A76"/>
    <w:rsid w:val="002D5C67"/>
    <w:rsid w:val="002D5D4F"/>
    <w:rsid w:val="002D6091"/>
    <w:rsid w:val="002D6906"/>
    <w:rsid w:val="002D6A78"/>
    <w:rsid w:val="002D72A4"/>
    <w:rsid w:val="002D75E8"/>
    <w:rsid w:val="002D7D57"/>
    <w:rsid w:val="002E007D"/>
    <w:rsid w:val="002E00A3"/>
    <w:rsid w:val="002E071A"/>
    <w:rsid w:val="002E0742"/>
    <w:rsid w:val="002E0AC9"/>
    <w:rsid w:val="002E0D31"/>
    <w:rsid w:val="002E0EBF"/>
    <w:rsid w:val="002E22D9"/>
    <w:rsid w:val="002E35CA"/>
    <w:rsid w:val="002E3D44"/>
    <w:rsid w:val="002E4876"/>
    <w:rsid w:val="002E4F4F"/>
    <w:rsid w:val="002E5364"/>
    <w:rsid w:val="002E5957"/>
    <w:rsid w:val="002E5E96"/>
    <w:rsid w:val="002E62E2"/>
    <w:rsid w:val="002E672E"/>
    <w:rsid w:val="002E68C8"/>
    <w:rsid w:val="002E7155"/>
    <w:rsid w:val="002E7D22"/>
    <w:rsid w:val="002E7F13"/>
    <w:rsid w:val="002E7FDA"/>
    <w:rsid w:val="002F0D17"/>
    <w:rsid w:val="002F0EAD"/>
    <w:rsid w:val="002F13F7"/>
    <w:rsid w:val="002F16EF"/>
    <w:rsid w:val="002F19D7"/>
    <w:rsid w:val="002F1BAB"/>
    <w:rsid w:val="002F1C97"/>
    <w:rsid w:val="002F1EBF"/>
    <w:rsid w:val="002F1FB6"/>
    <w:rsid w:val="002F21DF"/>
    <w:rsid w:val="002F2352"/>
    <w:rsid w:val="002F27F3"/>
    <w:rsid w:val="002F2AAB"/>
    <w:rsid w:val="002F2AFF"/>
    <w:rsid w:val="002F3340"/>
    <w:rsid w:val="002F36E5"/>
    <w:rsid w:val="002F3816"/>
    <w:rsid w:val="002F3988"/>
    <w:rsid w:val="002F3F51"/>
    <w:rsid w:val="002F43C9"/>
    <w:rsid w:val="002F4600"/>
    <w:rsid w:val="002F4D37"/>
    <w:rsid w:val="002F4EA7"/>
    <w:rsid w:val="002F51A1"/>
    <w:rsid w:val="002F51AF"/>
    <w:rsid w:val="002F54C6"/>
    <w:rsid w:val="002F5906"/>
    <w:rsid w:val="002F65C0"/>
    <w:rsid w:val="002F68BD"/>
    <w:rsid w:val="002F6A77"/>
    <w:rsid w:val="002F6E2D"/>
    <w:rsid w:val="002F6ED5"/>
    <w:rsid w:val="002F71FE"/>
    <w:rsid w:val="002F725C"/>
    <w:rsid w:val="002F76C1"/>
    <w:rsid w:val="002F77B0"/>
    <w:rsid w:val="002F7B38"/>
    <w:rsid w:val="003002AC"/>
    <w:rsid w:val="003002C6"/>
    <w:rsid w:val="00300668"/>
    <w:rsid w:val="0030070B"/>
    <w:rsid w:val="00300E12"/>
    <w:rsid w:val="00301352"/>
    <w:rsid w:val="00301A11"/>
    <w:rsid w:val="00301BDC"/>
    <w:rsid w:val="00302AF7"/>
    <w:rsid w:val="003032EC"/>
    <w:rsid w:val="00303393"/>
    <w:rsid w:val="00303E92"/>
    <w:rsid w:val="003041EA"/>
    <w:rsid w:val="00304399"/>
    <w:rsid w:val="00304787"/>
    <w:rsid w:val="00304948"/>
    <w:rsid w:val="00304FB1"/>
    <w:rsid w:val="003059DD"/>
    <w:rsid w:val="00305B8B"/>
    <w:rsid w:val="00305EC0"/>
    <w:rsid w:val="00305FB9"/>
    <w:rsid w:val="00306500"/>
    <w:rsid w:val="00306A2E"/>
    <w:rsid w:val="003070B6"/>
    <w:rsid w:val="00307167"/>
    <w:rsid w:val="00307184"/>
    <w:rsid w:val="00307539"/>
    <w:rsid w:val="0030791A"/>
    <w:rsid w:val="003100AA"/>
    <w:rsid w:val="00310149"/>
    <w:rsid w:val="003103DB"/>
    <w:rsid w:val="003108B7"/>
    <w:rsid w:val="00310A85"/>
    <w:rsid w:val="00310AB7"/>
    <w:rsid w:val="00310C39"/>
    <w:rsid w:val="00310C82"/>
    <w:rsid w:val="00310DAA"/>
    <w:rsid w:val="003119A5"/>
    <w:rsid w:val="00312ADC"/>
    <w:rsid w:val="00313086"/>
    <w:rsid w:val="003130DB"/>
    <w:rsid w:val="003131EB"/>
    <w:rsid w:val="0031324E"/>
    <w:rsid w:val="003136E7"/>
    <w:rsid w:val="00313C2D"/>
    <w:rsid w:val="0031401B"/>
    <w:rsid w:val="003147E5"/>
    <w:rsid w:val="00314AF9"/>
    <w:rsid w:val="00314F96"/>
    <w:rsid w:val="003150A1"/>
    <w:rsid w:val="00315653"/>
    <w:rsid w:val="00315914"/>
    <w:rsid w:val="00316764"/>
    <w:rsid w:val="00316788"/>
    <w:rsid w:val="00316A14"/>
    <w:rsid w:val="00316BF1"/>
    <w:rsid w:val="00316C2B"/>
    <w:rsid w:val="00317401"/>
    <w:rsid w:val="003174CA"/>
    <w:rsid w:val="0031751E"/>
    <w:rsid w:val="003177B4"/>
    <w:rsid w:val="00317AEB"/>
    <w:rsid w:val="00317BC5"/>
    <w:rsid w:val="00317DA0"/>
    <w:rsid w:val="003200B1"/>
    <w:rsid w:val="00320370"/>
    <w:rsid w:val="00320F50"/>
    <w:rsid w:val="003217E3"/>
    <w:rsid w:val="00321CF2"/>
    <w:rsid w:val="003224B0"/>
    <w:rsid w:val="00322B00"/>
    <w:rsid w:val="003235D4"/>
    <w:rsid w:val="003238E4"/>
    <w:rsid w:val="00323C1F"/>
    <w:rsid w:val="0032469D"/>
    <w:rsid w:val="00324F2D"/>
    <w:rsid w:val="00325031"/>
    <w:rsid w:val="003251C2"/>
    <w:rsid w:val="00325887"/>
    <w:rsid w:val="00325D01"/>
    <w:rsid w:val="00325EAC"/>
    <w:rsid w:val="0032630E"/>
    <w:rsid w:val="003268AD"/>
    <w:rsid w:val="00326AB0"/>
    <w:rsid w:val="0032709B"/>
    <w:rsid w:val="00327193"/>
    <w:rsid w:val="003274B8"/>
    <w:rsid w:val="0032752F"/>
    <w:rsid w:val="00327700"/>
    <w:rsid w:val="00327A08"/>
    <w:rsid w:val="003300E4"/>
    <w:rsid w:val="003302FB"/>
    <w:rsid w:val="0033033A"/>
    <w:rsid w:val="00330528"/>
    <w:rsid w:val="00331321"/>
    <w:rsid w:val="003318B7"/>
    <w:rsid w:val="00331B34"/>
    <w:rsid w:val="00331BC5"/>
    <w:rsid w:val="00332523"/>
    <w:rsid w:val="003328D2"/>
    <w:rsid w:val="00332FBA"/>
    <w:rsid w:val="003332BB"/>
    <w:rsid w:val="00334096"/>
    <w:rsid w:val="003340CB"/>
    <w:rsid w:val="0033476E"/>
    <w:rsid w:val="00334C17"/>
    <w:rsid w:val="00334EA5"/>
    <w:rsid w:val="00334FD0"/>
    <w:rsid w:val="003353A2"/>
    <w:rsid w:val="003354CB"/>
    <w:rsid w:val="00335857"/>
    <w:rsid w:val="00335A98"/>
    <w:rsid w:val="00335ABF"/>
    <w:rsid w:val="00335CEA"/>
    <w:rsid w:val="003365B5"/>
    <w:rsid w:val="00336ADE"/>
    <w:rsid w:val="00336B9C"/>
    <w:rsid w:val="00336D3E"/>
    <w:rsid w:val="00337534"/>
    <w:rsid w:val="00337A10"/>
    <w:rsid w:val="00337FD0"/>
    <w:rsid w:val="00340081"/>
    <w:rsid w:val="003406A8"/>
    <w:rsid w:val="003407AF"/>
    <w:rsid w:val="00340A6F"/>
    <w:rsid w:val="00340DE1"/>
    <w:rsid w:val="003410DD"/>
    <w:rsid w:val="003421DB"/>
    <w:rsid w:val="00342275"/>
    <w:rsid w:val="00342AB9"/>
    <w:rsid w:val="00343138"/>
    <w:rsid w:val="00343E02"/>
    <w:rsid w:val="0034412B"/>
    <w:rsid w:val="0034413B"/>
    <w:rsid w:val="0034413C"/>
    <w:rsid w:val="00344537"/>
    <w:rsid w:val="00344648"/>
    <w:rsid w:val="00344801"/>
    <w:rsid w:val="00344C99"/>
    <w:rsid w:val="0034551C"/>
    <w:rsid w:val="00346074"/>
    <w:rsid w:val="00346945"/>
    <w:rsid w:val="0034699A"/>
    <w:rsid w:val="00346C1A"/>
    <w:rsid w:val="00346CE3"/>
    <w:rsid w:val="00347024"/>
    <w:rsid w:val="003476FF"/>
    <w:rsid w:val="00347C9F"/>
    <w:rsid w:val="00347F89"/>
    <w:rsid w:val="003500E2"/>
    <w:rsid w:val="00350289"/>
    <w:rsid w:val="00350422"/>
    <w:rsid w:val="003505C5"/>
    <w:rsid w:val="00350BA6"/>
    <w:rsid w:val="00350C4D"/>
    <w:rsid w:val="00350FD9"/>
    <w:rsid w:val="003512D1"/>
    <w:rsid w:val="00351556"/>
    <w:rsid w:val="003516FC"/>
    <w:rsid w:val="003519B6"/>
    <w:rsid w:val="00351A3F"/>
    <w:rsid w:val="00351A98"/>
    <w:rsid w:val="00351BD1"/>
    <w:rsid w:val="003520FD"/>
    <w:rsid w:val="00352116"/>
    <w:rsid w:val="0035270C"/>
    <w:rsid w:val="003529A3"/>
    <w:rsid w:val="003530BF"/>
    <w:rsid w:val="003539BD"/>
    <w:rsid w:val="00353A73"/>
    <w:rsid w:val="00354B84"/>
    <w:rsid w:val="00354DC4"/>
    <w:rsid w:val="00355411"/>
    <w:rsid w:val="003557CF"/>
    <w:rsid w:val="003558F5"/>
    <w:rsid w:val="0035625B"/>
    <w:rsid w:val="003566DF"/>
    <w:rsid w:val="00356B18"/>
    <w:rsid w:val="003575F9"/>
    <w:rsid w:val="00357A80"/>
    <w:rsid w:val="00357D41"/>
    <w:rsid w:val="00357D96"/>
    <w:rsid w:val="00360376"/>
    <w:rsid w:val="00360757"/>
    <w:rsid w:val="00360D9F"/>
    <w:rsid w:val="00361409"/>
    <w:rsid w:val="003615AD"/>
    <w:rsid w:val="00361B97"/>
    <w:rsid w:val="00361C09"/>
    <w:rsid w:val="00362DA7"/>
    <w:rsid w:val="00363448"/>
    <w:rsid w:val="00363A0F"/>
    <w:rsid w:val="0036419C"/>
    <w:rsid w:val="00364555"/>
    <w:rsid w:val="00364708"/>
    <w:rsid w:val="00364AF9"/>
    <w:rsid w:val="0036514F"/>
    <w:rsid w:val="00365404"/>
    <w:rsid w:val="0036665C"/>
    <w:rsid w:val="00366693"/>
    <w:rsid w:val="0036699D"/>
    <w:rsid w:val="00366D5D"/>
    <w:rsid w:val="00366EFA"/>
    <w:rsid w:val="0036702A"/>
    <w:rsid w:val="00367537"/>
    <w:rsid w:val="00367A42"/>
    <w:rsid w:val="00370C4C"/>
    <w:rsid w:val="00370CA1"/>
    <w:rsid w:val="00371266"/>
    <w:rsid w:val="00371726"/>
    <w:rsid w:val="003717D5"/>
    <w:rsid w:val="00371894"/>
    <w:rsid w:val="00371A3A"/>
    <w:rsid w:val="00371AD8"/>
    <w:rsid w:val="00371BE7"/>
    <w:rsid w:val="00371D1D"/>
    <w:rsid w:val="003726AF"/>
    <w:rsid w:val="0037297A"/>
    <w:rsid w:val="00372C27"/>
    <w:rsid w:val="00372C45"/>
    <w:rsid w:val="00372C6A"/>
    <w:rsid w:val="00372E09"/>
    <w:rsid w:val="003732D8"/>
    <w:rsid w:val="00373850"/>
    <w:rsid w:val="00373F46"/>
    <w:rsid w:val="0037403E"/>
    <w:rsid w:val="003743CA"/>
    <w:rsid w:val="003745F2"/>
    <w:rsid w:val="00374BBD"/>
    <w:rsid w:val="00375258"/>
    <w:rsid w:val="00375F07"/>
    <w:rsid w:val="00376933"/>
    <w:rsid w:val="00376A21"/>
    <w:rsid w:val="00376EC2"/>
    <w:rsid w:val="00376FFB"/>
    <w:rsid w:val="00377393"/>
    <w:rsid w:val="00377432"/>
    <w:rsid w:val="0037758D"/>
    <w:rsid w:val="00380395"/>
    <w:rsid w:val="003819F2"/>
    <w:rsid w:val="003821B0"/>
    <w:rsid w:val="00382ADD"/>
    <w:rsid w:val="00382CEE"/>
    <w:rsid w:val="00382D13"/>
    <w:rsid w:val="00382EAD"/>
    <w:rsid w:val="003832A6"/>
    <w:rsid w:val="003832DE"/>
    <w:rsid w:val="00383347"/>
    <w:rsid w:val="00383385"/>
    <w:rsid w:val="00383396"/>
    <w:rsid w:val="003837A0"/>
    <w:rsid w:val="003839DD"/>
    <w:rsid w:val="00384041"/>
    <w:rsid w:val="00384981"/>
    <w:rsid w:val="00384D25"/>
    <w:rsid w:val="00385271"/>
    <w:rsid w:val="00385900"/>
    <w:rsid w:val="00385EFF"/>
    <w:rsid w:val="00386339"/>
    <w:rsid w:val="003865BD"/>
    <w:rsid w:val="0038670E"/>
    <w:rsid w:val="0038680A"/>
    <w:rsid w:val="0038697A"/>
    <w:rsid w:val="00386D5B"/>
    <w:rsid w:val="00386DB4"/>
    <w:rsid w:val="0038711E"/>
    <w:rsid w:val="00387A99"/>
    <w:rsid w:val="00390197"/>
    <w:rsid w:val="00391103"/>
    <w:rsid w:val="00391A95"/>
    <w:rsid w:val="00391E02"/>
    <w:rsid w:val="003927BA"/>
    <w:rsid w:val="003935FD"/>
    <w:rsid w:val="0039397D"/>
    <w:rsid w:val="0039450E"/>
    <w:rsid w:val="003945DA"/>
    <w:rsid w:val="00395126"/>
    <w:rsid w:val="0039512E"/>
    <w:rsid w:val="0039513C"/>
    <w:rsid w:val="0039544E"/>
    <w:rsid w:val="00395B3E"/>
    <w:rsid w:val="003964F9"/>
    <w:rsid w:val="00396AA2"/>
    <w:rsid w:val="00396D13"/>
    <w:rsid w:val="00397919"/>
    <w:rsid w:val="003A0163"/>
    <w:rsid w:val="003A08B7"/>
    <w:rsid w:val="003A094E"/>
    <w:rsid w:val="003A0C21"/>
    <w:rsid w:val="003A10D7"/>
    <w:rsid w:val="003A1DEE"/>
    <w:rsid w:val="003A202B"/>
    <w:rsid w:val="003A239C"/>
    <w:rsid w:val="003A2766"/>
    <w:rsid w:val="003A29AB"/>
    <w:rsid w:val="003A3184"/>
    <w:rsid w:val="003A4016"/>
    <w:rsid w:val="003A427D"/>
    <w:rsid w:val="003A42BA"/>
    <w:rsid w:val="003A4D25"/>
    <w:rsid w:val="003A4F09"/>
    <w:rsid w:val="003A52CA"/>
    <w:rsid w:val="003A60BA"/>
    <w:rsid w:val="003A60D3"/>
    <w:rsid w:val="003A610C"/>
    <w:rsid w:val="003A61E0"/>
    <w:rsid w:val="003A6FB0"/>
    <w:rsid w:val="003A70FD"/>
    <w:rsid w:val="003A7167"/>
    <w:rsid w:val="003A71E2"/>
    <w:rsid w:val="003A7216"/>
    <w:rsid w:val="003A7357"/>
    <w:rsid w:val="003A7E0A"/>
    <w:rsid w:val="003A7E52"/>
    <w:rsid w:val="003A7EA3"/>
    <w:rsid w:val="003B0152"/>
    <w:rsid w:val="003B01EE"/>
    <w:rsid w:val="003B16D8"/>
    <w:rsid w:val="003B1AD6"/>
    <w:rsid w:val="003B1C28"/>
    <w:rsid w:val="003B1CDE"/>
    <w:rsid w:val="003B25F9"/>
    <w:rsid w:val="003B26D0"/>
    <w:rsid w:val="003B359F"/>
    <w:rsid w:val="003B406A"/>
    <w:rsid w:val="003B4108"/>
    <w:rsid w:val="003B4C5A"/>
    <w:rsid w:val="003B4F90"/>
    <w:rsid w:val="003B6579"/>
    <w:rsid w:val="003B65D8"/>
    <w:rsid w:val="003B6C8F"/>
    <w:rsid w:val="003B6E49"/>
    <w:rsid w:val="003C0E77"/>
    <w:rsid w:val="003C14B9"/>
    <w:rsid w:val="003C1D40"/>
    <w:rsid w:val="003C1D64"/>
    <w:rsid w:val="003C22A9"/>
    <w:rsid w:val="003C2AA1"/>
    <w:rsid w:val="003C2D65"/>
    <w:rsid w:val="003C3D50"/>
    <w:rsid w:val="003C4B13"/>
    <w:rsid w:val="003C5817"/>
    <w:rsid w:val="003C58A9"/>
    <w:rsid w:val="003C58E3"/>
    <w:rsid w:val="003C5949"/>
    <w:rsid w:val="003C6A70"/>
    <w:rsid w:val="003C6ECD"/>
    <w:rsid w:val="003C6F61"/>
    <w:rsid w:val="003C72B3"/>
    <w:rsid w:val="003C76EC"/>
    <w:rsid w:val="003C7702"/>
    <w:rsid w:val="003D0B0D"/>
    <w:rsid w:val="003D0C07"/>
    <w:rsid w:val="003D299E"/>
    <w:rsid w:val="003D321E"/>
    <w:rsid w:val="003D3357"/>
    <w:rsid w:val="003D377F"/>
    <w:rsid w:val="003D37FB"/>
    <w:rsid w:val="003D3BB6"/>
    <w:rsid w:val="003D3CCD"/>
    <w:rsid w:val="003D3F83"/>
    <w:rsid w:val="003D424B"/>
    <w:rsid w:val="003D47A3"/>
    <w:rsid w:val="003D488E"/>
    <w:rsid w:val="003D4D79"/>
    <w:rsid w:val="003D4D9A"/>
    <w:rsid w:val="003D51D2"/>
    <w:rsid w:val="003D5543"/>
    <w:rsid w:val="003D570B"/>
    <w:rsid w:val="003D5F6D"/>
    <w:rsid w:val="003D624A"/>
    <w:rsid w:val="003D633A"/>
    <w:rsid w:val="003D66CE"/>
    <w:rsid w:val="003D66D2"/>
    <w:rsid w:val="003D68DD"/>
    <w:rsid w:val="003D6E5F"/>
    <w:rsid w:val="003D7078"/>
    <w:rsid w:val="003D7204"/>
    <w:rsid w:val="003D7363"/>
    <w:rsid w:val="003D74A3"/>
    <w:rsid w:val="003D76E4"/>
    <w:rsid w:val="003D76F0"/>
    <w:rsid w:val="003D7755"/>
    <w:rsid w:val="003D786F"/>
    <w:rsid w:val="003D7DD0"/>
    <w:rsid w:val="003E0025"/>
    <w:rsid w:val="003E00E6"/>
    <w:rsid w:val="003E018D"/>
    <w:rsid w:val="003E032C"/>
    <w:rsid w:val="003E056E"/>
    <w:rsid w:val="003E07E0"/>
    <w:rsid w:val="003E0C0C"/>
    <w:rsid w:val="003E1112"/>
    <w:rsid w:val="003E1289"/>
    <w:rsid w:val="003E2896"/>
    <w:rsid w:val="003E2AA9"/>
    <w:rsid w:val="003E2E39"/>
    <w:rsid w:val="003E372E"/>
    <w:rsid w:val="003E3D0B"/>
    <w:rsid w:val="003E3E1D"/>
    <w:rsid w:val="003E3E3C"/>
    <w:rsid w:val="003E3F82"/>
    <w:rsid w:val="003E3FD0"/>
    <w:rsid w:val="003E4049"/>
    <w:rsid w:val="003E4128"/>
    <w:rsid w:val="003E4403"/>
    <w:rsid w:val="003E4552"/>
    <w:rsid w:val="003E5344"/>
    <w:rsid w:val="003E5926"/>
    <w:rsid w:val="003E5A4D"/>
    <w:rsid w:val="003E6044"/>
    <w:rsid w:val="003E683D"/>
    <w:rsid w:val="003E6D63"/>
    <w:rsid w:val="003E6F6D"/>
    <w:rsid w:val="003E6F89"/>
    <w:rsid w:val="003E7C6A"/>
    <w:rsid w:val="003F0112"/>
    <w:rsid w:val="003F0260"/>
    <w:rsid w:val="003F027C"/>
    <w:rsid w:val="003F0446"/>
    <w:rsid w:val="003F0478"/>
    <w:rsid w:val="003F0A61"/>
    <w:rsid w:val="003F0DD6"/>
    <w:rsid w:val="003F0EDA"/>
    <w:rsid w:val="003F18CF"/>
    <w:rsid w:val="003F1FA6"/>
    <w:rsid w:val="003F2693"/>
    <w:rsid w:val="003F26A0"/>
    <w:rsid w:val="003F2C25"/>
    <w:rsid w:val="003F2D69"/>
    <w:rsid w:val="003F2E7D"/>
    <w:rsid w:val="003F4A86"/>
    <w:rsid w:val="003F4BB3"/>
    <w:rsid w:val="003F4CCB"/>
    <w:rsid w:val="003F4DEB"/>
    <w:rsid w:val="003F5077"/>
    <w:rsid w:val="003F5085"/>
    <w:rsid w:val="003F50FC"/>
    <w:rsid w:val="003F55C1"/>
    <w:rsid w:val="003F5600"/>
    <w:rsid w:val="003F56D9"/>
    <w:rsid w:val="003F57DB"/>
    <w:rsid w:val="003F5EF1"/>
    <w:rsid w:val="003F5EF4"/>
    <w:rsid w:val="003F6458"/>
    <w:rsid w:val="003F6598"/>
    <w:rsid w:val="003F6737"/>
    <w:rsid w:val="003F6C7C"/>
    <w:rsid w:val="003F7633"/>
    <w:rsid w:val="004004DD"/>
    <w:rsid w:val="0040064B"/>
    <w:rsid w:val="00400CDE"/>
    <w:rsid w:val="00400ED1"/>
    <w:rsid w:val="00400F59"/>
    <w:rsid w:val="00400F90"/>
    <w:rsid w:val="00400FB6"/>
    <w:rsid w:val="00401006"/>
    <w:rsid w:val="004011E5"/>
    <w:rsid w:val="004015DA"/>
    <w:rsid w:val="004017C2"/>
    <w:rsid w:val="004017CA"/>
    <w:rsid w:val="00401BFB"/>
    <w:rsid w:val="00401CA8"/>
    <w:rsid w:val="00402208"/>
    <w:rsid w:val="004025D2"/>
    <w:rsid w:val="00402F7D"/>
    <w:rsid w:val="00403086"/>
    <w:rsid w:val="00403427"/>
    <w:rsid w:val="00403552"/>
    <w:rsid w:val="0040384C"/>
    <w:rsid w:val="004039BF"/>
    <w:rsid w:val="00403BE1"/>
    <w:rsid w:val="00403C5B"/>
    <w:rsid w:val="00403E56"/>
    <w:rsid w:val="00404685"/>
    <w:rsid w:val="00404C89"/>
    <w:rsid w:val="00405146"/>
    <w:rsid w:val="00405223"/>
    <w:rsid w:val="004052EA"/>
    <w:rsid w:val="00405307"/>
    <w:rsid w:val="004062D7"/>
    <w:rsid w:val="0040651A"/>
    <w:rsid w:val="00406647"/>
    <w:rsid w:val="004066E8"/>
    <w:rsid w:val="00406951"/>
    <w:rsid w:val="00406E7B"/>
    <w:rsid w:val="004074DC"/>
    <w:rsid w:val="00407545"/>
    <w:rsid w:val="00410859"/>
    <w:rsid w:val="00410D0F"/>
    <w:rsid w:val="004114DB"/>
    <w:rsid w:val="004119C6"/>
    <w:rsid w:val="00411CFC"/>
    <w:rsid w:val="00411D28"/>
    <w:rsid w:val="004121E0"/>
    <w:rsid w:val="0041320E"/>
    <w:rsid w:val="00413B99"/>
    <w:rsid w:val="00413D61"/>
    <w:rsid w:val="00413F1D"/>
    <w:rsid w:val="00414183"/>
    <w:rsid w:val="004141AD"/>
    <w:rsid w:val="00414439"/>
    <w:rsid w:val="004145AE"/>
    <w:rsid w:val="00414F97"/>
    <w:rsid w:val="00415389"/>
    <w:rsid w:val="0041558A"/>
    <w:rsid w:val="0041620E"/>
    <w:rsid w:val="0041668C"/>
    <w:rsid w:val="00416890"/>
    <w:rsid w:val="00416B4D"/>
    <w:rsid w:val="004172CF"/>
    <w:rsid w:val="00417BC3"/>
    <w:rsid w:val="00417CFA"/>
    <w:rsid w:val="00417D76"/>
    <w:rsid w:val="00420288"/>
    <w:rsid w:val="00420799"/>
    <w:rsid w:val="00420929"/>
    <w:rsid w:val="00420DF7"/>
    <w:rsid w:val="00420ED2"/>
    <w:rsid w:val="00421699"/>
    <w:rsid w:val="004216D1"/>
    <w:rsid w:val="00421A33"/>
    <w:rsid w:val="00421C3B"/>
    <w:rsid w:val="00421E43"/>
    <w:rsid w:val="00422128"/>
    <w:rsid w:val="00422BB4"/>
    <w:rsid w:val="0042349A"/>
    <w:rsid w:val="00424468"/>
    <w:rsid w:val="00424C2A"/>
    <w:rsid w:val="00425FF1"/>
    <w:rsid w:val="0042633A"/>
    <w:rsid w:val="00426FAE"/>
    <w:rsid w:val="00426FB0"/>
    <w:rsid w:val="00427051"/>
    <w:rsid w:val="00427ADA"/>
    <w:rsid w:val="00427ADC"/>
    <w:rsid w:val="00427D4D"/>
    <w:rsid w:val="00427D8B"/>
    <w:rsid w:val="00430589"/>
    <w:rsid w:val="00430FE2"/>
    <w:rsid w:val="0043135D"/>
    <w:rsid w:val="0043178D"/>
    <w:rsid w:val="0043215D"/>
    <w:rsid w:val="004322EC"/>
    <w:rsid w:val="004326ED"/>
    <w:rsid w:val="0043272C"/>
    <w:rsid w:val="00432DB5"/>
    <w:rsid w:val="00432F16"/>
    <w:rsid w:val="00432F70"/>
    <w:rsid w:val="00433F00"/>
    <w:rsid w:val="00433F3F"/>
    <w:rsid w:val="00433FFA"/>
    <w:rsid w:val="0043408F"/>
    <w:rsid w:val="00434203"/>
    <w:rsid w:val="004358F3"/>
    <w:rsid w:val="00435952"/>
    <w:rsid w:val="004364BA"/>
    <w:rsid w:val="00436541"/>
    <w:rsid w:val="00436AAE"/>
    <w:rsid w:val="00437157"/>
    <w:rsid w:val="004379CE"/>
    <w:rsid w:val="00437E8C"/>
    <w:rsid w:val="004403CC"/>
    <w:rsid w:val="004404EB"/>
    <w:rsid w:val="00440C3B"/>
    <w:rsid w:val="00440D89"/>
    <w:rsid w:val="00441099"/>
    <w:rsid w:val="0044114D"/>
    <w:rsid w:val="004411BB"/>
    <w:rsid w:val="004413CD"/>
    <w:rsid w:val="00441E45"/>
    <w:rsid w:val="00441F14"/>
    <w:rsid w:val="0044258E"/>
    <w:rsid w:val="00442C53"/>
    <w:rsid w:val="004438C5"/>
    <w:rsid w:val="00443A8B"/>
    <w:rsid w:val="00443C2B"/>
    <w:rsid w:val="00443CA3"/>
    <w:rsid w:val="00444874"/>
    <w:rsid w:val="00444F4C"/>
    <w:rsid w:val="004453BD"/>
    <w:rsid w:val="00445430"/>
    <w:rsid w:val="004456D5"/>
    <w:rsid w:val="00445E93"/>
    <w:rsid w:val="00445EFC"/>
    <w:rsid w:val="0044626B"/>
    <w:rsid w:val="00446595"/>
    <w:rsid w:val="0044674E"/>
    <w:rsid w:val="00446CA8"/>
    <w:rsid w:val="00446E5D"/>
    <w:rsid w:val="00447134"/>
    <w:rsid w:val="00447347"/>
    <w:rsid w:val="004473D3"/>
    <w:rsid w:val="004506C4"/>
    <w:rsid w:val="00450A1E"/>
    <w:rsid w:val="00450A7E"/>
    <w:rsid w:val="004517ED"/>
    <w:rsid w:val="004519FE"/>
    <w:rsid w:val="00452310"/>
    <w:rsid w:val="00452471"/>
    <w:rsid w:val="00452C2E"/>
    <w:rsid w:val="00453239"/>
    <w:rsid w:val="004534F7"/>
    <w:rsid w:val="00453825"/>
    <w:rsid w:val="00453B1D"/>
    <w:rsid w:val="00453DD4"/>
    <w:rsid w:val="004541FC"/>
    <w:rsid w:val="00454C42"/>
    <w:rsid w:val="00454F5B"/>
    <w:rsid w:val="0045515A"/>
    <w:rsid w:val="00455593"/>
    <w:rsid w:val="0045584B"/>
    <w:rsid w:val="00455F79"/>
    <w:rsid w:val="0045615A"/>
    <w:rsid w:val="00456618"/>
    <w:rsid w:val="004566CA"/>
    <w:rsid w:val="004576CE"/>
    <w:rsid w:val="004579DB"/>
    <w:rsid w:val="00457AFE"/>
    <w:rsid w:val="00457D09"/>
    <w:rsid w:val="00460318"/>
    <w:rsid w:val="0046040E"/>
    <w:rsid w:val="0046045C"/>
    <w:rsid w:val="00460624"/>
    <w:rsid w:val="004608C2"/>
    <w:rsid w:val="004608EA"/>
    <w:rsid w:val="00460B31"/>
    <w:rsid w:val="00461A90"/>
    <w:rsid w:val="004626D5"/>
    <w:rsid w:val="00462C2C"/>
    <w:rsid w:val="00463604"/>
    <w:rsid w:val="00463715"/>
    <w:rsid w:val="004643CC"/>
    <w:rsid w:val="00464D72"/>
    <w:rsid w:val="0046549D"/>
    <w:rsid w:val="004655F8"/>
    <w:rsid w:val="00466137"/>
    <w:rsid w:val="0046648E"/>
    <w:rsid w:val="00466564"/>
    <w:rsid w:val="00466711"/>
    <w:rsid w:val="0046688D"/>
    <w:rsid w:val="004669E2"/>
    <w:rsid w:val="00466A54"/>
    <w:rsid w:val="00466F0E"/>
    <w:rsid w:val="004670E6"/>
    <w:rsid w:val="00467DFD"/>
    <w:rsid w:val="00470575"/>
    <w:rsid w:val="00470589"/>
    <w:rsid w:val="004705DA"/>
    <w:rsid w:val="00470A62"/>
    <w:rsid w:val="00471564"/>
    <w:rsid w:val="00471806"/>
    <w:rsid w:val="00471A5C"/>
    <w:rsid w:val="00471FAC"/>
    <w:rsid w:val="004723F7"/>
    <w:rsid w:val="00472601"/>
    <w:rsid w:val="00472C68"/>
    <w:rsid w:val="004733F8"/>
    <w:rsid w:val="00473697"/>
    <w:rsid w:val="00473797"/>
    <w:rsid w:val="0047381F"/>
    <w:rsid w:val="00473AB3"/>
    <w:rsid w:val="00473FA2"/>
    <w:rsid w:val="00474068"/>
    <w:rsid w:val="004742B9"/>
    <w:rsid w:val="00474321"/>
    <w:rsid w:val="00474326"/>
    <w:rsid w:val="0047435D"/>
    <w:rsid w:val="004748FC"/>
    <w:rsid w:val="00474B19"/>
    <w:rsid w:val="004751AB"/>
    <w:rsid w:val="004752DE"/>
    <w:rsid w:val="00475411"/>
    <w:rsid w:val="0047574E"/>
    <w:rsid w:val="00475E39"/>
    <w:rsid w:val="00475F07"/>
    <w:rsid w:val="00476382"/>
    <w:rsid w:val="004766FF"/>
    <w:rsid w:val="0047698C"/>
    <w:rsid w:val="0047705C"/>
    <w:rsid w:val="0047760C"/>
    <w:rsid w:val="00480111"/>
    <w:rsid w:val="004803C2"/>
    <w:rsid w:val="0048096C"/>
    <w:rsid w:val="00480B5D"/>
    <w:rsid w:val="00480F52"/>
    <w:rsid w:val="0048113A"/>
    <w:rsid w:val="004811A5"/>
    <w:rsid w:val="00481373"/>
    <w:rsid w:val="00481633"/>
    <w:rsid w:val="00481964"/>
    <w:rsid w:val="00481F48"/>
    <w:rsid w:val="00482052"/>
    <w:rsid w:val="0048206D"/>
    <w:rsid w:val="004823F6"/>
    <w:rsid w:val="004827C4"/>
    <w:rsid w:val="00482975"/>
    <w:rsid w:val="0048340F"/>
    <w:rsid w:val="00483591"/>
    <w:rsid w:val="0048399B"/>
    <w:rsid w:val="0048447C"/>
    <w:rsid w:val="0048462A"/>
    <w:rsid w:val="00484B3F"/>
    <w:rsid w:val="00484F88"/>
    <w:rsid w:val="00485CA9"/>
    <w:rsid w:val="0048600C"/>
    <w:rsid w:val="00486E3D"/>
    <w:rsid w:val="00487134"/>
    <w:rsid w:val="004877CA"/>
    <w:rsid w:val="00487A2A"/>
    <w:rsid w:val="00487FD7"/>
    <w:rsid w:val="0049068F"/>
    <w:rsid w:val="00490BE7"/>
    <w:rsid w:val="00490BF6"/>
    <w:rsid w:val="004910E5"/>
    <w:rsid w:val="00491261"/>
    <w:rsid w:val="00491631"/>
    <w:rsid w:val="00491C54"/>
    <w:rsid w:val="00491CEC"/>
    <w:rsid w:val="00491E10"/>
    <w:rsid w:val="0049280B"/>
    <w:rsid w:val="0049298A"/>
    <w:rsid w:val="00493318"/>
    <w:rsid w:val="00493471"/>
    <w:rsid w:val="00493B48"/>
    <w:rsid w:val="00494006"/>
    <w:rsid w:val="0049435A"/>
    <w:rsid w:val="004944C6"/>
    <w:rsid w:val="00494593"/>
    <w:rsid w:val="004945BC"/>
    <w:rsid w:val="00494A45"/>
    <w:rsid w:val="004952D5"/>
    <w:rsid w:val="004953E0"/>
    <w:rsid w:val="004953F2"/>
    <w:rsid w:val="00495955"/>
    <w:rsid w:val="00495CD7"/>
    <w:rsid w:val="00496058"/>
    <w:rsid w:val="00496486"/>
    <w:rsid w:val="0049672E"/>
    <w:rsid w:val="00496AFE"/>
    <w:rsid w:val="00496CC0"/>
    <w:rsid w:val="00497192"/>
    <w:rsid w:val="00497204"/>
    <w:rsid w:val="00497D64"/>
    <w:rsid w:val="00497F31"/>
    <w:rsid w:val="00497F7D"/>
    <w:rsid w:val="004A03B4"/>
    <w:rsid w:val="004A0D4C"/>
    <w:rsid w:val="004A1099"/>
    <w:rsid w:val="004A12FC"/>
    <w:rsid w:val="004A1570"/>
    <w:rsid w:val="004A15AC"/>
    <w:rsid w:val="004A1A72"/>
    <w:rsid w:val="004A212E"/>
    <w:rsid w:val="004A215A"/>
    <w:rsid w:val="004A2452"/>
    <w:rsid w:val="004A2F5B"/>
    <w:rsid w:val="004A33CD"/>
    <w:rsid w:val="004A3486"/>
    <w:rsid w:val="004A37EB"/>
    <w:rsid w:val="004A3853"/>
    <w:rsid w:val="004A3EFB"/>
    <w:rsid w:val="004A421C"/>
    <w:rsid w:val="004A445D"/>
    <w:rsid w:val="004A45CC"/>
    <w:rsid w:val="004A45EF"/>
    <w:rsid w:val="004A4662"/>
    <w:rsid w:val="004A4899"/>
    <w:rsid w:val="004A4DA9"/>
    <w:rsid w:val="004A4E62"/>
    <w:rsid w:val="004A532A"/>
    <w:rsid w:val="004A5549"/>
    <w:rsid w:val="004A5589"/>
    <w:rsid w:val="004A5930"/>
    <w:rsid w:val="004A5DE0"/>
    <w:rsid w:val="004A5E14"/>
    <w:rsid w:val="004A62B6"/>
    <w:rsid w:val="004A71B8"/>
    <w:rsid w:val="004A7910"/>
    <w:rsid w:val="004B058E"/>
    <w:rsid w:val="004B07C4"/>
    <w:rsid w:val="004B0F7B"/>
    <w:rsid w:val="004B1286"/>
    <w:rsid w:val="004B13FF"/>
    <w:rsid w:val="004B1658"/>
    <w:rsid w:val="004B1763"/>
    <w:rsid w:val="004B1ACF"/>
    <w:rsid w:val="004B2599"/>
    <w:rsid w:val="004B2CC2"/>
    <w:rsid w:val="004B2DAF"/>
    <w:rsid w:val="004B2E6E"/>
    <w:rsid w:val="004B30ED"/>
    <w:rsid w:val="004B325C"/>
    <w:rsid w:val="004B3422"/>
    <w:rsid w:val="004B356A"/>
    <w:rsid w:val="004B38E6"/>
    <w:rsid w:val="004B3D04"/>
    <w:rsid w:val="004B46C9"/>
    <w:rsid w:val="004B4859"/>
    <w:rsid w:val="004B587B"/>
    <w:rsid w:val="004B64F8"/>
    <w:rsid w:val="004B6A22"/>
    <w:rsid w:val="004B7DC0"/>
    <w:rsid w:val="004B7FBE"/>
    <w:rsid w:val="004C0401"/>
    <w:rsid w:val="004C123F"/>
    <w:rsid w:val="004C136C"/>
    <w:rsid w:val="004C19AF"/>
    <w:rsid w:val="004C1CBC"/>
    <w:rsid w:val="004C249A"/>
    <w:rsid w:val="004C2673"/>
    <w:rsid w:val="004C2B77"/>
    <w:rsid w:val="004C2E27"/>
    <w:rsid w:val="004C2E98"/>
    <w:rsid w:val="004C2FC6"/>
    <w:rsid w:val="004C3323"/>
    <w:rsid w:val="004C36C8"/>
    <w:rsid w:val="004C39DA"/>
    <w:rsid w:val="004C3ACB"/>
    <w:rsid w:val="004C3BC1"/>
    <w:rsid w:val="004C4025"/>
    <w:rsid w:val="004C470D"/>
    <w:rsid w:val="004C5149"/>
    <w:rsid w:val="004C51A3"/>
    <w:rsid w:val="004C5611"/>
    <w:rsid w:val="004C5944"/>
    <w:rsid w:val="004C5E31"/>
    <w:rsid w:val="004C5F87"/>
    <w:rsid w:val="004C64BA"/>
    <w:rsid w:val="004C65EF"/>
    <w:rsid w:val="004C6711"/>
    <w:rsid w:val="004C6868"/>
    <w:rsid w:val="004C736D"/>
    <w:rsid w:val="004C739D"/>
    <w:rsid w:val="004C7CCA"/>
    <w:rsid w:val="004C7E21"/>
    <w:rsid w:val="004C7F9A"/>
    <w:rsid w:val="004D0DC1"/>
    <w:rsid w:val="004D0EF7"/>
    <w:rsid w:val="004D184C"/>
    <w:rsid w:val="004D1B68"/>
    <w:rsid w:val="004D1E60"/>
    <w:rsid w:val="004D23EC"/>
    <w:rsid w:val="004D267A"/>
    <w:rsid w:val="004D2BAD"/>
    <w:rsid w:val="004D2EAE"/>
    <w:rsid w:val="004D3664"/>
    <w:rsid w:val="004D3CCB"/>
    <w:rsid w:val="004D3D17"/>
    <w:rsid w:val="004D3ED1"/>
    <w:rsid w:val="004D3F8E"/>
    <w:rsid w:val="004D4752"/>
    <w:rsid w:val="004D47C7"/>
    <w:rsid w:val="004D4890"/>
    <w:rsid w:val="004D4F3A"/>
    <w:rsid w:val="004D525B"/>
    <w:rsid w:val="004D576B"/>
    <w:rsid w:val="004D5A2F"/>
    <w:rsid w:val="004D5A47"/>
    <w:rsid w:val="004D6C7B"/>
    <w:rsid w:val="004D6D3B"/>
    <w:rsid w:val="004D740A"/>
    <w:rsid w:val="004D787B"/>
    <w:rsid w:val="004D7A62"/>
    <w:rsid w:val="004D7B0C"/>
    <w:rsid w:val="004D7D5C"/>
    <w:rsid w:val="004E0516"/>
    <w:rsid w:val="004E0697"/>
    <w:rsid w:val="004E12CC"/>
    <w:rsid w:val="004E169D"/>
    <w:rsid w:val="004E16E6"/>
    <w:rsid w:val="004E18F8"/>
    <w:rsid w:val="004E1C0F"/>
    <w:rsid w:val="004E1EFB"/>
    <w:rsid w:val="004E2A76"/>
    <w:rsid w:val="004E2EA6"/>
    <w:rsid w:val="004E3BA1"/>
    <w:rsid w:val="004E3E16"/>
    <w:rsid w:val="004E4FA0"/>
    <w:rsid w:val="004E5434"/>
    <w:rsid w:val="004E59F9"/>
    <w:rsid w:val="004E5A27"/>
    <w:rsid w:val="004E5CCF"/>
    <w:rsid w:val="004E5E0E"/>
    <w:rsid w:val="004E61D9"/>
    <w:rsid w:val="004E6B3D"/>
    <w:rsid w:val="004E6DF1"/>
    <w:rsid w:val="004E716D"/>
    <w:rsid w:val="004E787D"/>
    <w:rsid w:val="004E7BA8"/>
    <w:rsid w:val="004E7E12"/>
    <w:rsid w:val="004E7E31"/>
    <w:rsid w:val="004F01BC"/>
    <w:rsid w:val="004F1F9B"/>
    <w:rsid w:val="004F2009"/>
    <w:rsid w:val="004F21A2"/>
    <w:rsid w:val="004F21E5"/>
    <w:rsid w:val="004F254C"/>
    <w:rsid w:val="004F2A16"/>
    <w:rsid w:val="004F2FDC"/>
    <w:rsid w:val="004F30FF"/>
    <w:rsid w:val="004F3338"/>
    <w:rsid w:val="004F3547"/>
    <w:rsid w:val="004F396F"/>
    <w:rsid w:val="004F3C87"/>
    <w:rsid w:val="004F42ED"/>
    <w:rsid w:val="004F4672"/>
    <w:rsid w:val="004F4B25"/>
    <w:rsid w:val="004F4D6A"/>
    <w:rsid w:val="004F5915"/>
    <w:rsid w:val="004F5BAD"/>
    <w:rsid w:val="004F5C68"/>
    <w:rsid w:val="004F606F"/>
    <w:rsid w:val="004F6AFA"/>
    <w:rsid w:val="004F74FD"/>
    <w:rsid w:val="004F766F"/>
    <w:rsid w:val="004F7849"/>
    <w:rsid w:val="004F7B42"/>
    <w:rsid w:val="0050010A"/>
    <w:rsid w:val="00500361"/>
    <w:rsid w:val="0050084A"/>
    <w:rsid w:val="00500B83"/>
    <w:rsid w:val="00500C36"/>
    <w:rsid w:val="00500EE5"/>
    <w:rsid w:val="00502239"/>
    <w:rsid w:val="0050224A"/>
    <w:rsid w:val="005025ED"/>
    <w:rsid w:val="005025F3"/>
    <w:rsid w:val="0050266B"/>
    <w:rsid w:val="005026B9"/>
    <w:rsid w:val="005029BF"/>
    <w:rsid w:val="00503EAA"/>
    <w:rsid w:val="00503F28"/>
    <w:rsid w:val="005043C0"/>
    <w:rsid w:val="00504D55"/>
    <w:rsid w:val="0050523F"/>
    <w:rsid w:val="005052E6"/>
    <w:rsid w:val="00505520"/>
    <w:rsid w:val="0050583D"/>
    <w:rsid w:val="00505F56"/>
    <w:rsid w:val="00506999"/>
    <w:rsid w:val="00506BF0"/>
    <w:rsid w:val="00506C35"/>
    <w:rsid w:val="00506DC9"/>
    <w:rsid w:val="00507EF3"/>
    <w:rsid w:val="005109DF"/>
    <w:rsid w:val="00510CE4"/>
    <w:rsid w:val="005112D4"/>
    <w:rsid w:val="005116C2"/>
    <w:rsid w:val="005118BE"/>
    <w:rsid w:val="00511B2B"/>
    <w:rsid w:val="00512095"/>
    <w:rsid w:val="005124B6"/>
    <w:rsid w:val="00512913"/>
    <w:rsid w:val="00512E60"/>
    <w:rsid w:val="00513713"/>
    <w:rsid w:val="00514FAF"/>
    <w:rsid w:val="0051648E"/>
    <w:rsid w:val="0051658C"/>
    <w:rsid w:val="005167A8"/>
    <w:rsid w:val="005169B1"/>
    <w:rsid w:val="00516AC8"/>
    <w:rsid w:val="00516FB8"/>
    <w:rsid w:val="00516FC8"/>
    <w:rsid w:val="00517BB3"/>
    <w:rsid w:val="00517F32"/>
    <w:rsid w:val="005206B8"/>
    <w:rsid w:val="00520C09"/>
    <w:rsid w:val="00520DDB"/>
    <w:rsid w:val="00521833"/>
    <w:rsid w:val="00521971"/>
    <w:rsid w:val="00521A1D"/>
    <w:rsid w:val="00521ACA"/>
    <w:rsid w:val="005221D8"/>
    <w:rsid w:val="00522BBB"/>
    <w:rsid w:val="00522F7E"/>
    <w:rsid w:val="00523288"/>
    <w:rsid w:val="005233A3"/>
    <w:rsid w:val="00523453"/>
    <w:rsid w:val="005239A4"/>
    <w:rsid w:val="0052410D"/>
    <w:rsid w:val="00524333"/>
    <w:rsid w:val="005247BE"/>
    <w:rsid w:val="00524B78"/>
    <w:rsid w:val="00524D78"/>
    <w:rsid w:val="0052557E"/>
    <w:rsid w:val="00525958"/>
    <w:rsid w:val="00525F92"/>
    <w:rsid w:val="00525FC4"/>
    <w:rsid w:val="005267CA"/>
    <w:rsid w:val="00526D16"/>
    <w:rsid w:val="00527BBD"/>
    <w:rsid w:val="00527EBF"/>
    <w:rsid w:val="00530141"/>
    <w:rsid w:val="005305E9"/>
    <w:rsid w:val="005307FE"/>
    <w:rsid w:val="00530A0C"/>
    <w:rsid w:val="00531DB6"/>
    <w:rsid w:val="00532031"/>
    <w:rsid w:val="00532E71"/>
    <w:rsid w:val="0053356A"/>
    <w:rsid w:val="00533678"/>
    <w:rsid w:val="00533767"/>
    <w:rsid w:val="00533B75"/>
    <w:rsid w:val="00533BC9"/>
    <w:rsid w:val="00533EB2"/>
    <w:rsid w:val="00534DD1"/>
    <w:rsid w:val="00534F40"/>
    <w:rsid w:val="0053507C"/>
    <w:rsid w:val="005350A1"/>
    <w:rsid w:val="005350E2"/>
    <w:rsid w:val="00535642"/>
    <w:rsid w:val="00535A8C"/>
    <w:rsid w:val="00535D04"/>
    <w:rsid w:val="005364E8"/>
    <w:rsid w:val="00536630"/>
    <w:rsid w:val="00536657"/>
    <w:rsid w:val="00536896"/>
    <w:rsid w:val="00536980"/>
    <w:rsid w:val="00536C58"/>
    <w:rsid w:val="00536DE6"/>
    <w:rsid w:val="00536E6F"/>
    <w:rsid w:val="00536F82"/>
    <w:rsid w:val="00537411"/>
    <w:rsid w:val="00537593"/>
    <w:rsid w:val="00537636"/>
    <w:rsid w:val="0053765B"/>
    <w:rsid w:val="005376DF"/>
    <w:rsid w:val="00537ADB"/>
    <w:rsid w:val="00537BBA"/>
    <w:rsid w:val="00540027"/>
    <w:rsid w:val="00540CD7"/>
    <w:rsid w:val="005417B9"/>
    <w:rsid w:val="005417C5"/>
    <w:rsid w:val="00541A24"/>
    <w:rsid w:val="00541A5F"/>
    <w:rsid w:val="00541E17"/>
    <w:rsid w:val="00542198"/>
    <w:rsid w:val="005424B6"/>
    <w:rsid w:val="005424EB"/>
    <w:rsid w:val="00542682"/>
    <w:rsid w:val="00542971"/>
    <w:rsid w:val="00543094"/>
    <w:rsid w:val="00543359"/>
    <w:rsid w:val="00543AD4"/>
    <w:rsid w:val="00543B98"/>
    <w:rsid w:val="0054436F"/>
    <w:rsid w:val="00544F5F"/>
    <w:rsid w:val="00545CF3"/>
    <w:rsid w:val="00545DC7"/>
    <w:rsid w:val="00545E8D"/>
    <w:rsid w:val="0054653C"/>
    <w:rsid w:val="005475C7"/>
    <w:rsid w:val="00547BF4"/>
    <w:rsid w:val="00550268"/>
    <w:rsid w:val="0055182A"/>
    <w:rsid w:val="005519D8"/>
    <w:rsid w:val="00552782"/>
    <w:rsid w:val="00552A08"/>
    <w:rsid w:val="00552DCD"/>
    <w:rsid w:val="00552E6B"/>
    <w:rsid w:val="00553585"/>
    <w:rsid w:val="005535AF"/>
    <w:rsid w:val="005538C4"/>
    <w:rsid w:val="005538C9"/>
    <w:rsid w:val="0055402E"/>
    <w:rsid w:val="005540A2"/>
    <w:rsid w:val="00555080"/>
    <w:rsid w:val="00555414"/>
    <w:rsid w:val="00555540"/>
    <w:rsid w:val="00555602"/>
    <w:rsid w:val="00555EBA"/>
    <w:rsid w:val="00556112"/>
    <w:rsid w:val="00556118"/>
    <w:rsid w:val="00556962"/>
    <w:rsid w:val="00556D4C"/>
    <w:rsid w:val="00556DAF"/>
    <w:rsid w:val="005572FB"/>
    <w:rsid w:val="005573E2"/>
    <w:rsid w:val="005602A0"/>
    <w:rsid w:val="005606D7"/>
    <w:rsid w:val="00560E55"/>
    <w:rsid w:val="005611DD"/>
    <w:rsid w:val="0056145C"/>
    <w:rsid w:val="0056162D"/>
    <w:rsid w:val="00561E98"/>
    <w:rsid w:val="00562542"/>
    <w:rsid w:val="005625E1"/>
    <w:rsid w:val="0056292E"/>
    <w:rsid w:val="00562D62"/>
    <w:rsid w:val="005634A5"/>
    <w:rsid w:val="00564E31"/>
    <w:rsid w:val="00565530"/>
    <w:rsid w:val="005655F5"/>
    <w:rsid w:val="00565641"/>
    <w:rsid w:val="0056614D"/>
    <w:rsid w:val="0056623E"/>
    <w:rsid w:val="0056689A"/>
    <w:rsid w:val="00566E35"/>
    <w:rsid w:val="00566F4A"/>
    <w:rsid w:val="00567F6A"/>
    <w:rsid w:val="0057045F"/>
    <w:rsid w:val="00570748"/>
    <w:rsid w:val="00570C60"/>
    <w:rsid w:val="00570F90"/>
    <w:rsid w:val="00571790"/>
    <w:rsid w:val="005718DC"/>
    <w:rsid w:val="00571E7B"/>
    <w:rsid w:val="00571F43"/>
    <w:rsid w:val="00571FC3"/>
    <w:rsid w:val="005724AC"/>
    <w:rsid w:val="005724F1"/>
    <w:rsid w:val="00572713"/>
    <w:rsid w:val="00572E41"/>
    <w:rsid w:val="0057355E"/>
    <w:rsid w:val="005736B1"/>
    <w:rsid w:val="0057386B"/>
    <w:rsid w:val="00573B19"/>
    <w:rsid w:val="00573F33"/>
    <w:rsid w:val="00573FBE"/>
    <w:rsid w:val="0057427F"/>
    <w:rsid w:val="00574AAD"/>
    <w:rsid w:val="00575118"/>
    <w:rsid w:val="005751B7"/>
    <w:rsid w:val="005752E0"/>
    <w:rsid w:val="0057562A"/>
    <w:rsid w:val="00575CA0"/>
    <w:rsid w:val="00575DE6"/>
    <w:rsid w:val="00576530"/>
    <w:rsid w:val="00576701"/>
    <w:rsid w:val="005768C8"/>
    <w:rsid w:val="00576907"/>
    <w:rsid w:val="005769F1"/>
    <w:rsid w:val="005772D1"/>
    <w:rsid w:val="00577A00"/>
    <w:rsid w:val="00577AE4"/>
    <w:rsid w:val="00577B8E"/>
    <w:rsid w:val="00580706"/>
    <w:rsid w:val="00580EE3"/>
    <w:rsid w:val="005814DD"/>
    <w:rsid w:val="0058229F"/>
    <w:rsid w:val="005822EE"/>
    <w:rsid w:val="005823E4"/>
    <w:rsid w:val="00582D2D"/>
    <w:rsid w:val="00582D55"/>
    <w:rsid w:val="00583025"/>
    <w:rsid w:val="00583031"/>
    <w:rsid w:val="00583247"/>
    <w:rsid w:val="0058361B"/>
    <w:rsid w:val="00583CF8"/>
    <w:rsid w:val="00584289"/>
    <w:rsid w:val="0058455D"/>
    <w:rsid w:val="0058533F"/>
    <w:rsid w:val="00585B92"/>
    <w:rsid w:val="00585F2B"/>
    <w:rsid w:val="00586334"/>
    <w:rsid w:val="005865EF"/>
    <w:rsid w:val="005867A7"/>
    <w:rsid w:val="0058699E"/>
    <w:rsid w:val="00586AA1"/>
    <w:rsid w:val="00586CB3"/>
    <w:rsid w:val="0058710E"/>
    <w:rsid w:val="00587115"/>
    <w:rsid w:val="005872D0"/>
    <w:rsid w:val="005872D1"/>
    <w:rsid w:val="00587389"/>
    <w:rsid w:val="00590065"/>
    <w:rsid w:val="00590276"/>
    <w:rsid w:val="0059077B"/>
    <w:rsid w:val="00591109"/>
    <w:rsid w:val="00591173"/>
    <w:rsid w:val="00591752"/>
    <w:rsid w:val="005917FC"/>
    <w:rsid w:val="00591E8B"/>
    <w:rsid w:val="00592667"/>
    <w:rsid w:val="005926FB"/>
    <w:rsid w:val="00592B53"/>
    <w:rsid w:val="00592EF4"/>
    <w:rsid w:val="00593050"/>
    <w:rsid w:val="00593353"/>
    <w:rsid w:val="00593A23"/>
    <w:rsid w:val="00593D99"/>
    <w:rsid w:val="00594206"/>
    <w:rsid w:val="005944BB"/>
    <w:rsid w:val="00595452"/>
    <w:rsid w:val="00595AEB"/>
    <w:rsid w:val="00595EEE"/>
    <w:rsid w:val="00595FB9"/>
    <w:rsid w:val="00596067"/>
    <w:rsid w:val="005967D9"/>
    <w:rsid w:val="00596824"/>
    <w:rsid w:val="005972C6"/>
    <w:rsid w:val="005A006E"/>
    <w:rsid w:val="005A01F9"/>
    <w:rsid w:val="005A060F"/>
    <w:rsid w:val="005A0A4F"/>
    <w:rsid w:val="005A0BA5"/>
    <w:rsid w:val="005A1203"/>
    <w:rsid w:val="005A2216"/>
    <w:rsid w:val="005A23C5"/>
    <w:rsid w:val="005A25E2"/>
    <w:rsid w:val="005A30FF"/>
    <w:rsid w:val="005A3673"/>
    <w:rsid w:val="005A394D"/>
    <w:rsid w:val="005A3D1C"/>
    <w:rsid w:val="005A4923"/>
    <w:rsid w:val="005A4B92"/>
    <w:rsid w:val="005A4CA8"/>
    <w:rsid w:val="005A56F8"/>
    <w:rsid w:val="005A59F4"/>
    <w:rsid w:val="005A5AAA"/>
    <w:rsid w:val="005A662E"/>
    <w:rsid w:val="005A699F"/>
    <w:rsid w:val="005A6B8D"/>
    <w:rsid w:val="005A6B98"/>
    <w:rsid w:val="005A7441"/>
    <w:rsid w:val="005A779E"/>
    <w:rsid w:val="005A7DCF"/>
    <w:rsid w:val="005A7F72"/>
    <w:rsid w:val="005B03E3"/>
    <w:rsid w:val="005B053B"/>
    <w:rsid w:val="005B0741"/>
    <w:rsid w:val="005B0DC8"/>
    <w:rsid w:val="005B0F15"/>
    <w:rsid w:val="005B1B0D"/>
    <w:rsid w:val="005B2319"/>
    <w:rsid w:val="005B242E"/>
    <w:rsid w:val="005B3BA3"/>
    <w:rsid w:val="005B3C6E"/>
    <w:rsid w:val="005B3F2C"/>
    <w:rsid w:val="005B4007"/>
    <w:rsid w:val="005B4413"/>
    <w:rsid w:val="005B4546"/>
    <w:rsid w:val="005B49E6"/>
    <w:rsid w:val="005B4EC2"/>
    <w:rsid w:val="005B504F"/>
    <w:rsid w:val="005B526F"/>
    <w:rsid w:val="005B5386"/>
    <w:rsid w:val="005B5B21"/>
    <w:rsid w:val="005B6385"/>
    <w:rsid w:val="005B641D"/>
    <w:rsid w:val="005B675F"/>
    <w:rsid w:val="005B72AF"/>
    <w:rsid w:val="005B7D0F"/>
    <w:rsid w:val="005C0173"/>
    <w:rsid w:val="005C05DD"/>
    <w:rsid w:val="005C0F42"/>
    <w:rsid w:val="005C137D"/>
    <w:rsid w:val="005C1647"/>
    <w:rsid w:val="005C1B26"/>
    <w:rsid w:val="005C2D82"/>
    <w:rsid w:val="005C317C"/>
    <w:rsid w:val="005C425D"/>
    <w:rsid w:val="005C43AF"/>
    <w:rsid w:val="005C44DF"/>
    <w:rsid w:val="005C480C"/>
    <w:rsid w:val="005C532A"/>
    <w:rsid w:val="005C5B04"/>
    <w:rsid w:val="005C5C1E"/>
    <w:rsid w:val="005C5D89"/>
    <w:rsid w:val="005C60C9"/>
    <w:rsid w:val="005C66EA"/>
    <w:rsid w:val="005C6E6A"/>
    <w:rsid w:val="005C78D4"/>
    <w:rsid w:val="005C791D"/>
    <w:rsid w:val="005D0D6C"/>
    <w:rsid w:val="005D0F30"/>
    <w:rsid w:val="005D14CD"/>
    <w:rsid w:val="005D16D3"/>
    <w:rsid w:val="005D1703"/>
    <w:rsid w:val="005D188E"/>
    <w:rsid w:val="005D1AAB"/>
    <w:rsid w:val="005D1BB6"/>
    <w:rsid w:val="005D1DCE"/>
    <w:rsid w:val="005D22D0"/>
    <w:rsid w:val="005D246F"/>
    <w:rsid w:val="005D2470"/>
    <w:rsid w:val="005D2B71"/>
    <w:rsid w:val="005D2C14"/>
    <w:rsid w:val="005D2DBE"/>
    <w:rsid w:val="005D3824"/>
    <w:rsid w:val="005D390F"/>
    <w:rsid w:val="005D438C"/>
    <w:rsid w:val="005D46E9"/>
    <w:rsid w:val="005D48C2"/>
    <w:rsid w:val="005D4A25"/>
    <w:rsid w:val="005D4F12"/>
    <w:rsid w:val="005D590F"/>
    <w:rsid w:val="005D5D55"/>
    <w:rsid w:val="005D602F"/>
    <w:rsid w:val="005D6612"/>
    <w:rsid w:val="005D6C6C"/>
    <w:rsid w:val="005D702D"/>
    <w:rsid w:val="005D770D"/>
    <w:rsid w:val="005D7785"/>
    <w:rsid w:val="005D7854"/>
    <w:rsid w:val="005D7A35"/>
    <w:rsid w:val="005D7F00"/>
    <w:rsid w:val="005D7FE9"/>
    <w:rsid w:val="005E02AA"/>
    <w:rsid w:val="005E04FE"/>
    <w:rsid w:val="005E0587"/>
    <w:rsid w:val="005E097A"/>
    <w:rsid w:val="005E0D1E"/>
    <w:rsid w:val="005E112D"/>
    <w:rsid w:val="005E12DD"/>
    <w:rsid w:val="005E1D0E"/>
    <w:rsid w:val="005E2165"/>
    <w:rsid w:val="005E2385"/>
    <w:rsid w:val="005E24A0"/>
    <w:rsid w:val="005E2886"/>
    <w:rsid w:val="005E3379"/>
    <w:rsid w:val="005E3452"/>
    <w:rsid w:val="005E35CA"/>
    <w:rsid w:val="005E4535"/>
    <w:rsid w:val="005E4839"/>
    <w:rsid w:val="005E4888"/>
    <w:rsid w:val="005E4CDD"/>
    <w:rsid w:val="005E4D13"/>
    <w:rsid w:val="005E4FE5"/>
    <w:rsid w:val="005E537F"/>
    <w:rsid w:val="005E5C27"/>
    <w:rsid w:val="005E6246"/>
    <w:rsid w:val="005E624E"/>
    <w:rsid w:val="005E62CC"/>
    <w:rsid w:val="005E635A"/>
    <w:rsid w:val="005E6AD9"/>
    <w:rsid w:val="005E739E"/>
    <w:rsid w:val="005E762B"/>
    <w:rsid w:val="005E7A12"/>
    <w:rsid w:val="005F0135"/>
    <w:rsid w:val="005F0305"/>
    <w:rsid w:val="005F0741"/>
    <w:rsid w:val="005F0EDD"/>
    <w:rsid w:val="005F1244"/>
    <w:rsid w:val="005F12E2"/>
    <w:rsid w:val="005F176F"/>
    <w:rsid w:val="005F1B2F"/>
    <w:rsid w:val="005F20CF"/>
    <w:rsid w:val="005F2657"/>
    <w:rsid w:val="005F2F81"/>
    <w:rsid w:val="005F3074"/>
    <w:rsid w:val="005F30C6"/>
    <w:rsid w:val="005F31F0"/>
    <w:rsid w:val="005F36C6"/>
    <w:rsid w:val="005F3837"/>
    <w:rsid w:val="005F3DF1"/>
    <w:rsid w:val="005F4036"/>
    <w:rsid w:val="005F428E"/>
    <w:rsid w:val="005F493D"/>
    <w:rsid w:val="005F51C8"/>
    <w:rsid w:val="005F5883"/>
    <w:rsid w:val="005F58E9"/>
    <w:rsid w:val="005F596D"/>
    <w:rsid w:val="005F605A"/>
    <w:rsid w:val="005F6241"/>
    <w:rsid w:val="005F6A07"/>
    <w:rsid w:val="005F6F76"/>
    <w:rsid w:val="005F7186"/>
    <w:rsid w:val="005F7799"/>
    <w:rsid w:val="005F7E2B"/>
    <w:rsid w:val="006003D9"/>
    <w:rsid w:val="00600679"/>
    <w:rsid w:val="00600D7E"/>
    <w:rsid w:val="00601137"/>
    <w:rsid w:val="006011EE"/>
    <w:rsid w:val="006016DE"/>
    <w:rsid w:val="006017C3"/>
    <w:rsid w:val="0060192C"/>
    <w:rsid w:val="00601E43"/>
    <w:rsid w:val="00602593"/>
    <w:rsid w:val="006029D7"/>
    <w:rsid w:val="00602A94"/>
    <w:rsid w:val="00602F3A"/>
    <w:rsid w:val="00603267"/>
    <w:rsid w:val="006039FF"/>
    <w:rsid w:val="00604511"/>
    <w:rsid w:val="00604998"/>
    <w:rsid w:val="00604AEE"/>
    <w:rsid w:val="00604B81"/>
    <w:rsid w:val="00604B8C"/>
    <w:rsid w:val="006059D1"/>
    <w:rsid w:val="00605E53"/>
    <w:rsid w:val="00606169"/>
    <w:rsid w:val="0060646F"/>
    <w:rsid w:val="0060697E"/>
    <w:rsid w:val="00606A23"/>
    <w:rsid w:val="00606D2F"/>
    <w:rsid w:val="00606E2B"/>
    <w:rsid w:val="006071F4"/>
    <w:rsid w:val="0061011A"/>
    <w:rsid w:val="0061013C"/>
    <w:rsid w:val="006103D5"/>
    <w:rsid w:val="00610A20"/>
    <w:rsid w:val="00610AF4"/>
    <w:rsid w:val="00610D06"/>
    <w:rsid w:val="00610F6F"/>
    <w:rsid w:val="0061156F"/>
    <w:rsid w:val="0061159D"/>
    <w:rsid w:val="00611EF3"/>
    <w:rsid w:val="006125CB"/>
    <w:rsid w:val="006135FB"/>
    <w:rsid w:val="00613C27"/>
    <w:rsid w:val="00614927"/>
    <w:rsid w:val="00614DBB"/>
    <w:rsid w:val="006151AB"/>
    <w:rsid w:val="0061520D"/>
    <w:rsid w:val="006153B8"/>
    <w:rsid w:val="0061543E"/>
    <w:rsid w:val="0061585D"/>
    <w:rsid w:val="00616C05"/>
    <w:rsid w:val="00616CAA"/>
    <w:rsid w:val="00616FD6"/>
    <w:rsid w:val="0061754B"/>
    <w:rsid w:val="00617833"/>
    <w:rsid w:val="00617A2D"/>
    <w:rsid w:val="00617F85"/>
    <w:rsid w:val="00617FC3"/>
    <w:rsid w:val="0062015D"/>
    <w:rsid w:val="00620829"/>
    <w:rsid w:val="00620F9A"/>
    <w:rsid w:val="00621489"/>
    <w:rsid w:val="006214BC"/>
    <w:rsid w:val="00622131"/>
    <w:rsid w:val="00622A99"/>
    <w:rsid w:val="00622BB0"/>
    <w:rsid w:val="00622FCE"/>
    <w:rsid w:val="006232C1"/>
    <w:rsid w:val="0062348C"/>
    <w:rsid w:val="00623C69"/>
    <w:rsid w:val="00623CE8"/>
    <w:rsid w:val="00623DE2"/>
    <w:rsid w:val="00623E43"/>
    <w:rsid w:val="006240B6"/>
    <w:rsid w:val="006241E1"/>
    <w:rsid w:val="006250B0"/>
    <w:rsid w:val="00625AD5"/>
    <w:rsid w:val="00625BC8"/>
    <w:rsid w:val="00625C5C"/>
    <w:rsid w:val="00625D8A"/>
    <w:rsid w:val="00625DF3"/>
    <w:rsid w:val="00625F28"/>
    <w:rsid w:val="00626153"/>
    <w:rsid w:val="006266D0"/>
    <w:rsid w:val="00626C8D"/>
    <w:rsid w:val="00627EAD"/>
    <w:rsid w:val="00630202"/>
    <w:rsid w:val="0063026F"/>
    <w:rsid w:val="006309A4"/>
    <w:rsid w:val="006309A6"/>
    <w:rsid w:val="00631160"/>
    <w:rsid w:val="006312FF"/>
    <w:rsid w:val="006315E5"/>
    <w:rsid w:val="00631842"/>
    <w:rsid w:val="00631A54"/>
    <w:rsid w:val="00631ABF"/>
    <w:rsid w:val="00631BFD"/>
    <w:rsid w:val="00632854"/>
    <w:rsid w:val="00632FDC"/>
    <w:rsid w:val="006337A2"/>
    <w:rsid w:val="006338CD"/>
    <w:rsid w:val="00636184"/>
    <w:rsid w:val="00636629"/>
    <w:rsid w:val="006367CA"/>
    <w:rsid w:val="00636D05"/>
    <w:rsid w:val="006378A9"/>
    <w:rsid w:val="00637A42"/>
    <w:rsid w:val="00637E24"/>
    <w:rsid w:val="00637E89"/>
    <w:rsid w:val="006401FC"/>
    <w:rsid w:val="00640DCA"/>
    <w:rsid w:val="00640F57"/>
    <w:rsid w:val="00640FC2"/>
    <w:rsid w:val="00640FF2"/>
    <w:rsid w:val="00641F38"/>
    <w:rsid w:val="006424A3"/>
    <w:rsid w:val="0064262D"/>
    <w:rsid w:val="006426E5"/>
    <w:rsid w:val="00642DF4"/>
    <w:rsid w:val="00642F08"/>
    <w:rsid w:val="00643458"/>
    <w:rsid w:val="006435F1"/>
    <w:rsid w:val="0064367D"/>
    <w:rsid w:val="006439B3"/>
    <w:rsid w:val="00643BD6"/>
    <w:rsid w:val="0064441F"/>
    <w:rsid w:val="00644430"/>
    <w:rsid w:val="00644A46"/>
    <w:rsid w:val="00645261"/>
    <w:rsid w:val="00645EB5"/>
    <w:rsid w:val="00646043"/>
    <w:rsid w:val="00646619"/>
    <w:rsid w:val="00646A7F"/>
    <w:rsid w:val="00646F30"/>
    <w:rsid w:val="00647188"/>
    <w:rsid w:val="006477CB"/>
    <w:rsid w:val="00647984"/>
    <w:rsid w:val="00647B25"/>
    <w:rsid w:val="00647E41"/>
    <w:rsid w:val="00650B39"/>
    <w:rsid w:val="00651C4E"/>
    <w:rsid w:val="00651DF2"/>
    <w:rsid w:val="00651E14"/>
    <w:rsid w:val="00652348"/>
    <w:rsid w:val="00652EBF"/>
    <w:rsid w:val="006530C5"/>
    <w:rsid w:val="006534D3"/>
    <w:rsid w:val="006538E4"/>
    <w:rsid w:val="00654390"/>
    <w:rsid w:val="0065470F"/>
    <w:rsid w:val="006547A6"/>
    <w:rsid w:val="00654DCF"/>
    <w:rsid w:val="006554D8"/>
    <w:rsid w:val="006554FE"/>
    <w:rsid w:val="00655775"/>
    <w:rsid w:val="00655AEA"/>
    <w:rsid w:val="00655B07"/>
    <w:rsid w:val="00656060"/>
    <w:rsid w:val="0065772B"/>
    <w:rsid w:val="00657C1C"/>
    <w:rsid w:val="006613D4"/>
    <w:rsid w:val="00661C31"/>
    <w:rsid w:val="006622A0"/>
    <w:rsid w:val="00662331"/>
    <w:rsid w:val="0066247B"/>
    <w:rsid w:val="00662597"/>
    <w:rsid w:val="00662938"/>
    <w:rsid w:val="00662B99"/>
    <w:rsid w:val="00663378"/>
    <w:rsid w:val="00663532"/>
    <w:rsid w:val="006639E0"/>
    <w:rsid w:val="00663C66"/>
    <w:rsid w:val="00663D21"/>
    <w:rsid w:val="00663DDD"/>
    <w:rsid w:val="00663E6B"/>
    <w:rsid w:val="00663F34"/>
    <w:rsid w:val="00663FF3"/>
    <w:rsid w:val="006647D1"/>
    <w:rsid w:val="006648AF"/>
    <w:rsid w:val="00664DC7"/>
    <w:rsid w:val="00665B9F"/>
    <w:rsid w:val="00665ECF"/>
    <w:rsid w:val="00665F18"/>
    <w:rsid w:val="00665FBF"/>
    <w:rsid w:val="00666C4E"/>
    <w:rsid w:val="006676F5"/>
    <w:rsid w:val="00667E7F"/>
    <w:rsid w:val="00667E9A"/>
    <w:rsid w:val="0067018B"/>
    <w:rsid w:val="006702FA"/>
    <w:rsid w:val="0067046E"/>
    <w:rsid w:val="0067097E"/>
    <w:rsid w:val="00670A06"/>
    <w:rsid w:val="00670A5D"/>
    <w:rsid w:val="00670AA8"/>
    <w:rsid w:val="006717CB"/>
    <w:rsid w:val="0067211D"/>
    <w:rsid w:val="0067292D"/>
    <w:rsid w:val="00672FB4"/>
    <w:rsid w:val="00673075"/>
    <w:rsid w:val="006731F2"/>
    <w:rsid w:val="0067326F"/>
    <w:rsid w:val="006734EA"/>
    <w:rsid w:val="00673AC2"/>
    <w:rsid w:val="00673BCB"/>
    <w:rsid w:val="00673FC8"/>
    <w:rsid w:val="00674656"/>
    <w:rsid w:val="00674986"/>
    <w:rsid w:val="0067499A"/>
    <w:rsid w:val="00674A56"/>
    <w:rsid w:val="00675126"/>
    <w:rsid w:val="006751FA"/>
    <w:rsid w:val="00675221"/>
    <w:rsid w:val="00675241"/>
    <w:rsid w:val="00675EC5"/>
    <w:rsid w:val="0067676A"/>
    <w:rsid w:val="006767F1"/>
    <w:rsid w:val="0067686C"/>
    <w:rsid w:val="00676A4C"/>
    <w:rsid w:val="00676AB3"/>
    <w:rsid w:val="00676B34"/>
    <w:rsid w:val="0067711F"/>
    <w:rsid w:val="006771E7"/>
    <w:rsid w:val="006775A9"/>
    <w:rsid w:val="006777C9"/>
    <w:rsid w:val="00677E2D"/>
    <w:rsid w:val="00680224"/>
    <w:rsid w:val="006803F2"/>
    <w:rsid w:val="0068050A"/>
    <w:rsid w:val="0068058C"/>
    <w:rsid w:val="00680815"/>
    <w:rsid w:val="00680A96"/>
    <w:rsid w:val="00680FFF"/>
    <w:rsid w:val="00681A7D"/>
    <w:rsid w:val="00681EEF"/>
    <w:rsid w:val="00682498"/>
    <w:rsid w:val="00682AC4"/>
    <w:rsid w:val="0068352C"/>
    <w:rsid w:val="00683A66"/>
    <w:rsid w:val="006841D4"/>
    <w:rsid w:val="00685150"/>
    <w:rsid w:val="0068516C"/>
    <w:rsid w:val="006854CF"/>
    <w:rsid w:val="00685567"/>
    <w:rsid w:val="006857A3"/>
    <w:rsid w:val="00685825"/>
    <w:rsid w:val="00685CE1"/>
    <w:rsid w:val="00685F13"/>
    <w:rsid w:val="0068650A"/>
    <w:rsid w:val="0068650C"/>
    <w:rsid w:val="00686BAD"/>
    <w:rsid w:val="0068730B"/>
    <w:rsid w:val="00687312"/>
    <w:rsid w:val="00687A30"/>
    <w:rsid w:val="0069008B"/>
    <w:rsid w:val="0069120C"/>
    <w:rsid w:val="006913E2"/>
    <w:rsid w:val="006914A9"/>
    <w:rsid w:val="00691D55"/>
    <w:rsid w:val="00692A20"/>
    <w:rsid w:val="00692E0C"/>
    <w:rsid w:val="00693151"/>
    <w:rsid w:val="006935BC"/>
    <w:rsid w:val="00693966"/>
    <w:rsid w:val="00693A27"/>
    <w:rsid w:val="00693C67"/>
    <w:rsid w:val="00693D52"/>
    <w:rsid w:val="00693FAC"/>
    <w:rsid w:val="006946EA"/>
    <w:rsid w:val="00694839"/>
    <w:rsid w:val="00694CFB"/>
    <w:rsid w:val="0069579D"/>
    <w:rsid w:val="0069580A"/>
    <w:rsid w:val="00695CF0"/>
    <w:rsid w:val="00695E58"/>
    <w:rsid w:val="00696D53"/>
    <w:rsid w:val="00696E19"/>
    <w:rsid w:val="0069714E"/>
    <w:rsid w:val="0069753C"/>
    <w:rsid w:val="006A03B2"/>
    <w:rsid w:val="006A0A7F"/>
    <w:rsid w:val="006A0A93"/>
    <w:rsid w:val="006A13F4"/>
    <w:rsid w:val="006A1D5B"/>
    <w:rsid w:val="006A1DBB"/>
    <w:rsid w:val="006A2684"/>
    <w:rsid w:val="006A2E28"/>
    <w:rsid w:val="006A318D"/>
    <w:rsid w:val="006A3250"/>
    <w:rsid w:val="006A348F"/>
    <w:rsid w:val="006A4A62"/>
    <w:rsid w:val="006A5921"/>
    <w:rsid w:val="006A5FE3"/>
    <w:rsid w:val="006A65CE"/>
    <w:rsid w:val="006A73F9"/>
    <w:rsid w:val="006A76BA"/>
    <w:rsid w:val="006A7A4C"/>
    <w:rsid w:val="006A7A98"/>
    <w:rsid w:val="006A7AF6"/>
    <w:rsid w:val="006B07A4"/>
    <w:rsid w:val="006B0C18"/>
    <w:rsid w:val="006B176D"/>
    <w:rsid w:val="006B24DC"/>
    <w:rsid w:val="006B2AE9"/>
    <w:rsid w:val="006B2E0D"/>
    <w:rsid w:val="006B2EDA"/>
    <w:rsid w:val="006B3500"/>
    <w:rsid w:val="006B3D90"/>
    <w:rsid w:val="006B3E45"/>
    <w:rsid w:val="006B4AB8"/>
    <w:rsid w:val="006B4B33"/>
    <w:rsid w:val="006B5285"/>
    <w:rsid w:val="006B56A7"/>
    <w:rsid w:val="006B5910"/>
    <w:rsid w:val="006B5949"/>
    <w:rsid w:val="006B5BB6"/>
    <w:rsid w:val="006B5FEC"/>
    <w:rsid w:val="006B635D"/>
    <w:rsid w:val="006B6712"/>
    <w:rsid w:val="006B6F37"/>
    <w:rsid w:val="006B785D"/>
    <w:rsid w:val="006B7884"/>
    <w:rsid w:val="006C016B"/>
    <w:rsid w:val="006C1672"/>
    <w:rsid w:val="006C174F"/>
    <w:rsid w:val="006C18C9"/>
    <w:rsid w:val="006C1EE6"/>
    <w:rsid w:val="006C359B"/>
    <w:rsid w:val="006C38B4"/>
    <w:rsid w:val="006C42E0"/>
    <w:rsid w:val="006C4304"/>
    <w:rsid w:val="006C4494"/>
    <w:rsid w:val="006C4797"/>
    <w:rsid w:val="006C4B3F"/>
    <w:rsid w:val="006C4CFE"/>
    <w:rsid w:val="006C507E"/>
    <w:rsid w:val="006C528F"/>
    <w:rsid w:val="006C5622"/>
    <w:rsid w:val="006C5948"/>
    <w:rsid w:val="006C5DF0"/>
    <w:rsid w:val="006C6B47"/>
    <w:rsid w:val="006C741C"/>
    <w:rsid w:val="006C78A8"/>
    <w:rsid w:val="006D00E3"/>
    <w:rsid w:val="006D01FC"/>
    <w:rsid w:val="006D030B"/>
    <w:rsid w:val="006D0315"/>
    <w:rsid w:val="006D0A20"/>
    <w:rsid w:val="006D0B08"/>
    <w:rsid w:val="006D1D4F"/>
    <w:rsid w:val="006D2026"/>
    <w:rsid w:val="006D23F1"/>
    <w:rsid w:val="006D2DA0"/>
    <w:rsid w:val="006D2F7A"/>
    <w:rsid w:val="006D2FFA"/>
    <w:rsid w:val="006D3263"/>
    <w:rsid w:val="006D32FA"/>
    <w:rsid w:val="006D3B64"/>
    <w:rsid w:val="006D3DC7"/>
    <w:rsid w:val="006D41CA"/>
    <w:rsid w:val="006D43D4"/>
    <w:rsid w:val="006D46CA"/>
    <w:rsid w:val="006D4986"/>
    <w:rsid w:val="006D5154"/>
    <w:rsid w:val="006D531B"/>
    <w:rsid w:val="006D54D1"/>
    <w:rsid w:val="006D5E6B"/>
    <w:rsid w:val="006D60DF"/>
    <w:rsid w:val="006D620D"/>
    <w:rsid w:val="006D6406"/>
    <w:rsid w:val="006D6835"/>
    <w:rsid w:val="006D6ADA"/>
    <w:rsid w:val="006D6C2B"/>
    <w:rsid w:val="006D6EAD"/>
    <w:rsid w:val="006D74AB"/>
    <w:rsid w:val="006D7582"/>
    <w:rsid w:val="006D75AF"/>
    <w:rsid w:val="006E080A"/>
    <w:rsid w:val="006E08E5"/>
    <w:rsid w:val="006E0D6A"/>
    <w:rsid w:val="006E1013"/>
    <w:rsid w:val="006E1B77"/>
    <w:rsid w:val="006E1CA3"/>
    <w:rsid w:val="006E2600"/>
    <w:rsid w:val="006E2714"/>
    <w:rsid w:val="006E347A"/>
    <w:rsid w:val="006E35F5"/>
    <w:rsid w:val="006E35FA"/>
    <w:rsid w:val="006E3731"/>
    <w:rsid w:val="006E3867"/>
    <w:rsid w:val="006E397E"/>
    <w:rsid w:val="006E3B3D"/>
    <w:rsid w:val="006E44DA"/>
    <w:rsid w:val="006E4B34"/>
    <w:rsid w:val="006E4F6E"/>
    <w:rsid w:val="006E5705"/>
    <w:rsid w:val="006E5A88"/>
    <w:rsid w:val="006E5C8B"/>
    <w:rsid w:val="006E6A0F"/>
    <w:rsid w:val="006E6ADA"/>
    <w:rsid w:val="006E6BD3"/>
    <w:rsid w:val="006E6F83"/>
    <w:rsid w:val="006E7C53"/>
    <w:rsid w:val="006E7C9E"/>
    <w:rsid w:val="006F013F"/>
    <w:rsid w:val="006F02DB"/>
    <w:rsid w:val="006F0BAF"/>
    <w:rsid w:val="006F1057"/>
    <w:rsid w:val="006F110A"/>
    <w:rsid w:val="006F13DA"/>
    <w:rsid w:val="006F14AF"/>
    <w:rsid w:val="006F14FE"/>
    <w:rsid w:val="006F1BD1"/>
    <w:rsid w:val="006F1FEA"/>
    <w:rsid w:val="006F2AD0"/>
    <w:rsid w:val="006F2F24"/>
    <w:rsid w:val="006F310F"/>
    <w:rsid w:val="006F377D"/>
    <w:rsid w:val="006F37E0"/>
    <w:rsid w:val="006F44D7"/>
    <w:rsid w:val="006F4641"/>
    <w:rsid w:val="006F4CB8"/>
    <w:rsid w:val="006F4F87"/>
    <w:rsid w:val="006F59A5"/>
    <w:rsid w:val="006F5A13"/>
    <w:rsid w:val="006F7339"/>
    <w:rsid w:val="006F778A"/>
    <w:rsid w:val="006F782A"/>
    <w:rsid w:val="006F7EC6"/>
    <w:rsid w:val="0070001D"/>
    <w:rsid w:val="00700198"/>
    <w:rsid w:val="007006BC"/>
    <w:rsid w:val="00700902"/>
    <w:rsid w:val="00700B37"/>
    <w:rsid w:val="00701157"/>
    <w:rsid w:val="00701265"/>
    <w:rsid w:val="007014CA"/>
    <w:rsid w:val="0070162F"/>
    <w:rsid w:val="007018AC"/>
    <w:rsid w:val="0070226A"/>
    <w:rsid w:val="0070241B"/>
    <w:rsid w:val="007025A8"/>
    <w:rsid w:val="00702D3D"/>
    <w:rsid w:val="007033C5"/>
    <w:rsid w:val="00703421"/>
    <w:rsid w:val="007037BE"/>
    <w:rsid w:val="00703807"/>
    <w:rsid w:val="00703D1A"/>
    <w:rsid w:val="00704071"/>
    <w:rsid w:val="007047F6"/>
    <w:rsid w:val="00704939"/>
    <w:rsid w:val="007049F8"/>
    <w:rsid w:val="0070506D"/>
    <w:rsid w:val="00705243"/>
    <w:rsid w:val="00706076"/>
    <w:rsid w:val="007072BB"/>
    <w:rsid w:val="00707585"/>
    <w:rsid w:val="00707712"/>
    <w:rsid w:val="007100C0"/>
    <w:rsid w:val="00710789"/>
    <w:rsid w:val="00710A61"/>
    <w:rsid w:val="00710CEF"/>
    <w:rsid w:val="007110F3"/>
    <w:rsid w:val="00711311"/>
    <w:rsid w:val="0071149D"/>
    <w:rsid w:val="00711673"/>
    <w:rsid w:val="007122E1"/>
    <w:rsid w:val="00712596"/>
    <w:rsid w:val="007125DF"/>
    <w:rsid w:val="0071290E"/>
    <w:rsid w:val="007129FB"/>
    <w:rsid w:val="00713156"/>
    <w:rsid w:val="00713DB4"/>
    <w:rsid w:val="0071472F"/>
    <w:rsid w:val="00714C97"/>
    <w:rsid w:val="00714F73"/>
    <w:rsid w:val="007154F1"/>
    <w:rsid w:val="0071571E"/>
    <w:rsid w:val="00715F5D"/>
    <w:rsid w:val="00716421"/>
    <w:rsid w:val="00716A40"/>
    <w:rsid w:val="00716BEC"/>
    <w:rsid w:val="00717144"/>
    <w:rsid w:val="0071720E"/>
    <w:rsid w:val="00717273"/>
    <w:rsid w:val="0071783E"/>
    <w:rsid w:val="007200ED"/>
    <w:rsid w:val="0072058F"/>
    <w:rsid w:val="0072080E"/>
    <w:rsid w:val="00720D53"/>
    <w:rsid w:val="00720E57"/>
    <w:rsid w:val="00721D85"/>
    <w:rsid w:val="00722C7F"/>
    <w:rsid w:val="00722D74"/>
    <w:rsid w:val="0072368C"/>
    <w:rsid w:val="00723766"/>
    <w:rsid w:val="00723A04"/>
    <w:rsid w:val="00723CF3"/>
    <w:rsid w:val="00723E6F"/>
    <w:rsid w:val="00724225"/>
    <w:rsid w:val="00724231"/>
    <w:rsid w:val="0072451F"/>
    <w:rsid w:val="007248A8"/>
    <w:rsid w:val="00724D01"/>
    <w:rsid w:val="00724D7F"/>
    <w:rsid w:val="00724EA4"/>
    <w:rsid w:val="00725F40"/>
    <w:rsid w:val="007262FB"/>
    <w:rsid w:val="0072654C"/>
    <w:rsid w:val="00726AAB"/>
    <w:rsid w:val="00726EA9"/>
    <w:rsid w:val="00730727"/>
    <w:rsid w:val="00730E1E"/>
    <w:rsid w:val="00730F63"/>
    <w:rsid w:val="00731529"/>
    <w:rsid w:val="007319FE"/>
    <w:rsid w:val="00731D71"/>
    <w:rsid w:val="00731DFC"/>
    <w:rsid w:val="0073333E"/>
    <w:rsid w:val="007334FC"/>
    <w:rsid w:val="00733865"/>
    <w:rsid w:val="00733909"/>
    <w:rsid w:val="00733C95"/>
    <w:rsid w:val="00733DBB"/>
    <w:rsid w:val="00733FA4"/>
    <w:rsid w:val="0073426B"/>
    <w:rsid w:val="00734E7B"/>
    <w:rsid w:val="007352AB"/>
    <w:rsid w:val="00735D9E"/>
    <w:rsid w:val="00736484"/>
    <w:rsid w:val="007364C0"/>
    <w:rsid w:val="007364CB"/>
    <w:rsid w:val="007365AC"/>
    <w:rsid w:val="00736DB7"/>
    <w:rsid w:val="00736DDB"/>
    <w:rsid w:val="00736F30"/>
    <w:rsid w:val="00737232"/>
    <w:rsid w:val="007372CE"/>
    <w:rsid w:val="007374C6"/>
    <w:rsid w:val="007377C5"/>
    <w:rsid w:val="00737EDC"/>
    <w:rsid w:val="00740B62"/>
    <w:rsid w:val="00740E8A"/>
    <w:rsid w:val="00741353"/>
    <w:rsid w:val="00741722"/>
    <w:rsid w:val="00741909"/>
    <w:rsid w:val="00741C23"/>
    <w:rsid w:val="00742706"/>
    <w:rsid w:val="0074283F"/>
    <w:rsid w:val="00742869"/>
    <w:rsid w:val="00742AEB"/>
    <w:rsid w:val="00743934"/>
    <w:rsid w:val="0074400D"/>
    <w:rsid w:val="00744238"/>
    <w:rsid w:val="00744866"/>
    <w:rsid w:val="00744CD8"/>
    <w:rsid w:val="007457F7"/>
    <w:rsid w:val="00745CC6"/>
    <w:rsid w:val="00745DA3"/>
    <w:rsid w:val="00746668"/>
    <w:rsid w:val="00746707"/>
    <w:rsid w:val="007468B5"/>
    <w:rsid w:val="00746A59"/>
    <w:rsid w:val="00746DCC"/>
    <w:rsid w:val="0074719D"/>
    <w:rsid w:val="00747568"/>
    <w:rsid w:val="00747697"/>
    <w:rsid w:val="00747A90"/>
    <w:rsid w:val="007501EC"/>
    <w:rsid w:val="0075060D"/>
    <w:rsid w:val="007507B8"/>
    <w:rsid w:val="00750BE7"/>
    <w:rsid w:val="00750CFD"/>
    <w:rsid w:val="00751A14"/>
    <w:rsid w:val="00752185"/>
    <w:rsid w:val="007522A6"/>
    <w:rsid w:val="007524EE"/>
    <w:rsid w:val="0075289C"/>
    <w:rsid w:val="007528A5"/>
    <w:rsid w:val="00752A1F"/>
    <w:rsid w:val="00753248"/>
    <w:rsid w:val="0075329F"/>
    <w:rsid w:val="007539FE"/>
    <w:rsid w:val="00753A87"/>
    <w:rsid w:val="00753D3C"/>
    <w:rsid w:val="00754AB9"/>
    <w:rsid w:val="00755452"/>
    <w:rsid w:val="007554D0"/>
    <w:rsid w:val="007556B4"/>
    <w:rsid w:val="00755926"/>
    <w:rsid w:val="00755D03"/>
    <w:rsid w:val="00755DFA"/>
    <w:rsid w:val="00755EA1"/>
    <w:rsid w:val="007567C2"/>
    <w:rsid w:val="007567C3"/>
    <w:rsid w:val="007567EC"/>
    <w:rsid w:val="00756AC7"/>
    <w:rsid w:val="00756B2F"/>
    <w:rsid w:val="0075714A"/>
    <w:rsid w:val="007571E6"/>
    <w:rsid w:val="00757497"/>
    <w:rsid w:val="00760736"/>
    <w:rsid w:val="00760AB2"/>
    <w:rsid w:val="007614FD"/>
    <w:rsid w:val="00761C37"/>
    <w:rsid w:val="00761CE3"/>
    <w:rsid w:val="00761FD9"/>
    <w:rsid w:val="00762479"/>
    <w:rsid w:val="00762614"/>
    <w:rsid w:val="00762617"/>
    <w:rsid w:val="00762C0C"/>
    <w:rsid w:val="00762CFA"/>
    <w:rsid w:val="00763427"/>
    <w:rsid w:val="0076345E"/>
    <w:rsid w:val="007634A4"/>
    <w:rsid w:val="00763861"/>
    <w:rsid w:val="00763CA1"/>
    <w:rsid w:val="00764318"/>
    <w:rsid w:val="00764444"/>
    <w:rsid w:val="00764625"/>
    <w:rsid w:val="00765754"/>
    <w:rsid w:val="0076618C"/>
    <w:rsid w:val="00766551"/>
    <w:rsid w:val="00766611"/>
    <w:rsid w:val="00766657"/>
    <w:rsid w:val="00766D93"/>
    <w:rsid w:val="00767DF5"/>
    <w:rsid w:val="00770494"/>
    <w:rsid w:val="00770510"/>
    <w:rsid w:val="00770FED"/>
    <w:rsid w:val="007712D3"/>
    <w:rsid w:val="007725F1"/>
    <w:rsid w:val="00772782"/>
    <w:rsid w:val="00772C70"/>
    <w:rsid w:val="00772D4F"/>
    <w:rsid w:val="00772ECC"/>
    <w:rsid w:val="00773CBD"/>
    <w:rsid w:val="00774075"/>
    <w:rsid w:val="00774548"/>
    <w:rsid w:val="00774906"/>
    <w:rsid w:val="00774D46"/>
    <w:rsid w:val="00775262"/>
    <w:rsid w:val="00775B20"/>
    <w:rsid w:val="00775E2C"/>
    <w:rsid w:val="0077611F"/>
    <w:rsid w:val="00776144"/>
    <w:rsid w:val="00776480"/>
    <w:rsid w:val="0077650A"/>
    <w:rsid w:val="0077658A"/>
    <w:rsid w:val="007765D8"/>
    <w:rsid w:val="0077714F"/>
    <w:rsid w:val="00777837"/>
    <w:rsid w:val="00777CF0"/>
    <w:rsid w:val="00781509"/>
    <w:rsid w:val="007815D7"/>
    <w:rsid w:val="00781CD0"/>
    <w:rsid w:val="00781E3D"/>
    <w:rsid w:val="0078236C"/>
    <w:rsid w:val="0078254C"/>
    <w:rsid w:val="007825E1"/>
    <w:rsid w:val="00782791"/>
    <w:rsid w:val="0078281B"/>
    <w:rsid w:val="00782973"/>
    <w:rsid w:val="00783328"/>
    <w:rsid w:val="00783482"/>
    <w:rsid w:val="00783736"/>
    <w:rsid w:val="00783CEE"/>
    <w:rsid w:val="0078434D"/>
    <w:rsid w:val="007850AB"/>
    <w:rsid w:val="007854E3"/>
    <w:rsid w:val="0078553D"/>
    <w:rsid w:val="007867F8"/>
    <w:rsid w:val="00786D28"/>
    <w:rsid w:val="00786F80"/>
    <w:rsid w:val="00787333"/>
    <w:rsid w:val="00787D79"/>
    <w:rsid w:val="00787E22"/>
    <w:rsid w:val="007900F2"/>
    <w:rsid w:val="00790EC6"/>
    <w:rsid w:val="00791097"/>
    <w:rsid w:val="0079178C"/>
    <w:rsid w:val="00791D45"/>
    <w:rsid w:val="007925E7"/>
    <w:rsid w:val="00792625"/>
    <w:rsid w:val="0079268E"/>
    <w:rsid w:val="007928F9"/>
    <w:rsid w:val="00792D40"/>
    <w:rsid w:val="00792EB7"/>
    <w:rsid w:val="00792FD7"/>
    <w:rsid w:val="00793311"/>
    <w:rsid w:val="007939A8"/>
    <w:rsid w:val="0079404D"/>
    <w:rsid w:val="007941F9"/>
    <w:rsid w:val="00794277"/>
    <w:rsid w:val="00794303"/>
    <w:rsid w:val="00794340"/>
    <w:rsid w:val="00794640"/>
    <w:rsid w:val="00794889"/>
    <w:rsid w:val="00794983"/>
    <w:rsid w:val="00794A9A"/>
    <w:rsid w:val="00794AC8"/>
    <w:rsid w:val="00794B6D"/>
    <w:rsid w:val="007952F3"/>
    <w:rsid w:val="00795869"/>
    <w:rsid w:val="0079591A"/>
    <w:rsid w:val="00795A6D"/>
    <w:rsid w:val="00795B14"/>
    <w:rsid w:val="00795E31"/>
    <w:rsid w:val="007960E1"/>
    <w:rsid w:val="00796227"/>
    <w:rsid w:val="007967B9"/>
    <w:rsid w:val="00796B21"/>
    <w:rsid w:val="00796C56"/>
    <w:rsid w:val="00796CBD"/>
    <w:rsid w:val="007974C9"/>
    <w:rsid w:val="00797D5F"/>
    <w:rsid w:val="00797D6E"/>
    <w:rsid w:val="00797DAA"/>
    <w:rsid w:val="007A0901"/>
    <w:rsid w:val="007A0A5A"/>
    <w:rsid w:val="007A0ABA"/>
    <w:rsid w:val="007A0B82"/>
    <w:rsid w:val="007A0EAF"/>
    <w:rsid w:val="007A0F12"/>
    <w:rsid w:val="007A0F27"/>
    <w:rsid w:val="007A11B8"/>
    <w:rsid w:val="007A11C8"/>
    <w:rsid w:val="007A185A"/>
    <w:rsid w:val="007A1AC4"/>
    <w:rsid w:val="007A1B9D"/>
    <w:rsid w:val="007A1FF8"/>
    <w:rsid w:val="007A2063"/>
    <w:rsid w:val="007A2174"/>
    <w:rsid w:val="007A2379"/>
    <w:rsid w:val="007A28B4"/>
    <w:rsid w:val="007A29F8"/>
    <w:rsid w:val="007A2B3E"/>
    <w:rsid w:val="007A2C9B"/>
    <w:rsid w:val="007A334D"/>
    <w:rsid w:val="007A3B0A"/>
    <w:rsid w:val="007A46EB"/>
    <w:rsid w:val="007A486C"/>
    <w:rsid w:val="007A4C6C"/>
    <w:rsid w:val="007A516D"/>
    <w:rsid w:val="007A5860"/>
    <w:rsid w:val="007A58B5"/>
    <w:rsid w:val="007A58ED"/>
    <w:rsid w:val="007A6451"/>
    <w:rsid w:val="007A6ACD"/>
    <w:rsid w:val="007A72D7"/>
    <w:rsid w:val="007A7760"/>
    <w:rsid w:val="007A7CF9"/>
    <w:rsid w:val="007B017F"/>
    <w:rsid w:val="007B0385"/>
    <w:rsid w:val="007B06C9"/>
    <w:rsid w:val="007B0C21"/>
    <w:rsid w:val="007B2008"/>
    <w:rsid w:val="007B202D"/>
    <w:rsid w:val="007B2190"/>
    <w:rsid w:val="007B26D4"/>
    <w:rsid w:val="007B2958"/>
    <w:rsid w:val="007B297A"/>
    <w:rsid w:val="007B2EC9"/>
    <w:rsid w:val="007B2F0B"/>
    <w:rsid w:val="007B2F7B"/>
    <w:rsid w:val="007B32CA"/>
    <w:rsid w:val="007B3C37"/>
    <w:rsid w:val="007B3E89"/>
    <w:rsid w:val="007B4E02"/>
    <w:rsid w:val="007B516F"/>
    <w:rsid w:val="007B5356"/>
    <w:rsid w:val="007B55E9"/>
    <w:rsid w:val="007B5FA9"/>
    <w:rsid w:val="007B6148"/>
    <w:rsid w:val="007B6511"/>
    <w:rsid w:val="007B6799"/>
    <w:rsid w:val="007B6D4B"/>
    <w:rsid w:val="007B783D"/>
    <w:rsid w:val="007B7B32"/>
    <w:rsid w:val="007C0880"/>
    <w:rsid w:val="007C1244"/>
    <w:rsid w:val="007C1540"/>
    <w:rsid w:val="007C1975"/>
    <w:rsid w:val="007C1B92"/>
    <w:rsid w:val="007C2932"/>
    <w:rsid w:val="007C2AEF"/>
    <w:rsid w:val="007C2CF1"/>
    <w:rsid w:val="007C2D4E"/>
    <w:rsid w:val="007C327D"/>
    <w:rsid w:val="007C3435"/>
    <w:rsid w:val="007C3C8E"/>
    <w:rsid w:val="007C4394"/>
    <w:rsid w:val="007C4435"/>
    <w:rsid w:val="007C48EC"/>
    <w:rsid w:val="007C5713"/>
    <w:rsid w:val="007C5AF6"/>
    <w:rsid w:val="007C5FC9"/>
    <w:rsid w:val="007C639B"/>
    <w:rsid w:val="007C63FC"/>
    <w:rsid w:val="007C6604"/>
    <w:rsid w:val="007C6E5D"/>
    <w:rsid w:val="007C6FF9"/>
    <w:rsid w:val="007C7016"/>
    <w:rsid w:val="007C7443"/>
    <w:rsid w:val="007C7C20"/>
    <w:rsid w:val="007D03E2"/>
    <w:rsid w:val="007D097B"/>
    <w:rsid w:val="007D0A61"/>
    <w:rsid w:val="007D1177"/>
    <w:rsid w:val="007D1493"/>
    <w:rsid w:val="007D14B2"/>
    <w:rsid w:val="007D1786"/>
    <w:rsid w:val="007D195B"/>
    <w:rsid w:val="007D1BC4"/>
    <w:rsid w:val="007D2420"/>
    <w:rsid w:val="007D2B63"/>
    <w:rsid w:val="007D2CD8"/>
    <w:rsid w:val="007D2CF6"/>
    <w:rsid w:val="007D2E0C"/>
    <w:rsid w:val="007D317B"/>
    <w:rsid w:val="007D33CB"/>
    <w:rsid w:val="007D34AC"/>
    <w:rsid w:val="007D3CB0"/>
    <w:rsid w:val="007D4351"/>
    <w:rsid w:val="007D5471"/>
    <w:rsid w:val="007D5DCC"/>
    <w:rsid w:val="007D6195"/>
    <w:rsid w:val="007D6260"/>
    <w:rsid w:val="007D64EE"/>
    <w:rsid w:val="007D692C"/>
    <w:rsid w:val="007D6CF5"/>
    <w:rsid w:val="007D75C1"/>
    <w:rsid w:val="007D7D18"/>
    <w:rsid w:val="007E0C43"/>
    <w:rsid w:val="007E0F40"/>
    <w:rsid w:val="007E114F"/>
    <w:rsid w:val="007E1A74"/>
    <w:rsid w:val="007E1B98"/>
    <w:rsid w:val="007E1D83"/>
    <w:rsid w:val="007E1F3A"/>
    <w:rsid w:val="007E1FFD"/>
    <w:rsid w:val="007E2938"/>
    <w:rsid w:val="007E302C"/>
    <w:rsid w:val="007E3504"/>
    <w:rsid w:val="007E3C38"/>
    <w:rsid w:val="007E4D52"/>
    <w:rsid w:val="007E4F6E"/>
    <w:rsid w:val="007E537D"/>
    <w:rsid w:val="007E54E1"/>
    <w:rsid w:val="007E586D"/>
    <w:rsid w:val="007E5DCE"/>
    <w:rsid w:val="007E5EE3"/>
    <w:rsid w:val="007E6A5B"/>
    <w:rsid w:val="007E6CF1"/>
    <w:rsid w:val="007E7744"/>
    <w:rsid w:val="007F0345"/>
    <w:rsid w:val="007F0668"/>
    <w:rsid w:val="007F09F1"/>
    <w:rsid w:val="007F0B72"/>
    <w:rsid w:val="007F0EFE"/>
    <w:rsid w:val="007F13CD"/>
    <w:rsid w:val="007F1789"/>
    <w:rsid w:val="007F1AFE"/>
    <w:rsid w:val="007F1F79"/>
    <w:rsid w:val="007F268C"/>
    <w:rsid w:val="007F2978"/>
    <w:rsid w:val="007F3030"/>
    <w:rsid w:val="007F3068"/>
    <w:rsid w:val="007F3449"/>
    <w:rsid w:val="007F438D"/>
    <w:rsid w:val="007F4AD1"/>
    <w:rsid w:val="007F4BB6"/>
    <w:rsid w:val="007F52F1"/>
    <w:rsid w:val="007F588F"/>
    <w:rsid w:val="007F6290"/>
    <w:rsid w:val="007F68E4"/>
    <w:rsid w:val="007F6A69"/>
    <w:rsid w:val="007F6D09"/>
    <w:rsid w:val="007F6DA5"/>
    <w:rsid w:val="007F740D"/>
    <w:rsid w:val="007F7737"/>
    <w:rsid w:val="007F7DC3"/>
    <w:rsid w:val="007F7E51"/>
    <w:rsid w:val="0080057D"/>
    <w:rsid w:val="00800F55"/>
    <w:rsid w:val="00801132"/>
    <w:rsid w:val="008012CA"/>
    <w:rsid w:val="00801865"/>
    <w:rsid w:val="0080197A"/>
    <w:rsid w:val="00801A83"/>
    <w:rsid w:val="00801AD4"/>
    <w:rsid w:val="008026D2"/>
    <w:rsid w:val="008026F8"/>
    <w:rsid w:val="00803357"/>
    <w:rsid w:val="00803B39"/>
    <w:rsid w:val="00803EE6"/>
    <w:rsid w:val="00803F59"/>
    <w:rsid w:val="00803FA9"/>
    <w:rsid w:val="008045AC"/>
    <w:rsid w:val="00804B09"/>
    <w:rsid w:val="00804BDD"/>
    <w:rsid w:val="00804DE2"/>
    <w:rsid w:val="008055E0"/>
    <w:rsid w:val="00805A78"/>
    <w:rsid w:val="00805F94"/>
    <w:rsid w:val="0080663E"/>
    <w:rsid w:val="00806886"/>
    <w:rsid w:val="00806931"/>
    <w:rsid w:val="00806ACB"/>
    <w:rsid w:val="00807054"/>
    <w:rsid w:val="008074D9"/>
    <w:rsid w:val="008079E4"/>
    <w:rsid w:val="008107C8"/>
    <w:rsid w:val="008108D7"/>
    <w:rsid w:val="00810A0C"/>
    <w:rsid w:val="00810A96"/>
    <w:rsid w:val="00810CCC"/>
    <w:rsid w:val="00810DED"/>
    <w:rsid w:val="00811684"/>
    <w:rsid w:val="00811B49"/>
    <w:rsid w:val="0081270B"/>
    <w:rsid w:val="00812717"/>
    <w:rsid w:val="008129AA"/>
    <w:rsid w:val="00812AAB"/>
    <w:rsid w:val="00812E39"/>
    <w:rsid w:val="008137A0"/>
    <w:rsid w:val="00813911"/>
    <w:rsid w:val="00813D15"/>
    <w:rsid w:val="00813DDE"/>
    <w:rsid w:val="00814B1C"/>
    <w:rsid w:val="00814D1A"/>
    <w:rsid w:val="00814EB3"/>
    <w:rsid w:val="00815D2A"/>
    <w:rsid w:val="0081680E"/>
    <w:rsid w:val="0081726D"/>
    <w:rsid w:val="008176C4"/>
    <w:rsid w:val="00817B52"/>
    <w:rsid w:val="00817C03"/>
    <w:rsid w:val="00817E75"/>
    <w:rsid w:val="0082001F"/>
    <w:rsid w:val="008201F3"/>
    <w:rsid w:val="008203B3"/>
    <w:rsid w:val="008203FE"/>
    <w:rsid w:val="00820635"/>
    <w:rsid w:val="00820F8C"/>
    <w:rsid w:val="00821136"/>
    <w:rsid w:val="008212B4"/>
    <w:rsid w:val="00821D9D"/>
    <w:rsid w:val="00821F58"/>
    <w:rsid w:val="008221D5"/>
    <w:rsid w:val="00822684"/>
    <w:rsid w:val="00822A8B"/>
    <w:rsid w:val="008230F3"/>
    <w:rsid w:val="00823125"/>
    <w:rsid w:val="008235FC"/>
    <w:rsid w:val="008236CB"/>
    <w:rsid w:val="008236D2"/>
    <w:rsid w:val="00823F79"/>
    <w:rsid w:val="0082425A"/>
    <w:rsid w:val="008246C6"/>
    <w:rsid w:val="00824C57"/>
    <w:rsid w:val="00825C60"/>
    <w:rsid w:val="00825E9B"/>
    <w:rsid w:val="00826325"/>
    <w:rsid w:val="00826422"/>
    <w:rsid w:val="00826539"/>
    <w:rsid w:val="008269BA"/>
    <w:rsid w:val="00826EC5"/>
    <w:rsid w:val="00827C62"/>
    <w:rsid w:val="00827D33"/>
    <w:rsid w:val="00827EA1"/>
    <w:rsid w:val="00830DA2"/>
    <w:rsid w:val="00831198"/>
    <w:rsid w:val="00831401"/>
    <w:rsid w:val="0083177B"/>
    <w:rsid w:val="0083194B"/>
    <w:rsid w:val="00831B4C"/>
    <w:rsid w:val="00831E61"/>
    <w:rsid w:val="00831FA2"/>
    <w:rsid w:val="0083245E"/>
    <w:rsid w:val="008324E5"/>
    <w:rsid w:val="00832679"/>
    <w:rsid w:val="00833069"/>
    <w:rsid w:val="008332D4"/>
    <w:rsid w:val="00833A05"/>
    <w:rsid w:val="00833AE2"/>
    <w:rsid w:val="00833AEA"/>
    <w:rsid w:val="00833D41"/>
    <w:rsid w:val="00834320"/>
    <w:rsid w:val="008345E6"/>
    <w:rsid w:val="0083515A"/>
    <w:rsid w:val="008353D4"/>
    <w:rsid w:val="00836073"/>
    <w:rsid w:val="00836317"/>
    <w:rsid w:val="008365C5"/>
    <w:rsid w:val="0083709D"/>
    <w:rsid w:val="00837119"/>
    <w:rsid w:val="00837B63"/>
    <w:rsid w:val="00837B65"/>
    <w:rsid w:val="00837EE5"/>
    <w:rsid w:val="00840127"/>
    <w:rsid w:val="0084026B"/>
    <w:rsid w:val="0084048A"/>
    <w:rsid w:val="00840D93"/>
    <w:rsid w:val="0084131B"/>
    <w:rsid w:val="0084136E"/>
    <w:rsid w:val="008414C7"/>
    <w:rsid w:val="00841816"/>
    <w:rsid w:val="0084189A"/>
    <w:rsid w:val="008419FD"/>
    <w:rsid w:val="00841CE3"/>
    <w:rsid w:val="00841EC5"/>
    <w:rsid w:val="0084260B"/>
    <w:rsid w:val="0084272A"/>
    <w:rsid w:val="008429D4"/>
    <w:rsid w:val="00842B42"/>
    <w:rsid w:val="00842EA2"/>
    <w:rsid w:val="00842EFF"/>
    <w:rsid w:val="0084370B"/>
    <w:rsid w:val="008438AF"/>
    <w:rsid w:val="008438C2"/>
    <w:rsid w:val="00844261"/>
    <w:rsid w:val="008454F5"/>
    <w:rsid w:val="008458F7"/>
    <w:rsid w:val="00845C18"/>
    <w:rsid w:val="00845D23"/>
    <w:rsid w:val="00846291"/>
    <w:rsid w:val="00846527"/>
    <w:rsid w:val="008465AB"/>
    <w:rsid w:val="00846A10"/>
    <w:rsid w:val="00846F83"/>
    <w:rsid w:val="008470A4"/>
    <w:rsid w:val="0084752E"/>
    <w:rsid w:val="00850021"/>
    <w:rsid w:val="008501F3"/>
    <w:rsid w:val="0085071C"/>
    <w:rsid w:val="008509C7"/>
    <w:rsid w:val="00850A02"/>
    <w:rsid w:val="00850A66"/>
    <w:rsid w:val="00850DB5"/>
    <w:rsid w:val="00850FCC"/>
    <w:rsid w:val="008517F5"/>
    <w:rsid w:val="00851B16"/>
    <w:rsid w:val="00852138"/>
    <w:rsid w:val="0085221C"/>
    <w:rsid w:val="0085251E"/>
    <w:rsid w:val="00853065"/>
    <w:rsid w:val="008534E7"/>
    <w:rsid w:val="008535D4"/>
    <w:rsid w:val="00853872"/>
    <w:rsid w:val="0085393E"/>
    <w:rsid w:val="00853CC9"/>
    <w:rsid w:val="0085423A"/>
    <w:rsid w:val="00854585"/>
    <w:rsid w:val="00854630"/>
    <w:rsid w:val="00854A47"/>
    <w:rsid w:val="00854A98"/>
    <w:rsid w:val="008556CD"/>
    <w:rsid w:val="00855D3B"/>
    <w:rsid w:val="00855FCC"/>
    <w:rsid w:val="008564E6"/>
    <w:rsid w:val="008568B1"/>
    <w:rsid w:val="00856B2B"/>
    <w:rsid w:val="0085741C"/>
    <w:rsid w:val="00857575"/>
    <w:rsid w:val="00857859"/>
    <w:rsid w:val="008578D1"/>
    <w:rsid w:val="0086093F"/>
    <w:rsid w:val="00860FEF"/>
    <w:rsid w:val="008610CB"/>
    <w:rsid w:val="008617D4"/>
    <w:rsid w:val="00861877"/>
    <w:rsid w:val="00861C39"/>
    <w:rsid w:val="00861C9E"/>
    <w:rsid w:val="008624E7"/>
    <w:rsid w:val="00862A60"/>
    <w:rsid w:val="00862D9C"/>
    <w:rsid w:val="0086357B"/>
    <w:rsid w:val="0086374D"/>
    <w:rsid w:val="00863E79"/>
    <w:rsid w:val="008640C9"/>
    <w:rsid w:val="00864573"/>
    <w:rsid w:val="00864BA1"/>
    <w:rsid w:val="00864BC8"/>
    <w:rsid w:val="00865405"/>
    <w:rsid w:val="00865A73"/>
    <w:rsid w:val="00865EE4"/>
    <w:rsid w:val="00866173"/>
    <w:rsid w:val="00866299"/>
    <w:rsid w:val="00866573"/>
    <w:rsid w:val="008667BC"/>
    <w:rsid w:val="00866A43"/>
    <w:rsid w:val="00866B66"/>
    <w:rsid w:val="00866C71"/>
    <w:rsid w:val="00866E94"/>
    <w:rsid w:val="00866F7E"/>
    <w:rsid w:val="00870C27"/>
    <w:rsid w:val="008712B0"/>
    <w:rsid w:val="00871313"/>
    <w:rsid w:val="008723CB"/>
    <w:rsid w:val="008727A7"/>
    <w:rsid w:val="00872A8D"/>
    <w:rsid w:val="008731C1"/>
    <w:rsid w:val="0087326C"/>
    <w:rsid w:val="00873C46"/>
    <w:rsid w:val="00873D8C"/>
    <w:rsid w:val="00874195"/>
    <w:rsid w:val="008743E4"/>
    <w:rsid w:val="008744DD"/>
    <w:rsid w:val="00874A99"/>
    <w:rsid w:val="00874D75"/>
    <w:rsid w:val="008764F7"/>
    <w:rsid w:val="0087668B"/>
    <w:rsid w:val="0087723A"/>
    <w:rsid w:val="00877552"/>
    <w:rsid w:val="00877BBB"/>
    <w:rsid w:val="00880026"/>
    <w:rsid w:val="0088017D"/>
    <w:rsid w:val="008801A4"/>
    <w:rsid w:val="00880A97"/>
    <w:rsid w:val="00881254"/>
    <w:rsid w:val="008812A4"/>
    <w:rsid w:val="008817DF"/>
    <w:rsid w:val="00881EF0"/>
    <w:rsid w:val="00882B5D"/>
    <w:rsid w:val="00882FF7"/>
    <w:rsid w:val="008836D0"/>
    <w:rsid w:val="00883D66"/>
    <w:rsid w:val="00884320"/>
    <w:rsid w:val="0088452C"/>
    <w:rsid w:val="0088460D"/>
    <w:rsid w:val="00884E71"/>
    <w:rsid w:val="00884FF4"/>
    <w:rsid w:val="00885084"/>
    <w:rsid w:val="008855C5"/>
    <w:rsid w:val="00885647"/>
    <w:rsid w:val="0088581E"/>
    <w:rsid w:val="00885C04"/>
    <w:rsid w:val="00885CAD"/>
    <w:rsid w:val="00885FCE"/>
    <w:rsid w:val="00886312"/>
    <w:rsid w:val="0088687A"/>
    <w:rsid w:val="00886BCC"/>
    <w:rsid w:val="00886FE2"/>
    <w:rsid w:val="008872B6"/>
    <w:rsid w:val="008875C0"/>
    <w:rsid w:val="008878D0"/>
    <w:rsid w:val="00887BAF"/>
    <w:rsid w:val="00890E4F"/>
    <w:rsid w:val="0089103D"/>
    <w:rsid w:val="00891104"/>
    <w:rsid w:val="0089134F"/>
    <w:rsid w:val="0089140D"/>
    <w:rsid w:val="008916E0"/>
    <w:rsid w:val="008925CB"/>
    <w:rsid w:val="00892764"/>
    <w:rsid w:val="0089292F"/>
    <w:rsid w:val="00892983"/>
    <w:rsid w:val="00892986"/>
    <w:rsid w:val="00892D25"/>
    <w:rsid w:val="00892EBF"/>
    <w:rsid w:val="008931AD"/>
    <w:rsid w:val="00893802"/>
    <w:rsid w:val="008938FC"/>
    <w:rsid w:val="00893905"/>
    <w:rsid w:val="00893F96"/>
    <w:rsid w:val="0089511D"/>
    <w:rsid w:val="0089554F"/>
    <w:rsid w:val="00895911"/>
    <w:rsid w:val="008962DA"/>
    <w:rsid w:val="00896477"/>
    <w:rsid w:val="008965D7"/>
    <w:rsid w:val="00896C62"/>
    <w:rsid w:val="00896DA2"/>
    <w:rsid w:val="0089796E"/>
    <w:rsid w:val="00897A6E"/>
    <w:rsid w:val="00897CB5"/>
    <w:rsid w:val="008A0475"/>
    <w:rsid w:val="008A107B"/>
    <w:rsid w:val="008A1348"/>
    <w:rsid w:val="008A14C9"/>
    <w:rsid w:val="008A1598"/>
    <w:rsid w:val="008A1B90"/>
    <w:rsid w:val="008A1F81"/>
    <w:rsid w:val="008A234E"/>
    <w:rsid w:val="008A29C6"/>
    <w:rsid w:val="008A2EAD"/>
    <w:rsid w:val="008A30CF"/>
    <w:rsid w:val="008A36C7"/>
    <w:rsid w:val="008A3977"/>
    <w:rsid w:val="008A3B80"/>
    <w:rsid w:val="008A3B9C"/>
    <w:rsid w:val="008A3BD2"/>
    <w:rsid w:val="008A4323"/>
    <w:rsid w:val="008A43FF"/>
    <w:rsid w:val="008A50C4"/>
    <w:rsid w:val="008A51C1"/>
    <w:rsid w:val="008A52E5"/>
    <w:rsid w:val="008A5458"/>
    <w:rsid w:val="008A5779"/>
    <w:rsid w:val="008A5D85"/>
    <w:rsid w:val="008A5E93"/>
    <w:rsid w:val="008A62A9"/>
    <w:rsid w:val="008A63A1"/>
    <w:rsid w:val="008A6C28"/>
    <w:rsid w:val="008A7AC7"/>
    <w:rsid w:val="008A7E88"/>
    <w:rsid w:val="008B051B"/>
    <w:rsid w:val="008B0DC9"/>
    <w:rsid w:val="008B1741"/>
    <w:rsid w:val="008B18DF"/>
    <w:rsid w:val="008B1B52"/>
    <w:rsid w:val="008B1F2C"/>
    <w:rsid w:val="008B2010"/>
    <w:rsid w:val="008B2D15"/>
    <w:rsid w:val="008B36FC"/>
    <w:rsid w:val="008B38ED"/>
    <w:rsid w:val="008B3CB3"/>
    <w:rsid w:val="008B4197"/>
    <w:rsid w:val="008B434F"/>
    <w:rsid w:val="008B4541"/>
    <w:rsid w:val="008B4716"/>
    <w:rsid w:val="008B4F5C"/>
    <w:rsid w:val="008B5003"/>
    <w:rsid w:val="008B5449"/>
    <w:rsid w:val="008B561E"/>
    <w:rsid w:val="008B581A"/>
    <w:rsid w:val="008B6316"/>
    <w:rsid w:val="008B6E29"/>
    <w:rsid w:val="008B6F6B"/>
    <w:rsid w:val="008B7240"/>
    <w:rsid w:val="008B74B5"/>
    <w:rsid w:val="008B795F"/>
    <w:rsid w:val="008B7A69"/>
    <w:rsid w:val="008B7BDF"/>
    <w:rsid w:val="008B7D4A"/>
    <w:rsid w:val="008B7EE7"/>
    <w:rsid w:val="008C0092"/>
    <w:rsid w:val="008C028D"/>
    <w:rsid w:val="008C03B3"/>
    <w:rsid w:val="008C0794"/>
    <w:rsid w:val="008C0FD0"/>
    <w:rsid w:val="008C17FE"/>
    <w:rsid w:val="008C187A"/>
    <w:rsid w:val="008C2020"/>
    <w:rsid w:val="008C251F"/>
    <w:rsid w:val="008C2DA7"/>
    <w:rsid w:val="008C319C"/>
    <w:rsid w:val="008C32A3"/>
    <w:rsid w:val="008C388A"/>
    <w:rsid w:val="008C3BE8"/>
    <w:rsid w:val="008C40C5"/>
    <w:rsid w:val="008C4249"/>
    <w:rsid w:val="008C49DA"/>
    <w:rsid w:val="008C50D3"/>
    <w:rsid w:val="008C52BF"/>
    <w:rsid w:val="008C54B1"/>
    <w:rsid w:val="008C5F81"/>
    <w:rsid w:val="008C6214"/>
    <w:rsid w:val="008C6485"/>
    <w:rsid w:val="008C6726"/>
    <w:rsid w:val="008C6AF9"/>
    <w:rsid w:val="008C744E"/>
    <w:rsid w:val="008C7496"/>
    <w:rsid w:val="008C74B4"/>
    <w:rsid w:val="008C74DA"/>
    <w:rsid w:val="008C75FB"/>
    <w:rsid w:val="008C7D4E"/>
    <w:rsid w:val="008C7E35"/>
    <w:rsid w:val="008D0304"/>
    <w:rsid w:val="008D064F"/>
    <w:rsid w:val="008D11C0"/>
    <w:rsid w:val="008D17BD"/>
    <w:rsid w:val="008D1AE2"/>
    <w:rsid w:val="008D2632"/>
    <w:rsid w:val="008D28C5"/>
    <w:rsid w:val="008D28F5"/>
    <w:rsid w:val="008D29C0"/>
    <w:rsid w:val="008D2C91"/>
    <w:rsid w:val="008D2EB2"/>
    <w:rsid w:val="008D3361"/>
    <w:rsid w:val="008D3DF6"/>
    <w:rsid w:val="008D43BD"/>
    <w:rsid w:val="008D44AC"/>
    <w:rsid w:val="008D450B"/>
    <w:rsid w:val="008D46F0"/>
    <w:rsid w:val="008D4807"/>
    <w:rsid w:val="008D4A56"/>
    <w:rsid w:val="008D508F"/>
    <w:rsid w:val="008D57B7"/>
    <w:rsid w:val="008D5A2B"/>
    <w:rsid w:val="008D5BF7"/>
    <w:rsid w:val="008D61C8"/>
    <w:rsid w:val="008D622D"/>
    <w:rsid w:val="008D662F"/>
    <w:rsid w:val="008D6B3E"/>
    <w:rsid w:val="008D6EDB"/>
    <w:rsid w:val="008D752B"/>
    <w:rsid w:val="008D7725"/>
    <w:rsid w:val="008D77F7"/>
    <w:rsid w:val="008D790D"/>
    <w:rsid w:val="008D7A0B"/>
    <w:rsid w:val="008E0393"/>
    <w:rsid w:val="008E06D4"/>
    <w:rsid w:val="008E0EAE"/>
    <w:rsid w:val="008E1088"/>
    <w:rsid w:val="008E165B"/>
    <w:rsid w:val="008E1A9F"/>
    <w:rsid w:val="008E1D60"/>
    <w:rsid w:val="008E1E80"/>
    <w:rsid w:val="008E2158"/>
    <w:rsid w:val="008E2AB3"/>
    <w:rsid w:val="008E2B19"/>
    <w:rsid w:val="008E3743"/>
    <w:rsid w:val="008E3CBC"/>
    <w:rsid w:val="008E3EB9"/>
    <w:rsid w:val="008E3EDF"/>
    <w:rsid w:val="008E3F94"/>
    <w:rsid w:val="008E4319"/>
    <w:rsid w:val="008E436A"/>
    <w:rsid w:val="008E474B"/>
    <w:rsid w:val="008E4AD5"/>
    <w:rsid w:val="008E4CC6"/>
    <w:rsid w:val="008E5A3A"/>
    <w:rsid w:val="008E63B6"/>
    <w:rsid w:val="008E66BB"/>
    <w:rsid w:val="008E6BBB"/>
    <w:rsid w:val="008E6F03"/>
    <w:rsid w:val="008E7556"/>
    <w:rsid w:val="008E78B0"/>
    <w:rsid w:val="008E7BB2"/>
    <w:rsid w:val="008F02FB"/>
    <w:rsid w:val="008F031A"/>
    <w:rsid w:val="008F0A11"/>
    <w:rsid w:val="008F0AFB"/>
    <w:rsid w:val="008F113C"/>
    <w:rsid w:val="008F122A"/>
    <w:rsid w:val="008F122B"/>
    <w:rsid w:val="008F1E95"/>
    <w:rsid w:val="008F23CE"/>
    <w:rsid w:val="008F2A68"/>
    <w:rsid w:val="008F2AF8"/>
    <w:rsid w:val="008F2CC0"/>
    <w:rsid w:val="008F2DDE"/>
    <w:rsid w:val="008F2F16"/>
    <w:rsid w:val="008F2FE7"/>
    <w:rsid w:val="008F339A"/>
    <w:rsid w:val="008F35B4"/>
    <w:rsid w:val="008F3819"/>
    <w:rsid w:val="008F3C1B"/>
    <w:rsid w:val="008F4ADA"/>
    <w:rsid w:val="008F55C8"/>
    <w:rsid w:val="008F5FE9"/>
    <w:rsid w:val="008F64B7"/>
    <w:rsid w:val="008F69A0"/>
    <w:rsid w:val="008F69DC"/>
    <w:rsid w:val="008F6BB3"/>
    <w:rsid w:val="008F6D00"/>
    <w:rsid w:val="008F6D5F"/>
    <w:rsid w:val="008F739F"/>
    <w:rsid w:val="008F7543"/>
    <w:rsid w:val="008F7672"/>
    <w:rsid w:val="008F7B05"/>
    <w:rsid w:val="008F7ECE"/>
    <w:rsid w:val="008F7F6F"/>
    <w:rsid w:val="009000B3"/>
    <w:rsid w:val="009004E1"/>
    <w:rsid w:val="009006C0"/>
    <w:rsid w:val="00900758"/>
    <w:rsid w:val="00900FD7"/>
    <w:rsid w:val="00901546"/>
    <w:rsid w:val="00901BD2"/>
    <w:rsid w:val="00901BE1"/>
    <w:rsid w:val="00901F1C"/>
    <w:rsid w:val="00901FCF"/>
    <w:rsid w:val="00902106"/>
    <w:rsid w:val="0090237E"/>
    <w:rsid w:val="00902B86"/>
    <w:rsid w:val="00903566"/>
    <w:rsid w:val="0090383F"/>
    <w:rsid w:val="00903899"/>
    <w:rsid w:val="00903B2A"/>
    <w:rsid w:val="00903BAC"/>
    <w:rsid w:val="009048B9"/>
    <w:rsid w:val="00905A16"/>
    <w:rsid w:val="0090604D"/>
    <w:rsid w:val="00906413"/>
    <w:rsid w:val="00906703"/>
    <w:rsid w:val="00907C3B"/>
    <w:rsid w:val="00907D4B"/>
    <w:rsid w:val="00907FB9"/>
    <w:rsid w:val="00910868"/>
    <w:rsid w:val="00910EC4"/>
    <w:rsid w:val="00911F21"/>
    <w:rsid w:val="009121C9"/>
    <w:rsid w:val="00912886"/>
    <w:rsid w:val="00912D11"/>
    <w:rsid w:val="00913353"/>
    <w:rsid w:val="009138D9"/>
    <w:rsid w:val="00913A64"/>
    <w:rsid w:val="0091403E"/>
    <w:rsid w:val="0091495D"/>
    <w:rsid w:val="00915453"/>
    <w:rsid w:val="009156B0"/>
    <w:rsid w:val="0091584F"/>
    <w:rsid w:val="00916235"/>
    <w:rsid w:val="009172C4"/>
    <w:rsid w:val="0091751C"/>
    <w:rsid w:val="00917AE6"/>
    <w:rsid w:val="00920FBB"/>
    <w:rsid w:val="009210C9"/>
    <w:rsid w:val="0092195A"/>
    <w:rsid w:val="00921C0C"/>
    <w:rsid w:val="0092299E"/>
    <w:rsid w:val="00923589"/>
    <w:rsid w:val="0092387D"/>
    <w:rsid w:val="00923C96"/>
    <w:rsid w:val="00924FD6"/>
    <w:rsid w:val="00925240"/>
    <w:rsid w:val="00925595"/>
    <w:rsid w:val="00925B3F"/>
    <w:rsid w:val="00925F9B"/>
    <w:rsid w:val="00926324"/>
    <w:rsid w:val="009267EB"/>
    <w:rsid w:val="009270BC"/>
    <w:rsid w:val="00927CE4"/>
    <w:rsid w:val="00927FAE"/>
    <w:rsid w:val="00930307"/>
    <w:rsid w:val="00930801"/>
    <w:rsid w:val="00930BD1"/>
    <w:rsid w:val="009311C1"/>
    <w:rsid w:val="00931BFF"/>
    <w:rsid w:val="00932810"/>
    <w:rsid w:val="00932D12"/>
    <w:rsid w:val="0093303C"/>
    <w:rsid w:val="00933AED"/>
    <w:rsid w:val="00933D2E"/>
    <w:rsid w:val="00933FB1"/>
    <w:rsid w:val="00933FE6"/>
    <w:rsid w:val="00934A28"/>
    <w:rsid w:val="00934A99"/>
    <w:rsid w:val="00934F16"/>
    <w:rsid w:val="009350CF"/>
    <w:rsid w:val="00935385"/>
    <w:rsid w:val="009355B4"/>
    <w:rsid w:val="009356BC"/>
    <w:rsid w:val="0093594B"/>
    <w:rsid w:val="00935A7D"/>
    <w:rsid w:val="00935FE7"/>
    <w:rsid w:val="00936104"/>
    <w:rsid w:val="00936B0B"/>
    <w:rsid w:val="00936C93"/>
    <w:rsid w:val="00936DAC"/>
    <w:rsid w:val="00937527"/>
    <w:rsid w:val="00940285"/>
    <w:rsid w:val="0094055F"/>
    <w:rsid w:val="00940603"/>
    <w:rsid w:val="009408C5"/>
    <w:rsid w:val="00940DA2"/>
    <w:rsid w:val="009412D6"/>
    <w:rsid w:val="00941929"/>
    <w:rsid w:val="00941FC1"/>
    <w:rsid w:val="0094227D"/>
    <w:rsid w:val="00942527"/>
    <w:rsid w:val="009426FB"/>
    <w:rsid w:val="00942D65"/>
    <w:rsid w:val="00942E97"/>
    <w:rsid w:val="00942FA5"/>
    <w:rsid w:val="00943D32"/>
    <w:rsid w:val="00943D34"/>
    <w:rsid w:val="00943EA1"/>
    <w:rsid w:val="0094488B"/>
    <w:rsid w:val="009448D6"/>
    <w:rsid w:val="00944C22"/>
    <w:rsid w:val="00944E1F"/>
    <w:rsid w:val="00944EED"/>
    <w:rsid w:val="009459D2"/>
    <w:rsid w:val="00945A8C"/>
    <w:rsid w:val="00945B3B"/>
    <w:rsid w:val="009460D0"/>
    <w:rsid w:val="00946243"/>
    <w:rsid w:val="00946616"/>
    <w:rsid w:val="00946F83"/>
    <w:rsid w:val="00946FF0"/>
    <w:rsid w:val="009471DE"/>
    <w:rsid w:val="0095037A"/>
    <w:rsid w:val="0095048D"/>
    <w:rsid w:val="009509C3"/>
    <w:rsid w:val="009509E5"/>
    <w:rsid w:val="009512D0"/>
    <w:rsid w:val="009519E3"/>
    <w:rsid w:val="00952B43"/>
    <w:rsid w:val="00954409"/>
    <w:rsid w:val="00954496"/>
    <w:rsid w:val="00955003"/>
    <w:rsid w:val="0095504B"/>
    <w:rsid w:val="009554DE"/>
    <w:rsid w:val="00955F50"/>
    <w:rsid w:val="00956616"/>
    <w:rsid w:val="009569DF"/>
    <w:rsid w:val="009569E8"/>
    <w:rsid w:val="009578D2"/>
    <w:rsid w:val="00957E21"/>
    <w:rsid w:val="00960485"/>
    <w:rsid w:val="009604C2"/>
    <w:rsid w:val="00960862"/>
    <w:rsid w:val="00960EC8"/>
    <w:rsid w:val="009610F7"/>
    <w:rsid w:val="009611B9"/>
    <w:rsid w:val="00961D5D"/>
    <w:rsid w:val="009620A9"/>
    <w:rsid w:val="0096244E"/>
    <w:rsid w:val="00962C50"/>
    <w:rsid w:val="00962FB2"/>
    <w:rsid w:val="00963483"/>
    <w:rsid w:val="0096372B"/>
    <w:rsid w:val="00963893"/>
    <w:rsid w:val="00963F53"/>
    <w:rsid w:val="00964439"/>
    <w:rsid w:val="009651B6"/>
    <w:rsid w:val="009653CE"/>
    <w:rsid w:val="00965C91"/>
    <w:rsid w:val="00965DAD"/>
    <w:rsid w:val="009660E9"/>
    <w:rsid w:val="00966DCC"/>
    <w:rsid w:val="009679B8"/>
    <w:rsid w:val="00967B81"/>
    <w:rsid w:val="009704F8"/>
    <w:rsid w:val="00970552"/>
    <w:rsid w:val="00970669"/>
    <w:rsid w:val="009714AA"/>
    <w:rsid w:val="00971842"/>
    <w:rsid w:val="00971C32"/>
    <w:rsid w:val="00971E9B"/>
    <w:rsid w:val="009725C5"/>
    <w:rsid w:val="0097284F"/>
    <w:rsid w:val="00973156"/>
    <w:rsid w:val="00973627"/>
    <w:rsid w:val="00973711"/>
    <w:rsid w:val="009738EA"/>
    <w:rsid w:val="009739B5"/>
    <w:rsid w:val="00973BEA"/>
    <w:rsid w:val="009744EF"/>
    <w:rsid w:val="00974C93"/>
    <w:rsid w:val="009750D8"/>
    <w:rsid w:val="009753A6"/>
    <w:rsid w:val="00975447"/>
    <w:rsid w:val="0097591F"/>
    <w:rsid w:val="00975AF0"/>
    <w:rsid w:val="00975C3E"/>
    <w:rsid w:val="009771CF"/>
    <w:rsid w:val="00977CED"/>
    <w:rsid w:val="0098002F"/>
    <w:rsid w:val="009801B3"/>
    <w:rsid w:val="009806C1"/>
    <w:rsid w:val="0098070B"/>
    <w:rsid w:val="00980895"/>
    <w:rsid w:val="00981B4E"/>
    <w:rsid w:val="00981D3F"/>
    <w:rsid w:val="00981F6A"/>
    <w:rsid w:val="009829A6"/>
    <w:rsid w:val="009834EC"/>
    <w:rsid w:val="009850FC"/>
    <w:rsid w:val="0098549B"/>
    <w:rsid w:val="009855D3"/>
    <w:rsid w:val="009859BF"/>
    <w:rsid w:val="00986C7B"/>
    <w:rsid w:val="00986F6E"/>
    <w:rsid w:val="00987578"/>
    <w:rsid w:val="00987EBD"/>
    <w:rsid w:val="00987F01"/>
    <w:rsid w:val="00987F32"/>
    <w:rsid w:val="00990282"/>
    <w:rsid w:val="00991010"/>
    <w:rsid w:val="009912EB"/>
    <w:rsid w:val="0099145E"/>
    <w:rsid w:val="009914ED"/>
    <w:rsid w:val="0099209E"/>
    <w:rsid w:val="00992716"/>
    <w:rsid w:val="00992780"/>
    <w:rsid w:val="0099287E"/>
    <w:rsid w:val="0099290F"/>
    <w:rsid w:val="009929F4"/>
    <w:rsid w:val="00993620"/>
    <w:rsid w:val="009939FD"/>
    <w:rsid w:val="00993E11"/>
    <w:rsid w:val="00993F14"/>
    <w:rsid w:val="00993F5A"/>
    <w:rsid w:val="009940D7"/>
    <w:rsid w:val="0099428B"/>
    <w:rsid w:val="009947EE"/>
    <w:rsid w:val="00994816"/>
    <w:rsid w:val="00994C21"/>
    <w:rsid w:val="0099514B"/>
    <w:rsid w:val="009953FF"/>
    <w:rsid w:val="00995677"/>
    <w:rsid w:val="009956A9"/>
    <w:rsid w:val="00995859"/>
    <w:rsid w:val="009959DB"/>
    <w:rsid w:val="00995EFD"/>
    <w:rsid w:val="0099630E"/>
    <w:rsid w:val="0099640F"/>
    <w:rsid w:val="00996DA3"/>
    <w:rsid w:val="00997463"/>
    <w:rsid w:val="009976D0"/>
    <w:rsid w:val="00997912"/>
    <w:rsid w:val="00997C75"/>
    <w:rsid w:val="00997ED7"/>
    <w:rsid w:val="009A03D9"/>
    <w:rsid w:val="009A0780"/>
    <w:rsid w:val="009A0901"/>
    <w:rsid w:val="009A0C8C"/>
    <w:rsid w:val="009A1143"/>
    <w:rsid w:val="009A1851"/>
    <w:rsid w:val="009A1859"/>
    <w:rsid w:val="009A28D4"/>
    <w:rsid w:val="009A2E2A"/>
    <w:rsid w:val="009A2F78"/>
    <w:rsid w:val="009A3192"/>
    <w:rsid w:val="009A31A1"/>
    <w:rsid w:val="009A3DFD"/>
    <w:rsid w:val="009A44E3"/>
    <w:rsid w:val="009A4C82"/>
    <w:rsid w:val="009A4F53"/>
    <w:rsid w:val="009A5060"/>
    <w:rsid w:val="009A512C"/>
    <w:rsid w:val="009A53FA"/>
    <w:rsid w:val="009A579B"/>
    <w:rsid w:val="009A6114"/>
    <w:rsid w:val="009A61EC"/>
    <w:rsid w:val="009A61F3"/>
    <w:rsid w:val="009A636A"/>
    <w:rsid w:val="009A637A"/>
    <w:rsid w:val="009A6C57"/>
    <w:rsid w:val="009A6E48"/>
    <w:rsid w:val="009A7DC4"/>
    <w:rsid w:val="009A7DDB"/>
    <w:rsid w:val="009A7E7F"/>
    <w:rsid w:val="009B0480"/>
    <w:rsid w:val="009B05F9"/>
    <w:rsid w:val="009B0D8B"/>
    <w:rsid w:val="009B1248"/>
    <w:rsid w:val="009B1886"/>
    <w:rsid w:val="009B1BF0"/>
    <w:rsid w:val="009B1EDB"/>
    <w:rsid w:val="009B212B"/>
    <w:rsid w:val="009B227B"/>
    <w:rsid w:val="009B2722"/>
    <w:rsid w:val="009B2C4D"/>
    <w:rsid w:val="009B31AD"/>
    <w:rsid w:val="009B3355"/>
    <w:rsid w:val="009B3665"/>
    <w:rsid w:val="009B368D"/>
    <w:rsid w:val="009B3A27"/>
    <w:rsid w:val="009B3CF7"/>
    <w:rsid w:val="009B3E86"/>
    <w:rsid w:val="009B42F4"/>
    <w:rsid w:val="009B44F1"/>
    <w:rsid w:val="009B4A15"/>
    <w:rsid w:val="009B4D21"/>
    <w:rsid w:val="009B57B8"/>
    <w:rsid w:val="009B5BE3"/>
    <w:rsid w:val="009B5EEF"/>
    <w:rsid w:val="009B5F33"/>
    <w:rsid w:val="009B621F"/>
    <w:rsid w:val="009B69E5"/>
    <w:rsid w:val="009B6B5A"/>
    <w:rsid w:val="009B6CB4"/>
    <w:rsid w:val="009B76B2"/>
    <w:rsid w:val="009B7B4E"/>
    <w:rsid w:val="009C07AC"/>
    <w:rsid w:val="009C0A86"/>
    <w:rsid w:val="009C0B77"/>
    <w:rsid w:val="009C0CA0"/>
    <w:rsid w:val="009C10B2"/>
    <w:rsid w:val="009C1119"/>
    <w:rsid w:val="009C11B6"/>
    <w:rsid w:val="009C11BC"/>
    <w:rsid w:val="009C131C"/>
    <w:rsid w:val="009C13EF"/>
    <w:rsid w:val="009C1BA4"/>
    <w:rsid w:val="009C2487"/>
    <w:rsid w:val="009C2C80"/>
    <w:rsid w:val="009C3171"/>
    <w:rsid w:val="009C3B2B"/>
    <w:rsid w:val="009C3BFA"/>
    <w:rsid w:val="009C40D9"/>
    <w:rsid w:val="009C433B"/>
    <w:rsid w:val="009C43F5"/>
    <w:rsid w:val="009C4E17"/>
    <w:rsid w:val="009C51DF"/>
    <w:rsid w:val="009C5575"/>
    <w:rsid w:val="009C5DAD"/>
    <w:rsid w:val="009C6292"/>
    <w:rsid w:val="009C677B"/>
    <w:rsid w:val="009C6CB7"/>
    <w:rsid w:val="009C7E1F"/>
    <w:rsid w:val="009C7FA3"/>
    <w:rsid w:val="009D0026"/>
    <w:rsid w:val="009D0BFC"/>
    <w:rsid w:val="009D0EBB"/>
    <w:rsid w:val="009D0FDB"/>
    <w:rsid w:val="009D1178"/>
    <w:rsid w:val="009D20B3"/>
    <w:rsid w:val="009D2211"/>
    <w:rsid w:val="009D2561"/>
    <w:rsid w:val="009D2E05"/>
    <w:rsid w:val="009D342D"/>
    <w:rsid w:val="009D34B0"/>
    <w:rsid w:val="009D3959"/>
    <w:rsid w:val="009D3C2B"/>
    <w:rsid w:val="009D42B2"/>
    <w:rsid w:val="009D4314"/>
    <w:rsid w:val="009D4386"/>
    <w:rsid w:val="009D44A7"/>
    <w:rsid w:val="009D47CB"/>
    <w:rsid w:val="009D5517"/>
    <w:rsid w:val="009D55FA"/>
    <w:rsid w:val="009D5647"/>
    <w:rsid w:val="009D58A0"/>
    <w:rsid w:val="009D6215"/>
    <w:rsid w:val="009D6727"/>
    <w:rsid w:val="009D6829"/>
    <w:rsid w:val="009D6A69"/>
    <w:rsid w:val="009D6BE0"/>
    <w:rsid w:val="009D73B6"/>
    <w:rsid w:val="009D79BF"/>
    <w:rsid w:val="009D7ACA"/>
    <w:rsid w:val="009D7D68"/>
    <w:rsid w:val="009D7E08"/>
    <w:rsid w:val="009D7F03"/>
    <w:rsid w:val="009E01CE"/>
    <w:rsid w:val="009E027B"/>
    <w:rsid w:val="009E06A3"/>
    <w:rsid w:val="009E09AE"/>
    <w:rsid w:val="009E09BB"/>
    <w:rsid w:val="009E0E72"/>
    <w:rsid w:val="009E11B7"/>
    <w:rsid w:val="009E13D4"/>
    <w:rsid w:val="009E167A"/>
    <w:rsid w:val="009E16A1"/>
    <w:rsid w:val="009E1CA1"/>
    <w:rsid w:val="009E27A0"/>
    <w:rsid w:val="009E2BA9"/>
    <w:rsid w:val="009E2C3A"/>
    <w:rsid w:val="009E2D90"/>
    <w:rsid w:val="009E3326"/>
    <w:rsid w:val="009E35FA"/>
    <w:rsid w:val="009E37BC"/>
    <w:rsid w:val="009E3C35"/>
    <w:rsid w:val="009E3DA0"/>
    <w:rsid w:val="009E3F51"/>
    <w:rsid w:val="009E4143"/>
    <w:rsid w:val="009E44E8"/>
    <w:rsid w:val="009E4ACD"/>
    <w:rsid w:val="009E4AD2"/>
    <w:rsid w:val="009E59D5"/>
    <w:rsid w:val="009E5E93"/>
    <w:rsid w:val="009E735D"/>
    <w:rsid w:val="009E7552"/>
    <w:rsid w:val="009E7840"/>
    <w:rsid w:val="009E7C65"/>
    <w:rsid w:val="009E7DD9"/>
    <w:rsid w:val="009F007C"/>
    <w:rsid w:val="009F0B31"/>
    <w:rsid w:val="009F0F3F"/>
    <w:rsid w:val="009F0FC5"/>
    <w:rsid w:val="009F105A"/>
    <w:rsid w:val="009F10F8"/>
    <w:rsid w:val="009F1619"/>
    <w:rsid w:val="009F2579"/>
    <w:rsid w:val="009F25FF"/>
    <w:rsid w:val="009F278E"/>
    <w:rsid w:val="009F3493"/>
    <w:rsid w:val="009F36C5"/>
    <w:rsid w:val="009F3BDF"/>
    <w:rsid w:val="009F3C93"/>
    <w:rsid w:val="009F3D34"/>
    <w:rsid w:val="009F3F5C"/>
    <w:rsid w:val="009F476F"/>
    <w:rsid w:val="009F4CB0"/>
    <w:rsid w:val="009F4CD7"/>
    <w:rsid w:val="009F4D0E"/>
    <w:rsid w:val="009F5378"/>
    <w:rsid w:val="009F5447"/>
    <w:rsid w:val="009F54F1"/>
    <w:rsid w:val="009F5AC9"/>
    <w:rsid w:val="009F6144"/>
    <w:rsid w:val="009F638C"/>
    <w:rsid w:val="009F6C40"/>
    <w:rsid w:val="009F7121"/>
    <w:rsid w:val="009F72D0"/>
    <w:rsid w:val="009F786F"/>
    <w:rsid w:val="009F7A86"/>
    <w:rsid w:val="00A0022B"/>
    <w:rsid w:val="00A00529"/>
    <w:rsid w:val="00A00562"/>
    <w:rsid w:val="00A0061B"/>
    <w:rsid w:val="00A00655"/>
    <w:rsid w:val="00A008F0"/>
    <w:rsid w:val="00A00CFA"/>
    <w:rsid w:val="00A0168A"/>
    <w:rsid w:val="00A0195F"/>
    <w:rsid w:val="00A01D38"/>
    <w:rsid w:val="00A01EAE"/>
    <w:rsid w:val="00A0228F"/>
    <w:rsid w:val="00A02394"/>
    <w:rsid w:val="00A0247C"/>
    <w:rsid w:val="00A02DAF"/>
    <w:rsid w:val="00A0309A"/>
    <w:rsid w:val="00A0324D"/>
    <w:rsid w:val="00A03511"/>
    <w:rsid w:val="00A036EB"/>
    <w:rsid w:val="00A04473"/>
    <w:rsid w:val="00A045C4"/>
    <w:rsid w:val="00A0485E"/>
    <w:rsid w:val="00A04E72"/>
    <w:rsid w:val="00A04E73"/>
    <w:rsid w:val="00A04F23"/>
    <w:rsid w:val="00A059CD"/>
    <w:rsid w:val="00A05DEF"/>
    <w:rsid w:val="00A05E1C"/>
    <w:rsid w:val="00A06381"/>
    <w:rsid w:val="00A06418"/>
    <w:rsid w:val="00A06532"/>
    <w:rsid w:val="00A06BB7"/>
    <w:rsid w:val="00A0718A"/>
    <w:rsid w:val="00A07597"/>
    <w:rsid w:val="00A076B3"/>
    <w:rsid w:val="00A07A62"/>
    <w:rsid w:val="00A07D9D"/>
    <w:rsid w:val="00A102BC"/>
    <w:rsid w:val="00A10C08"/>
    <w:rsid w:val="00A110D1"/>
    <w:rsid w:val="00A11A73"/>
    <w:rsid w:val="00A12142"/>
    <w:rsid w:val="00A12386"/>
    <w:rsid w:val="00A12A47"/>
    <w:rsid w:val="00A12F91"/>
    <w:rsid w:val="00A13199"/>
    <w:rsid w:val="00A13545"/>
    <w:rsid w:val="00A13642"/>
    <w:rsid w:val="00A138A8"/>
    <w:rsid w:val="00A13BA4"/>
    <w:rsid w:val="00A13F71"/>
    <w:rsid w:val="00A143FF"/>
    <w:rsid w:val="00A14E84"/>
    <w:rsid w:val="00A14F93"/>
    <w:rsid w:val="00A150E4"/>
    <w:rsid w:val="00A15353"/>
    <w:rsid w:val="00A159A0"/>
    <w:rsid w:val="00A15A65"/>
    <w:rsid w:val="00A15F57"/>
    <w:rsid w:val="00A1633A"/>
    <w:rsid w:val="00A16592"/>
    <w:rsid w:val="00A1686B"/>
    <w:rsid w:val="00A16C0A"/>
    <w:rsid w:val="00A16C78"/>
    <w:rsid w:val="00A16D62"/>
    <w:rsid w:val="00A16F0D"/>
    <w:rsid w:val="00A170E1"/>
    <w:rsid w:val="00A17196"/>
    <w:rsid w:val="00A1721D"/>
    <w:rsid w:val="00A17783"/>
    <w:rsid w:val="00A17E38"/>
    <w:rsid w:val="00A21127"/>
    <w:rsid w:val="00A214D7"/>
    <w:rsid w:val="00A216FF"/>
    <w:rsid w:val="00A21758"/>
    <w:rsid w:val="00A21AAF"/>
    <w:rsid w:val="00A224D7"/>
    <w:rsid w:val="00A23C16"/>
    <w:rsid w:val="00A24216"/>
    <w:rsid w:val="00A243F0"/>
    <w:rsid w:val="00A24AF6"/>
    <w:rsid w:val="00A24B67"/>
    <w:rsid w:val="00A24D6A"/>
    <w:rsid w:val="00A25812"/>
    <w:rsid w:val="00A25BEE"/>
    <w:rsid w:val="00A25E2F"/>
    <w:rsid w:val="00A262F7"/>
    <w:rsid w:val="00A26A4C"/>
    <w:rsid w:val="00A26CFB"/>
    <w:rsid w:val="00A26DB1"/>
    <w:rsid w:val="00A27B4A"/>
    <w:rsid w:val="00A27BF1"/>
    <w:rsid w:val="00A27C4E"/>
    <w:rsid w:val="00A27C9A"/>
    <w:rsid w:val="00A27CD5"/>
    <w:rsid w:val="00A3075F"/>
    <w:rsid w:val="00A310DA"/>
    <w:rsid w:val="00A3149B"/>
    <w:rsid w:val="00A31C89"/>
    <w:rsid w:val="00A324D8"/>
    <w:rsid w:val="00A32545"/>
    <w:rsid w:val="00A32BE6"/>
    <w:rsid w:val="00A32CFC"/>
    <w:rsid w:val="00A32D38"/>
    <w:rsid w:val="00A33660"/>
    <w:rsid w:val="00A338F8"/>
    <w:rsid w:val="00A33C4D"/>
    <w:rsid w:val="00A33C7B"/>
    <w:rsid w:val="00A349CC"/>
    <w:rsid w:val="00A34E28"/>
    <w:rsid w:val="00A34EC4"/>
    <w:rsid w:val="00A35073"/>
    <w:rsid w:val="00A35650"/>
    <w:rsid w:val="00A35BE7"/>
    <w:rsid w:val="00A361CF"/>
    <w:rsid w:val="00A3644F"/>
    <w:rsid w:val="00A3674E"/>
    <w:rsid w:val="00A36859"/>
    <w:rsid w:val="00A36A6D"/>
    <w:rsid w:val="00A36AAF"/>
    <w:rsid w:val="00A378AC"/>
    <w:rsid w:val="00A37CBD"/>
    <w:rsid w:val="00A37EC0"/>
    <w:rsid w:val="00A40133"/>
    <w:rsid w:val="00A40D97"/>
    <w:rsid w:val="00A415DD"/>
    <w:rsid w:val="00A41A9C"/>
    <w:rsid w:val="00A42577"/>
    <w:rsid w:val="00A426E4"/>
    <w:rsid w:val="00A42B1C"/>
    <w:rsid w:val="00A42E4B"/>
    <w:rsid w:val="00A42E98"/>
    <w:rsid w:val="00A42FC9"/>
    <w:rsid w:val="00A430EE"/>
    <w:rsid w:val="00A43223"/>
    <w:rsid w:val="00A4338C"/>
    <w:rsid w:val="00A43D1C"/>
    <w:rsid w:val="00A441AF"/>
    <w:rsid w:val="00A4437F"/>
    <w:rsid w:val="00A44E52"/>
    <w:rsid w:val="00A44FBB"/>
    <w:rsid w:val="00A452F1"/>
    <w:rsid w:val="00A4532C"/>
    <w:rsid w:val="00A4549B"/>
    <w:rsid w:val="00A455CA"/>
    <w:rsid w:val="00A45740"/>
    <w:rsid w:val="00A45B8B"/>
    <w:rsid w:val="00A45BF5"/>
    <w:rsid w:val="00A45D8E"/>
    <w:rsid w:val="00A45DC0"/>
    <w:rsid w:val="00A45DD5"/>
    <w:rsid w:val="00A45E74"/>
    <w:rsid w:val="00A464C1"/>
    <w:rsid w:val="00A46AE0"/>
    <w:rsid w:val="00A46CD6"/>
    <w:rsid w:val="00A46D60"/>
    <w:rsid w:val="00A4700B"/>
    <w:rsid w:val="00A475EF"/>
    <w:rsid w:val="00A47858"/>
    <w:rsid w:val="00A47D31"/>
    <w:rsid w:val="00A47F60"/>
    <w:rsid w:val="00A505A8"/>
    <w:rsid w:val="00A5119E"/>
    <w:rsid w:val="00A51384"/>
    <w:rsid w:val="00A52198"/>
    <w:rsid w:val="00A52BBB"/>
    <w:rsid w:val="00A52EC0"/>
    <w:rsid w:val="00A536FB"/>
    <w:rsid w:val="00A53D30"/>
    <w:rsid w:val="00A54657"/>
    <w:rsid w:val="00A54BB3"/>
    <w:rsid w:val="00A54D24"/>
    <w:rsid w:val="00A54E7B"/>
    <w:rsid w:val="00A55187"/>
    <w:rsid w:val="00A55AD9"/>
    <w:rsid w:val="00A56424"/>
    <w:rsid w:val="00A5660F"/>
    <w:rsid w:val="00A6055F"/>
    <w:rsid w:val="00A61DFA"/>
    <w:rsid w:val="00A61E01"/>
    <w:rsid w:val="00A61E73"/>
    <w:rsid w:val="00A61F0C"/>
    <w:rsid w:val="00A621EC"/>
    <w:rsid w:val="00A62217"/>
    <w:rsid w:val="00A62274"/>
    <w:rsid w:val="00A622FD"/>
    <w:rsid w:val="00A624E2"/>
    <w:rsid w:val="00A62A11"/>
    <w:rsid w:val="00A62A88"/>
    <w:rsid w:val="00A62AF1"/>
    <w:rsid w:val="00A62B89"/>
    <w:rsid w:val="00A62EFF"/>
    <w:rsid w:val="00A62FEB"/>
    <w:rsid w:val="00A637CF"/>
    <w:rsid w:val="00A63BF0"/>
    <w:rsid w:val="00A63F4A"/>
    <w:rsid w:val="00A63F97"/>
    <w:rsid w:val="00A6402C"/>
    <w:rsid w:val="00A64237"/>
    <w:rsid w:val="00A64466"/>
    <w:rsid w:val="00A64599"/>
    <w:rsid w:val="00A647C7"/>
    <w:rsid w:val="00A64802"/>
    <w:rsid w:val="00A648FC"/>
    <w:rsid w:val="00A64DE2"/>
    <w:rsid w:val="00A65408"/>
    <w:rsid w:val="00A65865"/>
    <w:rsid w:val="00A658E2"/>
    <w:rsid w:val="00A66376"/>
    <w:rsid w:val="00A669D0"/>
    <w:rsid w:val="00A66A56"/>
    <w:rsid w:val="00A66BD1"/>
    <w:rsid w:val="00A66C69"/>
    <w:rsid w:val="00A67EFD"/>
    <w:rsid w:val="00A700D4"/>
    <w:rsid w:val="00A702A9"/>
    <w:rsid w:val="00A7087E"/>
    <w:rsid w:val="00A70939"/>
    <w:rsid w:val="00A714E2"/>
    <w:rsid w:val="00A71565"/>
    <w:rsid w:val="00A716B0"/>
    <w:rsid w:val="00A71764"/>
    <w:rsid w:val="00A71AA0"/>
    <w:rsid w:val="00A720E3"/>
    <w:rsid w:val="00A725D3"/>
    <w:rsid w:val="00A72729"/>
    <w:rsid w:val="00A727A7"/>
    <w:rsid w:val="00A72F2A"/>
    <w:rsid w:val="00A7352E"/>
    <w:rsid w:val="00A73A6B"/>
    <w:rsid w:val="00A73D1B"/>
    <w:rsid w:val="00A73D90"/>
    <w:rsid w:val="00A741F0"/>
    <w:rsid w:val="00A74204"/>
    <w:rsid w:val="00A7456A"/>
    <w:rsid w:val="00A74AB5"/>
    <w:rsid w:val="00A74D9F"/>
    <w:rsid w:val="00A75282"/>
    <w:rsid w:val="00A7589A"/>
    <w:rsid w:val="00A7591B"/>
    <w:rsid w:val="00A75AA1"/>
    <w:rsid w:val="00A75D98"/>
    <w:rsid w:val="00A75E64"/>
    <w:rsid w:val="00A760F3"/>
    <w:rsid w:val="00A76505"/>
    <w:rsid w:val="00A76E5E"/>
    <w:rsid w:val="00A77273"/>
    <w:rsid w:val="00A80CE6"/>
    <w:rsid w:val="00A81A73"/>
    <w:rsid w:val="00A81BB5"/>
    <w:rsid w:val="00A81C44"/>
    <w:rsid w:val="00A81C91"/>
    <w:rsid w:val="00A82241"/>
    <w:rsid w:val="00A824B9"/>
    <w:rsid w:val="00A8258A"/>
    <w:rsid w:val="00A825A2"/>
    <w:rsid w:val="00A82849"/>
    <w:rsid w:val="00A82972"/>
    <w:rsid w:val="00A82BDB"/>
    <w:rsid w:val="00A8310D"/>
    <w:rsid w:val="00A836AD"/>
    <w:rsid w:val="00A83AA2"/>
    <w:rsid w:val="00A845FB"/>
    <w:rsid w:val="00A848CF"/>
    <w:rsid w:val="00A84B02"/>
    <w:rsid w:val="00A84D2B"/>
    <w:rsid w:val="00A84E18"/>
    <w:rsid w:val="00A85063"/>
    <w:rsid w:val="00A85116"/>
    <w:rsid w:val="00A854BB"/>
    <w:rsid w:val="00A857E4"/>
    <w:rsid w:val="00A85AA4"/>
    <w:rsid w:val="00A85D55"/>
    <w:rsid w:val="00A8689B"/>
    <w:rsid w:val="00A86D9E"/>
    <w:rsid w:val="00A878E5"/>
    <w:rsid w:val="00A87E2E"/>
    <w:rsid w:val="00A87F5B"/>
    <w:rsid w:val="00A9014E"/>
    <w:rsid w:val="00A912F2"/>
    <w:rsid w:val="00A91765"/>
    <w:rsid w:val="00A91BB6"/>
    <w:rsid w:val="00A92003"/>
    <w:rsid w:val="00A9223F"/>
    <w:rsid w:val="00A922DE"/>
    <w:rsid w:val="00A9298F"/>
    <w:rsid w:val="00A9307B"/>
    <w:rsid w:val="00A93394"/>
    <w:rsid w:val="00A93746"/>
    <w:rsid w:val="00A938DB"/>
    <w:rsid w:val="00A94DB4"/>
    <w:rsid w:val="00A9548A"/>
    <w:rsid w:val="00A95C75"/>
    <w:rsid w:val="00A96091"/>
    <w:rsid w:val="00A963A3"/>
    <w:rsid w:val="00A96615"/>
    <w:rsid w:val="00A966AA"/>
    <w:rsid w:val="00A96AAF"/>
    <w:rsid w:val="00A96CC2"/>
    <w:rsid w:val="00A96D9F"/>
    <w:rsid w:val="00A96E4A"/>
    <w:rsid w:val="00A97A30"/>
    <w:rsid w:val="00A97B2D"/>
    <w:rsid w:val="00AA017C"/>
    <w:rsid w:val="00AA01C2"/>
    <w:rsid w:val="00AA094B"/>
    <w:rsid w:val="00AA099D"/>
    <w:rsid w:val="00AA0C0B"/>
    <w:rsid w:val="00AA0F82"/>
    <w:rsid w:val="00AA120E"/>
    <w:rsid w:val="00AA13E2"/>
    <w:rsid w:val="00AA1559"/>
    <w:rsid w:val="00AA1B7B"/>
    <w:rsid w:val="00AA1BBF"/>
    <w:rsid w:val="00AA2153"/>
    <w:rsid w:val="00AA290E"/>
    <w:rsid w:val="00AA316E"/>
    <w:rsid w:val="00AA32FB"/>
    <w:rsid w:val="00AA3503"/>
    <w:rsid w:val="00AA37D4"/>
    <w:rsid w:val="00AA39B2"/>
    <w:rsid w:val="00AA3DB1"/>
    <w:rsid w:val="00AA40EA"/>
    <w:rsid w:val="00AA5565"/>
    <w:rsid w:val="00AA5EDE"/>
    <w:rsid w:val="00AA7360"/>
    <w:rsid w:val="00AA7EF6"/>
    <w:rsid w:val="00AB0327"/>
    <w:rsid w:val="00AB0A23"/>
    <w:rsid w:val="00AB0D1A"/>
    <w:rsid w:val="00AB0DE0"/>
    <w:rsid w:val="00AB1DEA"/>
    <w:rsid w:val="00AB1EDC"/>
    <w:rsid w:val="00AB25D3"/>
    <w:rsid w:val="00AB26DA"/>
    <w:rsid w:val="00AB2922"/>
    <w:rsid w:val="00AB3966"/>
    <w:rsid w:val="00AB3C11"/>
    <w:rsid w:val="00AB3F2B"/>
    <w:rsid w:val="00AB4223"/>
    <w:rsid w:val="00AB437E"/>
    <w:rsid w:val="00AB4F94"/>
    <w:rsid w:val="00AB4FA8"/>
    <w:rsid w:val="00AB501F"/>
    <w:rsid w:val="00AB5030"/>
    <w:rsid w:val="00AB5DAE"/>
    <w:rsid w:val="00AB60E8"/>
    <w:rsid w:val="00AB68B9"/>
    <w:rsid w:val="00AB6A36"/>
    <w:rsid w:val="00AB6B7F"/>
    <w:rsid w:val="00AB710C"/>
    <w:rsid w:val="00AB74F5"/>
    <w:rsid w:val="00AB7624"/>
    <w:rsid w:val="00AB7A03"/>
    <w:rsid w:val="00AB7D12"/>
    <w:rsid w:val="00AB7FB9"/>
    <w:rsid w:val="00AC0725"/>
    <w:rsid w:val="00AC11BC"/>
    <w:rsid w:val="00AC198E"/>
    <w:rsid w:val="00AC1CC3"/>
    <w:rsid w:val="00AC1E90"/>
    <w:rsid w:val="00AC1EE3"/>
    <w:rsid w:val="00AC2A82"/>
    <w:rsid w:val="00AC2AA5"/>
    <w:rsid w:val="00AC2F16"/>
    <w:rsid w:val="00AC2F77"/>
    <w:rsid w:val="00AC31ED"/>
    <w:rsid w:val="00AC3DED"/>
    <w:rsid w:val="00AC4297"/>
    <w:rsid w:val="00AC4B4D"/>
    <w:rsid w:val="00AC4C52"/>
    <w:rsid w:val="00AC4C90"/>
    <w:rsid w:val="00AC50FF"/>
    <w:rsid w:val="00AC5109"/>
    <w:rsid w:val="00AC52E6"/>
    <w:rsid w:val="00AC5353"/>
    <w:rsid w:val="00AC55E0"/>
    <w:rsid w:val="00AC56A0"/>
    <w:rsid w:val="00AC58FA"/>
    <w:rsid w:val="00AC6271"/>
    <w:rsid w:val="00AC65F6"/>
    <w:rsid w:val="00AC7188"/>
    <w:rsid w:val="00AC73E8"/>
    <w:rsid w:val="00AC75A1"/>
    <w:rsid w:val="00AC76FD"/>
    <w:rsid w:val="00AC78FC"/>
    <w:rsid w:val="00AC7E1E"/>
    <w:rsid w:val="00AD034A"/>
    <w:rsid w:val="00AD0B85"/>
    <w:rsid w:val="00AD1139"/>
    <w:rsid w:val="00AD15E1"/>
    <w:rsid w:val="00AD1717"/>
    <w:rsid w:val="00AD1B7C"/>
    <w:rsid w:val="00AD1D41"/>
    <w:rsid w:val="00AD2410"/>
    <w:rsid w:val="00AD24FA"/>
    <w:rsid w:val="00AD256A"/>
    <w:rsid w:val="00AD3415"/>
    <w:rsid w:val="00AD443A"/>
    <w:rsid w:val="00AD4D03"/>
    <w:rsid w:val="00AD56A5"/>
    <w:rsid w:val="00AD59FC"/>
    <w:rsid w:val="00AD5A87"/>
    <w:rsid w:val="00AD5D34"/>
    <w:rsid w:val="00AD61F1"/>
    <w:rsid w:val="00AD679E"/>
    <w:rsid w:val="00AD7114"/>
    <w:rsid w:val="00AD7427"/>
    <w:rsid w:val="00AD7D9C"/>
    <w:rsid w:val="00AD7F54"/>
    <w:rsid w:val="00AE0132"/>
    <w:rsid w:val="00AE0458"/>
    <w:rsid w:val="00AE0B69"/>
    <w:rsid w:val="00AE0F1A"/>
    <w:rsid w:val="00AE11E2"/>
    <w:rsid w:val="00AE14D6"/>
    <w:rsid w:val="00AE1A4A"/>
    <w:rsid w:val="00AE1EB5"/>
    <w:rsid w:val="00AE22C9"/>
    <w:rsid w:val="00AE280F"/>
    <w:rsid w:val="00AE2865"/>
    <w:rsid w:val="00AE3700"/>
    <w:rsid w:val="00AE5028"/>
    <w:rsid w:val="00AE5419"/>
    <w:rsid w:val="00AE576C"/>
    <w:rsid w:val="00AE57D2"/>
    <w:rsid w:val="00AE5C5B"/>
    <w:rsid w:val="00AE638C"/>
    <w:rsid w:val="00AE6CE7"/>
    <w:rsid w:val="00AE6F56"/>
    <w:rsid w:val="00AE6F63"/>
    <w:rsid w:val="00AF07CE"/>
    <w:rsid w:val="00AF0C33"/>
    <w:rsid w:val="00AF23EF"/>
    <w:rsid w:val="00AF2ACB"/>
    <w:rsid w:val="00AF2CC2"/>
    <w:rsid w:val="00AF2F1A"/>
    <w:rsid w:val="00AF3265"/>
    <w:rsid w:val="00AF35AE"/>
    <w:rsid w:val="00AF40C2"/>
    <w:rsid w:val="00AF4749"/>
    <w:rsid w:val="00AF4919"/>
    <w:rsid w:val="00AF4BCB"/>
    <w:rsid w:val="00AF4F65"/>
    <w:rsid w:val="00AF530C"/>
    <w:rsid w:val="00AF59CF"/>
    <w:rsid w:val="00AF5F2C"/>
    <w:rsid w:val="00AF61D2"/>
    <w:rsid w:val="00AF6B3E"/>
    <w:rsid w:val="00AF6ECC"/>
    <w:rsid w:val="00AF7405"/>
    <w:rsid w:val="00AF751B"/>
    <w:rsid w:val="00AF752C"/>
    <w:rsid w:val="00AF78F2"/>
    <w:rsid w:val="00AF7952"/>
    <w:rsid w:val="00AF7FDF"/>
    <w:rsid w:val="00B003F0"/>
    <w:rsid w:val="00B010F7"/>
    <w:rsid w:val="00B01342"/>
    <w:rsid w:val="00B01380"/>
    <w:rsid w:val="00B01C8E"/>
    <w:rsid w:val="00B0230E"/>
    <w:rsid w:val="00B02ECF"/>
    <w:rsid w:val="00B03220"/>
    <w:rsid w:val="00B03B67"/>
    <w:rsid w:val="00B04D86"/>
    <w:rsid w:val="00B04EFF"/>
    <w:rsid w:val="00B05446"/>
    <w:rsid w:val="00B0551E"/>
    <w:rsid w:val="00B05833"/>
    <w:rsid w:val="00B05BBD"/>
    <w:rsid w:val="00B05F4E"/>
    <w:rsid w:val="00B06100"/>
    <w:rsid w:val="00B06202"/>
    <w:rsid w:val="00B06215"/>
    <w:rsid w:val="00B0664B"/>
    <w:rsid w:val="00B06723"/>
    <w:rsid w:val="00B06B33"/>
    <w:rsid w:val="00B06F27"/>
    <w:rsid w:val="00B07227"/>
    <w:rsid w:val="00B07BAE"/>
    <w:rsid w:val="00B10270"/>
    <w:rsid w:val="00B109F6"/>
    <w:rsid w:val="00B10A6C"/>
    <w:rsid w:val="00B10AF9"/>
    <w:rsid w:val="00B10CC0"/>
    <w:rsid w:val="00B11322"/>
    <w:rsid w:val="00B11734"/>
    <w:rsid w:val="00B119E3"/>
    <w:rsid w:val="00B11D95"/>
    <w:rsid w:val="00B11EAC"/>
    <w:rsid w:val="00B12140"/>
    <w:rsid w:val="00B12719"/>
    <w:rsid w:val="00B12830"/>
    <w:rsid w:val="00B12A66"/>
    <w:rsid w:val="00B12B6D"/>
    <w:rsid w:val="00B12F69"/>
    <w:rsid w:val="00B134ED"/>
    <w:rsid w:val="00B134FB"/>
    <w:rsid w:val="00B1372C"/>
    <w:rsid w:val="00B137AF"/>
    <w:rsid w:val="00B13981"/>
    <w:rsid w:val="00B13D1D"/>
    <w:rsid w:val="00B14741"/>
    <w:rsid w:val="00B14E39"/>
    <w:rsid w:val="00B14E49"/>
    <w:rsid w:val="00B15942"/>
    <w:rsid w:val="00B15957"/>
    <w:rsid w:val="00B16305"/>
    <w:rsid w:val="00B16328"/>
    <w:rsid w:val="00B163D2"/>
    <w:rsid w:val="00B16A8B"/>
    <w:rsid w:val="00B16C50"/>
    <w:rsid w:val="00B16FE3"/>
    <w:rsid w:val="00B17005"/>
    <w:rsid w:val="00B170AA"/>
    <w:rsid w:val="00B174C6"/>
    <w:rsid w:val="00B17C26"/>
    <w:rsid w:val="00B17C7A"/>
    <w:rsid w:val="00B17EE2"/>
    <w:rsid w:val="00B205DA"/>
    <w:rsid w:val="00B20D15"/>
    <w:rsid w:val="00B21341"/>
    <w:rsid w:val="00B215A0"/>
    <w:rsid w:val="00B215F9"/>
    <w:rsid w:val="00B21636"/>
    <w:rsid w:val="00B21BCA"/>
    <w:rsid w:val="00B21E11"/>
    <w:rsid w:val="00B228D1"/>
    <w:rsid w:val="00B22BB0"/>
    <w:rsid w:val="00B23331"/>
    <w:rsid w:val="00B23781"/>
    <w:rsid w:val="00B238B2"/>
    <w:rsid w:val="00B238BD"/>
    <w:rsid w:val="00B2391E"/>
    <w:rsid w:val="00B24C7F"/>
    <w:rsid w:val="00B25195"/>
    <w:rsid w:val="00B252C0"/>
    <w:rsid w:val="00B25710"/>
    <w:rsid w:val="00B25940"/>
    <w:rsid w:val="00B25E0C"/>
    <w:rsid w:val="00B25FDD"/>
    <w:rsid w:val="00B2659A"/>
    <w:rsid w:val="00B26A7F"/>
    <w:rsid w:val="00B26F39"/>
    <w:rsid w:val="00B2795F"/>
    <w:rsid w:val="00B279AB"/>
    <w:rsid w:val="00B30441"/>
    <w:rsid w:val="00B30456"/>
    <w:rsid w:val="00B3063E"/>
    <w:rsid w:val="00B306D0"/>
    <w:rsid w:val="00B3070F"/>
    <w:rsid w:val="00B308FB"/>
    <w:rsid w:val="00B3145B"/>
    <w:rsid w:val="00B3198E"/>
    <w:rsid w:val="00B3213E"/>
    <w:rsid w:val="00B3255D"/>
    <w:rsid w:val="00B32BE1"/>
    <w:rsid w:val="00B32D21"/>
    <w:rsid w:val="00B3305F"/>
    <w:rsid w:val="00B33667"/>
    <w:rsid w:val="00B33C84"/>
    <w:rsid w:val="00B33CD1"/>
    <w:rsid w:val="00B33D46"/>
    <w:rsid w:val="00B343C4"/>
    <w:rsid w:val="00B34B34"/>
    <w:rsid w:val="00B34DF4"/>
    <w:rsid w:val="00B34F3A"/>
    <w:rsid w:val="00B3524F"/>
    <w:rsid w:val="00B3529F"/>
    <w:rsid w:val="00B356B5"/>
    <w:rsid w:val="00B35A54"/>
    <w:rsid w:val="00B35DCC"/>
    <w:rsid w:val="00B36149"/>
    <w:rsid w:val="00B363B3"/>
    <w:rsid w:val="00B36C9D"/>
    <w:rsid w:val="00B37043"/>
    <w:rsid w:val="00B37577"/>
    <w:rsid w:val="00B377AB"/>
    <w:rsid w:val="00B37D50"/>
    <w:rsid w:val="00B37D80"/>
    <w:rsid w:val="00B37E17"/>
    <w:rsid w:val="00B409A4"/>
    <w:rsid w:val="00B41553"/>
    <w:rsid w:val="00B4202F"/>
    <w:rsid w:val="00B421BF"/>
    <w:rsid w:val="00B4283A"/>
    <w:rsid w:val="00B42914"/>
    <w:rsid w:val="00B42971"/>
    <w:rsid w:val="00B42D2B"/>
    <w:rsid w:val="00B42DCB"/>
    <w:rsid w:val="00B42E51"/>
    <w:rsid w:val="00B42F72"/>
    <w:rsid w:val="00B4347C"/>
    <w:rsid w:val="00B435F8"/>
    <w:rsid w:val="00B436AB"/>
    <w:rsid w:val="00B439F1"/>
    <w:rsid w:val="00B43AB7"/>
    <w:rsid w:val="00B43BA0"/>
    <w:rsid w:val="00B441FE"/>
    <w:rsid w:val="00B44332"/>
    <w:rsid w:val="00B44CB3"/>
    <w:rsid w:val="00B44EFD"/>
    <w:rsid w:val="00B452BE"/>
    <w:rsid w:val="00B452E6"/>
    <w:rsid w:val="00B452F2"/>
    <w:rsid w:val="00B455B3"/>
    <w:rsid w:val="00B456EE"/>
    <w:rsid w:val="00B4574D"/>
    <w:rsid w:val="00B45CBF"/>
    <w:rsid w:val="00B45E32"/>
    <w:rsid w:val="00B463E6"/>
    <w:rsid w:val="00B468EF"/>
    <w:rsid w:val="00B46B4B"/>
    <w:rsid w:val="00B46E9D"/>
    <w:rsid w:val="00B471E6"/>
    <w:rsid w:val="00B4730D"/>
    <w:rsid w:val="00B4746F"/>
    <w:rsid w:val="00B4752E"/>
    <w:rsid w:val="00B47F6B"/>
    <w:rsid w:val="00B505E6"/>
    <w:rsid w:val="00B512F3"/>
    <w:rsid w:val="00B51CDE"/>
    <w:rsid w:val="00B51E55"/>
    <w:rsid w:val="00B523C3"/>
    <w:rsid w:val="00B52660"/>
    <w:rsid w:val="00B528C0"/>
    <w:rsid w:val="00B52D00"/>
    <w:rsid w:val="00B52DDA"/>
    <w:rsid w:val="00B52F5D"/>
    <w:rsid w:val="00B5361D"/>
    <w:rsid w:val="00B53AE3"/>
    <w:rsid w:val="00B53E7E"/>
    <w:rsid w:val="00B53F12"/>
    <w:rsid w:val="00B54291"/>
    <w:rsid w:val="00B54942"/>
    <w:rsid w:val="00B54BCD"/>
    <w:rsid w:val="00B54E62"/>
    <w:rsid w:val="00B5588B"/>
    <w:rsid w:val="00B56167"/>
    <w:rsid w:val="00B57B4B"/>
    <w:rsid w:val="00B57F2A"/>
    <w:rsid w:val="00B600DC"/>
    <w:rsid w:val="00B60147"/>
    <w:rsid w:val="00B60683"/>
    <w:rsid w:val="00B60A69"/>
    <w:rsid w:val="00B60CC4"/>
    <w:rsid w:val="00B60D61"/>
    <w:rsid w:val="00B61427"/>
    <w:rsid w:val="00B614BE"/>
    <w:rsid w:val="00B6170D"/>
    <w:rsid w:val="00B6175D"/>
    <w:rsid w:val="00B62746"/>
    <w:rsid w:val="00B6283E"/>
    <w:rsid w:val="00B629A6"/>
    <w:rsid w:val="00B6337C"/>
    <w:rsid w:val="00B63487"/>
    <w:rsid w:val="00B63909"/>
    <w:rsid w:val="00B63CFC"/>
    <w:rsid w:val="00B63EB5"/>
    <w:rsid w:val="00B63F8A"/>
    <w:rsid w:val="00B64387"/>
    <w:rsid w:val="00B64659"/>
    <w:rsid w:val="00B64898"/>
    <w:rsid w:val="00B64FB8"/>
    <w:rsid w:val="00B64FDF"/>
    <w:rsid w:val="00B65201"/>
    <w:rsid w:val="00B653C2"/>
    <w:rsid w:val="00B66CA8"/>
    <w:rsid w:val="00B67010"/>
    <w:rsid w:val="00B67397"/>
    <w:rsid w:val="00B67744"/>
    <w:rsid w:val="00B70FDC"/>
    <w:rsid w:val="00B71550"/>
    <w:rsid w:val="00B71725"/>
    <w:rsid w:val="00B71854"/>
    <w:rsid w:val="00B71C00"/>
    <w:rsid w:val="00B723C5"/>
    <w:rsid w:val="00B7247F"/>
    <w:rsid w:val="00B725BE"/>
    <w:rsid w:val="00B72A66"/>
    <w:rsid w:val="00B72C97"/>
    <w:rsid w:val="00B72DFE"/>
    <w:rsid w:val="00B736B0"/>
    <w:rsid w:val="00B73723"/>
    <w:rsid w:val="00B73ABE"/>
    <w:rsid w:val="00B73BF9"/>
    <w:rsid w:val="00B73D9C"/>
    <w:rsid w:val="00B73E14"/>
    <w:rsid w:val="00B73EA6"/>
    <w:rsid w:val="00B73F28"/>
    <w:rsid w:val="00B746C9"/>
    <w:rsid w:val="00B74724"/>
    <w:rsid w:val="00B75AFF"/>
    <w:rsid w:val="00B76D83"/>
    <w:rsid w:val="00B76F74"/>
    <w:rsid w:val="00B77AC2"/>
    <w:rsid w:val="00B8024E"/>
    <w:rsid w:val="00B804E9"/>
    <w:rsid w:val="00B80C91"/>
    <w:rsid w:val="00B80CAB"/>
    <w:rsid w:val="00B813B8"/>
    <w:rsid w:val="00B81482"/>
    <w:rsid w:val="00B819FF"/>
    <w:rsid w:val="00B81A10"/>
    <w:rsid w:val="00B82538"/>
    <w:rsid w:val="00B82795"/>
    <w:rsid w:val="00B82844"/>
    <w:rsid w:val="00B82E9D"/>
    <w:rsid w:val="00B82FDD"/>
    <w:rsid w:val="00B830D9"/>
    <w:rsid w:val="00B83813"/>
    <w:rsid w:val="00B84203"/>
    <w:rsid w:val="00B84422"/>
    <w:rsid w:val="00B852DA"/>
    <w:rsid w:val="00B8559D"/>
    <w:rsid w:val="00B85CE5"/>
    <w:rsid w:val="00B86B03"/>
    <w:rsid w:val="00B86E45"/>
    <w:rsid w:val="00B8769E"/>
    <w:rsid w:val="00B87B38"/>
    <w:rsid w:val="00B900B4"/>
    <w:rsid w:val="00B90656"/>
    <w:rsid w:val="00B90A4B"/>
    <w:rsid w:val="00B90BD0"/>
    <w:rsid w:val="00B90F40"/>
    <w:rsid w:val="00B91133"/>
    <w:rsid w:val="00B91361"/>
    <w:rsid w:val="00B91A41"/>
    <w:rsid w:val="00B923F6"/>
    <w:rsid w:val="00B9285C"/>
    <w:rsid w:val="00B928F3"/>
    <w:rsid w:val="00B92E34"/>
    <w:rsid w:val="00B9313B"/>
    <w:rsid w:val="00B933A7"/>
    <w:rsid w:val="00B93E78"/>
    <w:rsid w:val="00B9420C"/>
    <w:rsid w:val="00B94943"/>
    <w:rsid w:val="00B94A0F"/>
    <w:rsid w:val="00B94EB7"/>
    <w:rsid w:val="00B94F57"/>
    <w:rsid w:val="00B95ECF"/>
    <w:rsid w:val="00B9616C"/>
    <w:rsid w:val="00B96CFF"/>
    <w:rsid w:val="00B96FB2"/>
    <w:rsid w:val="00B97851"/>
    <w:rsid w:val="00B979FC"/>
    <w:rsid w:val="00B97DF2"/>
    <w:rsid w:val="00B97EB2"/>
    <w:rsid w:val="00BA0304"/>
    <w:rsid w:val="00BA04C2"/>
    <w:rsid w:val="00BA0E35"/>
    <w:rsid w:val="00BA0FBA"/>
    <w:rsid w:val="00BA1697"/>
    <w:rsid w:val="00BA213C"/>
    <w:rsid w:val="00BA2420"/>
    <w:rsid w:val="00BA2550"/>
    <w:rsid w:val="00BA270A"/>
    <w:rsid w:val="00BA32B6"/>
    <w:rsid w:val="00BA42AC"/>
    <w:rsid w:val="00BA45D6"/>
    <w:rsid w:val="00BA51AA"/>
    <w:rsid w:val="00BA58C1"/>
    <w:rsid w:val="00BA5FB3"/>
    <w:rsid w:val="00BA6239"/>
    <w:rsid w:val="00BA6347"/>
    <w:rsid w:val="00BA66B3"/>
    <w:rsid w:val="00BA6B4A"/>
    <w:rsid w:val="00BA6E57"/>
    <w:rsid w:val="00BA6FDE"/>
    <w:rsid w:val="00BA74D1"/>
    <w:rsid w:val="00BA7786"/>
    <w:rsid w:val="00BA77AF"/>
    <w:rsid w:val="00BA7F02"/>
    <w:rsid w:val="00BB0423"/>
    <w:rsid w:val="00BB0A9B"/>
    <w:rsid w:val="00BB0DCC"/>
    <w:rsid w:val="00BB11E3"/>
    <w:rsid w:val="00BB152C"/>
    <w:rsid w:val="00BB1C02"/>
    <w:rsid w:val="00BB1EA4"/>
    <w:rsid w:val="00BB2219"/>
    <w:rsid w:val="00BB2729"/>
    <w:rsid w:val="00BB27A1"/>
    <w:rsid w:val="00BB2C7C"/>
    <w:rsid w:val="00BB3008"/>
    <w:rsid w:val="00BB39F2"/>
    <w:rsid w:val="00BB45C4"/>
    <w:rsid w:val="00BB4915"/>
    <w:rsid w:val="00BB4AAB"/>
    <w:rsid w:val="00BB4E66"/>
    <w:rsid w:val="00BB52E3"/>
    <w:rsid w:val="00BB5717"/>
    <w:rsid w:val="00BB5867"/>
    <w:rsid w:val="00BB5894"/>
    <w:rsid w:val="00BB5BCE"/>
    <w:rsid w:val="00BB5BD7"/>
    <w:rsid w:val="00BB62C8"/>
    <w:rsid w:val="00BB77DF"/>
    <w:rsid w:val="00BB7F56"/>
    <w:rsid w:val="00BC0A20"/>
    <w:rsid w:val="00BC0C4B"/>
    <w:rsid w:val="00BC11C3"/>
    <w:rsid w:val="00BC19EC"/>
    <w:rsid w:val="00BC19F7"/>
    <w:rsid w:val="00BC1E25"/>
    <w:rsid w:val="00BC2114"/>
    <w:rsid w:val="00BC229A"/>
    <w:rsid w:val="00BC3E63"/>
    <w:rsid w:val="00BC3E75"/>
    <w:rsid w:val="00BC3F8A"/>
    <w:rsid w:val="00BC4036"/>
    <w:rsid w:val="00BC423B"/>
    <w:rsid w:val="00BC462F"/>
    <w:rsid w:val="00BC46BA"/>
    <w:rsid w:val="00BC4811"/>
    <w:rsid w:val="00BC4C15"/>
    <w:rsid w:val="00BC4E11"/>
    <w:rsid w:val="00BC50F4"/>
    <w:rsid w:val="00BC5553"/>
    <w:rsid w:val="00BC58B3"/>
    <w:rsid w:val="00BC5949"/>
    <w:rsid w:val="00BC5B7F"/>
    <w:rsid w:val="00BC5C1A"/>
    <w:rsid w:val="00BC5EEC"/>
    <w:rsid w:val="00BC5F5D"/>
    <w:rsid w:val="00BC69F2"/>
    <w:rsid w:val="00BC6E7D"/>
    <w:rsid w:val="00BC6EA6"/>
    <w:rsid w:val="00BC6FC2"/>
    <w:rsid w:val="00BC6FFA"/>
    <w:rsid w:val="00BC7169"/>
    <w:rsid w:val="00BC753E"/>
    <w:rsid w:val="00BC7548"/>
    <w:rsid w:val="00BC778C"/>
    <w:rsid w:val="00BC7A28"/>
    <w:rsid w:val="00BC7BC1"/>
    <w:rsid w:val="00BC7CAC"/>
    <w:rsid w:val="00BD01EB"/>
    <w:rsid w:val="00BD037B"/>
    <w:rsid w:val="00BD03F9"/>
    <w:rsid w:val="00BD08E6"/>
    <w:rsid w:val="00BD0BD6"/>
    <w:rsid w:val="00BD0ECB"/>
    <w:rsid w:val="00BD28FA"/>
    <w:rsid w:val="00BD2B21"/>
    <w:rsid w:val="00BD37F8"/>
    <w:rsid w:val="00BD3DE8"/>
    <w:rsid w:val="00BD430F"/>
    <w:rsid w:val="00BD4517"/>
    <w:rsid w:val="00BD4D82"/>
    <w:rsid w:val="00BD4EE4"/>
    <w:rsid w:val="00BD4F61"/>
    <w:rsid w:val="00BD5078"/>
    <w:rsid w:val="00BD57D9"/>
    <w:rsid w:val="00BD5EDD"/>
    <w:rsid w:val="00BD64A9"/>
    <w:rsid w:val="00BD64EA"/>
    <w:rsid w:val="00BD65B9"/>
    <w:rsid w:val="00BD65F1"/>
    <w:rsid w:val="00BD6CEA"/>
    <w:rsid w:val="00BD7089"/>
    <w:rsid w:val="00BD7327"/>
    <w:rsid w:val="00BD77C9"/>
    <w:rsid w:val="00BD7936"/>
    <w:rsid w:val="00BE0013"/>
    <w:rsid w:val="00BE154F"/>
    <w:rsid w:val="00BE24AC"/>
    <w:rsid w:val="00BE430D"/>
    <w:rsid w:val="00BE449B"/>
    <w:rsid w:val="00BE47BD"/>
    <w:rsid w:val="00BE51AD"/>
    <w:rsid w:val="00BE520C"/>
    <w:rsid w:val="00BE5CFE"/>
    <w:rsid w:val="00BE5DFB"/>
    <w:rsid w:val="00BE6270"/>
    <w:rsid w:val="00BE62E3"/>
    <w:rsid w:val="00BE66E8"/>
    <w:rsid w:val="00BF024D"/>
    <w:rsid w:val="00BF0386"/>
    <w:rsid w:val="00BF03EA"/>
    <w:rsid w:val="00BF1C72"/>
    <w:rsid w:val="00BF1CD5"/>
    <w:rsid w:val="00BF1FB5"/>
    <w:rsid w:val="00BF2115"/>
    <w:rsid w:val="00BF2A2F"/>
    <w:rsid w:val="00BF2EBC"/>
    <w:rsid w:val="00BF3151"/>
    <w:rsid w:val="00BF3298"/>
    <w:rsid w:val="00BF3387"/>
    <w:rsid w:val="00BF33E8"/>
    <w:rsid w:val="00BF434C"/>
    <w:rsid w:val="00BF435B"/>
    <w:rsid w:val="00BF4656"/>
    <w:rsid w:val="00BF4C82"/>
    <w:rsid w:val="00BF548E"/>
    <w:rsid w:val="00BF54C8"/>
    <w:rsid w:val="00BF550C"/>
    <w:rsid w:val="00BF5CAD"/>
    <w:rsid w:val="00BF5DA0"/>
    <w:rsid w:val="00BF6067"/>
    <w:rsid w:val="00BF61C5"/>
    <w:rsid w:val="00BF6598"/>
    <w:rsid w:val="00BF6639"/>
    <w:rsid w:val="00BF6DFE"/>
    <w:rsid w:val="00BF6FD0"/>
    <w:rsid w:val="00BF771A"/>
    <w:rsid w:val="00C00025"/>
    <w:rsid w:val="00C00660"/>
    <w:rsid w:val="00C00C07"/>
    <w:rsid w:val="00C00C30"/>
    <w:rsid w:val="00C0196C"/>
    <w:rsid w:val="00C01B9E"/>
    <w:rsid w:val="00C01F37"/>
    <w:rsid w:val="00C02375"/>
    <w:rsid w:val="00C02DF4"/>
    <w:rsid w:val="00C03020"/>
    <w:rsid w:val="00C0313B"/>
    <w:rsid w:val="00C031E7"/>
    <w:rsid w:val="00C03213"/>
    <w:rsid w:val="00C03DE0"/>
    <w:rsid w:val="00C04097"/>
    <w:rsid w:val="00C0462B"/>
    <w:rsid w:val="00C047E3"/>
    <w:rsid w:val="00C049F4"/>
    <w:rsid w:val="00C04C52"/>
    <w:rsid w:val="00C05B55"/>
    <w:rsid w:val="00C05B68"/>
    <w:rsid w:val="00C061E5"/>
    <w:rsid w:val="00C06B3F"/>
    <w:rsid w:val="00C06DE9"/>
    <w:rsid w:val="00C072E9"/>
    <w:rsid w:val="00C07592"/>
    <w:rsid w:val="00C07802"/>
    <w:rsid w:val="00C102C6"/>
    <w:rsid w:val="00C1058A"/>
    <w:rsid w:val="00C10B3B"/>
    <w:rsid w:val="00C1135B"/>
    <w:rsid w:val="00C1210D"/>
    <w:rsid w:val="00C1224B"/>
    <w:rsid w:val="00C122E1"/>
    <w:rsid w:val="00C1241F"/>
    <w:rsid w:val="00C12501"/>
    <w:rsid w:val="00C1263A"/>
    <w:rsid w:val="00C12759"/>
    <w:rsid w:val="00C127B3"/>
    <w:rsid w:val="00C12A76"/>
    <w:rsid w:val="00C12C4D"/>
    <w:rsid w:val="00C12C9D"/>
    <w:rsid w:val="00C13D06"/>
    <w:rsid w:val="00C14494"/>
    <w:rsid w:val="00C14560"/>
    <w:rsid w:val="00C14857"/>
    <w:rsid w:val="00C14BF4"/>
    <w:rsid w:val="00C14FFA"/>
    <w:rsid w:val="00C1548C"/>
    <w:rsid w:val="00C1556D"/>
    <w:rsid w:val="00C15660"/>
    <w:rsid w:val="00C15754"/>
    <w:rsid w:val="00C16855"/>
    <w:rsid w:val="00C171C1"/>
    <w:rsid w:val="00C17A05"/>
    <w:rsid w:val="00C17E1E"/>
    <w:rsid w:val="00C2037B"/>
    <w:rsid w:val="00C2046B"/>
    <w:rsid w:val="00C20527"/>
    <w:rsid w:val="00C20D1C"/>
    <w:rsid w:val="00C211F7"/>
    <w:rsid w:val="00C215AE"/>
    <w:rsid w:val="00C21873"/>
    <w:rsid w:val="00C22496"/>
    <w:rsid w:val="00C226E0"/>
    <w:rsid w:val="00C238D6"/>
    <w:rsid w:val="00C243C9"/>
    <w:rsid w:val="00C2446F"/>
    <w:rsid w:val="00C245BD"/>
    <w:rsid w:val="00C247FE"/>
    <w:rsid w:val="00C24A72"/>
    <w:rsid w:val="00C2551D"/>
    <w:rsid w:val="00C255F9"/>
    <w:rsid w:val="00C25B8F"/>
    <w:rsid w:val="00C26A38"/>
    <w:rsid w:val="00C270F1"/>
    <w:rsid w:val="00C276FE"/>
    <w:rsid w:val="00C27900"/>
    <w:rsid w:val="00C27BB9"/>
    <w:rsid w:val="00C27C63"/>
    <w:rsid w:val="00C27D31"/>
    <w:rsid w:val="00C3003A"/>
    <w:rsid w:val="00C30B8E"/>
    <w:rsid w:val="00C30C8E"/>
    <w:rsid w:val="00C31D07"/>
    <w:rsid w:val="00C31E6D"/>
    <w:rsid w:val="00C321B0"/>
    <w:rsid w:val="00C327B7"/>
    <w:rsid w:val="00C3281E"/>
    <w:rsid w:val="00C331FC"/>
    <w:rsid w:val="00C3359B"/>
    <w:rsid w:val="00C33689"/>
    <w:rsid w:val="00C3385C"/>
    <w:rsid w:val="00C339D4"/>
    <w:rsid w:val="00C33AAC"/>
    <w:rsid w:val="00C33F01"/>
    <w:rsid w:val="00C34F37"/>
    <w:rsid w:val="00C350BA"/>
    <w:rsid w:val="00C356AD"/>
    <w:rsid w:val="00C3583B"/>
    <w:rsid w:val="00C35A20"/>
    <w:rsid w:val="00C3666D"/>
    <w:rsid w:val="00C36999"/>
    <w:rsid w:val="00C36EEC"/>
    <w:rsid w:val="00C3713D"/>
    <w:rsid w:val="00C37293"/>
    <w:rsid w:val="00C378D9"/>
    <w:rsid w:val="00C37A66"/>
    <w:rsid w:val="00C37D8E"/>
    <w:rsid w:val="00C401EA"/>
    <w:rsid w:val="00C40295"/>
    <w:rsid w:val="00C414F1"/>
    <w:rsid w:val="00C41A6A"/>
    <w:rsid w:val="00C41F48"/>
    <w:rsid w:val="00C4242F"/>
    <w:rsid w:val="00C42B6A"/>
    <w:rsid w:val="00C42F30"/>
    <w:rsid w:val="00C431BB"/>
    <w:rsid w:val="00C439BF"/>
    <w:rsid w:val="00C43ADB"/>
    <w:rsid w:val="00C44042"/>
    <w:rsid w:val="00C44112"/>
    <w:rsid w:val="00C44613"/>
    <w:rsid w:val="00C4499A"/>
    <w:rsid w:val="00C44A48"/>
    <w:rsid w:val="00C44D73"/>
    <w:rsid w:val="00C44E32"/>
    <w:rsid w:val="00C44FAF"/>
    <w:rsid w:val="00C4534A"/>
    <w:rsid w:val="00C456DB"/>
    <w:rsid w:val="00C45B7C"/>
    <w:rsid w:val="00C45D52"/>
    <w:rsid w:val="00C46080"/>
    <w:rsid w:val="00C462C9"/>
    <w:rsid w:val="00C4651A"/>
    <w:rsid w:val="00C469ED"/>
    <w:rsid w:val="00C46C52"/>
    <w:rsid w:val="00C47BD2"/>
    <w:rsid w:val="00C501AE"/>
    <w:rsid w:val="00C50A67"/>
    <w:rsid w:val="00C50B26"/>
    <w:rsid w:val="00C50E67"/>
    <w:rsid w:val="00C50ECB"/>
    <w:rsid w:val="00C51210"/>
    <w:rsid w:val="00C51277"/>
    <w:rsid w:val="00C5144B"/>
    <w:rsid w:val="00C515EE"/>
    <w:rsid w:val="00C5163C"/>
    <w:rsid w:val="00C51964"/>
    <w:rsid w:val="00C51A8E"/>
    <w:rsid w:val="00C522A2"/>
    <w:rsid w:val="00C52A84"/>
    <w:rsid w:val="00C53847"/>
    <w:rsid w:val="00C542E4"/>
    <w:rsid w:val="00C546C1"/>
    <w:rsid w:val="00C54850"/>
    <w:rsid w:val="00C558E7"/>
    <w:rsid w:val="00C559BF"/>
    <w:rsid w:val="00C55A19"/>
    <w:rsid w:val="00C561BE"/>
    <w:rsid w:val="00C564B7"/>
    <w:rsid w:val="00C56995"/>
    <w:rsid w:val="00C56F08"/>
    <w:rsid w:val="00C57502"/>
    <w:rsid w:val="00C578E7"/>
    <w:rsid w:val="00C57D29"/>
    <w:rsid w:val="00C600A1"/>
    <w:rsid w:val="00C60437"/>
    <w:rsid w:val="00C606F4"/>
    <w:rsid w:val="00C60AAB"/>
    <w:rsid w:val="00C60B13"/>
    <w:rsid w:val="00C610BA"/>
    <w:rsid w:val="00C61888"/>
    <w:rsid w:val="00C61C98"/>
    <w:rsid w:val="00C62543"/>
    <w:rsid w:val="00C62CE5"/>
    <w:rsid w:val="00C63788"/>
    <w:rsid w:val="00C63A2B"/>
    <w:rsid w:val="00C63A7B"/>
    <w:rsid w:val="00C64ADA"/>
    <w:rsid w:val="00C65494"/>
    <w:rsid w:val="00C6556A"/>
    <w:rsid w:val="00C658BF"/>
    <w:rsid w:val="00C65B1D"/>
    <w:rsid w:val="00C65DC1"/>
    <w:rsid w:val="00C6621C"/>
    <w:rsid w:val="00C66358"/>
    <w:rsid w:val="00C663B0"/>
    <w:rsid w:val="00C668EC"/>
    <w:rsid w:val="00C700E2"/>
    <w:rsid w:val="00C704B3"/>
    <w:rsid w:val="00C706DE"/>
    <w:rsid w:val="00C71088"/>
    <w:rsid w:val="00C71094"/>
    <w:rsid w:val="00C71372"/>
    <w:rsid w:val="00C7139F"/>
    <w:rsid w:val="00C7154C"/>
    <w:rsid w:val="00C71666"/>
    <w:rsid w:val="00C71AA4"/>
    <w:rsid w:val="00C72196"/>
    <w:rsid w:val="00C724B9"/>
    <w:rsid w:val="00C725C2"/>
    <w:rsid w:val="00C72823"/>
    <w:rsid w:val="00C73534"/>
    <w:rsid w:val="00C7401F"/>
    <w:rsid w:val="00C7409E"/>
    <w:rsid w:val="00C746A9"/>
    <w:rsid w:val="00C7497C"/>
    <w:rsid w:val="00C74DB4"/>
    <w:rsid w:val="00C75003"/>
    <w:rsid w:val="00C7554E"/>
    <w:rsid w:val="00C756DC"/>
    <w:rsid w:val="00C75AB3"/>
    <w:rsid w:val="00C760BC"/>
    <w:rsid w:val="00C7660C"/>
    <w:rsid w:val="00C76EA2"/>
    <w:rsid w:val="00C7700B"/>
    <w:rsid w:val="00C7703C"/>
    <w:rsid w:val="00C7752D"/>
    <w:rsid w:val="00C77907"/>
    <w:rsid w:val="00C77ACB"/>
    <w:rsid w:val="00C77D1F"/>
    <w:rsid w:val="00C807C8"/>
    <w:rsid w:val="00C812A3"/>
    <w:rsid w:val="00C81321"/>
    <w:rsid w:val="00C81483"/>
    <w:rsid w:val="00C816B4"/>
    <w:rsid w:val="00C81BA7"/>
    <w:rsid w:val="00C81F76"/>
    <w:rsid w:val="00C825B7"/>
    <w:rsid w:val="00C8260E"/>
    <w:rsid w:val="00C82927"/>
    <w:rsid w:val="00C8292F"/>
    <w:rsid w:val="00C82C50"/>
    <w:rsid w:val="00C83290"/>
    <w:rsid w:val="00C836F8"/>
    <w:rsid w:val="00C83B5C"/>
    <w:rsid w:val="00C83DA6"/>
    <w:rsid w:val="00C841C4"/>
    <w:rsid w:val="00C846BC"/>
    <w:rsid w:val="00C847DB"/>
    <w:rsid w:val="00C84BE0"/>
    <w:rsid w:val="00C850C0"/>
    <w:rsid w:val="00C8528F"/>
    <w:rsid w:val="00C85BFC"/>
    <w:rsid w:val="00C85E0B"/>
    <w:rsid w:val="00C860E6"/>
    <w:rsid w:val="00C86337"/>
    <w:rsid w:val="00C865D8"/>
    <w:rsid w:val="00C87257"/>
    <w:rsid w:val="00C8748D"/>
    <w:rsid w:val="00C8749C"/>
    <w:rsid w:val="00C875F2"/>
    <w:rsid w:val="00C87822"/>
    <w:rsid w:val="00C878F1"/>
    <w:rsid w:val="00C8790F"/>
    <w:rsid w:val="00C87FAC"/>
    <w:rsid w:val="00C9068F"/>
    <w:rsid w:val="00C9133E"/>
    <w:rsid w:val="00C92090"/>
    <w:rsid w:val="00C924AE"/>
    <w:rsid w:val="00C9259F"/>
    <w:rsid w:val="00C92B58"/>
    <w:rsid w:val="00C92CB2"/>
    <w:rsid w:val="00C92E03"/>
    <w:rsid w:val="00C939CB"/>
    <w:rsid w:val="00C93AAE"/>
    <w:rsid w:val="00C93FD6"/>
    <w:rsid w:val="00C9421A"/>
    <w:rsid w:val="00C945D9"/>
    <w:rsid w:val="00C947B2"/>
    <w:rsid w:val="00C94CF1"/>
    <w:rsid w:val="00C95125"/>
    <w:rsid w:val="00C95594"/>
    <w:rsid w:val="00C95B31"/>
    <w:rsid w:val="00C95EA0"/>
    <w:rsid w:val="00C964FA"/>
    <w:rsid w:val="00C965E5"/>
    <w:rsid w:val="00C96D7D"/>
    <w:rsid w:val="00C9765E"/>
    <w:rsid w:val="00CA048D"/>
    <w:rsid w:val="00CA05FF"/>
    <w:rsid w:val="00CA08F2"/>
    <w:rsid w:val="00CA11C3"/>
    <w:rsid w:val="00CA148D"/>
    <w:rsid w:val="00CA157E"/>
    <w:rsid w:val="00CA2087"/>
    <w:rsid w:val="00CA24A7"/>
    <w:rsid w:val="00CA3330"/>
    <w:rsid w:val="00CA3597"/>
    <w:rsid w:val="00CA3DC7"/>
    <w:rsid w:val="00CA40E3"/>
    <w:rsid w:val="00CA5118"/>
    <w:rsid w:val="00CA5602"/>
    <w:rsid w:val="00CA5723"/>
    <w:rsid w:val="00CA5BFB"/>
    <w:rsid w:val="00CA5E37"/>
    <w:rsid w:val="00CA6000"/>
    <w:rsid w:val="00CA6974"/>
    <w:rsid w:val="00CA6E3D"/>
    <w:rsid w:val="00CA702F"/>
    <w:rsid w:val="00CA7594"/>
    <w:rsid w:val="00CA75A2"/>
    <w:rsid w:val="00CB04F5"/>
    <w:rsid w:val="00CB0553"/>
    <w:rsid w:val="00CB08E9"/>
    <w:rsid w:val="00CB0E75"/>
    <w:rsid w:val="00CB13F2"/>
    <w:rsid w:val="00CB1503"/>
    <w:rsid w:val="00CB16B6"/>
    <w:rsid w:val="00CB21D5"/>
    <w:rsid w:val="00CB24E9"/>
    <w:rsid w:val="00CB2AFB"/>
    <w:rsid w:val="00CB2C72"/>
    <w:rsid w:val="00CB3434"/>
    <w:rsid w:val="00CB3D02"/>
    <w:rsid w:val="00CB3D1D"/>
    <w:rsid w:val="00CB4303"/>
    <w:rsid w:val="00CB457F"/>
    <w:rsid w:val="00CB4698"/>
    <w:rsid w:val="00CB4DA5"/>
    <w:rsid w:val="00CB4F5C"/>
    <w:rsid w:val="00CB509E"/>
    <w:rsid w:val="00CB635E"/>
    <w:rsid w:val="00CB63E3"/>
    <w:rsid w:val="00CB64E2"/>
    <w:rsid w:val="00CB6583"/>
    <w:rsid w:val="00CB6C66"/>
    <w:rsid w:val="00CB6E7E"/>
    <w:rsid w:val="00CB715E"/>
    <w:rsid w:val="00CB73C1"/>
    <w:rsid w:val="00CB7860"/>
    <w:rsid w:val="00CB7A78"/>
    <w:rsid w:val="00CB7D20"/>
    <w:rsid w:val="00CB7FC8"/>
    <w:rsid w:val="00CC0549"/>
    <w:rsid w:val="00CC061B"/>
    <w:rsid w:val="00CC1024"/>
    <w:rsid w:val="00CC134F"/>
    <w:rsid w:val="00CC1586"/>
    <w:rsid w:val="00CC1A00"/>
    <w:rsid w:val="00CC2E6C"/>
    <w:rsid w:val="00CC3007"/>
    <w:rsid w:val="00CC3A0A"/>
    <w:rsid w:val="00CC3A93"/>
    <w:rsid w:val="00CC3B82"/>
    <w:rsid w:val="00CC3BD8"/>
    <w:rsid w:val="00CC402F"/>
    <w:rsid w:val="00CC4187"/>
    <w:rsid w:val="00CC41A2"/>
    <w:rsid w:val="00CC4242"/>
    <w:rsid w:val="00CC47A6"/>
    <w:rsid w:val="00CC49BD"/>
    <w:rsid w:val="00CC4AB5"/>
    <w:rsid w:val="00CC5024"/>
    <w:rsid w:val="00CC5339"/>
    <w:rsid w:val="00CC566D"/>
    <w:rsid w:val="00CC5DA3"/>
    <w:rsid w:val="00CC5EB2"/>
    <w:rsid w:val="00CC5F8C"/>
    <w:rsid w:val="00CC62D5"/>
    <w:rsid w:val="00CC69E8"/>
    <w:rsid w:val="00CC6E0D"/>
    <w:rsid w:val="00CC6F38"/>
    <w:rsid w:val="00CC6F5D"/>
    <w:rsid w:val="00CC6F72"/>
    <w:rsid w:val="00CC7469"/>
    <w:rsid w:val="00CC7585"/>
    <w:rsid w:val="00CC79C6"/>
    <w:rsid w:val="00CC7C69"/>
    <w:rsid w:val="00CD0522"/>
    <w:rsid w:val="00CD0709"/>
    <w:rsid w:val="00CD097E"/>
    <w:rsid w:val="00CD0DD0"/>
    <w:rsid w:val="00CD105D"/>
    <w:rsid w:val="00CD12C6"/>
    <w:rsid w:val="00CD156F"/>
    <w:rsid w:val="00CD1868"/>
    <w:rsid w:val="00CD19CE"/>
    <w:rsid w:val="00CD1FC1"/>
    <w:rsid w:val="00CD2DB0"/>
    <w:rsid w:val="00CD3108"/>
    <w:rsid w:val="00CD32E7"/>
    <w:rsid w:val="00CD38A2"/>
    <w:rsid w:val="00CD3C2A"/>
    <w:rsid w:val="00CD3EBE"/>
    <w:rsid w:val="00CD439F"/>
    <w:rsid w:val="00CD48BD"/>
    <w:rsid w:val="00CD4AB6"/>
    <w:rsid w:val="00CD4C13"/>
    <w:rsid w:val="00CD5043"/>
    <w:rsid w:val="00CD54D7"/>
    <w:rsid w:val="00CD54FD"/>
    <w:rsid w:val="00CD581E"/>
    <w:rsid w:val="00CD5958"/>
    <w:rsid w:val="00CD5B55"/>
    <w:rsid w:val="00CD6CC0"/>
    <w:rsid w:val="00CD6F1F"/>
    <w:rsid w:val="00CD7523"/>
    <w:rsid w:val="00CD7576"/>
    <w:rsid w:val="00CD794C"/>
    <w:rsid w:val="00CD7AA4"/>
    <w:rsid w:val="00CE01B6"/>
    <w:rsid w:val="00CE0B17"/>
    <w:rsid w:val="00CE0F3F"/>
    <w:rsid w:val="00CE1091"/>
    <w:rsid w:val="00CE1222"/>
    <w:rsid w:val="00CE1A5A"/>
    <w:rsid w:val="00CE2110"/>
    <w:rsid w:val="00CE2177"/>
    <w:rsid w:val="00CE279E"/>
    <w:rsid w:val="00CE28A9"/>
    <w:rsid w:val="00CE2BC1"/>
    <w:rsid w:val="00CE2C9A"/>
    <w:rsid w:val="00CE39B2"/>
    <w:rsid w:val="00CE39F4"/>
    <w:rsid w:val="00CE3DE8"/>
    <w:rsid w:val="00CE41D5"/>
    <w:rsid w:val="00CE4A44"/>
    <w:rsid w:val="00CE4A9C"/>
    <w:rsid w:val="00CE4D87"/>
    <w:rsid w:val="00CE4DF4"/>
    <w:rsid w:val="00CE5AE7"/>
    <w:rsid w:val="00CE6559"/>
    <w:rsid w:val="00CE6D78"/>
    <w:rsid w:val="00CE6F6B"/>
    <w:rsid w:val="00CE7A58"/>
    <w:rsid w:val="00CE7B16"/>
    <w:rsid w:val="00CE7F81"/>
    <w:rsid w:val="00CF006E"/>
    <w:rsid w:val="00CF01D9"/>
    <w:rsid w:val="00CF08EE"/>
    <w:rsid w:val="00CF09E3"/>
    <w:rsid w:val="00CF0A83"/>
    <w:rsid w:val="00CF1453"/>
    <w:rsid w:val="00CF167B"/>
    <w:rsid w:val="00CF18DA"/>
    <w:rsid w:val="00CF1B46"/>
    <w:rsid w:val="00CF219E"/>
    <w:rsid w:val="00CF226B"/>
    <w:rsid w:val="00CF277B"/>
    <w:rsid w:val="00CF2DBC"/>
    <w:rsid w:val="00CF4079"/>
    <w:rsid w:val="00CF427D"/>
    <w:rsid w:val="00CF451F"/>
    <w:rsid w:val="00CF4947"/>
    <w:rsid w:val="00CF52A8"/>
    <w:rsid w:val="00CF56E7"/>
    <w:rsid w:val="00CF56FF"/>
    <w:rsid w:val="00CF5BC5"/>
    <w:rsid w:val="00CF5ED5"/>
    <w:rsid w:val="00CF6B9B"/>
    <w:rsid w:val="00CF7095"/>
    <w:rsid w:val="00CF7343"/>
    <w:rsid w:val="00CF7555"/>
    <w:rsid w:val="00CF76B5"/>
    <w:rsid w:val="00CF79C5"/>
    <w:rsid w:val="00CF7E0E"/>
    <w:rsid w:val="00D0078C"/>
    <w:rsid w:val="00D0083A"/>
    <w:rsid w:val="00D0087D"/>
    <w:rsid w:val="00D00F91"/>
    <w:rsid w:val="00D01124"/>
    <w:rsid w:val="00D01201"/>
    <w:rsid w:val="00D01BD1"/>
    <w:rsid w:val="00D01EE5"/>
    <w:rsid w:val="00D0201F"/>
    <w:rsid w:val="00D02230"/>
    <w:rsid w:val="00D023CB"/>
    <w:rsid w:val="00D023F9"/>
    <w:rsid w:val="00D02469"/>
    <w:rsid w:val="00D02498"/>
    <w:rsid w:val="00D02BFC"/>
    <w:rsid w:val="00D02C8D"/>
    <w:rsid w:val="00D0358E"/>
    <w:rsid w:val="00D03764"/>
    <w:rsid w:val="00D03A1E"/>
    <w:rsid w:val="00D03A49"/>
    <w:rsid w:val="00D03B01"/>
    <w:rsid w:val="00D041D9"/>
    <w:rsid w:val="00D04349"/>
    <w:rsid w:val="00D047C0"/>
    <w:rsid w:val="00D04885"/>
    <w:rsid w:val="00D04FF0"/>
    <w:rsid w:val="00D052AB"/>
    <w:rsid w:val="00D052E2"/>
    <w:rsid w:val="00D05B32"/>
    <w:rsid w:val="00D06080"/>
    <w:rsid w:val="00D06462"/>
    <w:rsid w:val="00D07472"/>
    <w:rsid w:val="00D07680"/>
    <w:rsid w:val="00D079DB"/>
    <w:rsid w:val="00D102F9"/>
    <w:rsid w:val="00D10314"/>
    <w:rsid w:val="00D1082E"/>
    <w:rsid w:val="00D10904"/>
    <w:rsid w:val="00D109CD"/>
    <w:rsid w:val="00D10FCC"/>
    <w:rsid w:val="00D10FF2"/>
    <w:rsid w:val="00D110AF"/>
    <w:rsid w:val="00D11188"/>
    <w:rsid w:val="00D11C05"/>
    <w:rsid w:val="00D1270C"/>
    <w:rsid w:val="00D12750"/>
    <w:rsid w:val="00D12CEC"/>
    <w:rsid w:val="00D12DFB"/>
    <w:rsid w:val="00D13553"/>
    <w:rsid w:val="00D135CE"/>
    <w:rsid w:val="00D13A54"/>
    <w:rsid w:val="00D13E21"/>
    <w:rsid w:val="00D140D2"/>
    <w:rsid w:val="00D148CC"/>
    <w:rsid w:val="00D14ED5"/>
    <w:rsid w:val="00D1535D"/>
    <w:rsid w:val="00D15C87"/>
    <w:rsid w:val="00D160FE"/>
    <w:rsid w:val="00D16453"/>
    <w:rsid w:val="00D1668A"/>
    <w:rsid w:val="00D1704C"/>
    <w:rsid w:val="00D171D2"/>
    <w:rsid w:val="00D17201"/>
    <w:rsid w:val="00D179E9"/>
    <w:rsid w:val="00D17BA6"/>
    <w:rsid w:val="00D17C8F"/>
    <w:rsid w:val="00D2012D"/>
    <w:rsid w:val="00D20493"/>
    <w:rsid w:val="00D208E1"/>
    <w:rsid w:val="00D20AC9"/>
    <w:rsid w:val="00D21238"/>
    <w:rsid w:val="00D21912"/>
    <w:rsid w:val="00D222A5"/>
    <w:rsid w:val="00D222E8"/>
    <w:rsid w:val="00D22527"/>
    <w:rsid w:val="00D22574"/>
    <w:rsid w:val="00D225D6"/>
    <w:rsid w:val="00D228CF"/>
    <w:rsid w:val="00D22BB9"/>
    <w:rsid w:val="00D22FB5"/>
    <w:rsid w:val="00D231AE"/>
    <w:rsid w:val="00D232D6"/>
    <w:rsid w:val="00D23631"/>
    <w:rsid w:val="00D239C2"/>
    <w:rsid w:val="00D23C37"/>
    <w:rsid w:val="00D23E63"/>
    <w:rsid w:val="00D23E95"/>
    <w:rsid w:val="00D2429E"/>
    <w:rsid w:val="00D24806"/>
    <w:rsid w:val="00D2496A"/>
    <w:rsid w:val="00D24AD7"/>
    <w:rsid w:val="00D253BA"/>
    <w:rsid w:val="00D25787"/>
    <w:rsid w:val="00D2579F"/>
    <w:rsid w:val="00D25873"/>
    <w:rsid w:val="00D25A89"/>
    <w:rsid w:val="00D26433"/>
    <w:rsid w:val="00D2671C"/>
    <w:rsid w:val="00D267BA"/>
    <w:rsid w:val="00D267C5"/>
    <w:rsid w:val="00D26CE2"/>
    <w:rsid w:val="00D26EA9"/>
    <w:rsid w:val="00D27EC7"/>
    <w:rsid w:val="00D27FE9"/>
    <w:rsid w:val="00D30486"/>
    <w:rsid w:val="00D30758"/>
    <w:rsid w:val="00D30E02"/>
    <w:rsid w:val="00D30EE7"/>
    <w:rsid w:val="00D30F11"/>
    <w:rsid w:val="00D30F9F"/>
    <w:rsid w:val="00D3104C"/>
    <w:rsid w:val="00D310EE"/>
    <w:rsid w:val="00D315D8"/>
    <w:rsid w:val="00D31E02"/>
    <w:rsid w:val="00D31F97"/>
    <w:rsid w:val="00D32736"/>
    <w:rsid w:val="00D32823"/>
    <w:rsid w:val="00D3297C"/>
    <w:rsid w:val="00D32A8D"/>
    <w:rsid w:val="00D32D9F"/>
    <w:rsid w:val="00D32FC1"/>
    <w:rsid w:val="00D332D0"/>
    <w:rsid w:val="00D33486"/>
    <w:rsid w:val="00D33F88"/>
    <w:rsid w:val="00D344EC"/>
    <w:rsid w:val="00D34DB1"/>
    <w:rsid w:val="00D3523F"/>
    <w:rsid w:val="00D3588E"/>
    <w:rsid w:val="00D36659"/>
    <w:rsid w:val="00D367F8"/>
    <w:rsid w:val="00D36B21"/>
    <w:rsid w:val="00D36BB6"/>
    <w:rsid w:val="00D36FE6"/>
    <w:rsid w:val="00D37107"/>
    <w:rsid w:val="00D375A0"/>
    <w:rsid w:val="00D3775A"/>
    <w:rsid w:val="00D37829"/>
    <w:rsid w:val="00D40826"/>
    <w:rsid w:val="00D40D83"/>
    <w:rsid w:val="00D41050"/>
    <w:rsid w:val="00D41360"/>
    <w:rsid w:val="00D41771"/>
    <w:rsid w:val="00D417A6"/>
    <w:rsid w:val="00D419A7"/>
    <w:rsid w:val="00D41A87"/>
    <w:rsid w:val="00D41CAD"/>
    <w:rsid w:val="00D41D7B"/>
    <w:rsid w:val="00D420ED"/>
    <w:rsid w:val="00D4227E"/>
    <w:rsid w:val="00D42366"/>
    <w:rsid w:val="00D426C2"/>
    <w:rsid w:val="00D4289E"/>
    <w:rsid w:val="00D42A84"/>
    <w:rsid w:val="00D42BBF"/>
    <w:rsid w:val="00D430D8"/>
    <w:rsid w:val="00D434EC"/>
    <w:rsid w:val="00D43505"/>
    <w:rsid w:val="00D43555"/>
    <w:rsid w:val="00D4367E"/>
    <w:rsid w:val="00D436BF"/>
    <w:rsid w:val="00D43853"/>
    <w:rsid w:val="00D43FE3"/>
    <w:rsid w:val="00D446D0"/>
    <w:rsid w:val="00D44DF2"/>
    <w:rsid w:val="00D44F76"/>
    <w:rsid w:val="00D451E9"/>
    <w:rsid w:val="00D45374"/>
    <w:rsid w:val="00D4574B"/>
    <w:rsid w:val="00D4580F"/>
    <w:rsid w:val="00D45981"/>
    <w:rsid w:val="00D45DE8"/>
    <w:rsid w:val="00D4629F"/>
    <w:rsid w:val="00D4674E"/>
    <w:rsid w:val="00D46DBC"/>
    <w:rsid w:val="00D47031"/>
    <w:rsid w:val="00D474AC"/>
    <w:rsid w:val="00D4762C"/>
    <w:rsid w:val="00D47645"/>
    <w:rsid w:val="00D4766A"/>
    <w:rsid w:val="00D50388"/>
    <w:rsid w:val="00D509B4"/>
    <w:rsid w:val="00D50E49"/>
    <w:rsid w:val="00D51731"/>
    <w:rsid w:val="00D5288F"/>
    <w:rsid w:val="00D5293D"/>
    <w:rsid w:val="00D53061"/>
    <w:rsid w:val="00D5426F"/>
    <w:rsid w:val="00D545F6"/>
    <w:rsid w:val="00D55A5A"/>
    <w:rsid w:val="00D56DCC"/>
    <w:rsid w:val="00D571A3"/>
    <w:rsid w:val="00D57262"/>
    <w:rsid w:val="00D57777"/>
    <w:rsid w:val="00D57A39"/>
    <w:rsid w:val="00D57E20"/>
    <w:rsid w:val="00D60A6D"/>
    <w:rsid w:val="00D615B5"/>
    <w:rsid w:val="00D6168D"/>
    <w:rsid w:val="00D61862"/>
    <w:rsid w:val="00D61E41"/>
    <w:rsid w:val="00D62165"/>
    <w:rsid w:val="00D624CA"/>
    <w:rsid w:val="00D62CD0"/>
    <w:rsid w:val="00D62D9E"/>
    <w:rsid w:val="00D62DF1"/>
    <w:rsid w:val="00D632AF"/>
    <w:rsid w:val="00D639AE"/>
    <w:rsid w:val="00D63F66"/>
    <w:rsid w:val="00D64620"/>
    <w:rsid w:val="00D64656"/>
    <w:rsid w:val="00D6482D"/>
    <w:rsid w:val="00D65049"/>
    <w:rsid w:val="00D66650"/>
    <w:rsid w:val="00D66808"/>
    <w:rsid w:val="00D66C73"/>
    <w:rsid w:val="00D66EF7"/>
    <w:rsid w:val="00D67252"/>
    <w:rsid w:val="00D675FA"/>
    <w:rsid w:val="00D67A81"/>
    <w:rsid w:val="00D67AAE"/>
    <w:rsid w:val="00D67B6E"/>
    <w:rsid w:val="00D70011"/>
    <w:rsid w:val="00D70028"/>
    <w:rsid w:val="00D70216"/>
    <w:rsid w:val="00D7055F"/>
    <w:rsid w:val="00D705D8"/>
    <w:rsid w:val="00D70FB9"/>
    <w:rsid w:val="00D710F4"/>
    <w:rsid w:val="00D717CD"/>
    <w:rsid w:val="00D717D6"/>
    <w:rsid w:val="00D71CD1"/>
    <w:rsid w:val="00D72312"/>
    <w:rsid w:val="00D725AE"/>
    <w:rsid w:val="00D72FAE"/>
    <w:rsid w:val="00D734A5"/>
    <w:rsid w:val="00D7399D"/>
    <w:rsid w:val="00D73B48"/>
    <w:rsid w:val="00D73F16"/>
    <w:rsid w:val="00D74480"/>
    <w:rsid w:val="00D74638"/>
    <w:rsid w:val="00D746BA"/>
    <w:rsid w:val="00D749F3"/>
    <w:rsid w:val="00D74A37"/>
    <w:rsid w:val="00D74DD7"/>
    <w:rsid w:val="00D7505C"/>
    <w:rsid w:val="00D7507E"/>
    <w:rsid w:val="00D75463"/>
    <w:rsid w:val="00D75AC1"/>
    <w:rsid w:val="00D76302"/>
    <w:rsid w:val="00D77549"/>
    <w:rsid w:val="00D7756D"/>
    <w:rsid w:val="00D77D29"/>
    <w:rsid w:val="00D807F8"/>
    <w:rsid w:val="00D819F6"/>
    <w:rsid w:val="00D81C90"/>
    <w:rsid w:val="00D81F86"/>
    <w:rsid w:val="00D8249A"/>
    <w:rsid w:val="00D82616"/>
    <w:rsid w:val="00D82E35"/>
    <w:rsid w:val="00D83176"/>
    <w:rsid w:val="00D8331E"/>
    <w:rsid w:val="00D837AE"/>
    <w:rsid w:val="00D83F6B"/>
    <w:rsid w:val="00D8450E"/>
    <w:rsid w:val="00D84975"/>
    <w:rsid w:val="00D84CFB"/>
    <w:rsid w:val="00D84D29"/>
    <w:rsid w:val="00D85024"/>
    <w:rsid w:val="00D8595C"/>
    <w:rsid w:val="00D87327"/>
    <w:rsid w:val="00D875AB"/>
    <w:rsid w:val="00D87B84"/>
    <w:rsid w:val="00D9027C"/>
    <w:rsid w:val="00D9094F"/>
    <w:rsid w:val="00D909FE"/>
    <w:rsid w:val="00D90B76"/>
    <w:rsid w:val="00D90ED4"/>
    <w:rsid w:val="00D910D9"/>
    <w:rsid w:val="00D912A2"/>
    <w:rsid w:val="00D91360"/>
    <w:rsid w:val="00D91EA4"/>
    <w:rsid w:val="00D91F90"/>
    <w:rsid w:val="00D9211D"/>
    <w:rsid w:val="00D922D5"/>
    <w:rsid w:val="00D92759"/>
    <w:rsid w:val="00D92AD5"/>
    <w:rsid w:val="00D92F16"/>
    <w:rsid w:val="00D92FD9"/>
    <w:rsid w:val="00D9318C"/>
    <w:rsid w:val="00D93752"/>
    <w:rsid w:val="00D94080"/>
    <w:rsid w:val="00D940DA"/>
    <w:rsid w:val="00D949B1"/>
    <w:rsid w:val="00D94D0A"/>
    <w:rsid w:val="00D95D68"/>
    <w:rsid w:val="00D961AC"/>
    <w:rsid w:val="00D968FD"/>
    <w:rsid w:val="00D9690A"/>
    <w:rsid w:val="00D972EE"/>
    <w:rsid w:val="00D97526"/>
    <w:rsid w:val="00D97B77"/>
    <w:rsid w:val="00D97ED2"/>
    <w:rsid w:val="00DA02F9"/>
    <w:rsid w:val="00DA0C99"/>
    <w:rsid w:val="00DA0D07"/>
    <w:rsid w:val="00DA0FB9"/>
    <w:rsid w:val="00DA19B7"/>
    <w:rsid w:val="00DA1DAB"/>
    <w:rsid w:val="00DA1ED0"/>
    <w:rsid w:val="00DA1F6D"/>
    <w:rsid w:val="00DA2017"/>
    <w:rsid w:val="00DA2077"/>
    <w:rsid w:val="00DA24E4"/>
    <w:rsid w:val="00DA2504"/>
    <w:rsid w:val="00DA2667"/>
    <w:rsid w:val="00DA2692"/>
    <w:rsid w:val="00DA26EC"/>
    <w:rsid w:val="00DA26F5"/>
    <w:rsid w:val="00DA2743"/>
    <w:rsid w:val="00DA2BB3"/>
    <w:rsid w:val="00DA309F"/>
    <w:rsid w:val="00DA339E"/>
    <w:rsid w:val="00DA4874"/>
    <w:rsid w:val="00DA49B7"/>
    <w:rsid w:val="00DA4BDA"/>
    <w:rsid w:val="00DA5BCD"/>
    <w:rsid w:val="00DA6419"/>
    <w:rsid w:val="00DA6662"/>
    <w:rsid w:val="00DA691B"/>
    <w:rsid w:val="00DA69A0"/>
    <w:rsid w:val="00DA6AE5"/>
    <w:rsid w:val="00DA7D07"/>
    <w:rsid w:val="00DB0014"/>
    <w:rsid w:val="00DB058D"/>
    <w:rsid w:val="00DB06AA"/>
    <w:rsid w:val="00DB097D"/>
    <w:rsid w:val="00DB0D74"/>
    <w:rsid w:val="00DB1531"/>
    <w:rsid w:val="00DB16EA"/>
    <w:rsid w:val="00DB1787"/>
    <w:rsid w:val="00DB186B"/>
    <w:rsid w:val="00DB1B79"/>
    <w:rsid w:val="00DB1C54"/>
    <w:rsid w:val="00DB2B01"/>
    <w:rsid w:val="00DB2DF3"/>
    <w:rsid w:val="00DB34F4"/>
    <w:rsid w:val="00DB3956"/>
    <w:rsid w:val="00DB4FC0"/>
    <w:rsid w:val="00DB52D9"/>
    <w:rsid w:val="00DB536C"/>
    <w:rsid w:val="00DB5D47"/>
    <w:rsid w:val="00DC0129"/>
    <w:rsid w:val="00DC01B4"/>
    <w:rsid w:val="00DC01FB"/>
    <w:rsid w:val="00DC02FE"/>
    <w:rsid w:val="00DC07B1"/>
    <w:rsid w:val="00DC09D9"/>
    <w:rsid w:val="00DC1405"/>
    <w:rsid w:val="00DC219C"/>
    <w:rsid w:val="00DC2626"/>
    <w:rsid w:val="00DC2AA6"/>
    <w:rsid w:val="00DC2D57"/>
    <w:rsid w:val="00DC2EAD"/>
    <w:rsid w:val="00DC306E"/>
    <w:rsid w:val="00DC30B5"/>
    <w:rsid w:val="00DC3AA1"/>
    <w:rsid w:val="00DC3D5E"/>
    <w:rsid w:val="00DC481F"/>
    <w:rsid w:val="00DC48B8"/>
    <w:rsid w:val="00DC4A07"/>
    <w:rsid w:val="00DC500A"/>
    <w:rsid w:val="00DC5031"/>
    <w:rsid w:val="00DC5D9E"/>
    <w:rsid w:val="00DC5FF4"/>
    <w:rsid w:val="00DC628C"/>
    <w:rsid w:val="00DC6A3F"/>
    <w:rsid w:val="00DC6AC3"/>
    <w:rsid w:val="00DC6E34"/>
    <w:rsid w:val="00DC71C4"/>
    <w:rsid w:val="00DC71F6"/>
    <w:rsid w:val="00DC74EC"/>
    <w:rsid w:val="00DC7ED0"/>
    <w:rsid w:val="00DD0487"/>
    <w:rsid w:val="00DD09E0"/>
    <w:rsid w:val="00DD0BFA"/>
    <w:rsid w:val="00DD15BD"/>
    <w:rsid w:val="00DD164D"/>
    <w:rsid w:val="00DD1A09"/>
    <w:rsid w:val="00DD1F66"/>
    <w:rsid w:val="00DD2179"/>
    <w:rsid w:val="00DD221E"/>
    <w:rsid w:val="00DD26FF"/>
    <w:rsid w:val="00DD29FF"/>
    <w:rsid w:val="00DD2D63"/>
    <w:rsid w:val="00DD3015"/>
    <w:rsid w:val="00DD4014"/>
    <w:rsid w:val="00DD451C"/>
    <w:rsid w:val="00DD466F"/>
    <w:rsid w:val="00DD47A2"/>
    <w:rsid w:val="00DD4ECD"/>
    <w:rsid w:val="00DD4FE2"/>
    <w:rsid w:val="00DD57D7"/>
    <w:rsid w:val="00DD57FD"/>
    <w:rsid w:val="00DD5B8A"/>
    <w:rsid w:val="00DD5E7C"/>
    <w:rsid w:val="00DD6975"/>
    <w:rsid w:val="00DD71A8"/>
    <w:rsid w:val="00DD71D8"/>
    <w:rsid w:val="00DD7216"/>
    <w:rsid w:val="00DD7607"/>
    <w:rsid w:val="00DD7A9F"/>
    <w:rsid w:val="00DE0196"/>
    <w:rsid w:val="00DE051D"/>
    <w:rsid w:val="00DE065D"/>
    <w:rsid w:val="00DE0E8F"/>
    <w:rsid w:val="00DE1100"/>
    <w:rsid w:val="00DE1333"/>
    <w:rsid w:val="00DE13AA"/>
    <w:rsid w:val="00DE18E0"/>
    <w:rsid w:val="00DE1CB1"/>
    <w:rsid w:val="00DE1FF6"/>
    <w:rsid w:val="00DE26D1"/>
    <w:rsid w:val="00DE26E2"/>
    <w:rsid w:val="00DE27DC"/>
    <w:rsid w:val="00DE2D87"/>
    <w:rsid w:val="00DE2FFA"/>
    <w:rsid w:val="00DE3033"/>
    <w:rsid w:val="00DE34FE"/>
    <w:rsid w:val="00DE3781"/>
    <w:rsid w:val="00DE388F"/>
    <w:rsid w:val="00DE4A13"/>
    <w:rsid w:val="00DE4DAB"/>
    <w:rsid w:val="00DE5498"/>
    <w:rsid w:val="00DE58F9"/>
    <w:rsid w:val="00DE5A4F"/>
    <w:rsid w:val="00DE5E92"/>
    <w:rsid w:val="00DE614E"/>
    <w:rsid w:val="00DE6243"/>
    <w:rsid w:val="00DE6245"/>
    <w:rsid w:val="00DE6254"/>
    <w:rsid w:val="00DE64CA"/>
    <w:rsid w:val="00DE6C2E"/>
    <w:rsid w:val="00DE6D22"/>
    <w:rsid w:val="00DE7C80"/>
    <w:rsid w:val="00DF028B"/>
    <w:rsid w:val="00DF0B6A"/>
    <w:rsid w:val="00DF0DED"/>
    <w:rsid w:val="00DF0F59"/>
    <w:rsid w:val="00DF19D3"/>
    <w:rsid w:val="00DF267E"/>
    <w:rsid w:val="00DF2808"/>
    <w:rsid w:val="00DF2D2A"/>
    <w:rsid w:val="00DF2ECC"/>
    <w:rsid w:val="00DF350C"/>
    <w:rsid w:val="00DF3B36"/>
    <w:rsid w:val="00DF3BDA"/>
    <w:rsid w:val="00DF3DA6"/>
    <w:rsid w:val="00DF4014"/>
    <w:rsid w:val="00DF441E"/>
    <w:rsid w:val="00DF44B0"/>
    <w:rsid w:val="00DF4642"/>
    <w:rsid w:val="00DF47F2"/>
    <w:rsid w:val="00DF4C46"/>
    <w:rsid w:val="00DF4EE6"/>
    <w:rsid w:val="00DF4FDD"/>
    <w:rsid w:val="00DF554A"/>
    <w:rsid w:val="00DF58A1"/>
    <w:rsid w:val="00DF6894"/>
    <w:rsid w:val="00DF6E3D"/>
    <w:rsid w:val="00DF72A3"/>
    <w:rsid w:val="00DF7A25"/>
    <w:rsid w:val="00DF7C6C"/>
    <w:rsid w:val="00E00664"/>
    <w:rsid w:val="00E008A9"/>
    <w:rsid w:val="00E00B30"/>
    <w:rsid w:val="00E01868"/>
    <w:rsid w:val="00E01A94"/>
    <w:rsid w:val="00E01AEA"/>
    <w:rsid w:val="00E02AF6"/>
    <w:rsid w:val="00E0386F"/>
    <w:rsid w:val="00E03B85"/>
    <w:rsid w:val="00E03E53"/>
    <w:rsid w:val="00E03EDB"/>
    <w:rsid w:val="00E03F97"/>
    <w:rsid w:val="00E04026"/>
    <w:rsid w:val="00E0409B"/>
    <w:rsid w:val="00E05933"/>
    <w:rsid w:val="00E05B8A"/>
    <w:rsid w:val="00E05F55"/>
    <w:rsid w:val="00E0663D"/>
    <w:rsid w:val="00E06A5F"/>
    <w:rsid w:val="00E06A9D"/>
    <w:rsid w:val="00E07262"/>
    <w:rsid w:val="00E072AA"/>
    <w:rsid w:val="00E07C07"/>
    <w:rsid w:val="00E10004"/>
    <w:rsid w:val="00E10296"/>
    <w:rsid w:val="00E108B6"/>
    <w:rsid w:val="00E10B6D"/>
    <w:rsid w:val="00E11352"/>
    <w:rsid w:val="00E113B8"/>
    <w:rsid w:val="00E116B6"/>
    <w:rsid w:val="00E11A2A"/>
    <w:rsid w:val="00E1278A"/>
    <w:rsid w:val="00E12BB1"/>
    <w:rsid w:val="00E12D79"/>
    <w:rsid w:val="00E12F26"/>
    <w:rsid w:val="00E12F2F"/>
    <w:rsid w:val="00E13346"/>
    <w:rsid w:val="00E13DA3"/>
    <w:rsid w:val="00E140C0"/>
    <w:rsid w:val="00E1412E"/>
    <w:rsid w:val="00E14A54"/>
    <w:rsid w:val="00E14F7B"/>
    <w:rsid w:val="00E15300"/>
    <w:rsid w:val="00E1563E"/>
    <w:rsid w:val="00E1587F"/>
    <w:rsid w:val="00E15F2E"/>
    <w:rsid w:val="00E15F55"/>
    <w:rsid w:val="00E16802"/>
    <w:rsid w:val="00E16E8F"/>
    <w:rsid w:val="00E1709C"/>
    <w:rsid w:val="00E17569"/>
    <w:rsid w:val="00E17AE9"/>
    <w:rsid w:val="00E17F42"/>
    <w:rsid w:val="00E20038"/>
    <w:rsid w:val="00E2070E"/>
    <w:rsid w:val="00E20950"/>
    <w:rsid w:val="00E20B05"/>
    <w:rsid w:val="00E21350"/>
    <w:rsid w:val="00E21C06"/>
    <w:rsid w:val="00E21DE4"/>
    <w:rsid w:val="00E2206E"/>
    <w:rsid w:val="00E22A8E"/>
    <w:rsid w:val="00E2304A"/>
    <w:rsid w:val="00E233FC"/>
    <w:rsid w:val="00E23488"/>
    <w:rsid w:val="00E247B8"/>
    <w:rsid w:val="00E24BDF"/>
    <w:rsid w:val="00E2503A"/>
    <w:rsid w:val="00E2558B"/>
    <w:rsid w:val="00E261BC"/>
    <w:rsid w:val="00E2621B"/>
    <w:rsid w:val="00E263AD"/>
    <w:rsid w:val="00E26691"/>
    <w:rsid w:val="00E26E10"/>
    <w:rsid w:val="00E270EA"/>
    <w:rsid w:val="00E27755"/>
    <w:rsid w:val="00E279D2"/>
    <w:rsid w:val="00E27BCE"/>
    <w:rsid w:val="00E30042"/>
    <w:rsid w:val="00E30295"/>
    <w:rsid w:val="00E30B4D"/>
    <w:rsid w:val="00E30C41"/>
    <w:rsid w:val="00E31BE0"/>
    <w:rsid w:val="00E31C2C"/>
    <w:rsid w:val="00E320B2"/>
    <w:rsid w:val="00E320F5"/>
    <w:rsid w:val="00E323FC"/>
    <w:rsid w:val="00E326F6"/>
    <w:rsid w:val="00E328A7"/>
    <w:rsid w:val="00E332F5"/>
    <w:rsid w:val="00E334DE"/>
    <w:rsid w:val="00E338BC"/>
    <w:rsid w:val="00E338F8"/>
    <w:rsid w:val="00E33E15"/>
    <w:rsid w:val="00E3486C"/>
    <w:rsid w:val="00E35128"/>
    <w:rsid w:val="00E35560"/>
    <w:rsid w:val="00E35946"/>
    <w:rsid w:val="00E36847"/>
    <w:rsid w:val="00E36E78"/>
    <w:rsid w:val="00E37AEA"/>
    <w:rsid w:val="00E40471"/>
    <w:rsid w:val="00E40480"/>
    <w:rsid w:val="00E405A4"/>
    <w:rsid w:val="00E4075A"/>
    <w:rsid w:val="00E409F3"/>
    <w:rsid w:val="00E40AF1"/>
    <w:rsid w:val="00E40B82"/>
    <w:rsid w:val="00E41234"/>
    <w:rsid w:val="00E41AC7"/>
    <w:rsid w:val="00E422CE"/>
    <w:rsid w:val="00E427D3"/>
    <w:rsid w:val="00E4320D"/>
    <w:rsid w:val="00E43267"/>
    <w:rsid w:val="00E43627"/>
    <w:rsid w:val="00E436F3"/>
    <w:rsid w:val="00E443E4"/>
    <w:rsid w:val="00E4448B"/>
    <w:rsid w:val="00E44524"/>
    <w:rsid w:val="00E44572"/>
    <w:rsid w:val="00E4474A"/>
    <w:rsid w:val="00E447FB"/>
    <w:rsid w:val="00E4549E"/>
    <w:rsid w:val="00E45EBA"/>
    <w:rsid w:val="00E46198"/>
    <w:rsid w:val="00E467AC"/>
    <w:rsid w:val="00E468D9"/>
    <w:rsid w:val="00E46BE8"/>
    <w:rsid w:val="00E46C8C"/>
    <w:rsid w:val="00E46CFD"/>
    <w:rsid w:val="00E47C7B"/>
    <w:rsid w:val="00E47CDA"/>
    <w:rsid w:val="00E47ED4"/>
    <w:rsid w:val="00E5087E"/>
    <w:rsid w:val="00E50A69"/>
    <w:rsid w:val="00E50A9A"/>
    <w:rsid w:val="00E50B5D"/>
    <w:rsid w:val="00E50E26"/>
    <w:rsid w:val="00E51022"/>
    <w:rsid w:val="00E51177"/>
    <w:rsid w:val="00E5117C"/>
    <w:rsid w:val="00E51281"/>
    <w:rsid w:val="00E51D4E"/>
    <w:rsid w:val="00E51DDF"/>
    <w:rsid w:val="00E5218D"/>
    <w:rsid w:val="00E52EEC"/>
    <w:rsid w:val="00E5373D"/>
    <w:rsid w:val="00E53A67"/>
    <w:rsid w:val="00E5508A"/>
    <w:rsid w:val="00E5510B"/>
    <w:rsid w:val="00E5564B"/>
    <w:rsid w:val="00E556B4"/>
    <w:rsid w:val="00E557B7"/>
    <w:rsid w:val="00E55F6D"/>
    <w:rsid w:val="00E56F61"/>
    <w:rsid w:val="00E57201"/>
    <w:rsid w:val="00E57345"/>
    <w:rsid w:val="00E57EA8"/>
    <w:rsid w:val="00E57FA4"/>
    <w:rsid w:val="00E6035E"/>
    <w:rsid w:val="00E60462"/>
    <w:rsid w:val="00E60793"/>
    <w:rsid w:val="00E6123B"/>
    <w:rsid w:val="00E61269"/>
    <w:rsid w:val="00E6133F"/>
    <w:rsid w:val="00E628D2"/>
    <w:rsid w:val="00E6307D"/>
    <w:rsid w:val="00E632E4"/>
    <w:rsid w:val="00E63A14"/>
    <w:rsid w:val="00E63D76"/>
    <w:rsid w:val="00E647AA"/>
    <w:rsid w:val="00E64A4C"/>
    <w:rsid w:val="00E65A35"/>
    <w:rsid w:val="00E65AA7"/>
    <w:rsid w:val="00E660E5"/>
    <w:rsid w:val="00E66980"/>
    <w:rsid w:val="00E66BB9"/>
    <w:rsid w:val="00E66E2C"/>
    <w:rsid w:val="00E6777E"/>
    <w:rsid w:val="00E679B0"/>
    <w:rsid w:val="00E701FC"/>
    <w:rsid w:val="00E704EF"/>
    <w:rsid w:val="00E7060F"/>
    <w:rsid w:val="00E70B61"/>
    <w:rsid w:val="00E71033"/>
    <w:rsid w:val="00E71170"/>
    <w:rsid w:val="00E7264E"/>
    <w:rsid w:val="00E726E3"/>
    <w:rsid w:val="00E72816"/>
    <w:rsid w:val="00E7294B"/>
    <w:rsid w:val="00E72978"/>
    <w:rsid w:val="00E72BED"/>
    <w:rsid w:val="00E72DFE"/>
    <w:rsid w:val="00E73A4D"/>
    <w:rsid w:val="00E73BCC"/>
    <w:rsid w:val="00E73F68"/>
    <w:rsid w:val="00E74008"/>
    <w:rsid w:val="00E74182"/>
    <w:rsid w:val="00E74392"/>
    <w:rsid w:val="00E74492"/>
    <w:rsid w:val="00E74AD1"/>
    <w:rsid w:val="00E74DC1"/>
    <w:rsid w:val="00E758BB"/>
    <w:rsid w:val="00E75D1B"/>
    <w:rsid w:val="00E75E1B"/>
    <w:rsid w:val="00E763D5"/>
    <w:rsid w:val="00E768F5"/>
    <w:rsid w:val="00E77428"/>
    <w:rsid w:val="00E7772B"/>
    <w:rsid w:val="00E803A3"/>
    <w:rsid w:val="00E80605"/>
    <w:rsid w:val="00E80623"/>
    <w:rsid w:val="00E812E8"/>
    <w:rsid w:val="00E81EA4"/>
    <w:rsid w:val="00E82062"/>
    <w:rsid w:val="00E8238E"/>
    <w:rsid w:val="00E824F5"/>
    <w:rsid w:val="00E82A8E"/>
    <w:rsid w:val="00E8330B"/>
    <w:rsid w:val="00E83410"/>
    <w:rsid w:val="00E837DA"/>
    <w:rsid w:val="00E838BE"/>
    <w:rsid w:val="00E83D96"/>
    <w:rsid w:val="00E83F02"/>
    <w:rsid w:val="00E8441A"/>
    <w:rsid w:val="00E84611"/>
    <w:rsid w:val="00E85014"/>
    <w:rsid w:val="00E8519F"/>
    <w:rsid w:val="00E851E2"/>
    <w:rsid w:val="00E852D7"/>
    <w:rsid w:val="00E85534"/>
    <w:rsid w:val="00E856F9"/>
    <w:rsid w:val="00E85B5A"/>
    <w:rsid w:val="00E860CF"/>
    <w:rsid w:val="00E86243"/>
    <w:rsid w:val="00E86DEA"/>
    <w:rsid w:val="00E8705A"/>
    <w:rsid w:val="00E87180"/>
    <w:rsid w:val="00E87AA8"/>
    <w:rsid w:val="00E9040F"/>
    <w:rsid w:val="00E90889"/>
    <w:rsid w:val="00E912A6"/>
    <w:rsid w:val="00E9151E"/>
    <w:rsid w:val="00E91C57"/>
    <w:rsid w:val="00E9206B"/>
    <w:rsid w:val="00E92583"/>
    <w:rsid w:val="00E927D5"/>
    <w:rsid w:val="00E92985"/>
    <w:rsid w:val="00E92A96"/>
    <w:rsid w:val="00E92D6C"/>
    <w:rsid w:val="00E92D7A"/>
    <w:rsid w:val="00E932B1"/>
    <w:rsid w:val="00E93526"/>
    <w:rsid w:val="00E93E66"/>
    <w:rsid w:val="00E93F04"/>
    <w:rsid w:val="00E94001"/>
    <w:rsid w:val="00E94594"/>
    <w:rsid w:val="00E94ED6"/>
    <w:rsid w:val="00E9581C"/>
    <w:rsid w:val="00E958B4"/>
    <w:rsid w:val="00E95F14"/>
    <w:rsid w:val="00E95FE3"/>
    <w:rsid w:val="00E962DC"/>
    <w:rsid w:val="00E96AA0"/>
    <w:rsid w:val="00E96C1B"/>
    <w:rsid w:val="00E97060"/>
    <w:rsid w:val="00E9715C"/>
    <w:rsid w:val="00E97B27"/>
    <w:rsid w:val="00E97CAD"/>
    <w:rsid w:val="00E97E63"/>
    <w:rsid w:val="00EA01C4"/>
    <w:rsid w:val="00EA0205"/>
    <w:rsid w:val="00EA03A8"/>
    <w:rsid w:val="00EA056E"/>
    <w:rsid w:val="00EA057D"/>
    <w:rsid w:val="00EA083E"/>
    <w:rsid w:val="00EA096B"/>
    <w:rsid w:val="00EA0A04"/>
    <w:rsid w:val="00EA0AB8"/>
    <w:rsid w:val="00EA0AC3"/>
    <w:rsid w:val="00EA0FF8"/>
    <w:rsid w:val="00EA18C0"/>
    <w:rsid w:val="00EA22C5"/>
    <w:rsid w:val="00EA263F"/>
    <w:rsid w:val="00EA2A31"/>
    <w:rsid w:val="00EA3364"/>
    <w:rsid w:val="00EA3675"/>
    <w:rsid w:val="00EA3877"/>
    <w:rsid w:val="00EA4731"/>
    <w:rsid w:val="00EA52AA"/>
    <w:rsid w:val="00EA5D83"/>
    <w:rsid w:val="00EA5EF9"/>
    <w:rsid w:val="00EA62FD"/>
    <w:rsid w:val="00EA669D"/>
    <w:rsid w:val="00EA6774"/>
    <w:rsid w:val="00EA67F4"/>
    <w:rsid w:val="00EA7180"/>
    <w:rsid w:val="00EA7263"/>
    <w:rsid w:val="00EA72A2"/>
    <w:rsid w:val="00EA7F6F"/>
    <w:rsid w:val="00EB0268"/>
    <w:rsid w:val="00EB0458"/>
    <w:rsid w:val="00EB046A"/>
    <w:rsid w:val="00EB0660"/>
    <w:rsid w:val="00EB097A"/>
    <w:rsid w:val="00EB09CE"/>
    <w:rsid w:val="00EB0A98"/>
    <w:rsid w:val="00EB0B0F"/>
    <w:rsid w:val="00EB158A"/>
    <w:rsid w:val="00EB1715"/>
    <w:rsid w:val="00EB22CC"/>
    <w:rsid w:val="00EB3368"/>
    <w:rsid w:val="00EB3402"/>
    <w:rsid w:val="00EB3C21"/>
    <w:rsid w:val="00EB4235"/>
    <w:rsid w:val="00EB4E53"/>
    <w:rsid w:val="00EB4F83"/>
    <w:rsid w:val="00EB5025"/>
    <w:rsid w:val="00EB50C5"/>
    <w:rsid w:val="00EB558B"/>
    <w:rsid w:val="00EB5C0A"/>
    <w:rsid w:val="00EB5FED"/>
    <w:rsid w:val="00EB6127"/>
    <w:rsid w:val="00EB61FD"/>
    <w:rsid w:val="00EB6BC7"/>
    <w:rsid w:val="00EB6C28"/>
    <w:rsid w:val="00EB6E17"/>
    <w:rsid w:val="00EB6E8A"/>
    <w:rsid w:val="00EB7167"/>
    <w:rsid w:val="00EB781D"/>
    <w:rsid w:val="00EC0BCE"/>
    <w:rsid w:val="00EC0D0C"/>
    <w:rsid w:val="00EC113D"/>
    <w:rsid w:val="00EC11DD"/>
    <w:rsid w:val="00EC13B2"/>
    <w:rsid w:val="00EC18BB"/>
    <w:rsid w:val="00EC1926"/>
    <w:rsid w:val="00EC2399"/>
    <w:rsid w:val="00EC2449"/>
    <w:rsid w:val="00EC2BB3"/>
    <w:rsid w:val="00EC2CAF"/>
    <w:rsid w:val="00EC3316"/>
    <w:rsid w:val="00EC3400"/>
    <w:rsid w:val="00EC3B2B"/>
    <w:rsid w:val="00EC3E41"/>
    <w:rsid w:val="00EC3F77"/>
    <w:rsid w:val="00EC431F"/>
    <w:rsid w:val="00EC4687"/>
    <w:rsid w:val="00EC4923"/>
    <w:rsid w:val="00EC4D3C"/>
    <w:rsid w:val="00EC4D5C"/>
    <w:rsid w:val="00EC4DBD"/>
    <w:rsid w:val="00EC5A25"/>
    <w:rsid w:val="00EC5CAF"/>
    <w:rsid w:val="00EC61AC"/>
    <w:rsid w:val="00EC6740"/>
    <w:rsid w:val="00EC69DE"/>
    <w:rsid w:val="00EC6ABA"/>
    <w:rsid w:val="00EC7E5B"/>
    <w:rsid w:val="00ED005C"/>
    <w:rsid w:val="00ED05F3"/>
    <w:rsid w:val="00ED0638"/>
    <w:rsid w:val="00ED074F"/>
    <w:rsid w:val="00ED0A5C"/>
    <w:rsid w:val="00ED0FA8"/>
    <w:rsid w:val="00ED2378"/>
    <w:rsid w:val="00ED31C3"/>
    <w:rsid w:val="00ED350C"/>
    <w:rsid w:val="00ED367E"/>
    <w:rsid w:val="00ED3BC6"/>
    <w:rsid w:val="00ED3BF6"/>
    <w:rsid w:val="00ED51DF"/>
    <w:rsid w:val="00ED584F"/>
    <w:rsid w:val="00ED585E"/>
    <w:rsid w:val="00ED58B1"/>
    <w:rsid w:val="00ED592E"/>
    <w:rsid w:val="00ED5BD7"/>
    <w:rsid w:val="00ED5DDF"/>
    <w:rsid w:val="00ED60EF"/>
    <w:rsid w:val="00ED6269"/>
    <w:rsid w:val="00ED62D0"/>
    <w:rsid w:val="00ED6962"/>
    <w:rsid w:val="00ED6992"/>
    <w:rsid w:val="00ED6B8D"/>
    <w:rsid w:val="00ED7452"/>
    <w:rsid w:val="00ED765A"/>
    <w:rsid w:val="00ED778F"/>
    <w:rsid w:val="00ED7CE2"/>
    <w:rsid w:val="00ED7F9E"/>
    <w:rsid w:val="00EE0491"/>
    <w:rsid w:val="00EE049B"/>
    <w:rsid w:val="00EE05A2"/>
    <w:rsid w:val="00EE0A99"/>
    <w:rsid w:val="00EE1367"/>
    <w:rsid w:val="00EE1692"/>
    <w:rsid w:val="00EE1D25"/>
    <w:rsid w:val="00EE1E24"/>
    <w:rsid w:val="00EE2131"/>
    <w:rsid w:val="00EE214F"/>
    <w:rsid w:val="00EE242F"/>
    <w:rsid w:val="00EE2FED"/>
    <w:rsid w:val="00EE37B4"/>
    <w:rsid w:val="00EE3E43"/>
    <w:rsid w:val="00EE48E7"/>
    <w:rsid w:val="00EE5200"/>
    <w:rsid w:val="00EE5974"/>
    <w:rsid w:val="00EE638A"/>
    <w:rsid w:val="00EE72A0"/>
    <w:rsid w:val="00EE7AE5"/>
    <w:rsid w:val="00EE7FA3"/>
    <w:rsid w:val="00EF02E2"/>
    <w:rsid w:val="00EF0CD3"/>
    <w:rsid w:val="00EF0F2E"/>
    <w:rsid w:val="00EF1069"/>
    <w:rsid w:val="00EF176C"/>
    <w:rsid w:val="00EF2510"/>
    <w:rsid w:val="00EF2B82"/>
    <w:rsid w:val="00EF374E"/>
    <w:rsid w:val="00EF4302"/>
    <w:rsid w:val="00EF4605"/>
    <w:rsid w:val="00EF460F"/>
    <w:rsid w:val="00EF57BF"/>
    <w:rsid w:val="00EF66F7"/>
    <w:rsid w:val="00EF6C51"/>
    <w:rsid w:val="00EF72C7"/>
    <w:rsid w:val="00EF7783"/>
    <w:rsid w:val="00F00134"/>
    <w:rsid w:val="00F00219"/>
    <w:rsid w:val="00F0094A"/>
    <w:rsid w:val="00F0099D"/>
    <w:rsid w:val="00F00D0A"/>
    <w:rsid w:val="00F00F89"/>
    <w:rsid w:val="00F00FAB"/>
    <w:rsid w:val="00F013D2"/>
    <w:rsid w:val="00F01C88"/>
    <w:rsid w:val="00F02591"/>
    <w:rsid w:val="00F02654"/>
    <w:rsid w:val="00F03334"/>
    <w:rsid w:val="00F04081"/>
    <w:rsid w:val="00F04179"/>
    <w:rsid w:val="00F04470"/>
    <w:rsid w:val="00F04BE7"/>
    <w:rsid w:val="00F05071"/>
    <w:rsid w:val="00F0514C"/>
    <w:rsid w:val="00F05574"/>
    <w:rsid w:val="00F05860"/>
    <w:rsid w:val="00F062C0"/>
    <w:rsid w:val="00F064FE"/>
    <w:rsid w:val="00F06C47"/>
    <w:rsid w:val="00F0795F"/>
    <w:rsid w:val="00F104E9"/>
    <w:rsid w:val="00F10957"/>
    <w:rsid w:val="00F10A8C"/>
    <w:rsid w:val="00F10AB7"/>
    <w:rsid w:val="00F10FD6"/>
    <w:rsid w:val="00F11172"/>
    <w:rsid w:val="00F11277"/>
    <w:rsid w:val="00F11496"/>
    <w:rsid w:val="00F11911"/>
    <w:rsid w:val="00F12113"/>
    <w:rsid w:val="00F125E7"/>
    <w:rsid w:val="00F1281C"/>
    <w:rsid w:val="00F132A8"/>
    <w:rsid w:val="00F13637"/>
    <w:rsid w:val="00F138C9"/>
    <w:rsid w:val="00F13B07"/>
    <w:rsid w:val="00F13C69"/>
    <w:rsid w:val="00F13CEF"/>
    <w:rsid w:val="00F14334"/>
    <w:rsid w:val="00F14793"/>
    <w:rsid w:val="00F14889"/>
    <w:rsid w:val="00F14963"/>
    <w:rsid w:val="00F14A79"/>
    <w:rsid w:val="00F14D61"/>
    <w:rsid w:val="00F1566D"/>
    <w:rsid w:val="00F15B7B"/>
    <w:rsid w:val="00F15BA4"/>
    <w:rsid w:val="00F15D59"/>
    <w:rsid w:val="00F15F82"/>
    <w:rsid w:val="00F16773"/>
    <w:rsid w:val="00F16A0F"/>
    <w:rsid w:val="00F16BDD"/>
    <w:rsid w:val="00F16BFE"/>
    <w:rsid w:val="00F16D6A"/>
    <w:rsid w:val="00F16E5A"/>
    <w:rsid w:val="00F17179"/>
    <w:rsid w:val="00F17BC4"/>
    <w:rsid w:val="00F20158"/>
    <w:rsid w:val="00F203DA"/>
    <w:rsid w:val="00F20603"/>
    <w:rsid w:val="00F20E0A"/>
    <w:rsid w:val="00F214AD"/>
    <w:rsid w:val="00F21DC1"/>
    <w:rsid w:val="00F21F97"/>
    <w:rsid w:val="00F22665"/>
    <w:rsid w:val="00F22B93"/>
    <w:rsid w:val="00F22B99"/>
    <w:rsid w:val="00F22C7B"/>
    <w:rsid w:val="00F2337C"/>
    <w:rsid w:val="00F236FD"/>
    <w:rsid w:val="00F23B1A"/>
    <w:rsid w:val="00F24181"/>
    <w:rsid w:val="00F24226"/>
    <w:rsid w:val="00F24870"/>
    <w:rsid w:val="00F2580E"/>
    <w:rsid w:val="00F258E8"/>
    <w:rsid w:val="00F25DD3"/>
    <w:rsid w:val="00F25E5B"/>
    <w:rsid w:val="00F2675B"/>
    <w:rsid w:val="00F268E7"/>
    <w:rsid w:val="00F26FFB"/>
    <w:rsid w:val="00F27887"/>
    <w:rsid w:val="00F27BCC"/>
    <w:rsid w:val="00F27BE8"/>
    <w:rsid w:val="00F27DE0"/>
    <w:rsid w:val="00F306DD"/>
    <w:rsid w:val="00F30A3D"/>
    <w:rsid w:val="00F30E91"/>
    <w:rsid w:val="00F30FC9"/>
    <w:rsid w:val="00F31060"/>
    <w:rsid w:val="00F31107"/>
    <w:rsid w:val="00F31202"/>
    <w:rsid w:val="00F31279"/>
    <w:rsid w:val="00F316F5"/>
    <w:rsid w:val="00F3190C"/>
    <w:rsid w:val="00F31BE1"/>
    <w:rsid w:val="00F32F7B"/>
    <w:rsid w:val="00F33140"/>
    <w:rsid w:val="00F332DF"/>
    <w:rsid w:val="00F33815"/>
    <w:rsid w:val="00F33D34"/>
    <w:rsid w:val="00F34746"/>
    <w:rsid w:val="00F34DAE"/>
    <w:rsid w:val="00F3511D"/>
    <w:rsid w:val="00F3540E"/>
    <w:rsid w:val="00F36226"/>
    <w:rsid w:val="00F36D0F"/>
    <w:rsid w:val="00F36EAE"/>
    <w:rsid w:val="00F36FF6"/>
    <w:rsid w:val="00F370CB"/>
    <w:rsid w:val="00F370EB"/>
    <w:rsid w:val="00F374E9"/>
    <w:rsid w:val="00F37B07"/>
    <w:rsid w:val="00F40241"/>
    <w:rsid w:val="00F40379"/>
    <w:rsid w:val="00F4075E"/>
    <w:rsid w:val="00F40D48"/>
    <w:rsid w:val="00F40F3E"/>
    <w:rsid w:val="00F40F8A"/>
    <w:rsid w:val="00F413BC"/>
    <w:rsid w:val="00F413FE"/>
    <w:rsid w:val="00F414BC"/>
    <w:rsid w:val="00F41F93"/>
    <w:rsid w:val="00F42784"/>
    <w:rsid w:val="00F42CF8"/>
    <w:rsid w:val="00F4371F"/>
    <w:rsid w:val="00F437B2"/>
    <w:rsid w:val="00F43F03"/>
    <w:rsid w:val="00F4414C"/>
    <w:rsid w:val="00F447F7"/>
    <w:rsid w:val="00F449EC"/>
    <w:rsid w:val="00F44AAF"/>
    <w:rsid w:val="00F44D85"/>
    <w:rsid w:val="00F451B3"/>
    <w:rsid w:val="00F453F0"/>
    <w:rsid w:val="00F4541A"/>
    <w:rsid w:val="00F45BA0"/>
    <w:rsid w:val="00F4611B"/>
    <w:rsid w:val="00F46234"/>
    <w:rsid w:val="00F4637D"/>
    <w:rsid w:val="00F46958"/>
    <w:rsid w:val="00F469EC"/>
    <w:rsid w:val="00F46B3C"/>
    <w:rsid w:val="00F46B7E"/>
    <w:rsid w:val="00F46D92"/>
    <w:rsid w:val="00F46FE0"/>
    <w:rsid w:val="00F47886"/>
    <w:rsid w:val="00F47E24"/>
    <w:rsid w:val="00F5065F"/>
    <w:rsid w:val="00F51592"/>
    <w:rsid w:val="00F518F3"/>
    <w:rsid w:val="00F51BB0"/>
    <w:rsid w:val="00F51C08"/>
    <w:rsid w:val="00F51FA2"/>
    <w:rsid w:val="00F524CF"/>
    <w:rsid w:val="00F52862"/>
    <w:rsid w:val="00F52CD4"/>
    <w:rsid w:val="00F52DBF"/>
    <w:rsid w:val="00F53410"/>
    <w:rsid w:val="00F53973"/>
    <w:rsid w:val="00F541A9"/>
    <w:rsid w:val="00F5423A"/>
    <w:rsid w:val="00F549D6"/>
    <w:rsid w:val="00F54C19"/>
    <w:rsid w:val="00F55258"/>
    <w:rsid w:val="00F55370"/>
    <w:rsid w:val="00F553E1"/>
    <w:rsid w:val="00F559E6"/>
    <w:rsid w:val="00F55B49"/>
    <w:rsid w:val="00F55C0E"/>
    <w:rsid w:val="00F568E0"/>
    <w:rsid w:val="00F572F2"/>
    <w:rsid w:val="00F5752E"/>
    <w:rsid w:val="00F5770A"/>
    <w:rsid w:val="00F57D6C"/>
    <w:rsid w:val="00F6001F"/>
    <w:rsid w:val="00F60038"/>
    <w:rsid w:val="00F6037E"/>
    <w:rsid w:val="00F60CDA"/>
    <w:rsid w:val="00F60D0B"/>
    <w:rsid w:val="00F60D86"/>
    <w:rsid w:val="00F61733"/>
    <w:rsid w:val="00F61D9C"/>
    <w:rsid w:val="00F6253B"/>
    <w:rsid w:val="00F63359"/>
    <w:rsid w:val="00F6383A"/>
    <w:rsid w:val="00F6387D"/>
    <w:rsid w:val="00F63901"/>
    <w:rsid w:val="00F639EB"/>
    <w:rsid w:val="00F64054"/>
    <w:rsid w:val="00F64604"/>
    <w:rsid w:val="00F64758"/>
    <w:rsid w:val="00F64B78"/>
    <w:rsid w:val="00F65135"/>
    <w:rsid w:val="00F6532D"/>
    <w:rsid w:val="00F653BB"/>
    <w:rsid w:val="00F65BCD"/>
    <w:rsid w:val="00F65D2E"/>
    <w:rsid w:val="00F6672B"/>
    <w:rsid w:val="00F66CA3"/>
    <w:rsid w:val="00F671B8"/>
    <w:rsid w:val="00F6787B"/>
    <w:rsid w:val="00F67B36"/>
    <w:rsid w:val="00F70126"/>
    <w:rsid w:val="00F7049B"/>
    <w:rsid w:val="00F70A60"/>
    <w:rsid w:val="00F70F8E"/>
    <w:rsid w:val="00F721E0"/>
    <w:rsid w:val="00F728A7"/>
    <w:rsid w:val="00F72DCD"/>
    <w:rsid w:val="00F73332"/>
    <w:rsid w:val="00F73390"/>
    <w:rsid w:val="00F738DD"/>
    <w:rsid w:val="00F73C6F"/>
    <w:rsid w:val="00F73EAE"/>
    <w:rsid w:val="00F7442C"/>
    <w:rsid w:val="00F75776"/>
    <w:rsid w:val="00F75903"/>
    <w:rsid w:val="00F76640"/>
    <w:rsid w:val="00F767AC"/>
    <w:rsid w:val="00F768F2"/>
    <w:rsid w:val="00F76DEF"/>
    <w:rsid w:val="00F771B9"/>
    <w:rsid w:val="00F77375"/>
    <w:rsid w:val="00F773BE"/>
    <w:rsid w:val="00F8025F"/>
    <w:rsid w:val="00F80B8F"/>
    <w:rsid w:val="00F81026"/>
    <w:rsid w:val="00F81907"/>
    <w:rsid w:val="00F8199C"/>
    <w:rsid w:val="00F8225F"/>
    <w:rsid w:val="00F822C4"/>
    <w:rsid w:val="00F823CB"/>
    <w:rsid w:val="00F824CE"/>
    <w:rsid w:val="00F827F9"/>
    <w:rsid w:val="00F832E6"/>
    <w:rsid w:val="00F8345D"/>
    <w:rsid w:val="00F837C4"/>
    <w:rsid w:val="00F83AB3"/>
    <w:rsid w:val="00F83AFC"/>
    <w:rsid w:val="00F84A7C"/>
    <w:rsid w:val="00F84B03"/>
    <w:rsid w:val="00F84BC5"/>
    <w:rsid w:val="00F84F85"/>
    <w:rsid w:val="00F850E2"/>
    <w:rsid w:val="00F853B7"/>
    <w:rsid w:val="00F853CE"/>
    <w:rsid w:val="00F85705"/>
    <w:rsid w:val="00F8573A"/>
    <w:rsid w:val="00F85748"/>
    <w:rsid w:val="00F85A37"/>
    <w:rsid w:val="00F85EA5"/>
    <w:rsid w:val="00F86312"/>
    <w:rsid w:val="00F863B8"/>
    <w:rsid w:val="00F8647D"/>
    <w:rsid w:val="00F867B9"/>
    <w:rsid w:val="00F86BDB"/>
    <w:rsid w:val="00F86DD7"/>
    <w:rsid w:val="00F8742F"/>
    <w:rsid w:val="00F8760E"/>
    <w:rsid w:val="00F900B2"/>
    <w:rsid w:val="00F90533"/>
    <w:rsid w:val="00F9060C"/>
    <w:rsid w:val="00F909FA"/>
    <w:rsid w:val="00F90E4B"/>
    <w:rsid w:val="00F90F64"/>
    <w:rsid w:val="00F91435"/>
    <w:rsid w:val="00F91486"/>
    <w:rsid w:val="00F91B7F"/>
    <w:rsid w:val="00F91B83"/>
    <w:rsid w:val="00F9246C"/>
    <w:rsid w:val="00F9274D"/>
    <w:rsid w:val="00F92818"/>
    <w:rsid w:val="00F92EDF"/>
    <w:rsid w:val="00F92F35"/>
    <w:rsid w:val="00F93282"/>
    <w:rsid w:val="00F932E9"/>
    <w:rsid w:val="00F9352B"/>
    <w:rsid w:val="00F936DC"/>
    <w:rsid w:val="00F937E6"/>
    <w:rsid w:val="00F93853"/>
    <w:rsid w:val="00F93BCC"/>
    <w:rsid w:val="00F93C10"/>
    <w:rsid w:val="00F93C89"/>
    <w:rsid w:val="00F93FD6"/>
    <w:rsid w:val="00F94A60"/>
    <w:rsid w:val="00F94B49"/>
    <w:rsid w:val="00F95E2D"/>
    <w:rsid w:val="00F95F48"/>
    <w:rsid w:val="00F96212"/>
    <w:rsid w:val="00F962D9"/>
    <w:rsid w:val="00F964EC"/>
    <w:rsid w:val="00F967DB"/>
    <w:rsid w:val="00F9688B"/>
    <w:rsid w:val="00F96962"/>
    <w:rsid w:val="00F96B8C"/>
    <w:rsid w:val="00F9708F"/>
    <w:rsid w:val="00F97379"/>
    <w:rsid w:val="00F97E2A"/>
    <w:rsid w:val="00F97FC4"/>
    <w:rsid w:val="00FA0201"/>
    <w:rsid w:val="00FA05A9"/>
    <w:rsid w:val="00FA09A8"/>
    <w:rsid w:val="00FA0B56"/>
    <w:rsid w:val="00FA0DC1"/>
    <w:rsid w:val="00FA0F1F"/>
    <w:rsid w:val="00FA137A"/>
    <w:rsid w:val="00FA1F4B"/>
    <w:rsid w:val="00FA1F8E"/>
    <w:rsid w:val="00FA1FFF"/>
    <w:rsid w:val="00FA2762"/>
    <w:rsid w:val="00FA2E13"/>
    <w:rsid w:val="00FA309B"/>
    <w:rsid w:val="00FA335E"/>
    <w:rsid w:val="00FA354E"/>
    <w:rsid w:val="00FA355F"/>
    <w:rsid w:val="00FA3CE7"/>
    <w:rsid w:val="00FA42FD"/>
    <w:rsid w:val="00FA438D"/>
    <w:rsid w:val="00FA5B8D"/>
    <w:rsid w:val="00FA6AB4"/>
    <w:rsid w:val="00FA6FC5"/>
    <w:rsid w:val="00FA709E"/>
    <w:rsid w:val="00FA75DE"/>
    <w:rsid w:val="00FA7BF2"/>
    <w:rsid w:val="00FB104C"/>
    <w:rsid w:val="00FB1629"/>
    <w:rsid w:val="00FB1654"/>
    <w:rsid w:val="00FB1A82"/>
    <w:rsid w:val="00FB2BF3"/>
    <w:rsid w:val="00FB309E"/>
    <w:rsid w:val="00FB3FB6"/>
    <w:rsid w:val="00FB4095"/>
    <w:rsid w:val="00FB487C"/>
    <w:rsid w:val="00FB54CD"/>
    <w:rsid w:val="00FB5C83"/>
    <w:rsid w:val="00FB6055"/>
    <w:rsid w:val="00FB655F"/>
    <w:rsid w:val="00FB66AE"/>
    <w:rsid w:val="00FB70E8"/>
    <w:rsid w:val="00FB7795"/>
    <w:rsid w:val="00FB7799"/>
    <w:rsid w:val="00FB7871"/>
    <w:rsid w:val="00FB7873"/>
    <w:rsid w:val="00FC0325"/>
    <w:rsid w:val="00FC0577"/>
    <w:rsid w:val="00FC0D9A"/>
    <w:rsid w:val="00FC10B7"/>
    <w:rsid w:val="00FC1344"/>
    <w:rsid w:val="00FC163F"/>
    <w:rsid w:val="00FC1AB4"/>
    <w:rsid w:val="00FC1B9A"/>
    <w:rsid w:val="00FC1BFE"/>
    <w:rsid w:val="00FC1C71"/>
    <w:rsid w:val="00FC1D91"/>
    <w:rsid w:val="00FC2957"/>
    <w:rsid w:val="00FC2A3C"/>
    <w:rsid w:val="00FC32DE"/>
    <w:rsid w:val="00FC386A"/>
    <w:rsid w:val="00FC3E5B"/>
    <w:rsid w:val="00FC410C"/>
    <w:rsid w:val="00FC49CA"/>
    <w:rsid w:val="00FC4B76"/>
    <w:rsid w:val="00FC4CBE"/>
    <w:rsid w:val="00FC509B"/>
    <w:rsid w:val="00FC5434"/>
    <w:rsid w:val="00FC54FA"/>
    <w:rsid w:val="00FC55A9"/>
    <w:rsid w:val="00FC57A2"/>
    <w:rsid w:val="00FC5E52"/>
    <w:rsid w:val="00FC6868"/>
    <w:rsid w:val="00FC69E2"/>
    <w:rsid w:val="00FC6B26"/>
    <w:rsid w:val="00FC71CD"/>
    <w:rsid w:val="00FC7362"/>
    <w:rsid w:val="00FC788C"/>
    <w:rsid w:val="00FC7E7C"/>
    <w:rsid w:val="00FC7EA9"/>
    <w:rsid w:val="00FD0193"/>
    <w:rsid w:val="00FD0C96"/>
    <w:rsid w:val="00FD1028"/>
    <w:rsid w:val="00FD1087"/>
    <w:rsid w:val="00FD1657"/>
    <w:rsid w:val="00FD185C"/>
    <w:rsid w:val="00FD1AE4"/>
    <w:rsid w:val="00FD1E5F"/>
    <w:rsid w:val="00FD1F0F"/>
    <w:rsid w:val="00FD20F0"/>
    <w:rsid w:val="00FD284D"/>
    <w:rsid w:val="00FD2861"/>
    <w:rsid w:val="00FD2CD7"/>
    <w:rsid w:val="00FD3272"/>
    <w:rsid w:val="00FD3F16"/>
    <w:rsid w:val="00FD3FDE"/>
    <w:rsid w:val="00FD4010"/>
    <w:rsid w:val="00FD40ED"/>
    <w:rsid w:val="00FD4674"/>
    <w:rsid w:val="00FD4842"/>
    <w:rsid w:val="00FD48E2"/>
    <w:rsid w:val="00FD4FB7"/>
    <w:rsid w:val="00FD540A"/>
    <w:rsid w:val="00FD56D5"/>
    <w:rsid w:val="00FD59E9"/>
    <w:rsid w:val="00FD5C79"/>
    <w:rsid w:val="00FD6672"/>
    <w:rsid w:val="00FD6CD6"/>
    <w:rsid w:val="00FD6D2B"/>
    <w:rsid w:val="00FD6D3B"/>
    <w:rsid w:val="00FD6EA4"/>
    <w:rsid w:val="00FD74F6"/>
    <w:rsid w:val="00FD7B76"/>
    <w:rsid w:val="00FE001F"/>
    <w:rsid w:val="00FE0663"/>
    <w:rsid w:val="00FE0740"/>
    <w:rsid w:val="00FE0B3C"/>
    <w:rsid w:val="00FE1213"/>
    <w:rsid w:val="00FE14BE"/>
    <w:rsid w:val="00FE1AFD"/>
    <w:rsid w:val="00FE1D17"/>
    <w:rsid w:val="00FE28A9"/>
    <w:rsid w:val="00FE291F"/>
    <w:rsid w:val="00FE3C49"/>
    <w:rsid w:val="00FE50BA"/>
    <w:rsid w:val="00FE516D"/>
    <w:rsid w:val="00FE59C9"/>
    <w:rsid w:val="00FE64E6"/>
    <w:rsid w:val="00FE655D"/>
    <w:rsid w:val="00FE6827"/>
    <w:rsid w:val="00FE6AEC"/>
    <w:rsid w:val="00FE705E"/>
    <w:rsid w:val="00FE72FC"/>
    <w:rsid w:val="00FE7BB2"/>
    <w:rsid w:val="00FF002F"/>
    <w:rsid w:val="00FF05CC"/>
    <w:rsid w:val="00FF128D"/>
    <w:rsid w:val="00FF1380"/>
    <w:rsid w:val="00FF14C8"/>
    <w:rsid w:val="00FF1C39"/>
    <w:rsid w:val="00FF2047"/>
    <w:rsid w:val="00FF20AD"/>
    <w:rsid w:val="00FF20E2"/>
    <w:rsid w:val="00FF2666"/>
    <w:rsid w:val="00FF3677"/>
    <w:rsid w:val="00FF3806"/>
    <w:rsid w:val="00FF3B86"/>
    <w:rsid w:val="00FF410F"/>
    <w:rsid w:val="00FF44CA"/>
    <w:rsid w:val="00FF4B8A"/>
    <w:rsid w:val="00FF4C1A"/>
    <w:rsid w:val="00FF4EED"/>
    <w:rsid w:val="00FF57CC"/>
    <w:rsid w:val="00FF5BD9"/>
    <w:rsid w:val="00FF5F5E"/>
    <w:rsid w:val="00FF6C56"/>
    <w:rsid w:val="00FF6E58"/>
    <w:rsid w:val="00FF7712"/>
    <w:rsid w:val="00FF7D4F"/>
    <w:rsid w:val="00FF7E2F"/>
    <w:rsid w:val="00FF7E9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96099"/>
  <w15:docId w15:val="{11902042-CF34-4D08-ABF5-EE3BED21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pPr>
    <w:rPr>
      <w:rFonts w:eastAsiaTheme="minorEastAsia"/>
      <w:lang w:eastAsia="en-NZ"/>
    </w:rPr>
  </w:style>
  <w:style w:type="paragraph" w:styleId="Heading1">
    <w:name w:val="heading 1"/>
    <w:basedOn w:val="Normal"/>
    <w:next w:val="BodyText"/>
    <w:link w:val="Heading1Char"/>
    <w:autoRedefine/>
    <w:qFormat/>
    <w:rsid w:val="009121C9"/>
    <w:pPr>
      <w:keepNext/>
      <w:spacing w:after="240" w:line="480" w:lineRule="auto"/>
      <w:outlineLvl w:val="0"/>
    </w:pPr>
    <w:rPr>
      <w:rFonts w:eastAsiaTheme="minorHAnsi" w:cs="Arial"/>
      <w:b/>
      <w:bCs/>
      <w:noProof/>
      <w:kern w:val="32"/>
      <w:lang w:eastAsia="en-AU"/>
    </w:rPr>
  </w:style>
  <w:style w:type="paragraph" w:styleId="Heading2">
    <w:name w:val="heading 2"/>
    <w:basedOn w:val="Normal"/>
    <w:next w:val="Normal"/>
    <w:link w:val="Heading2Char"/>
    <w:autoRedefine/>
    <w:unhideWhenUsed/>
    <w:qFormat/>
    <w:rsid w:val="009121C9"/>
    <w:pPr>
      <w:keepNext/>
      <w:keepLines/>
      <w:spacing w:after="240" w:line="480" w:lineRule="auto"/>
      <w:outlineLvl w:val="1"/>
    </w:pPr>
    <w:rPr>
      <w:rFonts w:eastAsiaTheme="majorEastAsia" w:cstheme="majorBidi"/>
      <w:bCs/>
      <w:i/>
      <w:lang w:eastAsia="en-AU"/>
    </w:rPr>
  </w:style>
  <w:style w:type="paragraph" w:styleId="Heading3">
    <w:name w:val="heading 3"/>
    <w:basedOn w:val="Normal"/>
    <w:next w:val="BodyText"/>
    <w:link w:val="Heading3Char"/>
    <w:qFormat/>
    <w:rsid w:val="00F64758"/>
    <w:pPr>
      <w:keepNext/>
      <w:numPr>
        <w:ilvl w:val="2"/>
        <w:numId w:val="2"/>
      </w:numPr>
      <w:spacing w:before="240" w:after="240"/>
      <w:outlineLvl w:val="2"/>
    </w:pPr>
    <w:rPr>
      <w:rFonts w:ascii="Arial" w:eastAsia="Times New Roman" w:hAnsi="Arial" w:cs="Arial"/>
      <w:b/>
      <w:bCs/>
      <w:szCs w:val="26"/>
      <w:lang w:eastAsia="en-AU"/>
    </w:rPr>
  </w:style>
  <w:style w:type="paragraph" w:styleId="Heading4">
    <w:name w:val="heading 4"/>
    <w:basedOn w:val="Normal"/>
    <w:next w:val="BodyText"/>
    <w:link w:val="Heading4Char"/>
    <w:uiPriority w:val="9"/>
    <w:qFormat/>
    <w:rsid w:val="00F64758"/>
    <w:pPr>
      <w:keepNext/>
      <w:numPr>
        <w:ilvl w:val="3"/>
        <w:numId w:val="2"/>
      </w:numPr>
      <w:spacing w:before="120" w:after="120"/>
      <w:outlineLvl w:val="3"/>
    </w:pPr>
    <w:rPr>
      <w:rFonts w:ascii="Arial" w:eastAsia="Times New Roman" w:hAnsi="Arial"/>
      <w:b/>
      <w:bCs/>
      <w:i/>
      <w:szCs w:val="28"/>
      <w:lang w:eastAsia="en-AU"/>
    </w:rPr>
  </w:style>
  <w:style w:type="paragraph" w:styleId="Heading5">
    <w:name w:val="heading 5"/>
    <w:basedOn w:val="Normal"/>
    <w:next w:val="BodyText"/>
    <w:link w:val="Heading5Char"/>
    <w:qFormat/>
    <w:rsid w:val="00F64758"/>
    <w:pPr>
      <w:numPr>
        <w:ilvl w:val="4"/>
        <w:numId w:val="2"/>
      </w:numPr>
      <w:spacing w:before="120" w:after="120"/>
      <w:outlineLvl w:val="4"/>
    </w:pPr>
    <w:rPr>
      <w:rFonts w:eastAsia="Times New Roman"/>
      <w:b/>
      <w:bCs/>
      <w:i/>
      <w:iCs/>
      <w:szCs w:val="26"/>
      <w:lang w:eastAsia="en-AU"/>
    </w:rPr>
  </w:style>
  <w:style w:type="paragraph" w:styleId="Heading6">
    <w:name w:val="heading 6"/>
    <w:basedOn w:val="Normal"/>
    <w:next w:val="Normal"/>
    <w:link w:val="Heading6Char"/>
    <w:qFormat/>
    <w:rsid w:val="00F64758"/>
    <w:pPr>
      <w:numPr>
        <w:ilvl w:val="5"/>
        <w:numId w:val="2"/>
      </w:numPr>
      <w:spacing w:before="120" w:after="120"/>
      <w:outlineLvl w:val="5"/>
    </w:pPr>
    <w:rPr>
      <w:rFonts w:eastAsia="Times New Roman"/>
      <w:b/>
      <w:bCs/>
      <w:sz w:val="22"/>
      <w:szCs w:val="22"/>
      <w:lang w:eastAsia="en-AU"/>
    </w:rPr>
  </w:style>
  <w:style w:type="paragraph" w:styleId="Heading7">
    <w:name w:val="heading 7"/>
    <w:basedOn w:val="Normal"/>
    <w:next w:val="Normal"/>
    <w:link w:val="Heading7Char"/>
    <w:qFormat/>
    <w:rsid w:val="00F64758"/>
    <w:pPr>
      <w:numPr>
        <w:ilvl w:val="6"/>
        <w:numId w:val="2"/>
      </w:numPr>
      <w:spacing w:before="240" w:after="60"/>
      <w:outlineLvl w:val="6"/>
    </w:pPr>
    <w:rPr>
      <w:rFonts w:eastAsia="Times New Roman"/>
      <w:lang w:eastAsia="en-AU"/>
    </w:rPr>
  </w:style>
  <w:style w:type="paragraph" w:styleId="Heading8">
    <w:name w:val="heading 8"/>
    <w:basedOn w:val="Normal"/>
    <w:next w:val="Normal"/>
    <w:link w:val="Heading8Char"/>
    <w:qFormat/>
    <w:rsid w:val="00F64758"/>
    <w:pPr>
      <w:numPr>
        <w:ilvl w:val="7"/>
        <w:numId w:val="2"/>
      </w:numPr>
      <w:spacing w:before="240" w:after="60"/>
      <w:outlineLvl w:val="7"/>
    </w:pPr>
    <w:rPr>
      <w:rFonts w:eastAsia="Times New Roman"/>
      <w:i/>
      <w:iCs/>
      <w:lang w:eastAsia="en-AU"/>
    </w:rPr>
  </w:style>
  <w:style w:type="paragraph" w:styleId="Heading9">
    <w:name w:val="heading 9"/>
    <w:basedOn w:val="Normal"/>
    <w:next w:val="Normal"/>
    <w:link w:val="Heading9Char"/>
    <w:qFormat/>
    <w:rsid w:val="00F64758"/>
    <w:pPr>
      <w:numPr>
        <w:ilvl w:val="8"/>
        <w:numId w:val="2"/>
      </w:numPr>
      <w:spacing w:before="240" w:after="60"/>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1C9"/>
    <w:rPr>
      <w:rFonts w:eastAsiaTheme="majorEastAsia" w:cstheme="majorBidi"/>
      <w:bCs/>
      <w:i/>
      <w:lang w:eastAsia="en-AU"/>
    </w:rPr>
  </w:style>
  <w:style w:type="character" w:customStyle="1" w:styleId="Heading1Char">
    <w:name w:val="Heading 1 Char"/>
    <w:link w:val="Heading1"/>
    <w:rsid w:val="009121C9"/>
    <w:rPr>
      <w:rFonts w:cs="Arial"/>
      <w:b/>
      <w:bCs/>
      <w:noProof/>
      <w:kern w:val="32"/>
      <w:lang w:eastAsia="en-AU"/>
    </w:rPr>
  </w:style>
  <w:style w:type="paragraph" w:styleId="BodyText">
    <w:name w:val="Body Text"/>
    <w:basedOn w:val="Normal"/>
    <w:link w:val="BodyTextChar"/>
    <w:qFormat/>
    <w:rsid w:val="00D72FAE"/>
  </w:style>
  <w:style w:type="character" w:customStyle="1" w:styleId="BodyTextChar">
    <w:name w:val="Body Text Char"/>
    <w:basedOn w:val="DefaultParagraphFont"/>
    <w:link w:val="BodyText"/>
    <w:rsid w:val="00D72FAE"/>
    <w:rPr>
      <w:rFonts w:eastAsiaTheme="minorEastAsia"/>
      <w:lang w:eastAsia="en-NZ"/>
    </w:rPr>
  </w:style>
  <w:style w:type="character" w:customStyle="1" w:styleId="Heading3Char">
    <w:name w:val="Heading 3 Char"/>
    <w:basedOn w:val="DefaultParagraphFont"/>
    <w:link w:val="Heading3"/>
    <w:rsid w:val="00F64758"/>
    <w:rPr>
      <w:rFonts w:ascii="Arial" w:eastAsia="Times New Roman" w:hAnsi="Arial" w:cs="Arial"/>
      <w:b/>
      <w:bCs/>
      <w:szCs w:val="26"/>
      <w:lang w:eastAsia="en-AU"/>
    </w:rPr>
  </w:style>
  <w:style w:type="character" w:customStyle="1" w:styleId="Heading4Char">
    <w:name w:val="Heading 4 Char"/>
    <w:basedOn w:val="DefaultParagraphFont"/>
    <w:link w:val="Heading4"/>
    <w:uiPriority w:val="9"/>
    <w:rsid w:val="00F64758"/>
    <w:rPr>
      <w:rFonts w:ascii="Arial" w:eastAsia="Times New Roman" w:hAnsi="Arial"/>
      <w:b/>
      <w:bCs/>
      <w:i/>
      <w:szCs w:val="28"/>
      <w:lang w:eastAsia="en-AU"/>
    </w:rPr>
  </w:style>
  <w:style w:type="character" w:customStyle="1" w:styleId="Heading5Char">
    <w:name w:val="Heading 5 Char"/>
    <w:basedOn w:val="DefaultParagraphFont"/>
    <w:link w:val="Heading5"/>
    <w:rsid w:val="00F64758"/>
    <w:rPr>
      <w:rFonts w:eastAsia="Times New Roman"/>
      <w:b/>
      <w:bCs/>
      <w:i/>
      <w:iCs/>
      <w:szCs w:val="26"/>
      <w:lang w:eastAsia="en-AU"/>
    </w:rPr>
  </w:style>
  <w:style w:type="character" w:customStyle="1" w:styleId="Heading6Char">
    <w:name w:val="Heading 6 Char"/>
    <w:basedOn w:val="DefaultParagraphFont"/>
    <w:link w:val="Heading6"/>
    <w:rsid w:val="00F64758"/>
    <w:rPr>
      <w:rFonts w:eastAsia="Times New Roman"/>
      <w:b/>
      <w:bCs/>
      <w:sz w:val="22"/>
      <w:szCs w:val="22"/>
      <w:lang w:eastAsia="en-AU"/>
    </w:rPr>
  </w:style>
  <w:style w:type="character" w:customStyle="1" w:styleId="Heading7Char">
    <w:name w:val="Heading 7 Char"/>
    <w:basedOn w:val="DefaultParagraphFont"/>
    <w:link w:val="Heading7"/>
    <w:rsid w:val="00F64758"/>
    <w:rPr>
      <w:rFonts w:eastAsia="Times New Roman"/>
      <w:lang w:eastAsia="en-AU"/>
    </w:rPr>
  </w:style>
  <w:style w:type="character" w:customStyle="1" w:styleId="Heading8Char">
    <w:name w:val="Heading 8 Char"/>
    <w:basedOn w:val="DefaultParagraphFont"/>
    <w:link w:val="Heading8"/>
    <w:rsid w:val="00F64758"/>
    <w:rPr>
      <w:rFonts w:eastAsia="Times New Roman"/>
      <w:i/>
      <w:iCs/>
      <w:lang w:eastAsia="en-AU"/>
    </w:rPr>
  </w:style>
  <w:style w:type="character" w:customStyle="1" w:styleId="Heading9Char">
    <w:name w:val="Heading 9 Char"/>
    <w:basedOn w:val="DefaultParagraphFont"/>
    <w:link w:val="Heading9"/>
    <w:rsid w:val="00F64758"/>
    <w:rPr>
      <w:rFonts w:ascii="Arial" w:eastAsia="Times New Roman" w:hAnsi="Arial" w:cs="Arial"/>
      <w:sz w:val="22"/>
      <w:szCs w:val="22"/>
      <w:lang w:eastAsia="en-AU"/>
    </w:rPr>
  </w:style>
  <w:style w:type="paragraph" w:styleId="Title">
    <w:name w:val="Title"/>
    <w:basedOn w:val="Normal"/>
    <w:link w:val="TitleChar"/>
    <w:qFormat/>
    <w:rsid w:val="00F64758"/>
    <w:pPr>
      <w:spacing w:before="240" w:after="240" w:line="360" w:lineRule="auto"/>
      <w:jc w:val="center"/>
      <w:outlineLvl w:val="0"/>
    </w:pPr>
    <w:rPr>
      <w:rFonts w:eastAsia="Times New Roman" w:cs="Arial"/>
      <w:b/>
      <w:bCs/>
      <w:kern w:val="28"/>
      <w:sz w:val="32"/>
      <w:szCs w:val="32"/>
      <w:lang w:eastAsia="en-AU"/>
    </w:rPr>
  </w:style>
  <w:style w:type="character" w:customStyle="1" w:styleId="TitleChar">
    <w:name w:val="Title Char"/>
    <w:basedOn w:val="DefaultParagraphFont"/>
    <w:link w:val="Title"/>
    <w:rsid w:val="00F64758"/>
    <w:rPr>
      <w:rFonts w:eastAsia="Times New Roman" w:cs="Arial"/>
      <w:b/>
      <w:bCs/>
      <w:kern w:val="28"/>
      <w:sz w:val="32"/>
      <w:szCs w:val="32"/>
      <w:lang w:eastAsia="en-AU"/>
    </w:rPr>
  </w:style>
  <w:style w:type="paragraph" w:styleId="Subtitle">
    <w:name w:val="Subtitle"/>
    <w:basedOn w:val="Normal"/>
    <w:link w:val="SubtitleChar"/>
    <w:qFormat/>
    <w:rsid w:val="00F64758"/>
    <w:pPr>
      <w:spacing w:after="120" w:line="360" w:lineRule="auto"/>
      <w:jc w:val="center"/>
    </w:pPr>
    <w:rPr>
      <w:rFonts w:eastAsia="Times New Roman" w:cs="Arial"/>
      <w:sz w:val="28"/>
      <w:lang w:eastAsia="en-AU"/>
    </w:rPr>
  </w:style>
  <w:style w:type="character" w:customStyle="1" w:styleId="SubtitleChar">
    <w:name w:val="Subtitle Char"/>
    <w:basedOn w:val="DefaultParagraphFont"/>
    <w:link w:val="Subtitle"/>
    <w:rsid w:val="00F64758"/>
    <w:rPr>
      <w:rFonts w:eastAsia="Times New Roman" w:cs="Arial"/>
      <w:sz w:val="28"/>
      <w:lang w:eastAsia="en-AU"/>
    </w:rPr>
  </w:style>
  <w:style w:type="paragraph" w:styleId="DocumentMap">
    <w:name w:val="Document Map"/>
    <w:basedOn w:val="Normal"/>
    <w:link w:val="DocumentMapChar"/>
    <w:rsid w:val="00F64758"/>
    <w:pPr>
      <w:shd w:val="clear" w:color="auto" w:fill="000080"/>
      <w:spacing w:after="12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F64758"/>
    <w:rPr>
      <w:rFonts w:ascii="Tahoma" w:eastAsia="Times New Roman" w:hAnsi="Tahoma" w:cs="Tahoma"/>
      <w:sz w:val="20"/>
      <w:szCs w:val="20"/>
      <w:shd w:val="clear" w:color="auto" w:fill="000080"/>
      <w:lang w:eastAsia="en-AU"/>
    </w:rPr>
  </w:style>
  <w:style w:type="paragraph" w:customStyle="1" w:styleId="AbstractPage">
    <w:name w:val="Abstract Page"/>
    <w:basedOn w:val="Normal"/>
    <w:rsid w:val="00F64758"/>
    <w:pPr>
      <w:spacing w:after="120" w:line="360" w:lineRule="auto"/>
      <w:jc w:val="center"/>
    </w:pPr>
    <w:rPr>
      <w:rFonts w:eastAsia="Times New Roman"/>
      <w:sz w:val="28"/>
      <w:szCs w:val="28"/>
      <w:lang w:eastAsia="en-AU"/>
    </w:rPr>
  </w:style>
  <w:style w:type="paragraph" w:styleId="TOC8">
    <w:name w:val="toc 8"/>
    <w:basedOn w:val="Normal"/>
    <w:next w:val="Normal"/>
    <w:autoRedefine/>
    <w:uiPriority w:val="39"/>
    <w:rsid w:val="00F64758"/>
    <w:pPr>
      <w:tabs>
        <w:tab w:val="right" w:leader="dot" w:pos="9072"/>
      </w:tabs>
      <w:spacing w:after="120"/>
      <w:ind w:left="567"/>
    </w:pPr>
    <w:rPr>
      <w:rFonts w:eastAsia="Times New Roman"/>
      <w:b/>
      <w:lang w:eastAsia="en-AU"/>
    </w:rPr>
  </w:style>
  <w:style w:type="paragraph" w:styleId="TOC1">
    <w:name w:val="toc 1"/>
    <w:basedOn w:val="Normal"/>
    <w:next w:val="Normal"/>
    <w:autoRedefine/>
    <w:uiPriority w:val="39"/>
    <w:rsid w:val="00F64758"/>
    <w:pPr>
      <w:tabs>
        <w:tab w:val="right" w:leader="dot" w:pos="9072"/>
      </w:tabs>
      <w:spacing w:before="120" w:after="120"/>
      <w:ind w:right="284"/>
    </w:pPr>
    <w:rPr>
      <w:rFonts w:eastAsia="Times New Roman"/>
      <w:b/>
      <w:lang w:eastAsia="en-AU"/>
    </w:rPr>
  </w:style>
  <w:style w:type="paragraph" w:styleId="TOC2">
    <w:name w:val="toc 2"/>
    <w:basedOn w:val="Normal"/>
    <w:next w:val="Normal"/>
    <w:autoRedefine/>
    <w:uiPriority w:val="39"/>
    <w:rsid w:val="00F64758"/>
    <w:pPr>
      <w:tabs>
        <w:tab w:val="left" w:pos="567"/>
        <w:tab w:val="right" w:leader="dot" w:pos="9072"/>
      </w:tabs>
      <w:spacing w:before="60" w:after="120" w:line="360" w:lineRule="auto"/>
      <w:ind w:left="567" w:right="284" w:hanging="567"/>
    </w:pPr>
    <w:rPr>
      <w:rFonts w:eastAsia="Times New Roman"/>
      <w:lang w:eastAsia="en-AU"/>
    </w:rPr>
  </w:style>
  <w:style w:type="paragraph" w:styleId="TOC3">
    <w:name w:val="toc 3"/>
    <w:basedOn w:val="Normal"/>
    <w:next w:val="Normal"/>
    <w:autoRedefine/>
    <w:uiPriority w:val="39"/>
    <w:rsid w:val="00F64758"/>
    <w:pPr>
      <w:tabs>
        <w:tab w:val="left" w:pos="1276"/>
        <w:tab w:val="right" w:leader="dot" w:pos="9072"/>
      </w:tabs>
      <w:spacing w:before="120" w:after="120" w:line="360" w:lineRule="auto"/>
      <w:ind w:left="1276" w:right="284" w:hanging="709"/>
    </w:pPr>
    <w:rPr>
      <w:rFonts w:eastAsia="Times New Roman"/>
      <w:lang w:eastAsia="en-AU"/>
    </w:rPr>
  </w:style>
  <w:style w:type="paragraph" w:styleId="TOC4">
    <w:name w:val="toc 4"/>
    <w:basedOn w:val="Normal"/>
    <w:next w:val="Normal"/>
    <w:autoRedefine/>
    <w:uiPriority w:val="39"/>
    <w:rsid w:val="00F64758"/>
    <w:pPr>
      <w:tabs>
        <w:tab w:val="left" w:pos="2127"/>
        <w:tab w:val="right" w:leader="dot" w:pos="9072"/>
      </w:tabs>
      <w:spacing w:after="120"/>
      <w:ind w:left="2127" w:right="282" w:hanging="851"/>
    </w:pPr>
    <w:rPr>
      <w:rFonts w:eastAsia="Times New Roman"/>
      <w:noProof/>
      <w:lang w:eastAsia="en-AU"/>
    </w:rPr>
  </w:style>
  <w:style w:type="character" w:styleId="Hyperlink">
    <w:name w:val="Hyperlink"/>
    <w:uiPriority w:val="99"/>
    <w:rsid w:val="00F64758"/>
    <w:rPr>
      <w:color w:val="0000FF"/>
      <w:u w:val="single"/>
    </w:rPr>
  </w:style>
  <w:style w:type="paragraph" w:styleId="TOC9">
    <w:name w:val="toc 9"/>
    <w:basedOn w:val="Normal"/>
    <w:next w:val="Normal"/>
    <w:autoRedefine/>
    <w:uiPriority w:val="39"/>
    <w:rsid w:val="00F64758"/>
    <w:pPr>
      <w:tabs>
        <w:tab w:val="right" w:leader="dot" w:pos="9072"/>
      </w:tabs>
      <w:spacing w:before="120" w:after="60"/>
    </w:pPr>
    <w:rPr>
      <w:rFonts w:eastAsia="Times New Roman"/>
      <w:b/>
      <w:lang w:eastAsia="en-AU"/>
    </w:rPr>
  </w:style>
  <w:style w:type="paragraph" w:styleId="Header">
    <w:name w:val="header"/>
    <w:basedOn w:val="Normal"/>
    <w:link w:val="HeaderChar"/>
    <w:uiPriority w:val="99"/>
    <w:rsid w:val="00F64758"/>
    <w:pPr>
      <w:tabs>
        <w:tab w:val="center" w:pos="4153"/>
        <w:tab w:val="right" w:pos="8306"/>
      </w:tabs>
      <w:spacing w:after="120"/>
    </w:pPr>
    <w:rPr>
      <w:rFonts w:eastAsia="Times New Roman"/>
      <w:lang w:eastAsia="en-AU"/>
    </w:rPr>
  </w:style>
  <w:style w:type="character" w:customStyle="1" w:styleId="HeaderChar">
    <w:name w:val="Header Char"/>
    <w:basedOn w:val="DefaultParagraphFont"/>
    <w:link w:val="Header"/>
    <w:uiPriority w:val="99"/>
    <w:rsid w:val="00F64758"/>
    <w:rPr>
      <w:rFonts w:eastAsia="Times New Roman"/>
      <w:lang w:eastAsia="en-AU"/>
    </w:rPr>
  </w:style>
  <w:style w:type="paragraph" w:styleId="Footer">
    <w:name w:val="footer"/>
    <w:basedOn w:val="Normal"/>
    <w:link w:val="FooterChar"/>
    <w:uiPriority w:val="99"/>
    <w:rsid w:val="00F64758"/>
    <w:pPr>
      <w:tabs>
        <w:tab w:val="center" w:pos="4153"/>
        <w:tab w:val="right" w:pos="8306"/>
      </w:tabs>
      <w:spacing w:after="120"/>
    </w:pPr>
    <w:rPr>
      <w:rFonts w:eastAsia="Times New Roman"/>
      <w:lang w:eastAsia="en-AU"/>
    </w:rPr>
  </w:style>
  <w:style w:type="character" w:customStyle="1" w:styleId="FooterChar">
    <w:name w:val="Footer Char"/>
    <w:basedOn w:val="DefaultParagraphFont"/>
    <w:link w:val="Footer"/>
    <w:uiPriority w:val="99"/>
    <w:rsid w:val="00F64758"/>
    <w:rPr>
      <w:rFonts w:eastAsia="Times New Roman"/>
      <w:lang w:eastAsia="en-AU"/>
    </w:rPr>
  </w:style>
  <w:style w:type="character" w:styleId="PageNumber">
    <w:name w:val="page number"/>
    <w:basedOn w:val="DefaultParagraphFont"/>
    <w:rsid w:val="00F64758"/>
  </w:style>
  <w:style w:type="character" w:styleId="CommentReference">
    <w:name w:val="annotation reference"/>
    <w:uiPriority w:val="99"/>
    <w:rsid w:val="00F64758"/>
    <w:rPr>
      <w:sz w:val="16"/>
      <w:szCs w:val="16"/>
    </w:rPr>
  </w:style>
  <w:style w:type="paragraph" w:styleId="CommentText">
    <w:name w:val="annotation text"/>
    <w:basedOn w:val="Normal"/>
    <w:link w:val="CommentTextChar"/>
    <w:uiPriority w:val="99"/>
    <w:rsid w:val="00F64758"/>
    <w:pPr>
      <w:spacing w:after="120"/>
    </w:pPr>
    <w:rPr>
      <w:rFonts w:eastAsia="Times New Roman"/>
      <w:sz w:val="20"/>
      <w:szCs w:val="20"/>
      <w:lang w:eastAsia="en-AU"/>
    </w:rPr>
  </w:style>
  <w:style w:type="character" w:customStyle="1" w:styleId="CommentTextChar">
    <w:name w:val="Comment Text Char"/>
    <w:basedOn w:val="DefaultParagraphFont"/>
    <w:link w:val="CommentText"/>
    <w:uiPriority w:val="99"/>
    <w:rsid w:val="00F64758"/>
    <w:rPr>
      <w:rFonts w:eastAsia="Times New Roman"/>
      <w:sz w:val="20"/>
      <w:szCs w:val="20"/>
      <w:lang w:eastAsia="en-AU"/>
    </w:rPr>
  </w:style>
  <w:style w:type="paragraph" w:styleId="CommentSubject">
    <w:name w:val="annotation subject"/>
    <w:basedOn w:val="CommentText"/>
    <w:next w:val="CommentText"/>
    <w:link w:val="CommentSubjectChar"/>
    <w:uiPriority w:val="99"/>
    <w:rsid w:val="00F64758"/>
    <w:rPr>
      <w:b/>
      <w:bCs/>
    </w:rPr>
  </w:style>
  <w:style w:type="character" w:customStyle="1" w:styleId="CommentSubjectChar">
    <w:name w:val="Comment Subject Char"/>
    <w:basedOn w:val="CommentTextChar"/>
    <w:link w:val="CommentSubject"/>
    <w:uiPriority w:val="99"/>
    <w:rsid w:val="00F64758"/>
    <w:rPr>
      <w:rFonts w:eastAsia="Times New Roman"/>
      <w:b/>
      <w:bCs/>
      <w:sz w:val="20"/>
      <w:szCs w:val="20"/>
      <w:lang w:eastAsia="en-AU"/>
    </w:rPr>
  </w:style>
  <w:style w:type="paragraph" w:styleId="BalloonText">
    <w:name w:val="Balloon Text"/>
    <w:basedOn w:val="Normal"/>
    <w:link w:val="BalloonTextChar"/>
    <w:uiPriority w:val="99"/>
    <w:rsid w:val="00F64758"/>
    <w:pPr>
      <w:spacing w:after="12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rsid w:val="00F64758"/>
    <w:rPr>
      <w:rFonts w:ascii="Tahoma" w:eastAsia="Times New Roman" w:hAnsi="Tahoma" w:cs="Tahoma"/>
      <w:sz w:val="16"/>
      <w:szCs w:val="16"/>
      <w:lang w:eastAsia="en-AU"/>
    </w:rPr>
  </w:style>
  <w:style w:type="paragraph" w:styleId="Caption">
    <w:name w:val="caption"/>
    <w:basedOn w:val="Normal"/>
    <w:next w:val="BodyText"/>
    <w:autoRedefine/>
    <w:uiPriority w:val="35"/>
    <w:qFormat/>
    <w:rsid w:val="005350E2"/>
    <w:pPr>
      <w:spacing w:after="240"/>
      <w:jc w:val="center"/>
    </w:pPr>
    <w:rPr>
      <w:rFonts w:eastAsia="Times New Roman"/>
      <w:b/>
      <w:bCs/>
      <w:noProof/>
      <w:sz w:val="28"/>
      <w:szCs w:val="28"/>
      <w:lang w:eastAsia="en-AU"/>
    </w:rPr>
  </w:style>
  <w:style w:type="table" w:styleId="TableGrid">
    <w:name w:val="Table Grid"/>
    <w:basedOn w:val="TableNormal"/>
    <w:uiPriority w:val="39"/>
    <w:rsid w:val="00F64758"/>
    <w:rPr>
      <w:rFonts w:eastAsia="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Caption"/>
    <w:next w:val="BodyText"/>
    <w:link w:val="QuoteChar"/>
    <w:qFormat/>
    <w:rsid w:val="00F64758"/>
    <w:pPr>
      <w:ind w:right="1134"/>
    </w:pPr>
    <w:rPr>
      <w:b w:val="0"/>
      <w:i/>
    </w:rPr>
  </w:style>
  <w:style w:type="character" w:customStyle="1" w:styleId="QuoteChar">
    <w:name w:val="Quote Char"/>
    <w:basedOn w:val="DefaultParagraphFont"/>
    <w:link w:val="Quote"/>
    <w:rsid w:val="00F64758"/>
    <w:rPr>
      <w:rFonts w:eastAsia="Times New Roman"/>
      <w:bCs/>
      <w:i/>
      <w:noProof/>
      <w:szCs w:val="20"/>
      <w:lang w:eastAsia="en-AU"/>
    </w:rPr>
  </w:style>
  <w:style w:type="paragraph" w:styleId="TableofFigures">
    <w:name w:val="table of figures"/>
    <w:basedOn w:val="Normal"/>
    <w:next w:val="Normal"/>
    <w:autoRedefine/>
    <w:uiPriority w:val="99"/>
    <w:rsid w:val="00F64758"/>
    <w:pPr>
      <w:tabs>
        <w:tab w:val="right" w:leader="dot" w:pos="9072"/>
      </w:tabs>
      <w:spacing w:before="120" w:after="120"/>
      <w:ind w:left="1134" w:right="284" w:hanging="1134"/>
    </w:pPr>
    <w:rPr>
      <w:rFonts w:eastAsia="Times New Roman"/>
      <w:lang w:eastAsia="en-AU"/>
    </w:rPr>
  </w:style>
  <w:style w:type="paragraph" w:customStyle="1" w:styleId="HeadingMyL1">
    <w:name w:val="Heading MyL1"/>
    <w:basedOn w:val="Normal"/>
    <w:next w:val="BodyText"/>
    <w:rsid w:val="00F64758"/>
    <w:pPr>
      <w:keepNext/>
      <w:spacing w:after="240" w:line="360" w:lineRule="auto"/>
      <w:jc w:val="center"/>
      <w:outlineLvl w:val="0"/>
    </w:pPr>
    <w:rPr>
      <w:rFonts w:ascii="Arial" w:eastAsia="Times New Roman" w:hAnsi="Arial"/>
      <w:b/>
      <w:sz w:val="32"/>
      <w:lang w:eastAsia="en-AU"/>
    </w:rPr>
  </w:style>
  <w:style w:type="paragraph" w:customStyle="1" w:styleId="HeadingMyL2">
    <w:name w:val="Heading MyL2"/>
    <w:basedOn w:val="Heading2"/>
    <w:next w:val="BodyText"/>
    <w:rsid w:val="00F64758"/>
    <w:pPr>
      <w:keepLines w:val="0"/>
      <w:tabs>
        <w:tab w:val="left" w:pos="680"/>
      </w:tabs>
      <w:spacing w:before="240"/>
    </w:pPr>
    <w:rPr>
      <w:rFonts w:ascii="Arial" w:eastAsia="Times New Roman" w:hAnsi="Arial" w:cs="Arial"/>
      <w:iCs/>
      <w:szCs w:val="28"/>
    </w:rPr>
  </w:style>
  <w:style w:type="paragraph" w:styleId="TOC5">
    <w:name w:val="toc 5"/>
    <w:basedOn w:val="Normal"/>
    <w:next w:val="Normal"/>
    <w:autoRedefine/>
    <w:uiPriority w:val="39"/>
    <w:rsid w:val="00F64758"/>
    <w:pPr>
      <w:tabs>
        <w:tab w:val="left" w:pos="3119"/>
        <w:tab w:val="right" w:leader="dot" w:pos="9072"/>
      </w:tabs>
      <w:spacing w:after="120"/>
      <w:ind w:left="3119" w:right="282" w:hanging="992"/>
    </w:pPr>
    <w:rPr>
      <w:rFonts w:eastAsia="Times New Roman"/>
      <w:i/>
      <w:lang w:eastAsia="en-AU"/>
    </w:rPr>
  </w:style>
  <w:style w:type="paragraph" w:customStyle="1" w:styleId="App">
    <w:name w:val="App"/>
    <w:basedOn w:val="BodyText"/>
    <w:next w:val="BodyText"/>
    <w:rsid w:val="00F64758"/>
    <w:pPr>
      <w:keepNext/>
      <w:numPr>
        <w:numId w:val="1"/>
      </w:numPr>
      <w:spacing w:before="240" w:after="480" w:line="360" w:lineRule="auto"/>
      <w:ind w:left="431" w:hanging="431"/>
      <w:jc w:val="center"/>
      <w:outlineLvl w:val="0"/>
    </w:pPr>
    <w:rPr>
      <w:rFonts w:ascii="Arial" w:eastAsia="Times New Roman" w:hAnsi="Arial"/>
      <w:b/>
      <w:sz w:val="32"/>
      <w:lang w:eastAsia="en-AU"/>
    </w:rPr>
  </w:style>
  <w:style w:type="paragraph" w:customStyle="1" w:styleId="App2">
    <w:name w:val="App2"/>
    <w:basedOn w:val="BodyText"/>
    <w:next w:val="BodyText"/>
    <w:rsid w:val="00F64758"/>
    <w:pPr>
      <w:keepNext/>
      <w:numPr>
        <w:ilvl w:val="1"/>
        <w:numId w:val="1"/>
      </w:numPr>
      <w:spacing w:before="240" w:after="240"/>
      <w:ind w:left="578" w:hanging="578"/>
      <w:outlineLvl w:val="1"/>
    </w:pPr>
    <w:rPr>
      <w:rFonts w:ascii="Arial" w:eastAsia="Times New Roman" w:hAnsi="Arial"/>
      <w:b/>
      <w:sz w:val="28"/>
      <w:lang w:eastAsia="en-AU"/>
    </w:rPr>
  </w:style>
  <w:style w:type="paragraph" w:customStyle="1" w:styleId="App3">
    <w:name w:val="App3"/>
    <w:basedOn w:val="BodyText"/>
    <w:next w:val="BodyText"/>
    <w:rsid w:val="00F64758"/>
    <w:pPr>
      <w:keepNext/>
      <w:numPr>
        <w:ilvl w:val="2"/>
        <w:numId w:val="1"/>
      </w:numPr>
      <w:spacing w:before="240" w:after="240"/>
      <w:outlineLvl w:val="2"/>
    </w:pPr>
    <w:rPr>
      <w:rFonts w:ascii="Arial" w:eastAsia="Times New Roman" w:hAnsi="Arial"/>
      <w:b/>
      <w:lang w:eastAsia="en-AU"/>
    </w:rPr>
  </w:style>
  <w:style w:type="paragraph" w:styleId="TOC6">
    <w:name w:val="toc 6"/>
    <w:basedOn w:val="Normal"/>
    <w:next w:val="Normal"/>
    <w:autoRedefine/>
    <w:uiPriority w:val="39"/>
    <w:rsid w:val="00F64758"/>
    <w:pPr>
      <w:tabs>
        <w:tab w:val="left" w:pos="4395"/>
        <w:tab w:val="right" w:leader="dot" w:pos="9072"/>
      </w:tabs>
      <w:spacing w:after="120"/>
      <w:ind w:left="4395" w:right="282" w:hanging="1276"/>
    </w:pPr>
    <w:rPr>
      <w:rFonts w:eastAsia="Times New Roman"/>
      <w:lang w:eastAsia="en-AU"/>
    </w:rPr>
  </w:style>
  <w:style w:type="paragraph" w:styleId="FootnoteText">
    <w:name w:val="footnote text"/>
    <w:basedOn w:val="Normal"/>
    <w:link w:val="FootnoteTextChar"/>
    <w:rsid w:val="00F64758"/>
    <w:pPr>
      <w:spacing w:after="200"/>
    </w:pPr>
    <w:rPr>
      <w:rFonts w:eastAsia="Calibri"/>
      <w:sz w:val="20"/>
      <w:szCs w:val="20"/>
      <w:lang w:val="en-GB"/>
    </w:rPr>
  </w:style>
  <w:style w:type="character" w:customStyle="1" w:styleId="FootnoteTextChar">
    <w:name w:val="Footnote Text Char"/>
    <w:basedOn w:val="DefaultParagraphFont"/>
    <w:link w:val="FootnoteText"/>
    <w:rsid w:val="00F64758"/>
    <w:rPr>
      <w:rFonts w:eastAsia="Calibri"/>
      <w:sz w:val="20"/>
      <w:szCs w:val="20"/>
      <w:lang w:val="en-GB" w:eastAsia="en-NZ"/>
    </w:rPr>
  </w:style>
  <w:style w:type="character" w:styleId="FootnoteReference">
    <w:name w:val="footnote reference"/>
    <w:rsid w:val="00F64758"/>
    <w:rPr>
      <w:rFonts w:cs="Times New Roman"/>
      <w:vertAlign w:val="superscript"/>
    </w:rPr>
  </w:style>
  <w:style w:type="paragraph" w:styleId="Revision">
    <w:name w:val="Revision"/>
    <w:hidden/>
    <w:uiPriority w:val="99"/>
    <w:semiHidden/>
    <w:rsid w:val="00F64758"/>
    <w:rPr>
      <w:rFonts w:eastAsia="Times New Roman"/>
      <w:sz w:val="22"/>
      <w:szCs w:val="22"/>
    </w:rPr>
  </w:style>
  <w:style w:type="character" w:customStyle="1" w:styleId="name">
    <w:name w:val="name"/>
    <w:rsid w:val="00F64758"/>
  </w:style>
  <w:style w:type="character" w:customStyle="1" w:styleId="forenames">
    <w:name w:val="forenames"/>
    <w:rsid w:val="00F64758"/>
  </w:style>
  <w:style w:type="character" w:customStyle="1" w:styleId="surname">
    <w:name w:val="surname"/>
    <w:rsid w:val="00F64758"/>
  </w:style>
  <w:style w:type="paragraph" w:customStyle="1" w:styleId="MTDisplayEquation">
    <w:name w:val="MTDisplayEquation"/>
    <w:basedOn w:val="Normal"/>
    <w:next w:val="Normal"/>
    <w:link w:val="MTDisplayEquationChar"/>
    <w:rsid w:val="00F64758"/>
    <w:pPr>
      <w:tabs>
        <w:tab w:val="center" w:pos="4520"/>
        <w:tab w:val="right" w:pos="9020"/>
      </w:tabs>
      <w:spacing w:after="200"/>
      <w:jc w:val="both"/>
    </w:pPr>
    <w:rPr>
      <w:rFonts w:ascii="Cambria Math" w:eastAsia="Calibri" w:hAnsi="Cambria Math"/>
      <w:sz w:val="20"/>
      <w:szCs w:val="20"/>
    </w:rPr>
  </w:style>
  <w:style w:type="character" w:customStyle="1" w:styleId="MTDisplayEquationChar">
    <w:name w:val="MTDisplayEquation Char"/>
    <w:link w:val="MTDisplayEquation"/>
    <w:rsid w:val="00F64758"/>
    <w:rPr>
      <w:rFonts w:ascii="Cambria Math" w:eastAsia="Calibri" w:hAnsi="Cambria Math"/>
      <w:sz w:val="20"/>
      <w:szCs w:val="20"/>
      <w:lang w:eastAsia="en-NZ"/>
    </w:rPr>
  </w:style>
  <w:style w:type="character" w:customStyle="1" w:styleId="st1">
    <w:name w:val="st1"/>
    <w:rsid w:val="00F64758"/>
  </w:style>
  <w:style w:type="table" w:styleId="TableClassic2">
    <w:name w:val="Table Classic 2"/>
    <w:basedOn w:val="TableNormal"/>
    <w:rsid w:val="00F64758"/>
    <w:pPr>
      <w:spacing w:after="200" w:line="276" w:lineRule="auto"/>
    </w:pPr>
    <w:rPr>
      <w:rFonts w:eastAsia="Calibri"/>
      <w:szCs w:val="20"/>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F64758"/>
    <w:pPr>
      <w:spacing w:after="200" w:line="276" w:lineRule="auto"/>
      <w:ind w:left="720"/>
      <w:contextualSpacing/>
    </w:pPr>
    <w:rPr>
      <w:rFonts w:eastAsia="Calibri"/>
      <w:szCs w:val="20"/>
    </w:rPr>
  </w:style>
  <w:style w:type="character" w:customStyle="1" w:styleId="reference-text">
    <w:name w:val="reference-text"/>
    <w:rsid w:val="00F64758"/>
  </w:style>
  <w:style w:type="paragraph" w:customStyle="1" w:styleId="Appnew">
    <w:name w:val="Appnew"/>
    <w:basedOn w:val="App"/>
    <w:rsid w:val="00F64758"/>
    <w:pPr>
      <w:numPr>
        <w:numId w:val="0"/>
      </w:numPr>
    </w:pPr>
  </w:style>
  <w:style w:type="character" w:styleId="PlaceholderText">
    <w:name w:val="Placeholder Text"/>
    <w:basedOn w:val="DefaultParagraphFont"/>
    <w:uiPriority w:val="99"/>
    <w:semiHidden/>
    <w:rsid w:val="00F64758"/>
    <w:rPr>
      <w:color w:val="808080"/>
    </w:rPr>
  </w:style>
  <w:style w:type="paragraph" w:customStyle="1" w:styleId="StyleCentered">
    <w:name w:val="Style Centered"/>
    <w:basedOn w:val="Normal"/>
    <w:qFormat/>
    <w:rsid w:val="00F64758"/>
    <w:pPr>
      <w:spacing w:after="120"/>
      <w:jc w:val="center"/>
    </w:pPr>
    <w:rPr>
      <w:rFonts w:eastAsia="Times New Roman"/>
      <w:b/>
      <w:szCs w:val="20"/>
    </w:rPr>
  </w:style>
  <w:style w:type="paragraph" w:customStyle="1" w:styleId="EndNoteBibliographyTitle">
    <w:name w:val="EndNote Bibliography Title"/>
    <w:basedOn w:val="Normal"/>
    <w:link w:val="EndNoteBibliographyTitleChar"/>
    <w:rsid w:val="00C63A7B"/>
    <w:pPr>
      <w:jc w:val="center"/>
    </w:pPr>
    <w:rPr>
      <w:noProof/>
    </w:rPr>
  </w:style>
  <w:style w:type="character" w:customStyle="1" w:styleId="EndNoteBibliographyTitleChar">
    <w:name w:val="EndNote Bibliography Title Char"/>
    <w:basedOn w:val="BodyTextChar"/>
    <w:link w:val="EndNoteBibliographyTitle"/>
    <w:rsid w:val="00C63A7B"/>
    <w:rPr>
      <w:rFonts w:eastAsiaTheme="minorEastAsia"/>
      <w:noProof/>
      <w:lang w:eastAsia="en-NZ"/>
    </w:rPr>
  </w:style>
  <w:style w:type="paragraph" w:customStyle="1" w:styleId="EndNoteBibliography">
    <w:name w:val="EndNote Bibliography"/>
    <w:basedOn w:val="Normal"/>
    <w:link w:val="EndNoteBibliographyChar"/>
    <w:rsid w:val="00C63A7B"/>
    <w:pPr>
      <w:spacing w:line="360" w:lineRule="auto"/>
      <w:jc w:val="both"/>
    </w:pPr>
    <w:rPr>
      <w:noProof/>
    </w:rPr>
  </w:style>
  <w:style w:type="character" w:customStyle="1" w:styleId="EndNoteBibliographyChar">
    <w:name w:val="EndNote Bibliography Char"/>
    <w:basedOn w:val="BodyTextChar"/>
    <w:link w:val="EndNoteBibliography"/>
    <w:rsid w:val="00C63A7B"/>
    <w:rPr>
      <w:rFonts w:eastAsiaTheme="minorEastAsia"/>
      <w:noProof/>
      <w:lang w:eastAsia="en-NZ"/>
    </w:rPr>
  </w:style>
  <w:style w:type="paragraph" w:styleId="EndnoteText">
    <w:name w:val="endnote text"/>
    <w:basedOn w:val="Normal"/>
    <w:link w:val="EndnoteTextChar"/>
    <w:rsid w:val="00760AB2"/>
    <w:rPr>
      <w:sz w:val="20"/>
      <w:szCs w:val="20"/>
    </w:rPr>
  </w:style>
  <w:style w:type="character" w:customStyle="1" w:styleId="EndnoteTextChar">
    <w:name w:val="Endnote Text Char"/>
    <w:basedOn w:val="DefaultParagraphFont"/>
    <w:link w:val="EndnoteText"/>
    <w:rsid w:val="00760AB2"/>
    <w:rPr>
      <w:rFonts w:eastAsiaTheme="minorEastAsia"/>
      <w:sz w:val="20"/>
      <w:szCs w:val="20"/>
      <w:lang w:eastAsia="en-NZ"/>
    </w:rPr>
  </w:style>
  <w:style w:type="character" w:styleId="EndnoteReference">
    <w:name w:val="endnote reference"/>
    <w:basedOn w:val="DefaultParagraphFont"/>
    <w:rsid w:val="00760AB2"/>
    <w:rPr>
      <w:vertAlign w:val="superscript"/>
    </w:rPr>
  </w:style>
  <w:style w:type="paragraph" w:customStyle="1" w:styleId="Default">
    <w:name w:val="Default"/>
    <w:rsid w:val="00C812A3"/>
    <w:pPr>
      <w:autoSpaceDE w:val="0"/>
      <w:autoSpaceDN w:val="0"/>
      <w:adjustRightInd w:val="0"/>
      <w:spacing w:after="0"/>
    </w:pPr>
    <w:rPr>
      <w:color w:val="000000"/>
    </w:rPr>
  </w:style>
  <w:style w:type="character" w:customStyle="1" w:styleId="apple-converted-space">
    <w:name w:val="apple-converted-space"/>
    <w:basedOn w:val="DefaultParagraphFont"/>
    <w:rsid w:val="00C321B0"/>
  </w:style>
  <w:style w:type="paragraph" w:styleId="NormalWeb">
    <w:name w:val="Normal (Web)"/>
    <w:basedOn w:val="Normal"/>
    <w:uiPriority w:val="99"/>
    <w:semiHidden/>
    <w:unhideWhenUsed/>
    <w:rsid w:val="00F96212"/>
    <w:pPr>
      <w:spacing w:before="100" w:beforeAutospacing="1" w:after="100" w:afterAutospacing="1"/>
    </w:pPr>
    <w:rPr>
      <w:rFonts w:eastAsia="Times New Roman"/>
      <w:lang w:val="en-MY" w:eastAsia="en-MY"/>
    </w:rPr>
  </w:style>
  <w:style w:type="character" w:customStyle="1" w:styleId="Mention1">
    <w:name w:val="Mention1"/>
    <w:basedOn w:val="DefaultParagraphFont"/>
    <w:uiPriority w:val="99"/>
    <w:semiHidden/>
    <w:unhideWhenUsed/>
    <w:rsid w:val="00C7700B"/>
    <w:rPr>
      <w:color w:val="2B579A"/>
      <w:shd w:val="clear" w:color="auto" w:fill="E6E6E6"/>
    </w:rPr>
  </w:style>
  <w:style w:type="character" w:customStyle="1" w:styleId="Mention2">
    <w:name w:val="Mention2"/>
    <w:basedOn w:val="DefaultParagraphFont"/>
    <w:uiPriority w:val="99"/>
    <w:semiHidden/>
    <w:unhideWhenUsed/>
    <w:rsid w:val="000A6AB8"/>
    <w:rPr>
      <w:color w:val="2B579A"/>
      <w:shd w:val="clear" w:color="auto" w:fill="E6E6E6"/>
    </w:rPr>
  </w:style>
  <w:style w:type="character" w:customStyle="1" w:styleId="Mention3">
    <w:name w:val="Mention3"/>
    <w:basedOn w:val="DefaultParagraphFont"/>
    <w:uiPriority w:val="99"/>
    <w:semiHidden/>
    <w:unhideWhenUsed/>
    <w:rsid w:val="002676F6"/>
    <w:rPr>
      <w:color w:val="2B579A"/>
      <w:shd w:val="clear" w:color="auto" w:fill="E6E6E6"/>
    </w:rPr>
  </w:style>
  <w:style w:type="character" w:customStyle="1" w:styleId="Mention4">
    <w:name w:val="Mention4"/>
    <w:basedOn w:val="DefaultParagraphFont"/>
    <w:uiPriority w:val="99"/>
    <w:semiHidden/>
    <w:unhideWhenUsed/>
    <w:rsid w:val="00B4574D"/>
    <w:rPr>
      <w:color w:val="2B579A"/>
      <w:shd w:val="clear" w:color="auto" w:fill="E6E6E6"/>
    </w:rPr>
  </w:style>
  <w:style w:type="character" w:customStyle="1" w:styleId="Mention5">
    <w:name w:val="Mention5"/>
    <w:basedOn w:val="DefaultParagraphFont"/>
    <w:uiPriority w:val="99"/>
    <w:semiHidden/>
    <w:unhideWhenUsed/>
    <w:rsid w:val="00545DC7"/>
    <w:rPr>
      <w:color w:val="2B579A"/>
      <w:shd w:val="clear" w:color="auto" w:fill="E6E6E6"/>
    </w:rPr>
  </w:style>
  <w:style w:type="character" w:customStyle="1" w:styleId="Mention6">
    <w:name w:val="Mention6"/>
    <w:basedOn w:val="DefaultParagraphFont"/>
    <w:uiPriority w:val="99"/>
    <w:semiHidden/>
    <w:unhideWhenUsed/>
    <w:rsid w:val="00A36AAF"/>
    <w:rPr>
      <w:color w:val="2B579A"/>
      <w:shd w:val="clear" w:color="auto" w:fill="E6E6E6"/>
    </w:rPr>
  </w:style>
  <w:style w:type="character" w:styleId="UnresolvedMention">
    <w:name w:val="Unresolved Mention"/>
    <w:basedOn w:val="DefaultParagraphFont"/>
    <w:uiPriority w:val="99"/>
    <w:semiHidden/>
    <w:unhideWhenUsed/>
    <w:rsid w:val="00AA017C"/>
    <w:rPr>
      <w:color w:val="808080"/>
      <w:shd w:val="clear" w:color="auto" w:fill="E6E6E6"/>
    </w:rPr>
  </w:style>
  <w:style w:type="character" w:styleId="Strong">
    <w:name w:val="Strong"/>
    <w:basedOn w:val="DefaultParagraphFont"/>
    <w:uiPriority w:val="22"/>
    <w:qFormat/>
    <w:rsid w:val="000A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5364">
      <w:bodyDiv w:val="1"/>
      <w:marLeft w:val="0"/>
      <w:marRight w:val="0"/>
      <w:marTop w:val="0"/>
      <w:marBottom w:val="0"/>
      <w:divBdr>
        <w:top w:val="none" w:sz="0" w:space="0" w:color="auto"/>
        <w:left w:val="none" w:sz="0" w:space="0" w:color="auto"/>
        <w:bottom w:val="none" w:sz="0" w:space="0" w:color="auto"/>
        <w:right w:val="none" w:sz="0" w:space="0" w:color="auto"/>
      </w:divBdr>
    </w:div>
    <w:div w:id="692801904">
      <w:bodyDiv w:val="1"/>
      <w:marLeft w:val="0"/>
      <w:marRight w:val="0"/>
      <w:marTop w:val="0"/>
      <w:marBottom w:val="0"/>
      <w:divBdr>
        <w:top w:val="none" w:sz="0" w:space="0" w:color="auto"/>
        <w:left w:val="none" w:sz="0" w:space="0" w:color="auto"/>
        <w:bottom w:val="none" w:sz="0" w:space="0" w:color="auto"/>
        <w:right w:val="none" w:sz="0" w:space="0" w:color="auto"/>
      </w:divBdr>
    </w:div>
    <w:div w:id="867185854">
      <w:bodyDiv w:val="1"/>
      <w:marLeft w:val="0"/>
      <w:marRight w:val="0"/>
      <w:marTop w:val="0"/>
      <w:marBottom w:val="0"/>
      <w:divBdr>
        <w:top w:val="none" w:sz="0" w:space="0" w:color="auto"/>
        <w:left w:val="none" w:sz="0" w:space="0" w:color="auto"/>
        <w:bottom w:val="none" w:sz="0" w:space="0" w:color="auto"/>
        <w:right w:val="none" w:sz="0" w:space="0" w:color="auto"/>
      </w:divBdr>
    </w:div>
    <w:div w:id="1078555209">
      <w:bodyDiv w:val="1"/>
      <w:marLeft w:val="0"/>
      <w:marRight w:val="0"/>
      <w:marTop w:val="0"/>
      <w:marBottom w:val="0"/>
      <w:divBdr>
        <w:top w:val="none" w:sz="0" w:space="0" w:color="auto"/>
        <w:left w:val="none" w:sz="0" w:space="0" w:color="auto"/>
        <w:bottom w:val="none" w:sz="0" w:space="0" w:color="auto"/>
        <w:right w:val="none" w:sz="0" w:space="0" w:color="auto"/>
      </w:divBdr>
    </w:div>
    <w:div w:id="1368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cheema@waikato.ac.nz"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lbert.nartea@canterbury.ac.nz"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5778-C2EA-43CB-A84E-21755E5A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16705</Words>
  <Characters>95220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Cheema</dc:creator>
  <cp:lastModifiedBy>Muhammad Cheema</cp:lastModifiedBy>
  <cp:revision>4</cp:revision>
  <cp:lastPrinted>2017-09-06T05:50:00Z</cp:lastPrinted>
  <dcterms:created xsi:type="dcterms:W3CDTF">2018-07-11T03:30:00Z</dcterms:created>
  <dcterms:modified xsi:type="dcterms:W3CDTF">2018-07-11T03:31:00Z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